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auto"/>
          <w:sz w:val="40"/>
          <w:szCs w:val="40"/>
          <w:highlight w:val="none"/>
          <w:lang w:eastAsia="zh-CN"/>
        </w:rPr>
      </w:pPr>
    </w:p>
    <w:p>
      <w:pPr>
        <w:jc w:val="center"/>
        <w:rPr>
          <w:rFonts w:hint="eastAsia" w:ascii="宋体" w:hAnsi="宋体" w:cs="宋体"/>
          <w:b/>
          <w:color w:val="auto"/>
          <w:sz w:val="40"/>
          <w:szCs w:val="40"/>
          <w:highlight w:val="none"/>
          <w:lang w:eastAsia="zh-CN"/>
        </w:rPr>
      </w:pPr>
      <w:r>
        <w:rPr>
          <w:rFonts w:hint="eastAsia" w:ascii="宋体" w:hAnsi="宋体" w:cs="宋体"/>
          <w:b/>
          <w:color w:val="auto"/>
          <w:sz w:val="40"/>
          <w:szCs w:val="40"/>
          <w:highlight w:val="none"/>
          <w:lang w:eastAsia="zh-CN"/>
        </w:rPr>
        <w:t>第三届中国·绍兴“万亩千亿”新产业平台全球创业大赛生命健康专项赛</w:t>
      </w:r>
    </w:p>
    <w:p>
      <w:pPr>
        <w:jc w:val="center"/>
        <w:rPr>
          <w:rFonts w:hint="eastAsia" w:ascii="宋体" w:hAnsi="宋体" w:eastAsia="宋体" w:cs="宋体"/>
          <w:b/>
          <w:color w:val="auto"/>
          <w:sz w:val="40"/>
          <w:szCs w:val="40"/>
          <w:highlight w:val="none"/>
          <w:lang w:eastAsia="zh-CN"/>
        </w:rPr>
      </w:pPr>
      <w:r>
        <w:rPr>
          <w:rFonts w:hint="eastAsia" w:ascii="宋体" w:hAnsi="宋体" w:cs="宋体"/>
          <w:b/>
          <w:color w:val="auto"/>
          <w:sz w:val="40"/>
          <w:szCs w:val="40"/>
          <w:highlight w:val="none"/>
          <w:lang w:eastAsia="zh-CN"/>
        </w:rPr>
        <w:t>暨上虞未来城“未来场景·未来产业”创业大赛</w:t>
      </w:r>
    </w:p>
    <w:p>
      <w:pPr>
        <w:spacing w:line="360" w:lineRule="auto"/>
        <w:jc w:val="center"/>
        <w:rPr>
          <w:rFonts w:ascii="宋体" w:hAnsi="宋体" w:cs="宋体"/>
          <w:b/>
          <w:color w:val="auto"/>
          <w:sz w:val="72"/>
          <w:szCs w:val="72"/>
          <w:highlight w:val="none"/>
        </w:rPr>
      </w:pPr>
    </w:p>
    <w:p>
      <w:pPr>
        <w:spacing w:line="360" w:lineRule="auto"/>
        <w:jc w:val="center"/>
        <w:rPr>
          <w:rFonts w:ascii="宋体" w:hAnsi="宋体" w:cs="宋体"/>
          <w:b/>
          <w:color w:val="auto"/>
          <w:sz w:val="72"/>
          <w:szCs w:val="72"/>
          <w:highlight w:val="none"/>
        </w:rPr>
      </w:pPr>
    </w:p>
    <w:p>
      <w:pPr>
        <w:pStyle w:val="2"/>
      </w:pPr>
    </w:p>
    <w:p>
      <w:pPr>
        <w:spacing w:line="360" w:lineRule="auto"/>
        <w:jc w:val="center"/>
        <w:rPr>
          <w:rFonts w:ascii="宋体" w:hAnsi="宋体" w:cs="宋体"/>
          <w:b/>
          <w:color w:val="auto"/>
          <w:sz w:val="56"/>
          <w:szCs w:val="56"/>
          <w:highlight w:val="none"/>
        </w:rPr>
      </w:pPr>
      <w:r>
        <w:rPr>
          <w:rFonts w:hint="eastAsia" w:ascii="宋体" w:hAnsi="宋体" w:cs="宋体"/>
          <w:b/>
          <w:color w:val="auto"/>
          <w:sz w:val="56"/>
          <w:szCs w:val="56"/>
          <w:highlight w:val="none"/>
        </w:rPr>
        <w:t>招标文件</w:t>
      </w:r>
    </w:p>
    <w:p>
      <w:pPr>
        <w:spacing w:line="360" w:lineRule="auto"/>
        <w:jc w:val="center"/>
        <w:rPr>
          <w:rFonts w:ascii="宋体" w:hAnsi="宋体" w:cs="宋体"/>
          <w:b/>
          <w:color w:val="auto"/>
          <w:sz w:val="24"/>
          <w:highlight w:val="none"/>
        </w:rPr>
      </w:pPr>
    </w:p>
    <w:p>
      <w:pPr>
        <w:pStyle w:val="2"/>
        <w:rPr>
          <w:color w:val="auto"/>
          <w:highlight w:val="none"/>
        </w:rPr>
      </w:pPr>
    </w:p>
    <w:p>
      <w:pPr>
        <w:pStyle w:val="3"/>
      </w:pPr>
    </w:p>
    <w:p>
      <w:pPr>
        <w:pStyle w:val="3"/>
      </w:pPr>
    </w:p>
    <w:p>
      <w:pPr>
        <w:spacing w:line="360" w:lineRule="auto"/>
        <w:jc w:val="center"/>
        <w:rPr>
          <w:rFonts w:ascii="宋体" w:hAnsi="宋体" w:cs="宋体"/>
          <w:b/>
          <w:color w:val="auto"/>
          <w:sz w:val="24"/>
          <w:highlight w:val="none"/>
        </w:rPr>
      </w:pPr>
    </w:p>
    <w:p>
      <w:pPr>
        <w:snapToGrid w:val="0"/>
        <w:spacing w:line="360" w:lineRule="auto"/>
        <w:ind w:firstLine="2301" w:firstLineChars="767"/>
        <w:jc w:val="left"/>
        <w:rPr>
          <w:rFonts w:hint="eastAsia" w:ascii="宋体" w:hAnsi="宋体" w:eastAsia="宋体" w:cs="宋体"/>
          <w:color w:val="auto"/>
          <w:sz w:val="30"/>
          <w:szCs w:val="30"/>
          <w:highlight w:val="none"/>
          <w:u w:val="single"/>
          <w:lang w:eastAsia="zh-CN"/>
        </w:rPr>
      </w:pPr>
      <w:r>
        <w:rPr>
          <w:rFonts w:hint="eastAsia" w:ascii="宋体" w:hAnsi="宋体" w:cs="宋体"/>
          <w:color w:val="auto"/>
          <w:sz w:val="30"/>
          <w:szCs w:val="30"/>
          <w:highlight w:val="none"/>
        </w:rPr>
        <w:t>招标编号：</w:t>
      </w:r>
      <w:r>
        <w:rPr>
          <w:rFonts w:hint="eastAsia" w:ascii="宋体" w:hAnsi="宋体" w:cs="宋体"/>
          <w:color w:val="auto"/>
          <w:sz w:val="30"/>
          <w:szCs w:val="30"/>
          <w:highlight w:val="none"/>
          <w:u w:val="single"/>
          <w:lang w:eastAsia="zh-CN"/>
        </w:rPr>
        <w:t>YK2023212</w:t>
      </w:r>
    </w:p>
    <w:p>
      <w:pPr>
        <w:snapToGrid w:val="0"/>
        <w:spacing w:line="360" w:lineRule="auto"/>
        <w:ind w:firstLine="2301" w:firstLineChars="767"/>
        <w:jc w:val="left"/>
        <w:rPr>
          <w:rFonts w:ascii="宋体" w:hAnsi="宋体" w:cs="宋体"/>
          <w:color w:val="auto"/>
          <w:sz w:val="30"/>
          <w:szCs w:val="30"/>
          <w:highlight w:val="none"/>
        </w:rPr>
      </w:pPr>
      <w:r>
        <w:rPr>
          <w:rFonts w:hint="eastAsia" w:ascii="宋体" w:hAnsi="宋体" w:cs="宋体"/>
          <w:color w:val="auto"/>
          <w:sz w:val="30"/>
          <w:szCs w:val="30"/>
          <w:highlight w:val="none"/>
        </w:rPr>
        <w:t>采购方式：公开招标</w:t>
      </w:r>
    </w:p>
    <w:p>
      <w:pPr>
        <w:spacing w:line="360" w:lineRule="auto"/>
        <w:rPr>
          <w:rFonts w:ascii="宋体" w:hAnsi="宋体" w:cs="宋体"/>
          <w:color w:val="auto"/>
          <w:sz w:val="28"/>
          <w:szCs w:val="20"/>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napToGrid w:val="0"/>
        <w:spacing w:line="360" w:lineRule="auto"/>
        <w:jc w:val="center"/>
        <w:rPr>
          <w:rFonts w:hint="eastAsia" w:ascii="宋体" w:hAnsi="宋体" w:eastAsia="宋体" w:cs="宋体"/>
          <w:color w:val="auto"/>
          <w:highlight w:val="none"/>
          <w:u w:val="single"/>
          <w:lang w:eastAsia="zh-CN"/>
        </w:rPr>
      </w:pPr>
      <w:r>
        <w:rPr>
          <w:rFonts w:hint="eastAsia" w:ascii="宋体" w:hAnsi="宋体" w:cs="宋体"/>
          <w:color w:val="auto"/>
          <w:sz w:val="30"/>
          <w:highlight w:val="none"/>
        </w:rPr>
        <w:t xml:space="preserve">  采购人：</w:t>
      </w:r>
      <w:r>
        <w:rPr>
          <w:rFonts w:hint="eastAsia" w:ascii="宋体" w:hAnsi="宋体" w:cs="宋体"/>
          <w:color w:val="auto"/>
          <w:sz w:val="30"/>
          <w:highlight w:val="none"/>
          <w:lang w:eastAsia="zh-CN"/>
        </w:rPr>
        <w:t>绍兴市上虞区特色小镇投资建设有限公司</w:t>
      </w:r>
    </w:p>
    <w:p>
      <w:pPr>
        <w:snapToGrid w:val="0"/>
        <w:spacing w:line="360" w:lineRule="auto"/>
        <w:jc w:val="center"/>
        <w:rPr>
          <w:rFonts w:ascii="宋体" w:hAnsi="宋体" w:cs="宋体"/>
          <w:bCs/>
          <w:color w:val="auto"/>
          <w:sz w:val="32"/>
          <w:szCs w:val="32"/>
          <w:highlight w:val="none"/>
        </w:rPr>
      </w:pPr>
      <w:r>
        <w:rPr>
          <w:rFonts w:hint="eastAsia" w:ascii="宋体" w:hAnsi="宋体" w:cs="宋体"/>
          <w:color w:val="auto"/>
          <w:sz w:val="30"/>
          <w:highlight w:val="none"/>
        </w:rPr>
        <w:t xml:space="preserve">   采购代理机构：浙江宇康工程管理咨询有限公司</w:t>
      </w:r>
    </w:p>
    <w:p>
      <w:pPr>
        <w:spacing w:line="360" w:lineRule="auto"/>
        <w:jc w:val="center"/>
        <w:rPr>
          <w:rFonts w:ascii="宋体" w:hAnsi="宋体" w:cs="宋体"/>
          <w:color w:val="auto"/>
          <w:sz w:val="24"/>
          <w:highlight w:val="none"/>
        </w:rPr>
        <w:sectPr>
          <w:headerReference r:id="rId3" w:type="default"/>
          <w:footerReference r:id="rId4" w:type="default"/>
          <w:pgSz w:w="11906" w:h="16838"/>
          <w:pgMar w:top="1440" w:right="1800" w:bottom="1440" w:left="1800" w:header="851" w:footer="992" w:gutter="0"/>
          <w:cols w:space="720" w:num="1"/>
          <w:docGrid w:type="lines" w:linePitch="312" w:charSpace="0"/>
        </w:sectPr>
      </w:pPr>
      <w:bookmarkStart w:id="0" w:name="_Hlt67893495"/>
      <w:bookmarkEnd w:id="0"/>
    </w:p>
    <w:p>
      <w:pPr>
        <w:pStyle w:val="2"/>
        <w:rPr>
          <w:color w:val="auto"/>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pStyle w:val="18"/>
        <w:tabs>
          <w:tab w:val="right" w:leader="dot" w:pos="8306"/>
        </w:tabs>
        <w:spacing w:line="360" w:lineRule="auto"/>
        <w:rPr>
          <w:sz w:val="24"/>
          <w:szCs w:val="32"/>
        </w:rPr>
      </w:pPr>
      <w:bookmarkStart w:id="1" w:name="_Hlt91233176"/>
      <w:bookmarkEnd w:id="1"/>
      <w:bookmarkStart w:id="2" w:name="_Toc91899869"/>
      <w:r>
        <w:rPr>
          <w:rFonts w:hint="eastAsia" w:ascii="宋体" w:hAnsi="宋体" w:cs="宋体"/>
          <w:b/>
          <w:snapToGrid w:val="0"/>
          <w:color w:val="auto"/>
          <w:kern w:val="0"/>
          <w:sz w:val="72"/>
          <w:szCs w:val="72"/>
          <w:highlight w:val="none"/>
        </w:rPr>
        <w:fldChar w:fldCharType="begin"/>
      </w:r>
      <w:r>
        <w:rPr>
          <w:rFonts w:hint="eastAsia" w:ascii="宋体" w:hAnsi="宋体" w:cs="宋体"/>
          <w:b/>
          <w:snapToGrid w:val="0"/>
          <w:color w:val="auto"/>
          <w:kern w:val="0"/>
          <w:sz w:val="72"/>
          <w:szCs w:val="72"/>
          <w:highlight w:val="none"/>
        </w:rPr>
        <w:instrText xml:space="preserve"> TOC \o "1-1" \h \z \u </w:instrText>
      </w:r>
      <w:r>
        <w:rPr>
          <w:rFonts w:hint="eastAsia" w:ascii="宋体" w:hAnsi="宋体" w:cs="宋体"/>
          <w:b/>
          <w:snapToGrid w:val="0"/>
          <w:color w:val="auto"/>
          <w:kern w:val="0"/>
          <w:sz w:val="72"/>
          <w:szCs w:val="72"/>
          <w:highlight w:val="none"/>
        </w:rPr>
        <w:fldChar w:fldCharType="separate"/>
      </w:r>
      <w:r>
        <w:rPr>
          <w:rFonts w:hint="eastAsia" w:ascii="宋体" w:hAnsi="宋体" w:cs="宋体"/>
          <w:snapToGrid w:val="0"/>
          <w:color w:val="auto"/>
          <w:kern w:val="0"/>
          <w:sz w:val="24"/>
          <w:szCs w:val="96"/>
          <w:highlight w:val="none"/>
        </w:rPr>
        <w:fldChar w:fldCharType="begin"/>
      </w:r>
      <w:r>
        <w:rPr>
          <w:rFonts w:hint="eastAsia" w:ascii="宋体" w:hAnsi="宋体" w:cs="宋体"/>
          <w:snapToGrid w:val="0"/>
          <w:kern w:val="0"/>
          <w:sz w:val="24"/>
          <w:szCs w:val="96"/>
          <w:highlight w:val="none"/>
        </w:rPr>
        <w:instrText xml:space="preserve"> HYPERLINK \l _Toc5161 </w:instrText>
      </w:r>
      <w:r>
        <w:rPr>
          <w:rFonts w:hint="eastAsia" w:ascii="宋体" w:hAnsi="宋体" w:cs="宋体"/>
          <w:snapToGrid w:val="0"/>
          <w:kern w:val="0"/>
          <w:sz w:val="24"/>
          <w:szCs w:val="96"/>
          <w:highlight w:val="none"/>
        </w:rPr>
        <w:fldChar w:fldCharType="separate"/>
      </w:r>
      <w:r>
        <w:rPr>
          <w:rFonts w:hint="eastAsia" w:ascii="宋体" w:hAnsi="宋体" w:cs="宋体"/>
          <w:sz w:val="24"/>
          <w:szCs w:val="22"/>
          <w:highlight w:val="none"/>
        </w:rPr>
        <w:t>第一部分 招标公告</w:t>
      </w:r>
      <w:r>
        <w:rPr>
          <w:sz w:val="24"/>
          <w:szCs w:val="32"/>
        </w:rPr>
        <w:tab/>
      </w:r>
      <w:r>
        <w:rPr>
          <w:sz w:val="24"/>
          <w:szCs w:val="32"/>
        </w:rPr>
        <w:fldChar w:fldCharType="begin"/>
      </w:r>
      <w:r>
        <w:rPr>
          <w:sz w:val="24"/>
          <w:szCs w:val="32"/>
        </w:rPr>
        <w:instrText xml:space="preserve"> PAGEREF _Toc5161 \h </w:instrText>
      </w:r>
      <w:r>
        <w:rPr>
          <w:sz w:val="24"/>
          <w:szCs w:val="32"/>
        </w:rPr>
        <w:fldChar w:fldCharType="separate"/>
      </w:r>
      <w:r>
        <w:rPr>
          <w:sz w:val="24"/>
          <w:szCs w:val="32"/>
        </w:rPr>
        <w:t>2</w:t>
      </w:r>
      <w:r>
        <w:rPr>
          <w:sz w:val="24"/>
          <w:szCs w:val="32"/>
        </w:rPr>
        <w:fldChar w:fldCharType="end"/>
      </w:r>
      <w:r>
        <w:rPr>
          <w:rFonts w:hint="eastAsia" w:ascii="宋体" w:hAnsi="宋体" w:cs="宋体"/>
          <w:snapToGrid w:val="0"/>
          <w:color w:val="auto"/>
          <w:kern w:val="0"/>
          <w:sz w:val="24"/>
          <w:szCs w:val="96"/>
          <w:highlight w:val="none"/>
        </w:rPr>
        <w:fldChar w:fldCharType="end"/>
      </w:r>
    </w:p>
    <w:p>
      <w:pPr>
        <w:pStyle w:val="18"/>
        <w:tabs>
          <w:tab w:val="right" w:leader="dot" w:pos="8306"/>
        </w:tabs>
        <w:spacing w:line="360" w:lineRule="auto"/>
        <w:rPr>
          <w:sz w:val="24"/>
          <w:szCs w:val="32"/>
        </w:rPr>
      </w:pPr>
      <w:r>
        <w:rPr>
          <w:rFonts w:hint="eastAsia" w:ascii="宋体" w:hAnsi="宋体" w:cs="宋体"/>
          <w:snapToGrid w:val="0"/>
          <w:color w:val="auto"/>
          <w:kern w:val="0"/>
          <w:sz w:val="24"/>
          <w:szCs w:val="96"/>
          <w:highlight w:val="none"/>
        </w:rPr>
        <w:fldChar w:fldCharType="begin"/>
      </w:r>
      <w:r>
        <w:rPr>
          <w:rFonts w:hint="eastAsia" w:ascii="宋体" w:hAnsi="宋体" w:cs="宋体"/>
          <w:snapToGrid w:val="0"/>
          <w:kern w:val="0"/>
          <w:sz w:val="24"/>
          <w:szCs w:val="96"/>
          <w:highlight w:val="none"/>
        </w:rPr>
        <w:instrText xml:space="preserve"> HYPERLINK \l _Toc26848 </w:instrText>
      </w:r>
      <w:r>
        <w:rPr>
          <w:rFonts w:hint="eastAsia" w:ascii="宋体" w:hAnsi="宋体" w:cs="宋体"/>
          <w:snapToGrid w:val="0"/>
          <w:kern w:val="0"/>
          <w:sz w:val="24"/>
          <w:szCs w:val="96"/>
          <w:highlight w:val="none"/>
        </w:rPr>
        <w:fldChar w:fldCharType="separate"/>
      </w:r>
      <w:r>
        <w:rPr>
          <w:rFonts w:hint="eastAsia" w:ascii="宋体" w:hAnsi="宋体" w:cs="宋体"/>
          <w:sz w:val="24"/>
          <w:szCs w:val="22"/>
          <w:highlight w:val="none"/>
        </w:rPr>
        <w:t>第二部分投标须知</w:t>
      </w:r>
      <w:r>
        <w:rPr>
          <w:sz w:val="24"/>
          <w:szCs w:val="32"/>
        </w:rPr>
        <w:tab/>
      </w:r>
      <w:r>
        <w:rPr>
          <w:sz w:val="24"/>
          <w:szCs w:val="32"/>
        </w:rPr>
        <w:fldChar w:fldCharType="begin"/>
      </w:r>
      <w:r>
        <w:rPr>
          <w:sz w:val="24"/>
          <w:szCs w:val="32"/>
        </w:rPr>
        <w:instrText xml:space="preserve"> PAGEREF _Toc26848 \h </w:instrText>
      </w:r>
      <w:r>
        <w:rPr>
          <w:sz w:val="24"/>
          <w:szCs w:val="32"/>
        </w:rPr>
        <w:fldChar w:fldCharType="separate"/>
      </w:r>
      <w:r>
        <w:rPr>
          <w:sz w:val="24"/>
          <w:szCs w:val="32"/>
        </w:rPr>
        <w:t>6</w:t>
      </w:r>
      <w:r>
        <w:rPr>
          <w:sz w:val="24"/>
          <w:szCs w:val="32"/>
        </w:rPr>
        <w:fldChar w:fldCharType="end"/>
      </w:r>
      <w:r>
        <w:rPr>
          <w:rFonts w:hint="eastAsia" w:ascii="宋体" w:hAnsi="宋体" w:cs="宋体"/>
          <w:snapToGrid w:val="0"/>
          <w:color w:val="auto"/>
          <w:kern w:val="0"/>
          <w:sz w:val="24"/>
          <w:szCs w:val="96"/>
          <w:highlight w:val="none"/>
        </w:rPr>
        <w:fldChar w:fldCharType="end"/>
      </w:r>
    </w:p>
    <w:p>
      <w:pPr>
        <w:pStyle w:val="18"/>
        <w:tabs>
          <w:tab w:val="right" w:leader="dot" w:pos="8306"/>
        </w:tabs>
        <w:spacing w:line="360" w:lineRule="auto"/>
        <w:rPr>
          <w:sz w:val="24"/>
          <w:szCs w:val="32"/>
        </w:rPr>
      </w:pPr>
      <w:r>
        <w:rPr>
          <w:rFonts w:hint="eastAsia" w:ascii="宋体" w:hAnsi="宋体" w:cs="宋体"/>
          <w:snapToGrid w:val="0"/>
          <w:color w:val="auto"/>
          <w:kern w:val="0"/>
          <w:sz w:val="24"/>
          <w:szCs w:val="96"/>
          <w:highlight w:val="none"/>
        </w:rPr>
        <w:fldChar w:fldCharType="begin"/>
      </w:r>
      <w:r>
        <w:rPr>
          <w:rFonts w:hint="eastAsia" w:ascii="宋体" w:hAnsi="宋体" w:cs="宋体"/>
          <w:snapToGrid w:val="0"/>
          <w:kern w:val="0"/>
          <w:sz w:val="24"/>
          <w:szCs w:val="96"/>
          <w:highlight w:val="none"/>
        </w:rPr>
        <w:instrText xml:space="preserve"> HYPERLINK \l _Toc8880 </w:instrText>
      </w:r>
      <w:r>
        <w:rPr>
          <w:rFonts w:hint="eastAsia" w:ascii="宋体" w:hAnsi="宋体" w:cs="宋体"/>
          <w:snapToGrid w:val="0"/>
          <w:kern w:val="0"/>
          <w:sz w:val="24"/>
          <w:szCs w:val="96"/>
          <w:highlight w:val="none"/>
        </w:rPr>
        <w:fldChar w:fldCharType="separate"/>
      </w:r>
      <w:r>
        <w:rPr>
          <w:rFonts w:hint="eastAsia" w:ascii="宋体" w:hAnsi="宋体" w:cs="宋体"/>
          <w:sz w:val="24"/>
          <w:szCs w:val="32"/>
          <w:highlight w:val="none"/>
        </w:rPr>
        <w:t>一、总则</w:t>
      </w:r>
      <w:r>
        <w:rPr>
          <w:sz w:val="24"/>
          <w:szCs w:val="32"/>
        </w:rPr>
        <w:tab/>
      </w:r>
      <w:r>
        <w:rPr>
          <w:sz w:val="24"/>
          <w:szCs w:val="32"/>
        </w:rPr>
        <w:fldChar w:fldCharType="begin"/>
      </w:r>
      <w:r>
        <w:rPr>
          <w:sz w:val="24"/>
          <w:szCs w:val="32"/>
        </w:rPr>
        <w:instrText xml:space="preserve"> PAGEREF _Toc8880 \h </w:instrText>
      </w:r>
      <w:r>
        <w:rPr>
          <w:sz w:val="24"/>
          <w:szCs w:val="32"/>
        </w:rPr>
        <w:fldChar w:fldCharType="separate"/>
      </w:r>
      <w:r>
        <w:rPr>
          <w:sz w:val="24"/>
          <w:szCs w:val="32"/>
        </w:rPr>
        <w:t>9</w:t>
      </w:r>
      <w:r>
        <w:rPr>
          <w:sz w:val="24"/>
          <w:szCs w:val="32"/>
        </w:rPr>
        <w:fldChar w:fldCharType="end"/>
      </w:r>
      <w:r>
        <w:rPr>
          <w:rFonts w:hint="eastAsia" w:ascii="宋体" w:hAnsi="宋体" w:cs="宋体"/>
          <w:snapToGrid w:val="0"/>
          <w:color w:val="auto"/>
          <w:kern w:val="0"/>
          <w:sz w:val="24"/>
          <w:szCs w:val="96"/>
          <w:highlight w:val="none"/>
        </w:rPr>
        <w:fldChar w:fldCharType="end"/>
      </w:r>
    </w:p>
    <w:p>
      <w:pPr>
        <w:pStyle w:val="18"/>
        <w:tabs>
          <w:tab w:val="right" w:leader="dot" w:pos="8306"/>
        </w:tabs>
        <w:spacing w:line="360" w:lineRule="auto"/>
        <w:rPr>
          <w:sz w:val="24"/>
          <w:szCs w:val="32"/>
        </w:rPr>
      </w:pPr>
      <w:r>
        <w:rPr>
          <w:rFonts w:hint="eastAsia" w:ascii="宋体" w:hAnsi="宋体" w:cs="宋体"/>
          <w:snapToGrid w:val="0"/>
          <w:color w:val="auto"/>
          <w:kern w:val="0"/>
          <w:sz w:val="24"/>
          <w:szCs w:val="96"/>
          <w:highlight w:val="none"/>
        </w:rPr>
        <w:fldChar w:fldCharType="begin"/>
      </w:r>
      <w:r>
        <w:rPr>
          <w:rFonts w:hint="eastAsia" w:ascii="宋体" w:hAnsi="宋体" w:cs="宋体"/>
          <w:snapToGrid w:val="0"/>
          <w:kern w:val="0"/>
          <w:sz w:val="24"/>
          <w:szCs w:val="96"/>
          <w:highlight w:val="none"/>
        </w:rPr>
        <w:instrText xml:space="preserve"> HYPERLINK \l _Toc32274 </w:instrText>
      </w:r>
      <w:r>
        <w:rPr>
          <w:rFonts w:hint="eastAsia" w:ascii="宋体" w:hAnsi="宋体" w:cs="宋体"/>
          <w:snapToGrid w:val="0"/>
          <w:kern w:val="0"/>
          <w:sz w:val="24"/>
          <w:szCs w:val="96"/>
          <w:highlight w:val="none"/>
        </w:rPr>
        <w:fldChar w:fldCharType="separate"/>
      </w:r>
      <w:r>
        <w:rPr>
          <w:rFonts w:hint="eastAsia" w:ascii="宋体" w:hAnsi="宋体" w:cs="宋体"/>
          <w:sz w:val="24"/>
          <w:szCs w:val="32"/>
          <w:highlight w:val="none"/>
        </w:rPr>
        <w:t>二、招标文件</w:t>
      </w:r>
      <w:r>
        <w:rPr>
          <w:sz w:val="24"/>
          <w:szCs w:val="32"/>
        </w:rPr>
        <w:tab/>
      </w:r>
      <w:r>
        <w:rPr>
          <w:sz w:val="24"/>
          <w:szCs w:val="32"/>
        </w:rPr>
        <w:fldChar w:fldCharType="begin"/>
      </w:r>
      <w:r>
        <w:rPr>
          <w:sz w:val="24"/>
          <w:szCs w:val="32"/>
        </w:rPr>
        <w:instrText xml:space="preserve"> PAGEREF _Toc32274 \h </w:instrText>
      </w:r>
      <w:r>
        <w:rPr>
          <w:sz w:val="24"/>
          <w:szCs w:val="32"/>
        </w:rPr>
        <w:fldChar w:fldCharType="separate"/>
      </w:r>
      <w:r>
        <w:rPr>
          <w:sz w:val="24"/>
          <w:szCs w:val="32"/>
        </w:rPr>
        <w:t>9</w:t>
      </w:r>
      <w:r>
        <w:rPr>
          <w:sz w:val="24"/>
          <w:szCs w:val="32"/>
        </w:rPr>
        <w:fldChar w:fldCharType="end"/>
      </w:r>
      <w:r>
        <w:rPr>
          <w:rFonts w:hint="eastAsia" w:ascii="宋体" w:hAnsi="宋体" w:cs="宋体"/>
          <w:snapToGrid w:val="0"/>
          <w:color w:val="auto"/>
          <w:kern w:val="0"/>
          <w:sz w:val="24"/>
          <w:szCs w:val="96"/>
          <w:highlight w:val="none"/>
        </w:rPr>
        <w:fldChar w:fldCharType="end"/>
      </w:r>
    </w:p>
    <w:p>
      <w:pPr>
        <w:pStyle w:val="18"/>
        <w:tabs>
          <w:tab w:val="right" w:leader="dot" w:pos="8306"/>
        </w:tabs>
        <w:spacing w:line="360" w:lineRule="auto"/>
        <w:rPr>
          <w:sz w:val="24"/>
          <w:szCs w:val="32"/>
        </w:rPr>
      </w:pPr>
      <w:r>
        <w:rPr>
          <w:rFonts w:hint="eastAsia" w:ascii="宋体" w:hAnsi="宋体" w:cs="宋体"/>
          <w:snapToGrid w:val="0"/>
          <w:color w:val="auto"/>
          <w:kern w:val="0"/>
          <w:sz w:val="24"/>
          <w:szCs w:val="96"/>
          <w:highlight w:val="none"/>
        </w:rPr>
        <w:fldChar w:fldCharType="begin"/>
      </w:r>
      <w:r>
        <w:rPr>
          <w:rFonts w:hint="eastAsia" w:ascii="宋体" w:hAnsi="宋体" w:cs="宋体"/>
          <w:snapToGrid w:val="0"/>
          <w:kern w:val="0"/>
          <w:sz w:val="24"/>
          <w:szCs w:val="96"/>
          <w:highlight w:val="none"/>
        </w:rPr>
        <w:instrText xml:space="preserve"> HYPERLINK \l _Toc32612 </w:instrText>
      </w:r>
      <w:r>
        <w:rPr>
          <w:rFonts w:hint="eastAsia" w:ascii="宋体" w:hAnsi="宋体" w:cs="宋体"/>
          <w:snapToGrid w:val="0"/>
          <w:kern w:val="0"/>
          <w:sz w:val="24"/>
          <w:szCs w:val="96"/>
          <w:highlight w:val="none"/>
        </w:rPr>
        <w:fldChar w:fldCharType="separate"/>
      </w:r>
      <w:r>
        <w:rPr>
          <w:rFonts w:hint="eastAsia" w:ascii="宋体" w:hAnsi="宋体" w:cs="宋体"/>
          <w:sz w:val="24"/>
          <w:szCs w:val="32"/>
          <w:highlight w:val="none"/>
        </w:rPr>
        <w:t>三、投标文件的编制</w:t>
      </w:r>
      <w:r>
        <w:rPr>
          <w:sz w:val="24"/>
          <w:szCs w:val="32"/>
        </w:rPr>
        <w:tab/>
      </w:r>
      <w:r>
        <w:rPr>
          <w:sz w:val="24"/>
          <w:szCs w:val="32"/>
        </w:rPr>
        <w:fldChar w:fldCharType="begin"/>
      </w:r>
      <w:r>
        <w:rPr>
          <w:sz w:val="24"/>
          <w:szCs w:val="32"/>
        </w:rPr>
        <w:instrText xml:space="preserve"> PAGEREF _Toc32612 \h </w:instrText>
      </w:r>
      <w:r>
        <w:rPr>
          <w:sz w:val="24"/>
          <w:szCs w:val="32"/>
        </w:rPr>
        <w:fldChar w:fldCharType="separate"/>
      </w:r>
      <w:r>
        <w:rPr>
          <w:sz w:val="24"/>
          <w:szCs w:val="32"/>
        </w:rPr>
        <w:t>11</w:t>
      </w:r>
      <w:r>
        <w:rPr>
          <w:sz w:val="24"/>
          <w:szCs w:val="32"/>
        </w:rPr>
        <w:fldChar w:fldCharType="end"/>
      </w:r>
      <w:r>
        <w:rPr>
          <w:rFonts w:hint="eastAsia" w:ascii="宋体" w:hAnsi="宋体" w:cs="宋体"/>
          <w:snapToGrid w:val="0"/>
          <w:color w:val="auto"/>
          <w:kern w:val="0"/>
          <w:sz w:val="24"/>
          <w:szCs w:val="96"/>
          <w:highlight w:val="none"/>
        </w:rPr>
        <w:fldChar w:fldCharType="end"/>
      </w:r>
    </w:p>
    <w:p>
      <w:pPr>
        <w:pStyle w:val="18"/>
        <w:tabs>
          <w:tab w:val="right" w:leader="dot" w:pos="8306"/>
        </w:tabs>
        <w:spacing w:line="360" w:lineRule="auto"/>
        <w:rPr>
          <w:sz w:val="24"/>
          <w:szCs w:val="32"/>
        </w:rPr>
      </w:pPr>
      <w:r>
        <w:rPr>
          <w:rFonts w:hint="eastAsia" w:ascii="宋体" w:hAnsi="宋体" w:cs="宋体"/>
          <w:snapToGrid w:val="0"/>
          <w:color w:val="auto"/>
          <w:kern w:val="0"/>
          <w:sz w:val="24"/>
          <w:szCs w:val="96"/>
          <w:highlight w:val="none"/>
        </w:rPr>
        <w:fldChar w:fldCharType="begin"/>
      </w:r>
      <w:r>
        <w:rPr>
          <w:rFonts w:hint="eastAsia" w:ascii="宋体" w:hAnsi="宋体" w:cs="宋体"/>
          <w:snapToGrid w:val="0"/>
          <w:kern w:val="0"/>
          <w:sz w:val="24"/>
          <w:szCs w:val="96"/>
          <w:highlight w:val="none"/>
        </w:rPr>
        <w:instrText xml:space="preserve"> HYPERLINK \l _Toc30520 </w:instrText>
      </w:r>
      <w:r>
        <w:rPr>
          <w:rFonts w:hint="eastAsia" w:ascii="宋体" w:hAnsi="宋体" w:cs="宋体"/>
          <w:snapToGrid w:val="0"/>
          <w:kern w:val="0"/>
          <w:sz w:val="24"/>
          <w:szCs w:val="96"/>
          <w:highlight w:val="none"/>
        </w:rPr>
        <w:fldChar w:fldCharType="separate"/>
      </w:r>
      <w:r>
        <w:rPr>
          <w:rFonts w:hint="eastAsia" w:ascii="宋体" w:hAnsi="宋体" w:cs="宋体"/>
          <w:sz w:val="24"/>
          <w:szCs w:val="32"/>
          <w:highlight w:val="none"/>
        </w:rPr>
        <w:t>四、投标文件的递交</w:t>
      </w:r>
      <w:r>
        <w:rPr>
          <w:sz w:val="24"/>
          <w:szCs w:val="32"/>
        </w:rPr>
        <w:tab/>
      </w:r>
      <w:r>
        <w:rPr>
          <w:sz w:val="24"/>
          <w:szCs w:val="32"/>
        </w:rPr>
        <w:fldChar w:fldCharType="begin"/>
      </w:r>
      <w:r>
        <w:rPr>
          <w:sz w:val="24"/>
          <w:szCs w:val="32"/>
        </w:rPr>
        <w:instrText xml:space="preserve"> PAGEREF _Toc30520 \h </w:instrText>
      </w:r>
      <w:r>
        <w:rPr>
          <w:sz w:val="24"/>
          <w:szCs w:val="32"/>
        </w:rPr>
        <w:fldChar w:fldCharType="separate"/>
      </w:r>
      <w:r>
        <w:rPr>
          <w:sz w:val="24"/>
          <w:szCs w:val="32"/>
        </w:rPr>
        <w:t>14</w:t>
      </w:r>
      <w:r>
        <w:rPr>
          <w:sz w:val="24"/>
          <w:szCs w:val="32"/>
        </w:rPr>
        <w:fldChar w:fldCharType="end"/>
      </w:r>
      <w:r>
        <w:rPr>
          <w:rFonts w:hint="eastAsia" w:ascii="宋体" w:hAnsi="宋体" w:cs="宋体"/>
          <w:snapToGrid w:val="0"/>
          <w:color w:val="auto"/>
          <w:kern w:val="0"/>
          <w:sz w:val="24"/>
          <w:szCs w:val="96"/>
          <w:highlight w:val="none"/>
        </w:rPr>
        <w:fldChar w:fldCharType="end"/>
      </w:r>
    </w:p>
    <w:p>
      <w:pPr>
        <w:pStyle w:val="18"/>
        <w:tabs>
          <w:tab w:val="right" w:leader="dot" w:pos="8306"/>
        </w:tabs>
        <w:spacing w:line="360" w:lineRule="auto"/>
        <w:rPr>
          <w:sz w:val="24"/>
          <w:szCs w:val="32"/>
        </w:rPr>
      </w:pPr>
      <w:r>
        <w:rPr>
          <w:rFonts w:hint="eastAsia" w:ascii="宋体" w:hAnsi="宋体" w:cs="宋体"/>
          <w:snapToGrid w:val="0"/>
          <w:color w:val="auto"/>
          <w:kern w:val="0"/>
          <w:sz w:val="24"/>
          <w:szCs w:val="96"/>
          <w:highlight w:val="none"/>
        </w:rPr>
        <w:fldChar w:fldCharType="begin"/>
      </w:r>
      <w:r>
        <w:rPr>
          <w:rFonts w:hint="eastAsia" w:ascii="宋体" w:hAnsi="宋体" w:cs="宋体"/>
          <w:snapToGrid w:val="0"/>
          <w:kern w:val="0"/>
          <w:sz w:val="24"/>
          <w:szCs w:val="96"/>
          <w:highlight w:val="none"/>
        </w:rPr>
        <w:instrText xml:space="preserve"> HYPERLINK \l _Toc14804 </w:instrText>
      </w:r>
      <w:r>
        <w:rPr>
          <w:rFonts w:hint="eastAsia" w:ascii="宋体" w:hAnsi="宋体" w:cs="宋体"/>
          <w:snapToGrid w:val="0"/>
          <w:kern w:val="0"/>
          <w:sz w:val="24"/>
          <w:szCs w:val="96"/>
          <w:highlight w:val="none"/>
        </w:rPr>
        <w:fldChar w:fldCharType="separate"/>
      </w:r>
      <w:r>
        <w:rPr>
          <w:rFonts w:hint="eastAsia" w:ascii="宋体" w:hAnsi="宋体" w:cs="宋体"/>
          <w:sz w:val="24"/>
          <w:szCs w:val="32"/>
          <w:highlight w:val="none"/>
        </w:rPr>
        <w:t>五、开标</w:t>
      </w:r>
      <w:r>
        <w:rPr>
          <w:sz w:val="24"/>
          <w:szCs w:val="32"/>
        </w:rPr>
        <w:tab/>
      </w:r>
      <w:bookmarkStart w:id="458" w:name="_GoBack"/>
      <w:bookmarkEnd w:id="458"/>
      <w:r>
        <w:rPr>
          <w:sz w:val="24"/>
          <w:szCs w:val="32"/>
        </w:rPr>
        <w:fldChar w:fldCharType="begin"/>
      </w:r>
      <w:r>
        <w:rPr>
          <w:sz w:val="24"/>
          <w:szCs w:val="32"/>
        </w:rPr>
        <w:instrText xml:space="preserve"> PAGEREF _Toc14804 \h </w:instrText>
      </w:r>
      <w:r>
        <w:rPr>
          <w:sz w:val="24"/>
          <w:szCs w:val="32"/>
        </w:rPr>
        <w:fldChar w:fldCharType="separate"/>
      </w:r>
      <w:r>
        <w:rPr>
          <w:sz w:val="24"/>
          <w:szCs w:val="32"/>
        </w:rPr>
        <w:t>15</w:t>
      </w:r>
      <w:r>
        <w:rPr>
          <w:sz w:val="24"/>
          <w:szCs w:val="32"/>
        </w:rPr>
        <w:fldChar w:fldCharType="end"/>
      </w:r>
      <w:r>
        <w:rPr>
          <w:rFonts w:hint="eastAsia" w:ascii="宋体" w:hAnsi="宋体" w:cs="宋体"/>
          <w:snapToGrid w:val="0"/>
          <w:color w:val="auto"/>
          <w:kern w:val="0"/>
          <w:sz w:val="24"/>
          <w:szCs w:val="96"/>
          <w:highlight w:val="none"/>
        </w:rPr>
        <w:fldChar w:fldCharType="end"/>
      </w:r>
    </w:p>
    <w:p>
      <w:pPr>
        <w:pStyle w:val="18"/>
        <w:tabs>
          <w:tab w:val="right" w:leader="dot" w:pos="8306"/>
        </w:tabs>
        <w:spacing w:line="360" w:lineRule="auto"/>
        <w:rPr>
          <w:sz w:val="24"/>
          <w:szCs w:val="32"/>
        </w:rPr>
      </w:pPr>
      <w:r>
        <w:rPr>
          <w:rFonts w:hint="eastAsia" w:ascii="宋体" w:hAnsi="宋体" w:cs="宋体"/>
          <w:snapToGrid w:val="0"/>
          <w:color w:val="auto"/>
          <w:kern w:val="0"/>
          <w:sz w:val="24"/>
          <w:szCs w:val="96"/>
          <w:highlight w:val="none"/>
        </w:rPr>
        <w:fldChar w:fldCharType="begin"/>
      </w:r>
      <w:r>
        <w:rPr>
          <w:rFonts w:hint="eastAsia" w:ascii="宋体" w:hAnsi="宋体" w:cs="宋体"/>
          <w:snapToGrid w:val="0"/>
          <w:kern w:val="0"/>
          <w:sz w:val="24"/>
          <w:szCs w:val="96"/>
          <w:highlight w:val="none"/>
        </w:rPr>
        <w:instrText xml:space="preserve"> HYPERLINK \l _Toc23405 </w:instrText>
      </w:r>
      <w:r>
        <w:rPr>
          <w:rFonts w:hint="eastAsia" w:ascii="宋体" w:hAnsi="宋体" w:cs="宋体"/>
          <w:snapToGrid w:val="0"/>
          <w:kern w:val="0"/>
          <w:sz w:val="24"/>
          <w:szCs w:val="96"/>
          <w:highlight w:val="none"/>
        </w:rPr>
        <w:fldChar w:fldCharType="separate"/>
      </w:r>
      <w:r>
        <w:rPr>
          <w:rFonts w:hint="eastAsia" w:ascii="宋体" w:hAnsi="宋体" w:cs="宋体"/>
          <w:sz w:val="24"/>
          <w:szCs w:val="32"/>
          <w:highlight w:val="none"/>
        </w:rPr>
        <w:t>六、资格审查</w:t>
      </w:r>
      <w:r>
        <w:rPr>
          <w:sz w:val="24"/>
          <w:szCs w:val="32"/>
        </w:rPr>
        <w:tab/>
      </w:r>
      <w:r>
        <w:rPr>
          <w:sz w:val="24"/>
          <w:szCs w:val="32"/>
        </w:rPr>
        <w:fldChar w:fldCharType="begin"/>
      </w:r>
      <w:r>
        <w:rPr>
          <w:sz w:val="24"/>
          <w:szCs w:val="32"/>
        </w:rPr>
        <w:instrText xml:space="preserve"> PAGEREF _Toc23405 \h </w:instrText>
      </w:r>
      <w:r>
        <w:rPr>
          <w:sz w:val="24"/>
          <w:szCs w:val="32"/>
        </w:rPr>
        <w:fldChar w:fldCharType="separate"/>
      </w:r>
      <w:r>
        <w:rPr>
          <w:sz w:val="24"/>
          <w:szCs w:val="32"/>
        </w:rPr>
        <w:t>16</w:t>
      </w:r>
      <w:r>
        <w:rPr>
          <w:sz w:val="24"/>
          <w:szCs w:val="32"/>
        </w:rPr>
        <w:fldChar w:fldCharType="end"/>
      </w:r>
      <w:r>
        <w:rPr>
          <w:rFonts w:hint="eastAsia" w:ascii="宋体" w:hAnsi="宋体" w:cs="宋体"/>
          <w:snapToGrid w:val="0"/>
          <w:color w:val="auto"/>
          <w:kern w:val="0"/>
          <w:sz w:val="24"/>
          <w:szCs w:val="96"/>
          <w:highlight w:val="none"/>
        </w:rPr>
        <w:fldChar w:fldCharType="end"/>
      </w:r>
    </w:p>
    <w:p>
      <w:pPr>
        <w:pStyle w:val="18"/>
        <w:tabs>
          <w:tab w:val="right" w:leader="dot" w:pos="8306"/>
        </w:tabs>
        <w:spacing w:line="360" w:lineRule="auto"/>
        <w:rPr>
          <w:sz w:val="24"/>
          <w:szCs w:val="32"/>
        </w:rPr>
      </w:pPr>
      <w:r>
        <w:rPr>
          <w:rFonts w:hint="eastAsia" w:ascii="宋体" w:hAnsi="宋体" w:cs="宋体"/>
          <w:snapToGrid w:val="0"/>
          <w:color w:val="auto"/>
          <w:kern w:val="0"/>
          <w:sz w:val="24"/>
          <w:szCs w:val="96"/>
          <w:highlight w:val="none"/>
        </w:rPr>
        <w:fldChar w:fldCharType="begin"/>
      </w:r>
      <w:r>
        <w:rPr>
          <w:rFonts w:hint="eastAsia" w:ascii="宋体" w:hAnsi="宋体" w:cs="宋体"/>
          <w:snapToGrid w:val="0"/>
          <w:kern w:val="0"/>
          <w:sz w:val="24"/>
          <w:szCs w:val="96"/>
          <w:highlight w:val="none"/>
        </w:rPr>
        <w:instrText xml:space="preserve"> HYPERLINK \l _Toc17225 </w:instrText>
      </w:r>
      <w:r>
        <w:rPr>
          <w:rFonts w:hint="eastAsia" w:ascii="宋体" w:hAnsi="宋体" w:cs="宋体"/>
          <w:snapToGrid w:val="0"/>
          <w:kern w:val="0"/>
          <w:sz w:val="24"/>
          <w:szCs w:val="96"/>
          <w:highlight w:val="none"/>
        </w:rPr>
        <w:fldChar w:fldCharType="separate"/>
      </w:r>
      <w:r>
        <w:rPr>
          <w:rFonts w:hint="eastAsia" w:ascii="宋体" w:hAnsi="宋体" w:cs="宋体"/>
          <w:sz w:val="24"/>
          <w:szCs w:val="32"/>
          <w:highlight w:val="none"/>
        </w:rPr>
        <w:t>七、评标</w:t>
      </w:r>
      <w:r>
        <w:rPr>
          <w:sz w:val="24"/>
          <w:szCs w:val="32"/>
        </w:rPr>
        <w:tab/>
      </w:r>
      <w:r>
        <w:rPr>
          <w:sz w:val="24"/>
          <w:szCs w:val="32"/>
        </w:rPr>
        <w:fldChar w:fldCharType="begin"/>
      </w:r>
      <w:r>
        <w:rPr>
          <w:sz w:val="24"/>
          <w:szCs w:val="32"/>
        </w:rPr>
        <w:instrText xml:space="preserve"> PAGEREF _Toc17225 \h </w:instrText>
      </w:r>
      <w:r>
        <w:rPr>
          <w:sz w:val="24"/>
          <w:szCs w:val="32"/>
        </w:rPr>
        <w:fldChar w:fldCharType="separate"/>
      </w:r>
      <w:r>
        <w:rPr>
          <w:sz w:val="24"/>
          <w:szCs w:val="32"/>
        </w:rPr>
        <w:t>16</w:t>
      </w:r>
      <w:r>
        <w:rPr>
          <w:sz w:val="24"/>
          <w:szCs w:val="32"/>
        </w:rPr>
        <w:fldChar w:fldCharType="end"/>
      </w:r>
      <w:r>
        <w:rPr>
          <w:rFonts w:hint="eastAsia" w:ascii="宋体" w:hAnsi="宋体" w:cs="宋体"/>
          <w:snapToGrid w:val="0"/>
          <w:color w:val="auto"/>
          <w:kern w:val="0"/>
          <w:sz w:val="24"/>
          <w:szCs w:val="96"/>
          <w:highlight w:val="none"/>
        </w:rPr>
        <w:fldChar w:fldCharType="end"/>
      </w:r>
    </w:p>
    <w:p>
      <w:pPr>
        <w:pStyle w:val="18"/>
        <w:tabs>
          <w:tab w:val="right" w:leader="dot" w:pos="8306"/>
        </w:tabs>
        <w:spacing w:line="360" w:lineRule="auto"/>
        <w:rPr>
          <w:sz w:val="24"/>
          <w:szCs w:val="32"/>
        </w:rPr>
      </w:pPr>
      <w:r>
        <w:rPr>
          <w:rFonts w:hint="eastAsia" w:ascii="宋体" w:hAnsi="宋体" w:cs="宋体"/>
          <w:snapToGrid w:val="0"/>
          <w:color w:val="auto"/>
          <w:kern w:val="0"/>
          <w:sz w:val="24"/>
          <w:szCs w:val="96"/>
          <w:highlight w:val="none"/>
        </w:rPr>
        <w:fldChar w:fldCharType="begin"/>
      </w:r>
      <w:r>
        <w:rPr>
          <w:rFonts w:hint="eastAsia" w:ascii="宋体" w:hAnsi="宋体" w:cs="宋体"/>
          <w:snapToGrid w:val="0"/>
          <w:kern w:val="0"/>
          <w:sz w:val="24"/>
          <w:szCs w:val="96"/>
          <w:highlight w:val="none"/>
        </w:rPr>
        <w:instrText xml:space="preserve"> HYPERLINK \l _Toc19181 </w:instrText>
      </w:r>
      <w:r>
        <w:rPr>
          <w:rFonts w:hint="eastAsia" w:ascii="宋体" w:hAnsi="宋体" w:cs="宋体"/>
          <w:snapToGrid w:val="0"/>
          <w:kern w:val="0"/>
          <w:sz w:val="24"/>
          <w:szCs w:val="96"/>
          <w:highlight w:val="none"/>
        </w:rPr>
        <w:fldChar w:fldCharType="separate"/>
      </w:r>
      <w:r>
        <w:rPr>
          <w:rFonts w:hint="eastAsia" w:ascii="宋体" w:hAnsi="宋体" w:cs="宋体"/>
          <w:sz w:val="24"/>
          <w:szCs w:val="32"/>
          <w:highlight w:val="none"/>
        </w:rPr>
        <w:t>八、定 标</w:t>
      </w:r>
      <w:r>
        <w:rPr>
          <w:sz w:val="24"/>
          <w:szCs w:val="32"/>
        </w:rPr>
        <w:tab/>
      </w:r>
      <w:r>
        <w:rPr>
          <w:sz w:val="24"/>
          <w:szCs w:val="32"/>
        </w:rPr>
        <w:fldChar w:fldCharType="begin"/>
      </w:r>
      <w:r>
        <w:rPr>
          <w:sz w:val="24"/>
          <w:szCs w:val="32"/>
        </w:rPr>
        <w:instrText xml:space="preserve"> PAGEREF _Toc19181 \h </w:instrText>
      </w:r>
      <w:r>
        <w:rPr>
          <w:sz w:val="24"/>
          <w:szCs w:val="32"/>
        </w:rPr>
        <w:fldChar w:fldCharType="separate"/>
      </w:r>
      <w:r>
        <w:rPr>
          <w:sz w:val="24"/>
          <w:szCs w:val="32"/>
        </w:rPr>
        <w:t>21</w:t>
      </w:r>
      <w:r>
        <w:rPr>
          <w:sz w:val="24"/>
          <w:szCs w:val="32"/>
        </w:rPr>
        <w:fldChar w:fldCharType="end"/>
      </w:r>
      <w:r>
        <w:rPr>
          <w:rFonts w:hint="eastAsia" w:ascii="宋体" w:hAnsi="宋体" w:cs="宋体"/>
          <w:snapToGrid w:val="0"/>
          <w:color w:val="auto"/>
          <w:kern w:val="0"/>
          <w:sz w:val="24"/>
          <w:szCs w:val="96"/>
          <w:highlight w:val="none"/>
        </w:rPr>
        <w:fldChar w:fldCharType="end"/>
      </w:r>
    </w:p>
    <w:p>
      <w:pPr>
        <w:pStyle w:val="18"/>
        <w:tabs>
          <w:tab w:val="right" w:leader="dot" w:pos="8306"/>
        </w:tabs>
        <w:spacing w:line="360" w:lineRule="auto"/>
        <w:rPr>
          <w:sz w:val="24"/>
          <w:szCs w:val="32"/>
        </w:rPr>
      </w:pPr>
      <w:r>
        <w:rPr>
          <w:rFonts w:hint="eastAsia" w:ascii="宋体" w:hAnsi="宋体" w:cs="宋体"/>
          <w:snapToGrid w:val="0"/>
          <w:color w:val="auto"/>
          <w:kern w:val="0"/>
          <w:sz w:val="24"/>
          <w:szCs w:val="96"/>
          <w:highlight w:val="none"/>
        </w:rPr>
        <w:fldChar w:fldCharType="begin"/>
      </w:r>
      <w:r>
        <w:rPr>
          <w:rFonts w:hint="eastAsia" w:ascii="宋体" w:hAnsi="宋体" w:cs="宋体"/>
          <w:snapToGrid w:val="0"/>
          <w:kern w:val="0"/>
          <w:sz w:val="24"/>
          <w:szCs w:val="96"/>
          <w:highlight w:val="none"/>
        </w:rPr>
        <w:instrText xml:space="preserve"> HYPERLINK \l _Toc18117 </w:instrText>
      </w:r>
      <w:r>
        <w:rPr>
          <w:rFonts w:hint="eastAsia" w:ascii="宋体" w:hAnsi="宋体" w:cs="宋体"/>
          <w:snapToGrid w:val="0"/>
          <w:kern w:val="0"/>
          <w:sz w:val="24"/>
          <w:szCs w:val="96"/>
          <w:highlight w:val="none"/>
        </w:rPr>
        <w:fldChar w:fldCharType="separate"/>
      </w:r>
      <w:r>
        <w:rPr>
          <w:rFonts w:hint="eastAsia" w:ascii="宋体" w:hAnsi="宋体" w:cs="宋体"/>
          <w:sz w:val="24"/>
          <w:szCs w:val="32"/>
          <w:highlight w:val="none"/>
        </w:rPr>
        <w:t>九、合同签订及其他</w:t>
      </w:r>
      <w:r>
        <w:rPr>
          <w:sz w:val="24"/>
          <w:szCs w:val="32"/>
        </w:rPr>
        <w:tab/>
      </w:r>
      <w:r>
        <w:rPr>
          <w:sz w:val="24"/>
          <w:szCs w:val="32"/>
        </w:rPr>
        <w:fldChar w:fldCharType="begin"/>
      </w:r>
      <w:r>
        <w:rPr>
          <w:sz w:val="24"/>
          <w:szCs w:val="32"/>
        </w:rPr>
        <w:instrText xml:space="preserve"> PAGEREF _Toc18117 \h </w:instrText>
      </w:r>
      <w:r>
        <w:rPr>
          <w:sz w:val="24"/>
          <w:szCs w:val="32"/>
        </w:rPr>
        <w:fldChar w:fldCharType="separate"/>
      </w:r>
      <w:r>
        <w:rPr>
          <w:sz w:val="24"/>
          <w:szCs w:val="32"/>
        </w:rPr>
        <w:t>21</w:t>
      </w:r>
      <w:r>
        <w:rPr>
          <w:sz w:val="24"/>
          <w:szCs w:val="32"/>
        </w:rPr>
        <w:fldChar w:fldCharType="end"/>
      </w:r>
      <w:r>
        <w:rPr>
          <w:rFonts w:hint="eastAsia" w:ascii="宋体" w:hAnsi="宋体" w:cs="宋体"/>
          <w:snapToGrid w:val="0"/>
          <w:color w:val="auto"/>
          <w:kern w:val="0"/>
          <w:sz w:val="24"/>
          <w:szCs w:val="96"/>
          <w:highlight w:val="none"/>
        </w:rPr>
        <w:fldChar w:fldCharType="end"/>
      </w:r>
    </w:p>
    <w:p>
      <w:pPr>
        <w:pStyle w:val="18"/>
        <w:tabs>
          <w:tab w:val="right" w:leader="dot" w:pos="8306"/>
        </w:tabs>
        <w:spacing w:line="360" w:lineRule="auto"/>
        <w:rPr>
          <w:sz w:val="24"/>
          <w:szCs w:val="32"/>
        </w:rPr>
      </w:pPr>
      <w:r>
        <w:rPr>
          <w:rFonts w:hint="eastAsia" w:ascii="宋体" w:hAnsi="宋体" w:cs="宋体"/>
          <w:snapToGrid w:val="0"/>
          <w:color w:val="auto"/>
          <w:kern w:val="0"/>
          <w:sz w:val="24"/>
          <w:szCs w:val="96"/>
          <w:highlight w:val="none"/>
        </w:rPr>
        <w:fldChar w:fldCharType="begin"/>
      </w:r>
      <w:r>
        <w:rPr>
          <w:rFonts w:hint="eastAsia" w:ascii="宋体" w:hAnsi="宋体" w:cs="宋体"/>
          <w:snapToGrid w:val="0"/>
          <w:kern w:val="0"/>
          <w:sz w:val="24"/>
          <w:szCs w:val="96"/>
          <w:highlight w:val="none"/>
        </w:rPr>
        <w:instrText xml:space="preserve"> HYPERLINK \l _Toc27043 </w:instrText>
      </w:r>
      <w:r>
        <w:rPr>
          <w:rFonts w:hint="eastAsia" w:ascii="宋体" w:hAnsi="宋体" w:cs="宋体"/>
          <w:snapToGrid w:val="0"/>
          <w:kern w:val="0"/>
          <w:sz w:val="24"/>
          <w:szCs w:val="96"/>
          <w:highlight w:val="none"/>
        </w:rPr>
        <w:fldChar w:fldCharType="separate"/>
      </w:r>
      <w:r>
        <w:rPr>
          <w:rFonts w:hint="eastAsia" w:ascii="宋体" w:hAnsi="宋体" w:cs="宋体"/>
          <w:sz w:val="24"/>
          <w:szCs w:val="32"/>
          <w:highlight w:val="none"/>
        </w:rPr>
        <w:t>十、质疑与投诉</w:t>
      </w:r>
      <w:r>
        <w:rPr>
          <w:sz w:val="24"/>
          <w:szCs w:val="32"/>
        </w:rPr>
        <w:tab/>
      </w:r>
      <w:r>
        <w:rPr>
          <w:sz w:val="24"/>
          <w:szCs w:val="32"/>
        </w:rPr>
        <w:fldChar w:fldCharType="begin"/>
      </w:r>
      <w:r>
        <w:rPr>
          <w:sz w:val="24"/>
          <w:szCs w:val="32"/>
        </w:rPr>
        <w:instrText xml:space="preserve"> PAGEREF _Toc27043 \h </w:instrText>
      </w:r>
      <w:r>
        <w:rPr>
          <w:sz w:val="24"/>
          <w:szCs w:val="32"/>
        </w:rPr>
        <w:fldChar w:fldCharType="separate"/>
      </w:r>
      <w:r>
        <w:rPr>
          <w:sz w:val="24"/>
          <w:szCs w:val="32"/>
        </w:rPr>
        <w:t>22</w:t>
      </w:r>
      <w:r>
        <w:rPr>
          <w:sz w:val="24"/>
          <w:szCs w:val="32"/>
        </w:rPr>
        <w:fldChar w:fldCharType="end"/>
      </w:r>
      <w:r>
        <w:rPr>
          <w:rFonts w:hint="eastAsia" w:ascii="宋体" w:hAnsi="宋体" w:cs="宋体"/>
          <w:snapToGrid w:val="0"/>
          <w:color w:val="auto"/>
          <w:kern w:val="0"/>
          <w:sz w:val="24"/>
          <w:szCs w:val="96"/>
          <w:highlight w:val="none"/>
        </w:rPr>
        <w:fldChar w:fldCharType="end"/>
      </w:r>
    </w:p>
    <w:p>
      <w:pPr>
        <w:pStyle w:val="18"/>
        <w:tabs>
          <w:tab w:val="right" w:leader="dot" w:pos="8306"/>
        </w:tabs>
        <w:spacing w:line="360" w:lineRule="auto"/>
        <w:rPr>
          <w:sz w:val="24"/>
          <w:szCs w:val="32"/>
        </w:rPr>
      </w:pPr>
      <w:r>
        <w:rPr>
          <w:rFonts w:hint="eastAsia" w:ascii="宋体" w:hAnsi="宋体" w:cs="宋体"/>
          <w:snapToGrid w:val="0"/>
          <w:color w:val="auto"/>
          <w:kern w:val="0"/>
          <w:sz w:val="24"/>
          <w:szCs w:val="96"/>
          <w:highlight w:val="none"/>
        </w:rPr>
        <w:fldChar w:fldCharType="begin"/>
      </w:r>
      <w:r>
        <w:rPr>
          <w:rFonts w:hint="eastAsia" w:ascii="宋体" w:hAnsi="宋体" w:cs="宋体"/>
          <w:snapToGrid w:val="0"/>
          <w:kern w:val="0"/>
          <w:sz w:val="24"/>
          <w:szCs w:val="96"/>
          <w:highlight w:val="none"/>
        </w:rPr>
        <w:instrText xml:space="preserve"> HYPERLINK \l _Toc4556 </w:instrText>
      </w:r>
      <w:r>
        <w:rPr>
          <w:rFonts w:hint="eastAsia" w:ascii="宋体" w:hAnsi="宋体" w:cs="宋体"/>
          <w:snapToGrid w:val="0"/>
          <w:kern w:val="0"/>
          <w:sz w:val="24"/>
          <w:szCs w:val="96"/>
          <w:highlight w:val="none"/>
        </w:rPr>
        <w:fldChar w:fldCharType="separate"/>
      </w:r>
      <w:r>
        <w:rPr>
          <w:rFonts w:hint="eastAsia" w:ascii="宋体" w:hAnsi="宋体" w:cs="宋体"/>
          <w:sz w:val="24"/>
          <w:szCs w:val="44"/>
          <w:highlight w:val="none"/>
        </w:rPr>
        <w:t>第三部分 评标办法及评分标准</w:t>
      </w:r>
      <w:r>
        <w:rPr>
          <w:sz w:val="24"/>
          <w:szCs w:val="32"/>
        </w:rPr>
        <w:tab/>
      </w:r>
      <w:r>
        <w:rPr>
          <w:sz w:val="24"/>
          <w:szCs w:val="32"/>
        </w:rPr>
        <w:fldChar w:fldCharType="begin"/>
      </w:r>
      <w:r>
        <w:rPr>
          <w:sz w:val="24"/>
          <w:szCs w:val="32"/>
        </w:rPr>
        <w:instrText xml:space="preserve"> PAGEREF _Toc4556 \h </w:instrText>
      </w:r>
      <w:r>
        <w:rPr>
          <w:sz w:val="24"/>
          <w:szCs w:val="32"/>
        </w:rPr>
        <w:fldChar w:fldCharType="separate"/>
      </w:r>
      <w:r>
        <w:rPr>
          <w:sz w:val="24"/>
          <w:szCs w:val="32"/>
        </w:rPr>
        <w:t>24</w:t>
      </w:r>
      <w:r>
        <w:rPr>
          <w:sz w:val="24"/>
          <w:szCs w:val="32"/>
        </w:rPr>
        <w:fldChar w:fldCharType="end"/>
      </w:r>
      <w:r>
        <w:rPr>
          <w:rFonts w:hint="eastAsia" w:ascii="宋体" w:hAnsi="宋体" w:cs="宋体"/>
          <w:snapToGrid w:val="0"/>
          <w:color w:val="auto"/>
          <w:kern w:val="0"/>
          <w:sz w:val="24"/>
          <w:szCs w:val="96"/>
          <w:highlight w:val="none"/>
        </w:rPr>
        <w:fldChar w:fldCharType="end"/>
      </w:r>
    </w:p>
    <w:p>
      <w:pPr>
        <w:pStyle w:val="18"/>
        <w:tabs>
          <w:tab w:val="right" w:leader="dot" w:pos="8306"/>
        </w:tabs>
        <w:spacing w:line="360" w:lineRule="auto"/>
        <w:rPr>
          <w:sz w:val="24"/>
          <w:szCs w:val="32"/>
        </w:rPr>
      </w:pPr>
      <w:r>
        <w:rPr>
          <w:rFonts w:hint="eastAsia" w:ascii="宋体" w:hAnsi="宋体" w:cs="宋体"/>
          <w:snapToGrid w:val="0"/>
          <w:color w:val="auto"/>
          <w:kern w:val="0"/>
          <w:sz w:val="24"/>
          <w:szCs w:val="96"/>
          <w:highlight w:val="none"/>
        </w:rPr>
        <w:fldChar w:fldCharType="begin"/>
      </w:r>
      <w:r>
        <w:rPr>
          <w:rFonts w:hint="eastAsia" w:ascii="宋体" w:hAnsi="宋体" w:cs="宋体"/>
          <w:snapToGrid w:val="0"/>
          <w:kern w:val="0"/>
          <w:sz w:val="24"/>
          <w:szCs w:val="96"/>
          <w:highlight w:val="none"/>
        </w:rPr>
        <w:instrText xml:space="preserve"> HYPERLINK \l _Toc11061 </w:instrText>
      </w:r>
      <w:r>
        <w:rPr>
          <w:rFonts w:hint="eastAsia" w:ascii="宋体" w:hAnsi="宋体" w:cs="宋体"/>
          <w:snapToGrid w:val="0"/>
          <w:kern w:val="0"/>
          <w:sz w:val="24"/>
          <w:szCs w:val="96"/>
          <w:highlight w:val="none"/>
        </w:rPr>
        <w:fldChar w:fldCharType="separate"/>
      </w:r>
      <w:r>
        <w:rPr>
          <w:rFonts w:hint="eastAsia"/>
          <w:sz w:val="24"/>
          <w:szCs w:val="24"/>
          <w:highlight w:val="none"/>
        </w:rPr>
        <w:t>第四部分 采购需求</w:t>
      </w:r>
      <w:r>
        <w:rPr>
          <w:sz w:val="24"/>
          <w:szCs w:val="32"/>
        </w:rPr>
        <w:tab/>
      </w:r>
      <w:r>
        <w:rPr>
          <w:sz w:val="24"/>
          <w:szCs w:val="32"/>
        </w:rPr>
        <w:fldChar w:fldCharType="begin"/>
      </w:r>
      <w:r>
        <w:rPr>
          <w:sz w:val="24"/>
          <w:szCs w:val="32"/>
        </w:rPr>
        <w:instrText xml:space="preserve"> PAGEREF _Toc11061 \h </w:instrText>
      </w:r>
      <w:r>
        <w:rPr>
          <w:sz w:val="24"/>
          <w:szCs w:val="32"/>
        </w:rPr>
        <w:fldChar w:fldCharType="separate"/>
      </w:r>
      <w:r>
        <w:rPr>
          <w:sz w:val="24"/>
          <w:szCs w:val="32"/>
        </w:rPr>
        <w:t>28</w:t>
      </w:r>
      <w:r>
        <w:rPr>
          <w:sz w:val="24"/>
          <w:szCs w:val="32"/>
        </w:rPr>
        <w:fldChar w:fldCharType="end"/>
      </w:r>
      <w:r>
        <w:rPr>
          <w:rFonts w:hint="eastAsia" w:ascii="宋体" w:hAnsi="宋体" w:cs="宋体"/>
          <w:snapToGrid w:val="0"/>
          <w:color w:val="auto"/>
          <w:kern w:val="0"/>
          <w:sz w:val="24"/>
          <w:szCs w:val="96"/>
          <w:highlight w:val="none"/>
        </w:rPr>
        <w:fldChar w:fldCharType="end"/>
      </w:r>
    </w:p>
    <w:p>
      <w:pPr>
        <w:pStyle w:val="18"/>
        <w:tabs>
          <w:tab w:val="right" w:leader="dot" w:pos="8306"/>
        </w:tabs>
        <w:spacing w:line="360" w:lineRule="auto"/>
        <w:rPr>
          <w:sz w:val="24"/>
          <w:szCs w:val="32"/>
        </w:rPr>
      </w:pPr>
      <w:r>
        <w:rPr>
          <w:rFonts w:hint="eastAsia" w:ascii="宋体" w:hAnsi="宋体" w:cs="宋体"/>
          <w:snapToGrid w:val="0"/>
          <w:color w:val="auto"/>
          <w:kern w:val="0"/>
          <w:sz w:val="24"/>
          <w:szCs w:val="96"/>
          <w:highlight w:val="none"/>
        </w:rPr>
        <w:fldChar w:fldCharType="begin"/>
      </w:r>
      <w:r>
        <w:rPr>
          <w:rFonts w:hint="eastAsia" w:ascii="宋体" w:hAnsi="宋体" w:cs="宋体"/>
          <w:snapToGrid w:val="0"/>
          <w:kern w:val="0"/>
          <w:sz w:val="24"/>
          <w:szCs w:val="96"/>
          <w:highlight w:val="none"/>
        </w:rPr>
        <w:instrText xml:space="preserve"> HYPERLINK \l _Toc7352 </w:instrText>
      </w:r>
      <w:r>
        <w:rPr>
          <w:rFonts w:hint="eastAsia" w:ascii="宋体" w:hAnsi="宋体" w:cs="宋体"/>
          <w:snapToGrid w:val="0"/>
          <w:kern w:val="0"/>
          <w:sz w:val="24"/>
          <w:szCs w:val="96"/>
          <w:highlight w:val="none"/>
        </w:rPr>
        <w:fldChar w:fldCharType="separate"/>
      </w:r>
      <w:r>
        <w:rPr>
          <w:rFonts w:hint="eastAsia" w:cs="宋体"/>
          <w:sz w:val="24"/>
          <w:szCs w:val="32"/>
          <w:highlight w:val="none"/>
        </w:rPr>
        <w:t>第五部分  采购合同</w:t>
      </w:r>
      <w:r>
        <w:rPr>
          <w:sz w:val="24"/>
          <w:szCs w:val="32"/>
        </w:rPr>
        <w:tab/>
      </w:r>
      <w:r>
        <w:rPr>
          <w:sz w:val="24"/>
          <w:szCs w:val="32"/>
        </w:rPr>
        <w:fldChar w:fldCharType="begin"/>
      </w:r>
      <w:r>
        <w:rPr>
          <w:sz w:val="24"/>
          <w:szCs w:val="32"/>
        </w:rPr>
        <w:instrText xml:space="preserve"> PAGEREF _Toc7352 \h </w:instrText>
      </w:r>
      <w:r>
        <w:rPr>
          <w:sz w:val="24"/>
          <w:szCs w:val="32"/>
        </w:rPr>
        <w:fldChar w:fldCharType="separate"/>
      </w:r>
      <w:r>
        <w:rPr>
          <w:sz w:val="24"/>
          <w:szCs w:val="32"/>
        </w:rPr>
        <w:t>34</w:t>
      </w:r>
      <w:r>
        <w:rPr>
          <w:sz w:val="24"/>
          <w:szCs w:val="32"/>
        </w:rPr>
        <w:fldChar w:fldCharType="end"/>
      </w:r>
      <w:r>
        <w:rPr>
          <w:rFonts w:hint="eastAsia" w:ascii="宋体" w:hAnsi="宋体" w:cs="宋体"/>
          <w:snapToGrid w:val="0"/>
          <w:color w:val="auto"/>
          <w:kern w:val="0"/>
          <w:sz w:val="24"/>
          <w:szCs w:val="96"/>
          <w:highlight w:val="none"/>
        </w:rPr>
        <w:fldChar w:fldCharType="end"/>
      </w:r>
    </w:p>
    <w:p>
      <w:pPr>
        <w:pStyle w:val="18"/>
        <w:tabs>
          <w:tab w:val="right" w:leader="dot" w:pos="8306"/>
        </w:tabs>
        <w:spacing w:line="360" w:lineRule="auto"/>
        <w:rPr>
          <w:sz w:val="22"/>
          <w:szCs w:val="28"/>
        </w:rPr>
      </w:pPr>
      <w:r>
        <w:rPr>
          <w:rFonts w:hint="eastAsia" w:ascii="宋体" w:hAnsi="宋体" w:cs="宋体"/>
          <w:snapToGrid w:val="0"/>
          <w:color w:val="auto"/>
          <w:kern w:val="0"/>
          <w:sz w:val="24"/>
          <w:szCs w:val="96"/>
          <w:highlight w:val="none"/>
        </w:rPr>
        <w:fldChar w:fldCharType="begin"/>
      </w:r>
      <w:r>
        <w:rPr>
          <w:rFonts w:hint="eastAsia" w:ascii="宋体" w:hAnsi="宋体" w:cs="宋体"/>
          <w:snapToGrid w:val="0"/>
          <w:kern w:val="0"/>
          <w:sz w:val="24"/>
          <w:szCs w:val="96"/>
          <w:highlight w:val="none"/>
        </w:rPr>
        <w:instrText xml:space="preserve"> HYPERLINK \l _Toc29864 </w:instrText>
      </w:r>
      <w:r>
        <w:rPr>
          <w:rFonts w:hint="eastAsia" w:ascii="宋体" w:hAnsi="宋体" w:cs="宋体"/>
          <w:snapToGrid w:val="0"/>
          <w:kern w:val="0"/>
          <w:sz w:val="24"/>
          <w:szCs w:val="96"/>
          <w:highlight w:val="none"/>
        </w:rPr>
        <w:fldChar w:fldCharType="separate"/>
      </w:r>
      <w:r>
        <w:rPr>
          <w:rFonts w:hint="eastAsia"/>
          <w:sz w:val="24"/>
          <w:szCs w:val="24"/>
          <w:highlight w:val="none"/>
        </w:rPr>
        <w:t>第六部分</w:t>
      </w:r>
      <w:r>
        <w:rPr>
          <w:rFonts w:hint="eastAsia"/>
          <w:sz w:val="24"/>
          <w:szCs w:val="24"/>
          <w:highlight w:val="none"/>
          <w:lang w:val="en-US" w:eastAsia="zh-CN"/>
        </w:rPr>
        <w:t xml:space="preserve"> </w:t>
      </w:r>
      <w:r>
        <w:rPr>
          <w:rFonts w:hint="eastAsia"/>
          <w:sz w:val="24"/>
          <w:szCs w:val="24"/>
          <w:highlight w:val="none"/>
        </w:rPr>
        <w:t>应提交的有关格式范例</w:t>
      </w:r>
      <w:r>
        <w:rPr>
          <w:sz w:val="24"/>
          <w:szCs w:val="32"/>
        </w:rPr>
        <w:tab/>
      </w:r>
      <w:r>
        <w:rPr>
          <w:sz w:val="24"/>
          <w:szCs w:val="32"/>
        </w:rPr>
        <w:fldChar w:fldCharType="begin"/>
      </w:r>
      <w:r>
        <w:rPr>
          <w:sz w:val="24"/>
          <w:szCs w:val="32"/>
        </w:rPr>
        <w:instrText xml:space="preserve"> PAGEREF _Toc29864 \h </w:instrText>
      </w:r>
      <w:r>
        <w:rPr>
          <w:sz w:val="24"/>
          <w:szCs w:val="32"/>
        </w:rPr>
        <w:fldChar w:fldCharType="separate"/>
      </w:r>
      <w:r>
        <w:rPr>
          <w:sz w:val="24"/>
          <w:szCs w:val="32"/>
        </w:rPr>
        <w:t>42</w:t>
      </w:r>
      <w:r>
        <w:rPr>
          <w:sz w:val="24"/>
          <w:szCs w:val="32"/>
        </w:rPr>
        <w:fldChar w:fldCharType="end"/>
      </w:r>
      <w:r>
        <w:rPr>
          <w:rFonts w:hint="eastAsia" w:ascii="宋体" w:hAnsi="宋体" w:cs="宋体"/>
          <w:snapToGrid w:val="0"/>
          <w:color w:val="auto"/>
          <w:kern w:val="0"/>
          <w:sz w:val="24"/>
          <w:szCs w:val="96"/>
          <w:highlight w:val="none"/>
        </w:rPr>
        <w:fldChar w:fldCharType="end"/>
      </w:r>
    </w:p>
    <w:p>
      <w:pPr>
        <w:spacing w:line="360" w:lineRule="auto"/>
        <w:ind w:firstLine="503" w:firstLineChars="229"/>
        <w:rPr>
          <w:rFonts w:ascii="宋体" w:hAnsi="宋体" w:cs="宋体"/>
          <w:color w:val="auto"/>
          <w:sz w:val="44"/>
          <w:szCs w:val="44"/>
          <w:highlight w:val="none"/>
        </w:rPr>
      </w:pPr>
      <w:r>
        <w:rPr>
          <w:rFonts w:hint="eastAsia" w:ascii="宋体" w:hAnsi="宋体" w:cs="宋体"/>
          <w:snapToGrid w:val="0"/>
          <w:color w:val="auto"/>
          <w:kern w:val="0"/>
          <w:sz w:val="22"/>
          <w:szCs w:val="72"/>
          <w:highlight w:val="none"/>
        </w:rPr>
        <w:fldChar w:fldCharType="end"/>
      </w: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bookmarkEnd w:id="2"/>
    <w:p>
      <w:pPr>
        <w:spacing w:line="360" w:lineRule="auto"/>
        <w:jc w:val="center"/>
        <w:outlineLvl w:val="0"/>
        <w:rPr>
          <w:rFonts w:ascii="宋体" w:hAnsi="宋体" w:cs="宋体"/>
          <w:b/>
          <w:color w:val="auto"/>
          <w:sz w:val="36"/>
          <w:szCs w:val="20"/>
          <w:highlight w:val="none"/>
        </w:rPr>
        <w:sectPr>
          <w:footerReference r:id="rId5" w:type="default"/>
          <w:pgSz w:w="11906" w:h="16838"/>
          <w:pgMar w:top="1440" w:right="1800" w:bottom="1440" w:left="1800" w:header="851" w:footer="992" w:gutter="0"/>
          <w:pgNumType w:start="1"/>
          <w:cols w:space="720" w:num="1"/>
          <w:docGrid w:type="lines" w:linePitch="312" w:charSpace="0"/>
        </w:sectPr>
      </w:pPr>
      <w:bookmarkStart w:id="3" w:name="_Hlt74649545"/>
      <w:bookmarkEnd w:id="3"/>
      <w:bookmarkStart w:id="4" w:name="_Hlt74728647"/>
      <w:bookmarkEnd w:id="4"/>
      <w:bookmarkStart w:id="5" w:name="_Hlt74729822"/>
      <w:bookmarkEnd w:id="5"/>
      <w:bookmarkStart w:id="6" w:name="_Hlt74707423"/>
      <w:bookmarkEnd w:id="6"/>
      <w:bookmarkStart w:id="7" w:name="第二部分"/>
      <w:bookmarkStart w:id="8" w:name="_Toc91899870"/>
      <w:bookmarkStart w:id="9" w:name="_Toc91899871"/>
    </w:p>
    <w:p>
      <w:pPr>
        <w:spacing w:line="360" w:lineRule="auto"/>
        <w:jc w:val="center"/>
        <w:outlineLvl w:val="0"/>
        <w:rPr>
          <w:rFonts w:ascii="宋体" w:hAnsi="宋体" w:cs="宋体"/>
          <w:b/>
          <w:color w:val="auto"/>
          <w:sz w:val="36"/>
          <w:szCs w:val="20"/>
          <w:highlight w:val="none"/>
        </w:rPr>
      </w:pPr>
      <w:bookmarkStart w:id="10" w:name="_Toc5161"/>
      <w:r>
        <w:rPr>
          <w:rFonts w:hint="eastAsia" w:ascii="宋体" w:hAnsi="宋体" w:cs="宋体"/>
          <w:b/>
          <w:color w:val="auto"/>
          <w:sz w:val="36"/>
          <w:szCs w:val="20"/>
          <w:highlight w:val="none"/>
        </w:rPr>
        <w:t>第一部分 招标公告</w:t>
      </w:r>
      <w:bookmarkEnd w:id="10"/>
    </w:p>
    <w:p>
      <w:pPr>
        <w:adjustRightInd w:val="0"/>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浙江宇康工程管理咨询有限公司关于</w:t>
      </w:r>
      <w:r>
        <w:rPr>
          <w:rFonts w:hint="eastAsia" w:ascii="宋体" w:hAnsi="宋体" w:cs="宋体"/>
          <w:color w:val="auto"/>
          <w:sz w:val="28"/>
          <w:szCs w:val="28"/>
          <w:highlight w:val="none"/>
          <w:lang w:eastAsia="zh-CN"/>
        </w:rPr>
        <w:t>绍兴市上虞区特色小镇投资建设有限公司第三届中国·绍兴“万亩千亿”新产业平台全球创业大赛生命健康专项赛暨上虞未来城“未来场景·未来产业”创业大赛</w:t>
      </w:r>
      <w:r>
        <w:rPr>
          <w:rFonts w:hint="eastAsia" w:ascii="宋体" w:hAnsi="宋体" w:cs="宋体"/>
          <w:color w:val="auto"/>
          <w:sz w:val="28"/>
          <w:szCs w:val="28"/>
          <w:highlight w:val="none"/>
        </w:rPr>
        <w:t>的非政府采购招标公告</w:t>
      </w:r>
    </w:p>
    <w:p>
      <w:pPr>
        <w:adjustRightInd w:val="0"/>
        <w:spacing w:line="360" w:lineRule="auto"/>
        <w:jc w:val="center"/>
        <w:rPr>
          <w:rFonts w:ascii="宋体" w:hAnsi="宋体" w:cs="宋体"/>
          <w:color w:val="0000FF"/>
          <w:sz w:val="28"/>
          <w:szCs w:val="28"/>
          <w:highlight w:val="none"/>
        </w:rPr>
      </w:pPr>
      <w:r>
        <w:rPr>
          <w:rFonts w:hint="eastAsia" w:ascii="宋体" w:hAnsi="宋体" w:cs="宋体"/>
          <w:color w:val="0000FF"/>
          <w:sz w:val="28"/>
          <w:szCs w:val="28"/>
          <w:highlight w:val="none"/>
        </w:rPr>
        <w:t>公告日期：202</w:t>
      </w:r>
      <w:r>
        <w:rPr>
          <w:rFonts w:hint="eastAsia" w:ascii="宋体" w:hAnsi="宋体" w:cs="宋体"/>
          <w:color w:val="0000FF"/>
          <w:sz w:val="28"/>
          <w:szCs w:val="28"/>
          <w:highlight w:val="none"/>
          <w:lang w:val="en-US" w:eastAsia="zh-CN"/>
        </w:rPr>
        <w:t>3</w:t>
      </w:r>
      <w:r>
        <w:rPr>
          <w:rFonts w:hint="eastAsia" w:ascii="宋体" w:hAnsi="宋体" w:cs="宋体"/>
          <w:color w:val="0000FF"/>
          <w:sz w:val="28"/>
          <w:szCs w:val="28"/>
          <w:highlight w:val="none"/>
        </w:rPr>
        <w:t>年</w:t>
      </w:r>
      <w:r>
        <w:rPr>
          <w:rFonts w:hint="eastAsia" w:ascii="宋体" w:hAnsi="宋体" w:cs="宋体"/>
          <w:color w:val="0000FF"/>
          <w:sz w:val="28"/>
          <w:szCs w:val="28"/>
          <w:highlight w:val="none"/>
          <w:lang w:val="en-US" w:eastAsia="zh-CN"/>
        </w:rPr>
        <w:t xml:space="preserve"> </w:t>
      </w:r>
      <w:r>
        <w:rPr>
          <w:rFonts w:hint="eastAsia" w:ascii="宋体" w:hAnsi="宋体" w:cs="宋体"/>
          <w:color w:val="0000FF"/>
          <w:sz w:val="28"/>
          <w:szCs w:val="28"/>
          <w:highlight w:val="none"/>
        </w:rPr>
        <w:t>月</w:t>
      </w:r>
      <w:r>
        <w:rPr>
          <w:rFonts w:hint="eastAsia" w:ascii="宋体" w:hAnsi="宋体" w:cs="宋体"/>
          <w:color w:val="0000FF"/>
          <w:sz w:val="28"/>
          <w:szCs w:val="28"/>
          <w:highlight w:val="none"/>
          <w:lang w:val="en-US" w:eastAsia="zh-CN"/>
        </w:rPr>
        <w:t xml:space="preserve"> </w:t>
      </w:r>
      <w:r>
        <w:rPr>
          <w:rFonts w:hint="eastAsia" w:ascii="宋体" w:hAnsi="宋体" w:cs="宋体"/>
          <w:color w:val="0000FF"/>
          <w:sz w:val="28"/>
          <w:szCs w:val="28"/>
          <w:highlight w:val="none"/>
        </w:rPr>
        <w:t>日</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参照《上虞区区属国有企业货物和服务采购管理办法》等有关规定，</w:t>
      </w:r>
      <w:r>
        <w:rPr>
          <w:rFonts w:hint="eastAsia" w:ascii="宋体" w:hAnsi="宋体" w:cs="宋体"/>
          <w:color w:val="auto"/>
          <w:sz w:val="24"/>
          <w:highlight w:val="none"/>
          <w:u w:val="single"/>
        </w:rPr>
        <w:t xml:space="preserve">浙江宇康工程管理咨询有限公司 </w:t>
      </w:r>
      <w:r>
        <w:rPr>
          <w:rFonts w:hint="eastAsia" w:ascii="宋体" w:hAnsi="宋体" w:cs="宋体"/>
          <w:color w:val="auto"/>
          <w:sz w:val="24"/>
          <w:highlight w:val="none"/>
        </w:rPr>
        <w:t>受</w:t>
      </w:r>
      <w:r>
        <w:rPr>
          <w:rFonts w:hint="eastAsia" w:ascii="宋体" w:hAnsi="宋体" w:cs="宋体"/>
          <w:color w:val="auto"/>
          <w:sz w:val="24"/>
          <w:highlight w:val="none"/>
          <w:u w:val="single"/>
          <w:lang w:eastAsia="zh-CN"/>
        </w:rPr>
        <w:t>绍兴市上虞区特色小镇投资建设有限公司</w:t>
      </w:r>
      <w:r>
        <w:rPr>
          <w:rFonts w:hint="eastAsia" w:ascii="宋体" w:hAnsi="宋体" w:cs="宋体"/>
          <w:color w:val="auto"/>
          <w:sz w:val="24"/>
          <w:highlight w:val="none"/>
        </w:rPr>
        <w:t>委托，现就</w:t>
      </w:r>
      <w:r>
        <w:rPr>
          <w:rFonts w:hint="eastAsia" w:ascii="宋体" w:hAnsi="宋体" w:cs="宋体"/>
          <w:color w:val="auto"/>
          <w:sz w:val="24"/>
          <w:highlight w:val="none"/>
          <w:u w:val="single"/>
          <w:lang w:eastAsia="zh-CN"/>
        </w:rPr>
        <w:t>第三届中国·绍兴“万亩千亿”新产业平台全球创业大赛生命健康专项赛暨上虞未来城“未来场景·未来产业”创业大赛</w:t>
      </w:r>
      <w:r>
        <w:rPr>
          <w:rFonts w:hint="eastAsia" w:ascii="宋体" w:hAnsi="宋体" w:cs="宋体"/>
          <w:color w:val="auto"/>
          <w:sz w:val="24"/>
          <w:highlight w:val="none"/>
        </w:rPr>
        <w:t>服务采购项目进行公开招标，欢迎国内合格的供应商前来投标。</w:t>
      </w:r>
    </w:p>
    <w:p>
      <w:pPr>
        <w:adjustRightInd w:val="0"/>
        <w:spacing w:line="360" w:lineRule="auto"/>
        <w:ind w:firstLine="480" w:firstLineChars="200"/>
        <w:rPr>
          <w:rFonts w:hint="eastAsia" w:ascii="宋体" w:hAnsi="宋体" w:eastAsia="宋体" w:cs="宋体"/>
          <w:color w:val="auto"/>
          <w:sz w:val="24"/>
          <w:highlight w:val="none"/>
          <w:u w:val="single"/>
          <w:lang w:eastAsia="zh-CN"/>
        </w:rPr>
      </w:pPr>
      <w:r>
        <w:rPr>
          <w:rFonts w:hint="eastAsia" w:ascii="宋体" w:hAnsi="宋体" w:cs="宋体"/>
          <w:color w:val="auto"/>
          <w:sz w:val="24"/>
          <w:highlight w:val="none"/>
        </w:rPr>
        <w:t>一、招标项目编号：</w:t>
      </w:r>
      <w:r>
        <w:rPr>
          <w:rFonts w:hint="eastAsia" w:ascii="宋体" w:hAnsi="宋体" w:cs="宋体"/>
          <w:color w:val="auto"/>
          <w:sz w:val="24"/>
          <w:highlight w:val="none"/>
          <w:u w:val="single"/>
          <w:lang w:eastAsia="zh-CN"/>
        </w:rPr>
        <w:t>YK2023212</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二、采购组织类型：</w:t>
      </w:r>
      <w:r>
        <w:rPr>
          <w:rFonts w:hint="eastAsia" w:ascii="宋体" w:hAnsi="宋体" w:cs="宋体"/>
          <w:color w:val="auto"/>
          <w:sz w:val="24"/>
          <w:highlight w:val="none"/>
          <w:u w:val="single"/>
        </w:rPr>
        <w:t xml:space="preserve"> 国企采购 </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三、招标项目概况:</w:t>
      </w:r>
    </w:p>
    <w:tbl>
      <w:tblPr>
        <w:tblStyle w:val="21"/>
        <w:tblW w:w="9213" w:type="dxa"/>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450"/>
        <w:gridCol w:w="2500"/>
        <w:gridCol w:w="628"/>
        <w:gridCol w:w="600"/>
        <w:gridCol w:w="3081"/>
        <w:gridCol w:w="1230"/>
        <w:gridCol w:w="724"/>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870" w:hRule="atLeast"/>
          <w:jc w:val="center"/>
        </w:trPr>
        <w:tc>
          <w:tcPr>
            <w:tcW w:w="450" w:type="dxa"/>
            <w:noWrap/>
            <w:vAlign w:val="center"/>
          </w:tcPr>
          <w:p>
            <w:pPr>
              <w:adjustRightInd w:val="0"/>
              <w:jc w:val="center"/>
              <w:rPr>
                <w:rFonts w:ascii="宋体" w:hAnsi="宋体" w:cs="宋体"/>
                <w:color w:val="auto"/>
                <w:sz w:val="24"/>
                <w:highlight w:val="none"/>
              </w:rPr>
            </w:pPr>
            <w:r>
              <w:rPr>
                <w:rFonts w:hint="eastAsia" w:ascii="宋体" w:hAnsi="宋体" w:cs="宋体"/>
                <w:color w:val="auto"/>
                <w:sz w:val="24"/>
                <w:highlight w:val="none"/>
              </w:rPr>
              <w:t>序号</w:t>
            </w:r>
          </w:p>
        </w:tc>
        <w:tc>
          <w:tcPr>
            <w:tcW w:w="2500" w:type="dxa"/>
            <w:noWrap/>
            <w:vAlign w:val="center"/>
          </w:tcPr>
          <w:p>
            <w:pPr>
              <w:adjustRightInd w:val="0"/>
              <w:jc w:val="center"/>
              <w:rPr>
                <w:rFonts w:ascii="宋体" w:hAnsi="宋体" w:cs="宋体"/>
                <w:color w:val="auto"/>
                <w:sz w:val="24"/>
                <w:highlight w:val="none"/>
              </w:rPr>
            </w:pPr>
            <w:r>
              <w:rPr>
                <w:rFonts w:hint="eastAsia" w:ascii="宋体" w:hAnsi="宋体" w:cs="宋体"/>
                <w:color w:val="auto"/>
                <w:sz w:val="24"/>
                <w:highlight w:val="none"/>
              </w:rPr>
              <w:t>项目名称</w:t>
            </w:r>
          </w:p>
        </w:tc>
        <w:tc>
          <w:tcPr>
            <w:tcW w:w="628" w:type="dxa"/>
            <w:noWrap/>
            <w:vAlign w:val="center"/>
          </w:tcPr>
          <w:p>
            <w:pPr>
              <w:adjustRightInd w:val="0"/>
              <w:jc w:val="center"/>
              <w:rPr>
                <w:rFonts w:ascii="宋体" w:hAnsi="宋体" w:cs="宋体"/>
                <w:color w:val="auto"/>
                <w:sz w:val="24"/>
                <w:highlight w:val="none"/>
              </w:rPr>
            </w:pPr>
            <w:r>
              <w:rPr>
                <w:rFonts w:hint="eastAsia" w:ascii="宋体" w:hAnsi="宋体" w:cs="宋体"/>
                <w:color w:val="auto"/>
                <w:sz w:val="24"/>
                <w:highlight w:val="none"/>
              </w:rPr>
              <w:t>数量</w:t>
            </w:r>
          </w:p>
        </w:tc>
        <w:tc>
          <w:tcPr>
            <w:tcW w:w="600" w:type="dxa"/>
            <w:noWrap/>
            <w:vAlign w:val="center"/>
          </w:tcPr>
          <w:p>
            <w:pPr>
              <w:adjustRightInd w:val="0"/>
              <w:jc w:val="center"/>
              <w:rPr>
                <w:rFonts w:ascii="宋体" w:hAnsi="宋体" w:cs="宋体"/>
                <w:color w:val="auto"/>
                <w:sz w:val="24"/>
                <w:highlight w:val="none"/>
              </w:rPr>
            </w:pPr>
            <w:r>
              <w:rPr>
                <w:rFonts w:hint="eastAsia" w:ascii="宋体" w:hAnsi="宋体" w:cs="宋体"/>
                <w:color w:val="auto"/>
                <w:sz w:val="24"/>
                <w:highlight w:val="none"/>
              </w:rPr>
              <w:t>单位</w:t>
            </w:r>
          </w:p>
        </w:tc>
        <w:tc>
          <w:tcPr>
            <w:tcW w:w="3081" w:type="dxa"/>
            <w:noWrap/>
            <w:vAlign w:val="center"/>
          </w:tcPr>
          <w:p>
            <w:pPr>
              <w:adjustRightInd w:val="0"/>
              <w:jc w:val="center"/>
              <w:rPr>
                <w:rFonts w:ascii="宋体" w:hAnsi="宋体" w:cs="宋体"/>
                <w:color w:val="auto"/>
                <w:sz w:val="24"/>
                <w:highlight w:val="none"/>
              </w:rPr>
            </w:pPr>
            <w:r>
              <w:rPr>
                <w:rFonts w:hint="eastAsia" w:ascii="宋体" w:hAnsi="宋体" w:cs="宋体"/>
                <w:color w:val="auto"/>
                <w:sz w:val="24"/>
                <w:highlight w:val="none"/>
              </w:rPr>
              <w:t>简要规格描述或标项基本概况介绍</w:t>
            </w:r>
          </w:p>
        </w:tc>
        <w:tc>
          <w:tcPr>
            <w:tcW w:w="1230" w:type="dxa"/>
            <w:noWrap/>
            <w:vAlign w:val="center"/>
          </w:tcPr>
          <w:p>
            <w:pPr>
              <w:adjustRightInd w:val="0"/>
              <w:jc w:val="center"/>
              <w:rPr>
                <w:rFonts w:ascii="宋体" w:hAnsi="宋体" w:cs="宋体"/>
                <w:color w:val="auto"/>
                <w:sz w:val="24"/>
                <w:highlight w:val="none"/>
              </w:rPr>
            </w:pPr>
            <w:r>
              <w:rPr>
                <w:rFonts w:hint="eastAsia" w:ascii="宋体" w:hAnsi="宋体" w:cs="宋体"/>
                <w:color w:val="auto"/>
                <w:sz w:val="24"/>
                <w:highlight w:val="none"/>
              </w:rPr>
              <w:t>最高限价</w:t>
            </w:r>
          </w:p>
          <w:p>
            <w:pPr>
              <w:adjustRightInd w:val="0"/>
              <w:jc w:val="center"/>
              <w:rPr>
                <w:rFonts w:ascii="宋体" w:hAnsi="宋体" w:cs="宋体"/>
                <w:color w:val="auto"/>
                <w:sz w:val="24"/>
                <w:highlight w:val="none"/>
              </w:rPr>
            </w:pPr>
            <w:r>
              <w:rPr>
                <w:rFonts w:hint="eastAsia" w:ascii="宋体" w:hAnsi="宋体" w:cs="宋体"/>
                <w:color w:val="auto"/>
                <w:sz w:val="24"/>
                <w:highlight w:val="none"/>
              </w:rPr>
              <w:t>(万元)</w:t>
            </w:r>
          </w:p>
        </w:tc>
        <w:tc>
          <w:tcPr>
            <w:tcW w:w="724" w:type="dxa"/>
            <w:noWrap/>
            <w:vAlign w:val="center"/>
          </w:tcPr>
          <w:p>
            <w:pPr>
              <w:adjustRightInd w:val="0"/>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2303" w:hRule="atLeast"/>
          <w:jc w:val="center"/>
        </w:trPr>
        <w:tc>
          <w:tcPr>
            <w:tcW w:w="450" w:type="dxa"/>
            <w:noWrap/>
            <w:vAlign w:val="center"/>
          </w:tcPr>
          <w:p>
            <w:pPr>
              <w:widowControl/>
              <w:spacing w:before="100" w:after="100"/>
              <w:jc w:val="center"/>
              <w:rPr>
                <w:rFonts w:ascii="宋体" w:hAnsi="宋体" w:cs="宋体"/>
                <w:color w:val="auto"/>
                <w:sz w:val="24"/>
                <w:highlight w:val="none"/>
              </w:rPr>
            </w:pPr>
            <w:r>
              <w:rPr>
                <w:rFonts w:hint="eastAsia" w:ascii="宋体" w:hAnsi="宋体" w:cs="宋体"/>
                <w:color w:val="auto"/>
                <w:sz w:val="24"/>
                <w:highlight w:val="none"/>
              </w:rPr>
              <w:t>1</w:t>
            </w:r>
          </w:p>
        </w:tc>
        <w:tc>
          <w:tcPr>
            <w:tcW w:w="2500" w:type="dxa"/>
            <w:noWrap/>
            <w:vAlign w:val="center"/>
          </w:tcPr>
          <w:p>
            <w:pPr>
              <w:widowControl/>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第三届中国·绍兴“万亩千亿”新产业平台全球创业大赛生命健康专项赛暨上虞未来城“未来场景·未来产业”创业大赛</w:t>
            </w:r>
          </w:p>
        </w:tc>
        <w:tc>
          <w:tcPr>
            <w:tcW w:w="628" w:type="dxa"/>
            <w:noWrap/>
            <w:vAlign w:val="center"/>
          </w:tcPr>
          <w:p>
            <w:pPr>
              <w:widowControl/>
              <w:spacing w:before="100" w:after="100"/>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1</w:t>
            </w:r>
          </w:p>
        </w:tc>
        <w:tc>
          <w:tcPr>
            <w:tcW w:w="600" w:type="dxa"/>
            <w:noWrap/>
            <w:vAlign w:val="center"/>
          </w:tcPr>
          <w:p>
            <w:pPr>
              <w:widowControl/>
              <w:spacing w:before="100" w:after="100"/>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项</w:t>
            </w:r>
          </w:p>
        </w:tc>
        <w:tc>
          <w:tcPr>
            <w:tcW w:w="3081" w:type="dxa"/>
            <w:noWrap/>
            <w:vAlign w:val="center"/>
          </w:tcPr>
          <w:p>
            <w:pPr>
              <w:widowControl/>
              <w:spacing w:before="100" w:after="100"/>
              <w:jc w:val="center"/>
              <w:rPr>
                <w:rFonts w:ascii="宋体" w:hAnsi="宋体" w:cs="宋体"/>
                <w:color w:val="auto"/>
                <w:sz w:val="24"/>
                <w:highlight w:val="none"/>
              </w:rPr>
            </w:pPr>
            <w:r>
              <w:rPr>
                <w:rFonts w:hint="eastAsia" w:ascii="宋体" w:hAnsi="宋体" w:cs="宋体"/>
                <w:color w:val="auto"/>
                <w:sz w:val="24"/>
                <w:highlight w:val="none"/>
                <w:lang w:val="en-US" w:eastAsia="zh-CN"/>
              </w:rPr>
              <w:t>根据要求，策划并组织第三届中国·绍兴“万亩千亿”新产业平台全球创业大赛生命健康专项赛暨上虞未来城“未来场景·未来产业”创业大赛</w:t>
            </w:r>
            <w:r>
              <w:rPr>
                <w:rFonts w:hint="eastAsia" w:ascii="宋体" w:hAnsi="宋体" w:cs="宋体"/>
                <w:color w:val="auto"/>
                <w:sz w:val="24"/>
                <w:highlight w:val="none"/>
              </w:rPr>
              <w:t>。</w:t>
            </w:r>
          </w:p>
        </w:tc>
        <w:tc>
          <w:tcPr>
            <w:tcW w:w="1230" w:type="dxa"/>
            <w:noWrap/>
            <w:vAlign w:val="center"/>
          </w:tcPr>
          <w:p>
            <w:pPr>
              <w:widowControl/>
              <w:spacing w:before="100" w:after="100"/>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40</w:t>
            </w:r>
          </w:p>
        </w:tc>
        <w:tc>
          <w:tcPr>
            <w:tcW w:w="724" w:type="dxa"/>
            <w:noWrap/>
            <w:vAlign w:val="center"/>
          </w:tcPr>
          <w:p>
            <w:pPr>
              <w:adjustRightInd w:val="0"/>
              <w:jc w:val="center"/>
              <w:rPr>
                <w:rFonts w:ascii="宋体" w:hAnsi="宋体" w:cs="宋体"/>
                <w:color w:val="auto"/>
                <w:sz w:val="24"/>
                <w:highlight w:val="none"/>
              </w:rPr>
            </w:pPr>
            <w:r>
              <w:rPr>
                <w:rFonts w:hint="eastAsia" w:ascii="宋体" w:hAnsi="宋体" w:cs="宋体"/>
                <w:color w:val="auto"/>
                <w:sz w:val="24"/>
                <w:highlight w:val="none"/>
              </w:rPr>
              <w:t>/</w:t>
            </w:r>
          </w:p>
        </w:tc>
      </w:tr>
    </w:tbl>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四、投标供应商资格要求:</w:t>
      </w:r>
    </w:p>
    <w:p>
      <w:pPr>
        <w:pStyle w:val="20"/>
        <w:shd w:val="clear" w:color="auto" w:fill="FFFFFF"/>
        <w:spacing w:before="0" w:beforeAutospacing="0" w:after="0" w:afterAutospacing="0" w:line="360" w:lineRule="auto"/>
        <w:ind w:firstLine="480" w:firstLineChars="200"/>
        <w:rPr>
          <w:color w:val="auto"/>
          <w:highlight w:val="none"/>
          <w:shd w:val="clear" w:color="auto" w:fill="FFFFFF"/>
        </w:rPr>
      </w:pPr>
      <w:r>
        <w:rPr>
          <w:rFonts w:hint="eastAsia"/>
          <w:color w:val="auto"/>
          <w:highlight w:val="none"/>
          <w:shd w:val="clear" w:color="auto" w:fill="FFFFFF"/>
        </w:rPr>
        <w:t>1、符合《虞国资委〔2021〕42 号》第十八条</w:t>
      </w:r>
    </w:p>
    <w:p>
      <w:pPr>
        <w:pStyle w:val="20"/>
        <w:shd w:val="clear" w:color="auto" w:fill="FFFFFF"/>
        <w:spacing w:before="0" w:beforeAutospacing="0" w:after="0" w:afterAutospacing="0" w:line="360" w:lineRule="auto"/>
        <w:ind w:firstLine="480" w:firstLineChars="200"/>
        <w:rPr>
          <w:color w:val="auto"/>
          <w:highlight w:val="none"/>
        </w:rPr>
      </w:pPr>
      <w:r>
        <w:rPr>
          <w:rFonts w:hint="eastAsia"/>
          <w:color w:val="auto"/>
          <w:highlight w:val="none"/>
          <w:shd w:val="clear" w:color="auto" w:fill="FFFFFF"/>
        </w:rPr>
        <w:t>（1）具有独立承担民事责任能力；</w:t>
      </w:r>
    </w:p>
    <w:p>
      <w:pPr>
        <w:pStyle w:val="20"/>
        <w:shd w:val="clear" w:color="auto" w:fill="FFFFFF"/>
        <w:spacing w:before="0" w:beforeAutospacing="0" w:after="0" w:afterAutospacing="0" w:line="360" w:lineRule="auto"/>
        <w:ind w:firstLine="480" w:firstLineChars="200"/>
        <w:rPr>
          <w:color w:val="auto"/>
          <w:highlight w:val="none"/>
        </w:rPr>
      </w:pPr>
      <w:r>
        <w:rPr>
          <w:rFonts w:hint="eastAsia"/>
          <w:color w:val="auto"/>
          <w:highlight w:val="none"/>
          <w:shd w:val="clear" w:color="auto" w:fill="FFFFFF"/>
        </w:rPr>
        <w:t>（2）具有良好的商业信誉；</w:t>
      </w:r>
    </w:p>
    <w:p>
      <w:pPr>
        <w:pStyle w:val="20"/>
        <w:shd w:val="clear" w:color="auto" w:fill="FFFFFF"/>
        <w:spacing w:before="0" w:beforeAutospacing="0" w:after="0" w:afterAutospacing="0" w:line="360" w:lineRule="auto"/>
        <w:ind w:firstLine="480" w:firstLineChars="200"/>
        <w:rPr>
          <w:color w:val="auto"/>
          <w:highlight w:val="none"/>
        </w:rPr>
      </w:pPr>
      <w:r>
        <w:rPr>
          <w:rFonts w:hint="eastAsia"/>
          <w:color w:val="auto"/>
          <w:highlight w:val="none"/>
          <w:shd w:val="clear" w:color="auto" w:fill="FFFFFF"/>
        </w:rPr>
        <w:t>（3）具有履行合同所必需的设备和专业技术、售后保障等能力；</w:t>
      </w:r>
    </w:p>
    <w:p>
      <w:pPr>
        <w:pStyle w:val="20"/>
        <w:shd w:val="clear" w:color="auto" w:fill="FFFFFF"/>
        <w:spacing w:before="0" w:beforeAutospacing="0" w:after="0" w:afterAutospacing="0" w:line="360" w:lineRule="auto"/>
        <w:ind w:firstLine="480" w:firstLineChars="200"/>
        <w:rPr>
          <w:color w:val="auto"/>
          <w:highlight w:val="none"/>
        </w:rPr>
      </w:pPr>
      <w:r>
        <w:rPr>
          <w:rFonts w:hint="eastAsia"/>
          <w:color w:val="auto"/>
          <w:highlight w:val="none"/>
          <w:shd w:val="clear" w:color="auto" w:fill="FFFFFF"/>
        </w:rPr>
        <w:t>（4）有依法缴纳税收和社会保障资金的良好记录；</w:t>
      </w:r>
    </w:p>
    <w:p>
      <w:pPr>
        <w:pStyle w:val="20"/>
        <w:shd w:val="clear" w:color="auto" w:fill="FFFFFF"/>
        <w:spacing w:before="0" w:beforeAutospacing="0" w:after="0" w:afterAutospacing="0" w:line="360" w:lineRule="auto"/>
        <w:ind w:firstLine="480" w:firstLineChars="200"/>
        <w:rPr>
          <w:color w:val="auto"/>
          <w:highlight w:val="none"/>
        </w:rPr>
      </w:pPr>
      <w:r>
        <w:rPr>
          <w:rFonts w:hint="eastAsia"/>
          <w:color w:val="auto"/>
          <w:highlight w:val="none"/>
          <w:shd w:val="clear" w:color="auto" w:fill="FFFFFF"/>
        </w:rPr>
        <w:t>（5）参加采购活动前三年内，没有重大违法记录、严重失信行为和行贿记录；</w:t>
      </w:r>
    </w:p>
    <w:p>
      <w:pPr>
        <w:pStyle w:val="20"/>
        <w:shd w:val="clear" w:color="auto" w:fill="FFFFFF"/>
        <w:spacing w:before="0" w:beforeAutospacing="0" w:after="0" w:afterAutospacing="0" w:line="360" w:lineRule="auto"/>
        <w:ind w:firstLine="480" w:firstLineChars="200"/>
        <w:rPr>
          <w:color w:val="auto"/>
          <w:highlight w:val="none"/>
          <w:shd w:val="clear" w:color="auto" w:fill="FFFFFF"/>
        </w:rPr>
      </w:pPr>
      <w:r>
        <w:rPr>
          <w:rFonts w:hint="eastAsia"/>
          <w:color w:val="auto"/>
          <w:highlight w:val="none"/>
          <w:shd w:val="clear" w:color="auto" w:fill="FFFFFF"/>
        </w:rPr>
        <w:t>（6）法律、行政法规规定的其他条件；</w:t>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2.不允许联合体投标；</w:t>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3.本次招标采用资格后审的审查方式，由采购人负责审查。</w:t>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五、投标获取采购文件</w:t>
      </w:r>
    </w:p>
    <w:p>
      <w:pPr>
        <w:numPr>
          <w:ilvl w:val="0"/>
          <w:numId w:val="1"/>
        </w:numPr>
        <w:adjustRightInd w:val="0"/>
        <w:spacing w:line="360" w:lineRule="auto"/>
        <w:ind w:firstLine="480" w:firstLineChars="200"/>
        <w:rPr>
          <w:rFonts w:ascii="宋体" w:hAnsi="宋体" w:cs="宋体"/>
          <w:color w:val="auto"/>
          <w:sz w:val="24"/>
          <w:highlight w:val="none"/>
        </w:rPr>
      </w:pPr>
      <w:bookmarkStart w:id="11" w:name="报名开始时间1"/>
      <w:r>
        <w:rPr>
          <w:rFonts w:hint="eastAsia" w:ascii="宋体" w:hAnsi="宋体" w:cs="宋体"/>
          <w:color w:val="auto"/>
          <w:sz w:val="24"/>
          <w:highlight w:val="none"/>
        </w:rPr>
        <w:t>获取采购文件时间:</w:t>
      </w:r>
      <w:bookmarkEnd w:id="11"/>
      <w:r>
        <w:rPr>
          <w:rFonts w:hint="eastAsia" w:ascii="宋体" w:hAnsi="宋体" w:cs="宋体"/>
          <w:color w:val="0000FF"/>
          <w:sz w:val="24"/>
          <w:highlight w:val="none"/>
        </w:rPr>
        <w:t>202</w:t>
      </w:r>
      <w:r>
        <w:rPr>
          <w:rFonts w:hint="eastAsia" w:ascii="宋体" w:hAnsi="宋体" w:cs="宋体"/>
          <w:color w:val="0000FF"/>
          <w:sz w:val="24"/>
          <w:highlight w:val="none"/>
          <w:lang w:val="en-US" w:eastAsia="zh-CN"/>
        </w:rPr>
        <w:t>3</w:t>
      </w:r>
      <w:r>
        <w:rPr>
          <w:rFonts w:hint="eastAsia" w:ascii="宋体" w:hAnsi="宋体" w:cs="宋体"/>
          <w:color w:val="0000FF"/>
          <w:sz w:val="24"/>
          <w:highlight w:val="none"/>
        </w:rPr>
        <w:t>年</w:t>
      </w:r>
      <w:r>
        <w:rPr>
          <w:rFonts w:hint="eastAsia" w:ascii="宋体" w:hAnsi="宋体" w:cs="宋体"/>
          <w:color w:val="0000FF"/>
          <w:sz w:val="24"/>
          <w:highlight w:val="none"/>
          <w:lang w:val="en-US" w:eastAsia="zh-CN"/>
        </w:rPr>
        <w:t xml:space="preserve"> </w:t>
      </w:r>
      <w:r>
        <w:rPr>
          <w:rFonts w:hint="eastAsia" w:ascii="宋体" w:hAnsi="宋体" w:cs="宋体"/>
          <w:color w:val="0000FF"/>
          <w:sz w:val="24"/>
          <w:highlight w:val="none"/>
        </w:rPr>
        <w:t>月</w:t>
      </w:r>
      <w:r>
        <w:rPr>
          <w:rFonts w:hint="eastAsia" w:ascii="宋体" w:hAnsi="宋体" w:cs="宋体"/>
          <w:color w:val="0000FF"/>
          <w:sz w:val="24"/>
          <w:highlight w:val="none"/>
          <w:lang w:val="en-US" w:eastAsia="zh-CN"/>
        </w:rPr>
        <w:t xml:space="preserve"> </w:t>
      </w:r>
      <w:r>
        <w:rPr>
          <w:rFonts w:hint="eastAsia" w:ascii="宋体" w:hAnsi="宋体" w:cs="宋体"/>
          <w:color w:val="0000FF"/>
          <w:sz w:val="24"/>
          <w:highlight w:val="none"/>
        </w:rPr>
        <w:t>日</w:t>
      </w:r>
      <w:r>
        <w:rPr>
          <w:rFonts w:hint="eastAsia" w:ascii="宋体" w:hAnsi="宋体" w:cs="宋体"/>
          <w:color w:val="0000FF"/>
          <w:sz w:val="24"/>
          <w:highlight w:val="none"/>
          <w:lang w:val="en-US" w:eastAsia="zh-CN"/>
        </w:rPr>
        <w:t xml:space="preserve"> </w:t>
      </w:r>
      <w:r>
        <w:rPr>
          <w:rFonts w:hint="eastAsia" w:ascii="宋体" w:hAnsi="宋体" w:cs="宋体"/>
          <w:color w:val="auto"/>
          <w:sz w:val="24"/>
          <w:highlight w:val="none"/>
        </w:rPr>
        <w:t>上午9:30之前获取。</w:t>
      </w:r>
    </w:p>
    <w:p>
      <w:pPr>
        <w:numPr>
          <w:ilvl w:val="0"/>
          <w:numId w:val="1"/>
        </w:num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获取采购文件方式：供应商登陆政企云平台https://www.zhengcaiyun.cn/，在线申请获取采购文件（进入“项目采购”应用，在获取采购文件菜单中选择项目，申请获取采购文件）。</w:t>
      </w:r>
    </w:p>
    <w:p>
      <w:pPr>
        <w:numPr>
          <w:ilvl w:val="0"/>
          <w:numId w:val="1"/>
        </w:num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提示：</w:t>
      </w:r>
    </w:p>
    <w:p>
      <w:pPr>
        <w:numPr>
          <w:ilvl w:val="0"/>
          <w:numId w:val="2"/>
        </w:num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将拒绝接受未获取采购文件供应商的投标文件。</w:t>
      </w:r>
    </w:p>
    <w:p>
      <w:pPr>
        <w:numPr>
          <w:ilvl w:val="0"/>
          <w:numId w:val="2"/>
        </w:num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招标文件及更正补充公告请自行登录浙江政府采购网或绍兴市上虞区公共资源交易中心网站，在采购公告页面中下载。</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六、投标与开标注意事项：</w:t>
      </w:r>
    </w:p>
    <w:p>
      <w:pPr>
        <w:numPr>
          <w:ilvl w:val="0"/>
          <w:numId w:val="3"/>
        </w:num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本项目实行</w:t>
      </w:r>
      <w:r>
        <w:rPr>
          <w:rFonts w:hint="eastAsia" w:ascii="宋体" w:hAnsi="宋体" w:cs="宋体"/>
          <w:b/>
          <w:bCs/>
          <w:color w:val="auto"/>
          <w:sz w:val="24"/>
          <w:highlight w:val="none"/>
        </w:rPr>
        <w:t>网上投标</w:t>
      </w:r>
      <w:r>
        <w:rPr>
          <w:rFonts w:hint="eastAsia" w:ascii="宋体" w:hAnsi="宋体" w:cs="宋体"/>
          <w:color w:val="auto"/>
          <w:sz w:val="24"/>
          <w:highlight w:val="none"/>
        </w:rPr>
        <w:t>，采用电子投标文件，若供应商参与投标，自行承担投标一切费用。</w:t>
      </w:r>
    </w:p>
    <w:p>
      <w:pPr>
        <w:numPr>
          <w:ilvl w:val="0"/>
          <w:numId w:val="3"/>
        </w:numPr>
        <w:wordWrap w:val="0"/>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标前准备：各供应商应在开标前应确保成为浙江省政府采购网正式注册入库供应商，并完成CA数字证书办理。因未注册入库、未办理CA数字证书等原因造成无法投标或投标失败等后果由供应商自行承担。</w:t>
      </w:r>
    </w:p>
    <w:p>
      <w:pPr>
        <w:autoSpaceDE w:val="0"/>
        <w:autoSpaceDN w:val="0"/>
        <w:spacing w:line="360" w:lineRule="auto"/>
        <w:ind w:firstLine="480" w:firstLineChars="200"/>
        <w:textAlignment w:val="bottom"/>
        <w:rPr>
          <w:rFonts w:ascii="宋体" w:hAnsi="宋体" w:cs="宋体"/>
          <w:color w:val="auto"/>
          <w:sz w:val="24"/>
          <w:szCs w:val="21"/>
          <w:highlight w:val="none"/>
        </w:rPr>
      </w:pPr>
      <w:r>
        <w:rPr>
          <w:rFonts w:hint="eastAsia" w:ascii="宋体" w:hAnsi="宋体" w:cs="宋体"/>
          <w:color w:val="auto"/>
          <w:sz w:val="24"/>
          <w:szCs w:val="21"/>
          <w:highlight w:val="none"/>
        </w:rPr>
        <w:t>供应商将政企云电子交易客户端下载、安装完成后，可通过账号密码或CA登录客户端进行投标文件制作。在使用政企云投标客户端时，建议使用WIN7及以上操作系统。</w:t>
      </w:r>
    </w:p>
    <w:p>
      <w:pPr>
        <w:autoSpaceDE w:val="0"/>
        <w:autoSpaceDN w:val="0"/>
        <w:spacing w:line="360" w:lineRule="auto"/>
        <w:ind w:firstLine="480" w:firstLineChars="200"/>
        <w:textAlignment w:val="bottom"/>
        <w:rPr>
          <w:rFonts w:ascii="宋体" w:hAnsi="宋体" w:cs="宋体"/>
          <w:color w:val="auto"/>
          <w:sz w:val="24"/>
          <w:szCs w:val="21"/>
          <w:highlight w:val="none"/>
        </w:rPr>
      </w:pPr>
      <w:r>
        <w:rPr>
          <w:rFonts w:hint="eastAsia" w:ascii="宋体" w:hAnsi="宋体" w:cs="宋体"/>
          <w:color w:val="auto"/>
          <w:sz w:val="24"/>
          <w:szCs w:val="21"/>
          <w:highlight w:val="none"/>
        </w:rPr>
        <w:t>注：供应商先要申领CA，取得CA后需要在政企云平台进行绑定，CA相关操作可参考《CA管理学习专题》。完成CA数字证书办理在资料齐全的情况下预计7个工作日左右，建议供应商获取招标文件后立即办理。</w:t>
      </w:r>
    </w:p>
    <w:p>
      <w:pPr>
        <w:adjustRightInd w:val="0"/>
        <w:spacing w:line="360" w:lineRule="auto"/>
        <w:ind w:left="420" w:leftChars="200"/>
        <w:rPr>
          <w:rFonts w:ascii="宋体" w:hAnsi="宋体" w:cs="宋体"/>
          <w:color w:val="auto"/>
          <w:sz w:val="24"/>
          <w:szCs w:val="21"/>
          <w:highlight w:val="none"/>
        </w:rPr>
      </w:pPr>
      <w:r>
        <w:rPr>
          <w:rFonts w:hint="eastAsia" w:ascii="宋体" w:hAnsi="宋体" w:cs="宋体"/>
          <w:color w:val="auto"/>
          <w:sz w:val="24"/>
          <w:szCs w:val="21"/>
          <w:highlight w:val="none"/>
        </w:rPr>
        <w:t>《CA管理学习专题》：</w:t>
      </w:r>
    </w:p>
    <w:p>
      <w:pPr>
        <w:adjustRightInd w:val="0"/>
        <w:spacing w:line="360" w:lineRule="auto"/>
        <w:ind w:left="420" w:leftChars="200"/>
        <w:rPr>
          <w:rFonts w:ascii="宋体" w:hAnsi="宋体" w:cs="宋体"/>
          <w:color w:val="auto"/>
          <w:sz w:val="24"/>
          <w:szCs w:val="21"/>
          <w:highlight w:val="none"/>
        </w:rPr>
      </w:pPr>
      <w:r>
        <w:rPr>
          <w:rFonts w:hint="eastAsia" w:ascii="宋体" w:hAnsi="宋体" w:cs="宋体"/>
          <w:color w:val="auto"/>
          <w:sz w:val="24"/>
          <w:szCs w:val="21"/>
          <w:highlight w:val="none"/>
        </w:rPr>
        <w:t>https://edu.zcygov.cn/luban/ca?utm=web-government-front.380aac0a.0.0.fc2b6aa0b6e211ebbdb0dd007730dd44</w:t>
      </w:r>
    </w:p>
    <w:p>
      <w:pPr>
        <w:adjustRightInd w:val="0"/>
        <w:spacing w:line="360" w:lineRule="auto"/>
        <w:ind w:left="420" w:leftChars="200"/>
        <w:rPr>
          <w:rFonts w:ascii="宋体" w:hAnsi="宋体" w:cs="宋体"/>
          <w:color w:val="auto"/>
          <w:sz w:val="24"/>
          <w:szCs w:val="21"/>
          <w:highlight w:val="none"/>
        </w:rPr>
      </w:pPr>
      <w:r>
        <w:rPr>
          <w:rFonts w:hint="eastAsia" w:ascii="宋体" w:hAnsi="宋体" w:cs="宋体"/>
          <w:color w:val="auto"/>
          <w:sz w:val="24"/>
          <w:szCs w:val="21"/>
          <w:highlight w:val="none"/>
        </w:rPr>
        <w:t>《CA驱动和申领流程》:</w:t>
      </w:r>
    </w:p>
    <w:p>
      <w:pPr>
        <w:adjustRightInd w:val="0"/>
        <w:spacing w:line="360" w:lineRule="auto"/>
        <w:ind w:left="420" w:leftChars="200"/>
        <w:rPr>
          <w:rFonts w:ascii="宋体" w:hAnsi="宋体" w:cs="宋体"/>
          <w:color w:val="auto"/>
          <w:sz w:val="24"/>
          <w:highlight w:val="none"/>
        </w:rPr>
      </w:pPr>
      <w:r>
        <w:rPr>
          <w:color w:val="auto"/>
          <w:highlight w:val="none"/>
        </w:rPr>
        <w:fldChar w:fldCharType="begin"/>
      </w:r>
      <w:r>
        <w:rPr>
          <w:color w:val="auto"/>
          <w:highlight w:val="none"/>
        </w:rPr>
        <w:instrText xml:space="preserve"> HYPERLINK "http://zfcg.czt.zj.gov.cn/bidClientTemplate/2019-05-27/12945.html" </w:instrText>
      </w:r>
      <w:r>
        <w:rPr>
          <w:color w:val="auto"/>
          <w:highlight w:val="none"/>
        </w:rPr>
        <w:fldChar w:fldCharType="separate"/>
      </w:r>
      <w:r>
        <w:rPr>
          <w:rFonts w:hint="eastAsia" w:ascii="宋体" w:hAnsi="宋体" w:cs="宋体"/>
          <w:color w:val="auto"/>
          <w:sz w:val="24"/>
          <w:szCs w:val="21"/>
          <w:highlight w:val="none"/>
        </w:rPr>
        <w:t>http://zfcg.czt.zj.gov.cn/bidClientTemplate/2019-05-27/12945.html</w:t>
      </w:r>
      <w:r>
        <w:rPr>
          <w:rFonts w:hint="eastAsia" w:ascii="宋体" w:hAnsi="宋体" w:cs="宋体"/>
          <w:color w:val="auto"/>
          <w:sz w:val="24"/>
          <w:szCs w:val="21"/>
          <w:highlight w:val="none"/>
        </w:rPr>
        <w:fldChar w:fldCharType="end"/>
      </w:r>
    </w:p>
    <w:p>
      <w:pPr>
        <w:numPr>
          <w:ilvl w:val="0"/>
          <w:numId w:val="3"/>
        </w:num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投标文件制作：</w:t>
      </w:r>
    </w:p>
    <w:p>
      <w:pPr>
        <w:numPr>
          <w:ilvl w:val="0"/>
          <w:numId w:val="4"/>
        </w:num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应按照本项目招标文件和政企云平台的要求编制、加密并递交投标文件。供应商在使用系统进行投标的过程中遇到涉及平台使用的任何问题，可致电政企云平台技术支持热线咨询，联系方式：</w:t>
      </w:r>
      <w:r>
        <w:rPr>
          <w:rFonts w:hint="eastAsia" w:ascii="宋体" w:hAnsi="宋体" w:cs="宋体"/>
          <w:color w:val="auto"/>
          <w:sz w:val="24"/>
          <w:highlight w:val="none"/>
          <w:lang w:val="en-US" w:eastAsia="zh-CN"/>
        </w:rPr>
        <w:t>95763</w:t>
      </w:r>
      <w:r>
        <w:rPr>
          <w:rFonts w:hint="eastAsia" w:ascii="宋体" w:hAnsi="宋体" w:cs="宋体"/>
          <w:color w:val="auto"/>
          <w:sz w:val="24"/>
          <w:highlight w:val="none"/>
        </w:rPr>
        <w:t>。</w:t>
      </w:r>
    </w:p>
    <w:p>
      <w:pPr>
        <w:numPr>
          <w:ilvl w:val="0"/>
          <w:numId w:val="4"/>
        </w:numPr>
        <w:wordWrap w:val="0"/>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投标人通过“政企云”平台电子投标工具制作投标文件。</w:t>
      </w:r>
    </w:p>
    <w:p>
      <w:pPr>
        <w:adjustRightIn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《电子投标工具》：</w:t>
      </w:r>
    </w:p>
    <w:p>
      <w:pPr>
        <w:adjustRightInd w:val="0"/>
        <w:spacing w:line="360" w:lineRule="auto"/>
        <w:ind w:firstLine="420" w:firstLineChars="200"/>
        <w:jc w:val="left"/>
        <w:rPr>
          <w:rFonts w:ascii="宋体" w:hAnsi="宋体" w:cs="宋体"/>
          <w:color w:val="auto"/>
          <w:sz w:val="24"/>
          <w:highlight w:val="none"/>
        </w:rPr>
      </w:pPr>
      <w:r>
        <w:rPr>
          <w:color w:val="auto"/>
          <w:highlight w:val="none"/>
        </w:rPr>
        <w:fldChar w:fldCharType="begin"/>
      </w:r>
      <w:r>
        <w:rPr>
          <w:color w:val="auto"/>
          <w:highlight w:val="none"/>
        </w:rPr>
        <w:instrText xml:space="preserve"> HYPERLINK "http://zfcg.czt.zj.gov.cn/bidClientTemplate/2019-09-24/12975.html" </w:instrText>
      </w:r>
      <w:r>
        <w:rPr>
          <w:color w:val="auto"/>
          <w:highlight w:val="none"/>
        </w:rPr>
        <w:fldChar w:fldCharType="separate"/>
      </w:r>
      <w:r>
        <w:rPr>
          <w:rFonts w:hint="eastAsia" w:ascii="宋体" w:hAnsi="宋体" w:cs="宋体"/>
          <w:color w:val="auto"/>
          <w:sz w:val="24"/>
          <w:highlight w:val="none"/>
        </w:rPr>
        <w:t>http://zfcg.czt.zj.gov.cn/bidClientTemplate/2019-09-24/12975.html</w:t>
      </w:r>
      <w:r>
        <w:rPr>
          <w:rFonts w:hint="eastAsia" w:ascii="宋体" w:hAnsi="宋体" w:cs="宋体"/>
          <w:color w:val="auto"/>
          <w:sz w:val="24"/>
          <w:highlight w:val="none"/>
        </w:rPr>
        <w:fldChar w:fldCharType="end"/>
      </w:r>
    </w:p>
    <w:p>
      <w:pPr>
        <w:adjustRightIn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《供应商-国企采购项目电子交易操作指南》：(需登录账号后查看)</w:t>
      </w:r>
    </w:p>
    <w:p>
      <w:pPr>
        <w:adjustRightInd w:val="0"/>
        <w:spacing w:line="360" w:lineRule="auto"/>
        <w:ind w:firstLine="420" w:firstLineChars="200"/>
        <w:jc w:val="left"/>
        <w:rPr>
          <w:rFonts w:ascii="宋体" w:hAnsi="宋体" w:cs="宋体"/>
          <w:color w:val="auto"/>
          <w:sz w:val="24"/>
          <w:highlight w:val="none"/>
        </w:rPr>
      </w:pPr>
      <w:r>
        <w:rPr>
          <w:color w:val="auto"/>
          <w:highlight w:val="none"/>
        </w:rPr>
        <w:fldChar w:fldCharType="begin"/>
      </w:r>
      <w:r>
        <w:rPr>
          <w:color w:val="auto"/>
          <w:highlight w:val="none"/>
        </w:rPr>
        <w:instrText xml:space="preserve"> HYPERLINK "https://service.zcygov.cn/" \l "/knowledges/tree?tag=AG1DtGwBFdiHxlNdhY0r" </w:instrText>
      </w:r>
      <w:r>
        <w:rPr>
          <w:color w:val="auto"/>
          <w:highlight w:val="none"/>
        </w:rPr>
        <w:fldChar w:fldCharType="separate"/>
      </w:r>
      <w:r>
        <w:rPr>
          <w:rFonts w:hint="eastAsia" w:ascii="宋体" w:hAnsi="宋体" w:cs="宋体"/>
          <w:color w:val="auto"/>
          <w:sz w:val="24"/>
          <w:highlight w:val="none"/>
        </w:rPr>
        <w:t>https://service.zcygov.cn/#/knowledges/tree?tag=AG1DtGwBFdiHxlNdhY0r</w:t>
      </w:r>
      <w:r>
        <w:rPr>
          <w:rFonts w:hint="eastAsia" w:ascii="宋体" w:hAnsi="宋体" w:cs="宋体"/>
          <w:color w:val="auto"/>
          <w:sz w:val="24"/>
          <w:highlight w:val="none"/>
        </w:rPr>
        <w:fldChar w:fldCharType="end"/>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4.供应商在法定质疑期内应一次性提出针对同一采购程序环节的质疑。否则质疑将不予受理。</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5.投标人可指派授权代表递交备份文件，授权代表递交备份文件需携带法定代表人授权书原件，于投标截止时间前到达开标地点递交。</w:t>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6.特别提醒</w:t>
      </w:r>
    </w:p>
    <w:p>
      <w:pPr>
        <w:numPr>
          <w:ilvl w:val="0"/>
          <w:numId w:val="5"/>
        </w:numPr>
        <w:wordWrap w:val="0"/>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单位负责人为同一人或者存在直接控股、管理关系的不同供应商，不得参加同一合同项下的采购活动。</w:t>
      </w:r>
    </w:p>
    <w:p>
      <w:pPr>
        <w:numPr>
          <w:ilvl w:val="0"/>
          <w:numId w:val="5"/>
        </w:numPr>
        <w:adjustRightIn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 除单一来源采购项目外，为采购项目提供整体设计、规范编制或者项目管理、监理、检测等服务的供应商，不得再参加该采购项目的其他采购活动。</w:t>
      </w:r>
    </w:p>
    <w:p>
      <w:pPr>
        <w:adjustRightInd w:val="0"/>
        <w:spacing w:line="360" w:lineRule="auto"/>
        <w:ind w:firstLine="482" w:firstLineChars="200"/>
        <w:jc w:val="left"/>
        <w:rPr>
          <w:rFonts w:ascii="宋体" w:hAnsi="宋体" w:cs="宋体"/>
          <w:color w:val="auto"/>
          <w:sz w:val="24"/>
          <w:highlight w:val="none"/>
        </w:rPr>
      </w:pPr>
      <w:r>
        <w:rPr>
          <w:rFonts w:hint="eastAsia" w:ascii="宋体" w:hAnsi="宋体" w:cs="宋体"/>
          <w:b/>
          <w:color w:val="auto"/>
          <w:sz w:val="24"/>
          <w:highlight w:val="none"/>
        </w:rPr>
        <w:t>七、投标截止时间及要求：</w:t>
      </w:r>
      <w:r>
        <w:rPr>
          <w:rFonts w:hint="eastAsia" w:ascii="宋体" w:hAnsi="宋体" w:cs="宋体"/>
          <w:color w:val="0000FF"/>
          <w:sz w:val="24"/>
          <w:highlight w:val="none"/>
          <w:u w:val="single"/>
        </w:rPr>
        <w:t xml:space="preserve"> 202</w:t>
      </w:r>
      <w:r>
        <w:rPr>
          <w:rFonts w:hint="eastAsia" w:ascii="宋体" w:hAnsi="宋体" w:cs="宋体"/>
          <w:color w:val="0000FF"/>
          <w:sz w:val="24"/>
          <w:highlight w:val="none"/>
          <w:u w:val="single"/>
          <w:lang w:val="en-US" w:eastAsia="zh-CN"/>
        </w:rPr>
        <w:t>3</w:t>
      </w:r>
      <w:r>
        <w:rPr>
          <w:rFonts w:hint="eastAsia" w:ascii="宋体" w:hAnsi="宋体" w:cs="宋体"/>
          <w:color w:val="0000FF"/>
          <w:sz w:val="24"/>
          <w:highlight w:val="none"/>
          <w:u w:val="single"/>
        </w:rPr>
        <w:t xml:space="preserve"> </w:t>
      </w:r>
      <w:r>
        <w:rPr>
          <w:rFonts w:hint="eastAsia" w:ascii="宋体" w:hAnsi="宋体" w:cs="宋体"/>
          <w:color w:val="0000FF"/>
          <w:sz w:val="24"/>
          <w:highlight w:val="none"/>
        </w:rPr>
        <w:t>年</w:t>
      </w:r>
      <w:r>
        <w:rPr>
          <w:rFonts w:hint="eastAsia" w:ascii="宋体" w:hAnsi="宋体" w:cs="宋体"/>
          <w:color w:val="0000FF"/>
          <w:sz w:val="24"/>
          <w:highlight w:val="none"/>
          <w:u w:val="single"/>
          <w:lang w:val="en-US" w:eastAsia="zh-CN"/>
        </w:rPr>
        <w:t xml:space="preserve">  </w:t>
      </w:r>
      <w:r>
        <w:rPr>
          <w:rFonts w:hint="eastAsia" w:ascii="宋体" w:hAnsi="宋体" w:cs="宋体"/>
          <w:color w:val="0000FF"/>
          <w:sz w:val="24"/>
          <w:highlight w:val="none"/>
        </w:rPr>
        <w:t>月</w:t>
      </w:r>
      <w:r>
        <w:rPr>
          <w:rFonts w:hint="eastAsia" w:ascii="宋体" w:hAnsi="宋体" w:cs="宋体"/>
          <w:color w:val="0000FF"/>
          <w:sz w:val="24"/>
          <w:highlight w:val="none"/>
          <w:u w:val="single"/>
          <w:lang w:val="en-US" w:eastAsia="zh-CN"/>
        </w:rPr>
        <w:t xml:space="preserve">  </w:t>
      </w:r>
      <w:r>
        <w:rPr>
          <w:rFonts w:hint="eastAsia" w:ascii="宋体" w:hAnsi="宋体" w:cs="宋体"/>
          <w:color w:val="0000FF"/>
          <w:sz w:val="24"/>
          <w:highlight w:val="none"/>
        </w:rPr>
        <w:t>日</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 上 午</w:t>
      </w:r>
      <w:r>
        <w:rPr>
          <w:rFonts w:hint="eastAsia" w:ascii="宋体" w:hAnsi="宋体" w:cs="宋体"/>
          <w:color w:val="auto"/>
          <w:sz w:val="24"/>
          <w:highlight w:val="none"/>
          <w:u w:val="single"/>
        </w:rPr>
        <w:t xml:space="preserve"> 09 </w:t>
      </w:r>
      <w:r>
        <w:rPr>
          <w:rFonts w:hint="eastAsia" w:ascii="宋体" w:hAnsi="宋体" w:cs="宋体"/>
          <w:color w:val="auto"/>
          <w:sz w:val="24"/>
          <w:highlight w:val="none"/>
        </w:rPr>
        <w:t>时</w:t>
      </w:r>
      <w:r>
        <w:rPr>
          <w:rFonts w:hint="eastAsia" w:ascii="宋体" w:hAnsi="宋体" w:cs="宋体"/>
          <w:color w:val="auto"/>
          <w:sz w:val="24"/>
          <w:highlight w:val="none"/>
          <w:u w:val="single"/>
        </w:rPr>
        <w:t xml:space="preserve"> 30 </w:t>
      </w:r>
      <w:r>
        <w:rPr>
          <w:rFonts w:hint="eastAsia" w:ascii="宋体" w:hAnsi="宋体" w:cs="宋体"/>
          <w:color w:val="auto"/>
          <w:sz w:val="24"/>
          <w:highlight w:val="none"/>
        </w:rPr>
        <w:t>分整</w:t>
      </w:r>
      <w:r>
        <w:rPr>
          <w:rFonts w:hint="eastAsia" w:ascii="宋体" w:hAnsi="宋体" w:cs="宋体"/>
          <w:bCs/>
          <w:color w:val="auto"/>
          <w:kern w:val="0"/>
          <w:sz w:val="24"/>
          <w:highlight w:val="none"/>
        </w:rPr>
        <w:t>之前将电子投标文件上传到“政企云”平台。</w:t>
      </w:r>
    </w:p>
    <w:p>
      <w:pPr>
        <w:adjustRightInd w:val="0"/>
        <w:spacing w:line="360" w:lineRule="auto"/>
        <w:ind w:firstLine="482" w:firstLineChars="200"/>
        <w:jc w:val="left"/>
        <w:rPr>
          <w:rFonts w:ascii="宋体" w:hAnsi="宋体" w:cs="宋体"/>
          <w:color w:val="auto"/>
          <w:sz w:val="24"/>
          <w:highlight w:val="none"/>
        </w:rPr>
      </w:pPr>
      <w:r>
        <w:rPr>
          <w:rFonts w:hint="eastAsia" w:ascii="宋体" w:hAnsi="宋体" w:cs="宋体"/>
          <w:b/>
          <w:color w:val="auto"/>
          <w:sz w:val="24"/>
          <w:highlight w:val="none"/>
        </w:rPr>
        <w:t>八、开标时间及地点：</w:t>
      </w:r>
      <w:r>
        <w:rPr>
          <w:rFonts w:hint="eastAsia" w:ascii="宋体" w:hAnsi="宋体" w:cs="宋体"/>
          <w:color w:val="0000FF"/>
          <w:sz w:val="24"/>
          <w:highlight w:val="none"/>
          <w:u w:val="single"/>
        </w:rPr>
        <w:t xml:space="preserve"> 202</w:t>
      </w:r>
      <w:r>
        <w:rPr>
          <w:rFonts w:hint="eastAsia" w:ascii="宋体" w:hAnsi="宋体" w:cs="宋体"/>
          <w:color w:val="0000FF"/>
          <w:sz w:val="24"/>
          <w:highlight w:val="none"/>
          <w:u w:val="single"/>
          <w:lang w:val="en-US" w:eastAsia="zh-CN"/>
        </w:rPr>
        <w:t>3</w:t>
      </w:r>
      <w:r>
        <w:rPr>
          <w:rFonts w:hint="eastAsia" w:ascii="宋体" w:hAnsi="宋体" w:cs="宋体"/>
          <w:color w:val="0000FF"/>
          <w:sz w:val="24"/>
          <w:highlight w:val="none"/>
          <w:u w:val="single"/>
        </w:rPr>
        <w:t xml:space="preserve"> </w:t>
      </w:r>
      <w:r>
        <w:rPr>
          <w:rFonts w:hint="eastAsia" w:ascii="宋体" w:hAnsi="宋体" w:cs="宋体"/>
          <w:color w:val="0000FF"/>
          <w:sz w:val="24"/>
          <w:highlight w:val="none"/>
        </w:rPr>
        <w:t>年</w:t>
      </w:r>
      <w:r>
        <w:rPr>
          <w:rFonts w:hint="eastAsia" w:ascii="宋体" w:hAnsi="宋体" w:cs="宋体"/>
          <w:color w:val="0000FF"/>
          <w:sz w:val="24"/>
          <w:highlight w:val="none"/>
          <w:u w:val="single"/>
          <w:lang w:val="en-US" w:eastAsia="zh-CN"/>
        </w:rPr>
        <w:t xml:space="preserve">  </w:t>
      </w:r>
      <w:r>
        <w:rPr>
          <w:rFonts w:hint="eastAsia" w:ascii="宋体" w:hAnsi="宋体" w:cs="宋体"/>
          <w:color w:val="0000FF"/>
          <w:sz w:val="24"/>
          <w:highlight w:val="none"/>
        </w:rPr>
        <w:t>月</w:t>
      </w:r>
      <w:r>
        <w:rPr>
          <w:rFonts w:hint="eastAsia" w:ascii="宋体" w:hAnsi="宋体" w:cs="宋体"/>
          <w:color w:val="0000FF"/>
          <w:sz w:val="24"/>
          <w:highlight w:val="none"/>
          <w:u w:val="single"/>
          <w:lang w:val="en-US" w:eastAsia="zh-CN"/>
        </w:rPr>
        <w:t xml:space="preserve">  </w:t>
      </w:r>
      <w:r>
        <w:rPr>
          <w:rFonts w:hint="eastAsia" w:ascii="宋体" w:hAnsi="宋体" w:cs="宋体"/>
          <w:color w:val="0000FF"/>
          <w:sz w:val="24"/>
          <w:highlight w:val="none"/>
        </w:rPr>
        <w:t xml:space="preserve">日 </w:t>
      </w:r>
      <w:r>
        <w:rPr>
          <w:rFonts w:hint="eastAsia" w:ascii="宋体" w:hAnsi="宋体" w:cs="宋体"/>
          <w:color w:val="0000FF"/>
          <w:sz w:val="24"/>
          <w:highlight w:val="none"/>
          <w:lang w:val="en-US" w:eastAsia="zh-CN"/>
        </w:rPr>
        <w:t xml:space="preserve"> </w:t>
      </w:r>
      <w:r>
        <w:rPr>
          <w:rFonts w:hint="eastAsia" w:ascii="宋体" w:hAnsi="宋体" w:cs="宋体"/>
          <w:color w:val="auto"/>
          <w:sz w:val="24"/>
          <w:highlight w:val="none"/>
        </w:rPr>
        <w:t>上 午</w:t>
      </w:r>
      <w:r>
        <w:rPr>
          <w:rFonts w:hint="eastAsia" w:ascii="宋体" w:hAnsi="宋体" w:cs="宋体"/>
          <w:color w:val="auto"/>
          <w:sz w:val="24"/>
          <w:highlight w:val="none"/>
          <w:u w:val="single"/>
        </w:rPr>
        <w:t xml:space="preserve"> 09 </w:t>
      </w:r>
      <w:r>
        <w:rPr>
          <w:rFonts w:hint="eastAsia" w:ascii="宋体" w:hAnsi="宋体" w:cs="宋体"/>
          <w:color w:val="auto"/>
          <w:sz w:val="24"/>
          <w:highlight w:val="none"/>
        </w:rPr>
        <w:t>时</w:t>
      </w:r>
      <w:r>
        <w:rPr>
          <w:rFonts w:hint="eastAsia" w:ascii="宋体" w:hAnsi="宋体" w:cs="宋体"/>
          <w:color w:val="auto"/>
          <w:sz w:val="24"/>
          <w:highlight w:val="none"/>
          <w:u w:val="single"/>
        </w:rPr>
        <w:t xml:space="preserve"> 30 </w:t>
      </w:r>
      <w:r>
        <w:rPr>
          <w:rFonts w:hint="eastAsia" w:ascii="宋体" w:hAnsi="宋体" w:cs="宋体"/>
          <w:color w:val="auto"/>
          <w:sz w:val="24"/>
          <w:highlight w:val="none"/>
        </w:rPr>
        <w:t>分</w:t>
      </w:r>
      <w:bookmarkStart w:id="12" w:name="B30_开标地点"/>
      <w:r>
        <w:rPr>
          <w:rFonts w:hint="eastAsia" w:ascii="宋体" w:hAnsi="宋体" w:cs="宋体"/>
          <w:color w:val="auto"/>
          <w:sz w:val="24"/>
          <w:highlight w:val="none"/>
        </w:rPr>
        <w:t>整在绍兴市上虞区公共资源交易中心</w:t>
      </w:r>
      <w:r>
        <w:rPr>
          <w:rFonts w:hint="eastAsia" w:ascii="宋体" w:hAnsi="宋体" w:cs="宋体"/>
          <w:color w:val="0000FF"/>
          <w:sz w:val="24"/>
          <w:highlight w:val="none"/>
        </w:rPr>
        <w:t>三楼</w:t>
      </w:r>
      <w:r>
        <w:rPr>
          <w:rFonts w:hint="eastAsia" w:ascii="宋体" w:hAnsi="宋体" w:cs="宋体"/>
          <w:color w:val="0000FF"/>
          <w:sz w:val="24"/>
          <w:highlight w:val="none"/>
          <w:lang w:val="en-US" w:eastAsia="zh-CN"/>
        </w:rPr>
        <w:t xml:space="preserve">  </w:t>
      </w:r>
      <w:r>
        <w:rPr>
          <w:rFonts w:hint="eastAsia" w:ascii="宋体" w:hAnsi="宋体" w:cs="宋体"/>
          <w:color w:val="0000FF"/>
          <w:sz w:val="24"/>
          <w:highlight w:val="none"/>
        </w:rPr>
        <w:t>开标室</w:t>
      </w:r>
      <w:r>
        <w:rPr>
          <w:rFonts w:hint="eastAsia" w:ascii="宋体" w:hAnsi="宋体" w:cs="宋体"/>
          <w:color w:val="auto"/>
          <w:sz w:val="24"/>
          <w:highlight w:val="none"/>
        </w:rPr>
        <w:t>开标。</w:t>
      </w:r>
      <w:bookmarkEnd w:id="12"/>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开标时间后30分钟内</w:t>
      </w:r>
      <w:r>
        <w:rPr>
          <w:rFonts w:hint="eastAsia" w:ascii="宋体" w:hAnsi="宋体" w:cs="宋体"/>
          <w:color w:val="0000FF"/>
          <w:sz w:val="24"/>
          <w:highlight w:val="none"/>
        </w:rPr>
        <w:t>（202</w:t>
      </w:r>
      <w:r>
        <w:rPr>
          <w:rFonts w:hint="eastAsia" w:ascii="宋体" w:hAnsi="宋体" w:cs="宋体"/>
          <w:color w:val="0000FF"/>
          <w:sz w:val="24"/>
          <w:highlight w:val="none"/>
          <w:lang w:val="en-US" w:eastAsia="zh-CN"/>
        </w:rPr>
        <w:t>3</w:t>
      </w:r>
      <w:r>
        <w:rPr>
          <w:rFonts w:hint="eastAsia" w:ascii="宋体" w:hAnsi="宋体" w:cs="宋体"/>
          <w:color w:val="0000FF"/>
          <w:sz w:val="24"/>
          <w:highlight w:val="none"/>
        </w:rPr>
        <w:t>年</w:t>
      </w:r>
      <w:r>
        <w:rPr>
          <w:rFonts w:hint="eastAsia" w:ascii="宋体" w:hAnsi="宋体" w:cs="宋体"/>
          <w:color w:val="0000FF"/>
          <w:sz w:val="24"/>
          <w:highlight w:val="none"/>
          <w:lang w:val="en-US" w:eastAsia="zh-CN"/>
        </w:rPr>
        <w:t xml:space="preserve"> </w:t>
      </w:r>
      <w:r>
        <w:rPr>
          <w:rFonts w:hint="eastAsia" w:ascii="宋体" w:hAnsi="宋体" w:cs="宋体"/>
          <w:color w:val="0000FF"/>
          <w:sz w:val="24"/>
          <w:highlight w:val="none"/>
        </w:rPr>
        <w:t>月</w:t>
      </w:r>
      <w:r>
        <w:rPr>
          <w:rFonts w:hint="eastAsia" w:ascii="宋体" w:hAnsi="宋体" w:cs="宋体"/>
          <w:color w:val="0000FF"/>
          <w:sz w:val="24"/>
          <w:highlight w:val="none"/>
          <w:lang w:val="en-US" w:eastAsia="zh-CN"/>
        </w:rPr>
        <w:t xml:space="preserve"> </w:t>
      </w:r>
      <w:r>
        <w:rPr>
          <w:rFonts w:hint="eastAsia" w:ascii="宋体" w:hAnsi="宋体" w:cs="宋体"/>
          <w:color w:val="0000FF"/>
          <w:sz w:val="24"/>
          <w:highlight w:val="none"/>
        </w:rPr>
        <w:t>日 10 : 00 前）</w:t>
      </w:r>
      <w:r>
        <w:rPr>
          <w:rFonts w:hint="eastAsia" w:ascii="宋体" w:hAnsi="宋体" w:cs="宋体"/>
          <w:color w:val="auto"/>
          <w:sz w:val="24"/>
          <w:highlight w:val="none"/>
        </w:rPr>
        <w:t>供应商可以登录“政企云”平台，用“项目采购-开标评标”功能进行解密投标文件。若供应商在规定</w:t>
      </w:r>
      <w:r>
        <w:rPr>
          <w:rFonts w:hint="eastAsia" w:hAnsi="宋体" w:cs="宋体"/>
          <w:color w:val="auto"/>
          <w:sz w:val="24"/>
          <w:highlight w:val="none"/>
        </w:rPr>
        <w:t>时间内</w:t>
      </w:r>
      <w:r>
        <w:rPr>
          <w:rFonts w:hint="eastAsia" w:hAnsi="宋体" w:cs="宋体"/>
          <w:color w:val="0000FF"/>
          <w:sz w:val="24"/>
          <w:highlight w:val="none"/>
        </w:rPr>
        <w:t>（202</w:t>
      </w:r>
      <w:r>
        <w:rPr>
          <w:rFonts w:hint="eastAsia" w:hAnsi="宋体" w:cs="宋体"/>
          <w:color w:val="0000FF"/>
          <w:sz w:val="24"/>
          <w:highlight w:val="none"/>
          <w:lang w:val="en-US" w:eastAsia="zh-CN"/>
        </w:rPr>
        <w:t>3</w:t>
      </w:r>
      <w:r>
        <w:rPr>
          <w:rFonts w:hint="eastAsia" w:hAnsi="宋体" w:cs="宋体"/>
          <w:color w:val="0000FF"/>
          <w:sz w:val="24"/>
          <w:highlight w:val="none"/>
        </w:rPr>
        <w:t>年</w:t>
      </w:r>
      <w:r>
        <w:rPr>
          <w:rFonts w:hint="eastAsia" w:hAnsi="宋体" w:cs="宋体"/>
          <w:color w:val="0000FF"/>
          <w:sz w:val="24"/>
          <w:highlight w:val="none"/>
          <w:lang w:val="en-US" w:eastAsia="zh-CN"/>
        </w:rPr>
        <w:t xml:space="preserve"> </w:t>
      </w:r>
      <w:r>
        <w:rPr>
          <w:rFonts w:hint="eastAsia" w:hAnsi="宋体" w:cs="宋体"/>
          <w:color w:val="0000FF"/>
          <w:sz w:val="24"/>
          <w:highlight w:val="none"/>
        </w:rPr>
        <w:t>月</w:t>
      </w:r>
      <w:r>
        <w:rPr>
          <w:rFonts w:hint="eastAsia" w:hAnsi="宋体" w:cs="宋体"/>
          <w:color w:val="0000FF"/>
          <w:sz w:val="24"/>
          <w:highlight w:val="none"/>
          <w:lang w:val="en-US" w:eastAsia="zh-CN"/>
        </w:rPr>
        <w:t xml:space="preserve"> </w:t>
      </w:r>
      <w:r>
        <w:rPr>
          <w:rFonts w:hint="eastAsia" w:hAnsi="宋体" w:cs="宋体"/>
          <w:color w:val="0000FF"/>
          <w:sz w:val="24"/>
          <w:highlight w:val="none"/>
        </w:rPr>
        <w:t>日 10 : 00 前）</w:t>
      </w:r>
      <w:r>
        <w:rPr>
          <w:rFonts w:hint="eastAsia" w:hAnsi="宋体" w:cs="宋体"/>
          <w:color w:val="auto"/>
          <w:sz w:val="24"/>
          <w:highlight w:val="none"/>
        </w:rPr>
        <w:t>解密</w:t>
      </w:r>
      <w:r>
        <w:rPr>
          <w:rFonts w:hint="eastAsia" w:ascii="宋体" w:hAnsi="宋体" w:cs="宋体"/>
          <w:color w:val="auto"/>
          <w:sz w:val="24"/>
          <w:highlight w:val="none"/>
        </w:rPr>
        <w:t>失败，则由采购代理机构工作人员上传投标人提供的备份文件。备份文件</w:t>
      </w:r>
      <w:r>
        <w:rPr>
          <w:rFonts w:hint="eastAsia" w:hAnsi="宋体" w:cs="宋体"/>
          <w:color w:val="auto"/>
          <w:sz w:val="24"/>
          <w:highlight w:val="none"/>
        </w:rPr>
        <w:t>（后缀名为</w:t>
      </w:r>
      <w:r>
        <w:rPr>
          <w:rFonts w:hint="eastAsia" w:ascii="宋体" w:hAnsi="宋体" w:cs="宋体"/>
          <w:color w:val="auto"/>
          <w:sz w:val="24"/>
          <w:highlight w:val="none"/>
        </w:rPr>
        <w:t>.bfbs</w:t>
      </w:r>
      <w:r>
        <w:rPr>
          <w:rFonts w:hint="eastAsia" w:hAnsi="宋体" w:cs="宋体"/>
          <w:color w:val="auto"/>
          <w:sz w:val="24"/>
          <w:highlight w:val="none"/>
        </w:rPr>
        <w:t>）</w:t>
      </w:r>
      <w:r>
        <w:rPr>
          <w:rFonts w:hint="eastAsia" w:ascii="宋体" w:hAnsi="宋体" w:cs="宋体"/>
          <w:color w:val="auto"/>
          <w:sz w:val="24"/>
          <w:highlight w:val="none"/>
        </w:rPr>
        <w:t>须存储在U盘中，与上传的电子投标文件一致，用信封进行密封并盖章</w:t>
      </w:r>
      <w:r>
        <w:rPr>
          <w:rFonts w:hint="eastAsia" w:hAnsi="宋体" w:cs="宋体"/>
          <w:color w:val="auto"/>
          <w:sz w:val="24"/>
          <w:highlight w:val="none"/>
        </w:rPr>
        <w:t>，由授权代表在投标截止时间前递交至开标地点。</w:t>
      </w:r>
      <w:r>
        <w:rPr>
          <w:rFonts w:hint="eastAsia" w:ascii="宋体" w:hAnsi="宋体" w:cs="宋体"/>
          <w:color w:val="auto"/>
          <w:sz w:val="24"/>
          <w:highlight w:val="none"/>
        </w:rPr>
        <w:t>若电子投标文件正常解锁，则U盘退还给供应商；若解锁失败，则由采购代理机构将U盘中的备份文件上传，该U盘将由采购代理机构保存。</w:t>
      </w:r>
    </w:p>
    <w:p>
      <w:pPr>
        <w:adjustRightInd w:val="0"/>
        <w:spacing w:line="360" w:lineRule="auto"/>
        <w:ind w:firstLine="480" w:firstLineChars="200"/>
        <w:rPr>
          <w:rFonts w:ascii="宋体" w:hAnsi="宋体" w:cs="宋体"/>
          <w:bCs/>
          <w:color w:val="auto"/>
          <w:kern w:val="0"/>
          <w:sz w:val="24"/>
          <w:highlight w:val="none"/>
        </w:rPr>
      </w:pPr>
      <w:r>
        <w:rPr>
          <w:rFonts w:hint="eastAsia" w:ascii="宋体" w:hAnsi="宋体" w:cs="宋体"/>
          <w:color w:val="auto"/>
          <w:sz w:val="24"/>
          <w:highlight w:val="none"/>
        </w:rPr>
        <w:t>本次开标（不）提供现场视频。</w:t>
      </w:r>
    </w:p>
    <w:p>
      <w:pPr>
        <w:adjustRightInd w:val="0"/>
        <w:spacing w:line="360" w:lineRule="auto"/>
        <w:ind w:firstLine="482" w:firstLineChars="200"/>
        <w:rPr>
          <w:rFonts w:ascii="宋体" w:hAnsi="宋体" w:cs="宋体"/>
          <w:b/>
          <w:color w:val="auto"/>
          <w:kern w:val="0"/>
          <w:sz w:val="24"/>
          <w:highlight w:val="none"/>
        </w:rPr>
      </w:pPr>
      <w:r>
        <w:rPr>
          <w:rFonts w:hint="eastAsia" w:ascii="宋体" w:hAnsi="宋体" w:cs="宋体"/>
          <w:b/>
          <w:bCs/>
          <w:color w:val="auto"/>
          <w:sz w:val="24"/>
          <w:highlight w:val="none"/>
        </w:rPr>
        <w:t>九、投标保证金：</w:t>
      </w:r>
      <w:r>
        <w:rPr>
          <w:rFonts w:hint="eastAsia" w:ascii="宋体" w:hAnsi="宋体" w:cs="宋体"/>
          <w:b/>
          <w:color w:val="auto"/>
          <w:kern w:val="0"/>
          <w:sz w:val="24"/>
          <w:highlight w:val="none"/>
          <w:u w:val="single"/>
        </w:rPr>
        <w:t>本项目不设置投标保证金</w:t>
      </w:r>
      <w:r>
        <w:rPr>
          <w:rFonts w:hint="eastAsia" w:ascii="宋体" w:hAnsi="宋体" w:cs="宋体"/>
          <w:b/>
          <w:color w:val="auto"/>
          <w:kern w:val="0"/>
          <w:sz w:val="24"/>
          <w:highlight w:val="none"/>
        </w:rPr>
        <w:t>。</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十、公告期限：5个工作日</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十一、联系方式：</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1.采购代理机构名称：浙江宇康工程管理咨询有限公司</w:t>
      </w:r>
    </w:p>
    <w:p>
      <w:pPr>
        <w:adjustRightIn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联系人：</w:t>
      </w:r>
      <w:r>
        <w:rPr>
          <w:rFonts w:hint="eastAsia" w:ascii="宋体" w:hAnsi="宋体" w:cs="宋体"/>
          <w:color w:val="auto"/>
          <w:sz w:val="24"/>
          <w:highlight w:val="none"/>
          <w:lang w:val="en-US" w:eastAsia="zh-CN"/>
        </w:rPr>
        <w:t>阮雨晴</w:t>
      </w:r>
    </w:p>
    <w:p>
      <w:pPr>
        <w:adjustRightInd w:val="0"/>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联系电话：1</w:t>
      </w:r>
      <w:r>
        <w:rPr>
          <w:rFonts w:hint="eastAsia" w:ascii="宋体" w:hAnsi="宋体" w:cs="宋体"/>
          <w:color w:val="auto"/>
          <w:sz w:val="24"/>
          <w:highlight w:val="none"/>
          <w:lang w:val="en-US" w:eastAsia="zh-CN"/>
        </w:rPr>
        <w:t>8758328374</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地址：绍兴市上虞区百官街道江东北路588号百官广场30楼</w:t>
      </w:r>
    </w:p>
    <w:p>
      <w:pPr>
        <w:adjustRightIn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2.采购人名称：</w:t>
      </w:r>
      <w:r>
        <w:rPr>
          <w:rFonts w:hint="eastAsia" w:ascii="宋体" w:hAnsi="宋体" w:cs="宋体"/>
          <w:color w:val="auto"/>
          <w:sz w:val="24"/>
          <w:highlight w:val="none"/>
          <w:lang w:eastAsia="zh-CN"/>
        </w:rPr>
        <w:t>绍兴市上虞区特色小镇投资建设有限公司</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lang w:val="en-US" w:eastAsia="zh-CN"/>
        </w:rPr>
        <w:t>许</w:t>
      </w:r>
      <w:r>
        <w:rPr>
          <w:rFonts w:hint="eastAsia" w:ascii="宋体" w:hAnsi="宋体" w:cs="宋体"/>
          <w:color w:val="auto"/>
          <w:sz w:val="24"/>
          <w:highlight w:val="none"/>
        </w:rPr>
        <w:t xml:space="preserve">先生            </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联系电话：0575-81282172</w:t>
      </w:r>
    </w:p>
    <w:p>
      <w:pPr>
        <w:adjustRightIn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地址：绍兴市上虞区曹娥街道虞舜大道777号</w:t>
      </w:r>
    </w:p>
    <w:p>
      <w:pPr>
        <w:adjustRightIn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 xml:space="preserve">3、采购主管部门：绍兴市上虞区e游小镇管理委员会 </w:t>
      </w:r>
    </w:p>
    <w:p>
      <w:pPr>
        <w:adjustRightIn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联系人：</w:t>
      </w:r>
      <w:r>
        <w:rPr>
          <w:rFonts w:hint="eastAsia" w:ascii="宋体" w:hAnsi="宋体" w:cs="宋体"/>
          <w:color w:val="auto"/>
          <w:sz w:val="24"/>
          <w:highlight w:val="none"/>
          <w:lang w:val="en-US" w:eastAsia="zh-CN"/>
        </w:rPr>
        <w:t>金先</w:t>
      </w:r>
      <w:r>
        <w:rPr>
          <w:rFonts w:hint="eastAsia" w:ascii="宋体" w:hAnsi="宋体" w:eastAsia="宋体" w:cs="宋体"/>
          <w:color w:val="auto"/>
          <w:sz w:val="24"/>
          <w:highlight w:val="none"/>
          <w:lang w:eastAsia="zh-CN"/>
        </w:rPr>
        <w:t xml:space="preserve">生      </w:t>
      </w:r>
    </w:p>
    <w:p>
      <w:pPr>
        <w:adjustRightIn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联系电话：0575-81282171</w:t>
      </w:r>
    </w:p>
    <w:p>
      <w:pPr>
        <w:pStyle w:val="11"/>
        <w:ind w:left="0" w:leftChars="0" w:firstLine="480" w:firstLineChars="200"/>
        <w:rPr>
          <w:rFonts w:hint="default" w:eastAsia="宋体"/>
          <w:color w:val="auto"/>
          <w:highlight w:val="none"/>
          <w:lang w:val="en-US" w:eastAsia="zh-CN"/>
        </w:rPr>
      </w:pPr>
      <w:r>
        <w:rPr>
          <w:rFonts w:hint="eastAsia" w:ascii="宋体" w:hAnsi="宋体" w:eastAsia="宋体" w:cs="宋体"/>
          <w:color w:val="auto"/>
          <w:sz w:val="24"/>
          <w:highlight w:val="none"/>
          <w:lang w:eastAsia="zh-CN"/>
        </w:rPr>
        <w:t>地址：</w:t>
      </w:r>
      <w:r>
        <w:rPr>
          <w:rFonts w:hint="eastAsia" w:ascii="宋体" w:hAnsi="宋体" w:cs="宋体"/>
          <w:color w:val="auto"/>
          <w:sz w:val="24"/>
          <w:highlight w:val="none"/>
          <w:lang w:val="en-US" w:eastAsia="zh-CN"/>
        </w:rPr>
        <w:t>绍兴市上虞区曹娥街道虞舜大道777号</w:t>
      </w:r>
    </w:p>
    <w:p>
      <w:pPr>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br w:type="page"/>
      </w:r>
      <w:bookmarkStart w:id="13" w:name="_Toc26848"/>
      <w:r>
        <w:rPr>
          <w:rFonts w:hint="eastAsia" w:ascii="宋体" w:hAnsi="宋体" w:cs="宋体"/>
          <w:b/>
          <w:color w:val="auto"/>
          <w:sz w:val="36"/>
          <w:szCs w:val="20"/>
          <w:highlight w:val="none"/>
        </w:rPr>
        <w:t>第二部分</w:t>
      </w:r>
      <w:bookmarkEnd w:id="7"/>
      <w:bookmarkEnd w:id="8"/>
      <w:r>
        <w:rPr>
          <w:rFonts w:hint="eastAsia" w:ascii="宋体" w:hAnsi="宋体" w:cs="宋体"/>
          <w:b/>
          <w:color w:val="auto"/>
          <w:sz w:val="36"/>
          <w:szCs w:val="20"/>
          <w:highlight w:val="none"/>
        </w:rPr>
        <w:t>投标须知</w:t>
      </w:r>
      <w:bookmarkEnd w:id="13"/>
    </w:p>
    <w:p>
      <w:pPr>
        <w:widowControl/>
        <w:adjustRightInd w:val="0"/>
        <w:snapToGrid w:val="0"/>
        <w:spacing w:line="360" w:lineRule="auto"/>
        <w:jc w:val="center"/>
        <w:rPr>
          <w:rFonts w:ascii="宋体" w:hAnsi="宋体" w:cs="宋体"/>
          <w:b/>
          <w:snapToGrid w:val="0"/>
          <w:color w:val="auto"/>
          <w:kern w:val="0"/>
          <w:sz w:val="32"/>
          <w:szCs w:val="32"/>
          <w:highlight w:val="none"/>
        </w:rPr>
      </w:pPr>
      <w:r>
        <w:rPr>
          <w:rFonts w:hint="eastAsia" w:ascii="宋体" w:hAnsi="宋体" w:cs="宋体"/>
          <w:b/>
          <w:snapToGrid w:val="0"/>
          <w:color w:val="auto"/>
          <w:kern w:val="0"/>
          <w:sz w:val="30"/>
          <w:szCs w:val="30"/>
          <w:highlight w:val="none"/>
        </w:rPr>
        <w:t>前附表</w:t>
      </w:r>
    </w:p>
    <w:tbl>
      <w:tblPr>
        <w:tblStyle w:val="21"/>
        <w:tblW w:w="931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36"/>
        <w:gridCol w:w="1800"/>
        <w:gridCol w:w="66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blHeader/>
          <w:jc w:val="center"/>
        </w:trPr>
        <w:tc>
          <w:tcPr>
            <w:tcW w:w="836" w:type="dxa"/>
            <w:noWrap/>
            <w:vAlign w:val="center"/>
          </w:tcPr>
          <w:p>
            <w:pPr>
              <w:snapToGrid w:val="0"/>
              <w:spacing w:line="360" w:lineRule="exact"/>
              <w:jc w:val="center"/>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序号</w:t>
            </w:r>
          </w:p>
        </w:tc>
        <w:tc>
          <w:tcPr>
            <w:tcW w:w="1800" w:type="dxa"/>
            <w:noWrap/>
            <w:vAlign w:val="center"/>
          </w:tcPr>
          <w:p>
            <w:pPr>
              <w:snapToGrid w:val="0"/>
              <w:spacing w:line="360" w:lineRule="exact"/>
              <w:jc w:val="center"/>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项目</w:t>
            </w:r>
          </w:p>
        </w:tc>
        <w:tc>
          <w:tcPr>
            <w:tcW w:w="6682" w:type="dxa"/>
            <w:noWrap/>
            <w:vAlign w:val="center"/>
          </w:tcPr>
          <w:p>
            <w:pPr>
              <w:snapToGrid w:val="0"/>
              <w:spacing w:line="360" w:lineRule="exact"/>
              <w:jc w:val="center"/>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w:t>
            </w:r>
          </w:p>
        </w:tc>
        <w:tc>
          <w:tcPr>
            <w:tcW w:w="1800"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项目名称</w:t>
            </w:r>
          </w:p>
        </w:tc>
        <w:tc>
          <w:tcPr>
            <w:tcW w:w="6682" w:type="dxa"/>
            <w:noWrap/>
            <w:vAlign w:val="center"/>
          </w:tcPr>
          <w:p>
            <w:pPr>
              <w:snapToGrid w:val="0"/>
              <w:spacing w:line="360" w:lineRule="exact"/>
              <w:ind w:firstLine="420" w:firstLineChars="200"/>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第三届中国·绍兴“万亩千亿”新产业平台全球创业大赛生命健康专项赛暨上虞未来城“未来场景·未来产业”创业大赛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w:t>
            </w:r>
          </w:p>
        </w:tc>
        <w:tc>
          <w:tcPr>
            <w:tcW w:w="1800"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项目实施时间</w:t>
            </w:r>
          </w:p>
        </w:tc>
        <w:tc>
          <w:tcPr>
            <w:tcW w:w="6682" w:type="dxa"/>
            <w:noWrap/>
            <w:vAlign w:val="center"/>
          </w:tcPr>
          <w:p>
            <w:pPr>
              <w:widowControl/>
              <w:spacing w:before="100" w:after="100" w:line="336" w:lineRule="auto"/>
              <w:ind w:firstLine="527" w:firstLineChars="250"/>
              <w:jc w:val="left"/>
              <w:rPr>
                <w:rFonts w:ascii="宋体" w:hAnsi="宋体" w:cs="宋体"/>
                <w:color w:val="auto"/>
                <w:sz w:val="24"/>
                <w:highlight w:val="none"/>
              </w:rPr>
            </w:pPr>
            <w:r>
              <w:rPr>
                <w:rFonts w:hint="eastAsia" w:ascii="宋体" w:hAnsi="宋体" w:cs="宋体"/>
                <w:b/>
                <w:bCs/>
                <w:snapToGrid w:val="0"/>
                <w:color w:val="auto"/>
                <w:kern w:val="0"/>
                <w:highlight w:val="none"/>
              </w:rPr>
              <w:t>自合同签订之日起至合同履行完毕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w:t>
            </w:r>
          </w:p>
        </w:tc>
        <w:tc>
          <w:tcPr>
            <w:tcW w:w="1800" w:type="dxa"/>
            <w:noWrap/>
            <w:vAlign w:val="center"/>
          </w:tcPr>
          <w:p>
            <w:pPr>
              <w:snapToGrid w:val="0"/>
              <w:spacing w:line="360" w:lineRule="exact"/>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最高限价</w:t>
            </w:r>
          </w:p>
        </w:tc>
        <w:tc>
          <w:tcPr>
            <w:tcW w:w="6682" w:type="dxa"/>
            <w:noWrap/>
            <w:vAlign w:val="center"/>
          </w:tcPr>
          <w:p>
            <w:pPr>
              <w:snapToGrid w:val="0"/>
              <w:ind w:firstLine="420" w:firstLineChars="200"/>
              <w:rPr>
                <w:color w:val="auto"/>
                <w:highlight w:val="none"/>
              </w:rPr>
            </w:pPr>
            <w:r>
              <w:rPr>
                <w:rFonts w:hint="eastAsia" w:ascii="宋体" w:hAnsi="宋体" w:cs="宋体"/>
                <w:color w:val="auto"/>
                <w:highlight w:val="none"/>
              </w:rPr>
              <w:t>本项目最高限价人民币</w:t>
            </w:r>
            <w:r>
              <w:rPr>
                <w:rFonts w:hint="eastAsia" w:ascii="宋体" w:hAnsi="宋体" w:cs="宋体"/>
                <w:color w:val="auto"/>
                <w:highlight w:val="none"/>
                <w:u w:val="single"/>
              </w:rPr>
              <w:t>3</w:t>
            </w:r>
            <w:r>
              <w:rPr>
                <w:rFonts w:hint="eastAsia" w:ascii="宋体" w:hAnsi="宋体" w:cs="宋体"/>
                <w:color w:val="auto"/>
                <w:highlight w:val="none"/>
                <w:u w:val="single"/>
                <w:lang w:val="en-US" w:eastAsia="zh-CN"/>
              </w:rPr>
              <w:t>40</w:t>
            </w:r>
            <w:r>
              <w:rPr>
                <w:rFonts w:hint="eastAsia" w:ascii="宋体" w:hAnsi="宋体" w:cs="宋体"/>
                <w:color w:val="auto"/>
                <w:highlight w:val="none"/>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                                                                                                   4</w:t>
            </w:r>
          </w:p>
        </w:tc>
        <w:tc>
          <w:tcPr>
            <w:tcW w:w="1800"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资格审查方式</w:t>
            </w:r>
          </w:p>
        </w:tc>
        <w:tc>
          <w:tcPr>
            <w:tcW w:w="6682" w:type="dxa"/>
            <w:noWrap/>
            <w:vAlign w:val="center"/>
          </w:tcPr>
          <w:p>
            <w:pPr>
              <w:snapToGrid w:val="0"/>
              <w:spacing w:line="360" w:lineRule="exact"/>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资格审查是指开标后，采购人或采购代理机构将依据法律法规和招标文件的规定对投标人的资格进行审查。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5</w:t>
            </w:r>
          </w:p>
        </w:tc>
        <w:tc>
          <w:tcPr>
            <w:tcW w:w="1800"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踏勘现场</w:t>
            </w:r>
          </w:p>
        </w:tc>
        <w:tc>
          <w:tcPr>
            <w:tcW w:w="6682" w:type="dxa"/>
            <w:noWrap/>
            <w:vAlign w:val="center"/>
          </w:tcPr>
          <w:p>
            <w:pPr>
              <w:snapToGrid w:val="0"/>
              <w:spacing w:line="360" w:lineRule="exact"/>
              <w:ind w:firstLine="422" w:firstLineChars="200"/>
              <w:rPr>
                <w:rFonts w:ascii="宋体" w:hAnsi="宋体" w:cs="宋体"/>
                <w:snapToGrid w:val="0"/>
                <w:color w:val="auto"/>
                <w:kern w:val="0"/>
                <w:szCs w:val="21"/>
                <w:highlight w:val="none"/>
              </w:rPr>
            </w:pPr>
            <w:r>
              <w:rPr>
                <w:rFonts w:hint="eastAsia" w:ascii="宋体" w:hAnsi="宋体" w:cs="宋体"/>
                <w:b/>
                <w:snapToGrid w:val="0"/>
                <w:color w:val="auto"/>
                <w:kern w:val="0"/>
                <w:szCs w:val="21"/>
                <w:highlight w:val="none"/>
              </w:rPr>
              <w:t>本项目不组织现场踏勘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6</w:t>
            </w:r>
          </w:p>
        </w:tc>
        <w:tc>
          <w:tcPr>
            <w:tcW w:w="1800"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询问</w:t>
            </w:r>
          </w:p>
        </w:tc>
        <w:tc>
          <w:tcPr>
            <w:tcW w:w="6682" w:type="dxa"/>
            <w:noWrap/>
            <w:vAlign w:val="center"/>
          </w:tcPr>
          <w:p>
            <w:pPr>
              <w:snapToGrid w:val="0"/>
              <w:spacing w:line="360" w:lineRule="exact"/>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供应商对国企采购活动事项有疑问的，可以向采购机构提出询问，采购人或者招标代理机构应当在3个工作日内对供应商依法提出的询问作出答复，但答复的内容不得涉及商业秘密。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7</w:t>
            </w:r>
          </w:p>
        </w:tc>
        <w:tc>
          <w:tcPr>
            <w:tcW w:w="1800"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招标文件的澄清与修改</w:t>
            </w:r>
          </w:p>
        </w:tc>
        <w:tc>
          <w:tcPr>
            <w:tcW w:w="6682" w:type="dxa"/>
            <w:noWrap/>
            <w:vAlign w:val="center"/>
          </w:tcPr>
          <w:p>
            <w:pPr>
              <w:snapToGrid w:val="0"/>
              <w:spacing w:line="360" w:lineRule="exact"/>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招标采购单位可以对已发出的招标文件进行必要澄清或者修改，澄清或者修改的内容可能影响投标文件编制的，应当在招标文件要求提交投标文件截止时间十五日前，在招标公告发布的媒体上发布更正公告，该澄清或者修改的内容为招标文件的组成部分。本项目招标文件和补充（答疑、澄清）、修改文件等请自行登录浙江政府采购网或绍兴市上虞区公共资源交易中心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8</w:t>
            </w:r>
          </w:p>
        </w:tc>
        <w:tc>
          <w:tcPr>
            <w:tcW w:w="1800"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投标文件组成</w:t>
            </w:r>
          </w:p>
        </w:tc>
        <w:tc>
          <w:tcPr>
            <w:tcW w:w="6682" w:type="dxa"/>
            <w:noWrap/>
            <w:vAlign w:val="center"/>
          </w:tcPr>
          <w:p>
            <w:pPr>
              <w:snapToGrid w:val="0"/>
              <w:spacing w:line="360" w:lineRule="exact"/>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投标人向采购人递交的投标文件由资格文件、商务技术文件、报价文件三部分组成。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9</w:t>
            </w:r>
          </w:p>
        </w:tc>
        <w:tc>
          <w:tcPr>
            <w:tcW w:w="1800"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评标办法</w:t>
            </w:r>
          </w:p>
        </w:tc>
        <w:tc>
          <w:tcPr>
            <w:tcW w:w="6682" w:type="dxa"/>
            <w:noWrap/>
            <w:vAlign w:val="center"/>
          </w:tcPr>
          <w:p>
            <w:pPr>
              <w:snapToGrid w:val="0"/>
              <w:spacing w:line="360" w:lineRule="exact"/>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10</w:t>
            </w:r>
          </w:p>
        </w:tc>
        <w:tc>
          <w:tcPr>
            <w:tcW w:w="1800"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投标文件递交地址及截止时间</w:t>
            </w:r>
          </w:p>
        </w:tc>
        <w:tc>
          <w:tcPr>
            <w:tcW w:w="6682" w:type="dxa"/>
            <w:noWrap/>
            <w:vAlign w:val="center"/>
          </w:tcPr>
          <w:p>
            <w:pPr>
              <w:snapToGrid w:val="0"/>
              <w:spacing w:line="360" w:lineRule="exact"/>
              <w:ind w:firstLine="420" w:firstLineChars="200"/>
              <w:rPr>
                <w:rFonts w:ascii="宋体" w:hAnsi="宋体" w:cs="宋体"/>
                <w:color w:val="auto"/>
                <w:kern w:val="0"/>
                <w:szCs w:val="21"/>
                <w:highlight w:val="none"/>
              </w:rPr>
            </w:pPr>
            <w:r>
              <w:rPr>
                <w:rFonts w:hint="eastAsia" w:ascii="宋体" w:hAnsi="宋体" w:cs="宋体"/>
                <w:snapToGrid w:val="0"/>
                <w:color w:val="auto"/>
                <w:kern w:val="0"/>
                <w:szCs w:val="21"/>
                <w:highlight w:val="none"/>
              </w:rPr>
              <w:t>详见招标公告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11</w:t>
            </w:r>
          </w:p>
        </w:tc>
        <w:tc>
          <w:tcPr>
            <w:tcW w:w="1800"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开标时间、地点</w:t>
            </w:r>
          </w:p>
        </w:tc>
        <w:tc>
          <w:tcPr>
            <w:tcW w:w="6682" w:type="dxa"/>
            <w:noWrap/>
            <w:vAlign w:val="center"/>
          </w:tcPr>
          <w:p>
            <w:pPr>
              <w:snapToGrid w:val="0"/>
              <w:spacing w:line="360" w:lineRule="exact"/>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开标时间：</w:t>
            </w:r>
            <w:r>
              <w:rPr>
                <w:rFonts w:hint="eastAsia" w:ascii="宋体" w:hAnsi="宋体" w:cs="宋体"/>
                <w:color w:val="auto"/>
                <w:kern w:val="0"/>
                <w:szCs w:val="21"/>
                <w:highlight w:val="none"/>
              </w:rPr>
              <w:t>详见招标公告</w:t>
            </w:r>
          </w:p>
          <w:p>
            <w:pPr>
              <w:snapToGrid w:val="0"/>
              <w:spacing w:line="360" w:lineRule="exact"/>
              <w:ind w:firstLine="420" w:firstLineChars="200"/>
              <w:rPr>
                <w:rFonts w:ascii="宋体" w:hAnsi="宋体" w:cs="宋体"/>
                <w:color w:val="auto"/>
                <w:kern w:val="0"/>
                <w:szCs w:val="21"/>
                <w:highlight w:val="none"/>
              </w:rPr>
            </w:pPr>
            <w:r>
              <w:rPr>
                <w:rFonts w:hint="eastAsia" w:ascii="宋体" w:hAnsi="宋体" w:cs="宋体"/>
                <w:snapToGrid w:val="0"/>
                <w:color w:val="auto"/>
                <w:kern w:val="0"/>
                <w:szCs w:val="21"/>
                <w:highlight w:val="none"/>
              </w:rPr>
              <w:t>开标地点：</w:t>
            </w:r>
            <w:r>
              <w:rPr>
                <w:rFonts w:hint="eastAsia" w:ascii="宋体" w:hAnsi="宋体" w:cs="宋体"/>
                <w:color w:val="auto"/>
                <w:kern w:val="0"/>
                <w:szCs w:val="21"/>
                <w:highlight w:val="none"/>
              </w:rPr>
              <w:t>详见招标公告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12</w:t>
            </w:r>
          </w:p>
        </w:tc>
        <w:tc>
          <w:tcPr>
            <w:tcW w:w="1800"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投标有效期</w:t>
            </w:r>
          </w:p>
        </w:tc>
        <w:tc>
          <w:tcPr>
            <w:tcW w:w="6682" w:type="dxa"/>
            <w:noWrap/>
            <w:vAlign w:val="center"/>
          </w:tcPr>
          <w:p>
            <w:pPr>
              <w:snapToGrid w:val="0"/>
              <w:spacing w:line="360" w:lineRule="exact"/>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投标有效期为从提交投标文件的截止之日起90天。投标人的投标文件中承诺的投标有效期少于招标文件中载明的投标有效期的，投标无效。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13</w:t>
            </w:r>
          </w:p>
        </w:tc>
        <w:tc>
          <w:tcPr>
            <w:tcW w:w="1800"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投标保证金</w:t>
            </w:r>
          </w:p>
        </w:tc>
        <w:tc>
          <w:tcPr>
            <w:tcW w:w="6682" w:type="dxa"/>
            <w:noWrap/>
            <w:vAlign w:val="center"/>
          </w:tcPr>
          <w:p>
            <w:pPr>
              <w:adjustRightIn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szCs w:val="21"/>
                <w:highlight w:val="none"/>
              </w:rPr>
              <w:t>投标保证金：本项目不设置投标保证金。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14</w:t>
            </w:r>
          </w:p>
        </w:tc>
        <w:tc>
          <w:tcPr>
            <w:tcW w:w="1800"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履约保证金</w:t>
            </w:r>
          </w:p>
        </w:tc>
        <w:tc>
          <w:tcPr>
            <w:tcW w:w="6682" w:type="dxa"/>
            <w:noWrap/>
            <w:vAlign w:val="center"/>
          </w:tcPr>
          <w:p>
            <w:pPr>
              <w:pStyle w:val="12"/>
              <w:snapToGrid w:val="0"/>
              <w:ind w:firstLine="420" w:firstLineChars="200"/>
              <w:rPr>
                <w:rFonts w:hAnsi="宋体" w:cs="宋体"/>
                <w:color w:val="auto"/>
                <w:kern w:val="0"/>
                <w:highlight w:val="none"/>
              </w:rPr>
            </w:pPr>
            <w:r>
              <w:rPr>
                <w:rFonts w:hint="eastAsia" w:hAnsi="宋体" w:cs="宋体"/>
                <w:color w:val="auto"/>
                <w:kern w:val="0"/>
                <w:highlight w:val="none"/>
              </w:rPr>
              <w:t>中标人在收到中标通知书后，需向采购人提供合同总价</w:t>
            </w:r>
            <w:r>
              <w:rPr>
                <w:rFonts w:hint="eastAsia" w:hAnsi="宋体" w:cs="宋体"/>
                <w:color w:val="auto"/>
                <w:kern w:val="0"/>
                <w:highlight w:val="none"/>
                <w:u w:val="single"/>
              </w:rPr>
              <w:t>　 1　</w:t>
            </w:r>
            <w:r>
              <w:rPr>
                <w:rFonts w:hint="eastAsia" w:hAnsi="宋体" w:cs="宋体"/>
                <w:color w:val="auto"/>
                <w:kern w:val="0"/>
                <w:highlight w:val="none"/>
              </w:rPr>
              <w:t>%的履约保证金，在中标人与采购人签订合同前递交。</w:t>
            </w:r>
          </w:p>
          <w:p>
            <w:pPr>
              <w:pStyle w:val="12"/>
              <w:snapToGrid w:val="0"/>
              <w:ind w:firstLine="420" w:firstLineChars="200"/>
              <w:rPr>
                <w:rFonts w:hAnsi="宋体" w:cs="宋体"/>
                <w:color w:val="auto"/>
                <w:kern w:val="0"/>
                <w:highlight w:val="none"/>
              </w:rPr>
            </w:pPr>
            <w:r>
              <w:rPr>
                <w:rFonts w:hint="eastAsia" w:hAnsi="宋体" w:cs="宋体"/>
                <w:color w:val="auto"/>
                <w:kern w:val="0"/>
                <w:highlight w:val="none"/>
              </w:rPr>
              <w:t xml:space="preserve"> 履约保证金在合同期满后第一个月一次性无息退还。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15</w:t>
            </w:r>
          </w:p>
        </w:tc>
        <w:tc>
          <w:tcPr>
            <w:tcW w:w="1800"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采购及中标公告发布媒体</w:t>
            </w:r>
          </w:p>
        </w:tc>
        <w:tc>
          <w:tcPr>
            <w:tcW w:w="6682" w:type="dxa"/>
            <w:noWrap/>
            <w:vAlign w:val="center"/>
          </w:tcPr>
          <w:p>
            <w:pPr>
              <w:pStyle w:val="12"/>
              <w:snapToGrid w:val="0"/>
              <w:spacing w:line="360" w:lineRule="exact"/>
              <w:ind w:firstLine="420" w:firstLineChars="200"/>
              <w:jc w:val="left"/>
              <w:rPr>
                <w:rFonts w:hAnsi="宋体" w:cs="宋体"/>
                <w:color w:val="auto"/>
                <w:kern w:val="0"/>
                <w:highlight w:val="none"/>
              </w:rPr>
            </w:pPr>
            <w:r>
              <w:rPr>
                <w:rFonts w:hint="eastAsia" w:hAnsi="宋体" w:cs="宋体"/>
                <w:color w:val="auto"/>
                <w:kern w:val="0"/>
                <w:highlight w:val="none"/>
              </w:rPr>
              <w:t>浙江政府采购网、绍兴市上虞区公共资源交易中心网站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16</w:t>
            </w:r>
          </w:p>
        </w:tc>
        <w:tc>
          <w:tcPr>
            <w:tcW w:w="1800"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质疑</w:t>
            </w:r>
          </w:p>
        </w:tc>
        <w:tc>
          <w:tcPr>
            <w:tcW w:w="6682" w:type="dxa"/>
            <w:noWrap/>
            <w:vAlign w:val="center"/>
          </w:tcPr>
          <w:p>
            <w:pPr>
              <w:pStyle w:val="10"/>
              <w:spacing w:after="0"/>
              <w:ind w:left="0" w:leftChars="0"/>
              <w:rPr>
                <w:rFonts w:hint="eastAsia"/>
                <w:color w:val="auto"/>
                <w:highlight w:val="none"/>
              </w:rPr>
            </w:pPr>
            <w:r>
              <w:rPr>
                <w:rFonts w:hint="eastAsia"/>
                <w:color w:val="auto"/>
                <w:highlight w:val="none"/>
              </w:rPr>
              <w:t>供应商认为采购文件、采购过程、中标或者成交结果使自己的权益受到损害的，可以在知道或者应知其权益受到损害之日起7个工作日内，以书面形式向采购人、采购代理机构提出质疑，采购人、采购代理机构应在7个工作日内做好答复工作，但答复内容不得涉及商业秘密。</w:t>
            </w:r>
          </w:p>
          <w:p>
            <w:pPr>
              <w:pStyle w:val="10"/>
              <w:spacing w:after="0"/>
              <w:ind w:left="0" w:leftChars="0"/>
              <w:rPr>
                <w:rFonts w:ascii="宋体" w:hAnsi="宋体" w:cs="宋体"/>
                <w:snapToGrid w:val="0"/>
                <w:color w:val="auto"/>
                <w:kern w:val="0"/>
                <w:szCs w:val="21"/>
                <w:highlight w:val="none"/>
              </w:rPr>
            </w:pPr>
            <w:r>
              <w:rPr>
                <w:rFonts w:hint="eastAsia"/>
                <w:color w:val="auto"/>
                <w:highlight w:val="none"/>
              </w:rPr>
              <w:t>《上虞区区属国有企业货物和服务采购管理办法》第四十九条规定的供应商应知其权益</w:t>
            </w:r>
            <w:r>
              <w:rPr>
                <w:rFonts w:hint="eastAsia"/>
                <w:color w:val="auto"/>
                <w:highlight w:val="none"/>
                <w:lang w:val="en-US" w:eastAsia="zh-CN"/>
              </w:rPr>
              <w:t>受</w:t>
            </w:r>
            <w:r>
              <w:rPr>
                <w:rFonts w:hint="eastAsia"/>
                <w:color w:val="auto"/>
                <w:highlight w:val="none"/>
              </w:rPr>
              <w:t>到损害之日，是指：（一）对可以质疑的采购文件提出质疑的，为收到采购文件之日或者采购文件公告期限届满之日（公告期限届满后获取采购文件的，以公告期限届满之日为准）；（二）对采购过程提出质疑的，为各采购程序环节结束之日；（三）对中标或者成交结果提出质疑的，为中标或者成交结果公告期限届满之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17</w:t>
            </w:r>
          </w:p>
        </w:tc>
        <w:tc>
          <w:tcPr>
            <w:tcW w:w="1800"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投诉</w:t>
            </w:r>
          </w:p>
        </w:tc>
        <w:tc>
          <w:tcPr>
            <w:tcW w:w="6682" w:type="dxa"/>
            <w:noWrap/>
            <w:vAlign w:val="center"/>
          </w:tcPr>
          <w:p>
            <w:pPr>
              <w:snapToGrid w:val="0"/>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按照《上虞区区属国有企业货物和服务采购管理办法》第五十条的规定：</w:t>
            </w:r>
          </w:p>
          <w:p>
            <w:pPr>
              <w:pStyle w:val="10"/>
              <w:spacing w:after="0"/>
              <w:ind w:left="0" w:leftChars="0"/>
              <w:rPr>
                <w:color w:val="auto"/>
                <w:highlight w:val="none"/>
              </w:rPr>
            </w:pPr>
            <w:r>
              <w:rPr>
                <w:rFonts w:hint="eastAsia"/>
                <w:color w:val="auto"/>
                <w:highlight w:val="none"/>
              </w:rPr>
              <w:t>质疑供应商对质疑的答复不满意，或者采购人或采购代理机构未在规定时间内答复的，可以在收到答复之日或者答复期满后 15 个工作日内依法向采购人主管部门投诉。采购人主管部门应当在 30 个工作日内调查并回应。投诉事项调查期间，采购人主管部门应当通知采购人暂停采购活动。</w:t>
            </w:r>
          </w:p>
          <w:p>
            <w:pPr>
              <w:pStyle w:val="10"/>
              <w:spacing w:after="0"/>
              <w:ind w:left="0" w:leftChars="0"/>
              <w:rPr>
                <w:rFonts w:ascii="宋体" w:hAnsi="宋体" w:cs="宋体"/>
                <w:snapToGrid w:val="0"/>
                <w:color w:val="auto"/>
                <w:kern w:val="0"/>
                <w:szCs w:val="21"/>
                <w:highlight w:val="none"/>
              </w:rPr>
            </w:pPr>
            <w:r>
              <w:rPr>
                <w:rFonts w:hint="eastAsia"/>
                <w:color w:val="auto"/>
                <w:highlight w:val="none"/>
              </w:rPr>
              <w:t>投诉人提交投诉件时，应当提供相关书面证据、依据和其他有关材料。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18</w:t>
            </w:r>
          </w:p>
        </w:tc>
        <w:tc>
          <w:tcPr>
            <w:tcW w:w="1800" w:type="dxa"/>
            <w:noWrap/>
            <w:vAlign w:val="center"/>
          </w:tcPr>
          <w:p>
            <w:pPr>
              <w:snapToGrid w:val="0"/>
              <w:spacing w:line="36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特别说明</w:t>
            </w:r>
          </w:p>
        </w:tc>
        <w:tc>
          <w:tcPr>
            <w:tcW w:w="6682" w:type="dxa"/>
            <w:noWrap/>
            <w:vAlign w:val="center"/>
          </w:tcPr>
          <w:p>
            <w:pPr>
              <w:pStyle w:val="12"/>
              <w:snapToGrid w:val="0"/>
              <w:spacing w:line="360" w:lineRule="exact"/>
              <w:ind w:firstLine="420" w:firstLineChars="200"/>
              <w:jc w:val="left"/>
              <w:rPr>
                <w:rFonts w:hAnsi="宋体" w:cs="宋体"/>
                <w:color w:val="auto"/>
                <w:kern w:val="0"/>
                <w:highlight w:val="none"/>
              </w:rPr>
            </w:pPr>
            <w:r>
              <w:rPr>
                <w:rFonts w:hint="eastAsia" w:hAnsi="宋体" w:cs="宋体"/>
                <w:color w:val="auto"/>
                <w:kern w:val="0"/>
                <w:highlight w:val="none"/>
              </w:rPr>
              <w:t>投标人应无条件的、认真仔细的阅读本招标文件及其澄清答疑、修改答复的补充文件，严格按照招标文件及补充文件的规定和要求编制投标文件。在编制投标文件过程中，应严格遵循实事求是、诚信投标的原则，针对招标文件中的采购需求、合同条款等各项内容进行确认，如有偏离，应如实填写响应偏离表。</w:t>
            </w:r>
          </w:p>
          <w:p>
            <w:pPr>
              <w:pStyle w:val="12"/>
              <w:snapToGrid w:val="0"/>
              <w:spacing w:line="360" w:lineRule="exact"/>
              <w:ind w:firstLine="420" w:firstLineChars="200"/>
              <w:jc w:val="left"/>
              <w:rPr>
                <w:rFonts w:hAnsi="宋体" w:cs="宋体"/>
                <w:color w:val="auto"/>
                <w:kern w:val="0"/>
                <w:highlight w:val="none"/>
              </w:rPr>
            </w:pPr>
            <w:r>
              <w:rPr>
                <w:rFonts w:hint="eastAsia" w:hAnsi="宋体" w:cs="宋体"/>
                <w:color w:val="auto"/>
                <w:kern w:val="0"/>
                <w:highlight w:val="none"/>
              </w:rPr>
              <w:t>该项目中标公示期间，投标人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pPr>
              <w:pStyle w:val="12"/>
              <w:snapToGrid w:val="0"/>
              <w:spacing w:line="360" w:lineRule="exact"/>
              <w:ind w:firstLine="420" w:firstLineChars="200"/>
              <w:jc w:val="left"/>
              <w:rPr>
                <w:rFonts w:hAnsi="宋体" w:cs="宋体"/>
                <w:b/>
                <w:color w:val="auto"/>
                <w:kern w:val="0"/>
                <w:highlight w:val="none"/>
              </w:rPr>
            </w:pPr>
            <w:r>
              <w:rPr>
                <w:rFonts w:hint="eastAsia" w:hAnsi="宋体" w:cs="宋体"/>
                <w:color w:val="auto"/>
                <w:kern w:val="0"/>
                <w:highlight w:val="none"/>
              </w:rPr>
              <w:t>招标文件中凡标注“</w:t>
            </w:r>
            <w:r>
              <w:rPr>
                <w:rFonts w:hint="eastAsia" w:hAnsi="宋体" w:cs="宋体"/>
                <w:color w:val="auto"/>
                <w:highlight w:val="none"/>
              </w:rPr>
              <w:t>★</w:t>
            </w:r>
            <w:r>
              <w:rPr>
                <w:rFonts w:hint="eastAsia" w:hAnsi="宋体" w:cs="宋体"/>
                <w:color w:val="auto"/>
                <w:kern w:val="0"/>
                <w:highlight w:val="none"/>
              </w:rPr>
              <w:t>”的条款均为实质性要求，不响应的投标文件将作无效标处理。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7" w:hRule="atLeast"/>
          <w:jc w:val="center"/>
        </w:trPr>
        <w:tc>
          <w:tcPr>
            <w:tcW w:w="836" w:type="dxa"/>
            <w:noWrap/>
            <w:vAlign w:val="center"/>
          </w:tcPr>
          <w:p>
            <w:pPr>
              <w:snapToGrid w:val="0"/>
              <w:spacing w:line="360" w:lineRule="exact"/>
              <w:jc w:val="center"/>
              <w:rPr>
                <w:rFonts w:hint="default" w:ascii="宋体" w:hAnsi="宋体" w:eastAsia="宋体" w:cs="宋体"/>
                <w:snapToGrid w:val="0"/>
                <w:color w:val="auto"/>
                <w:kern w:val="0"/>
                <w:szCs w:val="21"/>
                <w:highlight w:val="none"/>
                <w:lang w:val="en-US" w:eastAsia="zh-CN"/>
              </w:rPr>
            </w:pPr>
            <w:r>
              <w:rPr>
                <w:rFonts w:hint="eastAsia" w:ascii="宋体" w:hAnsi="宋体" w:cs="宋体"/>
                <w:snapToGrid w:val="0"/>
                <w:color w:val="auto"/>
                <w:kern w:val="0"/>
                <w:szCs w:val="21"/>
                <w:highlight w:val="none"/>
                <w:lang w:val="en-US" w:eastAsia="zh-CN"/>
              </w:rPr>
              <w:t>19</w:t>
            </w:r>
          </w:p>
        </w:tc>
        <w:tc>
          <w:tcPr>
            <w:tcW w:w="1800" w:type="dxa"/>
            <w:noWrap/>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是否允许分包</w:t>
            </w:r>
          </w:p>
        </w:tc>
        <w:tc>
          <w:tcPr>
            <w:tcW w:w="6682" w:type="dxa"/>
            <w:noWrap/>
            <w:vAlign w:val="center"/>
          </w:tcPr>
          <w:p>
            <w:pPr>
              <w:ind w:firstLine="420" w:firstLineChars="200"/>
              <w:rPr>
                <w:rFonts w:ascii="宋体" w:hAnsi="宋体" w:cs="宋体"/>
                <w:color w:val="auto"/>
                <w:szCs w:val="21"/>
                <w:highlight w:val="none"/>
              </w:rPr>
            </w:pPr>
            <w:r>
              <w:rPr>
                <w:rFonts w:hint="eastAsia" w:ascii="宋体" w:hAnsi="宋体" w:cs="宋体"/>
                <w:color w:val="auto"/>
                <w:highlight w:val="none"/>
              </w:rPr>
              <w:t>本项目</w:t>
            </w:r>
            <w:r>
              <w:rPr>
                <w:rFonts w:hint="eastAsia" w:ascii="宋体" w:hAnsi="宋体" w:cs="宋体"/>
                <w:color w:val="auto"/>
                <w:highlight w:val="none"/>
                <w:u w:val="single"/>
              </w:rPr>
              <w:t>不允许</w:t>
            </w:r>
            <w:r>
              <w:rPr>
                <w:rFonts w:hint="eastAsia" w:ascii="宋体" w:hAnsi="宋体" w:cs="宋体"/>
                <w:color w:val="auto"/>
                <w:highlight w:val="none"/>
              </w:rPr>
              <w:t>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7" w:hRule="atLeast"/>
          <w:jc w:val="center"/>
        </w:trPr>
        <w:tc>
          <w:tcPr>
            <w:tcW w:w="836" w:type="dxa"/>
            <w:noWrap/>
            <w:vAlign w:val="center"/>
          </w:tcPr>
          <w:p>
            <w:pPr>
              <w:snapToGrid w:val="0"/>
              <w:spacing w:line="360" w:lineRule="exact"/>
              <w:jc w:val="center"/>
              <w:rPr>
                <w:rFonts w:hint="default" w:ascii="宋体" w:hAnsi="宋体" w:cs="宋体"/>
                <w:snapToGrid w:val="0"/>
                <w:color w:val="auto"/>
                <w:kern w:val="0"/>
                <w:szCs w:val="21"/>
                <w:highlight w:val="none"/>
                <w:lang w:val="en-US" w:eastAsia="zh-CN"/>
              </w:rPr>
            </w:pPr>
            <w:r>
              <w:rPr>
                <w:rFonts w:hint="eastAsia" w:ascii="宋体" w:hAnsi="宋体" w:cs="宋体"/>
                <w:snapToGrid w:val="0"/>
                <w:color w:val="auto"/>
                <w:kern w:val="0"/>
                <w:szCs w:val="21"/>
                <w:highlight w:val="none"/>
                <w:lang w:val="en-US" w:eastAsia="zh-CN"/>
              </w:rPr>
              <w:t>20</w:t>
            </w:r>
          </w:p>
        </w:tc>
        <w:tc>
          <w:tcPr>
            <w:tcW w:w="1800" w:type="dxa"/>
            <w:noWrap/>
            <w:vAlign w:val="center"/>
          </w:tcPr>
          <w:p>
            <w:pPr>
              <w:snapToGrid w:val="0"/>
              <w:jc w:val="center"/>
              <w:rPr>
                <w:rFonts w:hint="eastAsia" w:ascii="宋体" w:hAnsi="宋体" w:eastAsia="宋体" w:cs="宋体"/>
                <w:color w:val="auto"/>
                <w:kern w:val="2"/>
                <w:sz w:val="21"/>
                <w:szCs w:val="24"/>
                <w:highlight w:val="none"/>
                <w:lang w:val="en-US" w:eastAsia="zh-CN" w:bidi="ar-SA"/>
              </w:rPr>
            </w:pPr>
            <w:r>
              <w:rPr>
                <w:rFonts w:hint="eastAsia" w:ascii="宋体" w:hAnsi="宋体" w:cs="宋体"/>
                <w:color w:val="auto"/>
                <w:highlight w:val="none"/>
              </w:rPr>
              <w:t>招标代理服务费</w:t>
            </w:r>
          </w:p>
        </w:tc>
        <w:tc>
          <w:tcPr>
            <w:tcW w:w="6682" w:type="dxa"/>
            <w:noWrap/>
            <w:vAlign w:val="center"/>
          </w:tcPr>
          <w:p>
            <w:pPr>
              <w:autoSpaceDN w:val="0"/>
              <w:spacing w:line="340" w:lineRule="exact"/>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招标代理服务费由成交供应商支付，按下列服务招标</w:t>
            </w:r>
            <w:r>
              <w:rPr>
                <w:rFonts w:hint="eastAsia" w:ascii="宋体" w:hAnsi="宋体" w:cs="宋体"/>
                <w:snapToGrid w:val="0"/>
                <w:color w:val="auto"/>
                <w:kern w:val="0"/>
                <w:highlight w:val="none"/>
                <w:lang w:val="en-US" w:eastAsia="zh-CN"/>
              </w:rPr>
              <w:t>差额定率累进法</w:t>
            </w:r>
            <w:r>
              <w:rPr>
                <w:rFonts w:hint="eastAsia" w:ascii="宋体" w:hAnsi="宋体" w:cs="宋体"/>
                <w:snapToGrid w:val="0"/>
                <w:color w:val="auto"/>
                <w:kern w:val="0"/>
                <w:highlight w:val="none"/>
              </w:rPr>
              <w:t>计算方式计取。</w:t>
            </w:r>
          </w:p>
          <w:tbl>
            <w:tblPr>
              <w:tblStyle w:val="21"/>
              <w:tblW w:w="4741" w:type="pct"/>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10"/>
              <w:gridCol w:w="1008"/>
              <w:gridCol w:w="1008"/>
              <w:gridCol w:w="97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服务类型 中标金额（万元）</w:t>
                  </w:r>
                </w:p>
              </w:tc>
              <w:tc>
                <w:tcPr>
                  <w:tcW w:w="1300" w:type="dxa"/>
                  <w:tcBorders>
                    <w:top w:val="outset" w:color="auto" w:sz="6" w:space="0"/>
                    <w:left w:val="outset" w:color="auto" w:sz="6" w:space="0"/>
                    <w:bottom w:val="outset" w:color="auto" w:sz="6" w:space="0"/>
                    <w:right w:val="outset" w:color="auto" w:sz="6" w:space="0"/>
                  </w:tcBorders>
                  <w:noWrap w:val="0"/>
                  <w:vAlign w:val="center"/>
                </w:tcPr>
                <w:p>
                  <w:pPr>
                    <w:pStyle w:val="20"/>
                    <w:jc w:val="center"/>
                    <w:rPr>
                      <w:color w:val="auto"/>
                      <w:sz w:val="21"/>
                      <w:szCs w:val="21"/>
                      <w:highlight w:val="none"/>
                    </w:rPr>
                  </w:pPr>
                  <w:r>
                    <w:rPr>
                      <w:rFonts w:hint="eastAsia"/>
                      <w:color w:val="auto"/>
                      <w:sz w:val="21"/>
                      <w:szCs w:val="21"/>
                      <w:highlight w:val="none"/>
                    </w:rPr>
                    <w:t>货物招标</w:t>
                  </w:r>
                </w:p>
              </w:tc>
              <w:tc>
                <w:tcPr>
                  <w:tcW w:w="130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服务招标</w:t>
                  </w:r>
                </w:p>
              </w:tc>
              <w:tc>
                <w:tcPr>
                  <w:tcW w:w="126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工程招标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100以下</w:t>
                  </w:r>
                </w:p>
              </w:tc>
              <w:tc>
                <w:tcPr>
                  <w:tcW w:w="130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1.5％</w:t>
                  </w:r>
                </w:p>
              </w:tc>
              <w:tc>
                <w:tcPr>
                  <w:tcW w:w="130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1.5％</w:t>
                  </w:r>
                </w:p>
              </w:tc>
              <w:tc>
                <w:tcPr>
                  <w:tcW w:w="126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100—500</w:t>
                  </w:r>
                </w:p>
              </w:tc>
              <w:tc>
                <w:tcPr>
                  <w:tcW w:w="130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1.1％</w:t>
                  </w:r>
                </w:p>
              </w:tc>
              <w:tc>
                <w:tcPr>
                  <w:tcW w:w="130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0.8％</w:t>
                  </w:r>
                </w:p>
              </w:tc>
              <w:tc>
                <w:tcPr>
                  <w:tcW w:w="126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500—1000</w:t>
                  </w:r>
                </w:p>
              </w:tc>
              <w:tc>
                <w:tcPr>
                  <w:tcW w:w="130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0.8％</w:t>
                  </w:r>
                </w:p>
              </w:tc>
              <w:tc>
                <w:tcPr>
                  <w:tcW w:w="130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0.45％</w:t>
                  </w:r>
                </w:p>
              </w:tc>
              <w:tc>
                <w:tcPr>
                  <w:tcW w:w="126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1000—5000</w:t>
                  </w:r>
                </w:p>
              </w:tc>
              <w:tc>
                <w:tcPr>
                  <w:tcW w:w="130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0.5％</w:t>
                  </w:r>
                </w:p>
              </w:tc>
              <w:tc>
                <w:tcPr>
                  <w:tcW w:w="130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0.25％</w:t>
                  </w:r>
                </w:p>
              </w:tc>
              <w:tc>
                <w:tcPr>
                  <w:tcW w:w="126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5000—10000</w:t>
                  </w:r>
                </w:p>
              </w:tc>
              <w:tc>
                <w:tcPr>
                  <w:tcW w:w="130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0.25％</w:t>
                  </w:r>
                </w:p>
              </w:tc>
              <w:tc>
                <w:tcPr>
                  <w:tcW w:w="130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0.1％</w:t>
                  </w:r>
                </w:p>
              </w:tc>
              <w:tc>
                <w:tcPr>
                  <w:tcW w:w="126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10000——100000</w:t>
                  </w:r>
                </w:p>
              </w:tc>
              <w:tc>
                <w:tcPr>
                  <w:tcW w:w="130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0.05％</w:t>
                  </w:r>
                </w:p>
              </w:tc>
              <w:tc>
                <w:tcPr>
                  <w:tcW w:w="130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0.05％</w:t>
                  </w:r>
                </w:p>
              </w:tc>
              <w:tc>
                <w:tcPr>
                  <w:tcW w:w="126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1000000以上</w:t>
                  </w:r>
                </w:p>
              </w:tc>
              <w:tc>
                <w:tcPr>
                  <w:tcW w:w="130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0.01％</w:t>
                  </w:r>
                </w:p>
              </w:tc>
              <w:tc>
                <w:tcPr>
                  <w:tcW w:w="130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0.01％</w:t>
                  </w:r>
                </w:p>
              </w:tc>
              <w:tc>
                <w:tcPr>
                  <w:tcW w:w="126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0.01％</w:t>
                  </w:r>
                </w:p>
              </w:tc>
            </w:tr>
          </w:tbl>
          <w:p>
            <w:pPr>
              <w:spacing w:line="340" w:lineRule="exact"/>
              <w:ind w:firstLine="420" w:firstLineChars="200"/>
              <w:rPr>
                <w:rFonts w:hint="eastAsia" w:ascii="宋体" w:hAnsi="宋体" w:eastAsia="宋体" w:cs="宋体"/>
                <w:snapToGrid w:val="0"/>
                <w:color w:val="auto"/>
                <w:kern w:val="0"/>
                <w:sz w:val="21"/>
                <w:szCs w:val="24"/>
                <w:highlight w:val="none"/>
                <w:lang w:val="en-US" w:eastAsia="zh-CN" w:bidi="ar-SA"/>
              </w:rPr>
            </w:pPr>
            <w:r>
              <w:rPr>
                <w:rFonts w:hint="eastAsia" w:ascii="宋体" w:hAnsi="宋体" w:cs="宋体"/>
                <w:snapToGrid w:val="0"/>
                <w:color w:val="auto"/>
                <w:kern w:val="0"/>
                <w:highlight w:val="none"/>
              </w:rPr>
              <w:t>结算方式及时间为：在领取中标通知书前由成交供应商一次性向采购代理机构付清。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836" w:type="dxa"/>
            <w:noWrap/>
            <w:vAlign w:val="center"/>
          </w:tcPr>
          <w:p>
            <w:pPr>
              <w:snapToGrid w:val="0"/>
              <w:spacing w:line="360" w:lineRule="exact"/>
              <w:jc w:val="center"/>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rPr>
              <w:t>2</w:t>
            </w:r>
            <w:r>
              <w:rPr>
                <w:rFonts w:hint="eastAsia" w:ascii="宋体" w:hAnsi="宋体" w:cs="宋体"/>
                <w:snapToGrid w:val="0"/>
                <w:color w:val="auto"/>
                <w:kern w:val="0"/>
                <w:szCs w:val="21"/>
                <w:highlight w:val="none"/>
                <w:lang w:val="en-US" w:eastAsia="zh-CN"/>
              </w:rPr>
              <w:t>1</w:t>
            </w:r>
          </w:p>
        </w:tc>
        <w:tc>
          <w:tcPr>
            <w:tcW w:w="1800" w:type="dxa"/>
            <w:tcBorders>
              <w:top w:val="single" w:color="auto" w:sz="4" w:space="0"/>
            </w:tcBorders>
            <w:noWrap/>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是否提供演示</w:t>
            </w:r>
          </w:p>
        </w:tc>
        <w:tc>
          <w:tcPr>
            <w:tcW w:w="6682" w:type="dxa"/>
            <w:tcBorders>
              <w:top w:val="single" w:color="auto" w:sz="4" w:space="0"/>
            </w:tcBorders>
            <w:noWrap/>
            <w:vAlign w:val="center"/>
          </w:tcPr>
          <w:p>
            <w:pPr>
              <w:ind w:firstLine="420" w:firstLineChars="200"/>
              <w:rPr>
                <w:rFonts w:ascii="宋体" w:hAnsi="宋体" w:cs="宋体"/>
                <w:color w:val="auto"/>
                <w:szCs w:val="21"/>
                <w:highlight w:val="none"/>
              </w:rPr>
            </w:pPr>
            <w:r>
              <w:rPr>
                <w:rFonts w:hint="eastAsia" w:ascii="宋体" w:hAnsi="宋体" w:cs="宋体"/>
                <w:color w:val="auto"/>
                <w:highlight w:val="none"/>
              </w:rPr>
              <w:t>本项目</w:t>
            </w:r>
            <w:r>
              <w:rPr>
                <w:rFonts w:hint="eastAsia" w:ascii="宋体" w:hAnsi="宋体" w:cs="宋体"/>
                <w:color w:val="auto"/>
                <w:highlight w:val="none"/>
                <w:u w:val="single"/>
              </w:rPr>
              <w:t>不需要</w:t>
            </w:r>
            <w:r>
              <w:rPr>
                <w:rFonts w:hint="eastAsia" w:ascii="宋体" w:hAnsi="宋体" w:cs="宋体"/>
                <w:color w:val="auto"/>
                <w:highlight w:val="none"/>
              </w:rPr>
              <w:t>提供演示。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rPr>
              <w:t>2</w:t>
            </w:r>
            <w:r>
              <w:rPr>
                <w:rFonts w:hint="eastAsia" w:ascii="宋体" w:hAnsi="宋体" w:cs="宋体"/>
                <w:snapToGrid w:val="0"/>
                <w:color w:val="auto"/>
                <w:kern w:val="0"/>
                <w:szCs w:val="21"/>
                <w:highlight w:val="none"/>
                <w:lang w:val="en-US" w:eastAsia="zh-CN"/>
              </w:rPr>
              <w:t>2</w:t>
            </w:r>
          </w:p>
        </w:tc>
        <w:tc>
          <w:tcPr>
            <w:tcW w:w="1800" w:type="dxa"/>
            <w:noWrap/>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投标人信用信息查询渠道及截止时点、信用信息查询记录和证据留存的具体方式、信用信息的使用规则</w:t>
            </w:r>
          </w:p>
        </w:tc>
        <w:tc>
          <w:tcPr>
            <w:tcW w:w="6682" w:type="dxa"/>
            <w:noWrap/>
            <w:vAlign w:val="center"/>
          </w:tcPr>
          <w:p>
            <w:pPr>
              <w:ind w:firstLine="420" w:firstLineChars="200"/>
              <w:rPr>
                <w:rFonts w:ascii="宋体" w:hAnsi="宋体" w:cs="宋体"/>
                <w:color w:val="auto"/>
                <w:szCs w:val="21"/>
                <w:highlight w:val="none"/>
              </w:rPr>
            </w:pPr>
            <w:r>
              <w:rPr>
                <w:rFonts w:hint="eastAsia" w:ascii="宋体" w:hAnsi="宋体" w:cs="宋体"/>
                <w:color w:val="auto"/>
                <w:szCs w:val="21"/>
                <w:highlight w:val="none"/>
              </w:rPr>
              <w:t>1、查询渠道：信用中国（网址：http://www.creditchina.gov.cn）、中国政府采购网(网址：http://www.ccgp.gov.cn）。</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2、截止时点：开标后评标前。</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3、信用信息查询记录和证据留存的具体方式：由采购组织机构在规定查询时间内打印信用信息查询记录并归入项目档案。</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4、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rPr>
              <w:t>2</w:t>
            </w:r>
            <w:r>
              <w:rPr>
                <w:rFonts w:hint="eastAsia" w:ascii="宋体" w:hAnsi="宋体" w:cs="宋体"/>
                <w:snapToGrid w:val="0"/>
                <w:color w:val="auto"/>
                <w:kern w:val="0"/>
                <w:szCs w:val="21"/>
                <w:highlight w:val="none"/>
                <w:lang w:val="en-US" w:eastAsia="zh-CN"/>
              </w:rPr>
              <w:t>3</w:t>
            </w:r>
          </w:p>
        </w:tc>
        <w:tc>
          <w:tcPr>
            <w:tcW w:w="1800" w:type="dxa"/>
            <w:noWrap/>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其他</w:t>
            </w:r>
          </w:p>
        </w:tc>
        <w:tc>
          <w:tcPr>
            <w:tcW w:w="6682" w:type="dxa"/>
            <w:noWrap/>
            <w:vAlign w:val="center"/>
          </w:tcPr>
          <w:p>
            <w:pPr>
              <w:numPr>
                <w:ilvl w:val="0"/>
                <w:numId w:val="6"/>
              </w:numPr>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本招标文件要求提供的身份证复印件皆需提供正反面，否则按不提供处理。</w:t>
            </w:r>
          </w:p>
          <w:p>
            <w:pPr>
              <w:numPr>
                <w:ilvl w:val="0"/>
                <w:numId w:val="0"/>
              </w:numPr>
              <w:ind w:firstLine="420" w:firstLineChars="200"/>
              <w:rPr>
                <w:rFonts w:ascii="宋体" w:hAnsi="宋体" w:cs="宋体"/>
                <w:b/>
                <w:color w:val="auto"/>
                <w:szCs w:val="21"/>
                <w:highlight w:val="none"/>
              </w:rPr>
            </w:pPr>
            <w:r>
              <w:rPr>
                <w:rFonts w:hint="eastAsia" w:ascii="宋体" w:hAnsi="宋体" w:cs="宋体"/>
                <w:b w:val="0"/>
                <w:bCs/>
                <w:color w:val="auto"/>
                <w:szCs w:val="21"/>
                <w:highlight w:val="none"/>
                <w:lang w:val="en-US" w:eastAsia="zh-CN"/>
              </w:rPr>
              <w:t>2、</w:t>
            </w:r>
            <w:r>
              <w:rPr>
                <w:rFonts w:hint="eastAsia" w:ascii="Times New Roman" w:hAnsi="Times New Roman" w:eastAsia="宋体" w:cs="Times New Roman"/>
                <w:b w:val="0"/>
                <w:bCs/>
                <w:color w:val="auto"/>
                <w:kern w:val="2"/>
                <w:sz w:val="21"/>
                <w:szCs w:val="24"/>
                <w:highlight w:val="none"/>
                <w:lang w:val="en-US" w:eastAsia="zh-CN" w:bidi="ar-SA"/>
              </w:rPr>
              <w:t>本项目所供货物如涉及柴油动力移动源，柴油动力移动源应当符合低排放要求。</w:t>
            </w:r>
          </w:p>
        </w:tc>
      </w:tr>
    </w:tbl>
    <w:p>
      <w:pPr>
        <w:pStyle w:val="27"/>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注：以上内容如有变化将另行通知。如通知其中某一内容发生变化，其余未提及的将不作变动。</w:t>
      </w:r>
    </w:p>
    <w:p>
      <w:pPr>
        <w:snapToGrid w:val="0"/>
        <w:spacing w:line="360" w:lineRule="auto"/>
        <w:jc w:val="center"/>
        <w:outlineLvl w:val="0"/>
        <w:rPr>
          <w:rFonts w:ascii="宋体" w:hAnsi="宋体" w:cs="宋体"/>
          <w:b/>
          <w:color w:val="auto"/>
          <w:sz w:val="32"/>
          <w:highlight w:val="none"/>
        </w:rPr>
      </w:pPr>
      <w:r>
        <w:rPr>
          <w:rFonts w:hint="eastAsia" w:ascii="宋体" w:hAnsi="宋体" w:cs="宋体"/>
          <w:b/>
          <w:color w:val="auto"/>
          <w:sz w:val="32"/>
          <w:szCs w:val="20"/>
          <w:highlight w:val="none"/>
        </w:rPr>
        <w:br w:type="page"/>
      </w:r>
      <w:bookmarkStart w:id="14" w:name="_Toc8880"/>
      <w:r>
        <w:rPr>
          <w:rFonts w:hint="eastAsia" w:ascii="宋体" w:hAnsi="宋体" w:cs="宋体"/>
          <w:b/>
          <w:color w:val="auto"/>
          <w:sz w:val="32"/>
          <w:highlight w:val="none"/>
        </w:rPr>
        <w:t>一、总则</w:t>
      </w:r>
      <w:bookmarkEnd w:id="9"/>
      <w:bookmarkEnd w:id="14"/>
    </w:p>
    <w:p>
      <w:pPr>
        <w:pStyle w:val="12"/>
        <w:numPr>
          <w:ilvl w:val="0"/>
          <w:numId w:val="7"/>
        </w:numPr>
        <w:spacing w:line="360" w:lineRule="auto"/>
        <w:ind w:firstLine="482" w:firstLineChars="200"/>
        <w:rPr>
          <w:rFonts w:hAnsi="宋体" w:cs="宋体"/>
          <w:b/>
          <w:color w:val="auto"/>
          <w:sz w:val="24"/>
          <w:szCs w:val="24"/>
          <w:highlight w:val="none"/>
        </w:rPr>
      </w:pPr>
      <w:bookmarkStart w:id="15" w:name="_Hlt74714665"/>
      <w:bookmarkEnd w:id="15"/>
      <w:bookmarkStart w:id="16" w:name="_Hlt74730295"/>
      <w:bookmarkEnd w:id="16"/>
      <w:bookmarkStart w:id="17" w:name="_Toc91899872"/>
      <w:bookmarkStart w:id="18" w:name="_Hlt74730112"/>
      <w:bookmarkStart w:id="19" w:name="_Hlt74730208"/>
      <w:r>
        <w:rPr>
          <w:rFonts w:hint="eastAsia" w:hAnsi="宋体" w:cs="宋体"/>
          <w:b/>
          <w:color w:val="auto"/>
          <w:sz w:val="24"/>
          <w:szCs w:val="24"/>
          <w:highlight w:val="none"/>
        </w:rPr>
        <w:t>项目说明</w:t>
      </w:r>
      <w:bookmarkEnd w:id="17"/>
    </w:p>
    <w:p>
      <w:pPr>
        <w:pStyle w:val="27"/>
        <w:numPr>
          <w:ilvl w:val="0"/>
          <w:numId w:val="8"/>
        </w:numPr>
        <w:tabs>
          <w:tab w:val="left" w:pos="0"/>
        </w:tabs>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项目说明见前附表所述。投标人一旦参与本次招标活动，即被视为接受了本招标文件的所有内容，如有任何异议，均已在法定时间内提出。</w:t>
      </w:r>
    </w:p>
    <w:p>
      <w:pPr>
        <w:pStyle w:val="27"/>
        <w:numPr>
          <w:ilvl w:val="0"/>
          <w:numId w:val="8"/>
        </w:numPr>
        <w:tabs>
          <w:tab w:val="left" w:pos="0"/>
        </w:tabs>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投标人须对所投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宋体" w:hAnsi="宋体" w:cs="宋体"/>
          <w:color w:val="auto"/>
          <w:szCs w:val="24"/>
          <w:highlight w:val="none"/>
          <w:lang w:val="zh-CN"/>
        </w:rPr>
        <w:t>供应商</w:t>
      </w:r>
      <w:r>
        <w:rPr>
          <w:rFonts w:hint="eastAsia" w:ascii="宋体" w:hAnsi="宋体" w:cs="宋体"/>
          <w:color w:val="auto"/>
          <w:szCs w:val="24"/>
          <w:highlight w:val="none"/>
        </w:rPr>
        <w:t>应承担相应后果，</w:t>
      </w:r>
      <w:r>
        <w:rPr>
          <w:rFonts w:hint="eastAsia" w:ascii="宋体" w:hAnsi="宋体" w:cs="宋体"/>
          <w:color w:val="auto"/>
          <w:szCs w:val="24"/>
          <w:highlight w:val="none"/>
          <w:lang w:val="zh-CN"/>
        </w:rPr>
        <w:t>并负责赔偿。</w:t>
      </w:r>
      <w:r>
        <w:rPr>
          <w:rFonts w:hint="eastAsia" w:ascii="宋体" w:hAnsi="宋体" w:cs="宋体"/>
          <w:color w:val="auto"/>
          <w:szCs w:val="24"/>
          <w:highlight w:val="none"/>
        </w:rPr>
        <w:t>供应商为执行本项目合同而提供的技术资料等归采购人所有。</w:t>
      </w:r>
    </w:p>
    <w:p>
      <w:pPr>
        <w:snapToGrid w:val="0"/>
        <w:spacing w:line="360" w:lineRule="auto"/>
        <w:ind w:firstLine="480" w:firstLineChars="200"/>
        <w:jc w:val="left"/>
        <w:rPr>
          <w:rFonts w:ascii="宋体" w:hAnsi="宋体" w:cs="宋体"/>
          <w:color w:val="auto"/>
          <w:sz w:val="24"/>
          <w:highlight w:val="none"/>
        </w:rPr>
      </w:pPr>
      <w:bookmarkStart w:id="20" w:name="_Toc91899873"/>
      <w:r>
        <w:rPr>
          <w:rFonts w:hint="eastAsia" w:ascii="宋体" w:hAnsi="宋体" w:cs="宋体"/>
          <w:color w:val="auto"/>
          <w:sz w:val="24"/>
          <w:highlight w:val="none"/>
        </w:rPr>
        <w:t>1.3本招标文件所称公章是指单位法定名称章或者冠以单位法定名称的电子公章。</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1.4公开招标数额标准以上的采购项目，投标截止后投标人不足3家或者通过资格审查或符合性审查的投标人不足3家的，除采购任务取消情形外，按照以下方式处理：</w:t>
      </w:r>
    </w:p>
    <w:p>
      <w:pPr>
        <w:pStyle w:val="27"/>
        <w:numPr>
          <w:ilvl w:val="0"/>
          <w:numId w:val="9"/>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招标文件存在不合理条款或者招标程序不符合规定的，采购人、采购代理机构改正后依法重新招标；</w:t>
      </w:r>
    </w:p>
    <w:p>
      <w:pPr>
        <w:pStyle w:val="27"/>
        <w:numPr>
          <w:ilvl w:val="0"/>
          <w:numId w:val="9"/>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招标文件没有不合理条款、招标程序符合规定，需要采用其他采购方式采购的，采购人应当依法报财政部门批准。</w:t>
      </w:r>
    </w:p>
    <w:p>
      <w:pPr>
        <w:pStyle w:val="12"/>
        <w:numPr>
          <w:ilvl w:val="0"/>
          <w:numId w:val="7"/>
        </w:numPr>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采购方式</w:t>
      </w:r>
      <w:bookmarkEnd w:id="20"/>
    </w:p>
    <w:p>
      <w:pPr>
        <w:tabs>
          <w:tab w:val="left" w:pos="3780"/>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公开招标。</w:t>
      </w:r>
      <w:bookmarkEnd w:id="18"/>
      <w:bookmarkEnd w:id="19"/>
      <w:bookmarkStart w:id="21" w:name="_Hlt74388212"/>
      <w:bookmarkEnd w:id="21"/>
      <w:bookmarkStart w:id="22" w:name="_Hlt68516771"/>
      <w:bookmarkEnd w:id="22"/>
    </w:p>
    <w:p>
      <w:pPr>
        <w:pStyle w:val="12"/>
        <w:numPr>
          <w:ilvl w:val="0"/>
          <w:numId w:val="7"/>
        </w:numPr>
        <w:spacing w:line="360" w:lineRule="auto"/>
        <w:ind w:firstLine="482" w:firstLineChars="200"/>
        <w:rPr>
          <w:rFonts w:hAnsi="宋体" w:cs="宋体"/>
          <w:b/>
          <w:color w:val="auto"/>
          <w:sz w:val="24"/>
          <w:szCs w:val="24"/>
          <w:highlight w:val="none"/>
        </w:rPr>
      </w:pPr>
      <w:bookmarkStart w:id="23" w:name="_Toc91899877"/>
      <w:bookmarkStart w:id="24" w:name="_Hlt74730303"/>
      <w:r>
        <w:rPr>
          <w:rFonts w:hint="eastAsia" w:hAnsi="宋体" w:cs="宋体"/>
          <w:b/>
          <w:color w:val="auto"/>
          <w:sz w:val="24"/>
          <w:szCs w:val="24"/>
          <w:highlight w:val="none"/>
        </w:rPr>
        <w:t>投标费用</w:t>
      </w:r>
      <w:bookmarkEnd w:id="23"/>
    </w:p>
    <w:bookmarkEnd w:id="24"/>
    <w:p>
      <w:pPr>
        <w:autoSpaceDE w:val="0"/>
        <w:autoSpaceDN w:val="0"/>
        <w:spacing w:line="360" w:lineRule="auto"/>
        <w:ind w:firstLine="523" w:firstLineChars="218"/>
        <w:rPr>
          <w:rFonts w:ascii="宋体" w:hAnsi="宋体" w:cs="宋体"/>
          <w:color w:val="auto"/>
          <w:sz w:val="24"/>
          <w:highlight w:val="none"/>
          <w:lang w:val="zh-CN"/>
        </w:rPr>
      </w:pPr>
      <w:r>
        <w:rPr>
          <w:rFonts w:hint="eastAsia" w:ascii="宋体" w:hAnsi="宋体" w:cs="宋体"/>
          <w:color w:val="auto"/>
          <w:sz w:val="24"/>
          <w:highlight w:val="none"/>
        </w:rPr>
        <w:t>投标人需自行承担涉及投标的一切费用（招标文件有其他相反规定除外）。</w:t>
      </w:r>
    </w:p>
    <w:p>
      <w:pPr>
        <w:spacing w:line="360" w:lineRule="auto"/>
        <w:jc w:val="center"/>
        <w:rPr>
          <w:rFonts w:ascii="宋体" w:hAnsi="宋体" w:cs="宋体"/>
          <w:b/>
          <w:color w:val="auto"/>
          <w:sz w:val="24"/>
          <w:highlight w:val="none"/>
        </w:rPr>
      </w:pPr>
      <w:bookmarkStart w:id="25" w:name="_Hlt75236290"/>
      <w:bookmarkEnd w:id="25"/>
      <w:bookmarkStart w:id="26" w:name="_Hlt74729768"/>
      <w:bookmarkEnd w:id="26"/>
      <w:bookmarkStart w:id="27" w:name="_Hlt68057669"/>
      <w:bookmarkEnd w:id="27"/>
      <w:bookmarkStart w:id="28" w:name="_Hlt74707468"/>
      <w:bookmarkEnd w:id="28"/>
      <w:bookmarkStart w:id="29" w:name="_Hlt68072990"/>
      <w:bookmarkEnd w:id="29"/>
      <w:bookmarkStart w:id="30" w:name="_Toc91899879"/>
    </w:p>
    <w:p>
      <w:pPr>
        <w:snapToGrid w:val="0"/>
        <w:spacing w:line="360" w:lineRule="auto"/>
        <w:jc w:val="center"/>
        <w:outlineLvl w:val="0"/>
        <w:rPr>
          <w:rFonts w:ascii="宋体" w:hAnsi="宋体" w:cs="宋体"/>
          <w:b/>
          <w:color w:val="auto"/>
          <w:sz w:val="32"/>
          <w:highlight w:val="none"/>
        </w:rPr>
      </w:pPr>
      <w:bookmarkStart w:id="31" w:name="_Toc32274"/>
      <w:r>
        <w:rPr>
          <w:rFonts w:hint="eastAsia" w:ascii="宋体" w:hAnsi="宋体" w:cs="宋体"/>
          <w:b/>
          <w:color w:val="auto"/>
          <w:sz w:val="32"/>
          <w:highlight w:val="none"/>
        </w:rPr>
        <w:t>二、招标文件</w:t>
      </w:r>
      <w:bookmarkEnd w:id="30"/>
      <w:bookmarkEnd w:id="31"/>
    </w:p>
    <w:p>
      <w:pPr>
        <w:pStyle w:val="12"/>
        <w:numPr>
          <w:ilvl w:val="0"/>
          <w:numId w:val="7"/>
        </w:numPr>
        <w:spacing w:line="360" w:lineRule="auto"/>
        <w:ind w:firstLine="482" w:firstLineChars="200"/>
        <w:rPr>
          <w:rFonts w:hAnsi="宋体" w:cs="宋体"/>
          <w:b/>
          <w:color w:val="auto"/>
          <w:sz w:val="24"/>
          <w:szCs w:val="24"/>
          <w:highlight w:val="none"/>
        </w:rPr>
      </w:pPr>
      <w:bookmarkStart w:id="32" w:name="_Toc91899880"/>
      <w:bookmarkStart w:id="33" w:name="_Hlt74730307"/>
      <w:r>
        <w:rPr>
          <w:rFonts w:hint="eastAsia" w:hAnsi="宋体" w:cs="宋体"/>
          <w:b/>
          <w:color w:val="auto"/>
          <w:sz w:val="24"/>
          <w:szCs w:val="24"/>
          <w:highlight w:val="none"/>
        </w:rPr>
        <w:t>招标文件的构成</w:t>
      </w:r>
      <w:bookmarkEnd w:id="32"/>
    </w:p>
    <w:bookmarkEnd w:id="33"/>
    <w:p>
      <w:pPr>
        <w:pStyle w:val="27"/>
        <w:numPr>
          <w:ilvl w:val="0"/>
          <w:numId w:val="10"/>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招标文件包括下列文件及附件</w:t>
      </w:r>
    </w:p>
    <w:p>
      <w:pPr>
        <w:pStyle w:val="27"/>
        <w:numPr>
          <w:ilvl w:val="0"/>
          <w:numId w:val="11"/>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第一部分 招标公告</w:t>
      </w:r>
    </w:p>
    <w:p>
      <w:pPr>
        <w:pStyle w:val="27"/>
        <w:numPr>
          <w:ilvl w:val="0"/>
          <w:numId w:val="11"/>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第二部分 投标须知</w:t>
      </w:r>
    </w:p>
    <w:p>
      <w:pPr>
        <w:pStyle w:val="27"/>
        <w:numPr>
          <w:ilvl w:val="0"/>
          <w:numId w:val="11"/>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第三部分 评标办法及评分标准</w:t>
      </w:r>
    </w:p>
    <w:p>
      <w:pPr>
        <w:pStyle w:val="27"/>
        <w:numPr>
          <w:ilvl w:val="0"/>
          <w:numId w:val="11"/>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第四部分 采购需求</w:t>
      </w:r>
    </w:p>
    <w:p>
      <w:pPr>
        <w:pStyle w:val="27"/>
        <w:numPr>
          <w:ilvl w:val="0"/>
          <w:numId w:val="11"/>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第五部分 采购合同的一般和特殊条款</w:t>
      </w:r>
    </w:p>
    <w:p>
      <w:pPr>
        <w:pStyle w:val="27"/>
        <w:numPr>
          <w:ilvl w:val="0"/>
          <w:numId w:val="11"/>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第六部分 应提交的有关格式范例</w:t>
      </w:r>
    </w:p>
    <w:p>
      <w:pPr>
        <w:pStyle w:val="27"/>
        <w:numPr>
          <w:ilvl w:val="0"/>
          <w:numId w:val="10"/>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投标人应认真审阅招标文件中所有的内容，包括编制和提交采购响应文件须知、评标办法及评分标准、项目技术规范和服务要求、采购合同的一般和特殊条款、应提交的有关格式范例等。</w:t>
      </w:r>
    </w:p>
    <w:p>
      <w:pPr>
        <w:pStyle w:val="12"/>
        <w:numPr>
          <w:ilvl w:val="0"/>
          <w:numId w:val="7"/>
        </w:numPr>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招标文件的解释</w:t>
      </w:r>
    </w:p>
    <w:p>
      <w:pPr>
        <w:pStyle w:val="27"/>
        <w:numPr>
          <w:ilvl w:val="0"/>
          <w:numId w:val="12"/>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已获取招标文件的潜在投标人，若有问题需要澄清，应于投标截止时间前，以书面形式向采购代理机构提出，采购代理机构与采购人研究后，对认为有必要回答的问题，将通过招标公告发布网站通知所有招标文件收受人。</w:t>
      </w:r>
    </w:p>
    <w:p>
      <w:pPr>
        <w:pStyle w:val="27"/>
        <w:numPr>
          <w:ilvl w:val="0"/>
          <w:numId w:val="12"/>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采购代理机构如对已发出的招标文件进行必要澄清或者修改的，将在发布招标公告的网站上发布更正公告，同时视情况延长投标截止时间和开标时间。该澄清或者修改的内容为招标文件的组成部分。</w:t>
      </w:r>
    </w:p>
    <w:p>
      <w:pPr>
        <w:pStyle w:val="27"/>
        <w:numPr>
          <w:ilvl w:val="0"/>
          <w:numId w:val="12"/>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不论采购代理机构向投标人发送的资料文件，还是投标人提出的问题，均采用书面形式。</w:t>
      </w:r>
    </w:p>
    <w:p>
      <w:pPr>
        <w:pStyle w:val="12"/>
        <w:numPr>
          <w:ilvl w:val="0"/>
          <w:numId w:val="7"/>
        </w:numPr>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招标文件的修改、澄清</w:t>
      </w:r>
    </w:p>
    <w:p>
      <w:pPr>
        <w:pStyle w:val="27"/>
        <w:numPr>
          <w:ilvl w:val="0"/>
          <w:numId w:val="13"/>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从招标文件发出至投标截止时间前，采购代理机构可能会以补充通知的方式修改招标文件。补充通知作为招标文件的组成部分，各潜在投标人应自行在公告发布网站查看。若有必要，采购代理机构将酌情延长递交投标文件的截止日期。</w:t>
      </w:r>
    </w:p>
    <w:p>
      <w:pPr>
        <w:pStyle w:val="27"/>
        <w:numPr>
          <w:ilvl w:val="0"/>
          <w:numId w:val="13"/>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对投标文件中含义不明、表述不一致或有明显计算错误等内容，评标委员会将对投标人进行询标，并要求投标人作电子澄清（询标由专家在政采云系统上发起询标函，投标人在澄清处在规定时间内进行答复）；投标人的电子澄清，应由法定代表人进行电子签章（也可由法定代表人或授权代表签字扫描后上传），作为投标文件的补充部分，但澄清的内容不得改变投标文件的实质性内容。</w:t>
      </w:r>
    </w:p>
    <w:p>
      <w:pPr>
        <w:pStyle w:val="12"/>
        <w:numPr>
          <w:ilvl w:val="0"/>
          <w:numId w:val="7"/>
        </w:numPr>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投标报价</w:t>
      </w:r>
    </w:p>
    <w:p>
      <w:pPr>
        <w:pStyle w:val="27"/>
        <w:numPr>
          <w:ilvl w:val="0"/>
          <w:numId w:val="14"/>
        </w:numPr>
        <w:spacing w:before="0" w:line="360" w:lineRule="auto"/>
        <w:ind w:firstLine="482"/>
        <w:rPr>
          <w:rFonts w:ascii="宋体" w:hAnsi="宋体" w:cs="宋体"/>
          <w:b/>
          <w:bCs/>
          <w:color w:val="auto"/>
          <w:szCs w:val="24"/>
          <w:highlight w:val="none"/>
        </w:rPr>
      </w:pPr>
      <w:r>
        <w:rPr>
          <w:rFonts w:hint="eastAsia" w:ascii="宋体" w:hAnsi="宋体" w:cs="宋体"/>
          <w:b/>
          <w:bCs/>
          <w:color w:val="auto"/>
          <w:highlight w:val="none"/>
        </w:rPr>
        <w:t>投标报价统一为人民币计价，投标报价包括本项目所需</w:t>
      </w:r>
      <w:r>
        <w:rPr>
          <w:rFonts w:hint="eastAsia" w:ascii="宋体" w:hAnsi="宋体" w:cs="宋体"/>
          <w:b/>
          <w:bCs/>
          <w:color w:val="auto"/>
          <w:highlight w:val="none"/>
          <w:lang w:val="en-US" w:eastAsia="zh-CN"/>
        </w:rPr>
        <w:t>活动</w:t>
      </w:r>
      <w:r>
        <w:rPr>
          <w:rFonts w:hint="eastAsia" w:ascii="宋体" w:hAnsi="宋体" w:cs="宋体"/>
          <w:b/>
          <w:bCs/>
          <w:color w:val="auto"/>
          <w:highlight w:val="none"/>
        </w:rPr>
        <w:t>设计费、会议物料制作费、宣传品、会场布置费、舞台搭建费、氛围布置费</w:t>
      </w:r>
      <w:r>
        <w:rPr>
          <w:rFonts w:hint="eastAsia" w:ascii="宋体" w:hAnsi="宋体" w:cs="宋体"/>
          <w:b/>
          <w:bCs/>
          <w:color w:val="auto"/>
          <w:highlight w:val="none"/>
          <w:lang w:eastAsia="zh-CN"/>
        </w:rPr>
        <w:t>、</w:t>
      </w:r>
      <w:r>
        <w:rPr>
          <w:rFonts w:hint="eastAsia" w:ascii="宋体" w:hAnsi="宋体" w:cs="宋体"/>
          <w:b/>
          <w:bCs/>
          <w:color w:val="auto"/>
          <w:highlight w:val="none"/>
          <w:lang w:val="en-US" w:eastAsia="zh-CN"/>
        </w:rPr>
        <w:t>音响设备、</w:t>
      </w:r>
      <w:r>
        <w:rPr>
          <w:rFonts w:hint="eastAsia" w:ascii="宋体" w:hAnsi="宋体" w:cs="宋体"/>
          <w:b/>
          <w:bCs/>
          <w:color w:val="auto"/>
          <w:highlight w:val="none"/>
        </w:rPr>
        <w:t>场地租赁费、评委评审费、嘉宾邀请费</w:t>
      </w:r>
      <w:r>
        <w:rPr>
          <w:rFonts w:hint="eastAsia" w:ascii="宋体" w:hAnsi="宋体" w:cs="宋体"/>
          <w:b/>
          <w:bCs/>
          <w:color w:val="auto"/>
          <w:highlight w:val="none"/>
          <w:lang w:eastAsia="zh-CN"/>
        </w:rPr>
        <w:t>、</w:t>
      </w:r>
      <w:r>
        <w:rPr>
          <w:rFonts w:hint="eastAsia" w:ascii="宋体" w:hAnsi="宋体" w:cs="宋体"/>
          <w:b/>
          <w:bCs/>
          <w:color w:val="auto"/>
          <w:highlight w:val="none"/>
          <w:lang w:val="en-US" w:eastAsia="zh-CN"/>
        </w:rPr>
        <w:t>奖金、</w:t>
      </w:r>
      <w:r>
        <w:rPr>
          <w:rFonts w:hint="eastAsia" w:ascii="宋体" w:hAnsi="宋体" w:cs="宋体"/>
          <w:b/>
          <w:bCs/>
          <w:color w:val="auto"/>
          <w:highlight w:val="none"/>
        </w:rPr>
        <w:t>住宿及餐饮费、</w:t>
      </w:r>
      <w:r>
        <w:rPr>
          <w:rFonts w:hint="eastAsia" w:ascii="宋体" w:hAnsi="宋体" w:cs="宋体"/>
          <w:b/>
          <w:bCs/>
          <w:color w:val="auto"/>
          <w:highlight w:val="none"/>
          <w:lang w:val="en-US" w:eastAsia="zh-CN"/>
        </w:rPr>
        <w:t>交通补贴、</w:t>
      </w:r>
      <w:r>
        <w:rPr>
          <w:rFonts w:hint="eastAsia" w:ascii="宋体" w:hAnsi="宋体" w:cs="宋体"/>
          <w:b/>
          <w:bCs/>
          <w:color w:val="auto"/>
          <w:highlight w:val="none"/>
        </w:rPr>
        <w:t>宣传费、摄影及摄像费、招标代理费、规费、税金及不可预见费等一切相关费用。凡投标人在报价中未列明但又为本次采购所必备的项目或遗漏项目，采购人将一律视为已包括在合同价中，在合同执行中将不予考虑</w:t>
      </w:r>
      <w:r>
        <w:rPr>
          <w:rFonts w:hint="eastAsia" w:ascii="宋体" w:hAnsi="宋体" w:cs="宋体"/>
          <w:b/>
          <w:bCs/>
          <w:color w:val="auto"/>
          <w:szCs w:val="24"/>
          <w:highlight w:val="none"/>
        </w:rPr>
        <w:t>。</w:t>
      </w:r>
    </w:p>
    <w:p>
      <w:pPr>
        <w:pStyle w:val="27"/>
        <w:numPr>
          <w:ilvl w:val="0"/>
          <w:numId w:val="14"/>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其它费用处理</w:t>
      </w:r>
    </w:p>
    <w:p>
      <w:pPr>
        <w:pStyle w:val="27"/>
        <w:tabs>
          <w:tab w:val="left" w:pos="0"/>
        </w:tabs>
        <w:spacing w:before="0" w:line="360" w:lineRule="auto"/>
        <w:ind w:left="420" w:leftChars="200" w:firstLine="0" w:firstLineChars="0"/>
        <w:rPr>
          <w:rFonts w:ascii="宋体" w:hAnsi="宋体" w:cs="宋体"/>
          <w:color w:val="auto"/>
          <w:szCs w:val="24"/>
          <w:highlight w:val="none"/>
        </w:rPr>
      </w:pPr>
      <w:r>
        <w:rPr>
          <w:rFonts w:hint="eastAsia" w:ascii="宋体" w:hAnsi="宋体" w:cs="宋体"/>
          <w:color w:val="auto"/>
          <w:szCs w:val="24"/>
          <w:highlight w:val="none"/>
        </w:rPr>
        <w:t>招标文件未列明，而投标人认为必需的费用也需列入报价。</w:t>
      </w:r>
    </w:p>
    <w:p>
      <w:pPr>
        <w:pStyle w:val="27"/>
        <w:numPr>
          <w:ilvl w:val="0"/>
          <w:numId w:val="14"/>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投标货币</w:t>
      </w:r>
    </w:p>
    <w:p>
      <w:pPr>
        <w:pStyle w:val="27"/>
        <w:snapToGrid w:val="0"/>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投标文件中价格全部采用人民币报价。报价应是唯一的, 采购代理机构将不接受有选择的报价。</w:t>
      </w:r>
    </w:p>
    <w:p>
      <w:pPr>
        <w:pStyle w:val="6"/>
        <w:snapToGrid w:val="0"/>
        <w:spacing w:line="360" w:lineRule="auto"/>
        <w:ind w:firstLine="480" w:firstLineChars="200"/>
        <w:rPr>
          <w:rFonts w:hAnsi="宋体" w:cs="宋体"/>
          <w:color w:val="auto"/>
          <w:szCs w:val="24"/>
          <w:highlight w:val="none"/>
        </w:rPr>
      </w:pPr>
    </w:p>
    <w:p>
      <w:pPr>
        <w:snapToGrid w:val="0"/>
        <w:spacing w:line="360" w:lineRule="auto"/>
        <w:jc w:val="center"/>
        <w:outlineLvl w:val="0"/>
        <w:rPr>
          <w:rFonts w:ascii="宋体" w:hAnsi="宋体" w:cs="宋体"/>
          <w:b/>
          <w:color w:val="auto"/>
          <w:sz w:val="32"/>
          <w:highlight w:val="none"/>
        </w:rPr>
      </w:pPr>
      <w:bookmarkStart w:id="34" w:name="_Hlt75236011"/>
      <w:bookmarkEnd w:id="34"/>
      <w:bookmarkStart w:id="35" w:name="_Toc91899884"/>
      <w:bookmarkStart w:id="36" w:name="_Toc32612"/>
      <w:r>
        <w:rPr>
          <w:rFonts w:hint="eastAsia" w:ascii="宋体" w:hAnsi="宋体" w:cs="宋体"/>
          <w:b/>
          <w:color w:val="auto"/>
          <w:sz w:val="32"/>
          <w:highlight w:val="none"/>
        </w:rPr>
        <w:t>三、投标文件的编制</w:t>
      </w:r>
      <w:bookmarkEnd w:id="35"/>
      <w:bookmarkEnd w:id="36"/>
    </w:p>
    <w:p>
      <w:pPr>
        <w:pStyle w:val="12"/>
        <w:numPr>
          <w:ilvl w:val="0"/>
          <w:numId w:val="7"/>
        </w:numPr>
        <w:spacing w:line="360" w:lineRule="auto"/>
        <w:ind w:firstLine="482" w:firstLineChars="200"/>
        <w:rPr>
          <w:rFonts w:hAnsi="宋体" w:cs="宋体"/>
          <w:b/>
          <w:color w:val="auto"/>
          <w:sz w:val="24"/>
          <w:szCs w:val="24"/>
          <w:highlight w:val="none"/>
        </w:rPr>
      </w:pPr>
      <w:bookmarkStart w:id="37" w:name="_Toc86216991"/>
      <w:bookmarkStart w:id="38" w:name="_Toc91899892"/>
      <w:r>
        <w:rPr>
          <w:rFonts w:hint="eastAsia" w:hAnsi="宋体" w:cs="宋体"/>
          <w:b/>
          <w:color w:val="auto"/>
          <w:sz w:val="24"/>
          <w:szCs w:val="24"/>
          <w:highlight w:val="none"/>
        </w:rPr>
        <w:t>投标文件的语言</w:t>
      </w:r>
    </w:p>
    <w:p>
      <w:pPr>
        <w:pStyle w:val="27"/>
        <w:tabs>
          <w:tab w:val="left" w:pos="0"/>
        </w:tabs>
        <w:spacing w:before="0" w:line="360" w:lineRule="auto"/>
        <w:ind w:firstLine="480"/>
        <w:rPr>
          <w:rFonts w:ascii="宋体" w:hAnsi="宋体" w:cs="宋体"/>
          <w:color w:val="auto"/>
          <w:szCs w:val="24"/>
          <w:highlight w:val="none"/>
          <w:lang w:val="zh-CN"/>
        </w:rPr>
      </w:pPr>
      <w:r>
        <w:rPr>
          <w:rFonts w:hint="eastAsia" w:ascii="宋体" w:hAnsi="宋体" w:cs="宋体"/>
          <w:color w:val="auto"/>
          <w:szCs w:val="24"/>
          <w:highlight w:val="none"/>
        </w:rPr>
        <w:t>投标文件及投标人与采购有关的来往通知、函件和文件均应使用中文。</w:t>
      </w:r>
    </w:p>
    <w:p>
      <w:pPr>
        <w:pStyle w:val="12"/>
        <w:numPr>
          <w:ilvl w:val="0"/>
          <w:numId w:val="7"/>
        </w:numPr>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投标文件的组成</w:t>
      </w:r>
    </w:p>
    <w:p>
      <w:pPr>
        <w:pStyle w:val="27"/>
        <w:tabs>
          <w:tab w:val="left" w:pos="0"/>
        </w:tabs>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投标文件应当包括以下主要内容：资格文件、商务技术文件、报价文件。</w:t>
      </w:r>
    </w:p>
    <w:p>
      <w:pPr>
        <w:pStyle w:val="27"/>
        <w:numPr>
          <w:ilvl w:val="0"/>
          <w:numId w:val="15"/>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资格文件包括以下内容：</w:t>
      </w:r>
    </w:p>
    <w:p>
      <w:pPr>
        <w:pStyle w:val="27"/>
        <w:numPr>
          <w:ilvl w:val="0"/>
          <w:numId w:val="16"/>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法定代表人授权书（格式见附件）；如法定代表人直接参加投标并对相应文件签字的（签字是指线下签字扫描后上传或者线上进行电子签章），只需提供其身份证复印件，否则则应提供授权代表身份证复印件；</w:t>
      </w:r>
    </w:p>
    <w:p>
      <w:pPr>
        <w:pStyle w:val="27"/>
        <w:numPr>
          <w:ilvl w:val="0"/>
          <w:numId w:val="16"/>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27"/>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采购活动，由单位负责人签署相关文件材料；</w:t>
      </w:r>
    </w:p>
    <w:p>
      <w:pPr>
        <w:pStyle w:val="27"/>
        <w:numPr>
          <w:ilvl w:val="0"/>
          <w:numId w:val="16"/>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具有履行合同所必需的产品和专业技术能力的承诺函；</w:t>
      </w:r>
    </w:p>
    <w:p>
      <w:pPr>
        <w:pStyle w:val="27"/>
        <w:numPr>
          <w:ilvl w:val="0"/>
          <w:numId w:val="16"/>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投标人承诺函（格式见附件）。</w:t>
      </w:r>
    </w:p>
    <w:p>
      <w:pPr>
        <w:pStyle w:val="27"/>
        <w:numPr>
          <w:ilvl w:val="0"/>
          <w:numId w:val="15"/>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商务技术文件，本次招标需要投标人提供以下项所列的技术文件：</w:t>
      </w:r>
    </w:p>
    <w:p>
      <w:pPr>
        <w:pStyle w:val="27"/>
        <w:numPr>
          <w:ilvl w:val="0"/>
          <w:numId w:val="17"/>
        </w:numPr>
        <w:spacing w:before="0" w:line="360" w:lineRule="auto"/>
        <w:ind w:firstLine="480"/>
        <w:rPr>
          <w:rFonts w:ascii="宋体"/>
          <w:color w:val="auto"/>
          <w:highlight w:val="none"/>
        </w:rPr>
      </w:pPr>
      <w:r>
        <w:rPr>
          <w:rFonts w:hint="eastAsia" w:ascii="宋体" w:hAnsi="宋体" w:cs="宋体"/>
          <w:color w:val="auto"/>
          <w:highlight w:val="none"/>
        </w:rPr>
        <w:t>评分对应表（格式见附件，主要用于评委对应评分内容）</w:t>
      </w:r>
      <w:r>
        <w:rPr>
          <w:rFonts w:hint="eastAsia" w:ascii="宋体" w:hAnsi="宋体" w:cs="宋体"/>
          <w:color w:val="auto"/>
          <w:highlight w:val="none"/>
          <w:lang w:eastAsia="zh-CN"/>
        </w:rPr>
        <w:t>；</w:t>
      </w:r>
    </w:p>
    <w:p>
      <w:pPr>
        <w:pStyle w:val="27"/>
        <w:numPr>
          <w:ilvl w:val="0"/>
          <w:numId w:val="17"/>
        </w:numPr>
        <w:spacing w:before="0" w:line="360" w:lineRule="auto"/>
        <w:ind w:firstLine="480"/>
        <w:rPr>
          <w:rFonts w:ascii="宋体"/>
          <w:color w:val="auto"/>
          <w:highlight w:val="none"/>
        </w:rPr>
      </w:pPr>
      <w:r>
        <w:rPr>
          <w:rFonts w:hint="eastAsia" w:ascii="宋体" w:hAnsi="宋体" w:cs="宋体"/>
          <w:color w:val="auto"/>
          <w:highlight w:val="none"/>
        </w:rPr>
        <w:t>供应商商务技术文件中资信分自评表（格式见附件）；</w:t>
      </w:r>
    </w:p>
    <w:p>
      <w:pPr>
        <w:pStyle w:val="27"/>
        <w:numPr>
          <w:ilvl w:val="0"/>
          <w:numId w:val="17"/>
        </w:numPr>
        <w:spacing w:before="0" w:line="360" w:lineRule="auto"/>
        <w:ind w:firstLine="480"/>
        <w:rPr>
          <w:rFonts w:ascii="宋体"/>
          <w:color w:val="auto"/>
          <w:highlight w:val="none"/>
        </w:rPr>
      </w:pPr>
      <w:r>
        <w:rPr>
          <w:rFonts w:hint="eastAsia" w:ascii="宋体" w:hAnsi="宋体" w:cs="宋体"/>
          <w:color w:val="auto"/>
          <w:highlight w:val="none"/>
        </w:rPr>
        <w:t>投标项目明细清单（格式见附件）；</w:t>
      </w:r>
    </w:p>
    <w:p>
      <w:pPr>
        <w:pStyle w:val="27"/>
        <w:numPr>
          <w:ilvl w:val="0"/>
          <w:numId w:val="17"/>
        </w:numPr>
        <w:spacing w:before="0" w:line="360" w:lineRule="auto"/>
        <w:ind w:firstLine="480"/>
        <w:rPr>
          <w:rFonts w:ascii="宋体"/>
          <w:color w:val="auto"/>
          <w:highlight w:val="none"/>
        </w:rPr>
      </w:pPr>
      <w:r>
        <w:rPr>
          <w:rFonts w:hint="eastAsia" w:ascii="宋体" w:hAnsi="宋体" w:cs="宋体"/>
          <w:color w:val="auto"/>
          <w:highlight w:val="none"/>
        </w:rPr>
        <w:t>技术响应及建议表（格式见附件）；</w:t>
      </w:r>
    </w:p>
    <w:p>
      <w:pPr>
        <w:pStyle w:val="27"/>
        <w:numPr>
          <w:ilvl w:val="0"/>
          <w:numId w:val="17"/>
        </w:numPr>
        <w:spacing w:before="0" w:line="360" w:lineRule="auto"/>
        <w:ind w:firstLine="480"/>
        <w:rPr>
          <w:rFonts w:ascii="宋体"/>
          <w:color w:val="auto"/>
          <w:highlight w:val="none"/>
        </w:rPr>
      </w:pPr>
      <w:r>
        <w:rPr>
          <w:rFonts w:hint="eastAsia" w:ascii="宋体" w:hAnsi="宋体" w:cs="宋体"/>
          <w:color w:val="auto"/>
          <w:highlight w:val="none"/>
        </w:rPr>
        <w:t>商务响应表（格式见附件）；</w:t>
      </w:r>
    </w:p>
    <w:p>
      <w:pPr>
        <w:pStyle w:val="27"/>
        <w:numPr>
          <w:ilvl w:val="0"/>
          <w:numId w:val="17"/>
        </w:numPr>
        <w:spacing w:before="0" w:line="360" w:lineRule="auto"/>
        <w:ind w:firstLine="480"/>
        <w:rPr>
          <w:rFonts w:hint="eastAsia" w:ascii="宋体" w:hAnsi="宋体" w:cs="宋体"/>
          <w:color w:val="auto"/>
          <w:szCs w:val="24"/>
          <w:highlight w:val="none"/>
          <w:lang w:val="en-US" w:eastAsia="zh-CN"/>
        </w:rPr>
      </w:pPr>
      <w:r>
        <w:rPr>
          <w:rFonts w:hint="eastAsia" w:ascii="宋体" w:hAnsi="宋体" w:cs="宋体"/>
          <w:color w:val="auto"/>
          <w:szCs w:val="24"/>
          <w:highlight w:val="none"/>
          <w:lang w:val="en-US" w:eastAsia="zh-CN"/>
        </w:rPr>
        <w:t>项目总体设计方案；</w:t>
      </w:r>
    </w:p>
    <w:p>
      <w:pPr>
        <w:pStyle w:val="27"/>
        <w:numPr>
          <w:ilvl w:val="0"/>
          <w:numId w:val="17"/>
        </w:numPr>
        <w:spacing w:before="0" w:line="360" w:lineRule="auto"/>
        <w:ind w:firstLine="480"/>
        <w:rPr>
          <w:rFonts w:hint="eastAsia" w:ascii="宋体" w:hAnsi="宋体" w:cs="宋体"/>
          <w:color w:val="auto"/>
          <w:szCs w:val="24"/>
          <w:highlight w:val="none"/>
          <w:lang w:val="en-US" w:eastAsia="zh-CN"/>
        </w:rPr>
      </w:pPr>
      <w:r>
        <w:rPr>
          <w:rFonts w:hint="eastAsia" w:ascii="宋体" w:hAnsi="宋体" w:cs="宋体"/>
          <w:color w:val="auto"/>
          <w:szCs w:val="24"/>
          <w:highlight w:val="none"/>
          <w:lang w:val="en-US" w:eastAsia="zh-CN"/>
        </w:rPr>
        <w:t>项目征集方案；</w:t>
      </w:r>
    </w:p>
    <w:p>
      <w:pPr>
        <w:pStyle w:val="27"/>
        <w:numPr>
          <w:ilvl w:val="0"/>
          <w:numId w:val="17"/>
        </w:numPr>
        <w:spacing w:before="0" w:line="360" w:lineRule="auto"/>
        <w:ind w:firstLine="480"/>
        <w:rPr>
          <w:rFonts w:hint="eastAsia" w:ascii="宋体" w:hAnsi="宋体" w:cs="宋体"/>
          <w:color w:val="auto"/>
          <w:szCs w:val="24"/>
          <w:highlight w:val="none"/>
          <w:lang w:val="en-US" w:eastAsia="zh-CN"/>
        </w:rPr>
      </w:pPr>
      <w:r>
        <w:rPr>
          <w:rFonts w:hint="eastAsia" w:ascii="宋体" w:hAnsi="宋体" w:cs="宋体"/>
          <w:color w:val="auto"/>
          <w:szCs w:val="24"/>
          <w:highlight w:val="none"/>
          <w:lang w:val="en-US" w:eastAsia="zh-CN"/>
        </w:rPr>
        <w:t>大赛评委保障；</w:t>
      </w:r>
    </w:p>
    <w:p>
      <w:pPr>
        <w:pStyle w:val="27"/>
        <w:numPr>
          <w:ilvl w:val="0"/>
          <w:numId w:val="17"/>
        </w:numPr>
        <w:spacing w:before="0" w:line="360" w:lineRule="auto"/>
        <w:ind w:firstLine="480"/>
        <w:rPr>
          <w:rFonts w:hint="eastAsia" w:ascii="宋体" w:hAnsi="宋体" w:cs="宋体"/>
          <w:color w:val="auto"/>
          <w:szCs w:val="24"/>
          <w:highlight w:val="none"/>
          <w:lang w:val="en-US" w:eastAsia="zh-CN"/>
        </w:rPr>
      </w:pPr>
      <w:r>
        <w:rPr>
          <w:rFonts w:hint="eastAsia" w:ascii="宋体" w:hAnsi="宋体" w:cs="宋体"/>
          <w:color w:val="auto"/>
          <w:szCs w:val="24"/>
          <w:highlight w:val="none"/>
          <w:lang w:val="en-US" w:eastAsia="zh-CN"/>
        </w:rPr>
        <w:t>资源保障；</w:t>
      </w:r>
    </w:p>
    <w:p>
      <w:pPr>
        <w:pStyle w:val="27"/>
        <w:numPr>
          <w:ilvl w:val="0"/>
          <w:numId w:val="17"/>
        </w:numPr>
        <w:spacing w:before="0" w:line="360" w:lineRule="auto"/>
        <w:ind w:firstLine="480"/>
        <w:rPr>
          <w:rFonts w:hint="eastAsia" w:ascii="宋体" w:hAnsi="宋体" w:cs="宋体"/>
          <w:color w:val="auto"/>
          <w:szCs w:val="24"/>
          <w:highlight w:val="none"/>
          <w:lang w:val="en-US" w:eastAsia="zh-CN"/>
        </w:rPr>
      </w:pPr>
      <w:r>
        <w:rPr>
          <w:rFonts w:hint="eastAsia" w:ascii="宋体" w:hAnsi="宋体" w:cs="宋体"/>
          <w:color w:val="auto"/>
          <w:szCs w:val="24"/>
          <w:highlight w:val="none"/>
          <w:lang w:val="en-US" w:eastAsia="zh-CN"/>
        </w:rPr>
        <w:t>工作量及进度计划；</w:t>
      </w:r>
    </w:p>
    <w:p>
      <w:pPr>
        <w:pStyle w:val="27"/>
        <w:numPr>
          <w:ilvl w:val="0"/>
          <w:numId w:val="17"/>
        </w:numPr>
        <w:spacing w:before="0" w:line="360" w:lineRule="auto"/>
        <w:ind w:firstLine="480"/>
        <w:rPr>
          <w:rFonts w:hint="eastAsia" w:ascii="宋体" w:hAnsi="宋体" w:cs="宋体"/>
          <w:color w:val="auto"/>
          <w:szCs w:val="24"/>
          <w:highlight w:val="none"/>
          <w:lang w:val="en-US" w:eastAsia="zh-CN"/>
        </w:rPr>
      </w:pPr>
      <w:r>
        <w:rPr>
          <w:rFonts w:hint="eastAsia" w:ascii="宋体" w:hAnsi="宋体" w:cs="宋体"/>
          <w:color w:val="auto"/>
          <w:szCs w:val="24"/>
          <w:highlight w:val="none"/>
          <w:lang w:val="en-US" w:eastAsia="zh-CN"/>
        </w:rPr>
        <w:t>人员配备；</w:t>
      </w:r>
    </w:p>
    <w:p>
      <w:pPr>
        <w:pStyle w:val="27"/>
        <w:numPr>
          <w:ilvl w:val="0"/>
          <w:numId w:val="17"/>
        </w:numPr>
        <w:spacing w:before="0" w:line="360" w:lineRule="auto"/>
        <w:ind w:firstLine="480"/>
        <w:rPr>
          <w:rFonts w:hint="eastAsia" w:ascii="宋体" w:hAnsi="宋体" w:cs="宋体"/>
          <w:color w:val="auto"/>
          <w:szCs w:val="24"/>
          <w:highlight w:val="none"/>
          <w:lang w:val="en-US" w:eastAsia="zh-CN"/>
        </w:rPr>
      </w:pPr>
      <w:r>
        <w:rPr>
          <w:rFonts w:hint="eastAsia" w:ascii="宋体" w:hAnsi="宋体" w:cs="宋体"/>
          <w:color w:val="auto"/>
          <w:szCs w:val="24"/>
          <w:highlight w:val="none"/>
          <w:lang w:val="en-US" w:eastAsia="zh-CN"/>
        </w:rPr>
        <w:t>项目落地服务；</w:t>
      </w:r>
    </w:p>
    <w:p>
      <w:pPr>
        <w:pStyle w:val="27"/>
        <w:numPr>
          <w:ilvl w:val="0"/>
          <w:numId w:val="17"/>
        </w:numPr>
        <w:spacing w:before="0" w:line="360" w:lineRule="auto"/>
        <w:ind w:firstLine="480"/>
        <w:rPr>
          <w:rFonts w:hint="eastAsia" w:ascii="宋体" w:hAnsi="宋体" w:cs="宋体"/>
          <w:color w:val="auto"/>
          <w:szCs w:val="24"/>
          <w:highlight w:val="none"/>
          <w:lang w:val="en-US" w:eastAsia="zh-CN"/>
        </w:rPr>
      </w:pPr>
      <w:r>
        <w:rPr>
          <w:rFonts w:hint="eastAsia" w:ascii="宋体" w:hAnsi="宋体" w:cs="宋体"/>
          <w:color w:val="auto"/>
          <w:szCs w:val="24"/>
          <w:highlight w:val="none"/>
          <w:lang w:val="en-US" w:eastAsia="zh-CN"/>
        </w:rPr>
        <w:t>宣传方案；</w:t>
      </w:r>
    </w:p>
    <w:p>
      <w:pPr>
        <w:pStyle w:val="27"/>
        <w:numPr>
          <w:ilvl w:val="0"/>
          <w:numId w:val="17"/>
        </w:numPr>
        <w:spacing w:before="0" w:line="360" w:lineRule="auto"/>
        <w:ind w:firstLine="480"/>
        <w:rPr>
          <w:rFonts w:hint="eastAsia" w:ascii="宋体" w:hAnsi="宋体" w:cs="宋体"/>
          <w:color w:val="auto"/>
          <w:szCs w:val="24"/>
          <w:highlight w:val="none"/>
          <w:lang w:val="en-US" w:eastAsia="zh-CN"/>
        </w:rPr>
      </w:pPr>
      <w:r>
        <w:rPr>
          <w:rFonts w:hint="eastAsia" w:ascii="宋体" w:hAnsi="宋体" w:cs="宋体"/>
          <w:color w:val="auto"/>
          <w:szCs w:val="24"/>
          <w:highlight w:val="none"/>
          <w:lang w:val="en-US" w:eastAsia="zh-CN"/>
        </w:rPr>
        <w:t>重难点分析；</w:t>
      </w:r>
    </w:p>
    <w:p>
      <w:pPr>
        <w:pStyle w:val="27"/>
        <w:numPr>
          <w:ilvl w:val="0"/>
          <w:numId w:val="17"/>
        </w:numPr>
        <w:spacing w:before="0" w:line="360" w:lineRule="auto"/>
        <w:ind w:firstLine="480"/>
        <w:rPr>
          <w:rFonts w:hint="eastAsia" w:ascii="宋体" w:hAnsi="宋体" w:cs="宋体"/>
          <w:color w:val="auto"/>
          <w:szCs w:val="24"/>
          <w:highlight w:val="none"/>
          <w:lang w:val="en-US" w:eastAsia="zh-CN"/>
        </w:rPr>
      </w:pPr>
      <w:r>
        <w:rPr>
          <w:rFonts w:hint="eastAsia" w:ascii="宋体" w:hAnsi="宋体" w:cs="宋体"/>
          <w:color w:val="auto"/>
          <w:szCs w:val="24"/>
          <w:highlight w:val="none"/>
          <w:lang w:val="en-US" w:eastAsia="zh-CN"/>
        </w:rPr>
        <w:t>应急方案；</w:t>
      </w:r>
    </w:p>
    <w:p>
      <w:pPr>
        <w:pStyle w:val="27"/>
        <w:numPr>
          <w:ilvl w:val="0"/>
          <w:numId w:val="17"/>
        </w:numPr>
        <w:spacing w:before="0" w:line="360" w:lineRule="auto"/>
        <w:ind w:firstLine="480"/>
        <w:rPr>
          <w:rFonts w:hint="eastAsia" w:ascii="宋体" w:hAnsi="宋体" w:cs="宋体"/>
          <w:color w:val="auto"/>
          <w:szCs w:val="24"/>
          <w:highlight w:val="none"/>
          <w:lang w:val="en-US" w:eastAsia="zh-CN"/>
        </w:rPr>
      </w:pPr>
      <w:r>
        <w:rPr>
          <w:rFonts w:hint="eastAsia" w:ascii="宋体" w:hAnsi="宋体" w:cs="宋体"/>
          <w:color w:val="auto"/>
          <w:szCs w:val="24"/>
          <w:highlight w:val="none"/>
          <w:lang w:val="en-US" w:eastAsia="zh-CN"/>
        </w:rPr>
        <w:t>供应商业绩；</w:t>
      </w:r>
    </w:p>
    <w:p>
      <w:pPr>
        <w:pStyle w:val="27"/>
        <w:numPr>
          <w:ilvl w:val="0"/>
          <w:numId w:val="17"/>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lang w:val="en-US" w:eastAsia="zh-CN"/>
        </w:rPr>
        <w:t>认证证书；</w:t>
      </w:r>
    </w:p>
    <w:p>
      <w:pPr>
        <w:pStyle w:val="27"/>
        <w:numPr>
          <w:ilvl w:val="0"/>
          <w:numId w:val="17"/>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lang w:val="en-US" w:eastAsia="zh-CN"/>
        </w:rPr>
        <w:t>项目组人员清单（格式见附件）</w:t>
      </w:r>
      <w:r>
        <w:rPr>
          <w:rFonts w:hint="eastAsia" w:ascii="宋体" w:hAnsi="宋体" w:cs="宋体"/>
          <w:color w:val="auto"/>
          <w:szCs w:val="24"/>
          <w:highlight w:val="none"/>
        </w:rPr>
        <w:t>；</w:t>
      </w:r>
    </w:p>
    <w:p>
      <w:pPr>
        <w:pStyle w:val="27"/>
        <w:numPr>
          <w:ilvl w:val="0"/>
          <w:numId w:val="17"/>
        </w:numPr>
        <w:spacing w:before="0" w:line="360" w:lineRule="auto"/>
        <w:ind w:firstLine="480"/>
        <w:rPr>
          <w:rFonts w:ascii="宋体"/>
          <w:color w:val="auto"/>
          <w:highlight w:val="none"/>
        </w:rPr>
      </w:pPr>
      <w:r>
        <w:rPr>
          <w:rFonts w:hint="eastAsia" w:ascii="宋体" w:hAnsi="宋体" w:cs="宋体"/>
          <w:color w:val="auto"/>
          <w:highlight w:val="none"/>
        </w:rPr>
        <w:t>供应商认为需要的其他文件资料。</w:t>
      </w:r>
    </w:p>
    <w:p>
      <w:pPr>
        <w:pStyle w:val="27"/>
        <w:tabs>
          <w:tab w:val="left" w:pos="0"/>
        </w:tabs>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注：以上内容应与评标办法中内容具有一致性。</w:t>
      </w:r>
    </w:p>
    <w:p>
      <w:pPr>
        <w:pStyle w:val="27"/>
        <w:tabs>
          <w:tab w:val="left" w:pos="0"/>
        </w:tabs>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如果本项目涉及软件采购，还需提供相关完整配置方案（软件名称、品牌、规格型号、数量、主要技术参数等），提供主要投标产品的技术参数证明材料（如官网截图、产品彩页、技术说明等），明确表示该项指标所涉及的软件是标准配置还是选择配置。</w:t>
      </w:r>
    </w:p>
    <w:p>
      <w:pPr>
        <w:pStyle w:val="27"/>
        <w:tabs>
          <w:tab w:val="left" w:pos="0"/>
        </w:tabs>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投标人在投标文件中应对项目技术规范和服务要求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投标。</w:t>
      </w:r>
      <w:r>
        <w:rPr>
          <w:rFonts w:hint="eastAsia" w:ascii="宋体" w:hAnsi="宋体" w:cs="宋体"/>
          <w:b/>
          <w:bCs/>
          <w:color w:val="auto"/>
          <w:szCs w:val="24"/>
          <w:highlight w:val="none"/>
        </w:rPr>
        <w:t>采购代理机构将把这一情况报送采购监管部门。实质性指标、关键性指标和重要指标需提供证明材料，如技术偏离表中仅复制粘贴而未说明或提供证明材料的，其产生的影响直至被认定为未实质性响应的后果将由供应商自行承担。</w:t>
      </w:r>
    </w:p>
    <w:p>
      <w:pPr>
        <w:pStyle w:val="27"/>
        <w:numPr>
          <w:ilvl w:val="0"/>
          <w:numId w:val="15"/>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报价文件包括以下内容：</w:t>
      </w:r>
    </w:p>
    <w:p>
      <w:pPr>
        <w:pStyle w:val="27"/>
        <w:numPr>
          <w:ilvl w:val="0"/>
          <w:numId w:val="18"/>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投标函（格式见附件）；</w:t>
      </w:r>
    </w:p>
    <w:p>
      <w:pPr>
        <w:pStyle w:val="27"/>
        <w:numPr>
          <w:ilvl w:val="0"/>
          <w:numId w:val="18"/>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开标一览表（格式见附件）；</w:t>
      </w:r>
    </w:p>
    <w:p>
      <w:pPr>
        <w:pStyle w:val="27"/>
        <w:numPr>
          <w:ilvl w:val="0"/>
          <w:numId w:val="18"/>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投标报价明细表（格式见附件）。</w:t>
      </w:r>
    </w:p>
    <w:p>
      <w:pPr>
        <w:pStyle w:val="12"/>
        <w:numPr>
          <w:ilvl w:val="0"/>
          <w:numId w:val="7"/>
        </w:numPr>
        <w:spacing w:line="360" w:lineRule="auto"/>
        <w:ind w:firstLine="482" w:firstLineChars="200"/>
        <w:rPr>
          <w:rFonts w:hAnsi="宋体" w:cs="宋体"/>
          <w:b/>
          <w:color w:val="auto"/>
          <w:sz w:val="24"/>
          <w:szCs w:val="24"/>
          <w:highlight w:val="none"/>
        </w:rPr>
      </w:pPr>
      <w:bookmarkStart w:id="39" w:name="_Toc91899887"/>
      <w:r>
        <w:rPr>
          <w:rFonts w:hint="eastAsia" w:hAnsi="宋体" w:cs="宋体"/>
          <w:b/>
          <w:color w:val="auto"/>
          <w:sz w:val="24"/>
          <w:szCs w:val="24"/>
          <w:highlight w:val="none"/>
        </w:rPr>
        <w:t>投标有效期</w:t>
      </w:r>
    </w:p>
    <w:p>
      <w:pPr>
        <w:pStyle w:val="27"/>
        <w:numPr>
          <w:ilvl w:val="0"/>
          <w:numId w:val="19"/>
        </w:numPr>
        <w:spacing w:before="0" w:line="360" w:lineRule="auto"/>
        <w:ind w:firstLine="480"/>
        <w:rPr>
          <w:rFonts w:ascii="宋体" w:hAnsi="宋体" w:cs="宋体"/>
          <w:color w:val="auto"/>
          <w:szCs w:val="24"/>
          <w:highlight w:val="none"/>
        </w:rPr>
      </w:pPr>
      <w:r>
        <w:rPr>
          <w:rFonts w:hint="eastAsia" w:ascii="宋体" w:hAnsi="宋体" w:cs="宋体"/>
          <w:color w:val="auto"/>
          <w:highlight w:val="none"/>
        </w:rPr>
        <w:t>投标文件未在投标截止时间前完成传输的或者未按时解密的，视为放弃投标；投标文件解密失败后未提供备份文件或者备份文件也出现异常情况无法进行评审的，亦视为放弃投标。</w:t>
      </w:r>
    </w:p>
    <w:p>
      <w:pPr>
        <w:pStyle w:val="27"/>
        <w:numPr>
          <w:ilvl w:val="0"/>
          <w:numId w:val="19"/>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投标文件上传后，自投标截止日期起，在前附表所列的投标有效期内有效。</w:t>
      </w:r>
    </w:p>
    <w:p>
      <w:pPr>
        <w:pStyle w:val="27"/>
        <w:numPr>
          <w:ilvl w:val="0"/>
          <w:numId w:val="19"/>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在原定投标有效期满之前，如果出现特殊情况，采购代理机构可以以书面形式通知投标人延长投标有效期。</w:t>
      </w:r>
    </w:p>
    <w:p>
      <w:pPr>
        <w:pStyle w:val="12"/>
        <w:numPr>
          <w:ilvl w:val="0"/>
          <w:numId w:val="7"/>
        </w:numPr>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投标人如有下列情况之一者列入不良行为记录：</w:t>
      </w:r>
    </w:p>
    <w:p>
      <w:pPr>
        <w:pStyle w:val="27"/>
        <w:numPr>
          <w:ilvl w:val="0"/>
          <w:numId w:val="20"/>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投标人在投标有效期内撤回投标的；</w:t>
      </w:r>
    </w:p>
    <w:p>
      <w:pPr>
        <w:pStyle w:val="27"/>
        <w:numPr>
          <w:ilvl w:val="0"/>
          <w:numId w:val="20"/>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中标人或中标候选人放弃中标或中标候选人资格的；</w:t>
      </w:r>
    </w:p>
    <w:p>
      <w:pPr>
        <w:pStyle w:val="27"/>
        <w:numPr>
          <w:ilvl w:val="0"/>
          <w:numId w:val="20"/>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擅自修改或拒绝接受已经确认的条款；</w:t>
      </w:r>
    </w:p>
    <w:p>
      <w:pPr>
        <w:pStyle w:val="27"/>
        <w:numPr>
          <w:ilvl w:val="0"/>
          <w:numId w:val="20"/>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中标人未按规定与采购人签订合同；</w:t>
      </w:r>
    </w:p>
    <w:p>
      <w:pPr>
        <w:pStyle w:val="27"/>
        <w:numPr>
          <w:ilvl w:val="0"/>
          <w:numId w:val="20"/>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未按规定提供履约保证金；</w:t>
      </w:r>
    </w:p>
    <w:p>
      <w:pPr>
        <w:pStyle w:val="27"/>
        <w:numPr>
          <w:ilvl w:val="0"/>
          <w:numId w:val="20"/>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投标人采取提供虚假资料等不正当手段的；</w:t>
      </w:r>
    </w:p>
    <w:p>
      <w:pPr>
        <w:pStyle w:val="27"/>
        <w:numPr>
          <w:ilvl w:val="0"/>
          <w:numId w:val="20"/>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投标人在投标过程中串通投标的。</w:t>
      </w:r>
    </w:p>
    <w:p>
      <w:pPr>
        <w:pStyle w:val="12"/>
        <w:numPr>
          <w:ilvl w:val="0"/>
          <w:numId w:val="7"/>
        </w:numPr>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投标文件的编制和签署</w:t>
      </w:r>
    </w:p>
    <w:bookmarkEnd w:id="39"/>
    <w:p>
      <w:pPr>
        <w:pStyle w:val="27"/>
        <w:numPr>
          <w:ilvl w:val="0"/>
          <w:numId w:val="21"/>
        </w:numPr>
        <w:spacing w:before="0" w:line="360" w:lineRule="auto"/>
        <w:ind w:firstLine="480"/>
        <w:rPr>
          <w:rFonts w:ascii="宋体" w:hAnsi="宋体" w:cs="宋体"/>
          <w:color w:val="auto"/>
          <w:szCs w:val="24"/>
          <w:highlight w:val="none"/>
        </w:rPr>
      </w:pPr>
      <w:r>
        <w:rPr>
          <w:rFonts w:hint="eastAsia" w:ascii="宋体" w:hAnsi="宋体" w:cs="宋体"/>
          <w:color w:val="auto"/>
          <w:highlight w:val="none"/>
        </w:rPr>
        <w:t>按招标文件9.1条、9.2条、9.3条要求提供的各种文件，投标文件分为资格文件、商务技术文件和报价文件三部分。</w:t>
      </w:r>
    </w:p>
    <w:p>
      <w:pPr>
        <w:pStyle w:val="27"/>
        <w:numPr>
          <w:ilvl w:val="0"/>
          <w:numId w:val="21"/>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投标文件须按附件格式要求进行电子签章，投标人应写全称。（电子投标文件中所须加盖公章部分均应采用电子签章）</w:t>
      </w:r>
    </w:p>
    <w:p>
      <w:pPr>
        <w:pStyle w:val="27"/>
        <w:numPr>
          <w:ilvl w:val="0"/>
          <w:numId w:val="21"/>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全套投标文件应无涂改和行间插字，除非这些删改是根据采购代理机构要求进行，或者是投标人造成的必须修改的错误。所修改处应由法定代表人或其授权代表签字盖章予以确认。</w:t>
      </w:r>
    </w:p>
    <w:p>
      <w:pPr>
        <w:pStyle w:val="27"/>
        <w:numPr>
          <w:ilvl w:val="0"/>
          <w:numId w:val="21"/>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由于字迹模糊或表达不清引起的后果由投标人负责。</w:t>
      </w:r>
    </w:p>
    <w:p>
      <w:pPr>
        <w:pStyle w:val="12"/>
        <w:numPr>
          <w:ilvl w:val="0"/>
          <w:numId w:val="7"/>
        </w:numPr>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 xml:space="preserve"> 投标文件的形式</w:t>
      </w:r>
    </w:p>
    <w:p>
      <w:pPr>
        <w:autoSpaceDE w:val="0"/>
        <w:autoSpaceDN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szCs w:val="21"/>
          <w:highlight w:val="none"/>
        </w:rPr>
        <w:t>投标文件为电子投标文件，电子投标文件按“政采云供应商项目采购-电子招投标操作指南”及本招标文件要求制作、加密传输。</w:t>
      </w:r>
    </w:p>
    <w:p>
      <w:pPr>
        <w:spacing w:line="360" w:lineRule="auto"/>
        <w:jc w:val="center"/>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2"/>
          <w:highlight w:val="none"/>
        </w:rPr>
      </w:pPr>
      <w:bookmarkStart w:id="40" w:name="_Toc30520"/>
      <w:r>
        <w:rPr>
          <w:rFonts w:hint="eastAsia" w:ascii="宋体" w:hAnsi="宋体" w:cs="宋体"/>
          <w:b/>
          <w:color w:val="auto"/>
          <w:sz w:val="32"/>
          <w:highlight w:val="none"/>
        </w:rPr>
        <w:t>四、投标文件的递交</w:t>
      </w:r>
      <w:bookmarkEnd w:id="37"/>
      <w:bookmarkEnd w:id="40"/>
    </w:p>
    <w:bookmarkEnd w:id="38"/>
    <w:p>
      <w:pPr>
        <w:pStyle w:val="12"/>
        <w:numPr>
          <w:ilvl w:val="0"/>
          <w:numId w:val="7"/>
        </w:numPr>
        <w:spacing w:line="360" w:lineRule="auto"/>
        <w:ind w:firstLine="482" w:firstLineChars="200"/>
        <w:rPr>
          <w:rFonts w:hAnsi="宋体" w:cs="宋体"/>
          <w:b/>
          <w:color w:val="auto"/>
          <w:sz w:val="24"/>
          <w:szCs w:val="24"/>
          <w:highlight w:val="none"/>
        </w:rPr>
      </w:pPr>
      <w:bookmarkStart w:id="41" w:name="_Toc164416483"/>
      <w:bookmarkStart w:id="42" w:name="第三部分"/>
      <w:r>
        <w:rPr>
          <w:rFonts w:hint="eastAsia" w:hAnsi="宋体" w:cs="宋体"/>
          <w:b/>
          <w:color w:val="auto"/>
          <w:sz w:val="24"/>
          <w:szCs w:val="24"/>
          <w:highlight w:val="none"/>
        </w:rPr>
        <w:t>投标截止期</w:t>
      </w:r>
    </w:p>
    <w:p>
      <w:pPr>
        <w:pStyle w:val="27"/>
        <w:numPr>
          <w:ilvl w:val="0"/>
          <w:numId w:val="22"/>
        </w:numPr>
        <w:spacing w:before="0" w:line="360" w:lineRule="auto"/>
        <w:ind w:firstLine="480"/>
        <w:rPr>
          <w:rFonts w:ascii="宋体" w:hAnsi="宋体" w:cs="宋体"/>
          <w:color w:val="auto"/>
          <w:szCs w:val="24"/>
          <w:highlight w:val="none"/>
        </w:rPr>
      </w:pPr>
      <w:r>
        <w:rPr>
          <w:rFonts w:hint="eastAsia" w:ascii="宋体" w:hAnsi="宋体" w:cs="宋体"/>
          <w:color w:val="auto"/>
          <w:highlight w:val="none"/>
        </w:rPr>
        <w:t>投标文件必须在规定的投标截止时间前在政采云系统内完成传输，以纸质、电报、电话、传真形式的投标概不接受。为应对投标文件解密失败等异常情况，投标人可指派授权代表在投标截止时间之前到达开标地点提交备份文件。</w:t>
      </w:r>
    </w:p>
    <w:p>
      <w:pPr>
        <w:pStyle w:val="27"/>
        <w:numPr>
          <w:ilvl w:val="0"/>
          <w:numId w:val="22"/>
        </w:numPr>
        <w:spacing w:before="0" w:line="360" w:lineRule="auto"/>
        <w:ind w:firstLine="480"/>
        <w:rPr>
          <w:rFonts w:ascii="宋体" w:hAnsi="宋体" w:cs="宋体"/>
          <w:color w:val="auto"/>
          <w:highlight w:val="none"/>
        </w:rPr>
      </w:pPr>
      <w:r>
        <w:rPr>
          <w:rFonts w:hint="eastAsia" w:ascii="宋体" w:hAnsi="宋体" w:cs="宋体"/>
          <w:color w:val="auto"/>
          <w:highlight w:val="none"/>
        </w:rPr>
        <w:t>采购人因故推迟投标截止时间，将以公告形式通知。在这种情况下，采购人和投标人的权利和义务将受到新的截止时间的约束。</w:t>
      </w:r>
    </w:p>
    <w:p>
      <w:pPr>
        <w:pStyle w:val="12"/>
        <w:numPr>
          <w:ilvl w:val="0"/>
          <w:numId w:val="7"/>
        </w:numPr>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投标文件的修改、撤销</w:t>
      </w:r>
    </w:p>
    <w:p>
      <w:pPr>
        <w:pStyle w:val="12"/>
        <w:spacing w:line="360" w:lineRule="auto"/>
        <w:ind w:firstLine="480" w:firstLineChars="200"/>
        <w:rPr>
          <w:rFonts w:hAnsi="宋体" w:cs="宋体"/>
          <w:color w:val="auto"/>
          <w:sz w:val="24"/>
          <w:highlight w:val="none"/>
        </w:rPr>
      </w:pPr>
      <w:r>
        <w:rPr>
          <w:rFonts w:hint="eastAsia" w:hAnsi="宋体" w:cs="宋体"/>
          <w:color w:val="auto"/>
          <w:sz w:val="24"/>
          <w:highlight w:val="none"/>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w:t>
      </w:r>
    </w:p>
    <w:p>
      <w:pPr>
        <w:spacing w:line="360" w:lineRule="auto"/>
        <w:jc w:val="center"/>
        <w:rPr>
          <w:rFonts w:ascii="宋体" w:hAnsi="宋体" w:cs="宋体"/>
          <w:b/>
          <w:color w:val="auto"/>
          <w:sz w:val="24"/>
          <w:highlight w:val="none"/>
        </w:rPr>
      </w:pPr>
      <w:bookmarkStart w:id="43" w:name="_Toc91899897"/>
    </w:p>
    <w:p>
      <w:pPr>
        <w:snapToGrid w:val="0"/>
        <w:spacing w:line="360" w:lineRule="auto"/>
        <w:jc w:val="center"/>
        <w:outlineLvl w:val="0"/>
        <w:rPr>
          <w:rFonts w:ascii="宋体" w:hAnsi="宋体" w:cs="宋体"/>
          <w:b/>
          <w:color w:val="auto"/>
          <w:sz w:val="32"/>
          <w:highlight w:val="none"/>
        </w:rPr>
      </w:pPr>
      <w:bookmarkStart w:id="44" w:name="_Toc14804"/>
      <w:r>
        <w:rPr>
          <w:rFonts w:hint="eastAsia" w:ascii="宋体" w:hAnsi="宋体" w:cs="宋体"/>
          <w:b/>
          <w:color w:val="auto"/>
          <w:sz w:val="32"/>
          <w:highlight w:val="none"/>
        </w:rPr>
        <w:t>五、开标</w:t>
      </w:r>
      <w:bookmarkEnd w:id="43"/>
      <w:bookmarkEnd w:id="44"/>
    </w:p>
    <w:p>
      <w:pPr>
        <w:pStyle w:val="12"/>
        <w:numPr>
          <w:ilvl w:val="0"/>
          <w:numId w:val="7"/>
        </w:numPr>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开标</w:t>
      </w:r>
    </w:p>
    <w:p>
      <w:pPr>
        <w:pStyle w:val="12"/>
        <w:numPr>
          <w:ilvl w:val="0"/>
          <w:numId w:val="23"/>
        </w:numPr>
        <w:spacing w:line="360" w:lineRule="auto"/>
        <w:ind w:firstLine="480" w:firstLineChars="200"/>
        <w:rPr>
          <w:rFonts w:hAnsi="宋体" w:cs="宋体"/>
          <w:color w:val="auto"/>
          <w:sz w:val="24"/>
          <w:highlight w:val="none"/>
        </w:rPr>
      </w:pPr>
      <w:r>
        <w:rPr>
          <w:rFonts w:hint="eastAsia" w:hAnsi="宋体" w:cs="宋体"/>
          <w:color w:val="auto"/>
          <w:sz w:val="24"/>
          <w:highlight w:val="none"/>
        </w:rPr>
        <w:t>在投标截止时间前按规定提交投标文件的投标人在三家（含）以上的，由采购人或采购代理机构组织进行开标。</w:t>
      </w:r>
    </w:p>
    <w:p>
      <w:pPr>
        <w:pStyle w:val="12"/>
        <w:numPr>
          <w:ilvl w:val="0"/>
          <w:numId w:val="23"/>
        </w:numPr>
        <w:spacing w:line="360" w:lineRule="auto"/>
        <w:ind w:firstLine="482" w:firstLineChars="200"/>
        <w:rPr>
          <w:rFonts w:hAnsi="宋体" w:cs="宋体"/>
          <w:color w:val="auto"/>
          <w:sz w:val="24"/>
          <w:szCs w:val="24"/>
          <w:highlight w:val="none"/>
        </w:rPr>
      </w:pPr>
      <w:r>
        <w:rPr>
          <w:rFonts w:hint="eastAsia" w:hAnsi="宋体" w:cs="宋体"/>
          <w:b/>
          <w:bCs/>
          <w:color w:val="auto"/>
          <w:sz w:val="24"/>
          <w:highlight w:val="none"/>
        </w:rPr>
        <w:t>投标人登录政企云平台，用“项目采购-开标评标”功能对电子投标文件进行在线解密。在线解密电子投标文件时间为开标时间起30分钟内。若电子投标文件解密失败，则由采购代理机构工作人员上传投标人提供的备份文件。</w:t>
      </w:r>
      <w:r>
        <w:rPr>
          <w:rFonts w:hint="eastAsia" w:hAnsi="宋体" w:cs="宋体"/>
          <w:color w:val="auto"/>
          <w:sz w:val="24"/>
          <w:szCs w:val="24"/>
          <w:highlight w:val="none"/>
        </w:rPr>
        <w:t>备份文件（后缀名为.bfbs）须存储在U盘中，与上传的电子投标文件一致，用信封进行密封并盖章，由授权代表在投标截止时间前递交至开标地点。</w:t>
      </w:r>
    </w:p>
    <w:p>
      <w:pPr>
        <w:pStyle w:val="12"/>
        <w:numPr>
          <w:ilvl w:val="0"/>
          <w:numId w:val="23"/>
        </w:numPr>
        <w:spacing w:line="360" w:lineRule="auto"/>
        <w:ind w:firstLine="480" w:firstLineChars="200"/>
        <w:rPr>
          <w:rFonts w:hAnsi="宋体" w:cs="宋体"/>
          <w:color w:val="auto"/>
          <w:sz w:val="24"/>
          <w:highlight w:val="none"/>
        </w:rPr>
      </w:pPr>
      <w:r>
        <w:rPr>
          <w:rFonts w:hint="eastAsia" w:hAnsi="宋体" w:cs="宋体"/>
          <w:color w:val="auto"/>
          <w:sz w:val="24"/>
          <w:highlight w:val="none"/>
        </w:rPr>
        <w:t>采购人按招标文件规定的时间、地点公开开标。开标仪式由采购人或采购代理机构主持及有关人员参加。</w:t>
      </w:r>
    </w:p>
    <w:p>
      <w:pPr>
        <w:pStyle w:val="27"/>
        <w:numPr>
          <w:ilvl w:val="0"/>
          <w:numId w:val="23"/>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本项目为电子投标项目，投标人一般不需要参加现场投标和开标，若投标人需要指派授权代表递交备份文件，则授权代表应随身携带法定代表人授权书原件于投标截止时间前到达开标地点递交备份文件。若电子投标文件正常解锁，则U盘退还给供应商；若解锁失败，则由采购代理机构将U盘中的备份文件上传，该U盘将由采购代理机构保存。</w:t>
      </w:r>
    </w:p>
    <w:p>
      <w:pPr>
        <w:pStyle w:val="27"/>
        <w:numPr>
          <w:ilvl w:val="0"/>
          <w:numId w:val="23"/>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两个以上的自然人、法人或者其他组织组成一个联合体，以一个供应商的身份共同参加采购活动的，应当对所有联合体成员进行信用记录查询，联合体成员存在不良信用记录的，视同联合体存在不良信用记录。</w:t>
      </w:r>
    </w:p>
    <w:p>
      <w:pPr>
        <w:spacing w:line="360" w:lineRule="auto"/>
        <w:jc w:val="center"/>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2"/>
          <w:highlight w:val="none"/>
        </w:rPr>
      </w:pPr>
      <w:bookmarkStart w:id="45" w:name="_Toc23405"/>
      <w:r>
        <w:rPr>
          <w:rFonts w:hint="eastAsia" w:ascii="宋体" w:hAnsi="宋体" w:cs="宋体"/>
          <w:b/>
          <w:color w:val="auto"/>
          <w:sz w:val="32"/>
          <w:highlight w:val="none"/>
        </w:rPr>
        <w:t>六、资格审查</w:t>
      </w:r>
      <w:bookmarkEnd w:id="45"/>
    </w:p>
    <w:p>
      <w:pPr>
        <w:pStyle w:val="12"/>
        <w:numPr>
          <w:ilvl w:val="0"/>
          <w:numId w:val="7"/>
        </w:numPr>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资格审查</w:t>
      </w:r>
    </w:p>
    <w:p>
      <w:pPr>
        <w:pStyle w:val="27"/>
        <w:numPr>
          <w:ilvl w:val="0"/>
          <w:numId w:val="24"/>
        </w:numPr>
        <w:spacing w:before="0" w:line="360" w:lineRule="auto"/>
        <w:ind w:firstLine="480"/>
        <w:rPr>
          <w:rFonts w:ascii="宋体" w:hAnsi="宋体" w:cs="宋体"/>
          <w:color w:val="auto"/>
          <w:szCs w:val="24"/>
          <w:highlight w:val="none"/>
        </w:rPr>
      </w:pPr>
      <w:bookmarkStart w:id="46" w:name="_Hlt75236101"/>
      <w:bookmarkEnd w:id="46"/>
      <w:bookmarkStart w:id="47" w:name="_Toc91899902"/>
      <w:r>
        <w:rPr>
          <w:rFonts w:hint="eastAsia" w:ascii="宋体" w:hAnsi="宋体" w:cs="宋体"/>
          <w:color w:val="auto"/>
          <w:szCs w:val="24"/>
          <w:highlight w:val="none"/>
        </w:rPr>
        <w:t>开标后，采购人或采购代理机构将依法对投标人的资格进行审查；</w:t>
      </w:r>
    </w:p>
    <w:p>
      <w:pPr>
        <w:pStyle w:val="27"/>
        <w:numPr>
          <w:ilvl w:val="0"/>
          <w:numId w:val="24"/>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采购人或采购代理机构依据法律法规和招标文件的规定，对投标人的基本资格条件、特定资格条件进行审查。</w:t>
      </w:r>
    </w:p>
    <w:p>
      <w:pPr>
        <w:pStyle w:val="27"/>
        <w:numPr>
          <w:ilvl w:val="0"/>
          <w:numId w:val="24"/>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采购人或采购代理机构将通过“信用中国”网站(www.creditchina.gov.cn)、中国政府采购网(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cs="宋体"/>
          <w:color w:val="auto"/>
          <w:szCs w:val="24"/>
          <w:highlight w:val="none"/>
        </w:rPr>
        <w:t>www.ccgp.gov.cn</w:t>
      </w:r>
      <w:r>
        <w:rPr>
          <w:rFonts w:hint="eastAsia" w:ascii="宋体" w:hAnsi="宋体" w:cs="宋体"/>
          <w:color w:val="auto"/>
          <w:szCs w:val="24"/>
          <w:highlight w:val="none"/>
        </w:rPr>
        <w:fldChar w:fldCharType="end"/>
      </w:r>
      <w:r>
        <w:rPr>
          <w:rFonts w:hint="eastAsia" w:ascii="宋体" w:hAnsi="宋体" w:cs="宋体"/>
          <w:color w:val="auto"/>
          <w:szCs w:val="24"/>
          <w:highlight w:val="none"/>
        </w:rPr>
        <w:t>)渠道查询投标人开标后评标前的信用记录，经查询投标人列入失信被执行人名单、重大税收违法案件当事人名单、政府采购严重违法失信行为记录名单的，其投标无效；</w:t>
      </w:r>
    </w:p>
    <w:p>
      <w:pPr>
        <w:pStyle w:val="27"/>
        <w:numPr>
          <w:ilvl w:val="0"/>
          <w:numId w:val="24"/>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采购人或采购代理机构出具《投标人资格审查意见表》，投标人未按照招标文件要求提供与基本资格条件、特定资格条件相应的有效资格证明材料的，视为投标人不具备招标文件中规定的资格要求，其投标无效。</w:t>
      </w:r>
    </w:p>
    <w:p>
      <w:pPr>
        <w:spacing w:line="360" w:lineRule="auto"/>
        <w:jc w:val="center"/>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2"/>
          <w:highlight w:val="none"/>
        </w:rPr>
      </w:pPr>
      <w:bookmarkStart w:id="48" w:name="_Toc17225"/>
      <w:r>
        <w:rPr>
          <w:rFonts w:hint="eastAsia" w:ascii="宋体" w:hAnsi="宋体" w:cs="宋体"/>
          <w:b/>
          <w:color w:val="auto"/>
          <w:sz w:val="32"/>
          <w:highlight w:val="none"/>
        </w:rPr>
        <w:t>七、评标</w:t>
      </w:r>
      <w:bookmarkEnd w:id="47"/>
      <w:bookmarkEnd w:id="48"/>
    </w:p>
    <w:p>
      <w:pPr>
        <w:pStyle w:val="12"/>
        <w:numPr>
          <w:ilvl w:val="0"/>
          <w:numId w:val="7"/>
        </w:numPr>
        <w:spacing w:line="360" w:lineRule="auto"/>
        <w:ind w:firstLine="482" w:firstLineChars="200"/>
        <w:rPr>
          <w:rFonts w:hAnsi="宋体" w:cs="宋体"/>
          <w:b/>
          <w:color w:val="auto"/>
          <w:sz w:val="24"/>
          <w:szCs w:val="24"/>
          <w:highlight w:val="none"/>
        </w:rPr>
      </w:pPr>
      <w:bookmarkStart w:id="49" w:name="_Toc91899903"/>
      <w:r>
        <w:rPr>
          <w:rFonts w:hint="eastAsia" w:hAnsi="宋体" w:cs="宋体"/>
          <w:b/>
          <w:color w:val="auto"/>
          <w:sz w:val="24"/>
          <w:szCs w:val="24"/>
          <w:highlight w:val="none"/>
        </w:rPr>
        <w:t>评标原则</w:t>
      </w:r>
    </w:p>
    <w:p>
      <w:pPr>
        <w:pStyle w:val="27"/>
        <w:numPr>
          <w:ilvl w:val="0"/>
          <w:numId w:val="25"/>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竞争优选；</w:t>
      </w:r>
    </w:p>
    <w:p>
      <w:pPr>
        <w:pStyle w:val="27"/>
        <w:numPr>
          <w:ilvl w:val="0"/>
          <w:numId w:val="25"/>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lang w:val="zh-CN"/>
        </w:rPr>
        <w:t>坚持公开</w:t>
      </w:r>
      <w:r>
        <w:rPr>
          <w:rFonts w:hint="eastAsia" w:ascii="宋体" w:hAnsi="宋体" w:cs="宋体"/>
          <w:color w:val="auto"/>
          <w:szCs w:val="24"/>
          <w:highlight w:val="none"/>
        </w:rPr>
        <w:t>、公平、公正、科学合理</w:t>
      </w:r>
      <w:r>
        <w:rPr>
          <w:rFonts w:hint="eastAsia" w:ascii="宋体" w:hAnsi="宋体" w:cs="宋体"/>
          <w:color w:val="auto"/>
          <w:szCs w:val="24"/>
          <w:highlight w:val="none"/>
          <w:lang w:val="zh-CN"/>
        </w:rPr>
        <w:t>的原则；</w:t>
      </w:r>
    </w:p>
    <w:p>
      <w:pPr>
        <w:pStyle w:val="27"/>
        <w:numPr>
          <w:ilvl w:val="0"/>
          <w:numId w:val="25"/>
        </w:numPr>
        <w:spacing w:before="0" w:line="360" w:lineRule="auto"/>
        <w:ind w:firstLine="480"/>
        <w:rPr>
          <w:rFonts w:ascii="宋体" w:hAnsi="宋体" w:cs="宋体"/>
          <w:color w:val="auto"/>
          <w:szCs w:val="24"/>
          <w:highlight w:val="none"/>
          <w:lang w:val="zh-CN"/>
        </w:rPr>
      </w:pPr>
      <w:r>
        <w:rPr>
          <w:rFonts w:hint="eastAsia" w:ascii="宋体" w:hAnsi="宋体" w:cs="宋体"/>
          <w:color w:val="auto"/>
          <w:szCs w:val="24"/>
          <w:highlight w:val="none"/>
        </w:rPr>
        <w:t>价格合理，方案、产品先进可行；</w:t>
      </w:r>
    </w:p>
    <w:p>
      <w:pPr>
        <w:pStyle w:val="27"/>
        <w:numPr>
          <w:ilvl w:val="0"/>
          <w:numId w:val="25"/>
        </w:numPr>
        <w:spacing w:before="0" w:line="360" w:lineRule="auto"/>
        <w:ind w:firstLine="480"/>
        <w:rPr>
          <w:rFonts w:ascii="宋体" w:hAnsi="宋体" w:cs="宋体"/>
          <w:color w:val="auto"/>
          <w:szCs w:val="24"/>
          <w:highlight w:val="none"/>
          <w:lang w:val="zh-CN"/>
        </w:rPr>
      </w:pPr>
      <w:r>
        <w:rPr>
          <w:rFonts w:hint="eastAsia" w:ascii="宋体" w:hAnsi="宋体" w:cs="宋体"/>
          <w:color w:val="auto"/>
          <w:szCs w:val="24"/>
          <w:highlight w:val="none"/>
          <w:lang w:val="zh-CN"/>
        </w:rPr>
        <w:t>反对不正当竞争。</w:t>
      </w:r>
    </w:p>
    <w:p>
      <w:pPr>
        <w:pStyle w:val="12"/>
        <w:numPr>
          <w:ilvl w:val="0"/>
          <w:numId w:val="7"/>
        </w:numPr>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评标组织</w:t>
      </w:r>
    </w:p>
    <w:p>
      <w:pPr>
        <w:pStyle w:val="27"/>
        <w:numPr>
          <w:ilvl w:val="0"/>
          <w:numId w:val="26"/>
        </w:numPr>
        <w:spacing w:before="0" w:line="360" w:lineRule="auto"/>
        <w:ind w:firstLine="480"/>
        <w:rPr>
          <w:rFonts w:ascii="宋体" w:hAnsi="宋体" w:cs="宋体"/>
          <w:color w:val="auto"/>
          <w:szCs w:val="24"/>
          <w:highlight w:val="none"/>
          <w:lang w:val="zh-CN"/>
        </w:rPr>
      </w:pPr>
      <w:r>
        <w:rPr>
          <w:rFonts w:hint="eastAsia" w:ascii="宋体" w:hAnsi="宋体" w:cs="宋体"/>
          <w:color w:val="auto"/>
          <w:szCs w:val="24"/>
          <w:highlight w:val="none"/>
          <w:lang w:val="zh-CN"/>
        </w:rPr>
        <w:t>评标委员会由采购人代表和评审专家组成，成员人数应当为</w:t>
      </w:r>
      <w:r>
        <w:rPr>
          <w:rFonts w:hint="eastAsia" w:ascii="宋体" w:hAnsi="宋体" w:cs="宋体"/>
          <w:color w:val="auto"/>
          <w:szCs w:val="24"/>
          <w:highlight w:val="none"/>
        </w:rPr>
        <w:t>5</w:t>
      </w:r>
      <w:r>
        <w:rPr>
          <w:rFonts w:hint="eastAsia" w:ascii="宋体" w:hAnsi="宋体" w:cs="宋体"/>
          <w:color w:val="auto"/>
          <w:szCs w:val="24"/>
          <w:highlight w:val="none"/>
          <w:lang w:val="zh-CN"/>
        </w:rPr>
        <w:t>人以上单数，其中评审专家不得少于成员总数的三分之二；</w:t>
      </w:r>
    </w:p>
    <w:p>
      <w:pPr>
        <w:pStyle w:val="27"/>
        <w:numPr>
          <w:ilvl w:val="0"/>
          <w:numId w:val="26"/>
        </w:numPr>
        <w:spacing w:before="0" w:line="360" w:lineRule="auto"/>
        <w:ind w:firstLine="480"/>
        <w:rPr>
          <w:rFonts w:ascii="宋体" w:hAnsi="宋体" w:cs="宋体"/>
          <w:color w:val="auto"/>
          <w:szCs w:val="24"/>
          <w:highlight w:val="none"/>
          <w:lang w:val="zh-CN"/>
        </w:rPr>
      </w:pPr>
      <w:r>
        <w:rPr>
          <w:rFonts w:hint="eastAsia" w:ascii="宋体" w:hAnsi="宋体" w:cs="宋体"/>
          <w:color w:val="auto"/>
          <w:szCs w:val="24"/>
          <w:highlight w:val="none"/>
          <w:lang w:val="zh-CN"/>
        </w:rPr>
        <w:t>评标工作由评标委员会负责，并推选产生的组长主持；</w:t>
      </w:r>
    </w:p>
    <w:p>
      <w:pPr>
        <w:pStyle w:val="27"/>
        <w:numPr>
          <w:ilvl w:val="0"/>
          <w:numId w:val="26"/>
        </w:numPr>
        <w:spacing w:before="0" w:line="360" w:lineRule="auto"/>
        <w:ind w:firstLine="480"/>
        <w:rPr>
          <w:rFonts w:ascii="宋体" w:hAnsi="宋体" w:cs="宋体"/>
          <w:color w:val="auto"/>
          <w:szCs w:val="24"/>
          <w:highlight w:val="none"/>
          <w:lang w:val="zh-CN"/>
        </w:rPr>
      </w:pPr>
      <w:r>
        <w:rPr>
          <w:rFonts w:hint="eastAsia" w:ascii="宋体" w:hAnsi="宋体" w:cs="宋体"/>
          <w:color w:val="auto"/>
          <w:szCs w:val="24"/>
          <w:highlight w:val="none"/>
          <w:lang w:val="zh-CN"/>
        </w:rPr>
        <w:t>本次评标为在线评标。</w:t>
      </w:r>
    </w:p>
    <w:p>
      <w:pPr>
        <w:pStyle w:val="12"/>
        <w:numPr>
          <w:ilvl w:val="0"/>
          <w:numId w:val="7"/>
        </w:numPr>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评标办法</w:t>
      </w:r>
    </w:p>
    <w:p>
      <w:pPr>
        <w:spacing w:line="360" w:lineRule="auto"/>
        <w:ind w:firstLine="467" w:firstLineChars="194"/>
        <w:rPr>
          <w:rFonts w:ascii="宋体" w:hAnsi="宋体" w:cs="宋体"/>
          <w:b/>
          <w:color w:val="auto"/>
          <w:kern w:val="0"/>
          <w:sz w:val="24"/>
          <w:szCs w:val="20"/>
          <w:highlight w:val="none"/>
        </w:rPr>
      </w:pPr>
      <w:r>
        <w:rPr>
          <w:rFonts w:hint="eastAsia" w:ascii="宋体" w:hAnsi="宋体" w:cs="宋体"/>
          <w:b/>
          <w:color w:val="auto"/>
          <w:kern w:val="0"/>
          <w:sz w:val="24"/>
          <w:szCs w:val="20"/>
          <w:highlight w:val="none"/>
        </w:rPr>
        <w:t>本项目评标办法是综合评分法，具体评标内容及评分标准等详见招标文件第三部分。</w:t>
      </w:r>
    </w:p>
    <w:p>
      <w:pPr>
        <w:pStyle w:val="12"/>
        <w:numPr>
          <w:ilvl w:val="0"/>
          <w:numId w:val="7"/>
        </w:numPr>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投标文件符合性审查</w:t>
      </w:r>
    </w:p>
    <w:p>
      <w:pPr>
        <w:pStyle w:val="27"/>
        <w:numPr>
          <w:ilvl w:val="0"/>
          <w:numId w:val="27"/>
        </w:numPr>
        <w:spacing w:before="0" w:line="360" w:lineRule="auto"/>
        <w:ind w:firstLine="480"/>
        <w:rPr>
          <w:rFonts w:ascii="宋体" w:hAnsi="宋体" w:cs="宋体"/>
          <w:color w:val="auto"/>
          <w:szCs w:val="24"/>
          <w:highlight w:val="none"/>
          <w:lang w:val="zh-CN"/>
        </w:rPr>
      </w:pPr>
      <w:r>
        <w:rPr>
          <w:rFonts w:hint="eastAsia" w:ascii="宋体" w:hAnsi="宋体" w:cs="宋体"/>
          <w:color w:val="auto"/>
          <w:szCs w:val="24"/>
          <w:highlight w:val="none"/>
          <w:lang w:val="zh-CN"/>
        </w:rPr>
        <w:t>投标文件符合性审查：评标委员会依据招标文件的规定，从投标文件的有效性、完整性和对招标文件的响应程度进行审查，以确定是否对招标文件的要求作出实质性响应。</w:t>
      </w:r>
    </w:p>
    <w:p>
      <w:pPr>
        <w:pStyle w:val="27"/>
        <w:numPr>
          <w:ilvl w:val="0"/>
          <w:numId w:val="27"/>
        </w:numPr>
        <w:spacing w:before="0" w:line="360" w:lineRule="auto"/>
        <w:ind w:firstLine="480"/>
        <w:rPr>
          <w:rFonts w:ascii="宋体" w:hAnsi="宋体" w:cs="宋体"/>
          <w:color w:val="auto"/>
          <w:szCs w:val="24"/>
          <w:highlight w:val="none"/>
          <w:lang w:val="zh-CN"/>
        </w:rPr>
      </w:pPr>
      <w:r>
        <w:rPr>
          <w:rFonts w:hint="eastAsia" w:ascii="宋体" w:hAnsi="宋体" w:cs="宋体"/>
          <w:color w:val="auto"/>
          <w:szCs w:val="24"/>
          <w:highlight w:val="none"/>
          <w:lang w:val="zh-CN"/>
        </w:rPr>
        <w:t>实质性响应的投标应该是与招标文件要求的主要条款相符，没有重大偏离或保留的投标。所谓重大偏离或保留是指影响合同的内容、项目建设质量，或者在实质上与招标文件不一致，而且限制了合同中采购人的权利或投标人的义务，纠正这些偏离或保留将会对其他实质性响应要求的投标人的竞争地位产生不公正的影响。评标委员会决定投标文件的响应性只根据投标文件本身的内容，而不寻求外部证据。</w:t>
      </w:r>
    </w:p>
    <w:p>
      <w:pPr>
        <w:pStyle w:val="27"/>
        <w:numPr>
          <w:ilvl w:val="0"/>
          <w:numId w:val="27"/>
        </w:numPr>
        <w:spacing w:before="0" w:line="360" w:lineRule="auto"/>
        <w:ind w:firstLine="480"/>
        <w:rPr>
          <w:rFonts w:ascii="宋体" w:hAnsi="宋体" w:cs="宋体"/>
          <w:color w:val="auto"/>
          <w:szCs w:val="24"/>
          <w:highlight w:val="none"/>
          <w:lang w:val="zh-CN"/>
        </w:rPr>
      </w:pPr>
      <w:r>
        <w:rPr>
          <w:rFonts w:hint="eastAsia" w:ascii="宋体" w:hAnsi="宋体" w:cs="宋体"/>
          <w:color w:val="auto"/>
          <w:szCs w:val="24"/>
          <w:highlight w:val="none"/>
          <w:lang w:val="zh-CN"/>
        </w:rPr>
        <w:t xml:space="preserve">如果投标文件没有实质上响应招标文件的要求，评标委员会将判定无效投标，投标人不得通过修改或撤销不合要求的偏离或保留而使其投标成为实质性响应的投标。 </w:t>
      </w:r>
    </w:p>
    <w:p>
      <w:pPr>
        <w:pStyle w:val="27"/>
        <w:numPr>
          <w:ilvl w:val="0"/>
          <w:numId w:val="27"/>
        </w:numPr>
        <w:spacing w:before="0" w:line="360" w:lineRule="auto"/>
        <w:ind w:firstLine="480"/>
        <w:rPr>
          <w:rFonts w:ascii="宋体" w:hAnsi="宋体" w:cs="宋体"/>
          <w:color w:val="auto"/>
          <w:szCs w:val="24"/>
          <w:highlight w:val="none"/>
          <w:lang w:val="zh-CN"/>
        </w:rPr>
      </w:pPr>
      <w:r>
        <w:rPr>
          <w:rFonts w:hint="eastAsia" w:ascii="宋体" w:hAnsi="宋体" w:cs="宋体"/>
          <w:color w:val="auto"/>
          <w:szCs w:val="24"/>
          <w:highlight w:val="none"/>
          <w:lang w:val="zh-CN"/>
        </w:rPr>
        <w:t>即按《评分标准》确定的标准，以经审查合格的投标文件进行资信、技术和商务评估，并综合进行比较与评价。参照《浙江省政府采购活动现场组织管理办法》的通知（浙财采监{2015}13号）规定，“对明显畸高、畸低的评分（其总评分偏离平均分30%以上的），评审小组组长应提醒相关评审人员进行复核或书面说明理由，评审人员拒绝说明的，由现场监督员据实记录；评审人员的评审、修改记录应保留原件，随项目其他资料一并存档。”</w:t>
      </w:r>
    </w:p>
    <w:p>
      <w:pPr>
        <w:pStyle w:val="12"/>
        <w:numPr>
          <w:ilvl w:val="0"/>
          <w:numId w:val="7"/>
        </w:numPr>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修正原则</w:t>
      </w:r>
    </w:p>
    <w:p>
      <w:pPr>
        <w:pStyle w:val="27"/>
        <w:spacing w:before="0" w:line="360" w:lineRule="auto"/>
        <w:ind w:left="420" w:leftChars="200" w:firstLine="0" w:firstLineChars="0"/>
        <w:rPr>
          <w:rFonts w:ascii="宋体" w:hAnsi="宋体" w:cs="宋体"/>
          <w:color w:val="auto"/>
          <w:szCs w:val="24"/>
          <w:highlight w:val="none"/>
          <w:lang w:val="zh-CN"/>
        </w:rPr>
      </w:pPr>
      <w:r>
        <w:rPr>
          <w:rFonts w:hint="eastAsia" w:ascii="宋体" w:hAnsi="宋体" w:cs="宋体"/>
          <w:color w:val="auto"/>
          <w:szCs w:val="24"/>
          <w:highlight w:val="none"/>
          <w:lang w:val="zh-CN"/>
        </w:rPr>
        <w:t>投标文件报价出现前后不一致的，按照下列规定修正：</w:t>
      </w:r>
    </w:p>
    <w:p>
      <w:pPr>
        <w:pStyle w:val="27"/>
        <w:numPr>
          <w:ilvl w:val="0"/>
          <w:numId w:val="28"/>
        </w:numPr>
        <w:spacing w:before="0" w:line="360" w:lineRule="auto"/>
        <w:ind w:firstLine="480"/>
        <w:rPr>
          <w:rFonts w:ascii="宋体" w:hAnsi="宋体" w:cs="宋体"/>
          <w:color w:val="auto"/>
          <w:szCs w:val="24"/>
          <w:highlight w:val="none"/>
          <w:lang w:val="zh-CN"/>
        </w:rPr>
      </w:pPr>
      <w:r>
        <w:rPr>
          <w:rFonts w:hint="eastAsia" w:ascii="宋体" w:hAnsi="宋体" w:cs="宋体"/>
          <w:color w:val="auto"/>
          <w:szCs w:val="24"/>
          <w:highlight w:val="none"/>
          <w:lang w:val="zh-CN"/>
        </w:rPr>
        <w:t>投标文件中投标（开标）一览表内容与投标文件中相应内容不一致的，以投标（开标）一览表为准；</w:t>
      </w:r>
    </w:p>
    <w:p>
      <w:pPr>
        <w:pStyle w:val="27"/>
        <w:numPr>
          <w:ilvl w:val="0"/>
          <w:numId w:val="28"/>
        </w:numPr>
        <w:spacing w:before="0" w:line="360" w:lineRule="auto"/>
        <w:ind w:firstLine="480"/>
        <w:rPr>
          <w:rFonts w:ascii="宋体" w:hAnsi="宋体" w:cs="宋体"/>
          <w:color w:val="auto"/>
          <w:szCs w:val="24"/>
          <w:highlight w:val="none"/>
          <w:lang w:val="zh-CN"/>
        </w:rPr>
      </w:pPr>
      <w:r>
        <w:rPr>
          <w:rFonts w:hint="eastAsia" w:ascii="宋体" w:hAnsi="宋体" w:cs="宋体"/>
          <w:color w:val="auto"/>
          <w:szCs w:val="24"/>
          <w:highlight w:val="none"/>
          <w:lang w:val="zh-CN"/>
        </w:rPr>
        <w:t>大写金额和小写金额不一致的，以大写金额为准；</w:t>
      </w:r>
    </w:p>
    <w:p>
      <w:pPr>
        <w:pStyle w:val="27"/>
        <w:numPr>
          <w:ilvl w:val="0"/>
          <w:numId w:val="28"/>
        </w:numPr>
        <w:spacing w:before="0" w:line="360" w:lineRule="auto"/>
        <w:ind w:firstLine="480"/>
        <w:rPr>
          <w:rFonts w:ascii="宋体" w:hAnsi="宋体" w:cs="宋体"/>
          <w:color w:val="auto"/>
          <w:szCs w:val="24"/>
          <w:highlight w:val="none"/>
          <w:lang w:val="zh-CN"/>
        </w:rPr>
      </w:pPr>
      <w:r>
        <w:rPr>
          <w:rFonts w:hint="eastAsia" w:ascii="宋体" w:hAnsi="宋体" w:cs="宋体"/>
          <w:color w:val="auto"/>
          <w:szCs w:val="24"/>
          <w:highlight w:val="none"/>
          <w:lang w:val="zh-CN"/>
        </w:rPr>
        <w:t>单价金额小数点或者百分比有明显错位的，以投标（开标）一览表的总价为准，并修改单价；</w:t>
      </w:r>
    </w:p>
    <w:p>
      <w:pPr>
        <w:pStyle w:val="27"/>
        <w:numPr>
          <w:ilvl w:val="0"/>
          <w:numId w:val="28"/>
        </w:numPr>
        <w:spacing w:before="0" w:line="360" w:lineRule="auto"/>
        <w:ind w:firstLine="480"/>
        <w:rPr>
          <w:rFonts w:ascii="宋体" w:hAnsi="宋体" w:cs="宋体"/>
          <w:color w:val="auto"/>
          <w:szCs w:val="24"/>
          <w:highlight w:val="none"/>
          <w:lang w:val="zh-CN"/>
        </w:rPr>
      </w:pPr>
      <w:r>
        <w:rPr>
          <w:rFonts w:hint="eastAsia" w:ascii="宋体" w:hAnsi="宋体" w:cs="宋体"/>
          <w:color w:val="auto"/>
          <w:szCs w:val="24"/>
          <w:highlight w:val="none"/>
          <w:lang w:val="zh-CN"/>
        </w:rPr>
        <w:t>总价金额与按单价汇总金额不一致的，以单价金额计算结果为准。</w:t>
      </w:r>
    </w:p>
    <w:p>
      <w:pPr>
        <w:pStyle w:val="27"/>
        <w:spacing w:before="0" w:line="360" w:lineRule="auto"/>
        <w:ind w:firstLine="480"/>
        <w:rPr>
          <w:rFonts w:ascii="宋体" w:hAnsi="宋体" w:cs="宋体"/>
          <w:color w:val="auto"/>
          <w:szCs w:val="24"/>
          <w:highlight w:val="none"/>
          <w:lang w:val="zh-CN"/>
        </w:rPr>
      </w:pPr>
      <w:r>
        <w:rPr>
          <w:rFonts w:hint="eastAsia" w:ascii="宋体" w:hAnsi="宋体" w:cs="宋体"/>
          <w:color w:val="auto"/>
          <w:szCs w:val="24"/>
          <w:highlight w:val="none"/>
          <w:lang w:val="zh-CN"/>
        </w:rPr>
        <w:t>同时出现两种以上不一致的，按照前款规定的顺序修正。修正后的报价按照财政部公布第87号令 《政府采购</w:t>
      </w:r>
      <w:r>
        <w:rPr>
          <w:rFonts w:hint="eastAsia" w:ascii="宋体" w:hAnsi="宋体" w:cs="宋体"/>
          <w:color w:val="auto"/>
          <w:szCs w:val="24"/>
          <w:highlight w:val="none"/>
          <w:lang w:val="en-US" w:eastAsia="zh-CN"/>
        </w:rPr>
        <w:t>货物</w:t>
      </w:r>
      <w:r>
        <w:rPr>
          <w:rFonts w:hint="eastAsia" w:ascii="宋体" w:hAnsi="宋体" w:cs="宋体"/>
          <w:color w:val="auto"/>
          <w:szCs w:val="24"/>
          <w:highlight w:val="none"/>
          <w:lang w:val="zh-CN"/>
        </w:rPr>
        <w:t>和服务招标投标管理办法》第五十一条第二款的规定经投标人确认后产生约束力，投标人不确认的，其投标无效。</w:t>
      </w:r>
    </w:p>
    <w:p>
      <w:pPr>
        <w:pStyle w:val="12"/>
        <w:numPr>
          <w:ilvl w:val="0"/>
          <w:numId w:val="7"/>
        </w:numPr>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投标文件的澄清</w:t>
      </w:r>
    </w:p>
    <w:p>
      <w:pPr>
        <w:pStyle w:val="27"/>
        <w:numPr>
          <w:ilvl w:val="0"/>
          <w:numId w:val="29"/>
        </w:numPr>
        <w:spacing w:before="0" w:line="360" w:lineRule="auto"/>
        <w:ind w:firstLine="480"/>
        <w:rPr>
          <w:rFonts w:ascii="宋体" w:hAnsi="宋体" w:cs="宋体"/>
          <w:color w:val="auto"/>
          <w:szCs w:val="24"/>
          <w:highlight w:val="none"/>
          <w:lang w:val="zh-CN"/>
        </w:rPr>
      </w:pPr>
      <w:r>
        <w:rPr>
          <w:rFonts w:hint="eastAsia" w:ascii="宋体" w:hAnsi="宋体" w:cs="宋体"/>
          <w:color w:val="auto"/>
          <w:szCs w:val="24"/>
          <w:highlight w:val="none"/>
          <w:lang w:val="zh-CN"/>
        </w:rPr>
        <w:t>评审中因投标文件含义不明、表述不一致或有明显计算错误等内容需要供应商作出澄清、说明或者补正的，评标委员会和供应商应当通过政采云平台交换数据电文，给予供应商提交澄清说明或补正的时间不少于半小时，供应商已经明确表示澄清说明或补正完毕的除外。</w:t>
      </w:r>
    </w:p>
    <w:p>
      <w:pPr>
        <w:pStyle w:val="27"/>
        <w:numPr>
          <w:ilvl w:val="0"/>
          <w:numId w:val="29"/>
        </w:numPr>
        <w:spacing w:before="0" w:line="360" w:lineRule="auto"/>
        <w:ind w:firstLine="480"/>
        <w:rPr>
          <w:rFonts w:ascii="宋体" w:hAnsi="宋体" w:cs="宋体"/>
          <w:color w:val="auto"/>
          <w:szCs w:val="24"/>
          <w:highlight w:val="none"/>
          <w:lang w:val="zh-CN"/>
        </w:rPr>
      </w:pPr>
      <w:r>
        <w:rPr>
          <w:rFonts w:hint="eastAsia" w:ascii="宋体" w:hAnsi="宋体" w:cs="宋体"/>
          <w:color w:val="auto"/>
          <w:szCs w:val="24"/>
          <w:highlight w:val="none"/>
          <w:lang w:val="zh-CN"/>
        </w:rPr>
        <w:t>供应商通过政企云平台交换的数据电文必须进行电子签章。</w:t>
      </w:r>
    </w:p>
    <w:p>
      <w:pPr>
        <w:pStyle w:val="12"/>
        <w:numPr>
          <w:ilvl w:val="0"/>
          <w:numId w:val="7"/>
        </w:numPr>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无效投标</w:t>
      </w:r>
    </w:p>
    <w:p>
      <w:pPr>
        <w:spacing w:line="360" w:lineRule="auto"/>
        <w:ind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经过审查，凡不符合有关规定，不响应招标文件的实质性条款，存在以下重大偏离之一的，经评标委员会认定，将因未通过资格性或符合性审查而被作为无效投标处理：</w:t>
      </w:r>
    </w:p>
    <w:p>
      <w:pPr>
        <w:numPr>
          <w:ilvl w:val="0"/>
          <w:numId w:val="30"/>
        </w:num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未按照招标文件规定要求签署、盖章的；</w:t>
      </w:r>
    </w:p>
    <w:p>
      <w:pPr>
        <w:numPr>
          <w:ilvl w:val="0"/>
          <w:numId w:val="30"/>
        </w:num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 xml:space="preserve">《法定代表人授权书》填写不全、错误、未加盖投标人公章（公章和签字或盖章缺一不可）； </w:t>
      </w:r>
    </w:p>
    <w:p>
      <w:pPr>
        <w:numPr>
          <w:ilvl w:val="0"/>
          <w:numId w:val="30"/>
        </w:num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个体工商户的身份证明与营业执照不一致的；</w:t>
      </w:r>
    </w:p>
    <w:p>
      <w:pPr>
        <w:numPr>
          <w:ilvl w:val="0"/>
          <w:numId w:val="30"/>
        </w:num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投标文件中的投标函未加盖投标人的企业公章或填写不全的；</w:t>
      </w:r>
    </w:p>
    <w:p>
      <w:pPr>
        <w:numPr>
          <w:ilvl w:val="0"/>
          <w:numId w:val="30"/>
        </w:num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报价一经涂改，未在涂改处加盖投标单位公章或者未经法定代表人或其授权代表签字或盖章的；</w:t>
      </w:r>
    </w:p>
    <w:p>
      <w:pPr>
        <w:numPr>
          <w:ilvl w:val="0"/>
          <w:numId w:val="30"/>
        </w:num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因未按规定的格式填写，内容不全或主要实质性内容字迹模糊辨认不清,经评标委员会认定为无法评审的；</w:t>
      </w:r>
    </w:p>
    <w:p>
      <w:pPr>
        <w:numPr>
          <w:ilvl w:val="0"/>
          <w:numId w:val="30"/>
        </w:num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出现同一标的物或本次招标产品(服务)内的主要产品(重要组成部分)出现技术、商务描述不一致或前后描述不一致，经评标委员会认定后为无法评审的；</w:t>
      </w:r>
    </w:p>
    <w:p>
      <w:pPr>
        <w:numPr>
          <w:ilvl w:val="0"/>
          <w:numId w:val="30"/>
        </w:num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投标详细配置清单响应表不真实填写或弄虚作假的；改变招标文件提供的清单中的计量单位、工程数量；</w:t>
      </w:r>
    </w:p>
    <w:p>
      <w:pPr>
        <w:numPr>
          <w:ilvl w:val="0"/>
          <w:numId w:val="30"/>
        </w:num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对招标产品技术规格未详细应答，致使其技术文件无法评审的；</w:t>
      </w:r>
    </w:p>
    <w:p>
      <w:pPr>
        <w:numPr>
          <w:ilvl w:val="0"/>
          <w:numId w:val="30"/>
        </w:num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投标文件有招标方不能接受的条件；</w:t>
      </w:r>
    </w:p>
    <w:p>
      <w:pPr>
        <w:numPr>
          <w:ilvl w:val="0"/>
          <w:numId w:val="30"/>
        </w:num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评标委员会认为投标人的报价明显低于其他通过符合性审查投标人的报价，有可能影响产品质量或者不能诚信履约的，应当要求其在评标现场合理的时间内通过政采云平台提供线上说明，必要时提交相关证明材料。</w:t>
      </w:r>
    </w:p>
    <w:p>
      <w:pPr>
        <w:numPr>
          <w:ilvl w:val="0"/>
          <w:numId w:val="30"/>
        </w:num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投标报价超过预算金额或最高限价的；</w:t>
      </w:r>
    </w:p>
    <w:p>
      <w:pPr>
        <w:numPr>
          <w:ilvl w:val="0"/>
          <w:numId w:val="30"/>
        </w:num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投标文件“商务技术文件资料”部分中出现《开标一览表》或《投标报价明细表》相关内容的；</w:t>
      </w:r>
    </w:p>
    <w:p>
      <w:pPr>
        <w:numPr>
          <w:ilvl w:val="0"/>
          <w:numId w:val="30"/>
        </w:num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评标委员会认定有重大偏差或实质性不响应招标文件要求的，即“★”的关键性指标及技术参数要求负偏离或缺漏；</w:t>
      </w:r>
    </w:p>
    <w:p>
      <w:pPr>
        <w:numPr>
          <w:ilvl w:val="0"/>
          <w:numId w:val="30"/>
        </w:num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投标人拒绝按招标文件规定的修正原则对投标文件进行修改的；</w:t>
      </w:r>
    </w:p>
    <w:p>
      <w:pPr>
        <w:numPr>
          <w:ilvl w:val="0"/>
          <w:numId w:val="30"/>
        </w:num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有下列情形之一的，视为投标人串通投标，其投标无效：</w:t>
      </w:r>
    </w:p>
    <w:p>
      <w:pPr>
        <w:tabs>
          <w:tab w:val="left" w:pos="0"/>
        </w:tabs>
        <w:spacing w:line="360" w:lineRule="auto"/>
        <w:ind w:left="420" w:leftChars="200"/>
        <w:rPr>
          <w:rFonts w:ascii="宋体" w:hAnsi="宋体" w:cs="宋体"/>
          <w:b/>
          <w:bCs/>
          <w:color w:val="auto"/>
          <w:sz w:val="24"/>
          <w:highlight w:val="none"/>
        </w:rPr>
      </w:pPr>
      <w:r>
        <w:rPr>
          <w:rFonts w:hint="eastAsia" w:ascii="宋体" w:hAnsi="宋体" w:cs="宋体"/>
          <w:b/>
          <w:bCs/>
          <w:color w:val="auto"/>
          <w:sz w:val="24"/>
          <w:highlight w:val="none"/>
        </w:rPr>
        <w:t>24.16.1不同投标人的投标文件由同一单位或者个人编制；</w:t>
      </w:r>
    </w:p>
    <w:p>
      <w:pPr>
        <w:tabs>
          <w:tab w:val="left" w:pos="0"/>
        </w:tabs>
        <w:spacing w:line="360" w:lineRule="auto"/>
        <w:ind w:left="420" w:leftChars="200"/>
        <w:rPr>
          <w:rFonts w:ascii="宋体" w:hAnsi="宋体" w:cs="宋体"/>
          <w:b/>
          <w:bCs/>
          <w:color w:val="auto"/>
          <w:sz w:val="24"/>
          <w:highlight w:val="none"/>
        </w:rPr>
      </w:pPr>
      <w:r>
        <w:rPr>
          <w:rFonts w:hint="eastAsia" w:ascii="宋体" w:hAnsi="宋体" w:cs="宋体"/>
          <w:b/>
          <w:bCs/>
          <w:color w:val="auto"/>
          <w:sz w:val="24"/>
          <w:highlight w:val="none"/>
        </w:rPr>
        <w:t>24.16.2不同投标人委托同一单位或者个人办理投标事宜；</w:t>
      </w:r>
    </w:p>
    <w:p>
      <w:pPr>
        <w:tabs>
          <w:tab w:val="left" w:pos="0"/>
        </w:tabs>
        <w:spacing w:line="360" w:lineRule="auto"/>
        <w:ind w:left="420" w:leftChars="200"/>
        <w:rPr>
          <w:rFonts w:ascii="宋体" w:hAnsi="宋体" w:cs="宋体"/>
          <w:b/>
          <w:bCs/>
          <w:color w:val="auto"/>
          <w:sz w:val="24"/>
          <w:highlight w:val="none"/>
        </w:rPr>
      </w:pPr>
      <w:r>
        <w:rPr>
          <w:rFonts w:hint="eastAsia" w:ascii="宋体" w:hAnsi="宋体" w:cs="宋体"/>
          <w:b/>
          <w:bCs/>
          <w:color w:val="auto"/>
          <w:sz w:val="24"/>
          <w:highlight w:val="none"/>
        </w:rPr>
        <w:t>24.16.3不同投标人的投标文件载明的项目管理成员或者联系人员为同一人；</w:t>
      </w:r>
    </w:p>
    <w:p>
      <w:pPr>
        <w:tabs>
          <w:tab w:val="left" w:pos="0"/>
        </w:tabs>
        <w:spacing w:line="360" w:lineRule="auto"/>
        <w:ind w:left="420" w:leftChars="200"/>
        <w:rPr>
          <w:rFonts w:ascii="宋体" w:hAnsi="宋体" w:cs="宋体"/>
          <w:b/>
          <w:bCs/>
          <w:color w:val="auto"/>
          <w:sz w:val="24"/>
          <w:highlight w:val="none"/>
        </w:rPr>
      </w:pPr>
      <w:r>
        <w:rPr>
          <w:rFonts w:hint="eastAsia" w:ascii="宋体" w:hAnsi="宋体" w:cs="宋体"/>
          <w:b/>
          <w:bCs/>
          <w:color w:val="auto"/>
          <w:sz w:val="24"/>
          <w:highlight w:val="none"/>
        </w:rPr>
        <w:t>24.16.4不同投标人的投标文件异常一致或者投标报价呈规律性差异；</w:t>
      </w:r>
    </w:p>
    <w:p>
      <w:pPr>
        <w:tabs>
          <w:tab w:val="left" w:pos="0"/>
        </w:tabs>
        <w:spacing w:line="360" w:lineRule="auto"/>
        <w:ind w:left="420" w:leftChars="200"/>
        <w:rPr>
          <w:rFonts w:ascii="宋体" w:hAnsi="宋体" w:cs="宋体"/>
          <w:b/>
          <w:bCs/>
          <w:color w:val="auto"/>
          <w:sz w:val="24"/>
          <w:highlight w:val="none"/>
        </w:rPr>
      </w:pPr>
      <w:r>
        <w:rPr>
          <w:rFonts w:hint="eastAsia" w:ascii="宋体" w:hAnsi="宋体" w:cs="宋体"/>
          <w:b/>
          <w:bCs/>
          <w:color w:val="auto"/>
          <w:sz w:val="24"/>
          <w:highlight w:val="none"/>
        </w:rPr>
        <w:t>24.16.5不同投标人提供的投标文件出自同一终端设备的，或在相同Internet主机分配地址（相同IP地址）报名或网上投标的，且经询标澄清投标人无令人信服的理由和可靠证据证明其合理性的，经评标委员会半数以上成员确认有串通投标嫌疑的。</w:t>
      </w:r>
    </w:p>
    <w:p>
      <w:pPr>
        <w:tabs>
          <w:tab w:val="left" w:pos="0"/>
        </w:tabs>
        <w:spacing w:line="360" w:lineRule="auto"/>
        <w:ind w:firstLine="482" w:firstLineChars="200"/>
        <w:rPr>
          <w:color w:val="auto"/>
          <w:highlight w:val="none"/>
        </w:rPr>
      </w:pPr>
      <w:r>
        <w:rPr>
          <w:rFonts w:hint="eastAsia" w:ascii="宋体" w:hAnsi="宋体" w:cs="宋体"/>
          <w:b/>
          <w:bCs/>
          <w:color w:val="auto"/>
          <w:sz w:val="24"/>
          <w:szCs w:val="32"/>
          <w:highlight w:val="none"/>
        </w:rPr>
        <w:t>24.1</w:t>
      </w:r>
      <w:r>
        <w:rPr>
          <w:rFonts w:hint="eastAsia" w:ascii="宋体" w:hAnsi="宋体" w:cs="宋体"/>
          <w:b/>
          <w:bCs/>
          <w:color w:val="auto"/>
          <w:sz w:val="24"/>
          <w:szCs w:val="32"/>
          <w:highlight w:val="none"/>
          <w:lang w:val="en-US" w:eastAsia="zh-CN"/>
        </w:rPr>
        <w:t>7</w:t>
      </w:r>
      <w:r>
        <w:rPr>
          <w:rFonts w:hint="eastAsia" w:ascii="宋体" w:hAnsi="宋体" w:cs="宋体"/>
          <w:b/>
          <w:bCs/>
          <w:color w:val="auto"/>
          <w:sz w:val="24"/>
          <w:szCs w:val="32"/>
          <w:highlight w:val="none"/>
        </w:rPr>
        <w:t>其他违反法律、法规的情形。</w:t>
      </w:r>
    </w:p>
    <w:p>
      <w:pPr>
        <w:pStyle w:val="12"/>
        <w:numPr>
          <w:ilvl w:val="0"/>
          <w:numId w:val="7"/>
        </w:numPr>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废标</w:t>
      </w:r>
    </w:p>
    <w:p>
      <w:pPr>
        <w:spacing w:line="360" w:lineRule="auto"/>
        <w:ind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按照《上虞区区属国有企业货物和服务采购管理办法》第四十二条之规定，在公开招标采购中，出现下列情形之一的，应予终止采购程序或废标：</w:t>
      </w:r>
    </w:p>
    <w:p>
      <w:pPr>
        <w:spacing w:line="360" w:lineRule="auto"/>
        <w:ind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25.1 符合专业条件的供应商或者对采购文件作实质响应的供应商不足 3 家；</w:t>
      </w:r>
    </w:p>
    <w:p>
      <w:pPr>
        <w:spacing w:line="360" w:lineRule="auto"/>
        <w:ind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25.2 出现影响采购公正的违法、违规行为的；</w:t>
      </w:r>
    </w:p>
    <w:p>
      <w:pPr>
        <w:spacing w:line="360" w:lineRule="auto"/>
        <w:ind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25.3 投标人的报价均超过了采购预算；</w:t>
      </w:r>
    </w:p>
    <w:p>
      <w:pPr>
        <w:spacing w:line="360" w:lineRule="auto"/>
        <w:ind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25.4 因重大变故，采购任务取消的。</w:t>
      </w:r>
    </w:p>
    <w:p>
      <w:pPr>
        <w:spacing w:line="360" w:lineRule="auto"/>
        <w:ind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废标后，采购代理机构应当将废标理由通知所有投标人。</w:t>
      </w:r>
    </w:p>
    <w:p>
      <w:pPr>
        <w:pStyle w:val="12"/>
        <w:numPr>
          <w:ilvl w:val="0"/>
          <w:numId w:val="7"/>
        </w:numPr>
        <w:spacing w:line="360" w:lineRule="auto"/>
        <w:ind w:firstLine="482" w:firstLineChars="200"/>
        <w:rPr>
          <w:rFonts w:hAnsi="宋体" w:cs="宋体"/>
          <w:b/>
          <w:color w:val="auto"/>
          <w:sz w:val="24"/>
          <w:szCs w:val="24"/>
          <w:highlight w:val="none"/>
        </w:rPr>
      </w:pPr>
      <w:r>
        <w:rPr>
          <w:rFonts w:hint="eastAsia" w:hAnsi="宋体" w:cs="宋体"/>
          <w:b/>
          <w:bCs/>
          <w:color w:val="auto"/>
          <w:sz w:val="24"/>
          <w:szCs w:val="24"/>
          <w:highlight w:val="none"/>
          <w:lang w:val="zh-CN"/>
        </w:rPr>
        <w:t>中止电子交易活动和</w:t>
      </w:r>
      <w:r>
        <w:rPr>
          <w:rFonts w:hint="eastAsia" w:hAnsi="宋体" w:cs="宋体"/>
          <w:b/>
          <w:color w:val="auto"/>
          <w:sz w:val="24"/>
          <w:szCs w:val="24"/>
          <w:highlight w:val="none"/>
        </w:rPr>
        <w:t>重新组织采购</w:t>
      </w:r>
    </w:p>
    <w:p>
      <w:pPr>
        <w:pStyle w:val="27"/>
        <w:tabs>
          <w:tab w:val="left" w:pos="0"/>
        </w:tabs>
        <w:spacing w:before="0" w:line="360" w:lineRule="auto"/>
        <w:ind w:firstLine="480"/>
        <w:rPr>
          <w:rFonts w:ascii="宋体" w:hAnsi="宋体" w:cs="宋体"/>
          <w:color w:val="auto"/>
          <w:szCs w:val="24"/>
          <w:highlight w:val="none"/>
          <w:lang w:val="zh-CN"/>
        </w:rPr>
      </w:pPr>
      <w:r>
        <w:rPr>
          <w:rFonts w:hint="eastAsia" w:ascii="宋体" w:hAnsi="宋体" w:cs="宋体"/>
          <w:color w:val="auto"/>
          <w:szCs w:val="24"/>
          <w:highlight w:val="none"/>
        </w:rPr>
        <w:t>26.1</w:t>
      </w:r>
      <w:r>
        <w:rPr>
          <w:rFonts w:hint="eastAsia" w:ascii="宋体" w:hAnsi="宋体" w:cs="宋体"/>
          <w:color w:val="auto"/>
          <w:szCs w:val="24"/>
          <w:highlight w:val="none"/>
          <w:lang w:val="zh-CN"/>
        </w:rPr>
        <w:t>采购过程中出现以下情形，导致电子交易平台无法正常运行，或者无法保证电子交易的公平、公正和安全时，采购组织机构可中止电子交易活动：</w:t>
      </w:r>
    </w:p>
    <w:p>
      <w:pPr>
        <w:numPr>
          <w:ilvl w:val="0"/>
          <w:numId w:val="31"/>
        </w:numPr>
        <w:tabs>
          <w:tab w:val="left" w:pos="0"/>
        </w:tabs>
        <w:spacing w:line="360" w:lineRule="auto"/>
        <w:ind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 xml:space="preserve">电子交易平台发生故障而无法登录访问的； </w:t>
      </w:r>
    </w:p>
    <w:p>
      <w:pPr>
        <w:numPr>
          <w:ilvl w:val="0"/>
          <w:numId w:val="31"/>
        </w:numPr>
        <w:tabs>
          <w:tab w:val="left" w:pos="0"/>
        </w:tabs>
        <w:spacing w:line="360" w:lineRule="auto"/>
        <w:ind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电子交易平台应用或数据库出现错误，不能进行正常操作的；</w:t>
      </w:r>
    </w:p>
    <w:p>
      <w:pPr>
        <w:numPr>
          <w:ilvl w:val="0"/>
          <w:numId w:val="31"/>
        </w:numPr>
        <w:tabs>
          <w:tab w:val="left" w:pos="0"/>
        </w:tabs>
        <w:spacing w:line="360" w:lineRule="auto"/>
        <w:ind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电子交易平台发现严重安全漏洞，有潜在泄密危险的；</w:t>
      </w:r>
    </w:p>
    <w:p>
      <w:pPr>
        <w:numPr>
          <w:ilvl w:val="0"/>
          <w:numId w:val="31"/>
        </w:numPr>
        <w:tabs>
          <w:tab w:val="left" w:pos="0"/>
        </w:tabs>
        <w:spacing w:line="360" w:lineRule="auto"/>
        <w:ind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 xml:space="preserve">病毒发作导致不能进行正常操作的； </w:t>
      </w:r>
    </w:p>
    <w:p>
      <w:pPr>
        <w:numPr>
          <w:ilvl w:val="0"/>
          <w:numId w:val="31"/>
        </w:numPr>
        <w:tabs>
          <w:tab w:val="left" w:pos="0"/>
        </w:tabs>
        <w:spacing w:line="360" w:lineRule="auto"/>
        <w:ind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其他无法保证电子交易的公平、公正和安全的情况。</w:t>
      </w:r>
    </w:p>
    <w:p>
      <w:pPr>
        <w:pStyle w:val="27"/>
        <w:tabs>
          <w:tab w:val="left" w:pos="0"/>
        </w:tabs>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26.2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12"/>
        <w:numPr>
          <w:ilvl w:val="0"/>
          <w:numId w:val="7"/>
        </w:numPr>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保密及其它注意事项</w:t>
      </w:r>
    </w:p>
    <w:p>
      <w:pPr>
        <w:pStyle w:val="27"/>
        <w:numPr>
          <w:ilvl w:val="0"/>
          <w:numId w:val="32"/>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评标是招标工作的重要环节，评标工作由评标委员会独立进行。评标委员会将遵照评标原则，公正、平等地对待所有投标人；</w:t>
      </w:r>
    </w:p>
    <w:p>
      <w:pPr>
        <w:pStyle w:val="27"/>
        <w:numPr>
          <w:ilvl w:val="0"/>
          <w:numId w:val="32"/>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在开标、投标期间，投标人不得向评委询问评标情况，不得进行旨在影响评标结果的活动。采购人不得在中标人确定前，与投标人就投标价格、投标方案等实质性内容进行谈判；</w:t>
      </w:r>
    </w:p>
    <w:p>
      <w:pPr>
        <w:pStyle w:val="27"/>
        <w:numPr>
          <w:ilvl w:val="0"/>
          <w:numId w:val="32"/>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为保证定标的公正性，在评标过程中，评委不得与投标人私下交换意见。在招标工作结束后，凡与评标情况有接触的任何人，不得也不应将评标情况扩散出评委人员之外；</w:t>
      </w:r>
    </w:p>
    <w:p>
      <w:pPr>
        <w:pStyle w:val="27"/>
        <w:numPr>
          <w:ilvl w:val="0"/>
          <w:numId w:val="32"/>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投标人相互之间，或与采购人相互不得串通投标，不得排挤其他投标人的公平竞争，损害采购人或者其他投标人的合法权益；</w:t>
      </w:r>
    </w:p>
    <w:p>
      <w:pPr>
        <w:pStyle w:val="27"/>
        <w:numPr>
          <w:ilvl w:val="0"/>
          <w:numId w:val="32"/>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评标委员会不向投标人解释未中标的原因；</w:t>
      </w:r>
    </w:p>
    <w:p>
      <w:pPr>
        <w:pStyle w:val="27"/>
        <w:numPr>
          <w:ilvl w:val="0"/>
          <w:numId w:val="32"/>
        </w:numPr>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特别说明：政企云公司如对电子化开标及评审程序有调整的，按调整后的程序操作。</w:t>
      </w:r>
    </w:p>
    <w:p>
      <w:pPr>
        <w:snapToGrid w:val="0"/>
        <w:spacing w:line="360" w:lineRule="auto"/>
        <w:jc w:val="center"/>
        <w:outlineLvl w:val="0"/>
        <w:rPr>
          <w:rFonts w:ascii="宋体" w:hAnsi="宋体" w:cs="宋体"/>
          <w:b/>
          <w:color w:val="auto"/>
          <w:sz w:val="32"/>
          <w:highlight w:val="none"/>
        </w:rPr>
      </w:pPr>
      <w:bookmarkStart w:id="50" w:name="_Toc19181"/>
      <w:bookmarkStart w:id="51" w:name="_Toc19547"/>
      <w:r>
        <w:rPr>
          <w:rFonts w:hint="eastAsia" w:ascii="宋体" w:hAnsi="宋体" w:cs="宋体"/>
          <w:b/>
          <w:color w:val="auto"/>
          <w:sz w:val="32"/>
          <w:highlight w:val="none"/>
        </w:rPr>
        <w:t>八、定 标</w:t>
      </w:r>
      <w:bookmarkEnd w:id="50"/>
      <w:bookmarkEnd w:id="51"/>
    </w:p>
    <w:p>
      <w:pPr>
        <w:pStyle w:val="27"/>
        <w:tabs>
          <w:tab w:val="left" w:pos="0"/>
        </w:tabs>
        <w:spacing w:before="0" w:line="360" w:lineRule="auto"/>
        <w:ind w:firstLine="480"/>
        <w:rPr>
          <w:rFonts w:ascii="宋体" w:hAnsi="宋体" w:cs="宋体"/>
          <w:color w:val="auto"/>
          <w:szCs w:val="24"/>
          <w:highlight w:val="none"/>
        </w:rPr>
      </w:pPr>
      <w:bookmarkStart w:id="52" w:name="_Toc15760"/>
      <w:r>
        <w:rPr>
          <w:rFonts w:hint="eastAsia" w:ascii="宋体" w:hAnsi="宋体" w:cs="宋体"/>
          <w:color w:val="auto"/>
          <w:szCs w:val="24"/>
          <w:highlight w:val="none"/>
        </w:rPr>
        <w:t>28.1项目由评标委员会根据第三章《评标办法与评分标准》规定提出中标候选人排序。</w:t>
      </w:r>
    </w:p>
    <w:p>
      <w:pPr>
        <w:pStyle w:val="27"/>
        <w:tabs>
          <w:tab w:val="left" w:pos="0"/>
        </w:tabs>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28.2采购代理机构应当在评标结束后2个工作日内将评标报告送采购人。</w:t>
      </w:r>
    </w:p>
    <w:p>
      <w:pPr>
        <w:pStyle w:val="27"/>
        <w:tabs>
          <w:tab w:val="left" w:pos="0"/>
        </w:tabs>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28.3采购人应当自收到评标报告之日起5个工作日内，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27"/>
        <w:tabs>
          <w:tab w:val="left" w:pos="0"/>
        </w:tabs>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28.4采购人或者采购代理机构应当自中标人确定之日起2个工作日内，在发布招标公告的网站上公告中标结果，公告期限为1个工作日。在公告中标结果的同时，采购人或者采购代理机构应当向中标人发出中标通知书；</w:t>
      </w:r>
    </w:p>
    <w:p>
      <w:pPr>
        <w:pStyle w:val="27"/>
        <w:tabs>
          <w:tab w:val="left" w:pos="0"/>
        </w:tabs>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28.5中标人应携带介绍信自行前往采购代理机构领取中标通知书。</w:t>
      </w:r>
    </w:p>
    <w:p>
      <w:pPr>
        <w:spacing w:line="360" w:lineRule="auto"/>
        <w:ind w:firstLine="480" w:firstLineChars="200"/>
        <w:rPr>
          <w:rFonts w:ascii="宋体" w:hAnsi="宋体" w:cs="宋体"/>
          <w:color w:val="auto"/>
          <w:sz w:val="24"/>
          <w:szCs w:val="32"/>
          <w:highlight w:val="none"/>
        </w:rPr>
      </w:pPr>
      <w:bookmarkStart w:id="53" w:name="_Toc23365"/>
      <w:bookmarkStart w:id="54" w:name="_Toc27357"/>
      <w:r>
        <w:rPr>
          <w:rFonts w:hint="eastAsia" w:ascii="宋体" w:hAnsi="宋体" w:cs="宋体"/>
          <w:color w:val="auto"/>
          <w:sz w:val="24"/>
          <w:szCs w:val="32"/>
          <w:highlight w:val="none"/>
        </w:rPr>
        <w:t>28.6中标通知书发出后，采购人不得违法改变中标结果，中标人无正当理由不得放弃中标。</w:t>
      </w:r>
      <w:bookmarkEnd w:id="53"/>
      <w:bookmarkEnd w:id="54"/>
    </w:p>
    <w:p>
      <w:pPr>
        <w:snapToGrid w:val="0"/>
        <w:spacing w:line="360" w:lineRule="auto"/>
        <w:jc w:val="center"/>
        <w:outlineLvl w:val="0"/>
        <w:rPr>
          <w:rFonts w:ascii="宋体" w:hAnsi="宋体" w:cs="宋体"/>
          <w:b/>
          <w:color w:val="auto"/>
          <w:sz w:val="32"/>
          <w:highlight w:val="none"/>
        </w:rPr>
      </w:pPr>
    </w:p>
    <w:p>
      <w:pPr>
        <w:snapToGrid w:val="0"/>
        <w:spacing w:line="360" w:lineRule="auto"/>
        <w:jc w:val="center"/>
        <w:outlineLvl w:val="0"/>
        <w:rPr>
          <w:rFonts w:ascii="宋体" w:hAnsi="宋体" w:cs="宋体"/>
          <w:b/>
          <w:color w:val="auto"/>
          <w:sz w:val="32"/>
          <w:highlight w:val="none"/>
        </w:rPr>
      </w:pPr>
      <w:bookmarkStart w:id="55" w:name="_Toc18117"/>
      <w:r>
        <w:rPr>
          <w:rFonts w:hint="eastAsia" w:ascii="宋体" w:hAnsi="宋体" w:cs="宋体"/>
          <w:b/>
          <w:color w:val="auto"/>
          <w:sz w:val="32"/>
          <w:highlight w:val="none"/>
        </w:rPr>
        <w:t>九、合同签订及其他</w:t>
      </w:r>
      <w:bookmarkEnd w:id="52"/>
      <w:bookmarkEnd w:id="55"/>
    </w:p>
    <w:p>
      <w:pPr>
        <w:pStyle w:val="27"/>
        <w:tabs>
          <w:tab w:val="left" w:pos="0"/>
        </w:tabs>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29.1 采购人应当自中标通知书发出之日起30日内，按照招标文件和中标人投标文件的规定，与中标人签订书面合同。所签订的合同不得对招标文件确定的事项和中标人投标文件作实质性修改。</w:t>
      </w:r>
    </w:p>
    <w:p>
      <w:pPr>
        <w:pStyle w:val="27"/>
        <w:tabs>
          <w:tab w:val="left" w:pos="0"/>
        </w:tabs>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29.2 中标或者成交供应商拒绝与采购人签订合同的，采购人可以按照评审报告推荐的中标或者成交候选人名单排序，确定下一候选人为中标或者成交供应商，也可以重新开展采购活动。</w:t>
      </w:r>
    </w:p>
    <w:p>
      <w:pPr>
        <w:pStyle w:val="12"/>
        <w:spacing w:line="360" w:lineRule="auto"/>
        <w:ind w:left="420" w:leftChars="200"/>
        <w:rPr>
          <w:rFonts w:hAnsi="宋体" w:cs="宋体"/>
          <w:b/>
          <w:color w:val="auto"/>
          <w:sz w:val="24"/>
          <w:szCs w:val="24"/>
          <w:highlight w:val="none"/>
        </w:rPr>
      </w:pPr>
      <w:r>
        <w:rPr>
          <w:rFonts w:hint="eastAsia" w:hAnsi="宋体" w:cs="宋体"/>
          <w:b/>
          <w:color w:val="auto"/>
          <w:sz w:val="24"/>
          <w:szCs w:val="24"/>
          <w:highlight w:val="none"/>
        </w:rPr>
        <w:t>30.履约保证金</w:t>
      </w:r>
    </w:p>
    <w:p>
      <w:pPr>
        <w:pStyle w:val="27"/>
        <w:tabs>
          <w:tab w:val="left" w:pos="0"/>
        </w:tabs>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采购合同条款要求中标供应商提交履约保证金的，供应商应当以支票、汇票、本票或者金融机构、保险公司、担保机构出具的保函等非现金形式提交。</w:t>
      </w:r>
    </w:p>
    <w:p>
      <w:pPr>
        <w:pStyle w:val="12"/>
        <w:spacing w:line="360" w:lineRule="auto"/>
        <w:ind w:left="420" w:leftChars="200"/>
        <w:rPr>
          <w:rFonts w:hAnsi="宋体" w:cs="宋体"/>
          <w:b/>
          <w:color w:val="auto"/>
          <w:sz w:val="24"/>
          <w:szCs w:val="24"/>
          <w:highlight w:val="none"/>
        </w:rPr>
      </w:pPr>
      <w:r>
        <w:rPr>
          <w:rFonts w:hint="eastAsia" w:hAnsi="宋体" w:cs="宋体"/>
          <w:b/>
          <w:color w:val="auto"/>
          <w:sz w:val="24"/>
          <w:szCs w:val="24"/>
          <w:highlight w:val="none"/>
        </w:rPr>
        <w:t>31.验收</w:t>
      </w:r>
    </w:p>
    <w:p>
      <w:pPr>
        <w:pStyle w:val="27"/>
        <w:tabs>
          <w:tab w:val="left" w:pos="0"/>
        </w:tabs>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31.1采购人组织对供应商履约的验收，大型或者复杂的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Style w:val="27"/>
        <w:tabs>
          <w:tab w:val="left" w:pos="0"/>
        </w:tabs>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31.2采购人应当及时对采购项目进行验收，采购人可以邀请参加本项目的其他投标人或者第三方机构参与验收，参与验收的投标人或者第三方机构的意见作为验收书的参考资料一并存档。</w:t>
      </w:r>
    </w:p>
    <w:p>
      <w:pPr>
        <w:pStyle w:val="27"/>
        <w:tabs>
          <w:tab w:val="left" w:pos="0"/>
        </w:tabs>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31.3采购人负责加强对中标人的履约管理，并按照采购合同约定，及时向中标人支付采购资金。对于中标人违反采购合同约定的行为，采购人应当及时处理，依法追究其违约责任。</w:t>
      </w:r>
    </w:p>
    <w:p>
      <w:pPr>
        <w:pStyle w:val="12"/>
        <w:spacing w:line="360" w:lineRule="auto"/>
        <w:ind w:left="420" w:leftChars="200"/>
        <w:rPr>
          <w:rFonts w:hAnsi="宋体" w:cs="宋体"/>
          <w:b/>
          <w:color w:val="auto"/>
          <w:sz w:val="24"/>
          <w:szCs w:val="24"/>
          <w:highlight w:val="none"/>
        </w:rPr>
      </w:pPr>
      <w:r>
        <w:rPr>
          <w:rFonts w:hint="eastAsia" w:hAnsi="宋体" w:cs="宋体"/>
          <w:b/>
          <w:color w:val="auto"/>
          <w:sz w:val="24"/>
          <w:szCs w:val="24"/>
          <w:highlight w:val="none"/>
        </w:rPr>
        <w:t>32.货款结算方式</w:t>
      </w:r>
    </w:p>
    <w:p>
      <w:pPr>
        <w:tabs>
          <w:tab w:val="left" w:pos="0"/>
        </w:tabs>
        <w:spacing w:line="360" w:lineRule="auto"/>
        <w:ind w:firstLine="480"/>
        <w:rPr>
          <w:rFonts w:ascii="宋体" w:hAnsi="宋体" w:cs="宋体"/>
          <w:color w:val="auto"/>
          <w:sz w:val="24"/>
          <w:highlight w:val="none"/>
        </w:rPr>
      </w:pPr>
      <w:r>
        <w:rPr>
          <w:rFonts w:hint="eastAsia" w:ascii="宋体" w:hAnsi="宋体" w:cs="宋体"/>
          <w:color w:val="auto"/>
          <w:sz w:val="24"/>
          <w:highlight w:val="none"/>
        </w:rPr>
        <w:t>付款方式：采购人与中标人依照招标文件规定的付款方式进行项目款项的支付。</w:t>
      </w:r>
    </w:p>
    <w:p>
      <w:pPr>
        <w:pStyle w:val="12"/>
        <w:spacing w:line="360" w:lineRule="auto"/>
        <w:ind w:left="420" w:leftChars="200"/>
        <w:rPr>
          <w:rFonts w:hAnsi="宋体" w:cs="宋体"/>
          <w:b/>
          <w:color w:val="auto"/>
          <w:sz w:val="24"/>
          <w:szCs w:val="24"/>
          <w:highlight w:val="none"/>
        </w:rPr>
      </w:pPr>
      <w:r>
        <w:rPr>
          <w:rFonts w:hint="eastAsia" w:hAnsi="宋体" w:cs="宋体"/>
          <w:b/>
          <w:color w:val="auto"/>
          <w:sz w:val="24"/>
          <w:szCs w:val="24"/>
          <w:highlight w:val="none"/>
        </w:rPr>
        <w:t>33.售后服务考核</w:t>
      </w:r>
    </w:p>
    <w:p>
      <w:pPr>
        <w:tabs>
          <w:tab w:val="left" w:pos="0"/>
        </w:tabs>
        <w:spacing w:line="360" w:lineRule="auto"/>
        <w:ind w:firstLine="480"/>
        <w:rPr>
          <w:rFonts w:ascii="宋体" w:hAnsi="宋体" w:cs="宋体"/>
          <w:color w:val="auto"/>
          <w:sz w:val="24"/>
          <w:highlight w:val="none"/>
        </w:rPr>
      </w:pPr>
      <w:r>
        <w:rPr>
          <w:rFonts w:ascii="宋体" w:hAnsi="宋体" w:cs="宋体"/>
          <w:color w:val="auto"/>
          <w:sz w:val="24"/>
          <w:highlight w:val="none"/>
        </w:rPr>
        <w:t>采购代理机构将配合采购人主管部门不定期对合同的履约情况进行检查，发现弄虚作假，偷工减料，以次充好，达不到国家、行业有关标准和技术文件规定的，一经查实，由有关职能部门给与相应处罚。</w:t>
      </w:r>
    </w:p>
    <w:p>
      <w:pPr>
        <w:snapToGrid w:val="0"/>
        <w:spacing w:line="360" w:lineRule="auto"/>
        <w:jc w:val="center"/>
        <w:outlineLvl w:val="0"/>
        <w:rPr>
          <w:rFonts w:ascii="宋体" w:hAnsi="宋体" w:cs="宋体"/>
          <w:b/>
          <w:color w:val="auto"/>
          <w:sz w:val="32"/>
          <w:highlight w:val="none"/>
        </w:rPr>
      </w:pPr>
      <w:bookmarkStart w:id="56" w:name="_Toc27043"/>
      <w:bookmarkStart w:id="57" w:name="_Toc10926"/>
      <w:r>
        <w:rPr>
          <w:rFonts w:hint="eastAsia" w:ascii="宋体" w:hAnsi="宋体" w:cs="宋体"/>
          <w:b/>
          <w:color w:val="auto"/>
          <w:sz w:val="32"/>
          <w:highlight w:val="none"/>
        </w:rPr>
        <w:t>十、质疑与投诉</w:t>
      </w:r>
      <w:bookmarkEnd w:id="56"/>
      <w:bookmarkEnd w:id="57"/>
    </w:p>
    <w:p>
      <w:pPr>
        <w:tabs>
          <w:tab w:val="left" w:pos="0"/>
        </w:tabs>
        <w:spacing w:line="360" w:lineRule="auto"/>
        <w:ind w:firstLine="480"/>
        <w:rPr>
          <w:rFonts w:ascii="宋体" w:hAnsi="宋体" w:cs="宋体"/>
          <w:color w:val="auto"/>
          <w:sz w:val="24"/>
          <w:highlight w:val="none"/>
        </w:rPr>
      </w:pPr>
      <w:r>
        <w:rPr>
          <w:rFonts w:hint="eastAsia" w:ascii="宋体" w:hAnsi="宋体" w:cs="宋体"/>
          <w:color w:val="auto"/>
          <w:sz w:val="24"/>
          <w:highlight w:val="none"/>
        </w:rPr>
        <w:t>参照《上虞区区属国有企业货物和服务采购管理办法》的规定，采购供应商可以依法提起质疑和投诉。</w:t>
      </w:r>
    </w:p>
    <w:p>
      <w:pPr>
        <w:pStyle w:val="12"/>
        <w:spacing w:line="360" w:lineRule="auto"/>
        <w:ind w:left="420" w:leftChars="200"/>
        <w:rPr>
          <w:rFonts w:hAnsi="宋体" w:cs="宋体"/>
          <w:b/>
          <w:color w:val="auto"/>
          <w:sz w:val="24"/>
          <w:szCs w:val="24"/>
          <w:highlight w:val="none"/>
          <w:lang w:val="zh-CN"/>
        </w:rPr>
      </w:pPr>
      <w:r>
        <w:rPr>
          <w:rFonts w:hint="eastAsia" w:hAnsi="宋体" w:cs="宋体"/>
          <w:b/>
          <w:color w:val="auto"/>
          <w:sz w:val="24"/>
          <w:szCs w:val="24"/>
          <w:highlight w:val="none"/>
        </w:rPr>
        <w:t>34.</w:t>
      </w:r>
      <w:r>
        <w:rPr>
          <w:rFonts w:hint="eastAsia" w:hAnsi="宋体" w:cs="宋体"/>
          <w:b/>
          <w:color w:val="auto"/>
          <w:sz w:val="24"/>
          <w:szCs w:val="24"/>
          <w:highlight w:val="none"/>
          <w:lang w:val="zh-CN"/>
        </w:rPr>
        <w:t>供应商询问</w:t>
      </w:r>
    </w:p>
    <w:p>
      <w:pPr>
        <w:pStyle w:val="12"/>
        <w:spacing w:line="360" w:lineRule="auto"/>
        <w:ind w:firstLine="480" w:firstLineChars="200"/>
        <w:rPr>
          <w:rFonts w:hAnsi="宋体" w:cs="宋体"/>
          <w:color w:val="auto"/>
          <w:sz w:val="24"/>
          <w:highlight w:val="none"/>
        </w:rPr>
      </w:pPr>
      <w:r>
        <w:rPr>
          <w:rFonts w:hint="eastAsia" w:hAnsi="宋体" w:cs="宋体"/>
          <w:color w:val="auto"/>
          <w:sz w:val="24"/>
          <w:highlight w:val="none"/>
        </w:rPr>
        <w:t>供应商对国企采购活动事项有疑问的，可以向采购代理机构提出询问，采购代理机构将对供应商依法提出的询问作出答复，但答复的内容不得涉及商业秘密。</w:t>
      </w:r>
    </w:p>
    <w:p>
      <w:pPr>
        <w:pStyle w:val="12"/>
        <w:numPr>
          <w:ilvl w:val="0"/>
          <w:numId w:val="33"/>
        </w:numPr>
        <w:spacing w:line="360" w:lineRule="auto"/>
        <w:ind w:left="420" w:leftChars="200"/>
        <w:rPr>
          <w:rFonts w:hAnsi="宋体" w:cs="宋体"/>
          <w:b/>
          <w:color w:val="auto"/>
          <w:sz w:val="24"/>
          <w:szCs w:val="24"/>
          <w:highlight w:val="none"/>
          <w:lang w:val="zh-CN"/>
        </w:rPr>
      </w:pPr>
      <w:r>
        <w:rPr>
          <w:rFonts w:hint="eastAsia" w:hAnsi="宋体" w:cs="宋体"/>
          <w:b/>
          <w:color w:val="auto"/>
          <w:sz w:val="24"/>
          <w:szCs w:val="24"/>
          <w:highlight w:val="none"/>
          <w:lang w:val="zh-CN"/>
        </w:rPr>
        <w:t>供应商质疑</w:t>
      </w:r>
    </w:p>
    <w:p>
      <w:pPr>
        <w:spacing w:line="360" w:lineRule="auto"/>
        <w:ind w:firstLine="482" w:firstLineChars="200"/>
        <w:rPr>
          <w:rFonts w:ascii="宋体" w:hAnsi="宋体" w:cs="宋体"/>
          <w:b/>
          <w:color w:val="auto"/>
          <w:sz w:val="24"/>
          <w:highlight w:val="none"/>
          <w:lang w:val="zh-CN"/>
        </w:rPr>
      </w:pPr>
      <w:r>
        <w:rPr>
          <w:rFonts w:hint="eastAsia" w:hAnsi="宋体" w:cs="宋体"/>
          <w:b/>
          <w:color w:val="auto"/>
          <w:sz w:val="24"/>
          <w:highlight w:val="none"/>
        </w:rPr>
        <w:t>参照</w:t>
      </w:r>
      <w:r>
        <w:rPr>
          <w:rFonts w:hint="eastAsia" w:ascii="宋体" w:hAnsi="宋体" w:cs="宋体"/>
          <w:b/>
          <w:color w:val="auto"/>
          <w:sz w:val="24"/>
          <w:highlight w:val="none"/>
          <w:lang w:val="zh-CN"/>
        </w:rPr>
        <w:t>《上虞区区属国有企业货物和服务采购管理办法》第四十九条</w:t>
      </w:r>
      <w:r>
        <w:rPr>
          <w:rFonts w:hint="eastAsia" w:ascii="宋体" w:hAnsi="宋体" w:cs="宋体"/>
          <w:b/>
          <w:color w:val="auto"/>
          <w:sz w:val="24"/>
          <w:highlight w:val="none"/>
        </w:rPr>
        <w:t>的</w:t>
      </w:r>
      <w:r>
        <w:rPr>
          <w:rFonts w:hint="eastAsia" w:ascii="宋体" w:hAnsi="宋体" w:cs="宋体"/>
          <w:b/>
          <w:color w:val="auto"/>
          <w:sz w:val="24"/>
          <w:highlight w:val="none"/>
          <w:lang w:val="zh-CN"/>
        </w:rPr>
        <w:t>规定</w:t>
      </w:r>
    </w:p>
    <w:p>
      <w:pPr>
        <w:pStyle w:val="27"/>
        <w:tabs>
          <w:tab w:val="left" w:pos="0"/>
        </w:tabs>
        <w:spacing w:before="0" w:line="360" w:lineRule="auto"/>
        <w:ind w:firstLine="480"/>
        <w:rPr>
          <w:color w:val="auto"/>
          <w:highlight w:val="none"/>
        </w:rPr>
      </w:pPr>
      <w:r>
        <w:rPr>
          <w:rFonts w:hint="eastAsia" w:ascii="宋体" w:hAnsi="宋体" w:cs="宋体"/>
          <w:color w:val="auto"/>
          <w:szCs w:val="24"/>
          <w:highlight w:val="none"/>
        </w:rPr>
        <w:t>35.1</w:t>
      </w:r>
      <w:r>
        <w:rPr>
          <w:rFonts w:hint="eastAsia"/>
          <w:color w:val="auto"/>
          <w:highlight w:val="none"/>
        </w:rPr>
        <w:t>供应商认为采购文件、采购过程、中标或者成交结果使自己的权益受到损害的，可以在知道或者应知其权益受到损害之日起7个工作日内，以书面形式向采购人、采购代理机构提出质疑，采购人、采购代理机构应在7个工作日内做好答复工作，但答复内容不得涉及商业秘密。</w:t>
      </w:r>
    </w:p>
    <w:p>
      <w:pPr>
        <w:pStyle w:val="27"/>
        <w:tabs>
          <w:tab w:val="left" w:pos="0"/>
        </w:tabs>
        <w:spacing w:before="0" w:line="360" w:lineRule="auto"/>
        <w:ind w:left="0" w:leftChars="0" w:firstLine="480" w:firstLineChars="200"/>
        <w:rPr>
          <w:rFonts w:ascii="宋体" w:hAnsi="宋体" w:cs="宋体"/>
          <w:color w:val="auto"/>
          <w:szCs w:val="24"/>
          <w:highlight w:val="none"/>
        </w:rPr>
      </w:pPr>
      <w:r>
        <w:rPr>
          <w:rFonts w:hint="eastAsia"/>
          <w:color w:val="auto"/>
          <w:highlight w:val="none"/>
        </w:rPr>
        <w:t>《上虞区区属国有企业货物和服务采购管理办法》第四十九条规定的供应商应知其权益</w:t>
      </w:r>
      <w:r>
        <w:rPr>
          <w:rFonts w:hint="eastAsia"/>
          <w:color w:val="auto"/>
          <w:highlight w:val="none"/>
          <w:lang w:val="en-US" w:eastAsia="zh-CN"/>
        </w:rPr>
        <w:t>受</w:t>
      </w:r>
      <w:r>
        <w:rPr>
          <w:rFonts w:hint="eastAsia"/>
          <w:color w:val="auto"/>
          <w:highlight w:val="none"/>
        </w:rPr>
        <w:t>到损害之日，是指：（一）对可以质疑的采购文件提出质疑的，为收到采购文件之日或者采购文件公告期限届满之日（公告期限届满后获取采购文件的，以公告期限届满之日为准）；（二）对采购过程提出质疑的，为各采购程序环节结束之日；（三）对中标或者成交结果提出质疑的，为中标或者成交结果公告期限届满之日。</w:t>
      </w:r>
    </w:p>
    <w:p>
      <w:pPr>
        <w:pStyle w:val="27"/>
        <w:tabs>
          <w:tab w:val="left" w:pos="0"/>
        </w:tabs>
        <w:spacing w:before="0" w:line="360" w:lineRule="auto"/>
        <w:ind w:left="420" w:leftChars="200" w:firstLine="0" w:firstLineChars="0"/>
        <w:rPr>
          <w:rFonts w:ascii="宋体" w:hAnsi="宋体" w:cs="宋体"/>
          <w:color w:val="auto"/>
          <w:szCs w:val="24"/>
          <w:highlight w:val="none"/>
        </w:rPr>
      </w:pPr>
      <w:r>
        <w:rPr>
          <w:rFonts w:hint="eastAsia" w:ascii="宋体" w:hAnsi="宋体" w:cs="宋体"/>
          <w:color w:val="auto"/>
          <w:szCs w:val="24"/>
          <w:highlight w:val="none"/>
        </w:rPr>
        <w:t>35.2供应商提交的质疑书需一式三份，由法定代表人签字（或盖章）并加盖单位公章。质疑书至少应包括下列主要内容：</w:t>
      </w:r>
    </w:p>
    <w:p>
      <w:pPr>
        <w:pStyle w:val="12"/>
        <w:numPr>
          <w:ilvl w:val="0"/>
          <w:numId w:val="34"/>
        </w:numPr>
        <w:spacing w:line="360" w:lineRule="auto"/>
        <w:ind w:firstLine="480" w:firstLineChars="200"/>
        <w:rPr>
          <w:rFonts w:hAnsi="宋体" w:cs="宋体"/>
          <w:color w:val="auto"/>
          <w:sz w:val="24"/>
          <w:highlight w:val="none"/>
        </w:rPr>
      </w:pPr>
      <w:r>
        <w:rPr>
          <w:rFonts w:hint="eastAsia" w:hAnsi="宋体" w:cs="宋体"/>
          <w:color w:val="auto"/>
          <w:sz w:val="24"/>
          <w:highlight w:val="none"/>
        </w:rPr>
        <w:t>质疑人的名称、地址、邮政编码、联系人、联系电话，以及被质疑人名称及联系方式；</w:t>
      </w:r>
    </w:p>
    <w:p>
      <w:pPr>
        <w:pStyle w:val="12"/>
        <w:numPr>
          <w:ilvl w:val="0"/>
          <w:numId w:val="34"/>
        </w:numPr>
        <w:spacing w:line="360" w:lineRule="auto"/>
        <w:ind w:firstLine="480" w:firstLineChars="200"/>
        <w:rPr>
          <w:rFonts w:hAnsi="宋体" w:cs="宋体"/>
          <w:color w:val="auto"/>
          <w:sz w:val="24"/>
          <w:highlight w:val="none"/>
        </w:rPr>
      </w:pPr>
      <w:r>
        <w:rPr>
          <w:rFonts w:hint="eastAsia" w:hAnsi="宋体" w:cs="宋体"/>
          <w:color w:val="auto"/>
          <w:sz w:val="24"/>
          <w:highlight w:val="none"/>
        </w:rPr>
        <w:t>被质疑采购项目名称、编号及采购内容；</w:t>
      </w:r>
    </w:p>
    <w:p>
      <w:pPr>
        <w:pStyle w:val="12"/>
        <w:numPr>
          <w:ilvl w:val="0"/>
          <w:numId w:val="34"/>
        </w:numPr>
        <w:spacing w:line="360" w:lineRule="auto"/>
        <w:ind w:firstLine="480" w:firstLineChars="200"/>
        <w:rPr>
          <w:rFonts w:hAnsi="宋体" w:cs="宋体"/>
          <w:color w:val="auto"/>
          <w:sz w:val="24"/>
          <w:highlight w:val="none"/>
        </w:rPr>
      </w:pPr>
      <w:r>
        <w:rPr>
          <w:rFonts w:hint="eastAsia" w:hAnsi="宋体" w:cs="宋体"/>
          <w:color w:val="auto"/>
          <w:sz w:val="24"/>
          <w:highlight w:val="none"/>
        </w:rPr>
        <w:t>具体的质疑事项及事实依据；</w:t>
      </w:r>
    </w:p>
    <w:p>
      <w:pPr>
        <w:pStyle w:val="12"/>
        <w:numPr>
          <w:ilvl w:val="0"/>
          <w:numId w:val="34"/>
        </w:numPr>
        <w:spacing w:line="360" w:lineRule="auto"/>
        <w:ind w:firstLine="480" w:firstLineChars="200"/>
        <w:rPr>
          <w:rFonts w:hAnsi="宋体" w:cs="宋体"/>
          <w:color w:val="auto"/>
          <w:sz w:val="24"/>
          <w:highlight w:val="none"/>
        </w:rPr>
      </w:pPr>
      <w:r>
        <w:rPr>
          <w:rFonts w:hint="eastAsia" w:hAnsi="宋体" w:cs="宋体"/>
          <w:color w:val="auto"/>
          <w:sz w:val="24"/>
          <w:highlight w:val="none"/>
        </w:rPr>
        <w:t>认为自己合法权益受到损害或可能受到损害的相关证据材料；</w:t>
      </w:r>
    </w:p>
    <w:p>
      <w:pPr>
        <w:pStyle w:val="12"/>
        <w:numPr>
          <w:ilvl w:val="0"/>
          <w:numId w:val="34"/>
        </w:numPr>
        <w:spacing w:line="360" w:lineRule="auto"/>
        <w:ind w:firstLine="480" w:firstLineChars="200"/>
        <w:rPr>
          <w:rFonts w:hAnsi="宋体" w:cs="宋体"/>
          <w:color w:val="auto"/>
          <w:sz w:val="24"/>
          <w:highlight w:val="none"/>
        </w:rPr>
      </w:pPr>
      <w:r>
        <w:rPr>
          <w:rFonts w:hint="eastAsia" w:hAnsi="宋体" w:cs="宋体"/>
          <w:color w:val="auto"/>
          <w:sz w:val="24"/>
          <w:highlight w:val="none"/>
        </w:rPr>
        <w:t>提出质疑的日期。</w:t>
      </w:r>
    </w:p>
    <w:p>
      <w:pPr>
        <w:pStyle w:val="12"/>
        <w:spacing w:line="360" w:lineRule="auto"/>
        <w:ind w:firstLine="482" w:firstLineChars="200"/>
        <w:rPr>
          <w:rFonts w:hAnsi="宋体" w:cs="宋体"/>
          <w:b/>
          <w:color w:val="auto"/>
          <w:sz w:val="24"/>
          <w:highlight w:val="none"/>
        </w:rPr>
      </w:pPr>
      <w:r>
        <w:rPr>
          <w:rFonts w:hint="eastAsia" w:hAnsi="宋体" w:cs="宋体"/>
          <w:b/>
          <w:color w:val="auto"/>
          <w:sz w:val="24"/>
          <w:highlight w:val="none"/>
        </w:rPr>
        <w:t>未按上述内容填写的质疑书将不予受理。</w:t>
      </w:r>
    </w:p>
    <w:p>
      <w:pPr>
        <w:pStyle w:val="27"/>
        <w:tabs>
          <w:tab w:val="left" w:pos="0"/>
        </w:tabs>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35.3采购代理机构应当在收到供应商的书面质疑后七个工作日内作出答复，并以书面形式通知质疑供应商和其他与质疑处理结果有利害关系的国企采购当事人，但答复的内容不得涉及商业秘密。</w:t>
      </w:r>
    </w:p>
    <w:p>
      <w:pPr>
        <w:pStyle w:val="27"/>
        <w:tabs>
          <w:tab w:val="left" w:pos="0"/>
        </w:tabs>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35.4询问或者质疑事项可能影响采购结果的，采购人应当暂停签订合同，已经签订合同的，应当中止履行合同。</w:t>
      </w:r>
    </w:p>
    <w:p>
      <w:pPr>
        <w:pStyle w:val="12"/>
        <w:spacing w:line="360" w:lineRule="auto"/>
        <w:ind w:left="420" w:leftChars="200"/>
        <w:rPr>
          <w:rFonts w:hAnsi="宋体" w:cs="宋体"/>
          <w:b/>
          <w:color w:val="auto"/>
          <w:sz w:val="24"/>
          <w:szCs w:val="24"/>
          <w:highlight w:val="none"/>
          <w:lang w:val="zh-CN"/>
        </w:rPr>
      </w:pPr>
      <w:r>
        <w:rPr>
          <w:rFonts w:hint="eastAsia" w:hAnsi="宋体" w:cs="宋体"/>
          <w:b/>
          <w:color w:val="auto"/>
          <w:sz w:val="24"/>
          <w:szCs w:val="24"/>
          <w:highlight w:val="none"/>
        </w:rPr>
        <w:t>36</w:t>
      </w:r>
      <w:r>
        <w:rPr>
          <w:rFonts w:hint="eastAsia" w:hAnsi="宋体" w:cs="宋体"/>
          <w:b/>
          <w:color w:val="auto"/>
          <w:sz w:val="24"/>
          <w:szCs w:val="24"/>
          <w:highlight w:val="none"/>
          <w:lang w:val="zh-CN"/>
        </w:rPr>
        <w:t>供应商投诉</w:t>
      </w:r>
    </w:p>
    <w:p>
      <w:pPr>
        <w:pStyle w:val="12"/>
        <w:spacing w:line="360" w:lineRule="auto"/>
        <w:ind w:left="420" w:leftChars="200"/>
        <w:rPr>
          <w:rFonts w:hAnsi="宋体" w:cs="宋体"/>
          <w:b/>
          <w:color w:val="auto"/>
          <w:sz w:val="24"/>
          <w:szCs w:val="24"/>
          <w:highlight w:val="none"/>
          <w:lang w:val="zh-CN"/>
        </w:rPr>
      </w:pPr>
      <w:r>
        <w:rPr>
          <w:rFonts w:hint="eastAsia" w:hAnsi="宋体" w:cs="宋体"/>
          <w:b/>
          <w:color w:val="auto"/>
          <w:sz w:val="24"/>
          <w:szCs w:val="24"/>
          <w:highlight w:val="none"/>
        </w:rPr>
        <w:t>参照</w:t>
      </w:r>
      <w:r>
        <w:rPr>
          <w:rFonts w:hint="eastAsia" w:hAnsi="宋体" w:cs="宋体"/>
          <w:b/>
          <w:color w:val="auto"/>
          <w:sz w:val="24"/>
          <w:szCs w:val="24"/>
          <w:highlight w:val="none"/>
          <w:lang w:val="zh-CN"/>
        </w:rPr>
        <w:t>《上虞区区属国有企业货物和服务采购管理办法》第五十条的规定</w:t>
      </w:r>
    </w:p>
    <w:p>
      <w:pPr>
        <w:pStyle w:val="27"/>
        <w:tabs>
          <w:tab w:val="left" w:pos="0"/>
        </w:tabs>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36.1质疑供应商对质疑的答复不满意，或者采购人或采购代理机构未在规定时间内答复的，可以在收到答复之日或者答复期满后 15 个工作日内依法向采购人主管部门投诉。采购人主管部门应当在 30 个工作日内调查并回应。投诉事项调查期间，采购人主管部门应当通知采购人暂停采购活动。</w:t>
      </w:r>
    </w:p>
    <w:p>
      <w:pPr>
        <w:pStyle w:val="27"/>
        <w:tabs>
          <w:tab w:val="left" w:pos="0"/>
        </w:tabs>
        <w:spacing w:before="0" w:line="360" w:lineRule="auto"/>
        <w:ind w:firstLine="480"/>
        <w:rPr>
          <w:rFonts w:ascii="宋体" w:hAnsi="宋体" w:cs="宋体"/>
          <w:b/>
          <w:color w:val="auto"/>
          <w:highlight w:val="none"/>
        </w:rPr>
      </w:pPr>
      <w:r>
        <w:rPr>
          <w:rFonts w:hint="eastAsia" w:ascii="宋体" w:hAnsi="宋体" w:cs="宋体"/>
          <w:color w:val="auto"/>
          <w:szCs w:val="24"/>
          <w:highlight w:val="none"/>
        </w:rPr>
        <w:t>36.2投诉人提交投诉件时，应当提供相关书面证据、依据和其他有关材料。</w:t>
      </w:r>
    </w:p>
    <w:bookmarkEnd w:id="49"/>
    <w:p>
      <w:pPr>
        <w:spacing w:afterLines="50" w:line="360" w:lineRule="auto"/>
        <w:jc w:val="center"/>
        <w:outlineLvl w:val="0"/>
        <w:rPr>
          <w:rFonts w:ascii="宋体" w:hAnsi="宋体" w:cs="宋体"/>
          <w:b/>
          <w:color w:val="auto"/>
          <w:sz w:val="36"/>
          <w:szCs w:val="36"/>
          <w:highlight w:val="none"/>
        </w:rPr>
      </w:pPr>
      <w:r>
        <w:rPr>
          <w:rFonts w:hint="eastAsia" w:ascii="宋体" w:hAnsi="宋体" w:cs="宋体"/>
          <w:color w:val="auto"/>
          <w:sz w:val="24"/>
          <w:szCs w:val="20"/>
          <w:highlight w:val="none"/>
        </w:rPr>
        <w:br w:type="page"/>
      </w:r>
      <w:bookmarkStart w:id="58" w:name="_Toc4556"/>
      <w:r>
        <w:rPr>
          <w:rFonts w:hint="eastAsia" w:ascii="宋体" w:hAnsi="宋体" w:cs="宋体"/>
          <w:b/>
          <w:color w:val="auto"/>
          <w:sz w:val="36"/>
          <w:szCs w:val="36"/>
          <w:highlight w:val="none"/>
        </w:rPr>
        <w:t>第三部分</w:t>
      </w:r>
      <w:bookmarkEnd w:id="41"/>
      <w:bookmarkEnd w:id="42"/>
      <w:bookmarkStart w:id="59" w:name="_Toc184314420"/>
      <w:bookmarkEnd w:id="59"/>
      <w:bookmarkStart w:id="60" w:name="_Toc184308075"/>
      <w:bookmarkEnd w:id="60"/>
      <w:bookmarkStart w:id="61" w:name="_Toc184308067"/>
      <w:bookmarkEnd w:id="61"/>
      <w:bookmarkStart w:id="62" w:name="_Toc184314413"/>
      <w:bookmarkEnd w:id="62"/>
      <w:bookmarkStart w:id="63" w:name="_Toc184314438"/>
      <w:bookmarkEnd w:id="63"/>
      <w:bookmarkStart w:id="64" w:name="_Toc184310279"/>
      <w:bookmarkEnd w:id="64"/>
      <w:bookmarkStart w:id="65" w:name="_Toc184312072"/>
      <w:bookmarkEnd w:id="65"/>
      <w:bookmarkStart w:id="66" w:name="_Toc184310331"/>
      <w:bookmarkEnd w:id="66"/>
      <w:bookmarkStart w:id="67" w:name="_Toc184308063"/>
      <w:bookmarkEnd w:id="67"/>
      <w:bookmarkStart w:id="68" w:name="_Toc184310277"/>
      <w:bookmarkEnd w:id="68"/>
      <w:bookmarkStart w:id="69" w:name="_Toc184313270"/>
      <w:bookmarkEnd w:id="69"/>
      <w:bookmarkStart w:id="70" w:name="_Toc184308101"/>
      <w:bookmarkEnd w:id="70"/>
      <w:bookmarkStart w:id="71" w:name="_Toc184314467"/>
      <w:bookmarkEnd w:id="71"/>
      <w:bookmarkStart w:id="72" w:name="_Toc184312083"/>
      <w:bookmarkEnd w:id="72"/>
      <w:bookmarkStart w:id="73" w:name="_Toc184312130"/>
      <w:bookmarkEnd w:id="73"/>
      <w:bookmarkStart w:id="74" w:name="_Toc184313302"/>
      <w:bookmarkEnd w:id="74"/>
      <w:bookmarkStart w:id="75" w:name="_Toc184313269"/>
      <w:bookmarkEnd w:id="75"/>
      <w:bookmarkStart w:id="76" w:name="_Toc184313285"/>
      <w:bookmarkEnd w:id="76"/>
      <w:bookmarkStart w:id="77" w:name="_Toc184312087"/>
      <w:bookmarkEnd w:id="77"/>
      <w:bookmarkStart w:id="78" w:name="_Toc184314450"/>
      <w:bookmarkEnd w:id="78"/>
      <w:bookmarkStart w:id="79" w:name="_Toc184308060"/>
      <w:bookmarkEnd w:id="79"/>
      <w:bookmarkStart w:id="80" w:name="_Toc184312125"/>
      <w:bookmarkEnd w:id="80"/>
      <w:bookmarkStart w:id="81" w:name="_Toc184313295"/>
      <w:bookmarkEnd w:id="81"/>
      <w:bookmarkStart w:id="82" w:name="_Toc184312086"/>
      <w:bookmarkEnd w:id="82"/>
      <w:bookmarkStart w:id="83" w:name="_Toc184308061"/>
      <w:bookmarkEnd w:id="83"/>
      <w:bookmarkStart w:id="84" w:name="_Toc184310330"/>
      <w:bookmarkEnd w:id="84"/>
      <w:bookmarkStart w:id="85" w:name="_Toc184313293"/>
      <w:bookmarkEnd w:id="85"/>
      <w:bookmarkStart w:id="86" w:name="_Toc184312080"/>
      <w:bookmarkEnd w:id="86"/>
      <w:bookmarkStart w:id="87" w:name="_Toc184312089"/>
      <w:bookmarkEnd w:id="87"/>
      <w:bookmarkStart w:id="88" w:name="_Toc184314427"/>
      <w:bookmarkEnd w:id="88"/>
      <w:bookmarkStart w:id="89" w:name="_Toc184312067"/>
      <w:bookmarkEnd w:id="89"/>
      <w:bookmarkStart w:id="90" w:name="_Toc184314425"/>
      <w:bookmarkEnd w:id="90"/>
      <w:bookmarkStart w:id="91" w:name="_Toc184313288"/>
      <w:bookmarkEnd w:id="91"/>
      <w:bookmarkStart w:id="92" w:name="_Toc184310295"/>
      <w:bookmarkEnd w:id="92"/>
      <w:bookmarkStart w:id="93" w:name="_Toc184310314"/>
      <w:bookmarkEnd w:id="93"/>
      <w:bookmarkStart w:id="94" w:name="_Toc184308037"/>
      <w:bookmarkEnd w:id="94"/>
      <w:bookmarkStart w:id="95" w:name="_Toc184314465"/>
      <w:bookmarkEnd w:id="95"/>
      <w:bookmarkStart w:id="96" w:name="_Toc184310287"/>
      <w:bookmarkEnd w:id="96"/>
      <w:bookmarkStart w:id="97" w:name="_Toc184310336"/>
      <w:bookmarkEnd w:id="97"/>
      <w:bookmarkStart w:id="98" w:name="_Toc184313250"/>
      <w:bookmarkEnd w:id="98"/>
      <w:bookmarkStart w:id="99" w:name="_Toc184313264"/>
      <w:bookmarkEnd w:id="99"/>
      <w:bookmarkStart w:id="100" w:name="_Toc184313304"/>
      <w:bookmarkEnd w:id="100"/>
      <w:bookmarkStart w:id="101" w:name="_Toc184308049"/>
      <w:bookmarkEnd w:id="101"/>
      <w:bookmarkStart w:id="102" w:name="_Toc184313281"/>
      <w:bookmarkEnd w:id="102"/>
      <w:bookmarkStart w:id="103" w:name="_Toc184312097"/>
      <w:bookmarkEnd w:id="103"/>
      <w:bookmarkStart w:id="104" w:name="_Toc184312082"/>
      <w:bookmarkEnd w:id="104"/>
      <w:bookmarkStart w:id="105" w:name="_Toc184312109"/>
      <w:bookmarkEnd w:id="105"/>
      <w:bookmarkStart w:id="106" w:name="_Toc184313247"/>
      <w:bookmarkEnd w:id="106"/>
      <w:bookmarkStart w:id="107" w:name="_Toc184308042"/>
      <w:bookmarkEnd w:id="107"/>
      <w:bookmarkStart w:id="108" w:name="_Toc184310311"/>
      <w:bookmarkEnd w:id="108"/>
      <w:bookmarkStart w:id="109" w:name="_Toc184308099"/>
      <w:bookmarkEnd w:id="109"/>
      <w:bookmarkStart w:id="110" w:name="_Toc184308036"/>
      <w:bookmarkEnd w:id="110"/>
      <w:bookmarkStart w:id="111" w:name="_Toc184313300"/>
      <w:bookmarkEnd w:id="111"/>
      <w:bookmarkStart w:id="112" w:name="_Toc184310324"/>
      <w:bookmarkEnd w:id="112"/>
      <w:bookmarkStart w:id="113" w:name="_Toc184314428"/>
      <w:bookmarkEnd w:id="113"/>
      <w:bookmarkStart w:id="114" w:name="_Toc184313272"/>
      <w:bookmarkEnd w:id="114"/>
      <w:bookmarkStart w:id="115" w:name="_Toc184312071"/>
      <w:bookmarkEnd w:id="115"/>
      <w:bookmarkStart w:id="116" w:name="_Toc184312129"/>
      <w:bookmarkEnd w:id="116"/>
      <w:bookmarkStart w:id="117" w:name="_Toc184314458"/>
      <w:bookmarkEnd w:id="117"/>
      <w:bookmarkStart w:id="118" w:name="_Toc184308074"/>
      <w:bookmarkEnd w:id="118"/>
      <w:bookmarkStart w:id="119" w:name="_Toc184314461"/>
      <w:bookmarkEnd w:id="119"/>
      <w:bookmarkStart w:id="120" w:name="_Toc184314466"/>
      <w:bookmarkEnd w:id="120"/>
      <w:bookmarkStart w:id="121" w:name="_Toc184312133"/>
      <w:bookmarkEnd w:id="121"/>
      <w:bookmarkStart w:id="122" w:name="_Toc184310275"/>
      <w:bookmarkEnd w:id="122"/>
      <w:bookmarkStart w:id="123" w:name="_Toc184314441"/>
      <w:bookmarkEnd w:id="123"/>
      <w:bookmarkStart w:id="124" w:name="_Toc184310292"/>
      <w:bookmarkEnd w:id="124"/>
      <w:bookmarkStart w:id="125" w:name="_Toc184310343"/>
      <w:bookmarkEnd w:id="125"/>
      <w:bookmarkStart w:id="126" w:name="_Toc184314470"/>
      <w:bookmarkEnd w:id="126"/>
      <w:bookmarkStart w:id="127" w:name="_Toc184313241"/>
      <w:bookmarkEnd w:id="127"/>
      <w:bookmarkStart w:id="128" w:name="_Toc184313308"/>
      <w:bookmarkEnd w:id="128"/>
      <w:bookmarkStart w:id="129" w:name="_Toc184308091"/>
      <w:bookmarkEnd w:id="129"/>
      <w:bookmarkStart w:id="130" w:name="_Toc184314471"/>
      <w:bookmarkEnd w:id="130"/>
      <w:bookmarkStart w:id="131" w:name="_Toc184308058"/>
      <w:bookmarkEnd w:id="131"/>
      <w:bookmarkStart w:id="132" w:name="_Toc184312114"/>
      <w:bookmarkEnd w:id="132"/>
      <w:bookmarkStart w:id="133" w:name="_Toc184314462"/>
      <w:bookmarkEnd w:id="133"/>
      <w:bookmarkStart w:id="134" w:name="_Toc184313255"/>
      <w:bookmarkEnd w:id="134"/>
      <w:bookmarkStart w:id="135" w:name="_Toc184310297"/>
      <w:bookmarkEnd w:id="135"/>
      <w:bookmarkStart w:id="136" w:name="_Toc184313286"/>
      <w:bookmarkEnd w:id="136"/>
      <w:bookmarkStart w:id="137" w:name="_Toc184308053"/>
      <w:bookmarkEnd w:id="137"/>
      <w:bookmarkStart w:id="138" w:name="_Toc184308100"/>
      <w:bookmarkEnd w:id="138"/>
      <w:bookmarkStart w:id="139" w:name="_Toc184314449"/>
      <w:bookmarkEnd w:id="139"/>
      <w:bookmarkStart w:id="140" w:name="_Toc184310332"/>
      <w:bookmarkEnd w:id="140"/>
      <w:bookmarkStart w:id="141" w:name="_Toc184308103"/>
      <w:bookmarkEnd w:id="141"/>
      <w:bookmarkStart w:id="142" w:name="_Toc184308082"/>
      <w:bookmarkEnd w:id="142"/>
      <w:bookmarkStart w:id="143" w:name="_Toc184312116"/>
      <w:bookmarkEnd w:id="143"/>
      <w:bookmarkStart w:id="144" w:name="_Toc184308092"/>
      <w:bookmarkEnd w:id="144"/>
      <w:bookmarkStart w:id="145" w:name="_Toc184313238"/>
      <w:bookmarkEnd w:id="145"/>
      <w:bookmarkStart w:id="146" w:name="_Toc184313307"/>
      <w:bookmarkEnd w:id="146"/>
      <w:bookmarkStart w:id="147" w:name="_Toc184313294"/>
      <w:bookmarkEnd w:id="147"/>
      <w:bookmarkStart w:id="148" w:name="_Toc184314421"/>
      <w:bookmarkEnd w:id="148"/>
      <w:bookmarkStart w:id="149" w:name="_Toc184313305"/>
      <w:bookmarkEnd w:id="149"/>
      <w:bookmarkStart w:id="150" w:name="_Toc184313261"/>
      <w:bookmarkEnd w:id="150"/>
      <w:bookmarkStart w:id="151" w:name="_Toc184312105"/>
      <w:bookmarkEnd w:id="151"/>
      <w:bookmarkStart w:id="152" w:name="_Toc184308043"/>
      <w:bookmarkEnd w:id="152"/>
      <w:bookmarkStart w:id="153" w:name="_Toc184308047"/>
      <w:bookmarkEnd w:id="153"/>
      <w:bookmarkStart w:id="154" w:name="_Toc184313252"/>
      <w:bookmarkEnd w:id="154"/>
      <w:bookmarkStart w:id="155" w:name="_Toc184314434"/>
      <w:bookmarkEnd w:id="155"/>
      <w:bookmarkStart w:id="156" w:name="_Toc184312115"/>
      <w:bookmarkEnd w:id="156"/>
      <w:bookmarkStart w:id="157" w:name="_Toc184313292"/>
      <w:bookmarkEnd w:id="157"/>
      <w:bookmarkStart w:id="158" w:name="_Toc184312138"/>
      <w:bookmarkEnd w:id="158"/>
      <w:bookmarkStart w:id="159" w:name="_Toc184308104"/>
      <w:bookmarkEnd w:id="159"/>
      <w:bookmarkStart w:id="160" w:name="_Toc184310325"/>
      <w:bookmarkEnd w:id="160"/>
      <w:bookmarkStart w:id="161" w:name="_Toc184312081"/>
      <w:bookmarkEnd w:id="161"/>
      <w:bookmarkStart w:id="162" w:name="_Toc184308085"/>
      <w:bookmarkEnd w:id="162"/>
      <w:bookmarkStart w:id="163" w:name="_Toc184312093"/>
      <w:bookmarkEnd w:id="163"/>
      <w:bookmarkStart w:id="164" w:name="_Toc184313284"/>
      <w:bookmarkEnd w:id="164"/>
      <w:bookmarkStart w:id="165" w:name="_Toc184312104"/>
      <w:bookmarkEnd w:id="165"/>
      <w:bookmarkStart w:id="166" w:name="_Toc184308057"/>
      <w:bookmarkEnd w:id="166"/>
      <w:bookmarkStart w:id="167" w:name="_Toc184313243"/>
      <w:bookmarkEnd w:id="167"/>
      <w:bookmarkStart w:id="168" w:name="_Toc184312098"/>
      <w:bookmarkEnd w:id="168"/>
      <w:bookmarkStart w:id="169" w:name="_Toc184314424"/>
      <w:bookmarkEnd w:id="169"/>
      <w:bookmarkStart w:id="170" w:name="_Toc184308065"/>
      <w:bookmarkEnd w:id="170"/>
      <w:bookmarkStart w:id="171" w:name="_Toc184312108"/>
      <w:bookmarkEnd w:id="171"/>
      <w:bookmarkStart w:id="172" w:name="_Toc184314426"/>
      <w:bookmarkEnd w:id="172"/>
      <w:bookmarkStart w:id="173" w:name="_Toc184312111"/>
      <w:bookmarkEnd w:id="173"/>
      <w:bookmarkStart w:id="174" w:name="_Toc184313289"/>
      <w:bookmarkEnd w:id="174"/>
      <w:bookmarkStart w:id="175" w:name="_Toc184310334"/>
      <w:bookmarkEnd w:id="175"/>
      <w:bookmarkStart w:id="176" w:name="_Toc184313287"/>
      <w:bookmarkEnd w:id="176"/>
      <w:bookmarkStart w:id="177" w:name="_Toc184312113"/>
      <w:bookmarkEnd w:id="177"/>
      <w:bookmarkStart w:id="178" w:name="_Toc184312119"/>
      <w:bookmarkEnd w:id="178"/>
      <w:bookmarkStart w:id="179" w:name="_Toc184314476"/>
      <w:bookmarkEnd w:id="179"/>
      <w:bookmarkStart w:id="180" w:name="_Toc184312101"/>
      <w:bookmarkEnd w:id="180"/>
      <w:bookmarkStart w:id="181" w:name="_Toc184312070"/>
      <w:bookmarkEnd w:id="181"/>
      <w:bookmarkStart w:id="182" w:name="_Toc184312136"/>
      <w:bookmarkEnd w:id="182"/>
      <w:bookmarkStart w:id="183" w:name="_Toc184314464"/>
      <w:bookmarkEnd w:id="183"/>
      <w:bookmarkStart w:id="184" w:name="_Toc184312127"/>
      <w:bookmarkEnd w:id="184"/>
      <w:bookmarkStart w:id="185" w:name="_Toc184312096"/>
      <w:bookmarkEnd w:id="185"/>
      <w:bookmarkStart w:id="186" w:name="_Toc184310305"/>
      <w:bookmarkEnd w:id="186"/>
      <w:bookmarkStart w:id="187" w:name="_Toc184308084"/>
      <w:bookmarkEnd w:id="187"/>
      <w:bookmarkStart w:id="188" w:name="_Toc184310340"/>
      <w:bookmarkEnd w:id="188"/>
      <w:bookmarkStart w:id="189" w:name="_Toc184310339"/>
      <w:bookmarkEnd w:id="189"/>
      <w:bookmarkStart w:id="190" w:name="_Toc184310296"/>
      <w:bookmarkEnd w:id="190"/>
      <w:bookmarkStart w:id="191" w:name="_Toc184313274"/>
      <w:bookmarkEnd w:id="191"/>
      <w:bookmarkStart w:id="192" w:name="_Toc184312124"/>
      <w:bookmarkEnd w:id="192"/>
      <w:bookmarkStart w:id="193" w:name="_Toc184314410"/>
      <w:bookmarkEnd w:id="193"/>
      <w:bookmarkStart w:id="194" w:name="_Toc184314475"/>
      <w:bookmarkEnd w:id="194"/>
      <w:bookmarkStart w:id="195" w:name="_Toc184314432"/>
      <w:bookmarkEnd w:id="195"/>
      <w:bookmarkStart w:id="196" w:name="_Toc184310313"/>
      <w:bookmarkEnd w:id="196"/>
      <w:bookmarkStart w:id="197" w:name="_Toc184314463"/>
      <w:bookmarkEnd w:id="197"/>
      <w:bookmarkStart w:id="198" w:name="_Toc184308093"/>
      <w:bookmarkEnd w:id="198"/>
      <w:bookmarkStart w:id="199" w:name="_Toc184314433"/>
      <w:bookmarkEnd w:id="199"/>
      <w:bookmarkStart w:id="200" w:name="_Toc184312112"/>
      <w:bookmarkEnd w:id="200"/>
      <w:bookmarkStart w:id="201" w:name="_Toc184310281"/>
      <w:bookmarkEnd w:id="201"/>
      <w:bookmarkStart w:id="202" w:name="_Toc184314468"/>
      <w:bookmarkEnd w:id="202"/>
      <w:bookmarkStart w:id="203" w:name="_Toc184308096"/>
      <w:bookmarkEnd w:id="203"/>
      <w:bookmarkStart w:id="204" w:name="_Toc184314472"/>
      <w:bookmarkEnd w:id="204"/>
      <w:bookmarkStart w:id="205" w:name="_Toc184313296"/>
      <w:bookmarkEnd w:id="205"/>
      <w:bookmarkStart w:id="206" w:name="_Toc184313291"/>
      <w:bookmarkEnd w:id="206"/>
      <w:bookmarkStart w:id="207" w:name="_Toc184310282"/>
      <w:bookmarkEnd w:id="207"/>
      <w:bookmarkStart w:id="208" w:name="_Toc184308106"/>
      <w:bookmarkEnd w:id="208"/>
      <w:bookmarkStart w:id="209" w:name="_Toc184314445"/>
      <w:bookmarkEnd w:id="209"/>
      <w:bookmarkStart w:id="210" w:name="_Toc184313260"/>
      <w:bookmarkEnd w:id="210"/>
      <w:bookmarkStart w:id="211" w:name="_Toc184314422"/>
      <w:bookmarkEnd w:id="211"/>
      <w:bookmarkStart w:id="212" w:name="_Toc184314418"/>
      <w:bookmarkEnd w:id="212"/>
      <w:bookmarkStart w:id="213" w:name="_Toc184310335"/>
      <w:bookmarkEnd w:id="213"/>
      <w:bookmarkStart w:id="214" w:name="_Toc184314419"/>
      <w:bookmarkEnd w:id="214"/>
      <w:bookmarkStart w:id="215" w:name="_Toc184310323"/>
      <w:bookmarkEnd w:id="215"/>
      <w:bookmarkStart w:id="216" w:name="_Toc184310341"/>
      <w:bookmarkEnd w:id="216"/>
      <w:bookmarkStart w:id="217" w:name="_Toc184310319"/>
      <w:bookmarkEnd w:id="217"/>
      <w:bookmarkStart w:id="218" w:name="_Toc184313249"/>
      <w:bookmarkEnd w:id="218"/>
      <w:bookmarkStart w:id="219" w:name="_Toc184313268"/>
      <w:bookmarkEnd w:id="219"/>
      <w:bookmarkStart w:id="220" w:name="_Toc184313245"/>
      <w:bookmarkEnd w:id="220"/>
      <w:bookmarkStart w:id="221" w:name="_Toc184313303"/>
      <w:bookmarkEnd w:id="221"/>
      <w:bookmarkStart w:id="222" w:name="_Toc184308068"/>
      <w:bookmarkEnd w:id="222"/>
      <w:bookmarkStart w:id="223" w:name="_Toc184308102"/>
      <w:bookmarkEnd w:id="223"/>
      <w:bookmarkStart w:id="224" w:name="_Toc184308079"/>
      <w:bookmarkEnd w:id="224"/>
      <w:bookmarkStart w:id="225" w:name="_Toc184310328"/>
      <w:bookmarkEnd w:id="225"/>
      <w:bookmarkStart w:id="226" w:name="_Toc184314469"/>
      <w:bookmarkEnd w:id="226"/>
      <w:bookmarkStart w:id="227" w:name="_Toc184312123"/>
      <w:bookmarkEnd w:id="227"/>
      <w:bookmarkStart w:id="228" w:name="_Toc184310291"/>
      <w:bookmarkEnd w:id="228"/>
      <w:bookmarkStart w:id="229" w:name="_Toc184310302"/>
      <w:bookmarkEnd w:id="229"/>
      <w:bookmarkStart w:id="230" w:name="_Toc184310301"/>
      <w:bookmarkEnd w:id="230"/>
      <w:bookmarkStart w:id="231" w:name="_Toc184314482"/>
      <w:bookmarkEnd w:id="231"/>
      <w:bookmarkStart w:id="232" w:name="_Toc184310293"/>
      <w:bookmarkEnd w:id="232"/>
      <w:bookmarkStart w:id="233" w:name="_Toc184308089"/>
      <w:bookmarkEnd w:id="233"/>
      <w:bookmarkStart w:id="234" w:name="_Toc184313306"/>
      <w:bookmarkEnd w:id="234"/>
      <w:bookmarkStart w:id="235" w:name="_Toc184310280"/>
      <w:bookmarkEnd w:id="235"/>
      <w:bookmarkStart w:id="236" w:name="_Toc184312078"/>
      <w:bookmarkEnd w:id="236"/>
      <w:bookmarkStart w:id="237" w:name="_Toc184313254"/>
      <w:bookmarkEnd w:id="237"/>
      <w:bookmarkStart w:id="238" w:name="_Toc184313301"/>
      <w:bookmarkEnd w:id="238"/>
      <w:bookmarkStart w:id="239" w:name="_Toc184308041"/>
      <w:bookmarkEnd w:id="239"/>
      <w:bookmarkStart w:id="240" w:name="_Toc184310327"/>
      <w:bookmarkEnd w:id="240"/>
      <w:bookmarkStart w:id="241" w:name="_Toc184308090"/>
      <w:bookmarkEnd w:id="241"/>
      <w:bookmarkStart w:id="242" w:name="_Toc184313244"/>
      <w:bookmarkEnd w:id="242"/>
      <w:bookmarkStart w:id="243" w:name="_Toc184312068"/>
      <w:bookmarkEnd w:id="243"/>
      <w:bookmarkStart w:id="244" w:name="_Toc184308044"/>
      <w:bookmarkEnd w:id="244"/>
      <w:bookmarkStart w:id="245" w:name="_Toc184313271"/>
      <w:bookmarkEnd w:id="245"/>
      <w:bookmarkStart w:id="246" w:name="_Toc184314414"/>
      <w:bookmarkEnd w:id="246"/>
      <w:bookmarkStart w:id="247" w:name="_Toc184314444"/>
      <w:bookmarkEnd w:id="247"/>
      <w:bookmarkStart w:id="248" w:name="_Toc184313246"/>
      <w:bookmarkEnd w:id="248"/>
      <w:bookmarkStart w:id="249" w:name="_Toc184313242"/>
      <w:bookmarkEnd w:id="249"/>
      <w:bookmarkStart w:id="250" w:name="_Toc184312076"/>
      <w:bookmarkEnd w:id="250"/>
      <w:bookmarkStart w:id="251" w:name="_Toc184312092"/>
      <w:bookmarkEnd w:id="251"/>
      <w:bookmarkStart w:id="252" w:name="_Toc184314459"/>
      <w:bookmarkEnd w:id="252"/>
      <w:bookmarkStart w:id="253" w:name="_Toc184314412"/>
      <w:bookmarkEnd w:id="253"/>
      <w:bookmarkStart w:id="254" w:name="_Toc184314477"/>
      <w:bookmarkEnd w:id="254"/>
      <w:bookmarkStart w:id="255" w:name="_Toc184310322"/>
      <w:bookmarkEnd w:id="255"/>
      <w:bookmarkStart w:id="256" w:name="_Toc184313276"/>
      <w:bookmarkEnd w:id="256"/>
      <w:bookmarkStart w:id="257" w:name="_Toc184308051"/>
      <w:bookmarkEnd w:id="257"/>
      <w:bookmarkStart w:id="258" w:name="_Toc184310286"/>
      <w:bookmarkEnd w:id="258"/>
      <w:bookmarkStart w:id="259" w:name="_Toc184310310"/>
      <w:bookmarkEnd w:id="259"/>
      <w:bookmarkStart w:id="260" w:name="_Toc184308054"/>
      <w:bookmarkEnd w:id="260"/>
      <w:bookmarkStart w:id="261" w:name="_Toc184314456"/>
      <w:bookmarkEnd w:id="261"/>
      <w:bookmarkStart w:id="262" w:name="_Toc184310272"/>
      <w:bookmarkEnd w:id="262"/>
      <w:bookmarkStart w:id="263" w:name="_Toc184308080"/>
      <w:bookmarkEnd w:id="263"/>
      <w:bookmarkStart w:id="264" w:name="_Toc184312090"/>
      <w:bookmarkEnd w:id="264"/>
      <w:bookmarkStart w:id="265" w:name="_Toc184314457"/>
      <w:bookmarkEnd w:id="265"/>
      <w:bookmarkStart w:id="266" w:name="_Toc184313251"/>
      <w:bookmarkEnd w:id="266"/>
      <w:bookmarkStart w:id="267" w:name="_Toc184313240"/>
      <w:bookmarkEnd w:id="267"/>
      <w:bookmarkStart w:id="268" w:name="_Toc184310288"/>
      <w:bookmarkEnd w:id="268"/>
      <w:bookmarkStart w:id="269" w:name="_Toc184308069"/>
      <w:bookmarkEnd w:id="269"/>
      <w:bookmarkStart w:id="270" w:name="_Toc184308086"/>
      <w:bookmarkEnd w:id="270"/>
      <w:bookmarkStart w:id="271" w:name="_Toc184314473"/>
      <w:bookmarkEnd w:id="271"/>
      <w:bookmarkStart w:id="272" w:name="_Toc184310298"/>
      <w:bookmarkEnd w:id="272"/>
      <w:bookmarkStart w:id="273" w:name="_Toc184314478"/>
      <w:bookmarkEnd w:id="273"/>
      <w:bookmarkStart w:id="274" w:name="_Toc184313248"/>
      <w:bookmarkEnd w:id="274"/>
      <w:bookmarkStart w:id="275" w:name="_Toc184312117"/>
      <w:bookmarkEnd w:id="275"/>
      <w:bookmarkStart w:id="276" w:name="_Toc184312102"/>
      <w:bookmarkEnd w:id="276"/>
      <w:bookmarkStart w:id="277" w:name="_Toc184314446"/>
      <w:bookmarkEnd w:id="277"/>
      <w:bookmarkStart w:id="278" w:name="_Toc184310284"/>
      <w:bookmarkEnd w:id="278"/>
      <w:bookmarkStart w:id="279" w:name="_Toc184314452"/>
      <w:bookmarkEnd w:id="279"/>
      <w:bookmarkStart w:id="280" w:name="_Toc184308087"/>
      <w:bookmarkEnd w:id="280"/>
      <w:bookmarkStart w:id="281" w:name="_Toc184308083"/>
      <w:bookmarkEnd w:id="281"/>
      <w:bookmarkStart w:id="282" w:name="_Toc184308070"/>
      <w:bookmarkEnd w:id="282"/>
      <w:bookmarkStart w:id="283" w:name="_Toc184314429"/>
      <w:bookmarkEnd w:id="283"/>
      <w:bookmarkStart w:id="284" w:name="_Toc184314443"/>
      <w:bookmarkEnd w:id="284"/>
      <w:bookmarkStart w:id="285" w:name="_Toc184312075"/>
      <w:bookmarkEnd w:id="285"/>
      <w:bookmarkStart w:id="286" w:name="_Toc184312118"/>
      <w:bookmarkEnd w:id="286"/>
      <w:bookmarkStart w:id="287" w:name="_Toc184314417"/>
      <w:bookmarkEnd w:id="287"/>
      <w:bookmarkStart w:id="288" w:name="_Toc184313267"/>
      <w:bookmarkEnd w:id="288"/>
      <w:bookmarkStart w:id="289" w:name="_Toc184310306"/>
      <w:bookmarkEnd w:id="289"/>
      <w:bookmarkStart w:id="290" w:name="_Toc184313258"/>
      <w:bookmarkEnd w:id="290"/>
      <w:bookmarkStart w:id="291" w:name="_Toc184313263"/>
      <w:bookmarkEnd w:id="291"/>
      <w:bookmarkStart w:id="292" w:name="_Toc184312085"/>
      <w:bookmarkEnd w:id="292"/>
      <w:bookmarkStart w:id="293" w:name="_Toc184308038"/>
      <w:bookmarkEnd w:id="293"/>
      <w:bookmarkStart w:id="294" w:name="_Toc184312077"/>
      <w:bookmarkEnd w:id="294"/>
      <w:bookmarkStart w:id="295" w:name="_Toc184310276"/>
      <w:bookmarkEnd w:id="295"/>
      <w:bookmarkStart w:id="296" w:name="_Toc184310317"/>
      <w:bookmarkEnd w:id="296"/>
      <w:bookmarkStart w:id="297" w:name="_Toc184314479"/>
      <w:bookmarkEnd w:id="297"/>
      <w:bookmarkStart w:id="298" w:name="_Toc184308108"/>
      <w:bookmarkEnd w:id="298"/>
      <w:bookmarkStart w:id="299" w:name="_Toc184310290"/>
      <w:bookmarkEnd w:id="299"/>
      <w:bookmarkStart w:id="300" w:name="_Toc184308076"/>
      <w:bookmarkEnd w:id="300"/>
      <w:bookmarkStart w:id="301" w:name="_Toc184313275"/>
      <w:bookmarkEnd w:id="301"/>
      <w:bookmarkStart w:id="302" w:name="_Toc184310294"/>
      <w:bookmarkEnd w:id="302"/>
      <w:bookmarkStart w:id="303" w:name="_Toc184313310"/>
      <w:bookmarkEnd w:id="303"/>
      <w:bookmarkStart w:id="304" w:name="_Toc184312091"/>
      <w:bookmarkEnd w:id="304"/>
      <w:bookmarkStart w:id="305" w:name="_Toc184308097"/>
      <w:bookmarkEnd w:id="305"/>
      <w:bookmarkStart w:id="306" w:name="_Toc184308048"/>
      <w:bookmarkEnd w:id="306"/>
      <w:bookmarkStart w:id="307" w:name="_Toc184313309"/>
      <w:bookmarkEnd w:id="307"/>
      <w:bookmarkStart w:id="308" w:name="_Toc184310329"/>
      <w:bookmarkEnd w:id="308"/>
      <w:bookmarkStart w:id="309" w:name="_Toc184310283"/>
      <w:bookmarkEnd w:id="309"/>
      <w:bookmarkStart w:id="310" w:name="_Toc184312107"/>
      <w:bookmarkEnd w:id="310"/>
      <w:bookmarkStart w:id="311" w:name="_Toc184310344"/>
      <w:bookmarkEnd w:id="311"/>
      <w:bookmarkStart w:id="312" w:name="_Toc184314436"/>
      <w:bookmarkEnd w:id="312"/>
      <w:bookmarkStart w:id="313" w:name="_Toc184308081"/>
      <w:bookmarkEnd w:id="313"/>
      <w:bookmarkStart w:id="314" w:name="_Toc184308066"/>
      <w:bookmarkEnd w:id="314"/>
      <w:bookmarkStart w:id="315" w:name="_Toc184312137"/>
      <w:bookmarkEnd w:id="315"/>
      <w:bookmarkStart w:id="316" w:name="_Toc184310278"/>
      <w:bookmarkEnd w:id="316"/>
      <w:bookmarkStart w:id="317" w:name="_Toc184314437"/>
      <w:bookmarkEnd w:id="317"/>
      <w:bookmarkStart w:id="318" w:name="_Toc184314454"/>
      <w:bookmarkEnd w:id="318"/>
      <w:bookmarkStart w:id="319" w:name="_Toc184310338"/>
      <w:bookmarkEnd w:id="319"/>
      <w:bookmarkStart w:id="320" w:name="_Toc184310342"/>
      <w:bookmarkEnd w:id="320"/>
      <w:bookmarkStart w:id="321" w:name="_Toc184312110"/>
      <w:bookmarkEnd w:id="321"/>
      <w:bookmarkStart w:id="322" w:name="_Toc184312079"/>
      <w:bookmarkEnd w:id="322"/>
      <w:bookmarkStart w:id="323" w:name="_Toc184313298"/>
      <w:bookmarkEnd w:id="323"/>
      <w:bookmarkStart w:id="324" w:name="_Toc184314460"/>
      <w:bookmarkEnd w:id="324"/>
      <w:bookmarkStart w:id="325" w:name="_Toc184312126"/>
      <w:bookmarkEnd w:id="325"/>
      <w:bookmarkStart w:id="326" w:name="_Toc184312132"/>
      <w:bookmarkEnd w:id="326"/>
      <w:bookmarkStart w:id="327" w:name="_Toc184310308"/>
      <w:bookmarkEnd w:id="327"/>
      <w:bookmarkStart w:id="328" w:name="_Toc184314423"/>
      <w:bookmarkEnd w:id="328"/>
      <w:bookmarkStart w:id="329" w:name="_Toc184308094"/>
      <w:bookmarkEnd w:id="329"/>
      <w:bookmarkStart w:id="330" w:name="_Toc184314416"/>
      <w:bookmarkEnd w:id="330"/>
      <w:bookmarkStart w:id="331" w:name="_Toc184308077"/>
      <w:bookmarkEnd w:id="331"/>
      <w:bookmarkStart w:id="332" w:name="_Toc184310312"/>
      <w:bookmarkEnd w:id="332"/>
      <w:bookmarkStart w:id="333" w:name="_Toc184308056"/>
      <w:bookmarkEnd w:id="333"/>
      <w:bookmarkStart w:id="334" w:name="_Toc184308073"/>
      <w:bookmarkEnd w:id="334"/>
      <w:bookmarkStart w:id="335" w:name="_Toc184310307"/>
      <w:bookmarkEnd w:id="335"/>
      <w:bookmarkStart w:id="336" w:name="_Toc184312121"/>
      <w:bookmarkEnd w:id="336"/>
      <w:bookmarkStart w:id="337" w:name="_Toc184312122"/>
      <w:bookmarkEnd w:id="337"/>
      <w:bookmarkStart w:id="338" w:name="_Toc184314481"/>
      <w:bookmarkEnd w:id="338"/>
      <w:bookmarkStart w:id="339" w:name="_Toc184308088"/>
      <w:bookmarkEnd w:id="339"/>
      <w:bookmarkStart w:id="340" w:name="_Toc184313256"/>
      <w:bookmarkEnd w:id="340"/>
      <w:bookmarkStart w:id="341" w:name="_Toc184313259"/>
      <w:bookmarkEnd w:id="341"/>
      <w:bookmarkStart w:id="342" w:name="_Toc184313279"/>
      <w:bookmarkEnd w:id="342"/>
      <w:bookmarkStart w:id="343" w:name="_Toc184310316"/>
      <w:bookmarkEnd w:id="343"/>
      <w:bookmarkStart w:id="344" w:name="_Toc184312134"/>
      <w:bookmarkEnd w:id="344"/>
      <w:bookmarkStart w:id="345" w:name="_Toc184313273"/>
      <w:bookmarkEnd w:id="345"/>
      <w:bookmarkStart w:id="346" w:name="_Toc184314451"/>
      <w:bookmarkEnd w:id="346"/>
      <w:bookmarkStart w:id="347" w:name="_Toc184308105"/>
      <w:bookmarkEnd w:id="347"/>
      <w:bookmarkStart w:id="348" w:name="_Toc184314447"/>
      <w:bookmarkEnd w:id="348"/>
      <w:bookmarkStart w:id="349" w:name="_Toc184310318"/>
      <w:bookmarkEnd w:id="349"/>
      <w:bookmarkStart w:id="350" w:name="_Toc184310303"/>
      <w:bookmarkEnd w:id="350"/>
      <w:bookmarkStart w:id="351" w:name="_Toc184312135"/>
      <w:bookmarkEnd w:id="351"/>
      <w:bookmarkStart w:id="352" w:name="_Toc184310309"/>
      <w:bookmarkEnd w:id="352"/>
      <w:bookmarkStart w:id="353" w:name="_Toc184308052"/>
      <w:bookmarkEnd w:id="353"/>
      <w:bookmarkStart w:id="354" w:name="_Toc184310273"/>
      <w:bookmarkEnd w:id="354"/>
      <w:bookmarkStart w:id="355" w:name="_Toc184314474"/>
      <w:bookmarkEnd w:id="355"/>
      <w:bookmarkStart w:id="356" w:name="_Toc184312095"/>
      <w:bookmarkEnd w:id="356"/>
      <w:bookmarkStart w:id="357" w:name="_Toc184310337"/>
      <w:bookmarkEnd w:id="357"/>
      <w:bookmarkStart w:id="358" w:name="_Toc184312139"/>
      <w:bookmarkEnd w:id="358"/>
      <w:bookmarkStart w:id="359" w:name="_Toc184314435"/>
      <w:bookmarkEnd w:id="359"/>
      <w:bookmarkStart w:id="360" w:name="_Toc184310320"/>
      <w:bookmarkEnd w:id="360"/>
      <w:bookmarkStart w:id="361" w:name="_Toc184314440"/>
      <w:bookmarkEnd w:id="361"/>
      <w:bookmarkStart w:id="362" w:name="_Toc184308040"/>
      <w:bookmarkEnd w:id="362"/>
      <w:bookmarkStart w:id="363" w:name="_Toc184313283"/>
      <w:bookmarkEnd w:id="363"/>
      <w:bookmarkStart w:id="364" w:name="_Toc184310304"/>
      <w:bookmarkEnd w:id="364"/>
      <w:bookmarkStart w:id="365" w:name="_Toc184314439"/>
      <w:bookmarkEnd w:id="365"/>
      <w:bookmarkStart w:id="366" w:name="_Toc184313282"/>
      <w:bookmarkEnd w:id="366"/>
      <w:bookmarkStart w:id="367" w:name="_Toc184313262"/>
      <w:bookmarkEnd w:id="367"/>
      <w:bookmarkStart w:id="368" w:name="_Toc184312103"/>
      <w:bookmarkEnd w:id="368"/>
      <w:bookmarkStart w:id="369" w:name="_Toc184313290"/>
      <w:bookmarkEnd w:id="369"/>
      <w:bookmarkStart w:id="370" w:name="_Toc184308055"/>
      <w:bookmarkEnd w:id="370"/>
      <w:bookmarkStart w:id="371" w:name="_Toc184314411"/>
      <w:bookmarkEnd w:id="371"/>
      <w:bookmarkStart w:id="372" w:name="_Toc184308071"/>
      <w:bookmarkEnd w:id="372"/>
      <w:bookmarkStart w:id="373" w:name="_Toc184314480"/>
      <w:bookmarkEnd w:id="373"/>
      <w:bookmarkStart w:id="374" w:name="_Toc184312100"/>
      <w:bookmarkEnd w:id="374"/>
      <w:bookmarkStart w:id="375" w:name="_Toc184308064"/>
      <w:bookmarkEnd w:id="375"/>
      <w:bookmarkStart w:id="376" w:name="_Toc184314453"/>
      <w:bookmarkEnd w:id="376"/>
      <w:bookmarkStart w:id="377" w:name="_Toc184312073"/>
      <w:bookmarkEnd w:id="377"/>
      <w:bookmarkStart w:id="378" w:name="_Toc184312094"/>
      <w:bookmarkEnd w:id="378"/>
      <w:bookmarkStart w:id="379" w:name="_Toc184310289"/>
      <w:bookmarkEnd w:id="379"/>
      <w:bookmarkStart w:id="380" w:name="_Toc184310299"/>
      <w:bookmarkEnd w:id="380"/>
      <w:bookmarkStart w:id="381" w:name="_Toc184310315"/>
      <w:bookmarkEnd w:id="381"/>
      <w:bookmarkStart w:id="382" w:name="_Toc184313253"/>
      <w:bookmarkEnd w:id="382"/>
      <w:bookmarkStart w:id="383" w:name="_Toc184313257"/>
      <w:bookmarkEnd w:id="383"/>
      <w:bookmarkStart w:id="384" w:name="_Toc184312120"/>
      <w:bookmarkEnd w:id="384"/>
      <w:bookmarkStart w:id="385" w:name="_Toc184314430"/>
      <w:bookmarkEnd w:id="385"/>
      <w:bookmarkStart w:id="386" w:name="_Toc184308059"/>
      <w:bookmarkEnd w:id="386"/>
      <w:bookmarkStart w:id="387" w:name="_Toc184310321"/>
      <w:bookmarkEnd w:id="387"/>
      <w:bookmarkStart w:id="388" w:name="_Toc184308095"/>
      <w:bookmarkEnd w:id="388"/>
      <w:bookmarkStart w:id="389" w:name="_Toc184308050"/>
      <w:bookmarkEnd w:id="389"/>
      <w:bookmarkStart w:id="390" w:name="_Toc184313280"/>
      <w:bookmarkEnd w:id="390"/>
      <w:bookmarkStart w:id="391" w:name="_Toc184312088"/>
      <w:bookmarkEnd w:id="391"/>
      <w:bookmarkStart w:id="392" w:name="_Toc184310326"/>
      <w:bookmarkEnd w:id="392"/>
      <w:bookmarkStart w:id="393" w:name="_Toc184312074"/>
      <w:bookmarkEnd w:id="393"/>
      <w:bookmarkStart w:id="394" w:name="_Toc184312069"/>
      <w:bookmarkEnd w:id="394"/>
      <w:bookmarkStart w:id="395" w:name="_Toc184313266"/>
      <w:bookmarkEnd w:id="395"/>
      <w:bookmarkStart w:id="396" w:name="_Toc184314442"/>
      <w:bookmarkEnd w:id="396"/>
      <w:bookmarkStart w:id="397" w:name="_Toc184313277"/>
      <w:bookmarkEnd w:id="397"/>
      <w:bookmarkStart w:id="398" w:name="_Toc184310333"/>
      <w:bookmarkEnd w:id="398"/>
      <w:bookmarkStart w:id="399" w:name="_Toc184310274"/>
      <w:bookmarkEnd w:id="399"/>
      <w:bookmarkStart w:id="400" w:name="_Toc184313239"/>
      <w:bookmarkEnd w:id="400"/>
      <w:bookmarkStart w:id="401" w:name="_Toc184308062"/>
      <w:bookmarkEnd w:id="401"/>
      <w:bookmarkStart w:id="402" w:name="_Toc184312099"/>
      <w:bookmarkEnd w:id="402"/>
      <w:bookmarkStart w:id="403" w:name="_Toc184308072"/>
      <w:bookmarkEnd w:id="403"/>
      <w:bookmarkStart w:id="404" w:name="_Toc184308078"/>
      <w:bookmarkEnd w:id="404"/>
      <w:bookmarkStart w:id="405" w:name="_Toc184308046"/>
      <w:bookmarkEnd w:id="405"/>
      <w:bookmarkStart w:id="406" w:name="_Toc184314448"/>
      <w:bookmarkEnd w:id="406"/>
      <w:bookmarkStart w:id="407" w:name="_Toc184312106"/>
      <w:bookmarkEnd w:id="407"/>
      <w:bookmarkStart w:id="408" w:name="_Toc184310300"/>
      <w:bookmarkEnd w:id="408"/>
      <w:bookmarkStart w:id="409" w:name="_Toc184313265"/>
      <w:bookmarkEnd w:id="409"/>
      <w:bookmarkStart w:id="410" w:name="_Toc184308045"/>
      <w:bookmarkEnd w:id="410"/>
      <w:bookmarkStart w:id="411" w:name="_Toc184308098"/>
      <w:bookmarkEnd w:id="411"/>
      <w:bookmarkStart w:id="412" w:name="_Toc184313299"/>
      <w:bookmarkEnd w:id="412"/>
      <w:bookmarkStart w:id="413" w:name="_Toc184310285"/>
      <w:bookmarkEnd w:id="413"/>
      <w:bookmarkStart w:id="414" w:name="_Toc184313297"/>
      <w:bookmarkEnd w:id="414"/>
      <w:bookmarkStart w:id="415" w:name="_Toc184313278"/>
      <w:bookmarkEnd w:id="415"/>
      <w:bookmarkStart w:id="416" w:name="_Toc184314431"/>
      <w:bookmarkEnd w:id="416"/>
      <w:bookmarkStart w:id="417" w:name="_Toc184308039"/>
      <w:bookmarkEnd w:id="417"/>
      <w:bookmarkStart w:id="418" w:name="_Toc184308107"/>
      <w:bookmarkEnd w:id="418"/>
      <w:bookmarkStart w:id="419" w:name="_Toc184312128"/>
      <w:bookmarkEnd w:id="419"/>
      <w:bookmarkStart w:id="420" w:name="_Toc184312084"/>
      <w:bookmarkEnd w:id="420"/>
      <w:bookmarkStart w:id="421" w:name="_Toc184314415"/>
      <w:bookmarkEnd w:id="421"/>
      <w:bookmarkStart w:id="422" w:name="_Toc184314455"/>
      <w:bookmarkEnd w:id="422"/>
      <w:bookmarkStart w:id="423" w:name="_Toc184312131"/>
      <w:bookmarkEnd w:id="423"/>
      <w:bookmarkStart w:id="424" w:name="第四部分"/>
      <w:r>
        <w:rPr>
          <w:rFonts w:hint="eastAsia" w:ascii="宋体" w:hAnsi="宋体" w:cs="宋体"/>
          <w:b/>
          <w:color w:val="auto"/>
          <w:sz w:val="36"/>
          <w:szCs w:val="36"/>
          <w:highlight w:val="none"/>
        </w:rPr>
        <w:t xml:space="preserve"> 评标办法及评分标准</w:t>
      </w:r>
      <w:bookmarkEnd w:id="58"/>
    </w:p>
    <w:p>
      <w:pPr>
        <w:pStyle w:val="2"/>
        <w:spacing w:line="360" w:lineRule="auto"/>
        <w:jc w:val="center"/>
        <w:rPr>
          <w:rFonts w:hAnsi="宋体" w:cs="宋体"/>
          <w:bCs/>
          <w:color w:val="auto"/>
          <w:highlight w:val="none"/>
        </w:rPr>
      </w:pPr>
      <w:bookmarkStart w:id="425" w:name="_Toc1764"/>
      <w:r>
        <w:rPr>
          <w:rFonts w:hint="eastAsia" w:hAnsi="宋体" w:cs="宋体"/>
          <w:bCs/>
          <w:color w:val="auto"/>
          <w:highlight w:val="none"/>
        </w:rPr>
        <w:t>第一章　评标办法</w:t>
      </w:r>
      <w:bookmarkEnd w:id="425"/>
    </w:p>
    <w:p>
      <w:pPr>
        <w:spacing w:line="336"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一、本次招标将按下列第</w:t>
      </w:r>
      <w:r>
        <w:rPr>
          <w:rFonts w:hint="eastAsia" w:ascii="宋体" w:hAnsi="宋体" w:cs="宋体"/>
          <w:b/>
          <w:bCs/>
          <w:color w:val="auto"/>
          <w:sz w:val="24"/>
          <w:highlight w:val="none"/>
          <w:u w:val="single"/>
        </w:rPr>
        <w:t>　1　</w:t>
      </w:r>
      <w:r>
        <w:rPr>
          <w:rFonts w:hint="eastAsia" w:ascii="宋体" w:hAnsi="宋体" w:cs="宋体"/>
          <w:b/>
          <w:bCs/>
          <w:color w:val="auto"/>
          <w:sz w:val="24"/>
          <w:highlight w:val="none"/>
        </w:rPr>
        <w:t>种评标办法进行评标：</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综合评分法。即在最大限度地满足招标文件实质性要求的前提下，按照《评分标准》规定的评分因素对各投标人的投标文件进行综合评审，以技术分、资信分、商务分总得分最高的投标人作为中标候选人。如最高总得分相同的，以报价低者作为中标候选人。如最高总得分且报价相同的，以技术指标优者作为中标候选人；无法确定技术指标优劣的，则抽签确定中标候选人。</w:t>
      </w:r>
    </w:p>
    <w:p>
      <w:pPr>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最低评标价法。即在全部满足招标文件实质性要求的前提下，以评审后最低评标价的投标人作为中标候选人。如最低报价相同的，以技术指标优者作为中标候选人；无法确定技术指标优劣的，则抽签确定中标候选人。</w:t>
      </w:r>
    </w:p>
    <w:p>
      <w:pPr>
        <w:spacing w:line="360" w:lineRule="auto"/>
        <w:ind w:firstLine="480" w:firstLineChars="200"/>
        <w:rPr>
          <w:rFonts w:ascii="宋体" w:hAnsi="宋体" w:cs="宋体"/>
          <w:color w:val="auto"/>
          <w:sz w:val="24"/>
          <w:szCs w:val="21"/>
          <w:highlight w:val="none"/>
        </w:rPr>
      </w:pPr>
      <w:r>
        <w:rPr>
          <w:rFonts w:hint="eastAsia" w:ascii="宋体" w:hAnsi="宋体" w:cs="宋体"/>
          <w:color w:val="auto"/>
          <w:sz w:val="24"/>
          <w:highlight w:val="none"/>
        </w:rPr>
        <w:t>本次评标采用百分制计分，计算时四舍五入保留到小数点后两位。</w:t>
      </w:r>
    </w:p>
    <w:p>
      <w:pPr>
        <w:spacing w:line="360" w:lineRule="auto"/>
        <w:ind w:firstLine="480" w:firstLineChars="200"/>
        <w:rPr>
          <w:rFonts w:ascii="宋体" w:hAnsi="宋体" w:cs="宋体"/>
          <w:color w:val="auto"/>
          <w:sz w:val="24"/>
          <w:szCs w:val="21"/>
          <w:highlight w:val="none"/>
        </w:rPr>
      </w:pPr>
    </w:p>
    <w:p>
      <w:pPr>
        <w:pStyle w:val="2"/>
        <w:spacing w:line="360" w:lineRule="auto"/>
        <w:jc w:val="center"/>
        <w:rPr>
          <w:rFonts w:hAnsi="宋体" w:cs="宋体"/>
          <w:color w:val="auto"/>
          <w:highlight w:val="none"/>
        </w:rPr>
      </w:pPr>
      <w:r>
        <w:rPr>
          <w:rFonts w:hint="eastAsia" w:hAnsi="宋体" w:cs="宋体"/>
          <w:color w:val="auto"/>
          <w:highlight w:val="none"/>
        </w:rPr>
        <w:t>第二章　评分标准</w:t>
      </w:r>
    </w:p>
    <w:p>
      <w:pPr>
        <w:spacing w:line="360" w:lineRule="auto"/>
        <w:ind w:firstLine="482" w:firstLineChars="200"/>
        <w:rPr>
          <w:rFonts w:ascii="宋体" w:hAnsi="宋体"/>
          <w:b/>
          <w:bCs/>
          <w:color w:val="auto"/>
          <w:sz w:val="24"/>
          <w:szCs w:val="21"/>
          <w:highlight w:val="none"/>
        </w:rPr>
      </w:pPr>
      <w:r>
        <w:rPr>
          <w:rFonts w:hint="eastAsia" w:ascii="宋体" w:hAnsi="宋体"/>
          <w:b/>
          <w:bCs/>
          <w:color w:val="auto"/>
          <w:sz w:val="24"/>
          <w:szCs w:val="21"/>
          <w:highlight w:val="none"/>
        </w:rPr>
        <w:t>一、报价文件评分标准（20分）</w:t>
      </w:r>
    </w:p>
    <w:p>
      <w:pPr>
        <w:spacing w:line="336" w:lineRule="auto"/>
        <w:ind w:firstLine="480" w:firstLineChars="200"/>
        <w:rPr>
          <w:rFonts w:ascii="宋体" w:hAnsi="宋体"/>
          <w:color w:val="auto"/>
          <w:sz w:val="24"/>
          <w:highlight w:val="none"/>
        </w:rPr>
      </w:pPr>
      <w:r>
        <w:rPr>
          <w:rFonts w:hint="eastAsia" w:ascii="宋体" w:hAnsi="宋体"/>
          <w:color w:val="auto"/>
          <w:sz w:val="24"/>
          <w:highlight w:val="none"/>
        </w:rPr>
        <w:t>报价文件主要是对投标人的有效报价进行评议，其评分标准及分值设置规则如下：</w:t>
      </w:r>
    </w:p>
    <w:p>
      <w:pPr>
        <w:spacing w:line="336" w:lineRule="auto"/>
        <w:ind w:firstLine="480" w:firstLineChars="200"/>
        <w:rPr>
          <w:rFonts w:ascii="宋体" w:hAnsi="宋体"/>
          <w:color w:val="auto"/>
          <w:sz w:val="24"/>
          <w:highlight w:val="none"/>
        </w:rPr>
      </w:pPr>
      <w:r>
        <w:rPr>
          <w:rFonts w:hint="eastAsia" w:ascii="宋体" w:hAnsi="宋体"/>
          <w:color w:val="auto"/>
          <w:sz w:val="24"/>
          <w:highlight w:val="none"/>
        </w:rPr>
        <w:t>1.本次招标最高限价规定如下：</w:t>
      </w:r>
    </w:p>
    <w:p>
      <w:pPr>
        <w:spacing w:line="360" w:lineRule="auto"/>
        <w:ind w:firstLine="482" w:firstLineChars="200"/>
        <w:rPr>
          <w:rFonts w:ascii="宋体" w:hAnsi="宋体"/>
          <w:b/>
          <w:bCs/>
          <w:color w:val="0000FF"/>
          <w:sz w:val="24"/>
          <w:szCs w:val="21"/>
          <w:highlight w:val="none"/>
        </w:rPr>
      </w:pPr>
      <w:r>
        <w:rPr>
          <w:rFonts w:hint="eastAsia" w:ascii="宋体" w:hAnsi="宋体"/>
          <w:b/>
          <w:bCs/>
          <w:color w:val="auto"/>
          <w:sz w:val="24"/>
          <w:szCs w:val="21"/>
          <w:highlight w:val="none"/>
        </w:rPr>
        <w:t>本项目投标报价的</w:t>
      </w:r>
      <w:r>
        <w:rPr>
          <w:rFonts w:hint="eastAsia" w:ascii="宋体" w:hAnsi="宋体"/>
          <w:b/>
          <w:bCs/>
          <w:color w:val="auto"/>
          <w:sz w:val="24"/>
          <w:szCs w:val="21"/>
          <w:highlight w:val="none"/>
          <w:lang w:val="en-US" w:eastAsia="zh-CN"/>
        </w:rPr>
        <w:t>最高限</w:t>
      </w:r>
      <w:r>
        <w:rPr>
          <w:rFonts w:hint="eastAsia" w:ascii="宋体" w:hAnsi="宋体"/>
          <w:b/>
          <w:bCs/>
          <w:color w:val="auto"/>
          <w:sz w:val="24"/>
          <w:szCs w:val="21"/>
          <w:highlight w:val="none"/>
        </w:rPr>
        <w:t>价为人民币</w:t>
      </w:r>
      <w:r>
        <w:rPr>
          <w:rFonts w:hint="eastAsia" w:ascii="宋体" w:hAnsi="宋体"/>
          <w:b/>
          <w:bCs/>
          <w:color w:val="auto"/>
          <w:sz w:val="24"/>
          <w:szCs w:val="21"/>
          <w:highlight w:val="none"/>
          <w:u w:val="single"/>
        </w:rPr>
        <w:t>叁佰</w:t>
      </w:r>
      <w:r>
        <w:rPr>
          <w:rFonts w:hint="eastAsia" w:ascii="宋体" w:hAnsi="宋体"/>
          <w:b/>
          <w:bCs/>
          <w:color w:val="auto"/>
          <w:sz w:val="24"/>
          <w:szCs w:val="21"/>
          <w:highlight w:val="none"/>
          <w:u w:val="single"/>
          <w:lang w:val="en-US" w:eastAsia="zh-CN"/>
        </w:rPr>
        <w:t>肆拾</w:t>
      </w:r>
      <w:r>
        <w:rPr>
          <w:rFonts w:hint="eastAsia" w:ascii="宋体" w:hAnsi="宋体"/>
          <w:b/>
          <w:bCs/>
          <w:color w:val="auto"/>
          <w:sz w:val="24"/>
          <w:szCs w:val="21"/>
          <w:highlight w:val="none"/>
          <w:u w:val="single"/>
        </w:rPr>
        <w:t>万</w:t>
      </w:r>
      <w:r>
        <w:rPr>
          <w:rFonts w:hint="eastAsia" w:ascii="宋体" w:hAnsi="宋体"/>
          <w:b/>
          <w:bCs/>
          <w:color w:val="auto"/>
          <w:sz w:val="24"/>
          <w:szCs w:val="21"/>
          <w:highlight w:val="none"/>
        </w:rPr>
        <w:t>元整（小写</w:t>
      </w:r>
      <w:r>
        <w:rPr>
          <w:rFonts w:hint="eastAsia" w:ascii="宋体" w:hAnsi="宋体"/>
          <w:b/>
          <w:bCs/>
          <w:color w:val="auto"/>
          <w:sz w:val="24"/>
          <w:szCs w:val="21"/>
          <w:highlight w:val="none"/>
          <w:u w:val="single"/>
        </w:rPr>
        <w:t>3</w:t>
      </w:r>
      <w:r>
        <w:rPr>
          <w:rFonts w:hint="eastAsia" w:ascii="宋体" w:hAnsi="宋体"/>
          <w:b/>
          <w:bCs/>
          <w:color w:val="auto"/>
          <w:sz w:val="24"/>
          <w:szCs w:val="21"/>
          <w:highlight w:val="none"/>
          <w:u w:val="single"/>
          <w:lang w:val="en-US" w:eastAsia="zh-CN"/>
        </w:rPr>
        <w:t>40</w:t>
      </w:r>
      <w:r>
        <w:rPr>
          <w:rFonts w:hint="eastAsia" w:ascii="宋体" w:hAnsi="宋体"/>
          <w:b/>
          <w:bCs/>
          <w:color w:val="auto"/>
          <w:sz w:val="24"/>
          <w:szCs w:val="21"/>
          <w:highlight w:val="none"/>
          <w:u w:val="single"/>
        </w:rPr>
        <w:t>0000.00</w:t>
      </w:r>
      <w:r>
        <w:rPr>
          <w:rFonts w:hint="eastAsia" w:ascii="宋体" w:hAnsi="宋体"/>
          <w:b/>
          <w:bCs/>
          <w:color w:val="auto"/>
          <w:sz w:val="24"/>
          <w:szCs w:val="21"/>
          <w:highlight w:val="none"/>
        </w:rPr>
        <w:t>元）。</w:t>
      </w:r>
    </w:p>
    <w:p>
      <w:pPr>
        <w:spacing w:line="360" w:lineRule="auto"/>
        <w:ind w:firstLine="480" w:firstLineChars="200"/>
        <w:rPr>
          <w:rFonts w:ascii="宋体" w:hAnsi="宋体"/>
          <w:color w:val="auto"/>
          <w:sz w:val="24"/>
          <w:szCs w:val="21"/>
          <w:highlight w:val="none"/>
        </w:rPr>
      </w:pPr>
      <w:r>
        <w:rPr>
          <w:rFonts w:hint="eastAsia" w:ascii="宋体" w:hAnsi="宋体"/>
          <w:color w:val="auto"/>
          <w:sz w:val="24"/>
          <w:szCs w:val="21"/>
          <w:highlight w:val="none"/>
        </w:rPr>
        <w:t>2.投标人的报价在最高限价内的，为有效报价。</w:t>
      </w:r>
    </w:p>
    <w:p>
      <w:pPr>
        <w:spacing w:line="360" w:lineRule="auto"/>
        <w:ind w:firstLine="480" w:firstLineChars="200"/>
        <w:rPr>
          <w:rFonts w:ascii="宋体" w:hAnsi="宋体"/>
          <w:color w:val="auto"/>
          <w:sz w:val="24"/>
          <w:szCs w:val="21"/>
          <w:highlight w:val="none"/>
        </w:rPr>
      </w:pPr>
      <w:r>
        <w:rPr>
          <w:rFonts w:hint="eastAsia" w:ascii="宋体" w:hAnsi="宋体"/>
          <w:color w:val="auto"/>
          <w:sz w:val="24"/>
          <w:szCs w:val="21"/>
          <w:highlight w:val="none"/>
        </w:rPr>
        <w:t>3.本次评标设有最佳报价。最佳报价确定方式：根据所有入围投标人有效报价中的最低报价作为最佳报价。</w:t>
      </w:r>
    </w:p>
    <w:p>
      <w:pPr>
        <w:spacing w:line="360" w:lineRule="auto"/>
        <w:ind w:firstLine="480" w:firstLineChars="200"/>
        <w:rPr>
          <w:rFonts w:ascii="宋体" w:hAnsi="宋体"/>
          <w:color w:val="auto"/>
          <w:sz w:val="24"/>
          <w:szCs w:val="21"/>
          <w:highlight w:val="none"/>
        </w:rPr>
      </w:pPr>
      <w:r>
        <w:rPr>
          <w:rFonts w:hint="eastAsia" w:ascii="宋体" w:hAnsi="宋体"/>
          <w:color w:val="auto"/>
          <w:sz w:val="24"/>
          <w:szCs w:val="21"/>
          <w:highlight w:val="none"/>
        </w:rPr>
        <w:t>4.最佳报价者的报价分为满分，其他投标人的有效报价与最佳报价相比，按下列方法计算其报价分：</w:t>
      </w:r>
    </w:p>
    <w:p>
      <w:pPr>
        <w:spacing w:line="360" w:lineRule="auto"/>
        <w:ind w:firstLine="480" w:firstLineChars="200"/>
        <w:rPr>
          <w:rFonts w:ascii="宋体" w:hAnsi="宋体"/>
          <w:color w:val="auto"/>
          <w:sz w:val="24"/>
          <w:szCs w:val="21"/>
          <w:highlight w:val="none"/>
        </w:rPr>
      </w:pPr>
      <w:r>
        <w:rPr>
          <w:rFonts w:hint="eastAsia" w:ascii="宋体" w:hAnsi="宋体"/>
          <w:color w:val="auto"/>
          <w:sz w:val="24"/>
          <w:szCs w:val="21"/>
          <w:highlight w:val="none"/>
        </w:rPr>
        <w:t>投标价格分=(最佳报价/投标报价)*价格权值*100。</w:t>
      </w:r>
    </w:p>
    <w:p>
      <w:pPr>
        <w:spacing w:line="360" w:lineRule="auto"/>
        <w:ind w:firstLine="480" w:firstLineChars="200"/>
        <w:rPr>
          <w:rFonts w:ascii="宋体" w:hAnsi="宋体"/>
          <w:color w:val="auto"/>
          <w:sz w:val="24"/>
          <w:szCs w:val="21"/>
          <w:highlight w:val="none"/>
        </w:rPr>
      </w:pPr>
      <w:r>
        <w:rPr>
          <w:rFonts w:hint="eastAsia" w:ascii="宋体" w:hAnsi="宋体"/>
          <w:color w:val="auto"/>
          <w:sz w:val="24"/>
          <w:szCs w:val="21"/>
          <w:highlight w:val="none"/>
        </w:rPr>
        <w:t>5.当投标（开标）一览表与投标报价明细表报价不一致时，以投标（开标）一览表为准，报价明细表报价予以修正并由授权代表签字确认，拒绝修正或确认的，则做无效标处理。</w:t>
      </w:r>
    </w:p>
    <w:p>
      <w:pPr>
        <w:spacing w:line="360" w:lineRule="auto"/>
        <w:ind w:firstLine="480" w:firstLineChars="200"/>
        <w:rPr>
          <w:rFonts w:ascii="宋体" w:hAnsi="宋体"/>
          <w:color w:val="auto"/>
          <w:sz w:val="24"/>
          <w:szCs w:val="21"/>
          <w:highlight w:val="none"/>
        </w:rPr>
      </w:pPr>
      <w:r>
        <w:rPr>
          <w:rFonts w:hint="eastAsia" w:ascii="宋体" w:hAnsi="宋体"/>
          <w:color w:val="auto"/>
          <w:sz w:val="24"/>
          <w:szCs w:val="21"/>
          <w:highlight w:val="none"/>
        </w:rPr>
        <w:t>6.投标文件只允许有一个报价，投标报价应按招标文件中相关附表格式填报，该投标报价应与明细报价汇总相等，且不允许出现报价优惠、赠送等字样（明细出现“0”元，视同赠送）,如出现则做</w:t>
      </w:r>
      <w:r>
        <w:rPr>
          <w:rFonts w:hint="eastAsia" w:ascii="宋体" w:hAnsi="宋体"/>
          <w:b/>
          <w:bCs/>
          <w:color w:val="auto"/>
          <w:sz w:val="24"/>
          <w:szCs w:val="21"/>
          <w:highlight w:val="none"/>
        </w:rPr>
        <w:t>无效投标</w:t>
      </w:r>
      <w:r>
        <w:rPr>
          <w:rFonts w:hint="eastAsia" w:ascii="宋体" w:hAnsi="宋体"/>
          <w:color w:val="auto"/>
          <w:sz w:val="24"/>
          <w:szCs w:val="21"/>
          <w:highlight w:val="none"/>
        </w:rPr>
        <w:t>处理。</w:t>
      </w:r>
    </w:p>
    <w:p>
      <w:pPr>
        <w:autoSpaceDE w:val="0"/>
        <w:autoSpaceDN w:val="0"/>
        <w:spacing w:line="360" w:lineRule="auto"/>
        <w:ind w:firstLine="482"/>
        <w:rPr>
          <w:rFonts w:ascii="宋体" w:hAnsi="宋体" w:cs="仿宋_GB2312"/>
          <w:color w:val="auto"/>
          <w:sz w:val="24"/>
          <w:highlight w:val="none"/>
        </w:rPr>
      </w:pPr>
      <w:r>
        <w:rPr>
          <w:rFonts w:hint="eastAsia" w:ascii="宋体" w:hAnsi="宋体"/>
          <w:color w:val="auto"/>
          <w:sz w:val="24"/>
          <w:szCs w:val="21"/>
          <w:highlight w:val="none"/>
        </w:rPr>
        <w:t>7.</w:t>
      </w:r>
      <w:r>
        <w:rPr>
          <w:rFonts w:hint="eastAsia" w:ascii="宋体" w:hAnsi="宋体" w:cs="仿宋_GB2312"/>
          <w:b/>
          <w:color w:val="auto"/>
          <w:sz w:val="24"/>
          <w:highlight w:val="none"/>
        </w:rPr>
        <w:t>投标价格的合理性</w:t>
      </w:r>
      <w:r>
        <w:rPr>
          <w:rFonts w:hint="eastAsia" w:ascii="宋体" w:hAnsi="宋体" w:cs="仿宋_GB2312"/>
          <w:color w:val="auto"/>
          <w:sz w:val="24"/>
          <w:highlight w:val="none"/>
        </w:rPr>
        <w:t>：</w:t>
      </w:r>
      <w:r>
        <w:rPr>
          <w:rFonts w:ascii="Arial" w:hAnsi="Arial" w:cs="Arial"/>
          <w:color w:val="auto"/>
          <w:sz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2" w:firstLineChars="200"/>
        <w:rPr>
          <w:rFonts w:ascii="宋体" w:hAnsi="宋体"/>
          <w:b/>
          <w:bCs/>
          <w:color w:val="auto"/>
          <w:sz w:val="24"/>
          <w:szCs w:val="21"/>
          <w:highlight w:val="none"/>
        </w:rPr>
      </w:pPr>
      <w:r>
        <w:rPr>
          <w:rFonts w:hint="eastAsia" w:ascii="宋体" w:hAnsi="宋体"/>
          <w:b/>
          <w:bCs/>
          <w:color w:val="auto"/>
          <w:sz w:val="24"/>
          <w:szCs w:val="21"/>
          <w:highlight w:val="none"/>
        </w:rPr>
        <w:t>二.商务技术文件评标内容及标准（ 80 分）</w:t>
      </w:r>
    </w:p>
    <w:p>
      <w:pPr>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1、评分细则</w:t>
      </w:r>
    </w:p>
    <w:tbl>
      <w:tblPr>
        <w:tblStyle w:val="21"/>
        <w:tblW w:w="9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217"/>
        <w:gridCol w:w="6131"/>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205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before="156" w:beforeLines="50" w:line="360" w:lineRule="auto"/>
              <w:jc w:val="center"/>
              <w:rPr>
                <w:rFonts w:hint="eastAsia" w:ascii="宋体" w:hAnsi="宋体" w:cs="宋体"/>
                <w:b/>
                <w:bCs/>
                <w:color w:val="auto"/>
                <w:sz w:val="24"/>
              </w:rPr>
            </w:pPr>
            <w:r>
              <w:rPr>
                <w:rFonts w:hint="eastAsia" w:ascii="宋体" w:hAnsi="宋体" w:cs="宋体"/>
                <w:b/>
                <w:bCs/>
                <w:color w:val="auto"/>
                <w:sz w:val="24"/>
              </w:rPr>
              <w:t>评分项目</w:t>
            </w:r>
          </w:p>
        </w:tc>
        <w:tc>
          <w:tcPr>
            <w:tcW w:w="6131" w:type="dxa"/>
            <w:tcBorders>
              <w:top w:val="single" w:color="auto" w:sz="4" w:space="0"/>
              <w:left w:val="single" w:color="auto" w:sz="4" w:space="0"/>
              <w:bottom w:val="single" w:color="auto" w:sz="4" w:space="0"/>
              <w:right w:val="single" w:color="auto" w:sz="4" w:space="0"/>
            </w:tcBorders>
            <w:noWrap w:val="0"/>
            <w:vAlign w:val="center"/>
          </w:tcPr>
          <w:p>
            <w:pPr>
              <w:adjustRightInd w:val="0"/>
              <w:spacing w:before="156" w:beforeLines="50" w:line="360" w:lineRule="auto"/>
              <w:jc w:val="center"/>
              <w:rPr>
                <w:rFonts w:hint="eastAsia" w:ascii="宋体" w:hAnsi="宋体" w:cs="宋体"/>
                <w:b/>
                <w:bCs/>
                <w:color w:val="auto"/>
                <w:sz w:val="24"/>
              </w:rPr>
            </w:pPr>
            <w:r>
              <w:rPr>
                <w:rFonts w:hint="eastAsia" w:ascii="宋体" w:hAnsi="宋体" w:cs="宋体"/>
                <w:b/>
                <w:bCs/>
                <w:color w:val="auto"/>
                <w:sz w:val="24"/>
              </w:rPr>
              <w:t>评标要点及说明</w:t>
            </w:r>
          </w:p>
        </w:tc>
        <w:tc>
          <w:tcPr>
            <w:tcW w:w="818" w:type="dxa"/>
            <w:tcBorders>
              <w:top w:val="single" w:color="auto" w:sz="4" w:space="0"/>
              <w:left w:val="single" w:color="auto" w:sz="4" w:space="0"/>
              <w:bottom w:val="single" w:color="auto" w:sz="4" w:space="0"/>
              <w:right w:val="single" w:color="auto" w:sz="4" w:space="0"/>
            </w:tcBorders>
            <w:noWrap w:val="0"/>
            <w:vAlign w:val="center"/>
          </w:tcPr>
          <w:p>
            <w:pPr>
              <w:adjustRightInd w:val="0"/>
              <w:spacing w:before="156" w:beforeLines="50" w:line="360" w:lineRule="auto"/>
              <w:jc w:val="center"/>
              <w:rPr>
                <w:rFonts w:hint="eastAsia" w:ascii="宋体" w:hAnsi="宋体" w:eastAsia="宋体" w:cs="宋体"/>
                <w:b/>
                <w:bCs/>
                <w:color w:val="auto"/>
                <w:sz w:val="24"/>
                <w:lang w:val="en-US" w:eastAsia="zh-CN"/>
              </w:rPr>
            </w:pPr>
            <w:r>
              <w:rPr>
                <w:rFonts w:hint="eastAsia" w:ascii="宋体" w:hAnsi="宋体" w:cs="宋体"/>
                <w:b/>
                <w:bCs/>
                <w:color w:val="auto"/>
                <w:sz w:val="24"/>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840" w:type="dxa"/>
            <w:vMerge w:val="restart"/>
            <w:tcBorders>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技术</w:t>
            </w:r>
          </w:p>
          <w:p>
            <w:pPr>
              <w:spacing w:line="360" w:lineRule="auto"/>
              <w:jc w:val="center"/>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76</w:t>
            </w:r>
            <w:r>
              <w:rPr>
                <w:rFonts w:hint="eastAsia" w:ascii="宋体" w:hAnsi="宋体" w:cs="宋体"/>
                <w:color w:val="auto"/>
                <w:sz w:val="24"/>
              </w:rPr>
              <w:t>）</w:t>
            </w:r>
          </w:p>
        </w:tc>
        <w:tc>
          <w:tcPr>
            <w:tcW w:w="1217" w:type="dxa"/>
            <w:vMerge w:val="restart"/>
            <w:tcBorders>
              <w:top w:val="single" w:color="auto" w:sz="4" w:space="0"/>
              <w:left w:val="single" w:color="auto" w:sz="4" w:space="0"/>
              <w:right w:val="single" w:color="auto" w:sz="4" w:space="0"/>
            </w:tcBorders>
            <w:noWrap w:val="0"/>
            <w:vAlign w:val="center"/>
          </w:tcPr>
          <w:p>
            <w:pPr>
              <w:tabs>
                <w:tab w:val="left" w:pos="772"/>
              </w:tabs>
              <w:spacing w:line="312" w:lineRule="auto"/>
              <w:rPr>
                <w:rFonts w:hint="eastAsia" w:ascii="宋体" w:hAnsi="宋体" w:eastAsia="宋体" w:cs="宋体"/>
                <w:color w:val="auto"/>
                <w:sz w:val="24"/>
                <w:lang w:val="zh-CN" w:eastAsia="zh-CN"/>
              </w:rPr>
            </w:pPr>
            <w:r>
              <w:rPr>
                <w:rFonts w:hint="eastAsia" w:ascii="宋体" w:hAnsi="宋体" w:eastAsia="宋体" w:cs="宋体"/>
                <w:color w:val="auto"/>
                <w:sz w:val="24"/>
              </w:rPr>
              <w:t>项目</w:t>
            </w:r>
            <w:r>
              <w:rPr>
                <w:rFonts w:hint="eastAsia" w:ascii="宋体" w:hAnsi="宋体" w:eastAsia="宋体" w:cs="宋体"/>
                <w:color w:val="auto"/>
                <w:sz w:val="24"/>
                <w:lang w:val="en-US" w:eastAsia="zh-CN"/>
              </w:rPr>
              <w:t>总体设计</w:t>
            </w:r>
            <w:r>
              <w:rPr>
                <w:rFonts w:hint="eastAsia" w:ascii="宋体" w:hAnsi="宋体" w:eastAsia="宋体" w:cs="宋体"/>
                <w:color w:val="auto"/>
                <w:sz w:val="24"/>
              </w:rPr>
              <w:t>方案</w:t>
            </w:r>
          </w:p>
        </w:tc>
        <w:tc>
          <w:tcPr>
            <w:tcW w:w="6131" w:type="dxa"/>
            <w:tcBorders>
              <w:top w:val="single" w:color="auto" w:sz="4" w:space="0"/>
              <w:left w:val="single" w:color="auto" w:sz="4" w:space="0"/>
              <w:right w:val="single" w:color="auto" w:sz="4" w:space="0"/>
            </w:tcBorders>
            <w:noWrap w:val="0"/>
            <w:vAlign w:val="center"/>
          </w:tcPr>
          <w:p>
            <w:pPr>
              <w:tabs>
                <w:tab w:val="left" w:pos="772"/>
              </w:tabs>
              <w:spacing w:line="312" w:lineRule="auto"/>
              <w:rPr>
                <w:rFonts w:hint="eastAsia" w:ascii="宋体" w:hAnsi="宋体" w:eastAsia="宋体" w:cs="宋体"/>
                <w:color w:val="auto"/>
                <w:sz w:val="24"/>
                <w:lang w:val="zh-TW" w:eastAsia="zh-CN"/>
              </w:rPr>
            </w:pPr>
            <w:r>
              <w:rPr>
                <w:rFonts w:hint="eastAsia" w:ascii="宋体" w:hAnsi="宋体" w:eastAsia="宋体" w:cs="宋体"/>
                <w:color w:val="auto"/>
                <w:sz w:val="24"/>
              </w:rPr>
              <w:t>根据供应商</w:t>
            </w:r>
            <w:r>
              <w:rPr>
                <w:rFonts w:hint="eastAsia" w:ascii="宋体" w:hAnsi="宋体" w:eastAsia="宋体" w:cs="宋体"/>
                <w:color w:val="auto"/>
                <w:sz w:val="24"/>
                <w:lang w:val="en-US" w:eastAsia="zh-CN"/>
              </w:rPr>
              <w:t>对活动</w:t>
            </w:r>
            <w:r>
              <w:rPr>
                <w:rFonts w:hint="eastAsia" w:ascii="宋体" w:hAnsi="宋体" w:eastAsia="宋体" w:cs="宋体"/>
                <w:color w:val="auto"/>
                <w:sz w:val="24"/>
              </w:rPr>
              <w:t>策划方案</w:t>
            </w:r>
            <w:r>
              <w:rPr>
                <w:rFonts w:hint="eastAsia" w:ascii="宋体" w:hAnsi="宋体" w:eastAsia="宋体" w:cs="宋体"/>
                <w:color w:val="auto"/>
                <w:sz w:val="24"/>
                <w:lang w:val="en-US" w:eastAsia="zh-CN"/>
              </w:rPr>
              <w:t>的</w:t>
            </w:r>
            <w:r>
              <w:rPr>
                <w:rFonts w:hint="eastAsia" w:ascii="宋体" w:hAnsi="宋体" w:eastAsia="宋体" w:cs="宋体"/>
                <w:color w:val="auto"/>
                <w:sz w:val="24"/>
              </w:rPr>
              <w:t>创意性、合理性、可操作性等方面进行打分。</w:t>
            </w:r>
          </w:p>
        </w:tc>
        <w:tc>
          <w:tcPr>
            <w:tcW w:w="818" w:type="dxa"/>
            <w:tcBorders>
              <w:top w:val="single" w:color="auto" w:sz="4" w:space="0"/>
              <w:left w:val="single" w:color="auto" w:sz="4" w:space="0"/>
              <w:right w:val="single" w:color="auto" w:sz="4" w:space="0"/>
            </w:tcBorders>
            <w:noWrap w:val="0"/>
            <w:vAlign w:val="center"/>
          </w:tcPr>
          <w:p>
            <w:pPr>
              <w:tabs>
                <w:tab w:val="left" w:pos="772"/>
              </w:tabs>
              <w:spacing w:line="312"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4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217" w:type="dxa"/>
            <w:vMerge w:val="continue"/>
            <w:tcBorders>
              <w:left w:val="single" w:color="auto" w:sz="4" w:space="0"/>
              <w:right w:val="single" w:color="auto" w:sz="4" w:space="0"/>
            </w:tcBorders>
            <w:noWrap w:val="0"/>
            <w:vAlign w:val="center"/>
          </w:tcPr>
          <w:p>
            <w:pPr>
              <w:tabs>
                <w:tab w:val="left" w:pos="772"/>
              </w:tabs>
              <w:spacing w:line="312" w:lineRule="auto"/>
              <w:rPr>
                <w:rFonts w:hint="eastAsia" w:ascii="宋体" w:hAnsi="宋体" w:eastAsia="宋体" w:cs="宋体"/>
                <w:color w:val="auto"/>
                <w:sz w:val="24"/>
                <w:lang w:val="zh-CN" w:eastAsia="zh-CN"/>
              </w:rPr>
            </w:pPr>
          </w:p>
        </w:tc>
        <w:tc>
          <w:tcPr>
            <w:tcW w:w="6131" w:type="dxa"/>
            <w:tcBorders>
              <w:top w:val="single" w:color="auto" w:sz="4" w:space="0"/>
              <w:left w:val="single" w:color="auto" w:sz="4" w:space="0"/>
              <w:right w:val="single" w:color="auto" w:sz="4" w:space="0"/>
            </w:tcBorders>
            <w:noWrap w:val="0"/>
            <w:vAlign w:val="center"/>
          </w:tcPr>
          <w:p>
            <w:pPr>
              <w:tabs>
                <w:tab w:val="left" w:pos="772"/>
              </w:tabs>
              <w:spacing w:line="312" w:lineRule="auto"/>
              <w:rPr>
                <w:rFonts w:hint="eastAsia" w:ascii="宋体" w:hAnsi="宋体" w:eastAsia="宋体" w:cs="宋体"/>
                <w:color w:val="auto"/>
                <w:sz w:val="24"/>
                <w:lang w:val="zh-TW" w:eastAsia="zh-CN"/>
              </w:rPr>
            </w:pPr>
            <w:r>
              <w:rPr>
                <w:rFonts w:hint="eastAsia" w:ascii="宋体" w:hAnsi="宋体" w:eastAsia="宋体" w:cs="宋体"/>
                <w:color w:val="auto"/>
                <w:sz w:val="24"/>
              </w:rPr>
              <w:t>根据供应商提供的</w:t>
            </w:r>
            <w:r>
              <w:rPr>
                <w:rFonts w:hint="eastAsia" w:ascii="宋体" w:hAnsi="宋体" w:eastAsia="宋体" w:cs="宋体"/>
                <w:color w:val="auto"/>
                <w:sz w:val="24"/>
                <w:lang w:val="en-US" w:eastAsia="zh-CN"/>
              </w:rPr>
              <w:t>大赛组织整体</w:t>
            </w:r>
            <w:r>
              <w:rPr>
                <w:rFonts w:hint="eastAsia" w:ascii="宋体" w:hAnsi="宋体" w:eastAsia="宋体" w:cs="宋体"/>
                <w:color w:val="auto"/>
                <w:sz w:val="24"/>
              </w:rPr>
              <w:t>方案的科学性</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合理性、经济性</w:t>
            </w:r>
            <w:r>
              <w:rPr>
                <w:rFonts w:hint="eastAsia" w:ascii="宋体" w:hAnsi="宋体" w:eastAsia="宋体" w:cs="宋体"/>
                <w:color w:val="auto"/>
                <w:sz w:val="24"/>
              </w:rPr>
              <w:t>进行打分。</w:t>
            </w:r>
          </w:p>
        </w:tc>
        <w:tc>
          <w:tcPr>
            <w:tcW w:w="818" w:type="dxa"/>
            <w:tcBorders>
              <w:top w:val="single" w:color="auto" w:sz="4" w:space="0"/>
              <w:left w:val="single" w:color="auto" w:sz="4" w:space="0"/>
              <w:right w:val="single" w:color="auto" w:sz="4" w:space="0"/>
            </w:tcBorders>
            <w:noWrap w:val="0"/>
            <w:vAlign w:val="center"/>
          </w:tcPr>
          <w:p>
            <w:pPr>
              <w:tabs>
                <w:tab w:val="left" w:pos="772"/>
              </w:tabs>
              <w:spacing w:line="312"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4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217" w:type="dxa"/>
            <w:vMerge w:val="continue"/>
            <w:tcBorders>
              <w:left w:val="single" w:color="auto" w:sz="4" w:space="0"/>
              <w:right w:val="single" w:color="auto" w:sz="4" w:space="0"/>
            </w:tcBorders>
            <w:noWrap w:val="0"/>
            <w:vAlign w:val="center"/>
          </w:tcPr>
          <w:p>
            <w:pPr>
              <w:tabs>
                <w:tab w:val="left" w:pos="772"/>
              </w:tabs>
              <w:spacing w:line="312" w:lineRule="auto"/>
              <w:rPr>
                <w:rFonts w:hint="default" w:ascii="宋体" w:hAnsi="宋体" w:eastAsia="宋体" w:cs="宋体"/>
                <w:color w:val="auto"/>
                <w:sz w:val="24"/>
                <w:lang w:val="en-US" w:eastAsia="zh-CN"/>
              </w:rPr>
            </w:pPr>
          </w:p>
        </w:tc>
        <w:tc>
          <w:tcPr>
            <w:tcW w:w="6131" w:type="dxa"/>
            <w:tcBorders>
              <w:top w:val="single" w:color="auto" w:sz="4" w:space="0"/>
              <w:left w:val="single" w:color="auto" w:sz="4" w:space="0"/>
              <w:right w:val="single" w:color="auto" w:sz="4" w:space="0"/>
            </w:tcBorders>
            <w:noWrap w:val="0"/>
            <w:vAlign w:val="center"/>
          </w:tcPr>
          <w:p>
            <w:pPr>
              <w:tabs>
                <w:tab w:val="left" w:pos="772"/>
              </w:tabs>
              <w:spacing w:line="312" w:lineRule="auto"/>
              <w:rPr>
                <w:rFonts w:hint="default" w:ascii="宋体" w:hAnsi="宋体" w:eastAsia="宋体" w:cs="宋体"/>
                <w:color w:val="auto"/>
                <w:sz w:val="24"/>
                <w:lang w:val="en-US" w:eastAsia="zh-CN"/>
              </w:rPr>
            </w:pPr>
            <w:r>
              <w:rPr>
                <w:rFonts w:hint="eastAsia" w:ascii="宋体" w:hAnsi="宋体" w:eastAsia="宋体" w:cs="宋体"/>
                <w:color w:val="auto"/>
                <w:sz w:val="24"/>
              </w:rPr>
              <w:t>根据供应商提供的</w:t>
            </w:r>
            <w:r>
              <w:rPr>
                <w:rFonts w:hint="eastAsia" w:ascii="宋体" w:hAnsi="宋体" w:eastAsia="宋体" w:cs="宋体"/>
                <w:color w:val="auto"/>
                <w:sz w:val="24"/>
                <w:lang w:val="en-US" w:eastAsia="zh-CN"/>
              </w:rPr>
              <w:t>启幕式、分站赛</w:t>
            </w:r>
            <w:r>
              <w:rPr>
                <w:rFonts w:hint="eastAsia" w:ascii="宋体" w:hAnsi="宋体" w:eastAsia="宋体" w:cs="宋体"/>
                <w:color w:val="auto"/>
                <w:sz w:val="24"/>
                <w:lang w:eastAsia="zh-Hans"/>
              </w:rPr>
              <w:t>、</w:t>
            </w:r>
            <w:r>
              <w:rPr>
                <w:rFonts w:hint="eastAsia" w:ascii="宋体" w:hAnsi="宋体" w:eastAsia="宋体" w:cs="宋体"/>
                <w:color w:val="auto"/>
                <w:sz w:val="24"/>
                <w:lang w:val="en-US" w:eastAsia="zh-CN"/>
              </w:rPr>
              <w:t>总决赛的安排及</w:t>
            </w:r>
            <w:r>
              <w:rPr>
                <w:rFonts w:hint="eastAsia" w:ascii="宋体" w:hAnsi="宋体" w:eastAsia="宋体" w:cs="宋体"/>
                <w:color w:val="auto"/>
                <w:sz w:val="24"/>
                <w:lang w:val="en-US" w:eastAsia="zh-Hans"/>
              </w:rPr>
              <w:t>设计</w:t>
            </w:r>
            <w:r>
              <w:rPr>
                <w:rFonts w:hint="eastAsia" w:ascii="宋体" w:hAnsi="宋体" w:eastAsia="宋体" w:cs="宋体"/>
                <w:color w:val="auto"/>
                <w:sz w:val="24"/>
              </w:rPr>
              <w:t>方案的科学性进行打分。</w:t>
            </w:r>
          </w:p>
        </w:tc>
        <w:tc>
          <w:tcPr>
            <w:tcW w:w="818" w:type="dxa"/>
            <w:tcBorders>
              <w:top w:val="single" w:color="auto" w:sz="4" w:space="0"/>
              <w:left w:val="single" w:color="auto" w:sz="4" w:space="0"/>
              <w:right w:val="single" w:color="auto" w:sz="4" w:space="0"/>
            </w:tcBorders>
            <w:noWrap w:val="0"/>
            <w:vAlign w:val="center"/>
          </w:tcPr>
          <w:p>
            <w:pPr>
              <w:tabs>
                <w:tab w:val="left" w:pos="772"/>
              </w:tabs>
              <w:spacing w:line="312"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4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217" w:type="dxa"/>
            <w:vMerge w:val="restart"/>
            <w:tcBorders>
              <w:left w:val="single" w:color="auto" w:sz="4" w:space="0"/>
              <w:right w:val="single" w:color="auto" w:sz="4" w:space="0"/>
            </w:tcBorders>
            <w:noWrap w:val="0"/>
            <w:vAlign w:val="center"/>
          </w:tcPr>
          <w:p>
            <w:pPr>
              <w:tabs>
                <w:tab w:val="left" w:pos="772"/>
              </w:tabs>
              <w:spacing w:line="312" w:lineRule="auto"/>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项目征集方案</w:t>
            </w:r>
          </w:p>
        </w:tc>
        <w:tc>
          <w:tcPr>
            <w:tcW w:w="6131" w:type="dxa"/>
            <w:tcBorders>
              <w:top w:val="single" w:color="auto" w:sz="4" w:space="0"/>
              <w:left w:val="single" w:color="auto" w:sz="4" w:space="0"/>
              <w:right w:val="single" w:color="auto" w:sz="4" w:space="0"/>
            </w:tcBorders>
            <w:noWrap w:val="0"/>
            <w:vAlign w:val="center"/>
          </w:tcPr>
          <w:p>
            <w:pPr>
              <w:tabs>
                <w:tab w:val="left" w:pos="772"/>
              </w:tabs>
              <w:spacing w:line="312" w:lineRule="auto"/>
              <w:rPr>
                <w:rFonts w:hint="eastAsia" w:ascii="宋体" w:hAnsi="宋体" w:cs="宋体" w:eastAsiaTheme="minorEastAsia"/>
                <w:kern w:val="2"/>
                <w:sz w:val="24"/>
                <w:szCs w:val="24"/>
                <w:lang w:val="en-US" w:eastAsia="zh-CN" w:bidi="ar-SA"/>
              </w:rPr>
            </w:pPr>
            <w:r>
              <w:rPr>
                <w:rFonts w:hint="eastAsia" w:ascii="宋体" w:hAnsi="宋体" w:eastAsia="宋体" w:cs="宋体"/>
                <w:color w:val="auto"/>
                <w:sz w:val="24"/>
                <w:lang w:val="en-US" w:eastAsia="zh-CN"/>
              </w:rPr>
              <w:t>项目征集方案：按照采购人的要求拟定大赛项目征集方案，方案内需体现项目征集目标要求、项目征集专业服务能力等内容，及其具体实施方法，根据方案的可实施性、合理性打分。</w:t>
            </w:r>
          </w:p>
        </w:tc>
        <w:tc>
          <w:tcPr>
            <w:tcW w:w="818" w:type="dxa"/>
            <w:tcBorders>
              <w:top w:val="single" w:color="auto" w:sz="4" w:space="0"/>
              <w:left w:val="single" w:color="auto" w:sz="4" w:space="0"/>
              <w:right w:val="single" w:color="auto" w:sz="4" w:space="0"/>
            </w:tcBorders>
            <w:noWrap w:val="0"/>
            <w:vAlign w:val="center"/>
          </w:tcPr>
          <w:p>
            <w:pPr>
              <w:tabs>
                <w:tab w:val="left" w:pos="772"/>
              </w:tabs>
              <w:spacing w:line="312" w:lineRule="auto"/>
              <w:jc w:val="center"/>
              <w:rPr>
                <w:rFonts w:hint="default" w:ascii="宋体" w:hAnsi="宋体" w:cs="宋体"/>
                <w:color w:val="auto"/>
                <w:sz w:val="24"/>
                <w:lang w:val="en-US" w:eastAsia="zh-CN"/>
              </w:rPr>
            </w:pPr>
            <w:r>
              <w:rPr>
                <w:rFonts w:hint="eastAsia" w:ascii="宋体" w:hAnsi="宋体" w:cs="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4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217" w:type="dxa"/>
            <w:vMerge w:val="continue"/>
            <w:tcBorders>
              <w:left w:val="single" w:color="auto" w:sz="4" w:space="0"/>
              <w:right w:val="single" w:color="auto" w:sz="4" w:space="0"/>
            </w:tcBorders>
            <w:noWrap w:val="0"/>
            <w:vAlign w:val="center"/>
          </w:tcPr>
          <w:p>
            <w:pPr>
              <w:tabs>
                <w:tab w:val="left" w:pos="772"/>
              </w:tabs>
              <w:spacing w:line="312" w:lineRule="auto"/>
              <w:rPr>
                <w:rFonts w:hint="default" w:ascii="宋体" w:hAnsi="宋体" w:eastAsia="宋体" w:cs="宋体"/>
                <w:color w:val="auto"/>
                <w:sz w:val="24"/>
                <w:lang w:val="en-US" w:eastAsia="zh-CN"/>
              </w:rPr>
            </w:pPr>
          </w:p>
        </w:tc>
        <w:tc>
          <w:tcPr>
            <w:tcW w:w="6131" w:type="dxa"/>
            <w:tcBorders>
              <w:top w:val="single" w:color="auto" w:sz="4" w:space="0"/>
              <w:left w:val="single" w:color="auto" w:sz="4" w:space="0"/>
              <w:right w:val="single" w:color="auto" w:sz="4" w:space="0"/>
            </w:tcBorders>
            <w:noWrap w:val="0"/>
            <w:vAlign w:val="center"/>
          </w:tcPr>
          <w:p>
            <w:pPr>
              <w:tabs>
                <w:tab w:val="left" w:pos="1080"/>
              </w:tabs>
              <w:spacing w:line="312" w:lineRule="auto"/>
              <w:rPr>
                <w:rFonts w:hint="eastAsia" w:ascii="宋体" w:hAnsi="宋体" w:cs="宋体" w:eastAsiaTheme="minorEastAsia"/>
                <w:kern w:val="2"/>
                <w:sz w:val="24"/>
                <w:szCs w:val="24"/>
                <w:lang w:val="en-US" w:eastAsia="zh-CN" w:bidi="ar-SA"/>
              </w:rPr>
            </w:pPr>
            <w:r>
              <w:rPr>
                <w:rFonts w:hint="eastAsia" w:ascii="宋体" w:hAnsi="宋体" w:cs="宋体"/>
                <w:color w:val="auto"/>
                <w:sz w:val="24"/>
              </w:rPr>
              <w:t>项目评审方案：按照采购人要求拟定大赛评审工作方案，</w:t>
            </w:r>
            <w:r>
              <w:rPr>
                <w:rFonts w:hint="eastAsia" w:ascii="宋体" w:hAnsi="宋体" w:cs="宋体"/>
                <w:color w:val="auto"/>
                <w:sz w:val="24"/>
                <w:lang w:val="en-US" w:eastAsia="zh-CN"/>
              </w:rPr>
              <w:t>根据</w:t>
            </w:r>
            <w:r>
              <w:rPr>
                <w:rFonts w:hint="eastAsia" w:ascii="宋体" w:hAnsi="宋体" w:cs="宋体"/>
                <w:color w:val="auto"/>
                <w:sz w:val="24"/>
                <w:lang w:val="en-US" w:eastAsia="zh-Hans"/>
              </w:rPr>
              <w:t>方案</w:t>
            </w:r>
            <w:r>
              <w:rPr>
                <w:rFonts w:hint="eastAsia" w:ascii="宋体" w:hAnsi="宋体" w:cs="宋体"/>
                <w:color w:val="auto"/>
                <w:sz w:val="24"/>
                <w:lang w:val="en-US" w:eastAsia="zh-CN"/>
              </w:rPr>
              <w:t>的</w:t>
            </w:r>
            <w:r>
              <w:rPr>
                <w:rFonts w:hint="eastAsia" w:ascii="宋体" w:hAnsi="宋体" w:cs="宋体"/>
                <w:color w:val="auto"/>
                <w:sz w:val="24"/>
              </w:rPr>
              <w:t>可实施性、合理性</w:t>
            </w:r>
            <w:r>
              <w:rPr>
                <w:rFonts w:hint="eastAsia" w:ascii="宋体" w:hAnsi="宋体" w:cs="宋体"/>
                <w:color w:val="auto"/>
                <w:sz w:val="24"/>
                <w:lang w:val="en-US" w:eastAsia="zh-Hans"/>
              </w:rPr>
              <w:t>打分</w:t>
            </w:r>
            <w:r>
              <w:rPr>
                <w:rFonts w:hint="eastAsia" w:ascii="宋体" w:hAnsi="宋体" w:cs="宋体"/>
                <w:color w:val="auto"/>
                <w:sz w:val="24"/>
                <w:lang w:eastAsia="zh-CN"/>
              </w:rPr>
              <w:t>。</w:t>
            </w:r>
          </w:p>
        </w:tc>
        <w:tc>
          <w:tcPr>
            <w:tcW w:w="818" w:type="dxa"/>
            <w:tcBorders>
              <w:top w:val="single" w:color="auto" w:sz="4" w:space="0"/>
              <w:left w:val="single" w:color="auto" w:sz="4" w:space="0"/>
              <w:right w:val="single" w:color="auto" w:sz="4" w:space="0"/>
            </w:tcBorders>
            <w:noWrap w:val="0"/>
            <w:vAlign w:val="center"/>
          </w:tcPr>
          <w:p>
            <w:pPr>
              <w:tabs>
                <w:tab w:val="left" w:pos="772"/>
              </w:tabs>
              <w:spacing w:line="312" w:lineRule="auto"/>
              <w:jc w:val="center"/>
              <w:rPr>
                <w:rFonts w:hint="default" w:ascii="宋体" w:hAnsi="宋体" w:cs="宋体"/>
                <w:color w:val="auto"/>
                <w:sz w:val="24"/>
                <w:lang w:val="en-US" w:eastAsia="zh-CN"/>
              </w:rPr>
            </w:pPr>
            <w:r>
              <w:rPr>
                <w:rFonts w:hint="eastAsia" w:ascii="宋体" w:hAnsi="宋体" w:cs="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4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217" w:type="dxa"/>
            <w:vMerge w:val="restart"/>
            <w:tcBorders>
              <w:left w:val="single" w:color="auto" w:sz="4" w:space="0"/>
              <w:right w:val="single" w:color="auto" w:sz="4" w:space="0"/>
            </w:tcBorders>
            <w:noWrap w:val="0"/>
            <w:vAlign w:val="center"/>
          </w:tcPr>
          <w:p>
            <w:pPr>
              <w:tabs>
                <w:tab w:val="left" w:pos="772"/>
              </w:tabs>
              <w:spacing w:line="312" w:lineRule="auto"/>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大赛评委保障</w:t>
            </w:r>
          </w:p>
        </w:tc>
        <w:tc>
          <w:tcPr>
            <w:tcW w:w="6131" w:type="dxa"/>
            <w:tcBorders>
              <w:top w:val="single" w:color="auto" w:sz="4" w:space="0"/>
              <w:left w:val="single" w:color="auto" w:sz="4" w:space="0"/>
              <w:right w:val="single" w:color="auto" w:sz="4" w:space="0"/>
            </w:tcBorders>
            <w:noWrap w:val="0"/>
            <w:vAlign w:val="center"/>
          </w:tcPr>
          <w:p>
            <w:pPr>
              <w:tabs>
                <w:tab w:val="left" w:pos="772"/>
              </w:tabs>
              <w:spacing w:line="312" w:lineRule="auto"/>
              <w:rPr>
                <w:rFonts w:hint="eastAsia" w:ascii="宋体" w:hAnsi="宋体" w:eastAsia="宋体" w:cs="宋体"/>
                <w:color w:val="auto"/>
                <w:sz w:val="24"/>
              </w:rPr>
            </w:pPr>
            <w:r>
              <w:rPr>
                <w:rFonts w:hint="eastAsia" w:ascii="宋体" w:hAnsi="宋体" w:cs="宋体"/>
                <w:color w:val="auto"/>
                <w:sz w:val="24"/>
                <w:lang w:val="en-US" w:eastAsia="zh-CN"/>
              </w:rPr>
              <w:t>根据供应商</w:t>
            </w:r>
            <w:r>
              <w:rPr>
                <w:rFonts w:hint="eastAsia" w:ascii="宋体" w:hAnsi="宋体" w:eastAsia="宋体" w:cs="宋体"/>
                <w:color w:val="auto"/>
                <w:sz w:val="24"/>
              </w:rPr>
              <w:t>针对项目</w:t>
            </w:r>
            <w:r>
              <w:rPr>
                <w:rFonts w:hint="eastAsia" w:ascii="宋体" w:hAnsi="宋体" w:cs="宋体"/>
                <w:color w:val="auto"/>
                <w:sz w:val="24"/>
                <w:lang w:val="en-US" w:eastAsia="zh-CN"/>
              </w:rPr>
              <w:t>提出的</w:t>
            </w:r>
            <w:r>
              <w:rPr>
                <w:rFonts w:hint="eastAsia" w:ascii="宋体" w:hAnsi="宋体" w:eastAsia="宋体" w:cs="宋体"/>
                <w:color w:val="auto"/>
                <w:sz w:val="24"/>
              </w:rPr>
              <w:t>评审安排、评委邀请等内容制定详细方案</w:t>
            </w:r>
            <w:r>
              <w:rPr>
                <w:rFonts w:hint="eastAsia" w:ascii="宋体" w:hAnsi="宋体" w:cs="宋体"/>
                <w:color w:val="auto"/>
                <w:sz w:val="24"/>
                <w:lang w:eastAsia="zh-CN"/>
              </w:rPr>
              <w:t>，</w:t>
            </w:r>
            <w:r>
              <w:rPr>
                <w:rFonts w:hint="eastAsia" w:ascii="宋体" w:hAnsi="宋体" w:eastAsia="宋体" w:cs="宋体"/>
                <w:color w:val="auto"/>
                <w:sz w:val="24"/>
              </w:rPr>
              <w:t>根据方案的可实施性、合理性打分。</w:t>
            </w:r>
          </w:p>
        </w:tc>
        <w:tc>
          <w:tcPr>
            <w:tcW w:w="818" w:type="dxa"/>
            <w:tcBorders>
              <w:top w:val="single" w:color="auto" w:sz="4" w:space="0"/>
              <w:left w:val="single" w:color="auto" w:sz="4" w:space="0"/>
              <w:right w:val="single" w:color="auto" w:sz="4" w:space="0"/>
            </w:tcBorders>
            <w:noWrap w:val="0"/>
            <w:vAlign w:val="center"/>
          </w:tcPr>
          <w:p>
            <w:pPr>
              <w:tabs>
                <w:tab w:val="left" w:pos="772"/>
              </w:tabs>
              <w:spacing w:line="312" w:lineRule="auto"/>
              <w:jc w:val="center"/>
              <w:rPr>
                <w:rFonts w:hint="default" w:ascii="宋体" w:hAnsi="宋体" w:cs="宋体"/>
                <w:color w:val="auto"/>
                <w:sz w:val="24"/>
                <w:lang w:val="en-US" w:eastAsia="zh-CN"/>
              </w:rPr>
            </w:pPr>
            <w:r>
              <w:rPr>
                <w:rFonts w:hint="eastAsia" w:ascii="宋体" w:hAnsi="宋体" w:cs="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4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217" w:type="dxa"/>
            <w:vMerge w:val="continue"/>
            <w:tcBorders>
              <w:left w:val="single" w:color="auto" w:sz="4" w:space="0"/>
              <w:right w:val="single" w:color="auto" w:sz="4" w:space="0"/>
            </w:tcBorders>
            <w:noWrap w:val="0"/>
            <w:vAlign w:val="center"/>
          </w:tcPr>
          <w:p>
            <w:pPr>
              <w:tabs>
                <w:tab w:val="left" w:pos="772"/>
              </w:tabs>
              <w:spacing w:line="312" w:lineRule="auto"/>
              <w:jc w:val="center"/>
              <w:rPr>
                <w:rFonts w:hint="eastAsia" w:ascii="宋体" w:hAnsi="宋体" w:cs="宋体"/>
                <w:color w:val="auto"/>
                <w:sz w:val="24"/>
                <w:lang w:val="en-US" w:eastAsia="zh-CN"/>
              </w:rPr>
            </w:pPr>
          </w:p>
        </w:tc>
        <w:tc>
          <w:tcPr>
            <w:tcW w:w="6131" w:type="dxa"/>
            <w:tcBorders>
              <w:top w:val="single" w:color="auto" w:sz="4" w:space="0"/>
              <w:left w:val="single" w:color="auto" w:sz="4" w:space="0"/>
              <w:right w:val="single" w:color="auto" w:sz="4" w:space="0"/>
            </w:tcBorders>
            <w:noWrap w:val="0"/>
            <w:vAlign w:val="center"/>
          </w:tcPr>
          <w:p>
            <w:pPr>
              <w:tabs>
                <w:tab w:val="left" w:pos="772"/>
              </w:tabs>
              <w:spacing w:line="312" w:lineRule="auto"/>
              <w:rPr>
                <w:rFonts w:hint="eastAsia" w:ascii="宋体" w:hAnsi="宋体" w:cs="宋体"/>
                <w:color w:val="auto"/>
                <w:sz w:val="24"/>
                <w:lang w:val="en-US" w:eastAsia="zh-CN"/>
              </w:rPr>
            </w:pPr>
            <w:r>
              <w:rPr>
                <w:rFonts w:hint="eastAsia" w:ascii="宋体" w:hAnsi="宋体" w:cs="宋体"/>
                <w:color w:val="auto"/>
                <w:sz w:val="24"/>
                <w:lang w:val="en-US" w:eastAsia="zh-CN"/>
              </w:rPr>
              <w:t>根据供应商拟邀请的大赛评委的专业度和知名度进行打分(须提供相关介绍文件或证明材料并加盖公章）</w:t>
            </w:r>
          </w:p>
        </w:tc>
        <w:tc>
          <w:tcPr>
            <w:tcW w:w="818" w:type="dxa"/>
            <w:tcBorders>
              <w:top w:val="single" w:color="auto" w:sz="4" w:space="0"/>
              <w:left w:val="single" w:color="auto" w:sz="4" w:space="0"/>
              <w:right w:val="single" w:color="auto" w:sz="4" w:space="0"/>
            </w:tcBorders>
            <w:noWrap w:val="0"/>
            <w:vAlign w:val="center"/>
          </w:tcPr>
          <w:p>
            <w:pPr>
              <w:tabs>
                <w:tab w:val="left" w:pos="772"/>
              </w:tabs>
              <w:spacing w:line="312" w:lineRule="auto"/>
              <w:jc w:val="center"/>
              <w:rPr>
                <w:rFonts w:hint="default" w:ascii="宋体" w:hAnsi="宋体" w:cs="宋体"/>
                <w:color w:val="auto"/>
                <w:sz w:val="24"/>
                <w:lang w:val="en-US" w:eastAsia="zh-CN"/>
              </w:rPr>
            </w:pPr>
            <w:r>
              <w:rPr>
                <w:rFonts w:hint="eastAsia" w:ascii="宋体" w:hAnsi="宋体" w:cs="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4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217" w:type="dxa"/>
            <w:tcBorders>
              <w:left w:val="single" w:color="auto" w:sz="4" w:space="0"/>
              <w:right w:val="single" w:color="auto" w:sz="4" w:space="0"/>
            </w:tcBorders>
            <w:noWrap w:val="0"/>
            <w:vAlign w:val="center"/>
          </w:tcPr>
          <w:p>
            <w:pPr>
              <w:tabs>
                <w:tab w:val="left" w:pos="772"/>
              </w:tabs>
              <w:spacing w:line="312" w:lineRule="auto"/>
              <w:jc w:val="center"/>
              <w:rPr>
                <w:rFonts w:hint="default" w:ascii="宋体" w:hAnsi="宋体" w:cs="宋体"/>
                <w:color w:val="auto"/>
                <w:sz w:val="24"/>
                <w:lang w:val="en-US" w:eastAsia="zh-CN"/>
              </w:rPr>
            </w:pPr>
            <w:r>
              <w:rPr>
                <w:rFonts w:hint="eastAsia" w:ascii="宋体" w:hAnsi="宋体" w:cs="宋体"/>
                <w:color w:val="auto"/>
                <w:sz w:val="24"/>
                <w:lang w:val="en-US" w:eastAsia="zh-CN"/>
              </w:rPr>
              <w:t>资源保障</w:t>
            </w:r>
          </w:p>
        </w:tc>
        <w:tc>
          <w:tcPr>
            <w:tcW w:w="6131" w:type="dxa"/>
            <w:tcBorders>
              <w:top w:val="single" w:color="auto" w:sz="4" w:space="0"/>
              <w:left w:val="single" w:color="auto" w:sz="4" w:space="0"/>
              <w:right w:val="single" w:color="auto" w:sz="4" w:space="0"/>
            </w:tcBorders>
            <w:noWrap w:val="0"/>
            <w:vAlign w:val="center"/>
          </w:tcPr>
          <w:p>
            <w:pPr>
              <w:tabs>
                <w:tab w:val="left" w:pos="772"/>
              </w:tabs>
              <w:spacing w:line="312" w:lineRule="auto"/>
              <w:rPr>
                <w:rFonts w:hint="eastAsia" w:ascii="宋体" w:hAnsi="宋体" w:cs="宋体"/>
                <w:color w:val="auto"/>
                <w:sz w:val="24"/>
                <w:lang w:val="en-US" w:eastAsia="zh-CN"/>
              </w:rPr>
            </w:pPr>
            <w:r>
              <w:rPr>
                <w:rFonts w:hint="eastAsia" w:ascii="宋体" w:hAnsi="宋体" w:cs="宋体"/>
                <w:color w:val="auto"/>
                <w:sz w:val="24"/>
                <w:lang w:val="en-US" w:eastAsia="zh-CN"/>
              </w:rPr>
              <w:t>根据供应商项目资源保障能力进行打分（包括是否有海内外高校、校友会、海内外科创人才协会等合作伙伴，是否有大赛相关专业的项目人才和专家资源等情况）。</w:t>
            </w:r>
          </w:p>
        </w:tc>
        <w:tc>
          <w:tcPr>
            <w:tcW w:w="818" w:type="dxa"/>
            <w:tcBorders>
              <w:top w:val="single" w:color="auto" w:sz="4" w:space="0"/>
              <w:left w:val="single" w:color="auto" w:sz="4" w:space="0"/>
              <w:right w:val="single" w:color="auto" w:sz="4" w:space="0"/>
            </w:tcBorders>
            <w:noWrap w:val="0"/>
            <w:vAlign w:val="center"/>
          </w:tcPr>
          <w:p>
            <w:pPr>
              <w:tabs>
                <w:tab w:val="left" w:pos="772"/>
              </w:tabs>
              <w:spacing w:line="312" w:lineRule="auto"/>
              <w:jc w:val="center"/>
              <w:rPr>
                <w:rFonts w:hint="default" w:ascii="宋体" w:hAnsi="宋体" w:cs="宋体"/>
                <w:color w:val="auto"/>
                <w:sz w:val="24"/>
                <w:lang w:val="en-US" w:eastAsia="zh-CN"/>
              </w:rPr>
            </w:pPr>
            <w:r>
              <w:rPr>
                <w:rFonts w:hint="eastAsia" w:ascii="宋体" w:hAnsi="宋体" w:cs="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84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217" w:type="dxa"/>
            <w:vMerge w:val="restart"/>
            <w:tcBorders>
              <w:left w:val="single" w:color="auto" w:sz="4" w:space="0"/>
              <w:right w:val="single" w:color="auto" w:sz="4" w:space="0"/>
            </w:tcBorders>
            <w:noWrap w:val="0"/>
            <w:vAlign w:val="center"/>
          </w:tcPr>
          <w:p>
            <w:pPr>
              <w:tabs>
                <w:tab w:val="left" w:pos="772"/>
              </w:tabs>
              <w:spacing w:line="312" w:lineRule="auto"/>
              <w:rPr>
                <w:rFonts w:hint="default" w:ascii="宋体" w:hAnsi="宋体" w:eastAsia="宋体" w:cs="宋体"/>
                <w:color w:val="auto"/>
                <w:sz w:val="24"/>
                <w:lang w:val="en-US" w:eastAsia="zh-CN"/>
              </w:rPr>
            </w:pPr>
            <w:r>
              <w:rPr>
                <w:rFonts w:hint="eastAsia" w:ascii="宋体" w:hAnsi="宋体" w:eastAsia="宋体" w:cs="宋体"/>
                <w:color w:val="auto"/>
                <w:sz w:val="24"/>
                <w:lang w:eastAsia="zh-Hans"/>
              </w:rPr>
              <w:t>工作量及进度计划</w:t>
            </w:r>
          </w:p>
        </w:tc>
        <w:tc>
          <w:tcPr>
            <w:tcW w:w="6131" w:type="dxa"/>
            <w:tcBorders>
              <w:top w:val="single" w:color="auto" w:sz="4" w:space="0"/>
              <w:left w:val="single" w:color="auto" w:sz="4" w:space="0"/>
              <w:right w:val="single" w:color="auto" w:sz="4" w:space="0"/>
            </w:tcBorders>
            <w:noWrap w:val="0"/>
            <w:vAlign w:val="center"/>
          </w:tcPr>
          <w:p>
            <w:pPr>
              <w:tabs>
                <w:tab w:val="left" w:pos="772"/>
              </w:tabs>
              <w:spacing w:line="312" w:lineRule="auto"/>
              <w:rPr>
                <w:rFonts w:hint="eastAsia" w:ascii="宋体" w:hAnsi="宋体" w:cs="宋体" w:eastAsiaTheme="minorEastAsia"/>
                <w:kern w:val="2"/>
                <w:sz w:val="24"/>
                <w:szCs w:val="24"/>
                <w:lang w:val="en-US" w:eastAsia="zh-CN" w:bidi="ar-SA"/>
              </w:rPr>
            </w:pPr>
            <w:r>
              <w:rPr>
                <w:rFonts w:hint="eastAsia" w:ascii="宋体" w:hAnsi="宋体" w:cs="宋体"/>
                <w:spacing w:val="1"/>
                <w:sz w:val="24"/>
                <w:szCs w:val="24"/>
              </w:rPr>
              <w:t>根据</w:t>
            </w:r>
            <w:r>
              <w:rPr>
                <w:rFonts w:hint="eastAsia" w:ascii="宋体" w:hAnsi="宋体" w:cs="宋体"/>
                <w:color w:val="auto"/>
                <w:sz w:val="24"/>
                <w:lang w:val="en-US" w:eastAsia="zh-CN"/>
              </w:rPr>
              <w:t>供应商</w:t>
            </w:r>
            <w:r>
              <w:rPr>
                <w:rFonts w:hint="eastAsia" w:ascii="宋体" w:hAnsi="宋体" w:cs="宋体"/>
                <w:spacing w:val="1"/>
                <w:sz w:val="24"/>
                <w:szCs w:val="24"/>
              </w:rPr>
              <w:t>工作量及计划安排内容是否充实，表述是否清晰，合理性、可行性进行综合打分。</w:t>
            </w:r>
          </w:p>
        </w:tc>
        <w:tc>
          <w:tcPr>
            <w:tcW w:w="818" w:type="dxa"/>
            <w:tcBorders>
              <w:top w:val="single" w:color="auto" w:sz="4" w:space="0"/>
              <w:left w:val="single" w:color="auto" w:sz="4" w:space="0"/>
              <w:right w:val="single" w:color="auto" w:sz="4" w:space="0"/>
            </w:tcBorders>
            <w:noWrap w:val="0"/>
            <w:vAlign w:val="center"/>
          </w:tcPr>
          <w:p>
            <w:pPr>
              <w:tabs>
                <w:tab w:val="left" w:pos="772"/>
              </w:tabs>
              <w:spacing w:line="312"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84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217" w:type="dxa"/>
            <w:vMerge w:val="continue"/>
            <w:tcBorders>
              <w:left w:val="single" w:color="auto" w:sz="4" w:space="0"/>
              <w:right w:val="single" w:color="auto" w:sz="4" w:space="0"/>
            </w:tcBorders>
            <w:noWrap w:val="0"/>
            <w:vAlign w:val="center"/>
          </w:tcPr>
          <w:p>
            <w:pPr>
              <w:tabs>
                <w:tab w:val="left" w:pos="772"/>
              </w:tabs>
              <w:spacing w:line="312" w:lineRule="auto"/>
              <w:rPr>
                <w:rFonts w:hint="eastAsia" w:ascii="宋体" w:hAnsi="宋体" w:eastAsia="宋体" w:cs="宋体"/>
                <w:color w:val="auto"/>
                <w:sz w:val="24"/>
                <w:lang w:eastAsia="zh-Hans"/>
              </w:rPr>
            </w:pPr>
          </w:p>
        </w:tc>
        <w:tc>
          <w:tcPr>
            <w:tcW w:w="6131" w:type="dxa"/>
            <w:tcBorders>
              <w:top w:val="single" w:color="auto" w:sz="4" w:space="0"/>
              <w:left w:val="single" w:color="auto" w:sz="4" w:space="0"/>
              <w:right w:val="single" w:color="auto" w:sz="4" w:space="0"/>
            </w:tcBorders>
            <w:noWrap w:val="0"/>
            <w:vAlign w:val="center"/>
          </w:tcPr>
          <w:p>
            <w:pPr>
              <w:tabs>
                <w:tab w:val="left" w:pos="772"/>
              </w:tabs>
              <w:spacing w:line="312" w:lineRule="auto"/>
              <w:rPr>
                <w:rFonts w:hint="eastAsia" w:ascii="宋体" w:hAnsi="宋体" w:cs="宋体" w:eastAsiaTheme="minorEastAsia"/>
                <w:kern w:val="2"/>
                <w:sz w:val="24"/>
                <w:szCs w:val="24"/>
                <w:lang w:val="en-US" w:eastAsia="zh-CN" w:bidi="ar-SA"/>
              </w:rPr>
            </w:pPr>
            <w:r>
              <w:rPr>
                <w:rFonts w:hint="eastAsia" w:ascii="宋体" w:hAnsi="宋体" w:cs="宋体"/>
                <w:sz w:val="24"/>
                <w:szCs w:val="24"/>
              </w:rPr>
              <w:t>根据供应商的进度保证措施的科学性、合理性进行打分。</w:t>
            </w:r>
          </w:p>
        </w:tc>
        <w:tc>
          <w:tcPr>
            <w:tcW w:w="818" w:type="dxa"/>
            <w:tcBorders>
              <w:top w:val="single" w:color="auto" w:sz="4" w:space="0"/>
              <w:left w:val="single" w:color="auto" w:sz="4" w:space="0"/>
              <w:right w:val="single" w:color="auto" w:sz="4" w:space="0"/>
            </w:tcBorders>
            <w:noWrap w:val="0"/>
            <w:vAlign w:val="center"/>
          </w:tcPr>
          <w:p>
            <w:pPr>
              <w:tabs>
                <w:tab w:val="left" w:pos="772"/>
              </w:tabs>
              <w:spacing w:line="312" w:lineRule="auto"/>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4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217" w:type="dxa"/>
            <w:tcBorders>
              <w:left w:val="single" w:color="auto" w:sz="4" w:space="0"/>
              <w:right w:val="single" w:color="auto" w:sz="4" w:space="0"/>
            </w:tcBorders>
            <w:noWrap w:val="0"/>
            <w:vAlign w:val="center"/>
          </w:tcPr>
          <w:p>
            <w:pPr>
              <w:spacing w:line="312" w:lineRule="auto"/>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人员配备</w:t>
            </w:r>
          </w:p>
        </w:tc>
        <w:tc>
          <w:tcPr>
            <w:tcW w:w="6131" w:type="dxa"/>
            <w:tcBorders>
              <w:top w:val="single" w:color="auto" w:sz="4" w:space="0"/>
              <w:left w:val="single" w:color="auto" w:sz="4" w:space="0"/>
              <w:right w:val="single" w:color="auto" w:sz="4" w:space="0"/>
            </w:tcBorders>
            <w:noWrap w:val="0"/>
            <w:vAlign w:val="center"/>
          </w:tcPr>
          <w:p>
            <w:pPr>
              <w:tabs>
                <w:tab w:val="left" w:pos="772"/>
              </w:tabs>
              <w:spacing w:line="312" w:lineRule="auto"/>
              <w:rPr>
                <w:rFonts w:hint="eastAsia" w:ascii="宋体" w:hAnsi="宋体" w:cs="宋体"/>
                <w:color w:val="auto"/>
                <w:sz w:val="24"/>
              </w:rPr>
            </w:pPr>
            <w:r>
              <w:rPr>
                <w:rFonts w:hint="eastAsia" w:ascii="宋体" w:hAnsi="宋体" w:cs="宋体"/>
                <w:color w:val="auto"/>
                <w:sz w:val="24"/>
                <w:lang w:val="en-US" w:eastAsia="zh-CN"/>
              </w:rPr>
              <w:t>根据供应商拟派项目组人员配备充足程度，岗位设置、人员结构的合理性进行打分。</w:t>
            </w:r>
          </w:p>
        </w:tc>
        <w:tc>
          <w:tcPr>
            <w:tcW w:w="818" w:type="dxa"/>
            <w:tcBorders>
              <w:top w:val="single" w:color="auto" w:sz="4" w:space="0"/>
              <w:left w:val="single" w:color="auto" w:sz="4" w:space="0"/>
              <w:right w:val="single" w:color="auto" w:sz="4" w:space="0"/>
            </w:tcBorders>
            <w:noWrap w:val="0"/>
            <w:vAlign w:val="center"/>
          </w:tcPr>
          <w:p>
            <w:pPr>
              <w:tabs>
                <w:tab w:val="left" w:pos="1080"/>
              </w:tabs>
              <w:spacing w:line="312"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84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217" w:type="dxa"/>
            <w:vMerge w:val="restart"/>
            <w:tcBorders>
              <w:left w:val="single" w:color="auto" w:sz="4" w:space="0"/>
              <w:right w:val="single" w:color="auto" w:sz="4" w:space="0"/>
            </w:tcBorders>
            <w:noWrap w:val="0"/>
            <w:vAlign w:val="center"/>
          </w:tcPr>
          <w:p>
            <w:pPr>
              <w:tabs>
                <w:tab w:val="left" w:pos="1080"/>
              </w:tabs>
              <w:spacing w:line="312" w:lineRule="auto"/>
              <w:jc w:val="center"/>
              <w:rPr>
                <w:rFonts w:hint="eastAsia" w:ascii="宋体" w:hAnsi="宋体" w:cs="宋体"/>
                <w:color w:val="auto"/>
                <w:sz w:val="24"/>
                <w:lang w:val="en-US" w:eastAsia="zh-CN"/>
              </w:rPr>
            </w:pPr>
            <w:r>
              <w:rPr>
                <w:rFonts w:hint="eastAsia" w:ascii="宋体" w:hAnsi="宋体" w:cs="宋体"/>
                <w:color w:val="auto"/>
                <w:sz w:val="24"/>
                <w:lang w:val="en-US" w:eastAsia="zh-CN"/>
              </w:rPr>
              <w:t>项目落地</w:t>
            </w:r>
          </w:p>
          <w:p>
            <w:pPr>
              <w:tabs>
                <w:tab w:val="left" w:pos="1080"/>
              </w:tabs>
              <w:spacing w:line="312" w:lineRule="auto"/>
              <w:jc w:val="center"/>
              <w:rPr>
                <w:rFonts w:hint="eastAsia" w:ascii="宋体" w:hAnsi="宋体" w:cs="宋体"/>
                <w:color w:val="auto"/>
                <w:sz w:val="24"/>
                <w:lang w:val="en-US" w:eastAsia="zh-CN"/>
              </w:rPr>
            </w:pPr>
            <w:r>
              <w:rPr>
                <w:rFonts w:hint="eastAsia" w:ascii="宋体" w:hAnsi="宋体" w:cs="宋体"/>
                <w:color w:val="auto"/>
                <w:sz w:val="24"/>
                <w:lang w:val="en-US" w:eastAsia="zh-CN"/>
              </w:rPr>
              <w:t>服务</w:t>
            </w:r>
          </w:p>
        </w:tc>
        <w:tc>
          <w:tcPr>
            <w:tcW w:w="6131" w:type="dxa"/>
            <w:tcBorders>
              <w:top w:val="single" w:color="auto" w:sz="4" w:space="0"/>
              <w:left w:val="single" w:color="auto" w:sz="4" w:space="0"/>
              <w:right w:val="single" w:color="auto" w:sz="4" w:space="0"/>
            </w:tcBorders>
            <w:noWrap w:val="0"/>
            <w:vAlign w:val="center"/>
          </w:tcPr>
          <w:p>
            <w:pPr>
              <w:tabs>
                <w:tab w:val="left" w:pos="1080"/>
              </w:tabs>
              <w:spacing w:line="312" w:lineRule="auto"/>
              <w:rPr>
                <w:rFonts w:hint="default" w:ascii="宋体" w:hAnsi="宋体" w:cs="宋体"/>
                <w:color w:val="auto"/>
                <w:sz w:val="24"/>
                <w:lang w:val="en-US" w:eastAsia="zh-CN"/>
              </w:rPr>
            </w:pPr>
            <w:r>
              <w:rPr>
                <w:rFonts w:hint="eastAsia" w:ascii="宋体" w:hAnsi="宋体" w:cs="宋体"/>
                <w:color w:val="auto"/>
                <w:sz w:val="24"/>
                <w:lang w:val="en-US" w:eastAsia="zh-CN"/>
              </w:rPr>
              <w:t>根据供应商提供的项目落地推动方案，对方完备性、合理性、可实施性进行打分。</w:t>
            </w:r>
          </w:p>
        </w:tc>
        <w:tc>
          <w:tcPr>
            <w:tcW w:w="818" w:type="dxa"/>
            <w:tcBorders>
              <w:top w:val="single" w:color="auto" w:sz="4" w:space="0"/>
              <w:left w:val="single" w:color="auto" w:sz="4" w:space="0"/>
              <w:right w:val="single" w:color="auto" w:sz="4" w:space="0"/>
            </w:tcBorders>
            <w:noWrap w:val="0"/>
            <w:vAlign w:val="center"/>
          </w:tcPr>
          <w:p>
            <w:pPr>
              <w:tabs>
                <w:tab w:val="left" w:pos="1080"/>
              </w:tabs>
              <w:spacing w:line="312"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84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217" w:type="dxa"/>
            <w:vMerge w:val="continue"/>
            <w:tcBorders>
              <w:left w:val="single" w:color="auto" w:sz="4" w:space="0"/>
              <w:right w:val="single" w:color="auto" w:sz="4" w:space="0"/>
            </w:tcBorders>
            <w:noWrap w:val="0"/>
            <w:vAlign w:val="center"/>
          </w:tcPr>
          <w:p>
            <w:pPr>
              <w:tabs>
                <w:tab w:val="left" w:pos="1080"/>
              </w:tabs>
              <w:spacing w:line="312" w:lineRule="auto"/>
              <w:jc w:val="center"/>
              <w:rPr>
                <w:rFonts w:hint="eastAsia" w:ascii="宋体" w:hAnsi="宋体" w:cs="宋体"/>
                <w:color w:val="auto"/>
                <w:sz w:val="24"/>
                <w:lang w:val="en-US" w:eastAsia="zh-CN"/>
              </w:rPr>
            </w:pPr>
          </w:p>
        </w:tc>
        <w:tc>
          <w:tcPr>
            <w:tcW w:w="6131" w:type="dxa"/>
            <w:tcBorders>
              <w:top w:val="single" w:color="auto" w:sz="4" w:space="0"/>
              <w:left w:val="single" w:color="auto" w:sz="4" w:space="0"/>
              <w:right w:val="single" w:color="auto" w:sz="4" w:space="0"/>
            </w:tcBorders>
            <w:noWrap w:val="0"/>
            <w:vAlign w:val="center"/>
          </w:tcPr>
          <w:p>
            <w:pPr>
              <w:tabs>
                <w:tab w:val="left" w:pos="1080"/>
              </w:tabs>
              <w:spacing w:line="312" w:lineRule="auto"/>
              <w:rPr>
                <w:rFonts w:hint="default" w:ascii="宋体" w:hAnsi="宋体" w:cs="宋体"/>
                <w:color w:val="auto"/>
                <w:sz w:val="24"/>
                <w:lang w:val="en-US" w:eastAsia="zh-CN"/>
              </w:rPr>
            </w:pPr>
            <w:r>
              <w:rPr>
                <w:rFonts w:hint="eastAsia" w:ascii="宋体" w:hAnsi="宋体" w:cs="宋体"/>
                <w:color w:val="auto"/>
                <w:sz w:val="24"/>
                <w:lang w:val="en-US" w:eastAsia="zh-CN"/>
              </w:rPr>
              <w:t>供应商自2020年1月1日以来，每引进落实1个科技人才类项目的得1分，本项最高得5分。（须提供落地项目单位的营业执照及相关证明文件）。注：落地项目所在业绩与商务要求表中的供应商业绩需不同，否则此项不得分。</w:t>
            </w:r>
          </w:p>
        </w:tc>
        <w:tc>
          <w:tcPr>
            <w:tcW w:w="818" w:type="dxa"/>
            <w:tcBorders>
              <w:top w:val="single" w:color="auto" w:sz="4" w:space="0"/>
              <w:left w:val="single" w:color="auto" w:sz="4" w:space="0"/>
              <w:right w:val="single" w:color="auto" w:sz="4" w:space="0"/>
            </w:tcBorders>
            <w:noWrap w:val="0"/>
            <w:vAlign w:val="center"/>
          </w:tcPr>
          <w:p>
            <w:pPr>
              <w:tabs>
                <w:tab w:val="left" w:pos="1080"/>
              </w:tabs>
              <w:spacing w:line="312" w:lineRule="auto"/>
              <w:jc w:val="center"/>
              <w:rPr>
                <w:rFonts w:hint="default" w:ascii="宋体" w:hAnsi="宋体" w:cs="宋体"/>
                <w:color w:val="auto"/>
                <w:sz w:val="24"/>
                <w:lang w:val="en-US" w:eastAsia="zh-CN"/>
              </w:rPr>
            </w:pPr>
            <w:r>
              <w:rPr>
                <w:rFonts w:hint="eastAsia" w:ascii="宋体" w:hAnsi="宋体" w:cs="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4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217" w:type="dxa"/>
            <w:tcBorders>
              <w:left w:val="single" w:color="auto" w:sz="4" w:space="0"/>
              <w:right w:val="single" w:color="auto" w:sz="4" w:space="0"/>
            </w:tcBorders>
            <w:noWrap w:val="0"/>
            <w:vAlign w:val="center"/>
          </w:tcPr>
          <w:p>
            <w:pPr>
              <w:tabs>
                <w:tab w:val="left" w:pos="1080"/>
              </w:tabs>
              <w:spacing w:line="312" w:lineRule="auto"/>
              <w:jc w:val="center"/>
              <w:rPr>
                <w:rFonts w:hint="default" w:ascii="宋体" w:hAnsi="宋体" w:cs="宋体"/>
                <w:color w:val="auto"/>
                <w:sz w:val="24"/>
                <w:lang w:val="en-US" w:eastAsia="zh-CN"/>
              </w:rPr>
            </w:pPr>
            <w:r>
              <w:rPr>
                <w:rFonts w:hint="default" w:ascii="宋体" w:hAnsi="宋体" w:cs="宋体"/>
                <w:color w:val="auto"/>
                <w:sz w:val="24"/>
                <w:lang w:val="en-US" w:eastAsia="zh-CN"/>
              </w:rPr>
              <w:t>宣传方案</w:t>
            </w:r>
          </w:p>
        </w:tc>
        <w:tc>
          <w:tcPr>
            <w:tcW w:w="6131" w:type="dxa"/>
            <w:tcBorders>
              <w:top w:val="single" w:color="auto" w:sz="4" w:space="0"/>
              <w:left w:val="single" w:color="auto" w:sz="4" w:space="0"/>
              <w:right w:val="single" w:color="auto" w:sz="4" w:space="0"/>
            </w:tcBorders>
            <w:noWrap w:val="0"/>
            <w:vAlign w:val="center"/>
          </w:tcPr>
          <w:p>
            <w:pPr>
              <w:tabs>
                <w:tab w:val="left" w:pos="1080"/>
              </w:tabs>
              <w:spacing w:line="312" w:lineRule="auto"/>
              <w:rPr>
                <w:rFonts w:hint="default" w:ascii="宋体" w:hAnsi="宋体" w:cs="宋体"/>
                <w:color w:val="auto"/>
                <w:sz w:val="24"/>
                <w:lang w:val="en-US" w:eastAsia="zh-CN"/>
              </w:rPr>
            </w:pPr>
            <w:r>
              <w:rPr>
                <w:rFonts w:hint="eastAsia" w:ascii="宋体" w:hAnsi="宋体" w:cs="宋体"/>
                <w:color w:val="auto"/>
                <w:sz w:val="24"/>
                <w:lang w:val="en-US" w:eastAsia="zh-CN"/>
              </w:rPr>
              <w:t>根据供应商提供的大赛宣传方案的可实施性、合理性打分。</w:t>
            </w:r>
          </w:p>
        </w:tc>
        <w:tc>
          <w:tcPr>
            <w:tcW w:w="818" w:type="dxa"/>
            <w:tcBorders>
              <w:top w:val="single" w:color="auto" w:sz="4" w:space="0"/>
              <w:left w:val="single" w:color="auto" w:sz="4" w:space="0"/>
              <w:right w:val="single" w:color="auto" w:sz="4" w:space="0"/>
            </w:tcBorders>
            <w:noWrap w:val="0"/>
            <w:vAlign w:val="center"/>
          </w:tcPr>
          <w:p>
            <w:pPr>
              <w:tabs>
                <w:tab w:val="left" w:pos="1080"/>
              </w:tabs>
              <w:spacing w:line="312"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4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217" w:type="dxa"/>
            <w:tcBorders>
              <w:left w:val="single" w:color="auto" w:sz="4" w:space="0"/>
              <w:right w:val="single" w:color="auto" w:sz="4" w:space="0"/>
            </w:tcBorders>
            <w:noWrap w:val="0"/>
            <w:vAlign w:val="center"/>
          </w:tcPr>
          <w:p>
            <w:pPr>
              <w:tabs>
                <w:tab w:val="left" w:pos="1080"/>
              </w:tabs>
              <w:spacing w:line="312" w:lineRule="auto"/>
              <w:jc w:val="center"/>
              <w:rPr>
                <w:rFonts w:hint="default" w:ascii="宋体" w:hAnsi="宋体" w:cs="宋体"/>
                <w:color w:val="auto"/>
                <w:sz w:val="24"/>
                <w:lang w:val="en-US" w:eastAsia="zh-CN"/>
              </w:rPr>
            </w:pPr>
            <w:r>
              <w:rPr>
                <w:rFonts w:hint="eastAsia" w:ascii="宋体" w:hAnsi="宋体" w:cs="宋体"/>
                <w:color w:val="auto"/>
                <w:sz w:val="24"/>
                <w:lang w:val="en-US" w:eastAsia="zh-CN"/>
              </w:rPr>
              <w:t>重难点分析</w:t>
            </w:r>
          </w:p>
        </w:tc>
        <w:tc>
          <w:tcPr>
            <w:tcW w:w="6131" w:type="dxa"/>
            <w:tcBorders>
              <w:top w:val="single" w:color="auto" w:sz="4" w:space="0"/>
              <w:left w:val="single" w:color="auto" w:sz="4" w:space="0"/>
              <w:right w:val="single" w:color="auto" w:sz="4" w:space="0"/>
            </w:tcBorders>
            <w:noWrap w:val="0"/>
            <w:vAlign w:val="center"/>
          </w:tcPr>
          <w:p>
            <w:pPr>
              <w:tabs>
                <w:tab w:val="left" w:pos="1080"/>
              </w:tabs>
              <w:spacing w:line="312" w:lineRule="auto"/>
              <w:rPr>
                <w:rFonts w:hint="default" w:ascii="宋体" w:hAnsi="宋体" w:cs="宋体"/>
                <w:color w:val="auto"/>
                <w:sz w:val="24"/>
                <w:lang w:val="en-US" w:eastAsia="zh-CN"/>
              </w:rPr>
            </w:pPr>
            <w:r>
              <w:rPr>
                <w:rFonts w:hint="eastAsia" w:ascii="宋体" w:hAnsi="宋体" w:cs="宋体"/>
                <w:color w:val="auto"/>
                <w:sz w:val="24"/>
                <w:lang w:val="en-US" w:eastAsia="zh-CN"/>
              </w:rPr>
              <w:t>供应商根据本项目进行重点、难点分析，并提出重难点解决措施，根据其分析的合理性、可实施性进行打分。</w:t>
            </w:r>
          </w:p>
        </w:tc>
        <w:tc>
          <w:tcPr>
            <w:tcW w:w="818" w:type="dxa"/>
            <w:tcBorders>
              <w:top w:val="single" w:color="auto" w:sz="4" w:space="0"/>
              <w:left w:val="single" w:color="auto" w:sz="4" w:space="0"/>
              <w:right w:val="single" w:color="auto" w:sz="4" w:space="0"/>
            </w:tcBorders>
            <w:noWrap w:val="0"/>
            <w:vAlign w:val="center"/>
          </w:tcPr>
          <w:p>
            <w:pPr>
              <w:tabs>
                <w:tab w:val="left" w:pos="1080"/>
              </w:tabs>
              <w:spacing w:line="312" w:lineRule="auto"/>
              <w:jc w:val="center"/>
              <w:rPr>
                <w:rFonts w:hint="default" w:ascii="宋体" w:hAnsi="宋体" w:cs="宋体"/>
                <w:color w:val="auto"/>
                <w:sz w:val="24"/>
                <w:lang w:val="en-US" w:eastAsia="zh-CN"/>
              </w:rPr>
            </w:pPr>
            <w:r>
              <w:rPr>
                <w:rFonts w:hint="eastAsia" w:ascii="宋体" w:hAnsi="宋体" w:cs="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84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1217" w:type="dxa"/>
            <w:tcBorders>
              <w:left w:val="single" w:color="auto" w:sz="4" w:space="0"/>
              <w:right w:val="single" w:color="auto" w:sz="4" w:space="0"/>
            </w:tcBorders>
            <w:noWrap w:val="0"/>
            <w:vAlign w:val="center"/>
          </w:tcPr>
          <w:p>
            <w:pPr>
              <w:tabs>
                <w:tab w:val="right" w:pos="5207"/>
              </w:tabs>
              <w:spacing w:line="312" w:lineRule="auto"/>
              <w:jc w:val="center"/>
              <w:rPr>
                <w:rFonts w:hint="eastAsia" w:ascii="宋体" w:hAnsi="宋体" w:cs="宋体"/>
                <w:color w:val="auto"/>
                <w:sz w:val="24"/>
              </w:rPr>
            </w:pPr>
            <w:r>
              <w:rPr>
                <w:rFonts w:hint="eastAsia" w:ascii="宋体" w:hAnsi="宋体" w:cs="宋体"/>
                <w:color w:val="auto"/>
                <w:sz w:val="24"/>
              </w:rPr>
              <w:t>应急方案</w:t>
            </w:r>
          </w:p>
        </w:tc>
        <w:tc>
          <w:tcPr>
            <w:tcW w:w="6131" w:type="dxa"/>
            <w:tcBorders>
              <w:top w:val="single" w:color="auto" w:sz="4" w:space="0"/>
              <w:left w:val="single" w:color="auto" w:sz="4" w:space="0"/>
              <w:right w:val="single" w:color="auto" w:sz="4" w:space="0"/>
            </w:tcBorders>
            <w:noWrap w:val="0"/>
            <w:vAlign w:val="center"/>
          </w:tcPr>
          <w:p>
            <w:pPr>
              <w:tabs>
                <w:tab w:val="left" w:pos="1080"/>
              </w:tabs>
              <w:spacing w:line="312" w:lineRule="auto"/>
              <w:rPr>
                <w:rFonts w:hint="default" w:ascii="宋体" w:hAnsi="宋体" w:eastAsia="宋体" w:cs="宋体"/>
                <w:color w:val="auto"/>
                <w:sz w:val="24"/>
                <w:lang w:val="en-US" w:eastAsia="zh-CN"/>
              </w:rPr>
            </w:pPr>
            <w:r>
              <w:rPr>
                <w:rFonts w:hint="eastAsia" w:ascii="宋体" w:hAnsi="宋体" w:cs="宋体"/>
                <w:color w:val="auto"/>
                <w:sz w:val="24"/>
                <w:lang w:val="en-US" w:eastAsia="zh-CN"/>
              </w:rPr>
              <w:t>根据供应商提供的应急、安全、预案完整性及可行性等方面横向比较进行打分。</w:t>
            </w:r>
          </w:p>
        </w:tc>
        <w:tc>
          <w:tcPr>
            <w:tcW w:w="818" w:type="dxa"/>
            <w:tcBorders>
              <w:top w:val="single" w:color="auto" w:sz="4" w:space="0"/>
              <w:left w:val="single" w:color="auto" w:sz="4" w:space="0"/>
              <w:right w:val="single" w:color="auto" w:sz="4" w:space="0"/>
            </w:tcBorders>
            <w:noWrap w:val="0"/>
            <w:vAlign w:val="center"/>
          </w:tcPr>
          <w:p>
            <w:pPr>
              <w:spacing w:line="312"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057" w:type="dxa"/>
            <w:gridSpan w:val="2"/>
            <w:vMerge w:val="restart"/>
            <w:tcBorders>
              <w:left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color w:val="auto"/>
                <w:kern w:val="0"/>
                <w:sz w:val="24"/>
              </w:rPr>
            </w:pPr>
            <w:r>
              <w:rPr>
                <w:rFonts w:hint="eastAsia" w:ascii="宋体" w:hAnsi="宋体" w:eastAsia="宋体" w:cs="宋体"/>
                <w:color w:val="auto"/>
                <w:kern w:val="0"/>
                <w:sz w:val="24"/>
              </w:rPr>
              <w:t>商务资信</w:t>
            </w:r>
          </w:p>
          <w:p>
            <w:pPr>
              <w:autoSpaceDE w:val="0"/>
              <w:autoSpaceDN w:val="0"/>
              <w:adjustRightInd w:val="0"/>
              <w:jc w:val="center"/>
              <w:rPr>
                <w:rFonts w:hint="eastAsia" w:ascii="宋体" w:hAnsi="宋体" w:eastAsia="宋体" w:cs="宋体"/>
                <w:color w:val="auto"/>
                <w:kern w:val="0"/>
                <w:sz w:val="24"/>
              </w:rPr>
            </w:pPr>
            <w:r>
              <w:rPr>
                <w:rFonts w:hint="eastAsia" w:ascii="宋体" w:hAnsi="宋体" w:eastAsia="宋体" w:cs="宋体"/>
                <w:color w:val="auto"/>
                <w:kern w:val="0"/>
                <w:sz w:val="24"/>
              </w:rPr>
              <w:t>（</w:t>
            </w:r>
            <w:r>
              <w:rPr>
                <w:rFonts w:hint="eastAsia" w:ascii="宋体" w:hAnsi="宋体" w:cs="宋体"/>
                <w:color w:val="auto"/>
                <w:kern w:val="0"/>
                <w:sz w:val="24"/>
                <w:lang w:val="en-US" w:eastAsia="zh-CN"/>
              </w:rPr>
              <w:t>4</w:t>
            </w:r>
            <w:r>
              <w:rPr>
                <w:rFonts w:hint="eastAsia" w:ascii="宋体" w:hAnsi="宋体" w:eastAsia="宋体" w:cs="宋体"/>
                <w:color w:val="auto"/>
                <w:kern w:val="0"/>
                <w:sz w:val="24"/>
              </w:rPr>
              <w:t>）</w:t>
            </w:r>
          </w:p>
        </w:tc>
        <w:tc>
          <w:tcPr>
            <w:tcW w:w="6131" w:type="dxa"/>
            <w:tcBorders>
              <w:left w:val="single" w:color="auto" w:sz="4" w:space="0"/>
              <w:right w:val="single" w:color="auto" w:sz="4" w:space="0"/>
            </w:tcBorders>
            <w:noWrap w:val="0"/>
            <w:vAlign w:val="center"/>
          </w:tcPr>
          <w:p>
            <w:pPr>
              <w:spacing w:line="360" w:lineRule="auto"/>
              <w:jc w:val="left"/>
              <w:rPr>
                <w:rFonts w:ascii="宋体" w:hAnsi="宋体" w:cs="宋体"/>
                <w:color w:val="auto"/>
                <w:sz w:val="24"/>
              </w:rPr>
            </w:pPr>
            <w:r>
              <w:rPr>
                <w:rFonts w:hint="eastAsia" w:ascii="宋体" w:hAnsi="宋体" w:cs="宋体"/>
                <w:color w:val="auto"/>
                <w:sz w:val="24"/>
                <w:lang w:val="en-US" w:eastAsia="zh-CN"/>
              </w:rPr>
              <w:t>供应商</w:t>
            </w:r>
            <w:r>
              <w:rPr>
                <w:rFonts w:hint="eastAsia" w:ascii="宋体" w:hAnsi="宋体" w:cs="宋体"/>
                <w:color w:val="auto"/>
                <w:sz w:val="24"/>
              </w:rPr>
              <w:t>业绩</w:t>
            </w:r>
            <w:r>
              <w:rPr>
                <w:rFonts w:hint="eastAsia" w:ascii="宋体" w:hAnsi="宋体" w:cs="宋体"/>
                <w:b/>
                <w:color w:val="auto"/>
                <w:sz w:val="24"/>
              </w:rPr>
              <w:t>（具体详见商务要求表）</w:t>
            </w:r>
          </w:p>
        </w:tc>
        <w:tc>
          <w:tcPr>
            <w:tcW w:w="818" w:type="dxa"/>
            <w:tcBorders>
              <w:left w:val="single" w:color="auto" w:sz="4" w:space="0"/>
              <w:right w:val="single" w:color="auto" w:sz="4" w:space="0"/>
            </w:tcBorders>
            <w:noWrap w:val="0"/>
            <w:vAlign w:val="center"/>
          </w:tcPr>
          <w:p>
            <w:pPr>
              <w:tabs>
                <w:tab w:val="left" w:pos="772"/>
              </w:tabs>
              <w:spacing w:line="312"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2057" w:type="dxa"/>
            <w:gridSpan w:val="2"/>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p>
        </w:tc>
        <w:tc>
          <w:tcPr>
            <w:tcW w:w="6131" w:type="dxa"/>
            <w:tcBorders>
              <w:left w:val="single" w:color="auto" w:sz="4" w:space="0"/>
              <w:right w:val="single" w:color="auto" w:sz="4" w:space="0"/>
            </w:tcBorders>
            <w:noWrap w:val="0"/>
            <w:vAlign w:val="center"/>
          </w:tcPr>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人员证书</w:t>
            </w:r>
            <w:r>
              <w:rPr>
                <w:rFonts w:hint="eastAsia" w:ascii="宋体" w:hAnsi="宋体" w:cs="宋体"/>
                <w:b/>
                <w:color w:val="auto"/>
                <w:sz w:val="24"/>
              </w:rPr>
              <w:t>（具体详见商务要求表）</w:t>
            </w:r>
          </w:p>
        </w:tc>
        <w:tc>
          <w:tcPr>
            <w:tcW w:w="818" w:type="dxa"/>
            <w:tcBorders>
              <w:left w:val="single" w:color="auto" w:sz="4" w:space="0"/>
              <w:right w:val="single" w:color="auto" w:sz="4" w:space="0"/>
            </w:tcBorders>
            <w:noWrap w:val="0"/>
            <w:vAlign w:val="center"/>
          </w:tcPr>
          <w:p>
            <w:pPr>
              <w:tabs>
                <w:tab w:val="left" w:pos="772"/>
              </w:tabs>
              <w:spacing w:line="312"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2</w:t>
            </w:r>
          </w:p>
        </w:tc>
      </w:tr>
    </w:tbl>
    <w:p>
      <w:pPr>
        <w:ind w:firstLine="482" w:firstLineChars="200"/>
        <w:rPr>
          <w:rFonts w:ascii="宋体" w:hAnsi="宋体" w:cs="宋体"/>
          <w:b/>
          <w:bCs/>
          <w:color w:val="auto"/>
          <w:sz w:val="24"/>
          <w:highlight w:val="none"/>
        </w:rPr>
      </w:pPr>
    </w:p>
    <w:p>
      <w:pPr>
        <w:rPr>
          <w:rFonts w:ascii="宋体" w:hAnsi="宋体" w:cs="宋体"/>
          <w:b/>
          <w:bCs/>
          <w:color w:val="auto"/>
          <w:sz w:val="24"/>
          <w:highlight w:val="none"/>
        </w:rPr>
      </w:pPr>
    </w:p>
    <w:p>
      <w:pPr>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2、商务要求表</w:t>
      </w:r>
      <w:r>
        <w:rPr>
          <w:rFonts w:hint="eastAsia" w:ascii="宋体" w:hAnsi="宋体" w:cs="宋体"/>
          <w:color w:val="auto"/>
          <w:sz w:val="24"/>
          <w:highlight w:val="none"/>
        </w:rPr>
        <w:t>（对应评分标准）</w:t>
      </w:r>
    </w:p>
    <w:tbl>
      <w:tblPr>
        <w:tblStyle w:val="21"/>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283"/>
        <w:gridCol w:w="6188"/>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797" w:type="dxa"/>
            <w:vMerge w:val="restart"/>
            <w:tcBorders>
              <w:left w:val="single" w:color="auto" w:sz="4" w:space="0"/>
              <w:right w:val="single" w:color="auto" w:sz="4" w:space="0"/>
            </w:tcBorders>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商务资信</w:t>
            </w:r>
          </w:p>
        </w:tc>
        <w:tc>
          <w:tcPr>
            <w:tcW w:w="1283" w:type="dxa"/>
            <w:tcBorders>
              <w:left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val="en-US" w:eastAsia="zh-CN"/>
              </w:rPr>
              <w:t>供应商</w:t>
            </w:r>
            <w:r>
              <w:rPr>
                <w:rFonts w:hint="eastAsia" w:ascii="宋体" w:hAnsi="宋体" w:cs="宋体"/>
                <w:color w:val="auto"/>
                <w:sz w:val="24"/>
                <w:highlight w:val="none"/>
              </w:rPr>
              <w:t>业绩</w:t>
            </w:r>
          </w:p>
        </w:tc>
        <w:tc>
          <w:tcPr>
            <w:tcW w:w="6188" w:type="dxa"/>
            <w:tcBorders>
              <w:top w:val="single" w:color="auto" w:sz="4" w:space="0"/>
              <w:left w:val="single" w:color="auto" w:sz="4" w:space="0"/>
              <w:right w:val="single" w:color="auto" w:sz="4" w:space="0"/>
            </w:tcBorders>
            <w:noWrap w:val="0"/>
            <w:vAlign w:val="center"/>
          </w:tcPr>
          <w:p>
            <w:pPr>
              <w:tabs>
                <w:tab w:val="left" w:pos="1080"/>
              </w:tabs>
              <w:spacing w:line="312" w:lineRule="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    供应商自2020年1月1日（以合同签订时间为准）以来具有类似项目业绩的每个得0.5分，最高得2分，没有不得分。（须提供合同复印件加盖投标人公章）</w:t>
            </w:r>
          </w:p>
        </w:tc>
        <w:tc>
          <w:tcPr>
            <w:tcW w:w="770" w:type="dxa"/>
            <w:tcBorders>
              <w:left w:val="single" w:color="auto" w:sz="4" w:space="0"/>
              <w:right w:val="single" w:color="auto" w:sz="4" w:space="0"/>
            </w:tcBorders>
            <w:noWrap w:val="0"/>
            <w:vAlign w:val="center"/>
          </w:tcPr>
          <w:p>
            <w:pPr>
              <w:spacing w:line="360" w:lineRule="auto"/>
              <w:jc w:val="center"/>
              <w:rPr>
                <w:rFonts w:hint="default" w:ascii="宋体" w:hAnsi="宋体" w:cs="宋体"/>
                <w:b/>
                <w:bCs/>
                <w:color w:val="auto"/>
                <w:kern w:val="0"/>
                <w:sz w:val="24"/>
                <w:highlight w:val="none"/>
                <w:lang w:val="en-US"/>
              </w:rPr>
            </w:pPr>
            <w:r>
              <w:rPr>
                <w:rFonts w:hint="eastAsia" w:ascii="宋体" w:hAnsi="宋体" w:cs="宋体"/>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797" w:type="dxa"/>
            <w:vMerge w:val="continue"/>
            <w:tcBorders>
              <w:left w:val="single" w:color="auto" w:sz="4" w:space="0"/>
              <w:right w:val="single" w:color="auto" w:sz="4" w:space="0"/>
            </w:tcBorders>
            <w:noWrap w:val="0"/>
            <w:vAlign w:val="center"/>
          </w:tcPr>
          <w:p>
            <w:pPr>
              <w:jc w:val="center"/>
              <w:rPr>
                <w:rFonts w:ascii="宋体" w:hAnsi="宋体" w:cs="宋体"/>
                <w:color w:val="auto"/>
                <w:sz w:val="24"/>
                <w:highlight w:val="none"/>
              </w:rPr>
            </w:pPr>
          </w:p>
        </w:tc>
        <w:tc>
          <w:tcPr>
            <w:tcW w:w="1283" w:type="dxa"/>
            <w:tcBorders>
              <w:left w:val="single" w:color="auto" w:sz="4" w:space="0"/>
              <w:right w:val="single" w:color="auto" w:sz="4" w:space="0"/>
            </w:tcBorders>
            <w:noWrap w:val="0"/>
            <w:vAlign w:val="center"/>
          </w:tcPr>
          <w:p>
            <w:pPr>
              <w:spacing w:line="360" w:lineRule="auto"/>
              <w:jc w:val="center"/>
              <w:rPr>
                <w:rFonts w:hint="default" w:ascii="宋体" w:hAnsi="宋体" w:eastAsia="宋体" w:cs="Times New Roman"/>
                <w:color w:val="auto"/>
                <w:sz w:val="24"/>
                <w:highlight w:val="none"/>
                <w:lang w:val="en-US" w:eastAsia="zh-CN"/>
              </w:rPr>
            </w:pPr>
            <w:r>
              <w:rPr>
                <w:rFonts w:hint="eastAsia" w:ascii="宋体" w:hAnsi="宋体" w:cs="Times New Roman"/>
                <w:color w:val="auto"/>
                <w:sz w:val="24"/>
                <w:highlight w:val="none"/>
                <w:lang w:val="en-US" w:eastAsia="zh-CN"/>
              </w:rPr>
              <w:t>人员证书</w:t>
            </w:r>
          </w:p>
        </w:tc>
        <w:tc>
          <w:tcPr>
            <w:tcW w:w="6188" w:type="dxa"/>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312" w:lineRule="auto"/>
              <w:ind w:firstLine="480" w:firstLineChars="200"/>
              <w:rPr>
                <w:rFonts w:hint="default" w:ascii="宋体" w:hAnsi="宋体" w:eastAsia="宋体" w:cs="宋体"/>
                <w:color w:val="auto"/>
                <w:kern w:val="2"/>
                <w:sz w:val="24"/>
                <w:szCs w:val="24"/>
                <w:lang w:val="en-US" w:eastAsia="zh-CN" w:bidi="ar-SA"/>
              </w:rPr>
            </w:pPr>
            <w:r>
              <w:rPr>
                <w:rFonts w:hint="eastAsia" w:ascii="宋体" w:hAnsi="宋体" w:eastAsia="宋体" w:cs="宋体"/>
                <w:color w:val="auto"/>
                <w:sz w:val="24"/>
                <w:lang w:val="en-US" w:eastAsia="zh-CN"/>
              </w:rPr>
              <w:t>供应商派出本项目</w:t>
            </w:r>
            <w:r>
              <w:rPr>
                <w:rFonts w:hint="eastAsia" w:ascii="宋体" w:hAnsi="宋体" w:cs="宋体"/>
                <w:color w:val="auto"/>
                <w:sz w:val="24"/>
                <w:lang w:val="en-US" w:eastAsia="zh-CN"/>
              </w:rPr>
              <w:t>组</w:t>
            </w:r>
            <w:r>
              <w:rPr>
                <w:rFonts w:hint="eastAsia" w:ascii="宋体" w:hAnsi="宋体" w:eastAsia="宋体" w:cs="宋体"/>
                <w:color w:val="auto"/>
                <w:sz w:val="24"/>
                <w:lang w:val="en-US" w:eastAsia="zh-CN"/>
              </w:rPr>
              <w:t>人员中具有硕士及以上学历的，每提供1个得</w:t>
            </w:r>
            <w:r>
              <w:rPr>
                <w:rFonts w:hint="eastAsia" w:ascii="宋体" w:hAnsi="宋体" w:cs="宋体"/>
                <w:color w:val="auto"/>
                <w:sz w:val="24"/>
                <w:lang w:val="en-US" w:eastAsia="zh-CN"/>
              </w:rPr>
              <w:t>1</w:t>
            </w:r>
            <w:r>
              <w:rPr>
                <w:rFonts w:hint="eastAsia" w:ascii="宋体" w:hAnsi="宋体" w:eastAsia="宋体" w:cs="宋体"/>
                <w:color w:val="auto"/>
                <w:sz w:val="24"/>
                <w:lang w:val="en-US" w:eastAsia="zh-CN"/>
              </w:rPr>
              <w:t>分，最高得</w:t>
            </w:r>
            <w:r>
              <w:rPr>
                <w:rFonts w:hint="eastAsia" w:ascii="宋体" w:hAnsi="宋体" w:cs="宋体"/>
                <w:color w:val="auto"/>
                <w:sz w:val="24"/>
                <w:lang w:val="en-US" w:eastAsia="zh-CN"/>
              </w:rPr>
              <w:t>2</w:t>
            </w:r>
            <w:r>
              <w:rPr>
                <w:rFonts w:hint="eastAsia" w:ascii="宋体" w:hAnsi="宋体" w:eastAsia="宋体" w:cs="宋体"/>
                <w:color w:val="auto"/>
                <w:sz w:val="24"/>
                <w:lang w:val="en-US" w:eastAsia="zh-CN"/>
              </w:rPr>
              <w:t>分。</w:t>
            </w:r>
            <w:r>
              <w:rPr>
                <w:rFonts w:hint="eastAsia" w:ascii="宋体" w:hAnsi="宋体" w:cs="宋体"/>
                <w:color w:val="auto"/>
                <w:sz w:val="24"/>
                <w:lang w:val="en-US" w:eastAsia="zh-CN"/>
              </w:rPr>
              <w:t>须</w:t>
            </w:r>
            <w:r>
              <w:rPr>
                <w:rFonts w:hint="eastAsia" w:ascii="宋体" w:hAnsi="宋体" w:eastAsia="宋体" w:cs="宋体"/>
                <w:color w:val="auto"/>
                <w:sz w:val="24"/>
                <w:lang w:val="en-US" w:eastAsia="zh-CN"/>
              </w:rPr>
              <w:t>提供相关证书复印件及近3个月的社保缴费证明</w:t>
            </w:r>
            <w:r>
              <w:rPr>
                <w:rFonts w:hint="eastAsia" w:ascii="宋体" w:hAnsi="宋体" w:cs="宋体"/>
                <w:color w:val="auto"/>
                <w:sz w:val="24"/>
                <w:lang w:val="en-US" w:eastAsia="zh-CN"/>
              </w:rPr>
              <w:t>并</w:t>
            </w:r>
            <w:r>
              <w:rPr>
                <w:rFonts w:hint="eastAsia" w:ascii="宋体" w:hAnsi="宋体" w:eastAsia="宋体" w:cs="宋体"/>
                <w:color w:val="auto"/>
                <w:sz w:val="24"/>
                <w:lang w:val="en-US" w:eastAsia="zh-CN"/>
              </w:rPr>
              <w:t>加盖公章。</w:t>
            </w:r>
          </w:p>
        </w:tc>
        <w:tc>
          <w:tcPr>
            <w:tcW w:w="770" w:type="dxa"/>
            <w:tcBorders>
              <w:left w:val="single" w:color="auto" w:sz="4" w:space="0"/>
              <w:right w:val="single" w:color="auto" w:sz="4" w:space="0"/>
            </w:tcBorders>
            <w:noWrap w:val="0"/>
            <w:vAlign w:val="center"/>
          </w:tcPr>
          <w:p>
            <w:pPr>
              <w:spacing w:line="36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2</w:t>
            </w:r>
          </w:p>
        </w:tc>
      </w:tr>
    </w:tbl>
    <w:p>
      <w:pPr>
        <w:ind w:firstLine="482" w:firstLineChars="200"/>
        <w:rPr>
          <w:rFonts w:ascii="宋体" w:hAnsi="宋体" w:cs="宋体"/>
          <w:b/>
          <w:bCs/>
          <w:color w:val="auto"/>
          <w:sz w:val="24"/>
          <w:highlight w:val="none"/>
        </w:rPr>
      </w:pPr>
    </w:p>
    <w:p>
      <w:pPr>
        <w:spacing w:line="360" w:lineRule="auto"/>
        <w:ind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注：</w:t>
      </w:r>
    </w:p>
    <w:p>
      <w:pPr>
        <w:spacing w:line="360" w:lineRule="auto"/>
        <w:ind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1、评标委员会各成员应当独立对每个投标人的投标文件进行评价，并汇总每个投标人的得分。资信分为客观分，也需独立进行评价并核对分值，最终分值需一致。</w:t>
      </w:r>
    </w:p>
    <w:p>
      <w:pPr>
        <w:spacing w:line="360" w:lineRule="auto"/>
        <w:ind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2、所有文件、合同、证书、资质等需要真实有效。中标人在中标后签订合同时需提供以上证明文件原件，若发现资料作假的取消中标资格。</w:t>
      </w:r>
    </w:p>
    <w:bookmarkEnd w:id="424"/>
    <w:p>
      <w:pPr>
        <w:rPr>
          <w:rFonts w:hint="eastAsia" w:ascii="宋体" w:hAnsi="宋体" w:cs="宋体"/>
          <w:b/>
          <w:color w:val="auto"/>
          <w:sz w:val="36"/>
          <w:szCs w:val="36"/>
          <w:highlight w:val="none"/>
        </w:rPr>
      </w:pPr>
      <w:bookmarkStart w:id="426" w:name="_Toc30926"/>
      <w:bookmarkStart w:id="427" w:name="_Toc18470"/>
      <w:bookmarkStart w:id="428" w:name="_Toc29482"/>
      <w:bookmarkStart w:id="429" w:name="_Toc27332"/>
      <w:bookmarkStart w:id="430" w:name="_Toc14208"/>
      <w:bookmarkStart w:id="431" w:name="_Toc20764"/>
      <w:bookmarkStart w:id="432" w:name="_Toc6373"/>
      <w:bookmarkStart w:id="433" w:name="_Toc86217003"/>
      <w:bookmarkStart w:id="434" w:name="第五部分"/>
      <w:r>
        <w:rPr>
          <w:rFonts w:hint="eastAsia" w:ascii="宋体" w:hAnsi="宋体" w:cs="宋体"/>
          <w:b/>
          <w:color w:val="auto"/>
          <w:sz w:val="36"/>
          <w:szCs w:val="36"/>
          <w:highlight w:val="none"/>
        </w:rPr>
        <w:br w:type="page"/>
      </w:r>
    </w:p>
    <w:p>
      <w:pPr>
        <w:pStyle w:val="4"/>
        <w:bidi w:val="0"/>
        <w:rPr>
          <w:color w:val="auto"/>
          <w:sz w:val="32"/>
          <w:szCs w:val="21"/>
          <w:highlight w:val="none"/>
        </w:rPr>
      </w:pPr>
      <w:bookmarkStart w:id="435" w:name="_Toc11061"/>
      <w:r>
        <w:rPr>
          <w:rFonts w:hint="eastAsia"/>
          <w:color w:val="auto"/>
          <w:sz w:val="32"/>
          <w:szCs w:val="21"/>
          <w:highlight w:val="none"/>
        </w:rPr>
        <w:t>第四部分 采购需求</w:t>
      </w:r>
      <w:bookmarkEnd w:id="426"/>
      <w:bookmarkEnd w:id="435"/>
    </w:p>
    <w:bookmarkEnd w:id="427"/>
    <w:bookmarkEnd w:id="428"/>
    <w:bookmarkEnd w:id="429"/>
    <w:bookmarkEnd w:id="430"/>
    <w:bookmarkEnd w:id="431"/>
    <w:bookmarkEnd w:id="432"/>
    <w:p>
      <w:pPr>
        <w:pStyle w:val="2"/>
        <w:jc w:val="center"/>
        <w:rPr>
          <w:rFonts w:hAnsi="宋体" w:cs="宋体"/>
          <w:color w:val="auto"/>
          <w:highlight w:val="none"/>
        </w:rPr>
      </w:pPr>
      <w:bookmarkStart w:id="436" w:name="_Toc8066"/>
      <w:bookmarkStart w:id="437" w:name="_Toc7467"/>
      <w:r>
        <w:rPr>
          <w:rFonts w:hint="eastAsia" w:hAnsi="宋体" w:cs="宋体"/>
          <w:color w:val="auto"/>
          <w:highlight w:val="none"/>
        </w:rPr>
        <w:t>第一章　服务内容及要求</w:t>
      </w:r>
      <w:bookmarkEnd w:id="436"/>
      <w:bookmarkEnd w:id="437"/>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一、项目概况</w:t>
      </w:r>
    </w:p>
    <w:p>
      <w:pPr>
        <w:spacing w:line="360" w:lineRule="auto"/>
        <w:ind w:firstLine="480" w:firstLineChars="200"/>
        <w:rPr>
          <w:rFonts w:ascii="仿宋_GB2312" w:hAnsi="黑体" w:eastAsia="仿宋_GB2312"/>
          <w:color w:val="auto"/>
          <w:sz w:val="24"/>
          <w:highlight w:val="none"/>
        </w:rPr>
      </w:pPr>
      <w:r>
        <w:rPr>
          <w:rFonts w:hint="eastAsia" w:ascii="宋体" w:hAnsi="宋体" w:cs="宋体"/>
          <w:bCs/>
          <w:color w:val="auto"/>
          <w:kern w:val="0"/>
          <w:sz w:val="24"/>
          <w:highlight w:val="none"/>
        </w:rPr>
        <w:t>为加快推进未来城建设脚步，打造有影响力的引才育才、招商推介平台，吸引全球高层次人才及优质创业项目落地，助推创新型“青春之城”建设，特开展本项目。</w:t>
      </w:r>
    </w:p>
    <w:p>
      <w:pPr>
        <w:numPr>
          <w:ilvl w:val="0"/>
          <w:numId w:val="35"/>
        </w:numPr>
        <w:tabs>
          <w:tab w:val="left" w:pos="772"/>
        </w:tabs>
        <w:spacing w:line="360" w:lineRule="auto"/>
        <w:ind w:firstLine="482"/>
        <w:rPr>
          <w:rFonts w:ascii="宋体" w:hAnsi="宋体" w:cs="宋体"/>
          <w:b/>
          <w:color w:val="auto"/>
          <w:sz w:val="24"/>
          <w:highlight w:val="none"/>
        </w:rPr>
      </w:pPr>
      <w:r>
        <w:rPr>
          <w:rFonts w:hint="eastAsia" w:ascii="宋体" w:hAnsi="宋体" w:cs="宋体"/>
          <w:b/>
          <w:color w:val="auto"/>
          <w:sz w:val="24"/>
          <w:highlight w:val="none"/>
          <w:lang w:val="en-US" w:eastAsia="zh-CN"/>
        </w:rPr>
        <w:t>组织单位</w:t>
      </w:r>
    </w:p>
    <w:p>
      <w:pPr>
        <w:spacing w:line="360" w:lineRule="auto"/>
        <w:ind w:firstLine="480" w:firstLineChars="200"/>
        <w:rPr>
          <w:rFonts w:hint="eastAsia" w:ascii="宋体" w:hAnsi="宋体" w:cs="宋体"/>
          <w:bCs/>
          <w:color w:val="auto"/>
          <w:kern w:val="0"/>
          <w:sz w:val="24"/>
          <w:highlight w:val="none"/>
        </w:rPr>
      </w:pPr>
      <w:r>
        <w:rPr>
          <w:rFonts w:hint="eastAsia" w:ascii="宋体" w:hAnsi="宋体" w:cs="宋体"/>
          <w:bCs/>
          <w:color w:val="auto"/>
          <w:kern w:val="0"/>
          <w:sz w:val="24"/>
          <w:highlight w:val="none"/>
        </w:rPr>
        <w:t>指导单位：中共绍兴市委人才工作领导小组</w:t>
      </w:r>
    </w:p>
    <w:p>
      <w:pPr>
        <w:spacing w:line="360" w:lineRule="auto"/>
        <w:ind w:firstLine="480" w:firstLineChars="200"/>
        <w:rPr>
          <w:rFonts w:hint="eastAsia" w:ascii="宋体" w:hAnsi="宋体" w:cs="宋体"/>
          <w:bCs/>
          <w:color w:val="auto"/>
          <w:kern w:val="0"/>
          <w:sz w:val="24"/>
          <w:highlight w:val="none"/>
        </w:rPr>
      </w:pPr>
      <w:r>
        <w:rPr>
          <w:rFonts w:hint="eastAsia" w:ascii="宋体" w:hAnsi="宋体" w:cs="宋体"/>
          <w:bCs/>
          <w:color w:val="auto"/>
          <w:kern w:val="0"/>
          <w:sz w:val="24"/>
          <w:highlight w:val="none"/>
        </w:rPr>
        <w:t>主办单位：中共绍兴市委人才工作领导小组办公室，绍兴市人力资源和社会保障局，中共绍兴市上虞区委、绍兴市上虞区人民政府</w:t>
      </w:r>
    </w:p>
    <w:p>
      <w:pPr>
        <w:spacing w:line="360" w:lineRule="auto"/>
        <w:ind w:firstLine="480" w:firstLineChars="200"/>
        <w:rPr>
          <w:rFonts w:hint="eastAsia" w:ascii="宋体" w:hAnsi="宋体" w:cs="宋体"/>
          <w:bCs/>
          <w:color w:val="auto"/>
          <w:kern w:val="0"/>
          <w:sz w:val="24"/>
          <w:highlight w:val="none"/>
        </w:rPr>
      </w:pPr>
      <w:r>
        <w:rPr>
          <w:rFonts w:hint="eastAsia" w:ascii="宋体" w:hAnsi="宋体" w:cs="宋体"/>
          <w:bCs/>
          <w:color w:val="auto"/>
          <w:kern w:val="0"/>
          <w:sz w:val="24"/>
          <w:highlight w:val="none"/>
        </w:rPr>
        <w:t>承办单位：中共绍兴市上虞区委人才工作领导小组办公室、绍兴市上虞区人力资源和社会保障局、绍兴市上虞区未来城开发建设办公室</w:t>
      </w:r>
    </w:p>
    <w:p>
      <w:pPr>
        <w:spacing w:line="360" w:lineRule="auto"/>
        <w:ind w:firstLine="482" w:firstLineChars="200"/>
        <w:jc w:val="left"/>
        <w:rPr>
          <w:rFonts w:hint="default" w:asciiTheme="minorEastAsia" w:hAnsiTheme="minorEastAsia" w:eastAsiaTheme="minorEastAsia" w:cstheme="minorEastAsia"/>
          <w:b/>
          <w:bCs/>
          <w:color w:val="auto"/>
          <w:sz w:val="24"/>
          <w:highlight w:val="none"/>
          <w:lang w:val="en-US" w:eastAsia="zh-CN"/>
        </w:rPr>
      </w:pPr>
      <w:r>
        <w:rPr>
          <w:rFonts w:hint="eastAsia" w:asciiTheme="minorEastAsia" w:hAnsiTheme="minorEastAsia" w:eastAsiaTheme="minorEastAsia" w:cstheme="minorEastAsia"/>
          <w:b/>
          <w:bCs/>
          <w:color w:val="auto"/>
          <w:sz w:val="24"/>
          <w:highlight w:val="none"/>
        </w:rPr>
        <w:t>三、</w:t>
      </w:r>
      <w:r>
        <w:rPr>
          <w:rFonts w:hint="eastAsia" w:asciiTheme="minorEastAsia" w:hAnsiTheme="minorEastAsia" w:eastAsiaTheme="minorEastAsia" w:cstheme="minorEastAsia"/>
          <w:b/>
          <w:bCs/>
          <w:color w:val="auto"/>
          <w:sz w:val="24"/>
          <w:highlight w:val="none"/>
          <w:lang w:val="en-US" w:eastAsia="zh-CN"/>
        </w:rPr>
        <w:t>项目内容</w:t>
      </w:r>
    </w:p>
    <w:p>
      <w:pPr>
        <w:spacing w:line="360" w:lineRule="auto"/>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1、</w:t>
      </w:r>
      <w:r>
        <w:rPr>
          <w:rFonts w:hint="eastAsia" w:ascii="宋体" w:hAnsi="宋体" w:eastAsia="宋体" w:cs="宋体"/>
          <w:bCs/>
          <w:color w:val="auto"/>
          <w:kern w:val="0"/>
          <w:sz w:val="24"/>
          <w:highlight w:val="none"/>
          <w:lang w:val="en-US" w:eastAsia="zh-CN"/>
        </w:rPr>
        <w:t>大赛</w:t>
      </w:r>
      <w:r>
        <w:rPr>
          <w:rFonts w:hint="eastAsia" w:ascii="宋体" w:hAnsi="宋体" w:eastAsia="宋体" w:cs="宋体"/>
          <w:bCs/>
          <w:color w:val="auto"/>
          <w:kern w:val="0"/>
          <w:sz w:val="24"/>
          <w:highlight w:val="none"/>
        </w:rPr>
        <w:t>时间：2023年</w:t>
      </w:r>
      <w:r>
        <w:rPr>
          <w:rFonts w:hint="eastAsia" w:ascii="宋体" w:hAnsi="宋体" w:eastAsia="宋体" w:cs="宋体"/>
          <w:bCs/>
          <w:color w:val="auto"/>
          <w:kern w:val="0"/>
          <w:sz w:val="24"/>
          <w:highlight w:val="none"/>
          <w:lang w:val="en-US" w:eastAsia="zh-CN"/>
        </w:rPr>
        <w:t>5</w:t>
      </w:r>
      <w:r>
        <w:rPr>
          <w:rFonts w:hint="eastAsia" w:ascii="宋体" w:hAnsi="宋体" w:eastAsia="宋体" w:cs="宋体"/>
          <w:bCs/>
          <w:color w:val="auto"/>
          <w:kern w:val="0"/>
          <w:sz w:val="24"/>
          <w:highlight w:val="none"/>
        </w:rPr>
        <w:t>月</w:t>
      </w:r>
      <w:r>
        <w:rPr>
          <w:rFonts w:hint="eastAsia" w:ascii="宋体" w:hAnsi="宋体" w:eastAsia="宋体" w:cs="宋体"/>
          <w:bCs/>
          <w:color w:val="auto"/>
          <w:kern w:val="0"/>
          <w:sz w:val="24"/>
          <w:highlight w:val="none"/>
          <w:lang w:val="en-US" w:eastAsia="zh-CN"/>
        </w:rPr>
        <w:t>下旬</w:t>
      </w:r>
      <w:r>
        <w:rPr>
          <w:rFonts w:hint="eastAsia" w:ascii="宋体" w:hAnsi="宋体" w:eastAsia="宋体" w:cs="宋体"/>
          <w:bCs/>
          <w:color w:val="auto"/>
          <w:kern w:val="0"/>
          <w:sz w:val="24"/>
          <w:highlight w:val="none"/>
          <w:lang w:eastAsia="zh-CN"/>
        </w:rPr>
        <w:t>—</w:t>
      </w:r>
      <w:r>
        <w:rPr>
          <w:rFonts w:hint="eastAsia" w:ascii="宋体" w:hAnsi="宋体" w:eastAsia="宋体" w:cs="宋体"/>
          <w:bCs/>
          <w:color w:val="auto"/>
          <w:kern w:val="0"/>
          <w:sz w:val="24"/>
          <w:highlight w:val="none"/>
          <w:lang w:val="en-US" w:eastAsia="zh-CN"/>
        </w:rPr>
        <w:t>9月</w:t>
      </w:r>
      <w:r>
        <w:rPr>
          <w:rFonts w:hint="eastAsia" w:ascii="宋体" w:hAnsi="宋体" w:eastAsia="宋体" w:cs="宋体"/>
          <w:bCs/>
          <w:color w:val="auto"/>
          <w:kern w:val="0"/>
          <w:sz w:val="24"/>
          <w:highlight w:val="none"/>
        </w:rPr>
        <w:t>（具体以采购人要求为准）</w:t>
      </w:r>
    </w:p>
    <w:p>
      <w:pPr>
        <w:spacing w:line="360" w:lineRule="auto"/>
        <w:ind w:firstLine="480" w:firstLineChars="200"/>
        <w:rPr>
          <w:rFonts w:hint="eastAsia" w:ascii="宋体" w:hAnsi="宋体" w:eastAsia="宋体" w:cs="宋体"/>
          <w:bCs/>
          <w:color w:val="auto"/>
          <w:kern w:val="0"/>
          <w:sz w:val="24"/>
          <w:highlight w:val="none"/>
          <w:lang w:eastAsia="zh-CN"/>
        </w:rPr>
      </w:pPr>
      <w:r>
        <w:rPr>
          <w:rFonts w:hint="eastAsia" w:ascii="宋体" w:hAnsi="宋体" w:eastAsia="宋体" w:cs="宋体"/>
          <w:bCs/>
          <w:color w:val="auto"/>
          <w:kern w:val="0"/>
          <w:sz w:val="24"/>
          <w:highlight w:val="none"/>
        </w:rPr>
        <w:t>2、</w:t>
      </w:r>
      <w:r>
        <w:rPr>
          <w:rFonts w:hint="eastAsia" w:ascii="宋体" w:hAnsi="宋体" w:cs="宋体"/>
          <w:bCs/>
          <w:color w:val="auto"/>
          <w:kern w:val="0"/>
          <w:sz w:val="24"/>
          <w:highlight w:val="none"/>
          <w:lang w:val="en-US" w:eastAsia="zh-CN"/>
        </w:rPr>
        <w:t>启动仪式</w:t>
      </w:r>
      <w:r>
        <w:rPr>
          <w:rFonts w:hint="eastAsia" w:ascii="宋体" w:hAnsi="宋体" w:eastAsia="宋体" w:cs="宋体"/>
          <w:bCs/>
          <w:color w:val="auto"/>
          <w:kern w:val="0"/>
          <w:sz w:val="24"/>
          <w:highlight w:val="none"/>
        </w:rPr>
        <w:t>地点：上海市区星级酒店</w:t>
      </w:r>
      <w:r>
        <w:rPr>
          <w:rFonts w:hint="eastAsia" w:ascii="宋体" w:hAnsi="宋体" w:cs="宋体"/>
          <w:bCs/>
          <w:color w:val="auto"/>
          <w:kern w:val="0"/>
          <w:sz w:val="24"/>
          <w:highlight w:val="none"/>
          <w:lang w:eastAsia="zh-CN"/>
        </w:rPr>
        <w:t>（</w:t>
      </w:r>
      <w:r>
        <w:rPr>
          <w:rFonts w:hint="eastAsia" w:ascii="宋体" w:hAnsi="宋体" w:cs="宋体"/>
          <w:bCs/>
          <w:color w:val="auto"/>
          <w:kern w:val="0"/>
          <w:sz w:val="24"/>
          <w:highlight w:val="none"/>
          <w:lang w:val="en-US" w:eastAsia="zh-CN"/>
        </w:rPr>
        <w:t>暂定</w:t>
      </w:r>
      <w:r>
        <w:rPr>
          <w:rFonts w:hint="eastAsia" w:ascii="宋体" w:hAnsi="宋体" w:cs="宋体"/>
          <w:bCs/>
          <w:color w:val="auto"/>
          <w:kern w:val="0"/>
          <w:sz w:val="24"/>
          <w:highlight w:val="none"/>
          <w:lang w:eastAsia="zh-CN"/>
        </w:rPr>
        <w:t>）</w:t>
      </w:r>
    </w:p>
    <w:p>
      <w:pPr>
        <w:spacing w:line="360" w:lineRule="auto"/>
        <w:ind w:firstLine="480" w:firstLineChars="200"/>
        <w:rPr>
          <w:rFonts w:hint="eastAsia" w:ascii="宋体" w:hAnsi="宋体" w:eastAsia="宋体" w:cs="宋体"/>
          <w:bCs/>
          <w:color w:val="auto"/>
          <w:kern w:val="0"/>
          <w:sz w:val="24"/>
          <w:highlight w:val="none"/>
        </w:rPr>
      </w:pPr>
      <w:r>
        <w:rPr>
          <w:rFonts w:hint="eastAsia" w:ascii="宋体" w:hAnsi="宋体" w:cs="宋体"/>
          <w:bCs/>
          <w:color w:val="auto"/>
          <w:kern w:val="0"/>
          <w:sz w:val="24"/>
          <w:highlight w:val="none"/>
          <w:lang w:val="en-US" w:eastAsia="zh-CN"/>
        </w:rPr>
        <w:t>3、</w:t>
      </w:r>
      <w:r>
        <w:rPr>
          <w:rFonts w:hint="eastAsia" w:ascii="宋体" w:hAnsi="宋体" w:eastAsia="宋体" w:cs="宋体"/>
          <w:bCs/>
          <w:color w:val="auto"/>
          <w:kern w:val="0"/>
          <w:sz w:val="24"/>
          <w:highlight w:val="none"/>
          <w:lang w:val="en-US" w:eastAsia="zh-CN"/>
        </w:rPr>
        <w:t>大赛形式</w:t>
      </w:r>
      <w:r>
        <w:rPr>
          <w:rFonts w:hint="eastAsia" w:ascii="宋体" w:hAnsi="宋体" w:eastAsia="宋体" w:cs="宋体"/>
          <w:bCs/>
          <w:color w:val="auto"/>
          <w:kern w:val="0"/>
          <w:sz w:val="24"/>
          <w:highlight w:val="none"/>
        </w:rPr>
        <w:t>：</w:t>
      </w:r>
    </w:p>
    <w:p>
      <w:pPr>
        <w:spacing w:line="360" w:lineRule="auto"/>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本次大赛共设两个赛道，分别为“万亩千亿”新产业平台-生命健康赛道和“未来场景·未来产业”赛道，包含公告发布、项目征集及初审、线下启动会、城市分站赛、海外线上分站赛、尽职调查与考察对接、总决赛及颁奖典礼等内容。</w:t>
      </w:r>
    </w:p>
    <w:p>
      <w:pPr>
        <w:spacing w:line="360" w:lineRule="auto"/>
        <w:ind w:firstLine="480" w:firstLineChars="200"/>
        <w:rPr>
          <w:rFonts w:hint="eastAsia" w:ascii="宋体" w:hAnsi="宋体" w:eastAsia="宋体" w:cs="宋体"/>
          <w:bCs/>
          <w:color w:val="auto"/>
          <w:kern w:val="0"/>
          <w:sz w:val="24"/>
          <w:highlight w:val="none"/>
        </w:rPr>
      </w:pPr>
      <w:r>
        <w:rPr>
          <w:rFonts w:hint="eastAsia" w:ascii="宋体" w:hAnsi="宋体" w:cs="宋体"/>
          <w:bCs/>
          <w:color w:val="auto"/>
          <w:kern w:val="0"/>
          <w:sz w:val="24"/>
          <w:highlight w:val="none"/>
          <w:lang w:val="en-US" w:eastAsia="zh-CN"/>
        </w:rPr>
        <w:t>4</w:t>
      </w:r>
      <w:r>
        <w:rPr>
          <w:rFonts w:hint="eastAsia" w:ascii="宋体" w:hAnsi="宋体" w:eastAsia="宋体" w:cs="宋体"/>
          <w:bCs/>
          <w:color w:val="auto"/>
          <w:kern w:val="0"/>
          <w:sz w:val="24"/>
          <w:highlight w:val="none"/>
          <w:lang w:val="en-US" w:eastAsia="zh-CN"/>
        </w:rPr>
        <w:t>、服务期限：自本合同签署生效之日起至</w:t>
      </w:r>
      <w:r>
        <w:rPr>
          <w:rFonts w:hint="eastAsia" w:ascii="宋体" w:hAnsi="宋体" w:cs="宋体"/>
          <w:bCs/>
          <w:color w:val="auto"/>
          <w:kern w:val="0"/>
          <w:sz w:val="24"/>
          <w:highlight w:val="none"/>
          <w:lang w:val="en-US" w:eastAsia="zh-CN"/>
        </w:rPr>
        <w:t>中标单位</w:t>
      </w:r>
      <w:r>
        <w:rPr>
          <w:rFonts w:hint="eastAsia" w:ascii="宋体" w:hAnsi="宋体" w:eastAsia="宋体" w:cs="宋体"/>
          <w:bCs/>
          <w:color w:val="auto"/>
          <w:kern w:val="0"/>
          <w:sz w:val="24"/>
          <w:highlight w:val="none"/>
          <w:lang w:val="en-US" w:eastAsia="zh-CN"/>
        </w:rPr>
        <w:t>所承担的活动全部工作结束止。</w:t>
      </w:r>
    </w:p>
    <w:p>
      <w:pPr>
        <w:spacing w:line="360" w:lineRule="auto"/>
        <w:ind w:firstLine="482" w:firstLineChars="200"/>
        <w:rPr>
          <w:rFonts w:hint="default" w:eastAsia="宋体"/>
          <w:b/>
          <w:bCs/>
          <w:color w:val="auto"/>
          <w:sz w:val="24"/>
          <w:highlight w:val="none"/>
          <w:lang w:val="en-US" w:eastAsia="zh-CN"/>
        </w:rPr>
      </w:pPr>
      <w:r>
        <w:rPr>
          <w:rFonts w:hint="eastAsia"/>
          <w:b/>
          <w:bCs/>
          <w:color w:val="auto"/>
          <w:sz w:val="24"/>
          <w:highlight w:val="none"/>
        </w:rPr>
        <w:t>四、</w:t>
      </w:r>
      <w:r>
        <w:rPr>
          <w:rFonts w:hint="eastAsia"/>
          <w:b/>
          <w:bCs/>
          <w:color w:val="auto"/>
          <w:sz w:val="24"/>
          <w:highlight w:val="none"/>
          <w:lang w:val="en-US" w:eastAsia="zh-CN"/>
        </w:rPr>
        <w:t>参赛项目要求</w:t>
      </w:r>
    </w:p>
    <w:p>
      <w:pPr>
        <w:spacing w:line="360" w:lineRule="auto"/>
        <w:ind w:firstLine="482" w:firstLineChars="200"/>
        <w:rPr>
          <w:rFonts w:hint="eastAsia" w:cs="宋体"/>
          <w:b/>
          <w:bCs/>
          <w:color w:val="auto"/>
          <w:sz w:val="24"/>
          <w:highlight w:val="none"/>
        </w:rPr>
      </w:pPr>
      <w:r>
        <w:rPr>
          <w:rFonts w:hint="eastAsia" w:cs="宋体"/>
          <w:b/>
          <w:bCs/>
          <w:color w:val="auto"/>
          <w:sz w:val="24"/>
          <w:highlight w:val="none"/>
        </w:rPr>
        <w:t>（一）“万亩千亿”新产业平台</w:t>
      </w:r>
      <w:r>
        <w:rPr>
          <w:rFonts w:hint="eastAsia" w:cs="宋体"/>
          <w:b/>
          <w:bCs/>
          <w:color w:val="auto"/>
          <w:sz w:val="24"/>
          <w:highlight w:val="none"/>
          <w:lang w:eastAsia="zh-CN"/>
        </w:rPr>
        <w:t>——</w:t>
      </w:r>
      <w:r>
        <w:rPr>
          <w:rFonts w:hint="eastAsia" w:cs="宋体"/>
          <w:b/>
          <w:bCs/>
          <w:color w:val="auto"/>
          <w:sz w:val="24"/>
          <w:highlight w:val="none"/>
        </w:rPr>
        <w:t>生命健康赛道</w:t>
      </w:r>
    </w:p>
    <w:p>
      <w:pPr>
        <w:spacing w:line="360" w:lineRule="auto"/>
        <w:ind w:firstLine="480" w:firstLineChars="200"/>
        <w:rPr>
          <w:rFonts w:hint="eastAsia" w:cs="宋体"/>
          <w:color w:val="auto"/>
          <w:sz w:val="24"/>
          <w:highlight w:val="none"/>
        </w:rPr>
      </w:pPr>
      <w:r>
        <w:rPr>
          <w:rFonts w:hint="eastAsia" w:cs="宋体"/>
          <w:color w:val="auto"/>
          <w:sz w:val="24"/>
          <w:highlight w:val="none"/>
        </w:rPr>
        <w:t>1.参赛项目为未来医疗、合成生物、生物医药、医疗器械等相关领域项目。</w:t>
      </w:r>
    </w:p>
    <w:p>
      <w:pPr>
        <w:spacing w:line="360" w:lineRule="auto"/>
        <w:ind w:firstLine="480" w:firstLineChars="200"/>
        <w:rPr>
          <w:rFonts w:hint="eastAsia" w:cs="宋体"/>
          <w:color w:val="auto"/>
          <w:sz w:val="24"/>
          <w:highlight w:val="none"/>
        </w:rPr>
      </w:pPr>
      <w:r>
        <w:rPr>
          <w:rFonts w:hint="eastAsia" w:cs="宋体"/>
          <w:color w:val="auto"/>
          <w:sz w:val="24"/>
          <w:highlight w:val="none"/>
        </w:rPr>
        <w:t>2.参赛项目负责人具有硕士及以上学位，有海内外创业经历或在国内外知名企业担任管理、技术类中高级职务，有较强的经营管理能力，年龄不超过60周岁。</w:t>
      </w:r>
    </w:p>
    <w:p>
      <w:pPr>
        <w:spacing w:line="360" w:lineRule="auto"/>
        <w:ind w:firstLine="480" w:firstLineChars="200"/>
        <w:rPr>
          <w:rFonts w:hint="eastAsia" w:cs="宋体"/>
          <w:color w:val="auto"/>
          <w:sz w:val="24"/>
          <w:highlight w:val="none"/>
        </w:rPr>
      </w:pPr>
      <w:r>
        <w:rPr>
          <w:rFonts w:hint="eastAsia" w:cs="宋体"/>
          <w:color w:val="auto"/>
          <w:sz w:val="24"/>
          <w:highlight w:val="none"/>
        </w:rPr>
        <w:t>3.参赛项目具有自主知识产权、掌握关键核心技术，创业团队结构合理，拥有国际先进、国内领先技术成果，或者能够填补国内空白，产业化开发潜力大。</w:t>
      </w:r>
    </w:p>
    <w:p>
      <w:pPr>
        <w:spacing w:line="360" w:lineRule="auto"/>
        <w:ind w:firstLine="480" w:firstLineChars="200"/>
        <w:rPr>
          <w:rFonts w:hint="eastAsia" w:cs="宋体"/>
          <w:color w:val="auto"/>
          <w:sz w:val="24"/>
          <w:highlight w:val="none"/>
        </w:rPr>
      </w:pPr>
      <w:r>
        <w:rPr>
          <w:rFonts w:hint="eastAsia" w:cs="宋体"/>
          <w:color w:val="auto"/>
          <w:sz w:val="24"/>
          <w:highlight w:val="none"/>
        </w:rPr>
        <w:t>4.参赛项目有明确落户绍兴的意向，在绍兴创办企业后注册资金一般不低于200万元，参赛项目负责人为主要创办人且为第一大股东或最大自然人股东，自有资金（含技术入股）占创业投资的30%以上，且投入企业的实收资金100万元以上。</w:t>
      </w:r>
    </w:p>
    <w:p>
      <w:pPr>
        <w:spacing w:line="360" w:lineRule="auto"/>
        <w:ind w:firstLine="480" w:firstLineChars="200"/>
        <w:rPr>
          <w:rFonts w:hint="eastAsia" w:cs="宋体"/>
          <w:color w:val="auto"/>
          <w:sz w:val="24"/>
          <w:highlight w:val="none"/>
        </w:rPr>
      </w:pPr>
      <w:r>
        <w:rPr>
          <w:rFonts w:hint="eastAsia" w:cs="宋体"/>
          <w:color w:val="auto"/>
          <w:sz w:val="24"/>
          <w:highlight w:val="none"/>
        </w:rPr>
        <w:t>5.参赛项目负责人及其团队成员社会信誉良好、无不良记录，提供的资料真实、合法、有效，参赛项目符合国家法律法规和产业政策，无知识产权纠纷。</w:t>
      </w:r>
    </w:p>
    <w:p>
      <w:pPr>
        <w:spacing w:line="360" w:lineRule="auto"/>
        <w:ind w:firstLine="480" w:firstLineChars="200"/>
        <w:rPr>
          <w:rFonts w:hint="eastAsia" w:cs="宋体"/>
          <w:color w:val="auto"/>
          <w:sz w:val="24"/>
          <w:highlight w:val="none"/>
        </w:rPr>
      </w:pPr>
      <w:r>
        <w:rPr>
          <w:rFonts w:hint="eastAsia" w:cs="宋体"/>
          <w:color w:val="auto"/>
          <w:sz w:val="24"/>
          <w:highlight w:val="none"/>
        </w:rPr>
        <w:t>6.同一参赛项目和项目负责人只能申报本次大赛一个专项赛，不得重复参赛。</w:t>
      </w:r>
    </w:p>
    <w:p>
      <w:pPr>
        <w:spacing w:line="360" w:lineRule="auto"/>
        <w:ind w:firstLine="482" w:firstLineChars="200"/>
        <w:rPr>
          <w:rFonts w:hint="eastAsia" w:cs="宋体"/>
          <w:b/>
          <w:bCs/>
          <w:color w:val="auto"/>
          <w:sz w:val="24"/>
          <w:highlight w:val="none"/>
        </w:rPr>
      </w:pPr>
      <w:r>
        <w:rPr>
          <w:rFonts w:hint="eastAsia" w:cs="宋体"/>
          <w:b/>
          <w:bCs/>
          <w:color w:val="auto"/>
          <w:sz w:val="24"/>
          <w:highlight w:val="none"/>
        </w:rPr>
        <w:t>（二）“未来场景·未来产业”赛道</w:t>
      </w:r>
    </w:p>
    <w:p>
      <w:pPr>
        <w:spacing w:line="360" w:lineRule="auto"/>
        <w:ind w:firstLine="480" w:firstLineChars="200"/>
        <w:rPr>
          <w:rFonts w:hint="eastAsia" w:cs="宋体"/>
          <w:color w:val="auto"/>
          <w:sz w:val="24"/>
          <w:highlight w:val="none"/>
        </w:rPr>
      </w:pPr>
      <w:r>
        <w:rPr>
          <w:rFonts w:hint="eastAsia" w:cs="宋体"/>
          <w:color w:val="auto"/>
          <w:sz w:val="24"/>
          <w:highlight w:val="none"/>
        </w:rPr>
        <w:t>1.参赛项目为未来网络、元宇宙、仿生机器人、柔性电子等相关</w:t>
      </w:r>
      <w:r>
        <w:rPr>
          <w:rFonts w:hint="eastAsia" w:cs="宋体"/>
          <w:color w:val="auto"/>
          <w:sz w:val="24"/>
          <w:highlight w:val="none"/>
          <w:lang w:val="en-US" w:eastAsia="zh-CN"/>
        </w:rPr>
        <w:t>未来场景产业</w:t>
      </w:r>
      <w:r>
        <w:rPr>
          <w:rFonts w:hint="eastAsia" w:cs="宋体"/>
          <w:color w:val="auto"/>
          <w:sz w:val="24"/>
          <w:highlight w:val="none"/>
        </w:rPr>
        <w:t>项目。</w:t>
      </w:r>
    </w:p>
    <w:p>
      <w:pPr>
        <w:spacing w:line="360" w:lineRule="auto"/>
        <w:ind w:firstLine="480" w:firstLineChars="200"/>
        <w:rPr>
          <w:rFonts w:hint="eastAsia" w:cs="宋体"/>
          <w:color w:val="auto"/>
          <w:sz w:val="24"/>
          <w:highlight w:val="none"/>
        </w:rPr>
      </w:pPr>
      <w:r>
        <w:rPr>
          <w:rFonts w:hint="eastAsia" w:cs="宋体"/>
          <w:color w:val="auto"/>
          <w:sz w:val="24"/>
          <w:highlight w:val="none"/>
        </w:rPr>
        <w:t>2.参赛项目负责人不限学历，有海内外创业经历或在国内外知名企业有管理、技术类中的工作经历，有较强的经营管理能力，年龄不超过60周岁。</w:t>
      </w:r>
    </w:p>
    <w:p>
      <w:pPr>
        <w:spacing w:line="360" w:lineRule="auto"/>
        <w:ind w:firstLine="480" w:firstLineChars="200"/>
        <w:rPr>
          <w:rFonts w:hint="eastAsia" w:cs="宋体"/>
          <w:color w:val="auto"/>
          <w:sz w:val="24"/>
          <w:highlight w:val="none"/>
        </w:rPr>
      </w:pPr>
      <w:r>
        <w:rPr>
          <w:rFonts w:hint="eastAsia" w:cs="宋体"/>
          <w:color w:val="auto"/>
          <w:sz w:val="24"/>
          <w:highlight w:val="none"/>
        </w:rPr>
        <w:t>3.参赛项目具有清晰的商业模式，具备创新性和独有性，参赛项目具有独特创意，属于前沿科技，符合国家现行法律法规和相关产业政策。</w:t>
      </w:r>
    </w:p>
    <w:p>
      <w:pPr>
        <w:spacing w:line="360" w:lineRule="auto"/>
        <w:ind w:firstLine="480" w:firstLineChars="200"/>
        <w:rPr>
          <w:rFonts w:hint="eastAsia" w:cs="宋体"/>
          <w:color w:val="auto"/>
          <w:sz w:val="24"/>
          <w:highlight w:val="none"/>
        </w:rPr>
      </w:pPr>
      <w:r>
        <w:rPr>
          <w:rFonts w:hint="eastAsia" w:cs="宋体"/>
          <w:color w:val="auto"/>
          <w:sz w:val="24"/>
          <w:highlight w:val="none"/>
        </w:rPr>
        <w:t>4.参赛项目有明确落户上虞的意向，参赛项目负责人为主要创办人且为第一大股东或最大自然人股东，自有资金（含技术入股）占创业投资的30%以上，且投入企业的实收资金50万元以上。</w:t>
      </w:r>
    </w:p>
    <w:p>
      <w:pPr>
        <w:spacing w:line="360" w:lineRule="auto"/>
        <w:ind w:firstLine="480" w:firstLineChars="200"/>
        <w:rPr>
          <w:rFonts w:hint="eastAsia" w:cs="宋体"/>
          <w:color w:val="auto"/>
          <w:sz w:val="24"/>
          <w:highlight w:val="none"/>
        </w:rPr>
      </w:pPr>
      <w:r>
        <w:rPr>
          <w:rFonts w:hint="eastAsia" w:cs="宋体"/>
          <w:color w:val="auto"/>
          <w:sz w:val="24"/>
          <w:highlight w:val="none"/>
        </w:rPr>
        <w:t>5.参赛项目负责人及其团队成员社会信誉良好、无不良记录，提供的资料真实、合法、有效，参赛项目符合国家法律法规和产业政策，无知识产权纠纷。</w:t>
      </w:r>
    </w:p>
    <w:p>
      <w:pPr>
        <w:spacing w:line="360" w:lineRule="auto"/>
        <w:ind w:left="479" w:leftChars="228" w:firstLine="0" w:firstLineChars="0"/>
        <w:rPr>
          <w:rFonts w:hint="default" w:eastAsia="宋体"/>
          <w:b/>
          <w:bCs/>
          <w:color w:val="auto"/>
          <w:sz w:val="24"/>
          <w:highlight w:val="none"/>
          <w:lang w:val="en-US" w:eastAsia="zh-CN"/>
        </w:rPr>
      </w:pPr>
      <w:r>
        <w:rPr>
          <w:rFonts w:hint="eastAsia" w:cs="宋体"/>
          <w:color w:val="auto"/>
          <w:sz w:val="24"/>
          <w:highlight w:val="none"/>
        </w:rPr>
        <w:t>6.同一参赛项目和项目负责人只能申报本次大赛一个专项赛，不得重复参赛。</w:t>
      </w:r>
      <w:r>
        <w:rPr>
          <w:rFonts w:hint="eastAsia"/>
          <w:b/>
          <w:bCs/>
          <w:color w:val="auto"/>
          <w:sz w:val="24"/>
          <w:highlight w:val="none"/>
        </w:rPr>
        <w:t>五、</w:t>
      </w:r>
      <w:r>
        <w:rPr>
          <w:rFonts w:hint="eastAsia"/>
          <w:b/>
          <w:bCs/>
          <w:color w:val="auto"/>
          <w:sz w:val="24"/>
          <w:highlight w:val="none"/>
          <w:lang w:val="en-US" w:eastAsia="zh-CN"/>
        </w:rPr>
        <w:t>赛事要求</w:t>
      </w:r>
    </w:p>
    <w:p>
      <w:pPr>
        <w:spacing w:line="360" w:lineRule="auto"/>
        <w:ind w:firstLine="482" w:firstLineChars="200"/>
        <w:rPr>
          <w:rFonts w:hint="eastAsia" w:ascii="Times New Roman" w:hAnsi="Times New Roman" w:eastAsia="宋体" w:cs="宋体"/>
          <w:b/>
          <w:bCs/>
          <w:color w:val="auto"/>
          <w:sz w:val="24"/>
          <w:highlight w:val="none"/>
        </w:rPr>
      </w:pPr>
      <w:r>
        <w:rPr>
          <w:rFonts w:hint="eastAsia" w:ascii="Times New Roman" w:hAnsi="Times New Roman" w:eastAsia="宋体" w:cs="宋体"/>
          <w:b/>
          <w:bCs/>
          <w:color w:val="auto"/>
          <w:sz w:val="24"/>
          <w:highlight w:val="none"/>
        </w:rPr>
        <w:t>（一）流程概括</w:t>
      </w:r>
    </w:p>
    <w:p>
      <w:pPr>
        <w:spacing w:line="360" w:lineRule="auto"/>
        <w:ind w:firstLine="480" w:firstLineChars="200"/>
        <w:rPr>
          <w:rFonts w:hint="eastAsia" w:ascii="Times New Roman" w:hAnsi="Times New Roman" w:eastAsia="宋体" w:cs="宋体"/>
          <w:color w:val="auto"/>
          <w:sz w:val="24"/>
          <w:highlight w:val="none"/>
        </w:rPr>
      </w:pPr>
      <w:r>
        <w:rPr>
          <w:rFonts w:hint="eastAsia" w:ascii="Times New Roman" w:hAnsi="Times New Roman" w:eastAsia="宋体" w:cs="宋体"/>
          <w:color w:val="auto"/>
          <w:sz w:val="24"/>
          <w:highlight w:val="none"/>
        </w:rPr>
        <w:t>1.项目征集及初审：</w:t>
      </w:r>
    </w:p>
    <w:p>
      <w:pPr>
        <w:spacing w:line="360" w:lineRule="auto"/>
        <w:ind w:firstLine="480" w:firstLineChars="200"/>
        <w:rPr>
          <w:rFonts w:hint="eastAsia" w:ascii="Times New Roman" w:hAnsi="Times New Roman" w:eastAsia="宋体" w:cs="宋体"/>
          <w:color w:val="auto"/>
          <w:sz w:val="24"/>
          <w:highlight w:val="none"/>
        </w:rPr>
      </w:pPr>
      <w:r>
        <w:rPr>
          <w:rFonts w:hint="eastAsia" w:ascii="Times New Roman" w:hAnsi="Times New Roman" w:eastAsia="宋体" w:cs="宋体"/>
          <w:color w:val="auto"/>
          <w:sz w:val="24"/>
          <w:highlight w:val="none"/>
        </w:rPr>
        <w:t>征集</w:t>
      </w:r>
      <w:r>
        <w:rPr>
          <w:rFonts w:hint="eastAsia" w:cs="宋体"/>
          <w:color w:val="auto"/>
          <w:sz w:val="24"/>
          <w:highlight w:val="none"/>
          <w:lang w:val="en-US" w:eastAsia="zh-CN"/>
        </w:rPr>
        <w:t>不少于</w:t>
      </w:r>
      <w:r>
        <w:rPr>
          <w:rFonts w:hint="eastAsia" w:ascii="Times New Roman" w:hAnsi="Times New Roman" w:eastAsia="宋体" w:cs="宋体"/>
          <w:color w:val="auto"/>
          <w:sz w:val="24"/>
          <w:highlight w:val="none"/>
        </w:rPr>
        <w:t>150个项目进入初审，</w:t>
      </w:r>
      <w:r>
        <w:rPr>
          <w:rFonts w:hint="eastAsia" w:cs="宋体"/>
          <w:color w:val="auto"/>
          <w:sz w:val="24"/>
          <w:highlight w:val="none"/>
          <w:lang w:val="en-US" w:eastAsia="zh-CN"/>
        </w:rPr>
        <w:t>选取</w:t>
      </w:r>
      <w:r>
        <w:rPr>
          <w:rFonts w:hint="eastAsia" w:ascii="Times New Roman" w:hAnsi="Times New Roman" w:eastAsia="宋体" w:cs="宋体"/>
          <w:color w:val="auto"/>
          <w:sz w:val="24"/>
          <w:highlight w:val="none"/>
        </w:rPr>
        <w:t>90个</w:t>
      </w:r>
      <w:r>
        <w:rPr>
          <w:rFonts w:hint="eastAsia" w:cs="宋体"/>
          <w:color w:val="auto"/>
          <w:sz w:val="24"/>
          <w:highlight w:val="none"/>
          <w:lang w:val="en-US" w:eastAsia="zh-CN"/>
        </w:rPr>
        <w:t>优质</w:t>
      </w:r>
      <w:r>
        <w:rPr>
          <w:rFonts w:hint="eastAsia" w:ascii="Times New Roman" w:hAnsi="Times New Roman" w:eastAsia="宋体" w:cs="宋体"/>
          <w:color w:val="auto"/>
          <w:sz w:val="24"/>
          <w:highlight w:val="none"/>
        </w:rPr>
        <w:t>项目参加城市分站赛。</w:t>
      </w:r>
    </w:p>
    <w:p>
      <w:pPr>
        <w:spacing w:line="360" w:lineRule="auto"/>
        <w:ind w:firstLine="480" w:firstLineChars="200"/>
        <w:rPr>
          <w:rFonts w:hint="eastAsia" w:ascii="Times New Roman" w:hAnsi="Times New Roman" w:eastAsia="宋体" w:cs="宋体"/>
          <w:color w:val="auto"/>
          <w:sz w:val="24"/>
          <w:highlight w:val="none"/>
        </w:rPr>
      </w:pPr>
      <w:r>
        <w:rPr>
          <w:rFonts w:hint="eastAsia" w:ascii="Times New Roman" w:hAnsi="Times New Roman" w:eastAsia="宋体" w:cs="宋体"/>
          <w:color w:val="auto"/>
          <w:sz w:val="24"/>
          <w:highlight w:val="none"/>
        </w:rPr>
        <w:t>2.线下启动会</w:t>
      </w:r>
      <w:r>
        <w:rPr>
          <w:rFonts w:hint="eastAsia" w:cs="宋体"/>
          <w:color w:val="auto"/>
          <w:sz w:val="24"/>
          <w:highlight w:val="none"/>
          <w:lang w:eastAsia="zh-CN"/>
        </w:rPr>
        <w:t>：</w:t>
      </w:r>
      <w:r>
        <w:rPr>
          <w:rFonts w:hint="eastAsia" w:cs="宋体"/>
          <w:color w:val="auto"/>
          <w:sz w:val="24"/>
          <w:highlight w:val="none"/>
          <w:lang w:val="en-US" w:eastAsia="zh-CN"/>
        </w:rPr>
        <w:t>暂定</w:t>
      </w:r>
      <w:r>
        <w:rPr>
          <w:rFonts w:hint="eastAsia" w:ascii="Times New Roman" w:hAnsi="Times New Roman" w:eastAsia="宋体" w:cs="宋体"/>
          <w:color w:val="auto"/>
          <w:sz w:val="24"/>
          <w:highlight w:val="none"/>
        </w:rPr>
        <w:t>上海举办大赛线下启动会</w:t>
      </w:r>
    </w:p>
    <w:p>
      <w:pPr>
        <w:spacing w:line="360" w:lineRule="auto"/>
        <w:ind w:firstLine="480" w:firstLineChars="200"/>
        <w:rPr>
          <w:rFonts w:hint="eastAsia" w:ascii="Times New Roman" w:hAnsi="Times New Roman" w:eastAsia="宋体" w:cs="宋体"/>
          <w:color w:val="auto"/>
          <w:sz w:val="24"/>
          <w:highlight w:val="none"/>
        </w:rPr>
      </w:pPr>
      <w:r>
        <w:rPr>
          <w:rFonts w:hint="eastAsia" w:cs="宋体"/>
          <w:color w:val="auto"/>
          <w:sz w:val="24"/>
          <w:highlight w:val="none"/>
          <w:lang w:val="en-US" w:eastAsia="zh-CN"/>
        </w:rPr>
        <w:t>3.</w:t>
      </w:r>
      <w:r>
        <w:rPr>
          <w:rFonts w:hint="eastAsia" w:ascii="Times New Roman" w:hAnsi="Times New Roman" w:eastAsia="宋体" w:cs="宋体"/>
          <w:color w:val="auto"/>
          <w:sz w:val="24"/>
          <w:highlight w:val="none"/>
        </w:rPr>
        <w:t>分站赛：</w:t>
      </w:r>
    </w:p>
    <w:p>
      <w:pPr>
        <w:spacing w:line="360" w:lineRule="auto"/>
        <w:ind w:firstLine="480" w:firstLineChars="200"/>
        <w:rPr>
          <w:rFonts w:hint="eastAsia" w:ascii="Times New Roman" w:hAnsi="Times New Roman" w:eastAsia="宋体" w:cs="宋体"/>
          <w:color w:val="auto"/>
          <w:sz w:val="24"/>
          <w:highlight w:val="none"/>
          <w:lang w:eastAsia="zh-CN"/>
        </w:rPr>
      </w:pPr>
      <w:r>
        <w:rPr>
          <w:rFonts w:hint="eastAsia" w:ascii="Times New Roman" w:hAnsi="Times New Roman" w:eastAsia="宋体" w:cs="宋体"/>
          <w:color w:val="auto"/>
          <w:sz w:val="24"/>
          <w:highlight w:val="none"/>
        </w:rPr>
        <w:t>城市分站赛</w:t>
      </w:r>
      <w:r>
        <w:rPr>
          <w:rFonts w:hint="eastAsia" w:cs="宋体"/>
          <w:color w:val="auto"/>
          <w:sz w:val="24"/>
          <w:highlight w:val="none"/>
          <w:lang w:val="en-US" w:eastAsia="zh-CN"/>
        </w:rPr>
        <w:t>拟定</w:t>
      </w:r>
      <w:r>
        <w:rPr>
          <w:rFonts w:hint="eastAsia" w:ascii="Times New Roman" w:hAnsi="Times New Roman" w:eastAsia="宋体" w:cs="宋体"/>
          <w:color w:val="auto"/>
          <w:sz w:val="24"/>
          <w:highlight w:val="none"/>
        </w:rPr>
        <w:t>上海、深圳、武汉</w:t>
      </w:r>
      <w:r>
        <w:rPr>
          <w:rFonts w:hint="eastAsia" w:cs="宋体"/>
          <w:color w:val="auto"/>
          <w:sz w:val="24"/>
          <w:highlight w:val="none"/>
          <w:lang w:eastAsia="zh-CN"/>
        </w:rPr>
        <w:t>（</w:t>
      </w:r>
      <w:r>
        <w:rPr>
          <w:rFonts w:hint="eastAsia" w:cs="宋体"/>
          <w:color w:val="auto"/>
          <w:sz w:val="24"/>
          <w:highlight w:val="none"/>
          <w:lang w:val="en-US" w:eastAsia="zh-CN"/>
        </w:rPr>
        <w:t>暂定</w:t>
      </w:r>
      <w:r>
        <w:rPr>
          <w:rFonts w:hint="eastAsia" w:cs="宋体"/>
          <w:color w:val="auto"/>
          <w:sz w:val="24"/>
          <w:highlight w:val="none"/>
          <w:lang w:eastAsia="zh-CN"/>
        </w:rPr>
        <w:t>）</w:t>
      </w:r>
      <w:r>
        <w:rPr>
          <w:rFonts w:hint="eastAsia" w:ascii="Times New Roman" w:hAnsi="Times New Roman" w:eastAsia="宋体" w:cs="宋体"/>
          <w:color w:val="auto"/>
          <w:sz w:val="24"/>
          <w:highlight w:val="none"/>
        </w:rPr>
        <w:t>分别举办一场分站赛，其中上海分站赛于启动会结束后开始</w:t>
      </w:r>
      <w:r>
        <w:rPr>
          <w:rFonts w:hint="eastAsia" w:cs="宋体"/>
          <w:color w:val="auto"/>
          <w:sz w:val="24"/>
          <w:highlight w:val="none"/>
          <w:lang w:eastAsia="zh-CN"/>
        </w:rPr>
        <w:t>，</w:t>
      </w:r>
      <w:r>
        <w:rPr>
          <w:rFonts w:hint="eastAsia" w:ascii="Times New Roman" w:hAnsi="Times New Roman" w:eastAsia="宋体" w:cs="宋体"/>
          <w:color w:val="auto"/>
          <w:sz w:val="24"/>
          <w:highlight w:val="none"/>
        </w:rPr>
        <w:t>于上虞开展一场海外线上分站赛。分站赛将采取“7+3”的模式进行（即7分钟PPT演示+3分钟互动问答）进行。原则上要求申报本人参加路演，特别优秀的项目可允许核心团队成员参加路演。确实因客观原因不能现场参加比赛的选手，将根据实际情况，通过线上方式参加创业大赛分站赛</w:t>
      </w:r>
      <w:r>
        <w:rPr>
          <w:rFonts w:hint="eastAsia" w:cs="宋体"/>
          <w:color w:val="auto"/>
          <w:sz w:val="24"/>
          <w:highlight w:val="none"/>
          <w:lang w:eastAsia="zh-CN"/>
        </w:rPr>
        <w:t>。</w:t>
      </w:r>
    </w:p>
    <w:p>
      <w:pPr>
        <w:spacing w:line="360" w:lineRule="auto"/>
        <w:ind w:firstLine="480" w:firstLineChars="200"/>
        <w:rPr>
          <w:rFonts w:hint="eastAsia" w:ascii="Times New Roman" w:hAnsi="Times New Roman" w:eastAsia="宋体" w:cs="宋体"/>
          <w:color w:val="auto"/>
          <w:sz w:val="24"/>
          <w:highlight w:val="none"/>
        </w:rPr>
      </w:pPr>
      <w:r>
        <w:rPr>
          <w:rFonts w:hint="eastAsia" w:cs="宋体"/>
          <w:color w:val="auto"/>
          <w:sz w:val="24"/>
          <w:highlight w:val="none"/>
          <w:lang w:val="en-US" w:eastAsia="zh-CN"/>
        </w:rPr>
        <w:t>4</w:t>
      </w:r>
      <w:r>
        <w:rPr>
          <w:rFonts w:hint="eastAsia" w:ascii="Times New Roman" w:hAnsi="Times New Roman" w:eastAsia="宋体" w:cs="宋体"/>
          <w:color w:val="auto"/>
          <w:sz w:val="24"/>
          <w:highlight w:val="none"/>
        </w:rPr>
        <w:t>.尽职调查与考察对接：</w:t>
      </w:r>
    </w:p>
    <w:p>
      <w:pPr>
        <w:spacing w:line="360" w:lineRule="auto"/>
        <w:ind w:firstLine="480" w:firstLineChars="200"/>
        <w:rPr>
          <w:rFonts w:hint="eastAsia" w:ascii="Times New Roman" w:hAnsi="Times New Roman" w:eastAsia="宋体" w:cs="宋体"/>
          <w:color w:val="auto"/>
          <w:sz w:val="24"/>
          <w:highlight w:val="none"/>
        </w:rPr>
      </w:pPr>
      <w:r>
        <w:rPr>
          <w:rFonts w:hint="eastAsia" w:cs="宋体"/>
          <w:color w:val="auto"/>
          <w:sz w:val="24"/>
          <w:highlight w:val="none"/>
          <w:lang w:val="en-US" w:eastAsia="zh-CN"/>
        </w:rPr>
        <w:t>对</w:t>
      </w:r>
      <w:r>
        <w:rPr>
          <w:rFonts w:hint="eastAsia" w:ascii="Times New Roman" w:hAnsi="Times New Roman" w:eastAsia="宋体" w:cs="宋体"/>
          <w:color w:val="auto"/>
          <w:sz w:val="24"/>
          <w:highlight w:val="none"/>
        </w:rPr>
        <w:t>拟入选项目在决赛前一个月内参与并完成内审及尽职调查；</w:t>
      </w:r>
      <w:r>
        <w:rPr>
          <w:rFonts w:hint="eastAsia" w:cs="宋体"/>
          <w:color w:val="auto"/>
          <w:sz w:val="24"/>
          <w:highlight w:val="none"/>
          <w:lang w:val="en-US" w:eastAsia="zh-CN"/>
        </w:rPr>
        <w:t>中标</w:t>
      </w:r>
      <w:r>
        <w:rPr>
          <w:rFonts w:hint="eastAsia" w:ascii="Times New Roman" w:hAnsi="Times New Roman" w:eastAsia="宋体" w:cs="宋体"/>
          <w:color w:val="auto"/>
          <w:sz w:val="24"/>
          <w:highlight w:val="none"/>
        </w:rPr>
        <w:t>单位为入选决赛项目提供政策解析、落地意向考察对接服务。</w:t>
      </w:r>
    </w:p>
    <w:p>
      <w:pPr>
        <w:spacing w:line="360" w:lineRule="auto"/>
        <w:ind w:firstLine="480" w:firstLineChars="200"/>
        <w:rPr>
          <w:rFonts w:hint="eastAsia" w:ascii="Times New Roman" w:hAnsi="Times New Roman" w:eastAsia="宋体" w:cs="宋体"/>
          <w:color w:val="auto"/>
          <w:sz w:val="24"/>
          <w:highlight w:val="none"/>
        </w:rPr>
      </w:pPr>
      <w:r>
        <w:rPr>
          <w:rFonts w:hint="eastAsia" w:cs="宋体"/>
          <w:color w:val="auto"/>
          <w:sz w:val="24"/>
          <w:highlight w:val="none"/>
          <w:lang w:val="en-US" w:eastAsia="zh-CN"/>
        </w:rPr>
        <w:t>5</w:t>
      </w:r>
      <w:r>
        <w:rPr>
          <w:rFonts w:hint="eastAsia" w:ascii="Times New Roman" w:hAnsi="Times New Roman" w:eastAsia="宋体" w:cs="宋体"/>
          <w:color w:val="auto"/>
          <w:sz w:val="24"/>
          <w:highlight w:val="none"/>
        </w:rPr>
        <w:t>.总决赛：</w:t>
      </w:r>
    </w:p>
    <w:p>
      <w:pPr>
        <w:spacing w:line="360" w:lineRule="auto"/>
        <w:ind w:firstLine="480" w:firstLineChars="200"/>
        <w:rPr>
          <w:rFonts w:hint="eastAsia" w:ascii="Times New Roman" w:hAnsi="Times New Roman" w:eastAsia="宋体" w:cs="宋体"/>
          <w:color w:val="auto"/>
          <w:sz w:val="24"/>
          <w:highlight w:val="none"/>
        </w:rPr>
      </w:pPr>
      <w:r>
        <w:rPr>
          <w:rFonts w:hint="eastAsia" w:ascii="Times New Roman" w:hAnsi="Times New Roman" w:eastAsia="宋体" w:cs="宋体"/>
          <w:color w:val="auto"/>
          <w:sz w:val="24"/>
          <w:highlight w:val="none"/>
        </w:rPr>
        <w:t>总决赛</w:t>
      </w:r>
      <w:r>
        <w:rPr>
          <w:rFonts w:hint="eastAsia" w:cs="宋体"/>
          <w:color w:val="auto"/>
          <w:sz w:val="24"/>
          <w:highlight w:val="none"/>
          <w:lang w:val="en-US" w:eastAsia="zh-CN"/>
        </w:rPr>
        <w:t>在</w:t>
      </w:r>
      <w:r>
        <w:rPr>
          <w:rFonts w:hint="eastAsia" w:ascii="Times New Roman" w:hAnsi="Times New Roman" w:eastAsia="宋体" w:cs="宋体"/>
          <w:color w:val="auto"/>
          <w:sz w:val="24"/>
          <w:highlight w:val="none"/>
        </w:rPr>
        <w:t>上虞</w:t>
      </w:r>
      <w:r>
        <w:rPr>
          <w:rFonts w:hint="eastAsia" w:cs="宋体"/>
          <w:color w:val="auto"/>
          <w:sz w:val="24"/>
          <w:highlight w:val="none"/>
          <w:lang w:val="en-US" w:eastAsia="zh-CN"/>
        </w:rPr>
        <w:t>举办</w:t>
      </w:r>
      <w:r>
        <w:rPr>
          <w:rFonts w:hint="eastAsia" w:ascii="Times New Roman" w:hAnsi="Times New Roman" w:eastAsia="宋体" w:cs="宋体"/>
          <w:color w:val="auto"/>
          <w:sz w:val="24"/>
          <w:highlight w:val="none"/>
        </w:rPr>
        <w:t>，从分站赛每个赛道预录取15个项目，共计30个项目参与总决赛。</w:t>
      </w:r>
      <w:r>
        <w:rPr>
          <w:rFonts w:hint="eastAsia" w:cs="宋体"/>
          <w:color w:val="auto"/>
          <w:sz w:val="24"/>
          <w:highlight w:val="none"/>
          <w:lang w:val="en-US" w:eastAsia="zh-CN"/>
        </w:rPr>
        <w:t>总</w:t>
      </w:r>
      <w:r>
        <w:rPr>
          <w:rFonts w:hint="eastAsia" w:ascii="Times New Roman" w:hAnsi="Times New Roman" w:eastAsia="宋体" w:cs="宋体"/>
          <w:color w:val="auto"/>
          <w:sz w:val="24"/>
          <w:highlight w:val="none"/>
        </w:rPr>
        <w:t>决赛现场采取“10+10”的模式进行现场路演（即10分钟PPT演示+10分钟互动问答），总决赛要求主申报人本人参加路演。</w:t>
      </w:r>
    </w:p>
    <w:p>
      <w:pPr>
        <w:spacing w:line="360" w:lineRule="auto"/>
        <w:ind w:firstLine="480" w:firstLineChars="200"/>
        <w:rPr>
          <w:rFonts w:hint="eastAsia" w:ascii="Times New Roman" w:hAnsi="Times New Roman" w:eastAsia="宋体" w:cs="宋体"/>
          <w:color w:val="auto"/>
          <w:sz w:val="24"/>
          <w:highlight w:val="none"/>
        </w:rPr>
      </w:pPr>
      <w:r>
        <w:rPr>
          <w:rFonts w:hint="eastAsia" w:cs="宋体"/>
          <w:color w:val="auto"/>
          <w:sz w:val="24"/>
          <w:highlight w:val="none"/>
          <w:lang w:val="en-US" w:eastAsia="zh-CN"/>
        </w:rPr>
        <w:t>6</w:t>
      </w:r>
      <w:r>
        <w:rPr>
          <w:rFonts w:hint="eastAsia" w:ascii="Times New Roman" w:hAnsi="Times New Roman" w:eastAsia="宋体" w:cs="宋体"/>
          <w:color w:val="auto"/>
          <w:sz w:val="24"/>
          <w:highlight w:val="none"/>
        </w:rPr>
        <w:t>.落地未来城项目数：</w:t>
      </w:r>
    </w:p>
    <w:p>
      <w:pPr>
        <w:spacing w:line="360" w:lineRule="auto"/>
        <w:ind w:firstLine="480" w:firstLineChars="200"/>
        <w:rPr>
          <w:rFonts w:hint="eastAsia" w:cs="宋体"/>
          <w:color w:val="auto"/>
          <w:sz w:val="24"/>
          <w:highlight w:val="none"/>
          <w:lang w:eastAsia="zh-CN"/>
        </w:rPr>
      </w:pPr>
      <w:r>
        <w:rPr>
          <w:rFonts w:hint="eastAsia" w:ascii="Times New Roman" w:hAnsi="Times New Roman" w:eastAsia="宋体" w:cs="宋体"/>
          <w:color w:val="auto"/>
          <w:sz w:val="24"/>
          <w:highlight w:val="none"/>
        </w:rPr>
        <w:t>大赛结束一年内项目团队落地上虞不少于5个</w:t>
      </w:r>
      <w:r>
        <w:rPr>
          <w:rFonts w:hint="eastAsia" w:cs="宋体"/>
          <w:color w:val="auto"/>
          <w:sz w:val="24"/>
          <w:highlight w:val="none"/>
          <w:lang w:eastAsia="zh-CN"/>
        </w:rPr>
        <w:t>。</w:t>
      </w:r>
    </w:p>
    <w:p>
      <w:pPr>
        <w:spacing w:line="360" w:lineRule="auto"/>
        <w:ind w:firstLine="482" w:firstLineChars="200"/>
        <w:rPr>
          <w:rFonts w:hint="eastAsia" w:ascii="Times New Roman" w:hAnsi="Times New Roman" w:eastAsia="宋体" w:cs="宋体"/>
          <w:b/>
          <w:bCs/>
          <w:color w:val="auto"/>
          <w:sz w:val="24"/>
          <w:highlight w:val="none"/>
        </w:rPr>
      </w:pPr>
      <w:r>
        <w:rPr>
          <w:rFonts w:hint="eastAsia" w:ascii="Times New Roman" w:hAnsi="Times New Roman" w:eastAsia="宋体" w:cs="宋体"/>
          <w:b/>
          <w:bCs/>
          <w:color w:val="auto"/>
          <w:sz w:val="24"/>
          <w:highlight w:val="none"/>
        </w:rPr>
        <w:t>（二）赛程安排</w:t>
      </w:r>
    </w:p>
    <w:p>
      <w:pPr>
        <w:spacing w:line="360" w:lineRule="auto"/>
        <w:ind w:firstLine="480" w:firstLineChars="200"/>
        <w:rPr>
          <w:rFonts w:hint="eastAsia" w:ascii="Times New Roman" w:hAnsi="Times New Roman" w:eastAsia="宋体" w:cs="宋体"/>
          <w:color w:val="auto"/>
          <w:sz w:val="24"/>
          <w:highlight w:val="none"/>
        </w:rPr>
      </w:pPr>
      <w:r>
        <w:rPr>
          <w:rFonts w:hint="eastAsia" w:ascii="Times New Roman" w:hAnsi="Times New Roman" w:eastAsia="宋体" w:cs="宋体"/>
          <w:color w:val="auto"/>
          <w:sz w:val="24"/>
          <w:highlight w:val="none"/>
        </w:rPr>
        <w:t>1.赛程</w:t>
      </w:r>
      <w:r>
        <w:rPr>
          <w:rFonts w:hint="eastAsia" w:cs="宋体"/>
          <w:color w:val="auto"/>
          <w:sz w:val="24"/>
          <w:highlight w:val="none"/>
          <w:lang w:val="en-US" w:eastAsia="zh-CN"/>
        </w:rPr>
        <w:t>进度</w:t>
      </w:r>
      <w:r>
        <w:rPr>
          <w:rFonts w:hint="eastAsia" w:ascii="Times New Roman" w:hAnsi="Times New Roman" w:eastAsia="宋体" w:cs="宋体"/>
          <w:color w:val="auto"/>
          <w:sz w:val="24"/>
          <w:highlight w:val="none"/>
        </w:rPr>
        <w:t>安排（拟定）：</w:t>
      </w:r>
    </w:p>
    <w:tbl>
      <w:tblPr>
        <w:tblStyle w:val="22"/>
        <w:tblW w:w="8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992"/>
        <w:gridCol w:w="1985"/>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val="0"/>
              <w:spacing w:line="500" w:lineRule="exact"/>
              <w:jc w:val="center"/>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序号</w:t>
            </w:r>
          </w:p>
        </w:tc>
        <w:tc>
          <w:tcPr>
            <w:tcW w:w="2835" w:type="dxa"/>
            <w:vAlign w:val="center"/>
          </w:tcPr>
          <w:p>
            <w:pPr>
              <w:widowControl w:val="0"/>
              <w:spacing w:line="500" w:lineRule="exact"/>
              <w:jc w:val="center"/>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时间</w:t>
            </w:r>
          </w:p>
        </w:tc>
        <w:tc>
          <w:tcPr>
            <w:tcW w:w="992" w:type="dxa"/>
            <w:vAlign w:val="center"/>
          </w:tcPr>
          <w:p>
            <w:pPr>
              <w:widowControl w:val="0"/>
              <w:spacing w:line="500" w:lineRule="exact"/>
              <w:jc w:val="center"/>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地点</w:t>
            </w:r>
          </w:p>
        </w:tc>
        <w:tc>
          <w:tcPr>
            <w:tcW w:w="3963" w:type="dxa"/>
            <w:gridSpan w:val="2"/>
            <w:vAlign w:val="center"/>
          </w:tcPr>
          <w:p>
            <w:pPr>
              <w:widowControl w:val="0"/>
              <w:spacing w:line="500" w:lineRule="exact"/>
              <w:jc w:val="center"/>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val="0"/>
              <w:spacing w:line="500" w:lineRule="exact"/>
              <w:jc w:val="center"/>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val="en-US" w:eastAsia="zh-CN"/>
              </w:rPr>
              <w:t>1</w:t>
            </w:r>
          </w:p>
        </w:tc>
        <w:tc>
          <w:tcPr>
            <w:tcW w:w="2835"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2023年5月</w:t>
            </w:r>
            <w:r>
              <w:rPr>
                <w:rFonts w:hint="eastAsia" w:asciiTheme="minorEastAsia" w:hAnsiTheme="minorEastAsia" w:eastAsiaTheme="minorEastAsia" w:cstheme="minorEastAsia"/>
                <w:kern w:val="2"/>
                <w:sz w:val="24"/>
                <w:szCs w:val="24"/>
                <w:lang w:val="en-US" w:eastAsia="zh-CN"/>
              </w:rPr>
              <w:t>底</w:t>
            </w:r>
          </w:p>
        </w:tc>
        <w:tc>
          <w:tcPr>
            <w:tcW w:w="992"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上海</w:t>
            </w:r>
          </w:p>
        </w:tc>
        <w:tc>
          <w:tcPr>
            <w:tcW w:w="3963" w:type="dxa"/>
            <w:gridSpan w:val="2"/>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大赛启动会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31" w:type="dxa"/>
            <w:gridSpan w:val="3"/>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分站赛</w:t>
            </w:r>
          </w:p>
        </w:tc>
        <w:tc>
          <w:tcPr>
            <w:tcW w:w="1985"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生命健康专项赛</w:t>
            </w:r>
          </w:p>
        </w:tc>
        <w:tc>
          <w:tcPr>
            <w:tcW w:w="1978"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“未来场景·未来产业”专项赛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val="0"/>
              <w:spacing w:line="500" w:lineRule="exact"/>
              <w:jc w:val="center"/>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val="en-US" w:eastAsia="zh-CN"/>
              </w:rPr>
              <w:t>2</w:t>
            </w:r>
          </w:p>
        </w:tc>
        <w:tc>
          <w:tcPr>
            <w:tcW w:w="2835" w:type="dxa"/>
            <w:vAlign w:val="center"/>
          </w:tcPr>
          <w:p>
            <w:pPr>
              <w:widowControl w:val="0"/>
              <w:spacing w:line="500" w:lineRule="exact"/>
              <w:jc w:val="center"/>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rPr>
              <w:t>2023年5月</w:t>
            </w:r>
            <w:r>
              <w:rPr>
                <w:rFonts w:hint="eastAsia" w:asciiTheme="minorEastAsia" w:hAnsiTheme="minorEastAsia" w:eastAsiaTheme="minorEastAsia" w:cstheme="minorEastAsia"/>
                <w:kern w:val="2"/>
                <w:sz w:val="24"/>
                <w:szCs w:val="24"/>
                <w:lang w:val="en-US" w:eastAsia="zh-CN"/>
              </w:rPr>
              <w:t>底</w:t>
            </w:r>
          </w:p>
        </w:tc>
        <w:tc>
          <w:tcPr>
            <w:tcW w:w="992"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上海</w:t>
            </w:r>
          </w:p>
        </w:tc>
        <w:tc>
          <w:tcPr>
            <w:tcW w:w="1985"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20个项目</w:t>
            </w:r>
          </w:p>
        </w:tc>
        <w:tc>
          <w:tcPr>
            <w:tcW w:w="1978"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val="0"/>
              <w:spacing w:line="500" w:lineRule="exact"/>
              <w:jc w:val="center"/>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val="en-US" w:eastAsia="zh-CN"/>
              </w:rPr>
              <w:t>3</w:t>
            </w:r>
          </w:p>
        </w:tc>
        <w:tc>
          <w:tcPr>
            <w:tcW w:w="2835"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2023年6月</w:t>
            </w:r>
            <w:r>
              <w:rPr>
                <w:rFonts w:hint="eastAsia" w:asciiTheme="minorEastAsia" w:hAnsiTheme="minorEastAsia" w:eastAsiaTheme="minorEastAsia" w:cstheme="minorEastAsia"/>
                <w:kern w:val="2"/>
                <w:sz w:val="24"/>
                <w:szCs w:val="24"/>
                <w:lang w:val="en-US" w:eastAsia="zh-CN"/>
              </w:rPr>
              <w:t>中</w:t>
            </w:r>
          </w:p>
        </w:tc>
        <w:tc>
          <w:tcPr>
            <w:tcW w:w="992"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深圳</w:t>
            </w:r>
          </w:p>
        </w:tc>
        <w:tc>
          <w:tcPr>
            <w:tcW w:w="1985"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12个项目</w:t>
            </w:r>
          </w:p>
        </w:tc>
        <w:tc>
          <w:tcPr>
            <w:tcW w:w="1978"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15个项目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val="0"/>
              <w:spacing w:line="500" w:lineRule="exact"/>
              <w:jc w:val="center"/>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val="en-US" w:eastAsia="zh-CN"/>
              </w:rPr>
              <w:t>4</w:t>
            </w:r>
          </w:p>
        </w:tc>
        <w:tc>
          <w:tcPr>
            <w:tcW w:w="2835"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2023年7月</w:t>
            </w:r>
            <w:r>
              <w:rPr>
                <w:rFonts w:hint="eastAsia" w:asciiTheme="minorEastAsia" w:hAnsiTheme="minorEastAsia" w:eastAsiaTheme="minorEastAsia" w:cstheme="minorEastAsia"/>
                <w:kern w:val="2"/>
                <w:sz w:val="24"/>
                <w:szCs w:val="24"/>
                <w:lang w:val="en-US" w:eastAsia="zh-CN"/>
              </w:rPr>
              <w:t>中</w:t>
            </w:r>
          </w:p>
        </w:tc>
        <w:tc>
          <w:tcPr>
            <w:tcW w:w="992"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武汉</w:t>
            </w:r>
          </w:p>
        </w:tc>
        <w:tc>
          <w:tcPr>
            <w:tcW w:w="1985"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12个项目</w:t>
            </w:r>
          </w:p>
        </w:tc>
        <w:tc>
          <w:tcPr>
            <w:tcW w:w="1978"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15个项目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val="0"/>
              <w:spacing w:line="500" w:lineRule="exact"/>
              <w:jc w:val="center"/>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val="en-US" w:eastAsia="zh-CN"/>
              </w:rPr>
              <w:t>5</w:t>
            </w:r>
          </w:p>
        </w:tc>
        <w:tc>
          <w:tcPr>
            <w:tcW w:w="2835" w:type="dxa"/>
            <w:vAlign w:val="center"/>
          </w:tcPr>
          <w:p>
            <w:pPr>
              <w:widowControl w:val="0"/>
              <w:spacing w:line="500" w:lineRule="exact"/>
              <w:jc w:val="center"/>
              <w:rPr>
                <w:rFonts w:hint="eastAsia" w:asciiTheme="minorEastAsia" w:hAnsiTheme="minorEastAsia" w:eastAsiaTheme="minorEastAsia" w:cstheme="minorEastAsia"/>
                <w:color w:val="auto"/>
                <w:kern w:val="2"/>
                <w:sz w:val="24"/>
                <w:szCs w:val="24"/>
                <w:lang w:val="en-US" w:eastAsia="zh-CN"/>
              </w:rPr>
            </w:pPr>
            <w:r>
              <w:rPr>
                <w:rFonts w:hint="eastAsia" w:asciiTheme="minorEastAsia" w:hAnsiTheme="minorEastAsia" w:eastAsiaTheme="minorEastAsia" w:cstheme="minorEastAsia"/>
                <w:color w:val="auto"/>
                <w:kern w:val="2"/>
                <w:sz w:val="24"/>
                <w:szCs w:val="24"/>
                <w:lang w:val="en-US" w:eastAsia="zh-CN"/>
              </w:rPr>
              <w:t>2023年8月初</w:t>
            </w:r>
          </w:p>
          <w:p>
            <w:pPr>
              <w:widowControl w:val="0"/>
              <w:spacing w:line="500" w:lineRule="exact"/>
              <w:jc w:val="center"/>
              <w:rPr>
                <w:rFonts w:hint="eastAsia"/>
              </w:rPr>
            </w:pPr>
            <w:r>
              <w:rPr>
                <w:rFonts w:hint="eastAsia" w:asciiTheme="minorEastAsia" w:hAnsiTheme="minorEastAsia" w:eastAsiaTheme="minorEastAsia" w:cstheme="minorEastAsia"/>
                <w:color w:val="auto"/>
                <w:kern w:val="2"/>
                <w:sz w:val="24"/>
                <w:szCs w:val="24"/>
                <w:lang w:val="en-US" w:eastAsia="zh-CN"/>
              </w:rPr>
              <w:t>（海外线上）</w:t>
            </w:r>
          </w:p>
        </w:tc>
        <w:tc>
          <w:tcPr>
            <w:tcW w:w="992"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上虞</w:t>
            </w:r>
          </w:p>
        </w:tc>
        <w:tc>
          <w:tcPr>
            <w:tcW w:w="1985"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15个项目</w:t>
            </w:r>
          </w:p>
        </w:tc>
        <w:tc>
          <w:tcPr>
            <w:tcW w:w="1978" w:type="dxa"/>
            <w:vAlign w:val="center"/>
          </w:tcPr>
          <w:p>
            <w:pPr>
              <w:widowControl w:val="0"/>
              <w:spacing w:line="500" w:lineRule="exact"/>
              <w:jc w:val="center"/>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31" w:type="dxa"/>
            <w:gridSpan w:val="3"/>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总决赛（比赛+考察）</w:t>
            </w:r>
          </w:p>
        </w:tc>
        <w:tc>
          <w:tcPr>
            <w:tcW w:w="3963" w:type="dxa"/>
            <w:gridSpan w:val="2"/>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总决赛及颁奖典礼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val="0"/>
              <w:spacing w:line="500" w:lineRule="exact"/>
              <w:jc w:val="center"/>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val="en-US" w:eastAsia="zh-CN"/>
              </w:rPr>
              <w:t>6</w:t>
            </w:r>
          </w:p>
        </w:tc>
        <w:tc>
          <w:tcPr>
            <w:tcW w:w="2835" w:type="dxa"/>
            <w:vAlign w:val="center"/>
          </w:tcPr>
          <w:p>
            <w:pPr>
              <w:widowControl w:val="0"/>
              <w:spacing w:line="500" w:lineRule="exact"/>
              <w:jc w:val="center"/>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rPr>
              <w:t>2023年9月</w:t>
            </w:r>
            <w:r>
              <w:rPr>
                <w:rFonts w:hint="eastAsia" w:asciiTheme="minorEastAsia" w:hAnsiTheme="minorEastAsia" w:eastAsiaTheme="minorEastAsia" w:cstheme="minorEastAsia"/>
                <w:kern w:val="2"/>
                <w:sz w:val="24"/>
                <w:szCs w:val="24"/>
                <w:lang w:val="en-US" w:eastAsia="zh-CN"/>
              </w:rPr>
              <w:t>下旬</w:t>
            </w:r>
          </w:p>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w:t>
            </w:r>
            <w:r>
              <w:rPr>
                <w:rFonts w:hint="eastAsia" w:asciiTheme="minorEastAsia" w:hAnsiTheme="minorEastAsia" w:eastAsiaTheme="minorEastAsia" w:cstheme="minorEastAsia"/>
                <w:kern w:val="2"/>
                <w:sz w:val="24"/>
                <w:szCs w:val="24"/>
                <w:lang w:val="en-US" w:eastAsia="zh-CN"/>
              </w:rPr>
              <w:t>分两天两</w:t>
            </w:r>
            <w:r>
              <w:rPr>
                <w:rFonts w:hint="eastAsia" w:asciiTheme="minorEastAsia" w:hAnsiTheme="minorEastAsia" w:eastAsiaTheme="minorEastAsia" w:cstheme="minorEastAsia"/>
                <w:kern w:val="2"/>
                <w:sz w:val="24"/>
                <w:szCs w:val="24"/>
              </w:rPr>
              <w:t>场）</w:t>
            </w:r>
          </w:p>
        </w:tc>
        <w:tc>
          <w:tcPr>
            <w:tcW w:w="992"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上虞</w:t>
            </w:r>
          </w:p>
        </w:tc>
        <w:tc>
          <w:tcPr>
            <w:tcW w:w="1985"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生命健康赛道总决赛</w:t>
            </w:r>
          </w:p>
        </w:tc>
        <w:tc>
          <w:tcPr>
            <w:tcW w:w="1978"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“未来场景·未来产业”赛道总决赛</w:t>
            </w:r>
          </w:p>
        </w:tc>
      </w:tr>
    </w:tbl>
    <w:p>
      <w:pPr>
        <w:spacing w:line="360" w:lineRule="auto"/>
        <w:ind w:firstLine="482" w:firstLineChars="200"/>
        <w:rPr>
          <w:rFonts w:hint="eastAsia" w:ascii="Times New Roman" w:hAnsi="Times New Roman" w:eastAsia="宋体" w:cs="宋体"/>
          <w:b/>
          <w:bCs/>
          <w:color w:val="auto"/>
          <w:sz w:val="24"/>
          <w:highlight w:val="none"/>
        </w:rPr>
      </w:pPr>
      <w:r>
        <w:rPr>
          <w:rFonts w:hint="eastAsia" w:cs="宋体"/>
          <w:b/>
          <w:bCs/>
          <w:color w:val="auto"/>
          <w:sz w:val="24"/>
          <w:highlight w:val="none"/>
          <w:lang w:eastAsia="zh-CN"/>
        </w:rPr>
        <w:t>（</w:t>
      </w:r>
      <w:r>
        <w:rPr>
          <w:rFonts w:hint="eastAsia" w:cs="宋体"/>
          <w:b/>
          <w:bCs/>
          <w:color w:val="auto"/>
          <w:sz w:val="24"/>
          <w:highlight w:val="none"/>
          <w:lang w:val="en-US" w:eastAsia="zh-CN"/>
        </w:rPr>
        <w:t>三</w:t>
      </w:r>
      <w:r>
        <w:rPr>
          <w:rFonts w:hint="eastAsia" w:cs="宋体"/>
          <w:b/>
          <w:bCs/>
          <w:color w:val="auto"/>
          <w:sz w:val="24"/>
          <w:highlight w:val="none"/>
          <w:lang w:eastAsia="zh-CN"/>
        </w:rPr>
        <w:t>）</w:t>
      </w:r>
      <w:r>
        <w:rPr>
          <w:rFonts w:hint="eastAsia" w:ascii="Times New Roman" w:hAnsi="Times New Roman" w:eastAsia="宋体" w:cs="宋体"/>
          <w:b/>
          <w:bCs/>
          <w:color w:val="auto"/>
          <w:sz w:val="24"/>
          <w:highlight w:val="none"/>
        </w:rPr>
        <w:t>宣传推广</w:t>
      </w:r>
      <w:r>
        <w:rPr>
          <w:rFonts w:hint="eastAsia" w:ascii="Times New Roman" w:hAnsi="Times New Roman" w:eastAsia="宋体" w:cs="宋体"/>
          <w:b/>
          <w:bCs/>
          <w:color w:val="auto"/>
          <w:sz w:val="24"/>
          <w:highlight w:val="none"/>
          <w:lang w:val="en-US" w:eastAsia="zh-CN"/>
        </w:rPr>
        <w:t>要求</w:t>
      </w:r>
    </w:p>
    <w:p>
      <w:pPr>
        <w:numPr>
          <w:ilvl w:val="0"/>
          <w:numId w:val="36"/>
        </w:numPr>
        <w:spacing w:line="360" w:lineRule="auto"/>
        <w:ind w:left="0" w:leftChars="0" w:firstLine="400" w:firstLineChars="0"/>
        <w:rPr>
          <w:rFonts w:hint="eastAsia" w:cs="宋体"/>
          <w:color w:val="auto"/>
          <w:sz w:val="24"/>
          <w:highlight w:val="none"/>
          <w:lang w:val="en-US" w:eastAsia="zh-CN"/>
        </w:rPr>
      </w:pPr>
      <w:r>
        <w:rPr>
          <w:rFonts w:hint="eastAsia" w:cs="宋体"/>
          <w:color w:val="auto"/>
          <w:sz w:val="24"/>
          <w:highlight w:val="none"/>
          <w:lang w:val="en-US" w:eastAsia="zh-CN"/>
        </w:rPr>
        <w:t>邀请海内外各大媒体对本次大赛进行全流程报道，加强对上虞未来城建设及创新型“青春之城”打造的宣传推介。</w:t>
      </w:r>
    </w:p>
    <w:p>
      <w:pPr>
        <w:numPr>
          <w:ilvl w:val="0"/>
          <w:numId w:val="36"/>
        </w:numPr>
        <w:spacing w:line="360" w:lineRule="auto"/>
        <w:ind w:left="0" w:leftChars="0" w:firstLine="400" w:firstLineChars="0"/>
        <w:rPr>
          <w:rFonts w:hint="eastAsia" w:cs="宋体"/>
          <w:color w:val="auto"/>
          <w:sz w:val="24"/>
          <w:highlight w:val="none"/>
          <w:lang w:val="en-US" w:eastAsia="zh-CN"/>
        </w:rPr>
      </w:pPr>
      <w:r>
        <w:rPr>
          <w:rFonts w:hint="eastAsia" w:ascii="Times New Roman" w:hAnsi="Times New Roman" w:eastAsia="宋体" w:cs="宋体"/>
          <w:color w:val="auto"/>
          <w:sz w:val="24"/>
          <w:highlight w:val="none"/>
          <w:lang w:val="en-US" w:eastAsia="zh-CN"/>
        </w:rPr>
        <w:t>新闻发布：邀请不少于10家媒体，围绕城市推介会发布相关信息至腾讯、新浪、网易等网站，提高新闻源品牌信息收录</w:t>
      </w:r>
      <w:r>
        <w:rPr>
          <w:rFonts w:hint="eastAsia" w:cs="宋体"/>
          <w:color w:val="auto"/>
          <w:sz w:val="24"/>
          <w:highlight w:val="none"/>
          <w:lang w:val="en-US" w:eastAsia="zh-CN"/>
        </w:rPr>
        <w:t>。</w:t>
      </w:r>
    </w:p>
    <w:p>
      <w:pPr>
        <w:numPr>
          <w:ilvl w:val="0"/>
          <w:numId w:val="36"/>
        </w:numPr>
        <w:spacing w:line="360" w:lineRule="auto"/>
        <w:ind w:left="0" w:leftChars="0" w:firstLine="400" w:firstLineChars="0"/>
        <w:rPr>
          <w:rFonts w:hint="eastAsia" w:cs="宋体"/>
          <w:color w:val="auto"/>
          <w:sz w:val="24"/>
          <w:highlight w:val="none"/>
          <w:lang w:val="en-US" w:eastAsia="zh-CN"/>
        </w:rPr>
      </w:pPr>
      <w:r>
        <w:rPr>
          <w:rFonts w:hint="eastAsia" w:ascii="Times New Roman" w:hAnsi="Times New Roman" w:eastAsia="宋体" w:cs="宋体"/>
          <w:color w:val="auto"/>
          <w:sz w:val="24"/>
          <w:highlight w:val="none"/>
          <w:lang w:val="en-US" w:eastAsia="zh-CN"/>
        </w:rPr>
        <w:t>App首页</w:t>
      </w:r>
      <w:r>
        <w:rPr>
          <w:rFonts w:hint="eastAsia" w:cs="宋体"/>
          <w:color w:val="auto"/>
          <w:sz w:val="24"/>
          <w:highlight w:val="none"/>
          <w:lang w:val="en-US" w:eastAsia="zh-CN"/>
        </w:rPr>
        <w:t>：将新闻稿及相关直播信息在今日头条、腾讯新闻APP等客户端上做首页推荐（链接+首页截图），利用大数据智能推荐将活动信息推送到受众用户，提高综合曝光量。</w:t>
      </w:r>
    </w:p>
    <w:p>
      <w:pPr>
        <w:numPr>
          <w:ilvl w:val="0"/>
          <w:numId w:val="36"/>
        </w:numPr>
        <w:spacing w:line="360" w:lineRule="auto"/>
        <w:ind w:left="0" w:leftChars="0" w:firstLine="400" w:firstLineChars="0"/>
        <w:rPr>
          <w:rFonts w:hint="eastAsia" w:cs="宋体"/>
          <w:color w:val="auto"/>
          <w:sz w:val="24"/>
          <w:highlight w:val="none"/>
          <w:lang w:val="en-US" w:eastAsia="zh-CN"/>
        </w:rPr>
      </w:pPr>
      <w:r>
        <w:rPr>
          <w:rFonts w:hint="eastAsia" w:ascii="Times New Roman" w:hAnsi="Times New Roman" w:eastAsia="宋体" w:cs="宋体"/>
          <w:color w:val="auto"/>
          <w:sz w:val="24"/>
          <w:highlight w:val="none"/>
          <w:lang w:val="en-US" w:eastAsia="zh-CN"/>
        </w:rPr>
        <w:t>微博</w:t>
      </w:r>
      <w:r>
        <w:rPr>
          <w:rFonts w:hint="eastAsia" w:cs="宋体"/>
          <w:color w:val="auto"/>
          <w:sz w:val="24"/>
          <w:highlight w:val="none"/>
          <w:lang w:val="en-US" w:eastAsia="zh-CN"/>
        </w:rPr>
        <w:t>推广</w:t>
      </w:r>
      <w:r>
        <w:rPr>
          <w:rFonts w:hint="eastAsia" w:ascii="Times New Roman" w:hAnsi="Times New Roman" w:eastAsia="宋体" w:cs="宋体"/>
          <w:color w:val="auto"/>
          <w:sz w:val="24"/>
          <w:highlight w:val="none"/>
          <w:lang w:val="en-US" w:eastAsia="zh-CN"/>
        </w:rPr>
        <w:t>：结合当下热门话题结合互动进行微博</w:t>
      </w:r>
      <w:r>
        <w:rPr>
          <w:rFonts w:hint="eastAsia" w:cs="宋体"/>
          <w:color w:val="auto"/>
          <w:sz w:val="24"/>
          <w:highlight w:val="none"/>
          <w:lang w:val="en-US" w:eastAsia="zh-CN"/>
        </w:rPr>
        <w:t>（各大官方账户官微：浙江之声、上虞日报、上虞发布等）</w:t>
      </w:r>
      <w:r>
        <w:rPr>
          <w:rFonts w:hint="eastAsia" w:ascii="Times New Roman" w:hAnsi="Times New Roman" w:eastAsia="宋体" w:cs="宋体"/>
          <w:color w:val="auto"/>
          <w:sz w:val="24"/>
          <w:highlight w:val="none"/>
          <w:lang w:val="en-US" w:eastAsia="zh-CN"/>
        </w:rPr>
        <w:t>文案撰写，通过官方账户发布推送，提高用户与活动的互动性</w:t>
      </w:r>
      <w:r>
        <w:rPr>
          <w:rFonts w:hint="eastAsia" w:cs="宋体"/>
          <w:color w:val="auto"/>
          <w:sz w:val="24"/>
          <w:highlight w:val="none"/>
          <w:lang w:val="en-US" w:eastAsia="zh-CN"/>
        </w:rPr>
        <w:t>。</w:t>
      </w:r>
    </w:p>
    <w:p>
      <w:pPr>
        <w:numPr>
          <w:ilvl w:val="0"/>
          <w:numId w:val="36"/>
        </w:numPr>
        <w:spacing w:line="360" w:lineRule="auto"/>
        <w:ind w:left="0" w:leftChars="0" w:firstLine="400" w:firstLineChars="0"/>
        <w:rPr>
          <w:rFonts w:hint="eastAsia" w:cs="宋体"/>
          <w:color w:val="auto"/>
          <w:sz w:val="24"/>
          <w:highlight w:val="none"/>
          <w:lang w:val="en-US" w:eastAsia="zh-CN"/>
        </w:rPr>
      </w:pPr>
      <w:r>
        <w:rPr>
          <w:rFonts w:hint="eastAsia" w:cs="宋体"/>
          <w:color w:val="auto"/>
          <w:sz w:val="24"/>
          <w:highlight w:val="none"/>
          <w:lang w:val="en-US" w:eastAsia="zh-CN"/>
        </w:rPr>
        <w:t>社群营销：新闻稿件发布至相关领域的论坛、贴吧等平台或相关微信公众号、QQ群、微信群。</w:t>
      </w:r>
    </w:p>
    <w:p>
      <w:pPr>
        <w:spacing w:line="360" w:lineRule="auto"/>
        <w:ind w:firstLine="482" w:firstLineChars="200"/>
        <w:rPr>
          <w:rFonts w:hint="eastAsia" w:ascii="Times New Roman" w:hAnsi="Times New Roman" w:eastAsia="宋体" w:cs="宋体"/>
          <w:b/>
          <w:bCs/>
          <w:color w:val="auto"/>
          <w:sz w:val="24"/>
          <w:highlight w:val="none"/>
        </w:rPr>
      </w:pPr>
      <w:r>
        <w:rPr>
          <w:rFonts w:hint="eastAsia" w:cs="宋体"/>
          <w:b/>
          <w:bCs/>
          <w:color w:val="auto"/>
          <w:sz w:val="24"/>
          <w:highlight w:val="none"/>
          <w:lang w:eastAsia="zh-CN"/>
        </w:rPr>
        <w:t>（</w:t>
      </w:r>
      <w:r>
        <w:rPr>
          <w:rFonts w:hint="eastAsia" w:cs="宋体"/>
          <w:b/>
          <w:bCs/>
          <w:color w:val="auto"/>
          <w:sz w:val="24"/>
          <w:highlight w:val="none"/>
          <w:lang w:val="en-US" w:eastAsia="zh-CN"/>
        </w:rPr>
        <w:t>四</w:t>
      </w:r>
      <w:r>
        <w:rPr>
          <w:rFonts w:hint="eastAsia" w:cs="宋体"/>
          <w:b/>
          <w:bCs/>
          <w:color w:val="auto"/>
          <w:sz w:val="24"/>
          <w:highlight w:val="none"/>
          <w:lang w:eastAsia="zh-CN"/>
        </w:rPr>
        <w:t>）</w:t>
      </w:r>
      <w:r>
        <w:rPr>
          <w:rFonts w:hint="eastAsia" w:cs="宋体"/>
          <w:b/>
          <w:bCs/>
          <w:color w:val="auto"/>
          <w:sz w:val="24"/>
          <w:highlight w:val="none"/>
          <w:lang w:val="en-US" w:eastAsia="zh-CN"/>
        </w:rPr>
        <w:t>其他</w:t>
      </w:r>
      <w:r>
        <w:rPr>
          <w:rFonts w:hint="eastAsia" w:ascii="Times New Roman" w:hAnsi="Times New Roman" w:eastAsia="宋体" w:cs="宋体"/>
          <w:b/>
          <w:bCs/>
          <w:color w:val="auto"/>
          <w:sz w:val="24"/>
          <w:highlight w:val="none"/>
          <w:lang w:val="en-US" w:eastAsia="zh-CN"/>
        </w:rPr>
        <w:t>要求</w:t>
      </w:r>
    </w:p>
    <w:p>
      <w:pPr>
        <w:numPr>
          <w:ilvl w:val="0"/>
          <w:numId w:val="0"/>
        </w:numPr>
        <w:spacing w:line="360" w:lineRule="auto"/>
        <w:ind w:firstLine="480" w:firstLineChars="200"/>
        <w:rPr>
          <w:rFonts w:hint="eastAsia" w:cs="宋体"/>
          <w:color w:val="auto"/>
          <w:sz w:val="24"/>
          <w:highlight w:val="none"/>
          <w:lang w:val="en-US" w:eastAsia="zh-CN"/>
        </w:rPr>
      </w:pPr>
      <w:r>
        <w:rPr>
          <w:rFonts w:hint="eastAsia" w:cs="宋体"/>
          <w:color w:val="auto"/>
          <w:sz w:val="24"/>
          <w:highlight w:val="none"/>
          <w:lang w:val="en-US" w:eastAsia="zh-CN"/>
        </w:rPr>
        <w:t>1. 本次大赛不对参赛选手收取任何费用。</w:t>
      </w:r>
    </w:p>
    <w:p>
      <w:pPr>
        <w:numPr>
          <w:ilvl w:val="0"/>
          <w:numId w:val="0"/>
        </w:numPr>
        <w:spacing w:line="360" w:lineRule="auto"/>
        <w:ind w:firstLine="480" w:firstLineChars="200"/>
        <w:rPr>
          <w:rFonts w:hint="eastAsia" w:cs="宋体"/>
          <w:color w:val="auto"/>
          <w:sz w:val="24"/>
          <w:highlight w:val="none"/>
          <w:lang w:val="en-US" w:eastAsia="zh-CN"/>
        </w:rPr>
      </w:pPr>
      <w:r>
        <w:rPr>
          <w:rFonts w:hint="eastAsia" w:cs="宋体"/>
          <w:color w:val="auto"/>
          <w:sz w:val="24"/>
          <w:highlight w:val="none"/>
          <w:lang w:val="en-US" w:eastAsia="zh-CN"/>
        </w:rPr>
        <w:t>2. 奖项设置要求：专项赛分别设一等奖项目1个（奖金10万元）、二等奖项目2个（奖金5万元）、三等奖项目5个（奖金3万元），奖金由中标单位承担，其中个税自理。</w:t>
      </w:r>
    </w:p>
    <w:p>
      <w:pPr>
        <w:numPr>
          <w:ilvl w:val="0"/>
          <w:numId w:val="0"/>
        </w:numPr>
        <w:spacing w:line="360" w:lineRule="auto"/>
        <w:ind w:firstLine="480" w:firstLineChars="200"/>
        <w:rPr>
          <w:rFonts w:hint="default" w:cs="宋体"/>
          <w:color w:val="auto"/>
          <w:sz w:val="24"/>
          <w:highlight w:val="none"/>
          <w:lang w:val="en-US" w:eastAsia="zh-CN"/>
        </w:rPr>
      </w:pPr>
      <w:r>
        <w:rPr>
          <w:rFonts w:hint="eastAsia" w:cs="宋体"/>
          <w:color w:val="auto"/>
          <w:sz w:val="24"/>
          <w:highlight w:val="none"/>
          <w:lang w:val="en-US" w:eastAsia="zh-CN"/>
        </w:rPr>
        <w:t>3. 中标单位按要求对参赛人员发放交通补贴，其中个税自理。</w:t>
      </w:r>
    </w:p>
    <w:p>
      <w:pPr>
        <w:spacing w:line="360" w:lineRule="auto"/>
        <w:ind w:firstLine="482" w:firstLineChars="200"/>
        <w:rPr>
          <w:rFonts w:hint="default" w:eastAsia="宋体"/>
          <w:b/>
          <w:bCs/>
          <w:color w:val="auto"/>
          <w:sz w:val="24"/>
          <w:highlight w:val="none"/>
          <w:lang w:val="en-US" w:eastAsia="zh-CN"/>
        </w:rPr>
      </w:pPr>
      <w:r>
        <w:rPr>
          <w:rFonts w:hint="eastAsia" w:eastAsia="宋体"/>
          <w:b/>
          <w:bCs/>
          <w:color w:val="auto"/>
          <w:sz w:val="24"/>
          <w:highlight w:val="none"/>
          <w:lang w:val="en-US" w:eastAsia="zh-CN"/>
        </w:rPr>
        <w:t>六</w:t>
      </w:r>
      <w:r>
        <w:rPr>
          <w:rFonts w:hint="eastAsia" w:eastAsia="宋体"/>
          <w:b/>
          <w:bCs/>
          <w:color w:val="auto"/>
          <w:sz w:val="24"/>
          <w:highlight w:val="none"/>
          <w:lang w:val="zh-CN" w:eastAsia="zh-CN"/>
        </w:rPr>
        <w:t>、</w:t>
      </w:r>
      <w:r>
        <w:rPr>
          <w:rFonts w:hint="eastAsia" w:eastAsia="宋体"/>
          <w:b/>
          <w:bCs/>
          <w:color w:val="auto"/>
          <w:sz w:val="24"/>
          <w:highlight w:val="none"/>
          <w:lang w:val="en-US" w:eastAsia="zh-CN"/>
        </w:rPr>
        <w:t>人员要求</w:t>
      </w:r>
    </w:p>
    <w:p>
      <w:pPr>
        <w:spacing w:line="360" w:lineRule="auto"/>
        <w:ind w:firstLine="480" w:firstLineChars="200"/>
        <w:rPr>
          <w:rFonts w:hint="eastAsia" w:eastAsia="宋体" w:cs="宋体"/>
          <w:color w:val="auto"/>
          <w:sz w:val="24"/>
          <w:highlight w:val="none"/>
          <w:lang w:val="en-US" w:eastAsia="zh-Hans"/>
        </w:rPr>
      </w:pPr>
      <w:r>
        <w:rPr>
          <w:rFonts w:hint="eastAsia" w:eastAsia="宋体" w:cs="宋体"/>
          <w:color w:val="auto"/>
          <w:sz w:val="24"/>
          <w:highlight w:val="none"/>
          <w:lang w:val="en-US" w:eastAsia="zh-CN"/>
        </w:rPr>
        <w:t>1、</w:t>
      </w:r>
      <w:r>
        <w:rPr>
          <w:rFonts w:hint="eastAsia" w:eastAsia="宋体" w:cs="宋体"/>
          <w:color w:val="auto"/>
          <w:sz w:val="24"/>
          <w:highlight w:val="none"/>
          <w:lang w:val="en-US" w:eastAsia="zh-Hans"/>
        </w:rPr>
        <w:t>负责此项目的核心团队至少有5人，成员组成需要合理，并经过采购人认可。</w:t>
      </w:r>
    </w:p>
    <w:p>
      <w:pPr>
        <w:spacing w:line="360" w:lineRule="auto"/>
        <w:ind w:firstLine="480" w:firstLineChars="200"/>
        <w:rPr>
          <w:rFonts w:hint="eastAsia" w:eastAsia="宋体" w:cs="宋体"/>
          <w:color w:val="auto"/>
          <w:sz w:val="24"/>
          <w:highlight w:val="none"/>
          <w:lang w:val="en-US" w:eastAsia="zh-Hans"/>
        </w:rPr>
      </w:pPr>
      <w:r>
        <w:rPr>
          <w:rFonts w:hint="eastAsia" w:eastAsia="宋体" w:cs="宋体"/>
          <w:color w:val="auto"/>
          <w:sz w:val="24"/>
          <w:highlight w:val="none"/>
          <w:lang w:val="en-US" w:eastAsia="zh-CN"/>
        </w:rPr>
        <w:t>2、</w:t>
      </w:r>
      <w:r>
        <w:rPr>
          <w:rFonts w:hint="eastAsia" w:eastAsia="宋体" w:cs="宋体"/>
          <w:color w:val="auto"/>
          <w:sz w:val="24"/>
          <w:highlight w:val="none"/>
          <w:lang w:val="en-US" w:eastAsia="zh-Hans"/>
        </w:rPr>
        <w:t>项目负责人1名。具有创新大赛或类似专项活动项目统筹管理和领导经验，能全程负责本项目各项工作的组织、实施、统筹协调，保障项目顺利实施。项目负责人不按要求履职的，采购人有权要求更换项目负责人，同时也会将此情况列为不良服务记录备案。</w:t>
      </w:r>
    </w:p>
    <w:p>
      <w:pPr>
        <w:spacing w:line="360" w:lineRule="auto"/>
        <w:ind w:left="479" w:leftChars="228" w:firstLine="0" w:firstLineChars="0"/>
        <w:rPr>
          <w:rFonts w:hint="default" w:eastAsia="宋体"/>
          <w:b/>
          <w:bCs/>
          <w:color w:val="auto"/>
          <w:sz w:val="24"/>
          <w:highlight w:val="none"/>
          <w:lang w:val="en-US" w:eastAsia="zh-CN"/>
        </w:rPr>
      </w:pPr>
      <w:r>
        <w:rPr>
          <w:rFonts w:hint="eastAsia" w:eastAsia="宋体"/>
          <w:b/>
          <w:bCs/>
          <w:color w:val="auto"/>
          <w:sz w:val="24"/>
          <w:highlight w:val="none"/>
          <w:lang w:val="en-US" w:eastAsia="zh-CN"/>
        </w:rPr>
        <w:t>七、工作实施保障</w:t>
      </w:r>
    </w:p>
    <w:p>
      <w:pPr>
        <w:spacing w:line="360" w:lineRule="auto"/>
        <w:ind w:firstLine="480" w:firstLineChars="200"/>
        <w:rPr>
          <w:rFonts w:hint="eastAsia" w:ascii="Times New Roman" w:hAnsi="Times New Roman" w:eastAsia="宋体" w:cs="宋体"/>
          <w:color w:val="auto"/>
          <w:sz w:val="24"/>
          <w:highlight w:val="none"/>
          <w:lang w:val="en-US" w:eastAsia="zh-Hans"/>
        </w:rPr>
      </w:pPr>
      <w:r>
        <w:rPr>
          <w:rFonts w:hint="eastAsia" w:ascii="Times New Roman" w:hAnsi="Times New Roman" w:eastAsia="宋体" w:cs="宋体"/>
          <w:color w:val="auto"/>
          <w:sz w:val="24"/>
          <w:highlight w:val="none"/>
          <w:lang w:val="en-US" w:eastAsia="zh-Hans"/>
        </w:rPr>
        <w:t>1、成交供应商中标后5个自然日内，向采购人提供包括活动详细策划与各阶段活动组织实施方案及活动费用概算（预算）等，活动整体安排行程及相关工作内容和目标。</w:t>
      </w:r>
    </w:p>
    <w:p>
      <w:pPr>
        <w:spacing w:line="360" w:lineRule="auto"/>
        <w:ind w:firstLine="480" w:firstLineChars="200"/>
        <w:rPr>
          <w:rFonts w:hint="eastAsia" w:ascii="Times New Roman" w:hAnsi="Times New Roman" w:eastAsia="宋体" w:cs="宋体"/>
          <w:color w:val="auto"/>
          <w:sz w:val="24"/>
          <w:highlight w:val="none"/>
          <w:lang w:val="en-US" w:eastAsia="zh-Hans"/>
        </w:rPr>
      </w:pPr>
      <w:r>
        <w:rPr>
          <w:rFonts w:hint="eastAsia" w:ascii="Times New Roman" w:hAnsi="Times New Roman" w:eastAsia="宋体" w:cs="宋体"/>
          <w:color w:val="auto"/>
          <w:sz w:val="24"/>
          <w:highlight w:val="none"/>
          <w:lang w:val="en-US" w:eastAsia="zh-Hans"/>
        </w:rPr>
        <w:t>2、根据工作方案安排，成交供应商中标后5个自然日成立大赛实施工作机构，机构各小组应职责明确、分工合理，任务安排到位。整个团队运作高效，对采购人提出的工作要求，在不晚于第二天内作出积极正面响应。</w:t>
      </w:r>
    </w:p>
    <w:p>
      <w:pPr>
        <w:spacing w:line="360" w:lineRule="auto"/>
        <w:ind w:firstLine="480" w:firstLineChars="200"/>
        <w:rPr>
          <w:rFonts w:ascii="宋体" w:hAnsi="宋体"/>
          <w:color w:val="auto"/>
          <w:sz w:val="24"/>
          <w:szCs w:val="24"/>
          <w:highlight w:val="none"/>
        </w:rPr>
      </w:pPr>
      <w:r>
        <w:rPr>
          <w:rFonts w:hint="eastAsia" w:ascii="Times New Roman" w:hAnsi="Times New Roman" w:eastAsia="宋体" w:cs="宋体"/>
          <w:color w:val="auto"/>
          <w:sz w:val="24"/>
          <w:highlight w:val="none"/>
          <w:lang w:val="en-US" w:eastAsia="zh-Hans"/>
        </w:rPr>
        <w:t>3、大赛结束后，提交大赛实施工作总结，总结内容应包含但不限于大赛的组织实施、宣传推介、参赛项目的组织发动、活动现场的安排、大赛现场服务等各个方面，工作总结应结构清晰、条理明晰、语言精练、数据准确、突出大赛的重点和亮点</w:t>
      </w:r>
      <w:r>
        <w:rPr>
          <w:rFonts w:hint="eastAsia" w:ascii="Times New Roman" w:hAnsi="Times New Roman" w:eastAsia="宋体" w:cs="宋体"/>
          <w:color w:val="auto"/>
          <w:sz w:val="24"/>
          <w:highlight w:val="none"/>
          <w:lang w:val="en-US" w:eastAsia="zh-CN"/>
        </w:rPr>
        <w:t>。</w:t>
      </w:r>
      <w:bookmarkStart w:id="438" w:name="_Toc509836615"/>
      <w:r>
        <w:rPr>
          <w:rFonts w:hAnsi="宋体"/>
          <w:color w:val="auto"/>
          <w:highlight w:val="none"/>
        </w:rPr>
        <w:br w:type="page"/>
      </w:r>
      <w:bookmarkEnd w:id="438"/>
    </w:p>
    <w:p>
      <w:pPr>
        <w:rPr>
          <w:rFonts w:hint="eastAsia"/>
          <w:color w:val="auto"/>
          <w:highlight w:val="none"/>
        </w:rPr>
      </w:pPr>
      <w:bookmarkStart w:id="439" w:name="_Toc3118"/>
      <w:bookmarkStart w:id="440" w:name="_Toc521578483"/>
      <w:bookmarkStart w:id="441" w:name="_Toc509836616"/>
    </w:p>
    <w:p>
      <w:pPr>
        <w:pStyle w:val="2"/>
        <w:jc w:val="center"/>
        <w:rPr>
          <w:rFonts w:hAnsi="宋体"/>
          <w:color w:val="auto"/>
          <w:highlight w:val="none"/>
        </w:rPr>
      </w:pPr>
      <w:r>
        <w:rPr>
          <w:rFonts w:hint="eastAsia" w:hAnsi="宋体"/>
          <w:color w:val="auto"/>
          <w:highlight w:val="none"/>
        </w:rPr>
        <w:t>第</w:t>
      </w:r>
      <w:r>
        <w:rPr>
          <w:rFonts w:hint="eastAsia" w:hAnsi="宋体"/>
          <w:color w:val="auto"/>
          <w:highlight w:val="none"/>
          <w:lang w:val="en-US" w:eastAsia="zh-CN"/>
        </w:rPr>
        <w:t>二</w:t>
      </w:r>
      <w:r>
        <w:rPr>
          <w:rFonts w:hint="eastAsia" w:hAnsi="宋体"/>
          <w:color w:val="auto"/>
          <w:highlight w:val="none"/>
        </w:rPr>
        <w:t xml:space="preserve">章  </w:t>
      </w:r>
      <w:bookmarkStart w:id="442" w:name="_Toc465331266"/>
      <w:r>
        <w:rPr>
          <w:rFonts w:hint="eastAsia" w:hAnsi="宋体"/>
          <w:color w:val="auto"/>
          <w:highlight w:val="none"/>
        </w:rPr>
        <w:t>付款方式及要求</w:t>
      </w:r>
      <w:bookmarkEnd w:id="439"/>
      <w:bookmarkEnd w:id="440"/>
      <w:bookmarkEnd w:id="441"/>
      <w:bookmarkEnd w:id="442"/>
    </w:p>
    <w:p>
      <w:pPr>
        <w:pStyle w:val="3"/>
        <w:rPr>
          <w:rFonts w:ascii="宋体" w:hAnsi="宋体"/>
          <w:color w:val="auto"/>
          <w:highlight w:val="none"/>
        </w:rPr>
      </w:pPr>
    </w:p>
    <w:p>
      <w:pPr>
        <w:pStyle w:val="3"/>
        <w:numPr>
          <w:ilvl w:val="0"/>
          <w:numId w:val="37"/>
        </w:numPr>
        <w:spacing w:line="440" w:lineRule="exact"/>
        <w:ind w:left="0" w:leftChars="0" w:firstLine="400" w:firstLineChars="0"/>
        <w:rPr>
          <w:rFonts w:hint="eastAsia" w:ascii="宋体" w:hAnsi="宋体"/>
          <w:color w:val="auto"/>
          <w:sz w:val="24"/>
          <w:szCs w:val="24"/>
          <w:highlight w:val="none"/>
          <w:lang w:val="en-US" w:eastAsia="zh-Hans"/>
        </w:rPr>
      </w:pPr>
      <w:r>
        <w:rPr>
          <w:rFonts w:hint="eastAsia" w:ascii="宋体" w:hAnsi="宋体"/>
          <w:color w:val="auto"/>
          <w:sz w:val="24"/>
          <w:szCs w:val="24"/>
          <w:highlight w:val="none"/>
          <w:lang w:val="en-US" w:eastAsia="zh-Hans"/>
        </w:rPr>
        <w:t>签订合同后15日内支付合同价的50%；</w:t>
      </w:r>
    </w:p>
    <w:p>
      <w:pPr>
        <w:pStyle w:val="3"/>
        <w:numPr>
          <w:ilvl w:val="0"/>
          <w:numId w:val="37"/>
        </w:numPr>
        <w:spacing w:line="440" w:lineRule="exact"/>
        <w:ind w:left="0" w:leftChars="0" w:firstLine="400" w:firstLineChars="0"/>
        <w:rPr>
          <w:rFonts w:hint="eastAsia" w:ascii="宋体" w:hAnsi="宋体"/>
          <w:color w:val="auto"/>
          <w:sz w:val="24"/>
          <w:szCs w:val="24"/>
          <w:highlight w:val="none"/>
          <w:lang w:val="en-US" w:eastAsia="zh-Hans"/>
        </w:rPr>
      </w:pPr>
      <w:r>
        <w:rPr>
          <w:rFonts w:hint="eastAsia" w:ascii="宋体" w:hAnsi="宋体"/>
          <w:color w:val="auto"/>
          <w:sz w:val="24"/>
          <w:szCs w:val="24"/>
          <w:highlight w:val="none"/>
          <w:lang w:val="en-US" w:eastAsia="zh-Hans"/>
        </w:rPr>
        <w:t>完成2场城市选拔赛后15日内支付合同价的15%；</w:t>
      </w:r>
    </w:p>
    <w:p>
      <w:pPr>
        <w:pStyle w:val="3"/>
        <w:numPr>
          <w:ilvl w:val="0"/>
          <w:numId w:val="37"/>
        </w:numPr>
        <w:spacing w:line="440" w:lineRule="exact"/>
        <w:ind w:left="0" w:leftChars="0" w:firstLine="400" w:firstLineChars="0"/>
        <w:rPr>
          <w:rFonts w:hint="eastAsia" w:ascii="宋体" w:hAnsi="宋体"/>
          <w:color w:val="auto"/>
          <w:sz w:val="24"/>
          <w:szCs w:val="24"/>
          <w:highlight w:val="none"/>
          <w:lang w:val="en-US" w:eastAsia="zh-Hans"/>
        </w:rPr>
      </w:pPr>
      <w:r>
        <w:rPr>
          <w:rFonts w:hint="eastAsia" w:ascii="宋体" w:hAnsi="宋体"/>
          <w:color w:val="auto"/>
          <w:sz w:val="24"/>
          <w:szCs w:val="24"/>
          <w:highlight w:val="none"/>
          <w:lang w:val="en-US" w:eastAsia="zh-Hans"/>
        </w:rPr>
        <w:t>完成第3场城市选拔赛、1场远程视频赛后15日内支付合同价的15%；</w:t>
      </w:r>
    </w:p>
    <w:p>
      <w:pPr>
        <w:pStyle w:val="3"/>
        <w:numPr>
          <w:ilvl w:val="0"/>
          <w:numId w:val="37"/>
        </w:numPr>
        <w:spacing w:line="440" w:lineRule="exact"/>
        <w:ind w:left="0" w:leftChars="0" w:firstLine="400" w:firstLineChars="0"/>
        <w:rPr>
          <w:rFonts w:hint="eastAsia" w:ascii="宋体" w:hAnsi="宋体"/>
          <w:color w:val="auto"/>
          <w:sz w:val="24"/>
          <w:szCs w:val="24"/>
          <w:highlight w:val="none"/>
          <w:lang w:val="en-US" w:eastAsia="zh-Hans"/>
        </w:rPr>
      </w:pPr>
      <w:r>
        <w:rPr>
          <w:rFonts w:hint="eastAsia" w:ascii="宋体" w:hAnsi="宋体"/>
          <w:color w:val="auto"/>
          <w:sz w:val="24"/>
          <w:szCs w:val="24"/>
          <w:highlight w:val="none"/>
          <w:lang w:val="en-US" w:eastAsia="zh-Hans"/>
        </w:rPr>
        <w:t>完成总决赛后15日内支付合同价的15%；</w:t>
      </w:r>
    </w:p>
    <w:p>
      <w:pPr>
        <w:pStyle w:val="3"/>
        <w:numPr>
          <w:ilvl w:val="0"/>
          <w:numId w:val="37"/>
        </w:numPr>
        <w:spacing w:line="440" w:lineRule="exact"/>
        <w:ind w:left="0" w:leftChars="0" w:firstLine="400" w:firstLineChars="0"/>
        <w:rPr>
          <w:rFonts w:hint="eastAsia" w:ascii="宋体" w:hAnsi="宋体"/>
          <w:color w:val="auto"/>
          <w:sz w:val="24"/>
          <w:szCs w:val="24"/>
          <w:highlight w:val="none"/>
          <w:lang w:val="en-US" w:eastAsia="zh-Hans"/>
        </w:rPr>
      </w:pPr>
      <w:r>
        <w:rPr>
          <w:rFonts w:hint="eastAsia" w:ascii="宋体" w:hAnsi="宋体"/>
          <w:color w:val="auto"/>
          <w:sz w:val="24"/>
          <w:szCs w:val="24"/>
          <w:highlight w:val="none"/>
          <w:lang w:val="en-US" w:eastAsia="zh-Hans"/>
        </w:rPr>
        <w:t>每完成1个项目团队落地上虞后15日内支付合同价的1%，最高不超过合同价的5%（创业项目落地标准为落地项目满足人才资助政策首期资金拨付条件，视为完成落地考核）。</w:t>
      </w:r>
    </w:p>
    <w:p>
      <w:pPr>
        <w:pStyle w:val="3"/>
        <w:spacing w:line="440" w:lineRule="exact"/>
        <w:ind w:left="-178" w:leftChars="-85" w:firstLine="480" w:firstLineChars="200"/>
        <w:rPr>
          <w:rFonts w:ascii="宋体" w:hAnsi="宋体"/>
          <w:color w:val="auto"/>
          <w:sz w:val="24"/>
          <w:szCs w:val="24"/>
          <w:highlight w:val="none"/>
        </w:rPr>
      </w:pPr>
    </w:p>
    <w:p>
      <w:pPr>
        <w:spacing w:line="360" w:lineRule="auto"/>
        <w:rPr>
          <w:color w:val="auto"/>
          <w:highlight w:val="none"/>
        </w:rPr>
      </w:pPr>
    </w:p>
    <w:p>
      <w:pPr>
        <w:pStyle w:val="4"/>
        <w:spacing w:line="420" w:lineRule="exact"/>
        <w:rPr>
          <w:color w:val="auto"/>
          <w:highlight w:val="none"/>
        </w:rPr>
      </w:pPr>
      <w:bookmarkStart w:id="443" w:name="_Toc1523"/>
      <w:r>
        <w:rPr>
          <w:rFonts w:hint="eastAsia" w:cs="宋体"/>
          <w:color w:val="auto"/>
          <w:sz w:val="32"/>
          <w:highlight w:val="none"/>
        </w:rPr>
        <w:br w:type="page"/>
      </w:r>
      <w:bookmarkStart w:id="444" w:name="_Toc7352"/>
      <w:r>
        <w:rPr>
          <w:rFonts w:hint="eastAsia" w:cs="宋体"/>
          <w:color w:val="auto"/>
          <w:sz w:val="32"/>
          <w:highlight w:val="none"/>
        </w:rPr>
        <w:t>第五部分  采购合同</w:t>
      </w:r>
      <w:bookmarkEnd w:id="443"/>
      <w:bookmarkEnd w:id="444"/>
    </w:p>
    <w:p>
      <w:pPr>
        <w:spacing w:line="420" w:lineRule="exact"/>
        <w:rPr>
          <w:rFonts w:ascii="宋体" w:hAnsi="宋体" w:cs="宋体"/>
          <w:color w:val="auto"/>
          <w:kern w:val="0"/>
          <w:sz w:val="24"/>
          <w:highlight w:val="none"/>
        </w:rPr>
      </w:pPr>
      <w:r>
        <w:rPr>
          <w:rFonts w:hint="eastAsia" w:ascii="宋体" w:hAnsi="宋体" w:cs="宋体"/>
          <w:color w:val="auto"/>
          <w:kern w:val="0"/>
          <w:sz w:val="24"/>
          <w:highlight w:val="none"/>
        </w:rPr>
        <w:t xml:space="preserve">　  </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合同编号：（202</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）第</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号</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签订日期：202</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年</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日</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kern w:val="0"/>
          <w:sz w:val="24"/>
          <w:highlight w:val="none"/>
        </w:rPr>
        <w:t>甲方</w:t>
      </w:r>
      <w:r>
        <w:rPr>
          <w:rFonts w:hint="eastAsia" w:ascii="宋体" w:hAnsi="宋体" w:cs="宋体"/>
          <w:color w:val="auto"/>
          <w:sz w:val="24"/>
          <w:highlight w:val="none"/>
        </w:rPr>
        <w:t>：</w:t>
      </w:r>
      <w:r>
        <w:rPr>
          <w:rFonts w:hint="eastAsia" w:ascii="宋体" w:hAnsi="宋体" w:cs="宋体"/>
          <w:color w:val="auto"/>
          <w:sz w:val="24"/>
          <w:highlight w:val="none"/>
          <w:u w:val="single"/>
        </w:rPr>
        <w:t>　　　　　　　　　　　　　　　　　　　　　　　　　</w:t>
      </w:r>
    </w:p>
    <w:p>
      <w:pPr>
        <w:spacing w:line="360" w:lineRule="auto"/>
        <w:ind w:firstLine="480" w:firstLineChars="200"/>
        <w:jc w:val="left"/>
        <w:rPr>
          <w:rFonts w:ascii="宋体" w:hAnsi="宋体" w:cs="宋体"/>
          <w:color w:val="auto"/>
          <w:sz w:val="24"/>
          <w:highlight w:val="none"/>
          <w:u w:val="single"/>
        </w:rPr>
      </w:pPr>
      <w:r>
        <w:rPr>
          <w:rFonts w:hint="eastAsia" w:ascii="宋体" w:hAnsi="宋体" w:cs="宋体"/>
          <w:color w:val="auto"/>
          <w:kern w:val="0"/>
          <w:sz w:val="24"/>
          <w:highlight w:val="none"/>
        </w:rPr>
        <w:t>乙方</w:t>
      </w:r>
      <w:r>
        <w:rPr>
          <w:rFonts w:hint="eastAsia" w:ascii="宋体" w:hAnsi="宋体" w:cs="宋体"/>
          <w:color w:val="auto"/>
          <w:sz w:val="24"/>
          <w:highlight w:val="none"/>
        </w:rPr>
        <w:t>：</w:t>
      </w:r>
      <w:r>
        <w:rPr>
          <w:rFonts w:hint="eastAsia" w:ascii="宋体" w:hAnsi="宋体" w:cs="宋体"/>
          <w:color w:val="auto"/>
          <w:sz w:val="24"/>
          <w:highlight w:val="none"/>
          <w:u w:val="single"/>
        </w:rPr>
        <w:t>　　　　　　　　　　　　　　　　　　　　　　　　　</w:t>
      </w:r>
    </w:p>
    <w:p>
      <w:pPr>
        <w:pStyle w:val="3"/>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甲方经公开、公平、公正招标，由乙方中标，甲方现将</w:t>
      </w:r>
      <w:r>
        <w:rPr>
          <w:rFonts w:hint="eastAsia" w:ascii="宋体" w:hAnsi="宋体" w:cs="宋体"/>
          <w:color w:val="auto"/>
          <w:kern w:val="0"/>
          <w:sz w:val="24"/>
          <w:szCs w:val="24"/>
          <w:highlight w:val="none"/>
          <w:lang w:eastAsia="zh-CN"/>
        </w:rPr>
        <w:t>第三届中国·绍兴“万亩千亿”新产业平台全球创业大赛生命健康专项赛暨上虞未来城“未来场景·未来产业”创业大赛</w:t>
      </w:r>
      <w:r>
        <w:rPr>
          <w:rFonts w:hint="eastAsia" w:ascii="宋体" w:hAnsi="宋体" w:cs="宋体"/>
          <w:color w:val="auto"/>
          <w:kern w:val="0"/>
          <w:sz w:val="24"/>
          <w:szCs w:val="24"/>
          <w:highlight w:val="none"/>
        </w:rPr>
        <w:t>委托乙方管理，根据《中华人民共和国民法典》、采购文件，签订本合同。</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一、项目概况</w:t>
      </w:r>
    </w:p>
    <w:p>
      <w:pPr>
        <w:spacing w:line="360" w:lineRule="auto"/>
        <w:ind w:firstLine="480" w:firstLineChars="200"/>
        <w:rPr>
          <w:rFonts w:ascii="仿宋_GB2312" w:hAnsi="黑体" w:eastAsia="仿宋_GB2312"/>
          <w:color w:val="auto"/>
          <w:sz w:val="24"/>
          <w:highlight w:val="none"/>
        </w:rPr>
      </w:pPr>
      <w:r>
        <w:rPr>
          <w:rFonts w:hint="eastAsia" w:ascii="宋体" w:hAnsi="宋体" w:cs="宋体"/>
          <w:bCs/>
          <w:color w:val="auto"/>
          <w:kern w:val="0"/>
          <w:sz w:val="24"/>
          <w:highlight w:val="none"/>
        </w:rPr>
        <w:t>为加快推进未来城建设脚步，打造有影响力的引才育才、招商推介平台，吸引全球高层次人才及优质创业项目落地，助推创新型“青春之城”建设，特开展本项目。</w:t>
      </w:r>
    </w:p>
    <w:p>
      <w:pPr>
        <w:numPr>
          <w:ilvl w:val="0"/>
          <w:numId w:val="38"/>
        </w:numPr>
        <w:tabs>
          <w:tab w:val="left" w:pos="772"/>
        </w:tabs>
        <w:spacing w:line="360" w:lineRule="auto"/>
        <w:ind w:firstLine="482"/>
        <w:rPr>
          <w:rFonts w:ascii="宋体" w:hAnsi="宋体" w:cs="宋体"/>
          <w:b/>
          <w:color w:val="auto"/>
          <w:sz w:val="24"/>
          <w:highlight w:val="none"/>
        </w:rPr>
      </w:pPr>
      <w:r>
        <w:rPr>
          <w:rFonts w:hint="eastAsia" w:ascii="宋体" w:hAnsi="宋体" w:cs="宋体"/>
          <w:b/>
          <w:color w:val="auto"/>
          <w:sz w:val="24"/>
          <w:highlight w:val="none"/>
          <w:lang w:val="en-US" w:eastAsia="zh-CN"/>
        </w:rPr>
        <w:t>组织单位</w:t>
      </w:r>
    </w:p>
    <w:p>
      <w:pPr>
        <w:spacing w:line="360" w:lineRule="auto"/>
        <w:ind w:firstLine="480" w:firstLineChars="200"/>
        <w:rPr>
          <w:rFonts w:hint="eastAsia" w:ascii="宋体" w:hAnsi="宋体" w:cs="宋体"/>
          <w:bCs/>
          <w:color w:val="auto"/>
          <w:kern w:val="0"/>
          <w:sz w:val="24"/>
          <w:highlight w:val="none"/>
        </w:rPr>
      </w:pPr>
      <w:r>
        <w:rPr>
          <w:rFonts w:hint="eastAsia" w:ascii="宋体" w:hAnsi="宋体" w:cs="宋体"/>
          <w:bCs/>
          <w:color w:val="auto"/>
          <w:kern w:val="0"/>
          <w:sz w:val="24"/>
          <w:highlight w:val="none"/>
        </w:rPr>
        <w:t>指导单位：中共绍兴市委人才工作领导小组</w:t>
      </w:r>
    </w:p>
    <w:p>
      <w:pPr>
        <w:spacing w:line="360" w:lineRule="auto"/>
        <w:ind w:firstLine="480" w:firstLineChars="200"/>
        <w:rPr>
          <w:rFonts w:hint="eastAsia" w:ascii="宋体" w:hAnsi="宋体" w:cs="宋体"/>
          <w:bCs/>
          <w:color w:val="auto"/>
          <w:kern w:val="0"/>
          <w:sz w:val="24"/>
          <w:highlight w:val="none"/>
        </w:rPr>
      </w:pPr>
      <w:r>
        <w:rPr>
          <w:rFonts w:hint="eastAsia" w:ascii="宋体" w:hAnsi="宋体" w:cs="宋体"/>
          <w:bCs/>
          <w:color w:val="auto"/>
          <w:kern w:val="0"/>
          <w:sz w:val="24"/>
          <w:highlight w:val="none"/>
        </w:rPr>
        <w:t>主办单位：中共绍兴市委人才工作领导小组办公室，绍兴市人力资源和社会保障局，中共绍兴市上虞区委、绍兴市上虞区人民政府</w:t>
      </w:r>
    </w:p>
    <w:p>
      <w:pPr>
        <w:spacing w:line="360" w:lineRule="auto"/>
        <w:ind w:firstLine="480" w:firstLineChars="200"/>
        <w:rPr>
          <w:rFonts w:hint="eastAsia" w:ascii="宋体" w:hAnsi="宋体" w:cs="宋体"/>
          <w:bCs/>
          <w:color w:val="auto"/>
          <w:kern w:val="0"/>
          <w:sz w:val="24"/>
          <w:highlight w:val="none"/>
        </w:rPr>
      </w:pPr>
      <w:r>
        <w:rPr>
          <w:rFonts w:hint="eastAsia" w:ascii="宋体" w:hAnsi="宋体" w:cs="宋体"/>
          <w:bCs/>
          <w:color w:val="auto"/>
          <w:kern w:val="0"/>
          <w:sz w:val="24"/>
          <w:highlight w:val="none"/>
        </w:rPr>
        <w:t>承办单位：中共绍兴市上虞区委人才工作领导小组办公室、绍兴市上虞区人力资源和社会保障局、绍兴市上虞区未来城开发建设办公室</w:t>
      </w:r>
    </w:p>
    <w:p>
      <w:pPr>
        <w:spacing w:line="360" w:lineRule="auto"/>
        <w:ind w:firstLine="482" w:firstLineChars="200"/>
        <w:jc w:val="left"/>
        <w:rPr>
          <w:rFonts w:hint="default" w:asciiTheme="minorEastAsia" w:hAnsiTheme="minorEastAsia" w:eastAsiaTheme="minorEastAsia" w:cstheme="minorEastAsia"/>
          <w:b/>
          <w:bCs/>
          <w:color w:val="auto"/>
          <w:sz w:val="24"/>
          <w:highlight w:val="none"/>
          <w:lang w:val="en-US" w:eastAsia="zh-CN"/>
        </w:rPr>
      </w:pPr>
      <w:r>
        <w:rPr>
          <w:rFonts w:hint="eastAsia" w:asciiTheme="minorEastAsia" w:hAnsiTheme="minorEastAsia" w:eastAsiaTheme="minorEastAsia" w:cstheme="minorEastAsia"/>
          <w:b/>
          <w:bCs/>
          <w:color w:val="auto"/>
          <w:sz w:val="24"/>
          <w:highlight w:val="none"/>
        </w:rPr>
        <w:t>三、</w:t>
      </w:r>
      <w:r>
        <w:rPr>
          <w:rFonts w:hint="eastAsia" w:asciiTheme="minorEastAsia" w:hAnsiTheme="minorEastAsia" w:eastAsiaTheme="minorEastAsia" w:cstheme="minorEastAsia"/>
          <w:b/>
          <w:bCs/>
          <w:color w:val="auto"/>
          <w:sz w:val="24"/>
          <w:highlight w:val="none"/>
          <w:lang w:val="en-US" w:eastAsia="zh-CN"/>
        </w:rPr>
        <w:t>项目内容</w:t>
      </w:r>
    </w:p>
    <w:p>
      <w:pPr>
        <w:spacing w:line="360" w:lineRule="auto"/>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1、</w:t>
      </w:r>
      <w:r>
        <w:rPr>
          <w:rFonts w:hint="eastAsia" w:ascii="宋体" w:hAnsi="宋体" w:eastAsia="宋体" w:cs="宋体"/>
          <w:bCs/>
          <w:color w:val="auto"/>
          <w:kern w:val="0"/>
          <w:sz w:val="24"/>
          <w:highlight w:val="none"/>
          <w:lang w:val="en-US" w:eastAsia="zh-CN"/>
        </w:rPr>
        <w:t>大赛</w:t>
      </w:r>
      <w:r>
        <w:rPr>
          <w:rFonts w:hint="eastAsia" w:ascii="宋体" w:hAnsi="宋体" w:eastAsia="宋体" w:cs="宋体"/>
          <w:bCs/>
          <w:color w:val="auto"/>
          <w:kern w:val="0"/>
          <w:sz w:val="24"/>
          <w:highlight w:val="none"/>
        </w:rPr>
        <w:t>时间：2023年</w:t>
      </w:r>
      <w:r>
        <w:rPr>
          <w:rFonts w:hint="eastAsia" w:ascii="宋体" w:hAnsi="宋体" w:eastAsia="宋体" w:cs="宋体"/>
          <w:bCs/>
          <w:color w:val="auto"/>
          <w:kern w:val="0"/>
          <w:sz w:val="24"/>
          <w:highlight w:val="none"/>
          <w:lang w:val="en-US" w:eastAsia="zh-CN"/>
        </w:rPr>
        <w:t>5</w:t>
      </w:r>
      <w:r>
        <w:rPr>
          <w:rFonts w:hint="eastAsia" w:ascii="宋体" w:hAnsi="宋体" w:eastAsia="宋体" w:cs="宋体"/>
          <w:bCs/>
          <w:color w:val="auto"/>
          <w:kern w:val="0"/>
          <w:sz w:val="24"/>
          <w:highlight w:val="none"/>
        </w:rPr>
        <w:t>月</w:t>
      </w:r>
      <w:r>
        <w:rPr>
          <w:rFonts w:hint="eastAsia" w:ascii="宋体" w:hAnsi="宋体" w:eastAsia="宋体" w:cs="宋体"/>
          <w:bCs/>
          <w:color w:val="auto"/>
          <w:kern w:val="0"/>
          <w:sz w:val="24"/>
          <w:highlight w:val="none"/>
          <w:lang w:val="en-US" w:eastAsia="zh-CN"/>
        </w:rPr>
        <w:t>下旬</w:t>
      </w:r>
      <w:r>
        <w:rPr>
          <w:rFonts w:hint="eastAsia" w:ascii="宋体" w:hAnsi="宋体" w:eastAsia="宋体" w:cs="宋体"/>
          <w:bCs/>
          <w:color w:val="auto"/>
          <w:kern w:val="0"/>
          <w:sz w:val="24"/>
          <w:highlight w:val="none"/>
          <w:lang w:eastAsia="zh-CN"/>
        </w:rPr>
        <w:t>—</w:t>
      </w:r>
      <w:r>
        <w:rPr>
          <w:rFonts w:hint="eastAsia" w:ascii="宋体" w:hAnsi="宋体" w:eastAsia="宋体" w:cs="宋体"/>
          <w:bCs/>
          <w:color w:val="auto"/>
          <w:kern w:val="0"/>
          <w:sz w:val="24"/>
          <w:highlight w:val="none"/>
          <w:lang w:val="en-US" w:eastAsia="zh-CN"/>
        </w:rPr>
        <w:t>9月</w:t>
      </w:r>
      <w:r>
        <w:rPr>
          <w:rFonts w:hint="eastAsia" w:ascii="宋体" w:hAnsi="宋体" w:eastAsia="宋体" w:cs="宋体"/>
          <w:bCs/>
          <w:color w:val="auto"/>
          <w:kern w:val="0"/>
          <w:sz w:val="24"/>
          <w:highlight w:val="none"/>
        </w:rPr>
        <w:t>（具体以</w:t>
      </w:r>
      <w:r>
        <w:rPr>
          <w:rFonts w:hint="eastAsia" w:ascii="宋体" w:hAnsi="宋体" w:cs="宋体"/>
          <w:bCs/>
          <w:color w:val="auto"/>
          <w:kern w:val="0"/>
          <w:sz w:val="24"/>
          <w:highlight w:val="none"/>
          <w:lang w:eastAsia="zh-CN"/>
        </w:rPr>
        <w:t>甲方</w:t>
      </w:r>
      <w:r>
        <w:rPr>
          <w:rFonts w:hint="eastAsia" w:ascii="宋体" w:hAnsi="宋体" w:eastAsia="宋体" w:cs="宋体"/>
          <w:bCs/>
          <w:color w:val="auto"/>
          <w:kern w:val="0"/>
          <w:sz w:val="24"/>
          <w:highlight w:val="none"/>
        </w:rPr>
        <w:t>要求为准）</w:t>
      </w:r>
    </w:p>
    <w:p>
      <w:pPr>
        <w:spacing w:line="360" w:lineRule="auto"/>
        <w:ind w:firstLine="480" w:firstLineChars="200"/>
        <w:rPr>
          <w:rFonts w:hint="eastAsia" w:ascii="宋体" w:hAnsi="宋体" w:eastAsia="宋体" w:cs="宋体"/>
          <w:bCs/>
          <w:color w:val="auto"/>
          <w:kern w:val="0"/>
          <w:sz w:val="24"/>
          <w:highlight w:val="none"/>
          <w:lang w:eastAsia="zh-CN"/>
        </w:rPr>
      </w:pPr>
      <w:r>
        <w:rPr>
          <w:rFonts w:hint="eastAsia" w:ascii="宋体" w:hAnsi="宋体" w:eastAsia="宋体" w:cs="宋体"/>
          <w:bCs/>
          <w:color w:val="auto"/>
          <w:kern w:val="0"/>
          <w:sz w:val="24"/>
          <w:highlight w:val="none"/>
        </w:rPr>
        <w:t>2、</w:t>
      </w:r>
      <w:r>
        <w:rPr>
          <w:rFonts w:hint="eastAsia" w:ascii="宋体" w:hAnsi="宋体" w:cs="宋体"/>
          <w:bCs/>
          <w:color w:val="auto"/>
          <w:kern w:val="0"/>
          <w:sz w:val="24"/>
          <w:highlight w:val="none"/>
          <w:lang w:val="en-US" w:eastAsia="zh-CN"/>
        </w:rPr>
        <w:t>启动仪式</w:t>
      </w:r>
      <w:r>
        <w:rPr>
          <w:rFonts w:hint="eastAsia" w:ascii="宋体" w:hAnsi="宋体" w:eastAsia="宋体" w:cs="宋体"/>
          <w:bCs/>
          <w:color w:val="auto"/>
          <w:kern w:val="0"/>
          <w:sz w:val="24"/>
          <w:highlight w:val="none"/>
        </w:rPr>
        <w:t>地点：上海市区星级酒店</w:t>
      </w:r>
      <w:r>
        <w:rPr>
          <w:rFonts w:hint="eastAsia" w:ascii="宋体" w:hAnsi="宋体" w:cs="宋体"/>
          <w:bCs/>
          <w:color w:val="auto"/>
          <w:kern w:val="0"/>
          <w:sz w:val="24"/>
          <w:highlight w:val="none"/>
          <w:lang w:eastAsia="zh-CN"/>
        </w:rPr>
        <w:t>（</w:t>
      </w:r>
      <w:r>
        <w:rPr>
          <w:rFonts w:hint="eastAsia" w:ascii="宋体" w:hAnsi="宋体" w:cs="宋体"/>
          <w:bCs/>
          <w:color w:val="auto"/>
          <w:kern w:val="0"/>
          <w:sz w:val="24"/>
          <w:highlight w:val="none"/>
          <w:lang w:val="en-US" w:eastAsia="zh-CN"/>
        </w:rPr>
        <w:t>暂定</w:t>
      </w:r>
      <w:r>
        <w:rPr>
          <w:rFonts w:hint="eastAsia" w:ascii="宋体" w:hAnsi="宋体" w:cs="宋体"/>
          <w:bCs/>
          <w:color w:val="auto"/>
          <w:kern w:val="0"/>
          <w:sz w:val="24"/>
          <w:highlight w:val="none"/>
          <w:lang w:eastAsia="zh-CN"/>
        </w:rPr>
        <w:t>）</w:t>
      </w:r>
    </w:p>
    <w:p>
      <w:pPr>
        <w:spacing w:line="360" w:lineRule="auto"/>
        <w:ind w:firstLine="480" w:firstLineChars="200"/>
        <w:rPr>
          <w:rFonts w:hint="eastAsia" w:ascii="宋体" w:hAnsi="宋体" w:eastAsia="宋体" w:cs="宋体"/>
          <w:bCs/>
          <w:color w:val="auto"/>
          <w:kern w:val="0"/>
          <w:sz w:val="24"/>
          <w:highlight w:val="none"/>
        </w:rPr>
      </w:pPr>
      <w:r>
        <w:rPr>
          <w:rFonts w:hint="eastAsia" w:ascii="宋体" w:hAnsi="宋体" w:cs="宋体"/>
          <w:bCs/>
          <w:color w:val="auto"/>
          <w:kern w:val="0"/>
          <w:sz w:val="24"/>
          <w:highlight w:val="none"/>
          <w:lang w:val="en-US" w:eastAsia="zh-CN"/>
        </w:rPr>
        <w:t>3、</w:t>
      </w:r>
      <w:r>
        <w:rPr>
          <w:rFonts w:hint="eastAsia" w:ascii="宋体" w:hAnsi="宋体" w:eastAsia="宋体" w:cs="宋体"/>
          <w:bCs/>
          <w:color w:val="auto"/>
          <w:kern w:val="0"/>
          <w:sz w:val="24"/>
          <w:highlight w:val="none"/>
          <w:lang w:val="en-US" w:eastAsia="zh-CN"/>
        </w:rPr>
        <w:t>大赛形式</w:t>
      </w:r>
      <w:r>
        <w:rPr>
          <w:rFonts w:hint="eastAsia" w:ascii="宋体" w:hAnsi="宋体" w:eastAsia="宋体" w:cs="宋体"/>
          <w:bCs/>
          <w:color w:val="auto"/>
          <w:kern w:val="0"/>
          <w:sz w:val="24"/>
          <w:highlight w:val="none"/>
        </w:rPr>
        <w:t>：</w:t>
      </w:r>
    </w:p>
    <w:p>
      <w:pPr>
        <w:spacing w:line="360" w:lineRule="auto"/>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本次大赛共设两个赛道，分别为“万亩千亿”新产业平台-生命健康赛道和“未来场景·未来产业”赛道，包含公告发布、项目征集及初审、线下启动会、城市分站赛、海外线上分站赛、尽职调查与考察对接、总决赛及颁奖典礼等内容。</w:t>
      </w:r>
    </w:p>
    <w:p>
      <w:pPr>
        <w:spacing w:line="360" w:lineRule="auto"/>
        <w:ind w:firstLine="480" w:firstLineChars="200"/>
        <w:rPr>
          <w:rFonts w:hint="eastAsia" w:ascii="宋体" w:hAnsi="宋体" w:eastAsia="宋体" w:cs="宋体"/>
          <w:bCs/>
          <w:color w:val="auto"/>
          <w:kern w:val="0"/>
          <w:sz w:val="24"/>
          <w:highlight w:val="none"/>
        </w:rPr>
      </w:pPr>
      <w:r>
        <w:rPr>
          <w:rFonts w:hint="eastAsia" w:ascii="宋体" w:hAnsi="宋体" w:cs="宋体"/>
          <w:bCs/>
          <w:color w:val="auto"/>
          <w:kern w:val="0"/>
          <w:sz w:val="24"/>
          <w:highlight w:val="none"/>
          <w:lang w:val="en-US" w:eastAsia="zh-CN"/>
        </w:rPr>
        <w:t>4</w:t>
      </w:r>
      <w:r>
        <w:rPr>
          <w:rFonts w:hint="eastAsia" w:ascii="宋体" w:hAnsi="宋体" w:eastAsia="宋体" w:cs="宋体"/>
          <w:bCs/>
          <w:color w:val="auto"/>
          <w:kern w:val="0"/>
          <w:sz w:val="24"/>
          <w:highlight w:val="none"/>
          <w:lang w:val="en-US" w:eastAsia="zh-CN"/>
        </w:rPr>
        <w:t>、服务期限：自本合同签署生效之日起至</w:t>
      </w:r>
      <w:r>
        <w:rPr>
          <w:rFonts w:hint="eastAsia" w:ascii="宋体" w:hAnsi="宋体" w:cs="宋体"/>
          <w:bCs/>
          <w:color w:val="auto"/>
          <w:kern w:val="0"/>
          <w:sz w:val="24"/>
          <w:highlight w:val="none"/>
          <w:lang w:val="en-US" w:eastAsia="zh-CN"/>
        </w:rPr>
        <w:t>乙方</w:t>
      </w:r>
      <w:r>
        <w:rPr>
          <w:rFonts w:hint="eastAsia" w:ascii="宋体" w:hAnsi="宋体" w:eastAsia="宋体" w:cs="宋体"/>
          <w:bCs/>
          <w:color w:val="auto"/>
          <w:kern w:val="0"/>
          <w:sz w:val="24"/>
          <w:highlight w:val="none"/>
          <w:lang w:val="en-US" w:eastAsia="zh-CN"/>
        </w:rPr>
        <w:t>所承担的活动全部工作结束止。</w:t>
      </w:r>
    </w:p>
    <w:p>
      <w:pPr>
        <w:spacing w:line="360" w:lineRule="auto"/>
        <w:ind w:firstLine="482" w:firstLineChars="200"/>
        <w:rPr>
          <w:rFonts w:hint="default" w:eastAsia="宋体"/>
          <w:b/>
          <w:bCs/>
          <w:color w:val="auto"/>
          <w:sz w:val="24"/>
          <w:highlight w:val="none"/>
          <w:lang w:val="en-US" w:eastAsia="zh-CN"/>
        </w:rPr>
      </w:pPr>
      <w:r>
        <w:rPr>
          <w:rFonts w:hint="eastAsia"/>
          <w:b/>
          <w:bCs/>
          <w:color w:val="auto"/>
          <w:sz w:val="24"/>
          <w:highlight w:val="none"/>
        </w:rPr>
        <w:t>四、</w:t>
      </w:r>
      <w:r>
        <w:rPr>
          <w:rFonts w:hint="eastAsia"/>
          <w:b/>
          <w:bCs/>
          <w:color w:val="auto"/>
          <w:sz w:val="24"/>
          <w:highlight w:val="none"/>
          <w:lang w:val="en-US" w:eastAsia="zh-CN"/>
        </w:rPr>
        <w:t>参赛项目要求</w:t>
      </w:r>
    </w:p>
    <w:p>
      <w:pPr>
        <w:spacing w:line="360" w:lineRule="auto"/>
        <w:ind w:firstLine="482" w:firstLineChars="200"/>
        <w:rPr>
          <w:rFonts w:hint="eastAsia" w:cs="宋体"/>
          <w:b/>
          <w:bCs/>
          <w:color w:val="auto"/>
          <w:sz w:val="24"/>
          <w:highlight w:val="none"/>
        </w:rPr>
      </w:pPr>
      <w:r>
        <w:rPr>
          <w:rFonts w:hint="eastAsia" w:cs="宋体"/>
          <w:b/>
          <w:bCs/>
          <w:color w:val="auto"/>
          <w:sz w:val="24"/>
          <w:highlight w:val="none"/>
        </w:rPr>
        <w:t>（一）“万亩千亿”新产业平台</w:t>
      </w:r>
      <w:r>
        <w:rPr>
          <w:rFonts w:hint="eastAsia" w:cs="宋体"/>
          <w:b/>
          <w:bCs/>
          <w:color w:val="auto"/>
          <w:sz w:val="24"/>
          <w:highlight w:val="none"/>
          <w:lang w:eastAsia="zh-CN"/>
        </w:rPr>
        <w:t>——</w:t>
      </w:r>
      <w:r>
        <w:rPr>
          <w:rFonts w:hint="eastAsia" w:cs="宋体"/>
          <w:b/>
          <w:bCs/>
          <w:color w:val="auto"/>
          <w:sz w:val="24"/>
          <w:highlight w:val="none"/>
        </w:rPr>
        <w:t>生命健康赛道</w:t>
      </w:r>
    </w:p>
    <w:p>
      <w:pPr>
        <w:spacing w:line="360" w:lineRule="auto"/>
        <w:ind w:firstLine="480" w:firstLineChars="200"/>
        <w:rPr>
          <w:rFonts w:hint="eastAsia" w:cs="宋体"/>
          <w:color w:val="auto"/>
          <w:sz w:val="24"/>
          <w:highlight w:val="none"/>
        </w:rPr>
      </w:pPr>
      <w:r>
        <w:rPr>
          <w:rFonts w:hint="eastAsia" w:cs="宋体"/>
          <w:color w:val="auto"/>
          <w:sz w:val="24"/>
          <w:highlight w:val="none"/>
        </w:rPr>
        <w:t>1.参赛项目为未来医疗、合成生物、生物医药、医疗器械等相关领域项目。</w:t>
      </w:r>
    </w:p>
    <w:p>
      <w:pPr>
        <w:spacing w:line="360" w:lineRule="auto"/>
        <w:ind w:firstLine="480" w:firstLineChars="200"/>
        <w:rPr>
          <w:rFonts w:hint="eastAsia" w:cs="宋体"/>
          <w:color w:val="auto"/>
          <w:sz w:val="24"/>
          <w:highlight w:val="none"/>
        </w:rPr>
      </w:pPr>
      <w:r>
        <w:rPr>
          <w:rFonts w:hint="eastAsia" w:cs="宋体"/>
          <w:color w:val="auto"/>
          <w:sz w:val="24"/>
          <w:highlight w:val="none"/>
        </w:rPr>
        <w:t>2.参赛项目负责人具有硕士及以上学位，有海内外创业经历或在国内外知名企业担任管理、技术类中高级职务，有较强的经营管理能力，年龄不超过60周岁。</w:t>
      </w:r>
    </w:p>
    <w:p>
      <w:pPr>
        <w:spacing w:line="360" w:lineRule="auto"/>
        <w:ind w:firstLine="480" w:firstLineChars="200"/>
        <w:rPr>
          <w:rFonts w:hint="eastAsia" w:cs="宋体"/>
          <w:color w:val="auto"/>
          <w:sz w:val="24"/>
          <w:highlight w:val="none"/>
        </w:rPr>
      </w:pPr>
      <w:r>
        <w:rPr>
          <w:rFonts w:hint="eastAsia" w:cs="宋体"/>
          <w:color w:val="auto"/>
          <w:sz w:val="24"/>
          <w:highlight w:val="none"/>
        </w:rPr>
        <w:t>3.参赛项目具有自主知识产权、掌握关键核心技术，创业团队结构合理，拥有国际先进、国内领先技术成果，或者能够填补国内空白，产业化开发潜力大。</w:t>
      </w:r>
    </w:p>
    <w:p>
      <w:pPr>
        <w:spacing w:line="360" w:lineRule="auto"/>
        <w:ind w:firstLine="480" w:firstLineChars="200"/>
        <w:rPr>
          <w:rFonts w:hint="eastAsia" w:cs="宋体"/>
          <w:color w:val="auto"/>
          <w:sz w:val="24"/>
          <w:highlight w:val="none"/>
        </w:rPr>
      </w:pPr>
      <w:r>
        <w:rPr>
          <w:rFonts w:hint="eastAsia" w:cs="宋体"/>
          <w:color w:val="auto"/>
          <w:sz w:val="24"/>
          <w:highlight w:val="none"/>
        </w:rPr>
        <w:t>4.参赛项目有明确落户绍兴</w:t>
      </w:r>
      <w:r>
        <w:rPr>
          <w:rFonts w:hint="eastAsia" w:cs="宋体"/>
          <w:color w:val="auto"/>
          <w:sz w:val="24"/>
          <w:highlight w:val="none"/>
        </w:rPr>
        <w:t>的意向，在绍兴创办企业后注册资金一般不低于200万元，参赛项目负责人为主要创办人且为第一大股东或最大自然人股东，自有资金（含技术入股）占创业投资的30%以上，且投入企业的实收资金100万元以上。</w:t>
      </w:r>
    </w:p>
    <w:p>
      <w:pPr>
        <w:spacing w:line="360" w:lineRule="auto"/>
        <w:ind w:firstLine="480" w:firstLineChars="200"/>
        <w:rPr>
          <w:rFonts w:hint="eastAsia" w:cs="宋体"/>
          <w:color w:val="auto"/>
          <w:sz w:val="24"/>
          <w:highlight w:val="none"/>
        </w:rPr>
      </w:pPr>
      <w:r>
        <w:rPr>
          <w:rFonts w:hint="eastAsia" w:cs="宋体"/>
          <w:color w:val="auto"/>
          <w:sz w:val="24"/>
          <w:highlight w:val="none"/>
        </w:rPr>
        <w:t>5.参赛项目负责人及其团队成员社会信誉良好、无不良记录，提供的资料真实、合法、有效，参赛项目符合国家法律法规和产业政策，无知识产权纠纷。</w:t>
      </w:r>
    </w:p>
    <w:p>
      <w:pPr>
        <w:spacing w:line="360" w:lineRule="auto"/>
        <w:ind w:firstLine="480" w:firstLineChars="200"/>
        <w:rPr>
          <w:rFonts w:hint="eastAsia" w:cs="宋体"/>
          <w:color w:val="auto"/>
          <w:sz w:val="24"/>
          <w:highlight w:val="none"/>
        </w:rPr>
      </w:pPr>
      <w:r>
        <w:rPr>
          <w:rFonts w:hint="eastAsia" w:cs="宋体"/>
          <w:color w:val="auto"/>
          <w:sz w:val="24"/>
          <w:highlight w:val="none"/>
        </w:rPr>
        <w:t>6.同一参赛项目和项目负责人只能申报本次大赛一个专项赛，不得重复参赛。</w:t>
      </w:r>
    </w:p>
    <w:p>
      <w:pPr>
        <w:spacing w:line="360" w:lineRule="auto"/>
        <w:ind w:firstLine="482" w:firstLineChars="200"/>
        <w:rPr>
          <w:rFonts w:hint="eastAsia" w:cs="宋体"/>
          <w:b/>
          <w:bCs/>
          <w:color w:val="auto"/>
          <w:sz w:val="24"/>
          <w:highlight w:val="none"/>
        </w:rPr>
      </w:pPr>
      <w:r>
        <w:rPr>
          <w:rFonts w:hint="eastAsia" w:cs="宋体"/>
          <w:b/>
          <w:bCs/>
          <w:color w:val="auto"/>
          <w:sz w:val="24"/>
          <w:highlight w:val="none"/>
        </w:rPr>
        <w:t>（二）“未来场景·未来产业”赛道</w:t>
      </w:r>
    </w:p>
    <w:p>
      <w:pPr>
        <w:spacing w:line="360" w:lineRule="auto"/>
        <w:ind w:firstLine="480" w:firstLineChars="200"/>
        <w:rPr>
          <w:rFonts w:hint="eastAsia" w:cs="宋体"/>
          <w:color w:val="auto"/>
          <w:sz w:val="24"/>
          <w:highlight w:val="none"/>
        </w:rPr>
      </w:pPr>
      <w:r>
        <w:rPr>
          <w:rFonts w:hint="eastAsia" w:cs="宋体"/>
          <w:color w:val="auto"/>
          <w:sz w:val="24"/>
          <w:highlight w:val="none"/>
        </w:rPr>
        <w:t>1.参赛项目为未来网络、元宇宙、仿生机器人、</w:t>
      </w:r>
      <w:r>
        <w:rPr>
          <w:rFonts w:hint="eastAsia" w:cs="宋体"/>
          <w:color w:val="auto"/>
          <w:sz w:val="24"/>
          <w:highlight w:val="none"/>
          <w:lang w:val="en-US" w:eastAsia="zh-CN"/>
        </w:rPr>
        <w:t>柔</w:t>
      </w:r>
      <w:r>
        <w:rPr>
          <w:rFonts w:hint="eastAsia" w:cs="宋体"/>
          <w:color w:val="auto"/>
          <w:sz w:val="24"/>
          <w:highlight w:val="none"/>
        </w:rPr>
        <w:t>性电子等相关</w:t>
      </w:r>
      <w:r>
        <w:rPr>
          <w:rFonts w:hint="eastAsia" w:cs="宋体"/>
          <w:color w:val="auto"/>
          <w:sz w:val="24"/>
          <w:highlight w:val="none"/>
          <w:lang w:val="en-US" w:eastAsia="zh-CN"/>
        </w:rPr>
        <w:t>未来场景产业</w:t>
      </w:r>
      <w:r>
        <w:rPr>
          <w:rFonts w:hint="eastAsia" w:cs="宋体"/>
          <w:color w:val="auto"/>
          <w:sz w:val="24"/>
          <w:highlight w:val="none"/>
        </w:rPr>
        <w:t>项目。</w:t>
      </w:r>
    </w:p>
    <w:p>
      <w:pPr>
        <w:spacing w:line="360" w:lineRule="auto"/>
        <w:ind w:firstLine="480" w:firstLineChars="200"/>
        <w:rPr>
          <w:rFonts w:hint="eastAsia" w:cs="宋体"/>
          <w:color w:val="auto"/>
          <w:sz w:val="24"/>
          <w:highlight w:val="none"/>
        </w:rPr>
      </w:pPr>
      <w:r>
        <w:rPr>
          <w:rFonts w:hint="eastAsia" w:cs="宋体"/>
          <w:color w:val="auto"/>
          <w:sz w:val="24"/>
          <w:highlight w:val="none"/>
        </w:rPr>
        <w:t>2.参赛项目负责人不限学历，有海内外创业经历或在国内外知名企业有管理、技术类中的工作经历，有较强的经营管理能力，年龄不超过60周岁。</w:t>
      </w:r>
    </w:p>
    <w:p>
      <w:pPr>
        <w:spacing w:line="360" w:lineRule="auto"/>
        <w:ind w:firstLine="480" w:firstLineChars="200"/>
        <w:rPr>
          <w:rFonts w:hint="eastAsia" w:cs="宋体"/>
          <w:color w:val="auto"/>
          <w:sz w:val="24"/>
          <w:highlight w:val="none"/>
        </w:rPr>
      </w:pPr>
      <w:r>
        <w:rPr>
          <w:rFonts w:hint="eastAsia" w:cs="宋体"/>
          <w:color w:val="auto"/>
          <w:sz w:val="24"/>
          <w:highlight w:val="none"/>
        </w:rPr>
        <w:t>3.参赛项目具有清晰的商业模式，具备创新性和独有性，参赛项目具有独特创意，属于前沿科技，符合国家现行法律法规和相关产业政策。</w:t>
      </w:r>
    </w:p>
    <w:p>
      <w:pPr>
        <w:spacing w:line="360" w:lineRule="auto"/>
        <w:ind w:firstLine="480" w:firstLineChars="200"/>
        <w:rPr>
          <w:rFonts w:hint="eastAsia" w:cs="宋体"/>
          <w:color w:val="auto"/>
          <w:sz w:val="24"/>
          <w:highlight w:val="none"/>
        </w:rPr>
      </w:pPr>
      <w:r>
        <w:rPr>
          <w:rFonts w:hint="eastAsia" w:cs="宋体"/>
          <w:color w:val="auto"/>
          <w:sz w:val="24"/>
          <w:highlight w:val="none"/>
        </w:rPr>
        <w:t>4.参赛项目有明确落户上虞</w:t>
      </w:r>
      <w:r>
        <w:rPr>
          <w:rFonts w:hint="eastAsia" w:cs="宋体"/>
          <w:color w:val="auto"/>
          <w:sz w:val="24"/>
          <w:highlight w:val="none"/>
        </w:rPr>
        <w:t>的意向，参赛项目负责人为主要创办人且为第一大股东或最大自然人股东，自有资金（含技术入股）占创业投资的30%以上，且投入企业的实收资金50万元以上。</w:t>
      </w:r>
    </w:p>
    <w:p>
      <w:pPr>
        <w:spacing w:line="360" w:lineRule="auto"/>
        <w:ind w:firstLine="480" w:firstLineChars="200"/>
        <w:rPr>
          <w:rFonts w:hint="eastAsia" w:cs="宋体"/>
          <w:color w:val="auto"/>
          <w:sz w:val="24"/>
          <w:highlight w:val="none"/>
        </w:rPr>
      </w:pPr>
      <w:r>
        <w:rPr>
          <w:rFonts w:hint="eastAsia" w:cs="宋体"/>
          <w:color w:val="auto"/>
          <w:sz w:val="24"/>
          <w:highlight w:val="none"/>
        </w:rPr>
        <w:t>5.参赛项目负责人及其团队成员社会信誉良好、无不良记录，提供的资料真实、合法、有效，参赛项目符合国家法律法规和产业政策，无知识产权纠纷。</w:t>
      </w:r>
    </w:p>
    <w:p>
      <w:pPr>
        <w:spacing w:line="360" w:lineRule="auto"/>
        <w:ind w:left="479" w:leftChars="228" w:firstLine="0" w:firstLineChars="0"/>
        <w:rPr>
          <w:rFonts w:hint="default" w:eastAsia="宋体"/>
          <w:b/>
          <w:bCs/>
          <w:color w:val="auto"/>
          <w:sz w:val="24"/>
          <w:highlight w:val="none"/>
          <w:lang w:val="en-US" w:eastAsia="zh-CN"/>
        </w:rPr>
      </w:pPr>
      <w:r>
        <w:rPr>
          <w:rFonts w:hint="eastAsia" w:cs="宋体"/>
          <w:color w:val="auto"/>
          <w:sz w:val="24"/>
          <w:highlight w:val="none"/>
        </w:rPr>
        <w:t>6.同一参赛项目和项目负责人只能申报本次大赛一个专项赛，不得重复参赛。</w:t>
      </w:r>
      <w:r>
        <w:rPr>
          <w:rFonts w:hint="eastAsia"/>
          <w:b/>
          <w:bCs/>
          <w:color w:val="auto"/>
          <w:sz w:val="24"/>
          <w:highlight w:val="none"/>
        </w:rPr>
        <w:t>五、</w:t>
      </w:r>
      <w:r>
        <w:rPr>
          <w:rFonts w:hint="eastAsia"/>
          <w:b/>
          <w:bCs/>
          <w:color w:val="auto"/>
          <w:sz w:val="24"/>
          <w:highlight w:val="none"/>
          <w:lang w:val="en-US" w:eastAsia="zh-CN"/>
        </w:rPr>
        <w:t>赛事要求</w:t>
      </w:r>
    </w:p>
    <w:p>
      <w:pPr>
        <w:spacing w:line="360" w:lineRule="auto"/>
        <w:ind w:firstLine="482" w:firstLineChars="200"/>
        <w:rPr>
          <w:rFonts w:hint="eastAsia" w:ascii="Times New Roman" w:hAnsi="Times New Roman" w:eastAsia="宋体" w:cs="宋体"/>
          <w:b/>
          <w:bCs/>
          <w:color w:val="auto"/>
          <w:sz w:val="24"/>
          <w:highlight w:val="none"/>
        </w:rPr>
      </w:pPr>
      <w:r>
        <w:rPr>
          <w:rFonts w:hint="eastAsia" w:ascii="Times New Roman" w:hAnsi="Times New Roman" w:eastAsia="宋体" w:cs="宋体"/>
          <w:b/>
          <w:bCs/>
          <w:color w:val="auto"/>
          <w:sz w:val="24"/>
          <w:highlight w:val="none"/>
        </w:rPr>
        <w:t>（一）流程概括</w:t>
      </w:r>
    </w:p>
    <w:p>
      <w:pPr>
        <w:spacing w:line="360" w:lineRule="auto"/>
        <w:ind w:firstLine="480" w:firstLineChars="200"/>
        <w:rPr>
          <w:rFonts w:hint="eastAsia" w:ascii="Times New Roman" w:hAnsi="Times New Roman" w:eastAsia="宋体" w:cs="宋体"/>
          <w:color w:val="auto"/>
          <w:sz w:val="24"/>
          <w:highlight w:val="none"/>
        </w:rPr>
      </w:pPr>
      <w:r>
        <w:rPr>
          <w:rFonts w:hint="eastAsia" w:ascii="Times New Roman" w:hAnsi="Times New Roman" w:eastAsia="宋体" w:cs="宋体"/>
          <w:color w:val="auto"/>
          <w:sz w:val="24"/>
          <w:highlight w:val="none"/>
        </w:rPr>
        <w:t>1.项目征集及初审：</w:t>
      </w:r>
    </w:p>
    <w:p>
      <w:pPr>
        <w:spacing w:line="360" w:lineRule="auto"/>
        <w:ind w:firstLine="480" w:firstLineChars="200"/>
        <w:rPr>
          <w:rFonts w:hint="eastAsia" w:ascii="Times New Roman" w:hAnsi="Times New Roman" w:eastAsia="宋体" w:cs="宋体"/>
          <w:color w:val="auto"/>
          <w:sz w:val="24"/>
          <w:highlight w:val="none"/>
        </w:rPr>
      </w:pPr>
      <w:r>
        <w:rPr>
          <w:rFonts w:hint="eastAsia" w:ascii="Times New Roman" w:hAnsi="Times New Roman" w:eastAsia="宋体" w:cs="宋体"/>
          <w:color w:val="auto"/>
          <w:sz w:val="24"/>
          <w:highlight w:val="none"/>
        </w:rPr>
        <w:t>征集</w:t>
      </w:r>
      <w:r>
        <w:rPr>
          <w:rFonts w:hint="eastAsia" w:cs="宋体"/>
          <w:color w:val="auto"/>
          <w:sz w:val="24"/>
          <w:highlight w:val="none"/>
          <w:lang w:val="en-US" w:eastAsia="zh-CN"/>
        </w:rPr>
        <w:t>不少于</w:t>
      </w:r>
      <w:r>
        <w:rPr>
          <w:rFonts w:hint="eastAsia" w:ascii="Times New Roman" w:hAnsi="Times New Roman" w:eastAsia="宋体" w:cs="宋体"/>
          <w:color w:val="auto"/>
          <w:sz w:val="24"/>
          <w:highlight w:val="none"/>
        </w:rPr>
        <w:t>150个项目进入初审，</w:t>
      </w:r>
      <w:r>
        <w:rPr>
          <w:rFonts w:hint="eastAsia" w:cs="宋体"/>
          <w:color w:val="auto"/>
          <w:sz w:val="24"/>
          <w:highlight w:val="none"/>
          <w:lang w:val="en-US" w:eastAsia="zh-CN"/>
        </w:rPr>
        <w:t>选取</w:t>
      </w:r>
      <w:r>
        <w:rPr>
          <w:rFonts w:hint="eastAsia" w:ascii="Times New Roman" w:hAnsi="Times New Roman" w:eastAsia="宋体" w:cs="宋体"/>
          <w:color w:val="auto"/>
          <w:sz w:val="24"/>
          <w:highlight w:val="none"/>
        </w:rPr>
        <w:t>90个</w:t>
      </w:r>
      <w:r>
        <w:rPr>
          <w:rFonts w:hint="eastAsia" w:cs="宋体"/>
          <w:color w:val="auto"/>
          <w:sz w:val="24"/>
          <w:highlight w:val="none"/>
          <w:lang w:val="en-US" w:eastAsia="zh-CN"/>
        </w:rPr>
        <w:t>优质</w:t>
      </w:r>
      <w:r>
        <w:rPr>
          <w:rFonts w:hint="eastAsia" w:ascii="Times New Roman" w:hAnsi="Times New Roman" w:eastAsia="宋体" w:cs="宋体"/>
          <w:color w:val="auto"/>
          <w:sz w:val="24"/>
          <w:highlight w:val="none"/>
        </w:rPr>
        <w:t>项目参加城市分站赛。</w:t>
      </w:r>
    </w:p>
    <w:p>
      <w:pPr>
        <w:spacing w:line="360" w:lineRule="auto"/>
        <w:ind w:firstLine="480" w:firstLineChars="200"/>
        <w:rPr>
          <w:rFonts w:hint="eastAsia" w:ascii="Times New Roman" w:hAnsi="Times New Roman" w:eastAsia="宋体" w:cs="宋体"/>
          <w:color w:val="auto"/>
          <w:sz w:val="24"/>
          <w:highlight w:val="none"/>
        </w:rPr>
      </w:pPr>
      <w:r>
        <w:rPr>
          <w:rFonts w:hint="eastAsia" w:ascii="Times New Roman" w:hAnsi="Times New Roman" w:eastAsia="宋体" w:cs="宋体"/>
          <w:color w:val="auto"/>
          <w:sz w:val="24"/>
          <w:highlight w:val="none"/>
        </w:rPr>
        <w:t>2.线下启动会</w:t>
      </w:r>
      <w:r>
        <w:rPr>
          <w:rFonts w:hint="eastAsia" w:cs="宋体"/>
          <w:color w:val="auto"/>
          <w:sz w:val="24"/>
          <w:highlight w:val="none"/>
          <w:lang w:eastAsia="zh-CN"/>
        </w:rPr>
        <w:t>：</w:t>
      </w:r>
      <w:r>
        <w:rPr>
          <w:rFonts w:hint="eastAsia" w:cs="宋体"/>
          <w:color w:val="auto"/>
          <w:sz w:val="24"/>
          <w:highlight w:val="none"/>
          <w:lang w:val="en-US" w:eastAsia="zh-CN"/>
        </w:rPr>
        <w:t>暂定</w:t>
      </w:r>
      <w:r>
        <w:rPr>
          <w:rFonts w:hint="eastAsia" w:ascii="Times New Roman" w:hAnsi="Times New Roman" w:eastAsia="宋体" w:cs="宋体"/>
          <w:color w:val="auto"/>
          <w:sz w:val="24"/>
          <w:highlight w:val="none"/>
        </w:rPr>
        <w:t>上海举办大赛线下启动会</w:t>
      </w:r>
    </w:p>
    <w:p>
      <w:pPr>
        <w:spacing w:line="360" w:lineRule="auto"/>
        <w:ind w:firstLine="480" w:firstLineChars="200"/>
        <w:rPr>
          <w:rFonts w:hint="eastAsia" w:ascii="Times New Roman" w:hAnsi="Times New Roman" w:eastAsia="宋体" w:cs="宋体"/>
          <w:color w:val="auto"/>
          <w:sz w:val="24"/>
          <w:highlight w:val="none"/>
        </w:rPr>
      </w:pPr>
      <w:r>
        <w:rPr>
          <w:rFonts w:hint="eastAsia" w:cs="宋体"/>
          <w:color w:val="auto"/>
          <w:sz w:val="24"/>
          <w:highlight w:val="none"/>
          <w:lang w:val="en-US" w:eastAsia="zh-CN"/>
        </w:rPr>
        <w:t>3.</w:t>
      </w:r>
      <w:r>
        <w:rPr>
          <w:rFonts w:hint="eastAsia" w:ascii="Times New Roman" w:hAnsi="Times New Roman" w:eastAsia="宋体" w:cs="宋体"/>
          <w:color w:val="auto"/>
          <w:sz w:val="24"/>
          <w:highlight w:val="none"/>
        </w:rPr>
        <w:t>分站赛：</w:t>
      </w:r>
    </w:p>
    <w:p>
      <w:pPr>
        <w:spacing w:line="360" w:lineRule="auto"/>
        <w:ind w:firstLine="480" w:firstLineChars="200"/>
        <w:rPr>
          <w:rFonts w:hint="eastAsia" w:ascii="Times New Roman" w:hAnsi="Times New Roman" w:eastAsia="宋体" w:cs="宋体"/>
          <w:color w:val="auto"/>
          <w:sz w:val="24"/>
          <w:highlight w:val="none"/>
          <w:lang w:eastAsia="zh-CN"/>
        </w:rPr>
      </w:pPr>
      <w:r>
        <w:rPr>
          <w:rFonts w:hint="eastAsia" w:ascii="Times New Roman" w:hAnsi="Times New Roman" w:eastAsia="宋体" w:cs="宋体"/>
          <w:color w:val="auto"/>
          <w:sz w:val="24"/>
          <w:highlight w:val="none"/>
        </w:rPr>
        <w:t>城市分站赛</w:t>
      </w:r>
      <w:r>
        <w:rPr>
          <w:rFonts w:hint="eastAsia" w:cs="宋体"/>
          <w:color w:val="auto"/>
          <w:sz w:val="24"/>
          <w:highlight w:val="none"/>
          <w:lang w:val="en-US" w:eastAsia="zh-CN"/>
        </w:rPr>
        <w:t>拟定</w:t>
      </w:r>
      <w:r>
        <w:rPr>
          <w:rFonts w:hint="eastAsia" w:ascii="Times New Roman" w:hAnsi="Times New Roman" w:eastAsia="宋体" w:cs="宋体"/>
          <w:color w:val="auto"/>
          <w:sz w:val="24"/>
          <w:highlight w:val="none"/>
        </w:rPr>
        <w:t>上海、深圳、武汉</w:t>
      </w:r>
      <w:r>
        <w:rPr>
          <w:rFonts w:hint="eastAsia" w:cs="宋体"/>
          <w:color w:val="auto"/>
          <w:sz w:val="24"/>
          <w:highlight w:val="none"/>
          <w:lang w:eastAsia="zh-CN"/>
        </w:rPr>
        <w:t>（</w:t>
      </w:r>
      <w:r>
        <w:rPr>
          <w:rFonts w:hint="eastAsia" w:cs="宋体"/>
          <w:color w:val="auto"/>
          <w:sz w:val="24"/>
          <w:highlight w:val="none"/>
          <w:lang w:val="en-US" w:eastAsia="zh-CN"/>
        </w:rPr>
        <w:t>暂定</w:t>
      </w:r>
      <w:r>
        <w:rPr>
          <w:rFonts w:hint="eastAsia" w:cs="宋体"/>
          <w:color w:val="auto"/>
          <w:sz w:val="24"/>
          <w:highlight w:val="none"/>
          <w:lang w:eastAsia="zh-CN"/>
        </w:rPr>
        <w:t>）</w:t>
      </w:r>
      <w:r>
        <w:rPr>
          <w:rFonts w:hint="eastAsia" w:ascii="Times New Roman" w:hAnsi="Times New Roman" w:eastAsia="宋体" w:cs="宋体"/>
          <w:color w:val="auto"/>
          <w:sz w:val="24"/>
          <w:highlight w:val="none"/>
        </w:rPr>
        <w:t>分别举办一场分站赛，其中上海分站赛于启动会结束后开始</w:t>
      </w:r>
      <w:r>
        <w:rPr>
          <w:rFonts w:hint="eastAsia" w:cs="宋体"/>
          <w:color w:val="auto"/>
          <w:sz w:val="24"/>
          <w:highlight w:val="none"/>
          <w:lang w:eastAsia="zh-CN"/>
        </w:rPr>
        <w:t>，</w:t>
      </w:r>
      <w:r>
        <w:rPr>
          <w:rFonts w:hint="eastAsia" w:ascii="Times New Roman" w:hAnsi="Times New Roman" w:eastAsia="宋体" w:cs="宋体"/>
          <w:color w:val="auto"/>
          <w:sz w:val="24"/>
          <w:highlight w:val="none"/>
        </w:rPr>
        <w:t>于上虞开展一场海外线上分站赛。分站赛将采取“7+3”的模式进行（即7分钟PPT演示+3分钟互动问答）进行。原则上要求申报本人参加路演，特别优秀的项目可允许核心团队成员参加路演。确实因客观原因不能现场参加比赛的选手，将根据实际情况，通过线上方式参加创业大赛分站赛</w:t>
      </w:r>
      <w:r>
        <w:rPr>
          <w:rFonts w:hint="eastAsia" w:cs="宋体"/>
          <w:color w:val="auto"/>
          <w:sz w:val="24"/>
          <w:highlight w:val="none"/>
          <w:lang w:eastAsia="zh-CN"/>
        </w:rPr>
        <w:t>。</w:t>
      </w:r>
    </w:p>
    <w:p>
      <w:pPr>
        <w:spacing w:line="360" w:lineRule="auto"/>
        <w:ind w:firstLine="480" w:firstLineChars="200"/>
        <w:rPr>
          <w:rFonts w:hint="eastAsia" w:ascii="Times New Roman" w:hAnsi="Times New Roman" w:eastAsia="宋体" w:cs="宋体"/>
          <w:color w:val="auto"/>
          <w:sz w:val="24"/>
          <w:highlight w:val="none"/>
        </w:rPr>
      </w:pPr>
      <w:r>
        <w:rPr>
          <w:rFonts w:hint="eastAsia" w:cs="宋体"/>
          <w:color w:val="auto"/>
          <w:sz w:val="24"/>
          <w:highlight w:val="none"/>
          <w:lang w:val="en-US" w:eastAsia="zh-CN"/>
        </w:rPr>
        <w:t>4</w:t>
      </w:r>
      <w:r>
        <w:rPr>
          <w:rFonts w:hint="eastAsia" w:ascii="Times New Roman" w:hAnsi="Times New Roman" w:eastAsia="宋体" w:cs="宋体"/>
          <w:color w:val="auto"/>
          <w:sz w:val="24"/>
          <w:highlight w:val="none"/>
        </w:rPr>
        <w:t>.尽职调查与考察对接：</w:t>
      </w:r>
    </w:p>
    <w:p>
      <w:pPr>
        <w:spacing w:line="360" w:lineRule="auto"/>
        <w:ind w:firstLine="480" w:firstLineChars="200"/>
        <w:rPr>
          <w:rFonts w:hint="eastAsia" w:ascii="Times New Roman" w:hAnsi="Times New Roman" w:eastAsia="宋体" w:cs="宋体"/>
          <w:color w:val="auto"/>
          <w:sz w:val="24"/>
          <w:highlight w:val="none"/>
        </w:rPr>
      </w:pPr>
      <w:r>
        <w:rPr>
          <w:rFonts w:hint="eastAsia" w:cs="宋体"/>
          <w:color w:val="auto"/>
          <w:sz w:val="24"/>
          <w:highlight w:val="none"/>
          <w:lang w:val="en-US" w:eastAsia="zh-CN"/>
        </w:rPr>
        <w:t>对</w:t>
      </w:r>
      <w:r>
        <w:rPr>
          <w:rFonts w:hint="eastAsia" w:ascii="Times New Roman" w:hAnsi="Times New Roman" w:eastAsia="宋体" w:cs="宋体"/>
          <w:color w:val="auto"/>
          <w:sz w:val="24"/>
          <w:highlight w:val="none"/>
        </w:rPr>
        <w:t>拟入选项目在决赛前一个月内参与并完成内审及尽职调查；</w:t>
      </w:r>
      <w:r>
        <w:rPr>
          <w:rFonts w:hint="eastAsia" w:cs="宋体"/>
          <w:color w:val="auto"/>
          <w:sz w:val="24"/>
          <w:highlight w:val="none"/>
          <w:lang w:val="en-US" w:eastAsia="zh-CN"/>
        </w:rPr>
        <w:t>乙方</w:t>
      </w:r>
      <w:r>
        <w:rPr>
          <w:rFonts w:hint="eastAsia" w:ascii="Times New Roman" w:hAnsi="Times New Roman" w:eastAsia="宋体" w:cs="宋体"/>
          <w:color w:val="auto"/>
          <w:sz w:val="24"/>
          <w:highlight w:val="none"/>
        </w:rPr>
        <w:t>为入选决赛项目提供政策解析、落地意向考察对接服务。</w:t>
      </w:r>
    </w:p>
    <w:p>
      <w:pPr>
        <w:spacing w:line="360" w:lineRule="auto"/>
        <w:ind w:firstLine="480" w:firstLineChars="200"/>
        <w:rPr>
          <w:rFonts w:hint="eastAsia" w:ascii="Times New Roman" w:hAnsi="Times New Roman" w:eastAsia="宋体" w:cs="宋体"/>
          <w:color w:val="auto"/>
          <w:sz w:val="24"/>
          <w:highlight w:val="none"/>
        </w:rPr>
      </w:pPr>
      <w:r>
        <w:rPr>
          <w:rFonts w:hint="eastAsia" w:cs="宋体"/>
          <w:color w:val="auto"/>
          <w:sz w:val="24"/>
          <w:highlight w:val="none"/>
          <w:lang w:val="en-US" w:eastAsia="zh-CN"/>
        </w:rPr>
        <w:t>5</w:t>
      </w:r>
      <w:r>
        <w:rPr>
          <w:rFonts w:hint="eastAsia" w:ascii="Times New Roman" w:hAnsi="Times New Roman" w:eastAsia="宋体" w:cs="宋体"/>
          <w:color w:val="auto"/>
          <w:sz w:val="24"/>
          <w:highlight w:val="none"/>
        </w:rPr>
        <w:t>.总决赛：</w:t>
      </w:r>
    </w:p>
    <w:p>
      <w:pPr>
        <w:spacing w:line="360" w:lineRule="auto"/>
        <w:ind w:firstLine="480" w:firstLineChars="200"/>
        <w:rPr>
          <w:rFonts w:hint="eastAsia" w:ascii="Times New Roman" w:hAnsi="Times New Roman" w:eastAsia="宋体" w:cs="宋体"/>
          <w:color w:val="auto"/>
          <w:sz w:val="24"/>
          <w:highlight w:val="none"/>
        </w:rPr>
      </w:pPr>
      <w:r>
        <w:rPr>
          <w:rFonts w:hint="eastAsia" w:ascii="Times New Roman" w:hAnsi="Times New Roman" w:eastAsia="宋体" w:cs="宋体"/>
          <w:color w:val="auto"/>
          <w:sz w:val="24"/>
          <w:highlight w:val="none"/>
        </w:rPr>
        <w:t>总决赛</w:t>
      </w:r>
      <w:r>
        <w:rPr>
          <w:rFonts w:hint="eastAsia" w:cs="宋体"/>
          <w:color w:val="auto"/>
          <w:sz w:val="24"/>
          <w:highlight w:val="none"/>
          <w:lang w:val="en-US" w:eastAsia="zh-CN"/>
        </w:rPr>
        <w:t>在</w:t>
      </w:r>
      <w:r>
        <w:rPr>
          <w:rFonts w:hint="eastAsia" w:ascii="Times New Roman" w:hAnsi="Times New Roman" w:eastAsia="宋体" w:cs="宋体"/>
          <w:color w:val="auto"/>
          <w:sz w:val="24"/>
          <w:highlight w:val="none"/>
        </w:rPr>
        <w:t>上虞</w:t>
      </w:r>
      <w:r>
        <w:rPr>
          <w:rFonts w:hint="eastAsia" w:cs="宋体"/>
          <w:color w:val="auto"/>
          <w:sz w:val="24"/>
          <w:highlight w:val="none"/>
          <w:lang w:val="en-US" w:eastAsia="zh-CN"/>
        </w:rPr>
        <w:t>举办</w:t>
      </w:r>
      <w:r>
        <w:rPr>
          <w:rFonts w:hint="eastAsia" w:ascii="Times New Roman" w:hAnsi="Times New Roman" w:eastAsia="宋体" w:cs="宋体"/>
          <w:color w:val="auto"/>
          <w:sz w:val="24"/>
          <w:highlight w:val="none"/>
        </w:rPr>
        <w:t>，从分站赛每个赛道预录取15个项目，共计30个项目参与总决赛。</w:t>
      </w:r>
      <w:r>
        <w:rPr>
          <w:rFonts w:hint="eastAsia" w:cs="宋体"/>
          <w:color w:val="auto"/>
          <w:sz w:val="24"/>
          <w:highlight w:val="none"/>
          <w:lang w:val="en-US" w:eastAsia="zh-CN"/>
        </w:rPr>
        <w:t>总</w:t>
      </w:r>
      <w:r>
        <w:rPr>
          <w:rFonts w:hint="eastAsia" w:ascii="Times New Roman" w:hAnsi="Times New Roman" w:eastAsia="宋体" w:cs="宋体"/>
          <w:color w:val="auto"/>
          <w:sz w:val="24"/>
          <w:highlight w:val="none"/>
        </w:rPr>
        <w:t>决赛现场采取“10+10”的模式进行现场路演（即10分钟PPT演示+10分钟互动问答），总决赛要求主申报人本人参加路演。</w:t>
      </w:r>
    </w:p>
    <w:p>
      <w:pPr>
        <w:spacing w:line="360" w:lineRule="auto"/>
        <w:ind w:firstLine="480" w:firstLineChars="200"/>
        <w:rPr>
          <w:rFonts w:hint="eastAsia" w:ascii="Times New Roman" w:hAnsi="Times New Roman" w:eastAsia="宋体" w:cs="宋体"/>
          <w:color w:val="auto"/>
          <w:sz w:val="24"/>
          <w:highlight w:val="none"/>
        </w:rPr>
      </w:pPr>
      <w:r>
        <w:rPr>
          <w:rFonts w:hint="eastAsia" w:cs="宋体"/>
          <w:color w:val="auto"/>
          <w:sz w:val="24"/>
          <w:highlight w:val="none"/>
          <w:lang w:val="en-US" w:eastAsia="zh-CN"/>
        </w:rPr>
        <w:t>6</w:t>
      </w:r>
      <w:r>
        <w:rPr>
          <w:rFonts w:hint="eastAsia" w:ascii="Times New Roman" w:hAnsi="Times New Roman" w:eastAsia="宋体" w:cs="宋体"/>
          <w:color w:val="auto"/>
          <w:sz w:val="24"/>
          <w:highlight w:val="none"/>
        </w:rPr>
        <w:t>.落地未来城项目数：</w:t>
      </w:r>
    </w:p>
    <w:p>
      <w:pPr>
        <w:spacing w:line="360" w:lineRule="auto"/>
        <w:ind w:firstLine="480" w:firstLineChars="200"/>
        <w:rPr>
          <w:rFonts w:hint="eastAsia" w:ascii="Times New Roman" w:hAnsi="Times New Roman" w:eastAsia="宋体" w:cs="宋体"/>
          <w:color w:val="auto"/>
          <w:sz w:val="24"/>
          <w:highlight w:val="none"/>
        </w:rPr>
      </w:pPr>
      <w:r>
        <w:rPr>
          <w:rFonts w:hint="eastAsia" w:ascii="Times New Roman" w:hAnsi="Times New Roman" w:eastAsia="宋体" w:cs="宋体"/>
          <w:color w:val="auto"/>
          <w:sz w:val="24"/>
          <w:highlight w:val="none"/>
        </w:rPr>
        <w:t>大赛结束一年内项目团队落地上虞</w:t>
      </w:r>
      <w:r>
        <w:rPr>
          <w:rFonts w:hint="eastAsia" w:ascii="Times New Roman" w:hAnsi="Times New Roman" w:eastAsia="宋体" w:cs="宋体"/>
          <w:color w:val="auto"/>
          <w:sz w:val="24"/>
          <w:highlight w:val="none"/>
        </w:rPr>
        <w:t>不少于5个</w:t>
      </w:r>
      <w:r>
        <w:rPr>
          <w:rFonts w:hint="eastAsia" w:cs="宋体"/>
          <w:color w:val="auto"/>
          <w:sz w:val="24"/>
          <w:highlight w:val="none"/>
          <w:lang w:eastAsia="zh-CN"/>
        </w:rPr>
        <w:t>。</w:t>
      </w:r>
    </w:p>
    <w:p>
      <w:pPr>
        <w:spacing w:line="360" w:lineRule="auto"/>
        <w:ind w:firstLine="482" w:firstLineChars="200"/>
        <w:rPr>
          <w:rFonts w:hint="eastAsia" w:ascii="Times New Roman" w:hAnsi="Times New Roman" w:eastAsia="宋体" w:cs="宋体"/>
          <w:b/>
          <w:bCs/>
          <w:color w:val="auto"/>
          <w:sz w:val="24"/>
          <w:highlight w:val="none"/>
        </w:rPr>
      </w:pPr>
      <w:r>
        <w:rPr>
          <w:rFonts w:hint="eastAsia" w:ascii="Times New Roman" w:hAnsi="Times New Roman" w:eastAsia="宋体" w:cs="宋体"/>
          <w:b/>
          <w:bCs/>
          <w:color w:val="auto"/>
          <w:sz w:val="24"/>
          <w:highlight w:val="none"/>
        </w:rPr>
        <w:t>（二）赛程安排</w:t>
      </w:r>
    </w:p>
    <w:p>
      <w:pPr>
        <w:spacing w:line="360" w:lineRule="auto"/>
        <w:ind w:firstLine="480" w:firstLineChars="200"/>
        <w:rPr>
          <w:rFonts w:hint="eastAsia" w:ascii="Times New Roman" w:hAnsi="Times New Roman" w:eastAsia="宋体" w:cs="宋体"/>
          <w:color w:val="auto"/>
          <w:sz w:val="24"/>
          <w:highlight w:val="none"/>
        </w:rPr>
      </w:pPr>
      <w:r>
        <w:rPr>
          <w:rFonts w:hint="eastAsia" w:ascii="Times New Roman" w:hAnsi="Times New Roman" w:eastAsia="宋体" w:cs="宋体"/>
          <w:color w:val="auto"/>
          <w:sz w:val="24"/>
          <w:highlight w:val="none"/>
        </w:rPr>
        <w:t>1.赛程</w:t>
      </w:r>
      <w:r>
        <w:rPr>
          <w:rFonts w:hint="eastAsia" w:cs="宋体"/>
          <w:color w:val="auto"/>
          <w:sz w:val="24"/>
          <w:highlight w:val="none"/>
          <w:lang w:val="en-US" w:eastAsia="zh-CN"/>
        </w:rPr>
        <w:t>进度</w:t>
      </w:r>
      <w:r>
        <w:rPr>
          <w:rFonts w:hint="eastAsia" w:ascii="Times New Roman" w:hAnsi="Times New Roman" w:eastAsia="宋体" w:cs="宋体"/>
          <w:color w:val="auto"/>
          <w:sz w:val="24"/>
          <w:highlight w:val="none"/>
        </w:rPr>
        <w:t>安排（拟定）：</w:t>
      </w:r>
    </w:p>
    <w:tbl>
      <w:tblPr>
        <w:tblStyle w:val="22"/>
        <w:tblW w:w="8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992"/>
        <w:gridCol w:w="1985"/>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val="0"/>
              <w:spacing w:line="500" w:lineRule="exact"/>
              <w:jc w:val="center"/>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序号</w:t>
            </w:r>
          </w:p>
        </w:tc>
        <w:tc>
          <w:tcPr>
            <w:tcW w:w="2835" w:type="dxa"/>
            <w:vAlign w:val="center"/>
          </w:tcPr>
          <w:p>
            <w:pPr>
              <w:widowControl w:val="0"/>
              <w:spacing w:line="500" w:lineRule="exact"/>
              <w:jc w:val="center"/>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时间</w:t>
            </w:r>
          </w:p>
        </w:tc>
        <w:tc>
          <w:tcPr>
            <w:tcW w:w="992" w:type="dxa"/>
            <w:vAlign w:val="center"/>
          </w:tcPr>
          <w:p>
            <w:pPr>
              <w:widowControl w:val="0"/>
              <w:spacing w:line="500" w:lineRule="exact"/>
              <w:jc w:val="center"/>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地点</w:t>
            </w:r>
          </w:p>
        </w:tc>
        <w:tc>
          <w:tcPr>
            <w:tcW w:w="3963" w:type="dxa"/>
            <w:gridSpan w:val="2"/>
            <w:vAlign w:val="center"/>
          </w:tcPr>
          <w:p>
            <w:pPr>
              <w:widowControl w:val="0"/>
              <w:spacing w:line="500" w:lineRule="exact"/>
              <w:jc w:val="center"/>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val="0"/>
              <w:spacing w:line="500" w:lineRule="exact"/>
              <w:jc w:val="center"/>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val="en-US" w:eastAsia="zh-CN"/>
              </w:rPr>
              <w:t>1</w:t>
            </w:r>
          </w:p>
        </w:tc>
        <w:tc>
          <w:tcPr>
            <w:tcW w:w="2835"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2023年5月</w:t>
            </w:r>
            <w:r>
              <w:rPr>
                <w:rFonts w:hint="eastAsia" w:asciiTheme="minorEastAsia" w:hAnsiTheme="minorEastAsia" w:eastAsiaTheme="minorEastAsia" w:cstheme="minorEastAsia"/>
                <w:kern w:val="2"/>
                <w:sz w:val="24"/>
                <w:szCs w:val="24"/>
                <w:lang w:val="en-US" w:eastAsia="zh-CN"/>
              </w:rPr>
              <w:t>底</w:t>
            </w:r>
          </w:p>
        </w:tc>
        <w:tc>
          <w:tcPr>
            <w:tcW w:w="992"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上海</w:t>
            </w:r>
          </w:p>
        </w:tc>
        <w:tc>
          <w:tcPr>
            <w:tcW w:w="3963" w:type="dxa"/>
            <w:gridSpan w:val="2"/>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大赛启动会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31" w:type="dxa"/>
            <w:gridSpan w:val="3"/>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分站赛</w:t>
            </w:r>
          </w:p>
        </w:tc>
        <w:tc>
          <w:tcPr>
            <w:tcW w:w="1985"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生命健康专项赛</w:t>
            </w:r>
          </w:p>
        </w:tc>
        <w:tc>
          <w:tcPr>
            <w:tcW w:w="1978"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“未来场景·未来产业”专项赛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704" w:type="dxa"/>
            <w:vAlign w:val="center"/>
          </w:tcPr>
          <w:p>
            <w:pPr>
              <w:widowControl w:val="0"/>
              <w:spacing w:line="500" w:lineRule="exact"/>
              <w:jc w:val="center"/>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val="en-US" w:eastAsia="zh-CN"/>
              </w:rPr>
              <w:t>2</w:t>
            </w:r>
          </w:p>
        </w:tc>
        <w:tc>
          <w:tcPr>
            <w:tcW w:w="2835" w:type="dxa"/>
            <w:vAlign w:val="center"/>
          </w:tcPr>
          <w:p>
            <w:pPr>
              <w:widowControl w:val="0"/>
              <w:spacing w:line="500" w:lineRule="exact"/>
              <w:jc w:val="center"/>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rPr>
              <w:t>2023年5月</w:t>
            </w:r>
            <w:r>
              <w:rPr>
                <w:rFonts w:hint="eastAsia" w:asciiTheme="minorEastAsia" w:hAnsiTheme="minorEastAsia" w:eastAsiaTheme="minorEastAsia" w:cstheme="minorEastAsia"/>
                <w:kern w:val="2"/>
                <w:sz w:val="24"/>
                <w:szCs w:val="24"/>
                <w:lang w:val="en-US" w:eastAsia="zh-CN"/>
              </w:rPr>
              <w:t>底</w:t>
            </w:r>
          </w:p>
        </w:tc>
        <w:tc>
          <w:tcPr>
            <w:tcW w:w="992"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上海</w:t>
            </w:r>
          </w:p>
        </w:tc>
        <w:tc>
          <w:tcPr>
            <w:tcW w:w="1985"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20个项目</w:t>
            </w:r>
          </w:p>
        </w:tc>
        <w:tc>
          <w:tcPr>
            <w:tcW w:w="1978"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val="0"/>
              <w:spacing w:line="500" w:lineRule="exact"/>
              <w:jc w:val="center"/>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val="en-US" w:eastAsia="zh-CN"/>
              </w:rPr>
              <w:t>3</w:t>
            </w:r>
          </w:p>
        </w:tc>
        <w:tc>
          <w:tcPr>
            <w:tcW w:w="2835"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2023年6月</w:t>
            </w:r>
            <w:r>
              <w:rPr>
                <w:rFonts w:hint="eastAsia" w:asciiTheme="minorEastAsia" w:hAnsiTheme="minorEastAsia" w:eastAsiaTheme="minorEastAsia" w:cstheme="minorEastAsia"/>
                <w:kern w:val="2"/>
                <w:sz w:val="24"/>
                <w:szCs w:val="24"/>
                <w:lang w:val="en-US" w:eastAsia="zh-CN"/>
              </w:rPr>
              <w:t>中</w:t>
            </w:r>
          </w:p>
        </w:tc>
        <w:tc>
          <w:tcPr>
            <w:tcW w:w="992"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深圳</w:t>
            </w:r>
          </w:p>
        </w:tc>
        <w:tc>
          <w:tcPr>
            <w:tcW w:w="1985"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12个项目</w:t>
            </w:r>
          </w:p>
        </w:tc>
        <w:tc>
          <w:tcPr>
            <w:tcW w:w="1978"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15个项目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val="0"/>
              <w:spacing w:line="500" w:lineRule="exact"/>
              <w:jc w:val="center"/>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val="en-US" w:eastAsia="zh-CN"/>
              </w:rPr>
              <w:t>4</w:t>
            </w:r>
          </w:p>
        </w:tc>
        <w:tc>
          <w:tcPr>
            <w:tcW w:w="2835"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2023年7月</w:t>
            </w:r>
            <w:r>
              <w:rPr>
                <w:rFonts w:hint="eastAsia" w:asciiTheme="minorEastAsia" w:hAnsiTheme="minorEastAsia" w:eastAsiaTheme="minorEastAsia" w:cstheme="minorEastAsia"/>
                <w:kern w:val="2"/>
                <w:sz w:val="24"/>
                <w:szCs w:val="24"/>
                <w:lang w:val="en-US" w:eastAsia="zh-CN"/>
              </w:rPr>
              <w:t>中</w:t>
            </w:r>
          </w:p>
        </w:tc>
        <w:tc>
          <w:tcPr>
            <w:tcW w:w="992"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武汉</w:t>
            </w:r>
          </w:p>
        </w:tc>
        <w:tc>
          <w:tcPr>
            <w:tcW w:w="1985"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12个项目</w:t>
            </w:r>
          </w:p>
        </w:tc>
        <w:tc>
          <w:tcPr>
            <w:tcW w:w="1978"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15个项目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val="0"/>
              <w:spacing w:line="500" w:lineRule="exact"/>
              <w:jc w:val="center"/>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val="en-US" w:eastAsia="zh-CN"/>
              </w:rPr>
              <w:t>5</w:t>
            </w:r>
          </w:p>
        </w:tc>
        <w:tc>
          <w:tcPr>
            <w:tcW w:w="2835"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2023年8月初</w:t>
            </w:r>
          </w:p>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color w:val="auto"/>
                <w:kern w:val="2"/>
                <w:sz w:val="24"/>
                <w:szCs w:val="24"/>
                <w:lang w:eastAsia="zh-CN"/>
              </w:rPr>
              <w:t>（</w:t>
            </w:r>
            <w:r>
              <w:rPr>
                <w:rFonts w:hint="eastAsia" w:asciiTheme="minorEastAsia" w:hAnsiTheme="minorEastAsia" w:eastAsiaTheme="minorEastAsia" w:cstheme="minorEastAsia"/>
                <w:color w:val="auto"/>
                <w:kern w:val="2"/>
                <w:sz w:val="24"/>
                <w:szCs w:val="24"/>
              </w:rPr>
              <w:t>海外线上</w:t>
            </w:r>
            <w:r>
              <w:rPr>
                <w:rFonts w:hint="eastAsia" w:asciiTheme="minorEastAsia" w:hAnsiTheme="minorEastAsia" w:eastAsiaTheme="minorEastAsia" w:cstheme="minorEastAsia"/>
                <w:color w:val="auto"/>
                <w:kern w:val="2"/>
                <w:sz w:val="24"/>
                <w:szCs w:val="24"/>
                <w:lang w:eastAsia="zh-CN"/>
              </w:rPr>
              <w:t>）</w:t>
            </w:r>
          </w:p>
        </w:tc>
        <w:tc>
          <w:tcPr>
            <w:tcW w:w="992"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上虞</w:t>
            </w:r>
          </w:p>
        </w:tc>
        <w:tc>
          <w:tcPr>
            <w:tcW w:w="1985"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15个项目</w:t>
            </w:r>
          </w:p>
        </w:tc>
        <w:tc>
          <w:tcPr>
            <w:tcW w:w="1978" w:type="dxa"/>
            <w:vAlign w:val="center"/>
          </w:tcPr>
          <w:p>
            <w:pPr>
              <w:widowControl w:val="0"/>
              <w:spacing w:line="500" w:lineRule="exact"/>
              <w:jc w:val="center"/>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31" w:type="dxa"/>
            <w:gridSpan w:val="3"/>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总决赛（比赛+考察）</w:t>
            </w:r>
          </w:p>
        </w:tc>
        <w:tc>
          <w:tcPr>
            <w:tcW w:w="3963" w:type="dxa"/>
            <w:gridSpan w:val="2"/>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总决赛及颁奖典礼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val="0"/>
              <w:spacing w:line="500" w:lineRule="exact"/>
              <w:jc w:val="center"/>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val="en-US" w:eastAsia="zh-CN"/>
              </w:rPr>
              <w:t>6</w:t>
            </w:r>
          </w:p>
        </w:tc>
        <w:tc>
          <w:tcPr>
            <w:tcW w:w="2835" w:type="dxa"/>
            <w:vAlign w:val="center"/>
          </w:tcPr>
          <w:p>
            <w:pPr>
              <w:widowControl w:val="0"/>
              <w:spacing w:line="500" w:lineRule="exact"/>
              <w:jc w:val="center"/>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rPr>
              <w:t>2023年9月</w:t>
            </w:r>
            <w:r>
              <w:rPr>
                <w:rFonts w:hint="eastAsia" w:asciiTheme="minorEastAsia" w:hAnsiTheme="minorEastAsia" w:eastAsiaTheme="minorEastAsia" w:cstheme="minorEastAsia"/>
                <w:kern w:val="2"/>
                <w:sz w:val="24"/>
                <w:szCs w:val="24"/>
                <w:lang w:val="en-US" w:eastAsia="zh-CN"/>
              </w:rPr>
              <w:t>下旬</w:t>
            </w:r>
          </w:p>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w:t>
            </w:r>
            <w:r>
              <w:rPr>
                <w:rFonts w:hint="eastAsia" w:asciiTheme="minorEastAsia" w:hAnsiTheme="minorEastAsia" w:eastAsiaTheme="minorEastAsia" w:cstheme="minorEastAsia"/>
                <w:kern w:val="2"/>
                <w:sz w:val="24"/>
                <w:szCs w:val="24"/>
                <w:lang w:val="en-US" w:eastAsia="zh-CN"/>
              </w:rPr>
              <w:t>分两天两</w:t>
            </w:r>
            <w:r>
              <w:rPr>
                <w:rFonts w:hint="eastAsia" w:asciiTheme="minorEastAsia" w:hAnsiTheme="minorEastAsia" w:eastAsiaTheme="minorEastAsia" w:cstheme="minorEastAsia"/>
                <w:kern w:val="2"/>
                <w:sz w:val="24"/>
                <w:szCs w:val="24"/>
              </w:rPr>
              <w:t>场）</w:t>
            </w:r>
          </w:p>
        </w:tc>
        <w:tc>
          <w:tcPr>
            <w:tcW w:w="992"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上虞</w:t>
            </w:r>
          </w:p>
        </w:tc>
        <w:tc>
          <w:tcPr>
            <w:tcW w:w="1985"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生命健康赛道总决赛</w:t>
            </w:r>
          </w:p>
        </w:tc>
        <w:tc>
          <w:tcPr>
            <w:tcW w:w="1978" w:type="dxa"/>
            <w:vAlign w:val="center"/>
          </w:tcPr>
          <w:p>
            <w:pPr>
              <w:widowControl w:val="0"/>
              <w:spacing w:line="50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“未来场景·未来产业”</w:t>
            </w:r>
            <w:r>
              <w:rPr>
                <w:rFonts w:hint="eastAsia" w:asciiTheme="minorEastAsia" w:hAnsiTheme="minorEastAsia" w:eastAsiaTheme="minorEastAsia" w:cstheme="minorEastAsia"/>
                <w:kern w:val="2"/>
                <w:sz w:val="24"/>
                <w:szCs w:val="24"/>
              </w:rPr>
              <w:t>赛道总决赛</w:t>
            </w:r>
          </w:p>
        </w:tc>
      </w:tr>
    </w:tbl>
    <w:p>
      <w:pPr>
        <w:spacing w:line="360" w:lineRule="auto"/>
        <w:ind w:firstLine="482" w:firstLineChars="200"/>
        <w:rPr>
          <w:rFonts w:hint="eastAsia" w:ascii="Times New Roman" w:hAnsi="Times New Roman" w:eastAsia="宋体" w:cs="宋体"/>
          <w:b/>
          <w:bCs/>
          <w:color w:val="auto"/>
          <w:sz w:val="24"/>
          <w:highlight w:val="none"/>
        </w:rPr>
      </w:pPr>
      <w:r>
        <w:rPr>
          <w:rFonts w:hint="eastAsia" w:cs="宋体"/>
          <w:b/>
          <w:bCs/>
          <w:color w:val="auto"/>
          <w:sz w:val="24"/>
          <w:highlight w:val="none"/>
          <w:lang w:eastAsia="zh-CN"/>
        </w:rPr>
        <w:t>（</w:t>
      </w:r>
      <w:r>
        <w:rPr>
          <w:rFonts w:hint="eastAsia" w:cs="宋体"/>
          <w:b/>
          <w:bCs/>
          <w:color w:val="auto"/>
          <w:sz w:val="24"/>
          <w:highlight w:val="none"/>
          <w:lang w:val="en-US" w:eastAsia="zh-CN"/>
        </w:rPr>
        <w:t>三</w:t>
      </w:r>
      <w:r>
        <w:rPr>
          <w:rFonts w:hint="eastAsia" w:cs="宋体"/>
          <w:b/>
          <w:bCs/>
          <w:color w:val="auto"/>
          <w:sz w:val="24"/>
          <w:highlight w:val="none"/>
          <w:lang w:eastAsia="zh-CN"/>
        </w:rPr>
        <w:t>）</w:t>
      </w:r>
      <w:r>
        <w:rPr>
          <w:rFonts w:hint="eastAsia" w:ascii="Times New Roman" w:hAnsi="Times New Roman" w:eastAsia="宋体" w:cs="宋体"/>
          <w:b/>
          <w:bCs/>
          <w:color w:val="auto"/>
          <w:sz w:val="24"/>
          <w:highlight w:val="none"/>
        </w:rPr>
        <w:t>宣传推广</w:t>
      </w:r>
      <w:r>
        <w:rPr>
          <w:rFonts w:hint="eastAsia" w:ascii="Times New Roman" w:hAnsi="Times New Roman" w:eastAsia="宋体" w:cs="宋体"/>
          <w:b/>
          <w:bCs/>
          <w:color w:val="auto"/>
          <w:sz w:val="24"/>
          <w:highlight w:val="none"/>
          <w:lang w:val="en-US" w:eastAsia="zh-CN"/>
        </w:rPr>
        <w:t>要求</w:t>
      </w:r>
    </w:p>
    <w:p>
      <w:pPr>
        <w:numPr>
          <w:ilvl w:val="0"/>
          <w:numId w:val="39"/>
        </w:numPr>
        <w:spacing w:line="360" w:lineRule="auto"/>
        <w:ind w:left="0" w:leftChars="0" w:firstLine="400" w:firstLineChars="0"/>
        <w:rPr>
          <w:rFonts w:hint="eastAsia" w:cs="宋体"/>
          <w:color w:val="auto"/>
          <w:sz w:val="24"/>
          <w:highlight w:val="none"/>
          <w:lang w:val="en-US" w:eastAsia="zh-CN"/>
        </w:rPr>
      </w:pPr>
      <w:r>
        <w:rPr>
          <w:rFonts w:hint="eastAsia" w:ascii="Times New Roman" w:hAnsi="Times New Roman" w:eastAsia="宋体" w:cs="宋体"/>
          <w:color w:val="auto"/>
          <w:sz w:val="24"/>
          <w:highlight w:val="none"/>
          <w:lang w:val="en-US" w:eastAsia="zh-CN"/>
        </w:rPr>
        <w:t>新闻发布：邀请不少于10家媒体，围绕城市推介会发布相关信息至腾讯、新浪、网易等网站，提高新闻源品牌信息收录</w:t>
      </w:r>
      <w:r>
        <w:rPr>
          <w:rFonts w:hint="eastAsia" w:cs="宋体"/>
          <w:color w:val="auto"/>
          <w:sz w:val="24"/>
          <w:highlight w:val="none"/>
          <w:lang w:val="en-US" w:eastAsia="zh-CN"/>
        </w:rPr>
        <w:t>。</w:t>
      </w:r>
    </w:p>
    <w:p>
      <w:pPr>
        <w:numPr>
          <w:ilvl w:val="0"/>
          <w:numId w:val="39"/>
        </w:numPr>
        <w:spacing w:line="360" w:lineRule="auto"/>
        <w:ind w:left="0" w:leftChars="0" w:firstLine="400" w:firstLineChars="0"/>
        <w:rPr>
          <w:rFonts w:hint="eastAsia" w:cs="宋体"/>
          <w:color w:val="auto"/>
          <w:sz w:val="24"/>
          <w:highlight w:val="none"/>
          <w:lang w:val="en-US" w:eastAsia="zh-CN"/>
        </w:rPr>
      </w:pPr>
      <w:r>
        <w:rPr>
          <w:rFonts w:hint="eastAsia" w:ascii="Times New Roman" w:hAnsi="Times New Roman" w:eastAsia="宋体" w:cs="宋体"/>
          <w:color w:val="auto"/>
          <w:sz w:val="24"/>
          <w:highlight w:val="none"/>
          <w:lang w:val="en-US" w:eastAsia="zh-CN"/>
        </w:rPr>
        <w:t>App首页</w:t>
      </w:r>
      <w:r>
        <w:rPr>
          <w:rFonts w:hint="eastAsia" w:cs="宋体"/>
          <w:color w:val="auto"/>
          <w:sz w:val="24"/>
          <w:highlight w:val="none"/>
          <w:lang w:val="en-US" w:eastAsia="zh-CN"/>
        </w:rPr>
        <w:t>：将新闻稿及相关直播信息在今日头条、腾讯新闻APP等客户端上做首页推荐（链接+首页截图），利用大数据智能推荐将活动信息推送到受众用户，提高综合曝光量。</w:t>
      </w:r>
    </w:p>
    <w:p>
      <w:pPr>
        <w:numPr>
          <w:ilvl w:val="0"/>
          <w:numId w:val="39"/>
        </w:numPr>
        <w:spacing w:line="360" w:lineRule="auto"/>
        <w:ind w:left="0" w:leftChars="0" w:firstLine="400" w:firstLineChars="0"/>
        <w:rPr>
          <w:rFonts w:hint="eastAsia" w:cs="宋体"/>
          <w:color w:val="auto"/>
          <w:sz w:val="24"/>
          <w:highlight w:val="none"/>
          <w:lang w:val="en-US" w:eastAsia="zh-CN"/>
        </w:rPr>
      </w:pPr>
      <w:r>
        <w:rPr>
          <w:rFonts w:hint="eastAsia" w:ascii="Times New Roman" w:hAnsi="Times New Roman" w:eastAsia="宋体" w:cs="宋体"/>
          <w:color w:val="auto"/>
          <w:sz w:val="24"/>
          <w:highlight w:val="none"/>
          <w:lang w:val="en-US" w:eastAsia="zh-CN"/>
        </w:rPr>
        <w:t>微博</w:t>
      </w:r>
      <w:r>
        <w:rPr>
          <w:rFonts w:hint="eastAsia" w:cs="宋体"/>
          <w:color w:val="auto"/>
          <w:sz w:val="24"/>
          <w:highlight w:val="none"/>
          <w:lang w:val="en-US" w:eastAsia="zh-CN"/>
        </w:rPr>
        <w:t>推广</w:t>
      </w:r>
      <w:r>
        <w:rPr>
          <w:rFonts w:hint="eastAsia" w:ascii="Times New Roman" w:hAnsi="Times New Roman" w:eastAsia="宋体" w:cs="宋体"/>
          <w:color w:val="auto"/>
          <w:sz w:val="24"/>
          <w:highlight w:val="none"/>
          <w:lang w:val="en-US" w:eastAsia="zh-CN"/>
        </w:rPr>
        <w:t>：结合当下热门话题结合互动进行微博</w:t>
      </w:r>
      <w:r>
        <w:rPr>
          <w:rFonts w:hint="eastAsia" w:cs="宋体"/>
          <w:color w:val="auto"/>
          <w:sz w:val="24"/>
          <w:highlight w:val="none"/>
          <w:lang w:val="en-US" w:eastAsia="zh-CN"/>
        </w:rPr>
        <w:t>（各大官方账户官微：浙江之声、上虞日报、上虞发布等）</w:t>
      </w:r>
      <w:r>
        <w:rPr>
          <w:rFonts w:hint="eastAsia" w:ascii="Times New Roman" w:hAnsi="Times New Roman" w:eastAsia="宋体" w:cs="宋体"/>
          <w:color w:val="auto"/>
          <w:sz w:val="24"/>
          <w:highlight w:val="none"/>
          <w:lang w:val="en-US" w:eastAsia="zh-CN"/>
        </w:rPr>
        <w:t>文案撰写，通过官方账户发布推送，提高用户与活动的互动性</w:t>
      </w:r>
      <w:r>
        <w:rPr>
          <w:rFonts w:hint="eastAsia" w:cs="宋体"/>
          <w:color w:val="auto"/>
          <w:sz w:val="24"/>
          <w:highlight w:val="none"/>
          <w:lang w:val="en-US" w:eastAsia="zh-CN"/>
        </w:rPr>
        <w:t>。</w:t>
      </w:r>
    </w:p>
    <w:p>
      <w:pPr>
        <w:numPr>
          <w:ilvl w:val="0"/>
          <w:numId w:val="39"/>
        </w:numPr>
        <w:spacing w:line="360" w:lineRule="auto"/>
        <w:ind w:left="0" w:leftChars="0" w:firstLine="400" w:firstLineChars="0"/>
        <w:rPr>
          <w:rFonts w:hint="eastAsia" w:cs="宋体"/>
          <w:color w:val="auto"/>
          <w:sz w:val="24"/>
          <w:highlight w:val="none"/>
          <w:lang w:val="en-US" w:eastAsia="zh-CN"/>
        </w:rPr>
      </w:pPr>
      <w:r>
        <w:rPr>
          <w:rFonts w:hint="eastAsia" w:cs="宋体"/>
          <w:color w:val="auto"/>
          <w:sz w:val="24"/>
          <w:highlight w:val="none"/>
          <w:lang w:val="en-US" w:eastAsia="zh-CN"/>
        </w:rPr>
        <w:t>社群营销：新闻稿件发布至相关领域的论坛、贴吧等平台或相关微信公众号、QQ群、微信群。</w:t>
      </w:r>
    </w:p>
    <w:p>
      <w:pPr>
        <w:spacing w:line="360" w:lineRule="auto"/>
        <w:ind w:firstLine="482" w:firstLineChars="200"/>
        <w:rPr>
          <w:rFonts w:hint="eastAsia" w:ascii="Times New Roman" w:hAnsi="Times New Roman" w:eastAsia="宋体" w:cs="宋体"/>
          <w:b/>
          <w:bCs/>
          <w:color w:val="auto"/>
          <w:sz w:val="24"/>
          <w:highlight w:val="none"/>
        </w:rPr>
      </w:pPr>
      <w:r>
        <w:rPr>
          <w:rFonts w:hint="eastAsia" w:cs="宋体"/>
          <w:b/>
          <w:bCs/>
          <w:color w:val="auto"/>
          <w:sz w:val="24"/>
          <w:highlight w:val="none"/>
          <w:lang w:eastAsia="zh-CN"/>
        </w:rPr>
        <w:t>（</w:t>
      </w:r>
      <w:r>
        <w:rPr>
          <w:rFonts w:hint="eastAsia" w:cs="宋体"/>
          <w:b/>
          <w:bCs/>
          <w:color w:val="auto"/>
          <w:sz w:val="24"/>
          <w:highlight w:val="none"/>
          <w:lang w:val="en-US" w:eastAsia="zh-CN"/>
        </w:rPr>
        <w:t>四</w:t>
      </w:r>
      <w:r>
        <w:rPr>
          <w:rFonts w:hint="eastAsia" w:cs="宋体"/>
          <w:b/>
          <w:bCs/>
          <w:color w:val="auto"/>
          <w:sz w:val="24"/>
          <w:highlight w:val="none"/>
          <w:lang w:eastAsia="zh-CN"/>
        </w:rPr>
        <w:t>）</w:t>
      </w:r>
      <w:r>
        <w:rPr>
          <w:rFonts w:hint="eastAsia" w:cs="宋体"/>
          <w:b/>
          <w:bCs/>
          <w:color w:val="auto"/>
          <w:sz w:val="24"/>
          <w:highlight w:val="none"/>
          <w:lang w:val="en-US" w:eastAsia="zh-CN"/>
        </w:rPr>
        <w:t>其他</w:t>
      </w:r>
      <w:r>
        <w:rPr>
          <w:rFonts w:hint="eastAsia" w:ascii="Times New Roman" w:hAnsi="Times New Roman" w:eastAsia="宋体" w:cs="宋体"/>
          <w:b/>
          <w:bCs/>
          <w:color w:val="auto"/>
          <w:sz w:val="24"/>
          <w:highlight w:val="none"/>
          <w:lang w:val="en-US" w:eastAsia="zh-CN"/>
        </w:rPr>
        <w:t>要求</w:t>
      </w:r>
    </w:p>
    <w:p>
      <w:pPr>
        <w:numPr>
          <w:ilvl w:val="0"/>
          <w:numId w:val="0"/>
        </w:numPr>
        <w:spacing w:line="360" w:lineRule="auto"/>
        <w:ind w:left="400" w:leftChars="0"/>
        <w:rPr>
          <w:rFonts w:hint="eastAsia" w:cs="宋体"/>
          <w:color w:val="auto"/>
          <w:sz w:val="24"/>
          <w:highlight w:val="none"/>
          <w:lang w:val="en-US" w:eastAsia="zh-CN"/>
        </w:rPr>
      </w:pPr>
      <w:r>
        <w:rPr>
          <w:rFonts w:hint="eastAsia" w:cs="宋体"/>
          <w:color w:val="auto"/>
          <w:sz w:val="24"/>
          <w:highlight w:val="none"/>
          <w:lang w:val="en-US" w:eastAsia="zh-CN"/>
        </w:rPr>
        <w:t>1. 本次大赛不对参赛选手收取任何费用。</w:t>
      </w:r>
    </w:p>
    <w:p>
      <w:pPr>
        <w:numPr>
          <w:ilvl w:val="0"/>
          <w:numId w:val="0"/>
        </w:numPr>
        <w:spacing w:line="360" w:lineRule="auto"/>
        <w:ind w:left="400" w:leftChars="0"/>
        <w:rPr>
          <w:rFonts w:hint="eastAsia" w:cs="宋体"/>
          <w:color w:val="auto"/>
          <w:sz w:val="24"/>
          <w:highlight w:val="none"/>
          <w:lang w:val="en-US" w:eastAsia="zh-CN"/>
        </w:rPr>
      </w:pPr>
      <w:r>
        <w:rPr>
          <w:rFonts w:hint="eastAsia" w:cs="宋体"/>
          <w:color w:val="auto"/>
          <w:sz w:val="24"/>
          <w:highlight w:val="none"/>
          <w:lang w:val="en-US" w:eastAsia="zh-CN"/>
        </w:rPr>
        <w:t>2. 奖项设置要求：专项赛分别设一等奖项目1个（奖金10万元）、二等奖项目2个（奖金5万元）、三等奖项目5个（奖金3万元），奖金由乙方承担，其中个税自理。</w:t>
      </w:r>
    </w:p>
    <w:p>
      <w:pPr>
        <w:numPr>
          <w:ilvl w:val="0"/>
          <w:numId w:val="0"/>
        </w:numPr>
        <w:spacing w:line="360" w:lineRule="auto"/>
        <w:ind w:left="400" w:leftChars="0"/>
        <w:rPr>
          <w:rFonts w:hint="default" w:cs="宋体"/>
          <w:color w:val="auto"/>
          <w:sz w:val="24"/>
          <w:highlight w:val="none"/>
          <w:lang w:val="en-US" w:eastAsia="zh-CN"/>
        </w:rPr>
      </w:pPr>
      <w:r>
        <w:rPr>
          <w:rFonts w:hint="eastAsia" w:cs="宋体"/>
          <w:color w:val="auto"/>
          <w:sz w:val="24"/>
          <w:highlight w:val="none"/>
          <w:lang w:val="en-US" w:eastAsia="zh-CN"/>
        </w:rPr>
        <w:t>3. 乙方按要求对参赛人员发放交通补贴，其中个税自理。</w:t>
      </w:r>
    </w:p>
    <w:p>
      <w:pPr>
        <w:spacing w:line="360" w:lineRule="auto"/>
        <w:ind w:firstLine="482" w:firstLineChars="200"/>
        <w:rPr>
          <w:rFonts w:hint="default" w:eastAsia="宋体"/>
          <w:b/>
          <w:bCs/>
          <w:color w:val="auto"/>
          <w:sz w:val="24"/>
          <w:highlight w:val="none"/>
          <w:lang w:val="en-US" w:eastAsia="zh-CN"/>
        </w:rPr>
      </w:pPr>
      <w:r>
        <w:rPr>
          <w:rFonts w:hint="eastAsia" w:eastAsia="宋体"/>
          <w:b/>
          <w:bCs/>
          <w:color w:val="auto"/>
          <w:sz w:val="24"/>
          <w:highlight w:val="none"/>
          <w:lang w:val="en-US" w:eastAsia="zh-CN"/>
        </w:rPr>
        <w:t>六</w:t>
      </w:r>
      <w:r>
        <w:rPr>
          <w:rFonts w:hint="eastAsia" w:eastAsia="宋体"/>
          <w:b/>
          <w:bCs/>
          <w:color w:val="auto"/>
          <w:sz w:val="24"/>
          <w:highlight w:val="none"/>
          <w:lang w:val="zh-CN" w:eastAsia="zh-CN"/>
        </w:rPr>
        <w:t>、</w:t>
      </w:r>
      <w:r>
        <w:rPr>
          <w:rFonts w:hint="eastAsia" w:eastAsia="宋体"/>
          <w:b/>
          <w:bCs/>
          <w:color w:val="auto"/>
          <w:sz w:val="24"/>
          <w:highlight w:val="none"/>
          <w:lang w:val="en-US" w:eastAsia="zh-CN"/>
        </w:rPr>
        <w:t>人员要求</w:t>
      </w:r>
    </w:p>
    <w:p>
      <w:pPr>
        <w:spacing w:line="360" w:lineRule="auto"/>
        <w:ind w:firstLine="480" w:firstLineChars="200"/>
        <w:rPr>
          <w:rFonts w:hint="eastAsia" w:eastAsia="宋体" w:cs="宋体"/>
          <w:color w:val="auto"/>
          <w:sz w:val="24"/>
          <w:highlight w:val="none"/>
          <w:lang w:val="en-US" w:eastAsia="zh-Hans"/>
        </w:rPr>
      </w:pPr>
      <w:r>
        <w:rPr>
          <w:rFonts w:hint="eastAsia" w:eastAsia="宋体" w:cs="宋体"/>
          <w:color w:val="auto"/>
          <w:sz w:val="24"/>
          <w:highlight w:val="none"/>
          <w:lang w:val="en-US" w:eastAsia="zh-CN"/>
        </w:rPr>
        <w:t>1、</w:t>
      </w:r>
      <w:r>
        <w:rPr>
          <w:rFonts w:hint="eastAsia" w:eastAsia="宋体" w:cs="宋体"/>
          <w:color w:val="auto"/>
          <w:sz w:val="24"/>
          <w:highlight w:val="none"/>
          <w:lang w:val="en-US" w:eastAsia="zh-Hans"/>
        </w:rPr>
        <w:t>负责此项目的核心团队至少有5人，成员组成需要合理，并经过</w:t>
      </w:r>
      <w:r>
        <w:rPr>
          <w:rFonts w:hint="eastAsia" w:cs="宋体"/>
          <w:color w:val="auto"/>
          <w:sz w:val="24"/>
          <w:highlight w:val="none"/>
          <w:lang w:val="en-US" w:eastAsia="zh-CN"/>
        </w:rPr>
        <w:t>甲方</w:t>
      </w:r>
      <w:r>
        <w:rPr>
          <w:rFonts w:hint="eastAsia" w:eastAsia="宋体" w:cs="宋体"/>
          <w:color w:val="auto"/>
          <w:sz w:val="24"/>
          <w:highlight w:val="none"/>
          <w:lang w:val="en-US" w:eastAsia="zh-Hans"/>
        </w:rPr>
        <w:t>认可。</w:t>
      </w:r>
    </w:p>
    <w:p>
      <w:pPr>
        <w:spacing w:line="360" w:lineRule="auto"/>
        <w:ind w:firstLine="480" w:firstLineChars="200"/>
        <w:rPr>
          <w:rFonts w:hint="eastAsia" w:eastAsia="宋体" w:cs="宋体"/>
          <w:color w:val="auto"/>
          <w:sz w:val="24"/>
          <w:highlight w:val="none"/>
          <w:lang w:val="en-US" w:eastAsia="zh-Hans"/>
        </w:rPr>
      </w:pPr>
      <w:r>
        <w:rPr>
          <w:rFonts w:hint="eastAsia" w:eastAsia="宋体" w:cs="宋体"/>
          <w:color w:val="auto"/>
          <w:sz w:val="24"/>
          <w:highlight w:val="none"/>
          <w:lang w:val="en-US" w:eastAsia="zh-CN"/>
        </w:rPr>
        <w:t>2、</w:t>
      </w:r>
      <w:r>
        <w:rPr>
          <w:rFonts w:hint="eastAsia" w:eastAsia="宋体" w:cs="宋体"/>
          <w:color w:val="auto"/>
          <w:sz w:val="24"/>
          <w:highlight w:val="none"/>
          <w:lang w:val="en-US" w:eastAsia="zh-Hans"/>
        </w:rPr>
        <w:t>项目负责人1名。具有创新大赛或类似专项活动项目统筹管理和领导经验，能全程负责本项目各项工作的组织、实施、统筹协调，保障项目顺利实施。项目负责人不按要求履职的，</w:t>
      </w:r>
      <w:r>
        <w:rPr>
          <w:rFonts w:hint="eastAsia" w:cs="宋体"/>
          <w:color w:val="auto"/>
          <w:sz w:val="24"/>
          <w:highlight w:val="none"/>
          <w:lang w:val="en-US" w:eastAsia="zh-CN"/>
        </w:rPr>
        <w:t>甲方</w:t>
      </w:r>
      <w:r>
        <w:rPr>
          <w:rFonts w:hint="eastAsia" w:eastAsia="宋体" w:cs="宋体"/>
          <w:color w:val="auto"/>
          <w:sz w:val="24"/>
          <w:highlight w:val="none"/>
          <w:lang w:val="en-US" w:eastAsia="zh-Hans"/>
        </w:rPr>
        <w:t>有权要求更换项目负责人，同时也会将此情况列为不良服务记录备案。</w:t>
      </w:r>
    </w:p>
    <w:p>
      <w:pPr>
        <w:spacing w:line="360" w:lineRule="auto"/>
        <w:ind w:left="479" w:leftChars="228" w:firstLine="0" w:firstLineChars="0"/>
        <w:rPr>
          <w:rFonts w:hint="default" w:eastAsia="宋体"/>
          <w:b/>
          <w:bCs/>
          <w:color w:val="auto"/>
          <w:sz w:val="24"/>
          <w:highlight w:val="none"/>
          <w:lang w:val="en-US" w:eastAsia="zh-CN"/>
        </w:rPr>
      </w:pPr>
      <w:r>
        <w:rPr>
          <w:rFonts w:hint="eastAsia" w:eastAsia="宋体"/>
          <w:b/>
          <w:bCs/>
          <w:color w:val="auto"/>
          <w:sz w:val="24"/>
          <w:highlight w:val="none"/>
          <w:lang w:val="en-US" w:eastAsia="zh-CN"/>
        </w:rPr>
        <w:t>七、工作实施保障</w:t>
      </w:r>
    </w:p>
    <w:p>
      <w:pPr>
        <w:spacing w:line="360" w:lineRule="auto"/>
        <w:ind w:firstLine="480" w:firstLineChars="200"/>
        <w:rPr>
          <w:rFonts w:hint="eastAsia" w:ascii="Times New Roman" w:hAnsi="Times New Roman" w:eastAsia="宋体" w:cs="宋体"/>
          <w:color w:val="auto"/>
          <w:sz w:val="24"/>
          <w:highlight w:val="none"/>
          <w:lang w:val="en-US" w:eastAsia="zh-Hans"/>
        </w:rPr>
      </w:pPr>
      <w:r>
        <w:rPr>
          <w:rFonts w:hint="eastAsia" w:ascii="Times New Roman" w:hAnsi="Times New Roman" w:eastAsia="宋体" w:cs="宋体"/>
          <w:color w:val="auto"/>
          <w:sz w:val="24"/>
          <w:highlight w:val="none"/>
          <w:lang w:val="en-US" w:eastAsia="zh-Hans"/>
        </w:rPr>
        <w:t>1、</w:t>
      </w:r>
      <w:r>
        <w:rPr>
          <w:rFonts w:hint="eastAsia" w:cs="宋体"/>
          <w:color w:val="auto"/>
          <w:sz w:val="24"/>
          <w:highlight w:val="none"/>
          <w:lang w:val="en-US" w:eastAsia="zh-CN"/>
        </w:rPr>
        <w:t>乙方</w:t>
      </w:r>
      <w:r>
        <w:rPr>
          <w:rFonts w:hint="eastAsia" w:ascii="Times New Roman" w:hAnsi="Times New Roman" w:eastAsia="宋体" w:cs="宋体"/>
          <w:color w:val="auto"/>
          <w:sz w:val="24"/>
          <w:highlight w:val="none"/>
          <w:lang w:val="en-US" w:eastAsia="zh-Hans"/>
        </w:rPr>
        <w:t>中标后5个自然日内，向</w:t>
      </w:r>
      <w:r>
        <w:rPr>
          <w:rFonts w:hint="eastAsia" w:cs="宋体"/>
          <w:color w:val="auto"/>
          <w:sz w:val="24"/>
          <w:highlight w:val="none"/>
          <w:lang w:val="en-US" w:eastAsia="zh-CN"/>
        </w:rPr>
        <w:t>甲方</w:t>
      </w:r>
      <w:r>
        <w:rPr>
          <w:rFonts w:hint="eastAsia" w:ascii="Times New Roman" w:hAnsi="Times New Roman" w:eastAsia="宋体" w:cs="宋体"/>
          <w:color w:val="auto"/>
          <w:sz w:val="24"/>
          <w:highlight w:val="none"/>
          <w:lang w:val="en-US" w:eastAsia="zh-Hans"/>
        </w:rPr>
        <w:t>提供包括活动详细策划与各阶段活动组织实施方案及活动费用概算（预算）等，活动整体安排行程及相关工作内容和目标。</w:t>
      </w:r>
    </w:p>
    <w:p>
      <w:pPr>
        <w:spacing w:line="360" w:lineRule="auto"/>
        <w:ind w:firstLine="480" w:firstLineChars="200"/>
        <w:rPr>
          <w:rFonts w:hint="eastAsia" w:ascii="Times New Roman" w:hAnsi="Times New Roman" w:eastAsia="宋体" w:cs="宋体"/>
          <w:color w:val="auto"/>
          <w:sz w:val="24"/>
          <w:highlight w:val="none"/>
          <w:lang w:val="en-US" w:eastAsia="zh-Hans"/>
        </w:rPr>
      </w:pPr>
      <w:r>
        <w:rPr>
          <w:rFonts w:hint="eastAsia" w:ascii="Times New Roman" w:hAnsi="Times New Roman" w:eastAsia="宋体" w:cs="宋体"/>
          <w:color w:val="auto"/>
          <w:sz w:val="24"/>
          <w:highlight w:val="none"/>
          <w:lang w:val="en-US" w:eastAsia="zh-Hans"/>
        </w:rPr>
        <w:t>2、根据工作方案安排，</w:t>
      </w:r>
      <w:r>
        <w:rPr>
          <w:rFonts w:hint="eastAsia" w:cs="宋体"/>
          <w:color w:val="auto"/>
          <w:sz w:val="24"/>
          <w:highlight w:val="none"/>
          <w:lang w:val="en-US" w:eastAsia="zh-CN"/>
        </w:rPr>
        <w:t>乙方</w:t>
      </w:r>
      <w:r>
        <w:rPr>
          <w:rFonts w:hint="eastAsia" w:ascii="Times New Roman" w:hAnsi="Times New Roman" w:eastAsia="宋体" w:cs="宋体"/>
          <w:color w:val="auto"/>
          <w:sz w:val="24"/>
          <w:highlight w:val="none"/>
          <w:lang w:val="en-US" w:eastAsia="zh-Hans"/>
        </w:rPr>
        <w:t>中标后5个自然日成立大赛实施工作机构，机构各小组应职责明确、分工合理，任务安排到位。整个团队运作高效，对</w:t>
      </w:r>
      <w:r>
        <w:rPr>
          <w:rFonts w:hint="eastAsia" w:cs="宋体"/>
          <w:color w:val="auto"/>
          <w:sz w:val="24"/>
          <w:highlight w:val="none"/>
          <w:lang w:val="en-US" w:eastAsia="zh-CN"/>
        </w:rPr>
        <w:t>甲方</w:t>
      </w:r>
      <w:r>
        <w:rPr>
          <w:rFonts w:hint="eastAsia" w:ascii="Times New Roman" w:hAnsi="Times New Roman" w:eastAsia="宋体" w:cs="宋体"/>
          <w:color w:val="auto"/>
          <w:sz w:val="24"/>
          <w:highlight w:val="none"/>
          <w:lang w:val="en-US" w:eastAsia="zh-Hans"/>
        </w:rPr>
        <w:t>提出的工作要求，在不晚于第二天内作出积极正面响应。</w:t>
      </w:r>
    </w:p>
    <w:p>
      <w:pPr>
        <w:spacing w:line="360" w:lineRule="auto"/>
        <w:ind w:firstLine="480" w:firstLineChars="200"/>
        <w:rPr>
          <w:rFonts w:ascii="宋体" w:hAnsi="宋体" w:cs="宋体"/>
          <w:b/>
          <w:bCs/>
          <w:color w:val="auto"/>
          <w:sz w:val="24"/>
          <w:highlight w:val="none"/>
        </w:rPr>
      </w:pPr>
      <w:r>
        <w:rPr>
          <w:rFonts w:hint="eastAsia" w:ascii="Times New Roman" w:hAnsi="Times New Roman" w:eastAsia="宋体" w:cs="宋体"/>
          <w:color w:val="auto"/>
          <w:sz w:val="24"/>
          <w:highlight w:val="none"/>
          <w:lang w:val="en-US" w:eastAsia="zh-Hans"/>
        </w:rPr>
        <w:t>3、大赛结束后，提交大赛实施工作总结，总结内容应包含但不限于大赛的组织实施、宣传推介、参赛项目的组织发动、活动现场的安排、大赛现场服务等各个方面，工作总结应结构清晰、条理明晰、语言精练、数据准确、突出大赛的重点和亮点</w:t>
      </w:r>
      <w:r>
        <w:rPr>
          <w:rFonts w:hint="eastAsia" w:ascii="Times New Roman" w:hAnsi="Times New Roman" w:eastAsia="宋体" w:cs="宋体"/>
          <w:color w:val="auto"/>
          <w:sz w:val="24"/>
          <w:highlight w:val="none"/>
          <w:lang w:val="en-US" w:eastAsia="zh-CN"/>
        </w:rPr>
        <w:t>。</w:t>
      </w:r>
    </w:p>
    <w:p>
      <w:pPr>
        <w:spacing w:line="360" w:lineRule="auto"/>
        <w:ind w:left="479" w:leftChars="228" w:firstLine="0" w:firstLineChars="0"/>
        <w:rPr>
          <w:rFonts w:hint="eastAsia" w:eastAsia="宋体"/>
          <w:b/>
          <w:bCs/>
          <w:color w:val="auto"/>
          <w:sz w:val="24"/>
          <w:highlight w:val="none"/>
          <w:lang w:val="en-US" w:eastAsia="zh-CN"/>
        </w:rPr>
      </w:pPr>
      <w:r>
        <w:rPr>
          <w:rFonts w:hint="eastAsia" w:eastAsia="宋体"/>
          <w:b/>
          <w:bCs/>
          <w:color w:val="auto"/>
          <w:sz w:val="24"/>
          <w:highlight w:val="none"/>
          <w:lang w:val="en-US" w:eastAsia="zh-CN"/>
        </w:rPr>
        <w:t>八、合同金额及付款方式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w:t>
      </w:r>
      <w:r>
        <w:rPr>
          <w:rFonts w:hint="eastAsia" w:ascii="宋体" w:hAnsi="宋体" w:cs="宋体"/>
          <w:color w:val="auto"/>
          <w:sz w:val="24"/>
          <w:highlight w:val="none"/>
          <w:lang w:val="en-US" w:eastAsia="zh-CN"/>
        </w:rPr>
        <w:t>项目</w:t>
      </w:r>
      <w:r>
        <w:rPr>
          <w:rFonts w:hint="eastAsia" w:ascii="宋体" w:hAnsi="宋体" w:cs="宋体"/>
          <w:color w:val="auto"/>
          <w:sz w:val="24"/>
          <w:highlight w:val="none"/>
        </w:rPr>
        <w:t>的</w:t>
      </w:r>
      <w:r>
        <w:rPr>
          <w:rFonts w:hint="eastAsia" w:ascii="宋体" w:hAnsi="宋体" w:cs="宋体"/>
          <w:color w:val="auto"/>
          <w:sz w:val="24"/>
          <w:highlight w:val="none"/>
          <w:lang w:val="en-US" w:eastAsia="zh-CN"/>
        </w:rPr>
        <w:t>合同金额</w:t>
      </w:r>
      <w:r>
        <w:rPr>
          <w:rFonts w:hint="eastAsia" w:ascii="宋体" w:hAnsi="宋体" w:cs="宋体"/>
          <w:color w:val="auto"/>
          <w:sz w:val="24"/>
          <w:highlight w:val="none"/>
        </w:rPr>
        <w:t>为人民币元（大写：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元</w:t>
      </w:r>
      <w:r>
        <w:rPr>
          <w:rFonts w:hint="eastAsia" w:ascii="宋体" w:hAnsi="宋体" w:cs="宋体"/>
          <w:color w:val="auto"/>
          <w:sz w:val="24"/>
          <w:highlight w:val="none"/>
          <w:u w:val="none"/>
          <w:lang w:eastAsia="zh-CN"/>
        </w:rPr>
        <w:t>，</w:t>
      </w:r>
      <w:r>
        <w:rPr>
          <w:rFonts w:hint="eastAsia" w:ascii="宋体" w:hAnsi="宋体" w:cs="宋体"/>
          <w:color w:val="auto"/>
          <w:sz w:val="24"/>
          <w:highlight w:val="none"/>
          <w:u w:val="none"/>
          <w:lang w:val="en-US" w:eastAsia="zh-CN"/>
        </w:rPr>
        <w:t>小写</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），包括本项目所需</w:t>
      </w:r>
      <w:r>
        <w:rPr>
          <w:rFonts w:hint="eastAsia" w:ascii="宋体" w:hAnsi="宋体" w:cs="宋体"/>
          <w:color w:val="auto"/>
          <w:sz w:val="24"/>
          <w:highlight w:val="none"/>
          <w:lang w:val="en-US" w:eastAsia="zh-CN"/>
        </w:rPr>
        <w:t>活动</w:t>
      </w:r>
      <w:r>
        <w:rPr>
          <w:rFonts w:hint="eastAsia" w:ascii="宋体" w:hAnsi="宋体" w:cs="宋体"/>
          <w:color w:val="auto"/>
          <w:sz w:val="24"/>
          <w:highlight w:val="none"/>
        </w:rPr>
        <w:t>设计费、会议物料制作费、宣传品、会场布置费、舞台搭建费、氛围布置费、音响设备、场地租赁费、评委评审费、嘉宾邀请费、</w:t>
      </w:r>
      <w:r>
        <w:rPr>
          <w:rFonts w:hint="eastAsia" w:ascii="宋体" w:hAnsi="宋体" w:cs="宋体"/>
          <w:color w:val="auto"/>
          <w:sz w:val="24"/>
          <w:highlight w:val="none"/>
          <w:lang w:val="en-US" w:eastAsia="zh-CN"/>
        </w:rPr>
        <w:t>奖金、</w:t>
      </w:r>
      <w:r>
        <w:rPr>
          <w:rFonts w:hint="eastAsia" w:ascii="宋体" w:hAnsi="宋体" w:cs="宋体"/>
          <w:color w:val="auto"/>
          <w:sz w:val="24"/>
          <w:highlight w:val="none"/>
        </w:rPr>
        <w:t>住宿及餐饮费、</w:t>
      </w:r>
      <w:r>
        <w:rPr>
          <w:rFonts w:hint="eastAsia" w:ascii="宋体" w:hAnsi="宋体" w:cs="宋体"/>
          <w:color w:val="auto"/>
          <w:sz w:val="24"/>
          <w:highlight w:val="none"/>
          <w:lang w:val="en-US" w:eastAsia="zh-CN"/>
        </w:rPr>
        <w:t>交通补贴、</w:t>
      </w:r>
      <w:r>
        <w:rPr>
          <w:rFonts w:hint="eastAsia" w:ascii="宋体" w:hAnsi="宋体" w:cs="宋体"/>
          <w:color w:val="auto"/>
          <w:sz w:val="24"/>
          <w:highlight w:val="none"/>
        </w:rPr>
        <w:t>宣传费、摄影及摄像费、招标代理费、规费、税金及不可预见费等一切相关费用。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2、付款方式</w:t>
      </w:r>
    </w:p>
    <w:p>
      <w:pPr>
        <w:numPr>
          <w:ilvl w:val="0"/>
          <w:numId w:val="40"/>
        </w:numPr>
        <w:spacing w:line="360" w:lineRule="auto"/>
        <w:ind w:left="0" w:leftChars="0" w:firstLine="480" w:firstLineChars="200"/>
        <w:rPr>
          <w:rFonts w:hint="eastAsia" w:eastAsia="宋体" w:cs="宋体"/>
          <w:color w:val="auto"/>
          <w:sz w:val="24"/>
          <w:highlight w:val="none"/>
          <w:lang w:val="en-US" w:eastAsia="zh-Hans"/>
        </w:rPr>
      </w:pPr>
      <w:r>
        <w:rPr>
          <w:rFonts w:hint="eastAsia" w:eastAsia="宋体" w:cs="宋体"/>
          <w:color w:val="auto"/>
          <w:sz w:val="24"/>
          <w:highlight w:val="none"/>
          <w:lang w:val="en-US" w:eastAsia="zh-Hans"/>
        </w:rPr>
        <w:t>签订合同后15日内支付合同价的50%；</w:t>
      </w:r>
    </w:p>
    <w:p>
      <w:pPr>
        <w:numPr>
          <w:ilvl w:val="0"/>
          <w:numId w:val="40"/>
        </w:numPr>
        <w:spacing w:line="360" w:lineRule="auto"/>
        <w:ind w:left="0" w:leftChars="0" w:firstLine="480" w:firstLineChars="200"/>
        <w:rPr>
          <w:rFonts w:hint="eastAsia" w:eastAsia="宋体" w:cs="宋体"/>
          <w:color w:val="auto"/>
          <w:sz w:val="24"/>
          <w:highlight w:val="none"/>
          <w:lang w:val="en-US" w:eastAsia="zh-Hans"/>
        </w:rPr>
      </w:pPr>
      <w:r>
        <w:rPr>
          <w:rFonts w:hint="eastAsia" w:eastAsia="宋体" w:cs="宋体"/>
          <w:color w:val="auto"/>
          <w:sz w:val="24"/>
          <w:highlight w:val="none"/>
          <w:lang w:val="en-US" w:eastAsia="zh-Hans"/>
        </w:rPr>
        <w:t>完成2场城市选拔赛后15日内支付合同价的15%；</w:t>
      </w:r>
    </w:p>
    <w:p>
      <w:pPr>
        <w:numPr>
          <w:ilvl w:val="0"/>
          <w:numId w:val="40"/>
        </w:numPr>
        <w:spacing w:line="360" w:lineRule="auto"/>
        <w:ind w:left="0" w:leftChars="0" w:firstLine="480" w:firstLineChars="200"/>
        <w:rPr>
          <w:rFonts w:hint="eastAsia" w:eastAsia="宋体" w:cs="宋体"/>
          <w:color w:val="auto"/>
          <w:sz w:val="24"/>
          <w:highlight w:val="none"/>
          <w:lang w:val="en-US" w:eastAsia="zh-Hans"/>
        </w:rPr>
      </w:pPr>
      <w:r>
        <w:rPr>
          <w:rFonts w:hint="eastAsia" w:eastAsia="宋体" w:cs="宋体"/>
          <w:color w:val="auto"/>
          <w:sz w:val="24"/>
          <w:highlight w:val="none"/>
          <w:lang w:val="en-US" w:eastAsia="zh-Hans"/>
        </w:rPr>
        <w:t>完成第3场城市选拔赛、1场远程视频赛后15日内支付合同价的15%；</w:t>
      </w:r>
    </w:p>
    <w:p>
      <w:pPr>
        <w:numPr>
          <w:ilvl w:val="0"/>
          <w:numId w:val="40"/>
        </w:numPr>
        <w:spacing w:line="360" w:lineRule="auto"/>
        <w:ind w:left="0" w:leftChars="0" w:firstLine="480" w:firstLineChars="200"/>
        <w:rPr>
          <w:rFonts w:hint="eastAsia" w:eastAsia="宋体" w:cs="宋体"/>
          <w:color w:val="auto"/>
          <w:sz w:val="24"/>
          <w:highlight w:val="none"/>
          <w:lang w:val="en-US" w:eastAsia="zh-Hans"/>
        </w:rPr>
      </w:pPr>
      <w:r>
        <w:rPr>
          <w:rFonts w:hint="eastAsia" w:eastAsia="宋体" w:cs="宋体"/>
          <w:color w:val="auto"/>
          <w:sz w:val="24"/>
          <w:highlight w:val="none"/>
          <w:lang w:val="en-US" w:eastAsia="zh-Hans"/>
        </w:rPr>
        <w:t>完成总决赛后15日内支付合同价的15%；</w:t>
      </w:r>
    </w:p>
    <w:p>
      <w:pPr>
        <w:numPr>
          <w:ilvl w:val="0"/>
          <w:numId w:val="40"/>
        </w:numPr>
        <w:spacing w:line="360" w:lineRule="auto"/>
        <w:ind w:left="0" w:leftChars="0" w:firstLine="480" w:firstLineChars="200"/>
        <w:rPr>
          <w:rFonts w:hint="eastAsia" w:eastAsia="宋体" w:cs="宋体"/>
          <w:color w:val="auto"/>
          <w:sz w:val="24"/>
          <w:highlight w:val="none"/>
          <w:lang w:val="en-US" w:eastAsia="zh-Hans"/>
        </w:rPr>
      </w:pPr>
      <w:r>
        <w:rPr>
          <w:rFonts w:hint="eastAsia" w:eastAsia="宋体" w:cs="宋体"/>
          <w:color w:val="auto"/>
          <w:sz w:val="24"/>
          <w:highlight w:val="none"/>
          <w:lang w:val="en-US" w:eastAsia="zh-Hans"/>
        </w:rPr>
        <w:t>每完成1个项目团队落地上虞后15日内支付合同价的1%，最高不超过合同价的5%（创业项目落地标准为落地项目满足人才资助政策首期资金拨付条件，视为完成落地考核）。</w:t>
      </w:r>
    </w:p>
    <w:p>
      <w:pPr>
        <w:spacing w:line="360" w:lineRule="auto"/>
        <w:ind w:left="479" w:leftChars="228" w:firstLine="0" w:firstLineChars="0"/>
        <w:rPr>
          <w:rFonts w:hint="default" w:eastAsia="宋体"/>
          <w:b/>
          <w:bCs/>
          <w:color w:val="auto"/>
          <w:sz w:val="24"/>
          <w:highlight w:val="none"/>
          <w:lang w:val="en-US" w:eastAsia="zh-CN"/>
        </w:rPr>
      </w:pPr>
      <w:r>
        <w:rPr>
          <w:rFonts w:hint="eastAsia" w:eastAsia="宋体"/>
          <w:b/>
          <w:bCs/>
          <w:color w:val="auto"/>
          <w:sz w:val="24"/>
          <w:highlight w:val="none"/>
          <w:lang w:val="en-US" w:eastAsia="zh-CN"/>
        </w:rPr>
        <w:t>九、履约保证金</w:t>
      </w:r>
    </w:p>
    <w:p>
      <w:pPr>
        <w:spacing w:line="360" w:lineRule="auto"/>
        <w:ind w:firstLine="480" w:firstLineChars="200"/>
        <w:rPr>
          <w:rFonts w:hint="eastAsia" w:eastAsia="宋体" w:cs="宋体"/>
          <w:color w:val="auto"/>
          <w:sz w:val="24"/>
          <w:highlight w:val="none"/>
          <w:lang w:val="en-US" w:eastAsia="zh-Hans"/>
        </w:rPr>
      </w:pPr>
      <w:r>
        <w:rPr>
          <w:rFonts w:hint="eastAsia" w:eastAsia="宋体" w:cs="宋体"/>
          <w:color w:val="auto"/>
          <w:sz w:val="24"/>
          <w:highlight w:val="none"/>
          <w:lang w:val="en-US" w:eastAsia="zh-CN"/>
        </w:rPr>
        <w:t>乙方</w:t>
      </w:r>
      <w:r>
        <w:rPr>
          <w:rFonts w:hint="eastAsia" w:eastAsia="宋体" w:cs="宋体"/>
          <w:color w:val="auto"/>
          <w:sz w:val="24"/>
          <w:highlight w:val="none"/>
          <w:lang w:val="en-US" w:eastAsia="zh-Hans"/>
        </w:rPr>
        <w:t>在收到中标通知书后，需向</w:t>
      </w:r>
      <w:r>
        <w:rPr>
          <w:rFonts w:hint="eastAsia" w:eastAsia="宋体" w:cs="宋体"/>
          <w:color w:val="auto"/>
          <w:sz w:val="24"/>
          <w:highlight w:val="none"/>
          <w:lang w:val="en-US" w:eastAsia="zh-CN"/>
        </w:rPr>
        <w:t>甲方</w:t>
      </w:r>
      <w:r>
        <w:rPr>
          <w:rFonts w:hint="eastAsia" w:eastAsia="宋体" w:cs="宋体"/>
          <w:color w:val="auto"/>
          <w:sz w:val="24"/>
          <w:highlight w:val="none"/>
          <w:lang w:val="en-US" w:eastAsia="zh-Hans"/>
        </w:rPr>
        <w:t>提供合同总价</w:t>
      </w:r>
      <w:r>
        <w:rPr>
          <w:rFonts w:hint="eastAsia" w:eastAsia="宋体" w:cs="宋体"/>
          <w:color w:val="auto"/>
          <w:sz w:val="24"/>
          <w:highlight w:val="none"/>
          <w:u w:val="single"/>
          <w:lang w:val="en-US" w:eastAsia="zh-Hans"/>
        </w:rPr>
        <w:t xml:space="preserve"> 1　</w:t>
      </w:r>
      <w:r>
        <w:rPr>
          <w:rFonts w:hint="eastAsia" w:eastAsia="宋体" w:cs="宋体"/>
          <w:color w:val="auto"/>
          <w:sz w:val="24"/>
          <w:highlight w:val="none"/>
          <w:lang w:val="en-US" w:eastAsia="zh-Hans"/>
        </w:rPr>
        <w:t>%的履约保证金，在签订合同前递交。履约保证金在合同期满后第一个月一次性无息退还。</w:t>
      </w:r>
    </w:p>
    <w:p>
      <w:pPr>
        <w:spacing w:line="360" w:lineRule="auto"/>
        <w:ind w:left="479" w:leftChars="228" w:firstLine="0" w:firstLineChars="0"/>
        <w:rPr>
          <w:rFonts w:hint="eastAsia" w:eastAsia="宋体"/>
          <w:b/>
          <w:bCs/>
          <w:color w:val="auto"/>
          <w:sz w:val="24"/>
          <w:highlight w:val="none"/>
          <w:lang w:val="en-US" w:eastAsia="zh-CN"/>
        </w:rPr>
      </w:pPr>
      <w:r>
        <w:rPr>
          <w:rFonts w:hint="eastAsia" w:eastAsia="宋体"/>
          <w:b/>
          <w:bCs/>
          <w:color w:val="auto"/>
          <w:sz w:val="24"/>
          <w:highlight w:val="none"/>
          <w:lang w:val="en-US" w:eastAsia="zh-CN"/>
        </w:rPr>
        <w:t>十、甲方权利与义务</w:t>
      </w:r>
    </w:p>
    <w:p>
      <w:pPr>
        <w:keepNext w:val="0"/>
        <w:keepLines w:val="0"/>
        <w:pageBreakBefore w:val="0"/>
        <w:widowControl w:val="0"/>
        <w:numPr>
          <w:ilvl w:val="0"/>
          <w:numId w:val="41"/>
        </w:numPr>
        <w:kinsoku/>
        <w:wordWrap/>
        <w:overflowPunct/>
        <w:topLinePunct w:val="0"/>
        <w:bidi w:val="0"/>
        <w:spacing w:line="360" w:lineRule="auto"/>
        <w:ind w:firstLine="480" w:firstLineChars="200"/>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甲方有权对乙方的合同履约和实施情况、质量、效果进行全面的技术指导、检查、管理和监督，对发现的问题及时向乙方提出书面或口头改进意见，并限期予以整改。</w:t>
      </w:r>
    </w:p>
    <w:p>
      <w:pPr>
        <w:keepNext w:val="0"/>
        <w:keepLines w:val="0"/>
        <w:pageBreakBefore w:val="0"/>
        <w:widowControl w:val="0"/>
        <w:numPr>
          <w:ilvl w:val="0"/>
          <w:numId w:val="41"/>
        </w:numPr>
        <w:kinsoku/>
        <w:wordWrap/>
        <w:overflowPunct/>
        <w:topLinePunct w:val="0"/>
        <w:bidi w:val="0"/>
        <w:spacing w:line="360" w:lineRule="auto"/>
        <w:ind w:firstLine="480" w:firstLineChars="200"/>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甲方有权对乙方不履行合同义务及其承诺的行为进行合同款项扣罚及经济处罚，情节严重或严重影响活动筹备进程的，乙方应赔偿甲方相应的损失。</w:t>
      </w:r>
    </w:p>
    <w:p>
      <w:pPr>
        <w:keepNext w:val="0"/>
        <w:keepLines w:val="0"/>
        <w:pageBreakBefore w:val="0"/>
        <w:widowControl w:val="0"/>
        <w:numPr>
          <w:ilvl w:val="0"/>
          <w:numId w:val="41"/>
        </w:numPr>
        <w:kinsoku/>
        <w:wordWrap/>
        <w:overflowPunct/>
        <w:topLinePunct w:val="0"/>
        <w:bidi w:val="0"/>
        <w:spacing w:line="360" w:lineRule="auto"/>
        <w:ind w:firstLine="480" w:firstLineChars="200"/>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甲方应按时向乙方支付合同款项，如出现有合同款项扣罚或经济处罚的情况，将在扣罚相关金额后进行余额的支付。</w:t>
      </w:r>
    </w:p>
    <w:p>
      <w:pPr>
        <w:keepNext w:val="0"/>
        <w:keepLines w:val="0"/>
        <w:pageBreakBefore w:val="0"/>
        <w:widowControl w:val="0"/>
        <w:numPr>
          <w:ilvl w:val="0"/>
          <w:numId w:val="41"/>
        </w:numPr>
        <w:kinsoku/>
        <w:wordWrap/>
        <w:overflowPunct/>
        <w:topLinePunct w:val="0"/>
        <w:bidi w:val="0"/>
        <w:spacing w:line="360" w:lineRule="auto"/>
        <w:ind w:firstLine="480" w:firstLineChars="200"/>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甲方需积极协助配合乙方开展相关工作，协助乙方解决问题、使之顺利开展工作。</w:t>
      </w:r>
    </w:p>
    <w:p>
      <w:pPr>
        <w:keepNext w:val="0"/>
        <w:keepLines w:val="0"/>
        <w:pageBreakBefore w:val="0"/>
        <w:widowControl w:val="0"/>
        <w:numPr>
          <w:ilvl w:val="0"/>
          <w:numId w:val="41"/>
        </w:numPr>
        <w:kinsoku/>
        <w:wordWrap/>
        <w:overflowPunct/>
        <w:topLinePunct w:val="0"/>
        <w:bidi w:val="0"/>
        <w:spacing w:line="360" w:lineRule="auto"/>
        <w:ind w:firstLine="480" w:firstLineChars="200"/>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甲方可要求乙方调整不合格项目组成员及员工，并在要求的时间内及时调整到位</w:t>
      </w:r>
      <w:r>
        <w:rPr>
          <w:rFonts w:hint="eastAsia" w:ascii="宋体" w:hAnsi="宋体" w:cs="宋体"/>
          <w:color w:val="auto"/>
          <w:sz w:val="24"/>
          <w:szCs w:val="22"/>
          <w:highlight w:val="none"/>
          <w:lang w:eastAsia="zh-CN"/>
        </w:rPr>
        <w:t>。</w:t>
      </w:r>
    </w:p>
    <w:p>
      <w:pPr>
        <w:keepNext w:val="0"/>
        <w:keepLines w:val="0"/>
        <w:pageBreakBefore w:val="0"/>
        <w:widowControl w:val="0"/>
        <w:numPr>
          <w:ilvl w:val="0"/>
          <w:numId w:val="41"/>
        </w:numPr>
        <w:kinsoku/>
        <w:wordWrap/>
        <w:overflowPunct/>
        <w:topLinePunct w:val="0"/>
        <w:bidi w:val="0"/>
        <w:spacing w:line="360" w:lineRule="auto"/>
        <w:ind w:firstLine="480" w:firstLineChars="200"/>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因不可抗力因素影响大赛正常进行的，</w:t>
      </w:r>
      <w:r>
        <w:rPr>
          <w:rFonts w:hint="eastAsia" w:ascii="宋体" w:hAnsi="宋体" w:cs="宋体"/>
          <w:color w:val="auto"/>
          <w:sz w:val="24"/>
          <w:szCs w:val="22"/>
          <w:highlight w:val="none"/>
          <w:lang w:val="en-US" w:eastAsia="zh-CN"/>
        </w:rPr>
        <w:t>甲</w:t>
      </w:r>
      <w:r>
        <w:rPr>
          <w:rFonts w:hint="eastAsia" w:ascii="宋体" w:hAnsi="宋体" w:cs="宋体"/>
          <w:color w:val="auto"/>
          <w:sz w:val="24"/>
          <w:szCs w:val="22"/>
          <w:highlight w:val="none"/>
        </w:rPr>
        <w:t>方有权对赛程作相应调整或终止比赛。</w:t>
      </w:r>
    </w:p>
    <w:p>
      <w:pPr>
        <w:spacing w:line="360" w:lineRule="auto"/>
        <w:ind w:left="479" w:leftChars="228" w:firstLine="0" w:firstLineChars="0"/>
        <w:rPr>
          <w:rFonts w:hint="eastAsia" w:eastAsia="宋体"/>
          <w:b/>
          <w:bCs/>
          <w:color w:val="auto"/>
          <w:sz w:val="24"/>
          <w:highlight w:val="none"/>
          <w:lang w:val="en-US" w:eastAsia="zh-CN"/>
        </w:rPr>
      </w:pPr>
      <w:r>
        <w:rPr>
          <w:rFonts w:hint="eastAsia" w:eastAsia="宋体"/>
          <w:b/>
          <w:bCs/>
          <w:color w:val="auto"/>
          <w:sz w:val="24"/>
          <w:highlight w:val="none"/>
          <w:lang w:val="en-US" w:eastAsia="zh-CN"/>
        </w:rPr>
        <w:t>十一、乙方权利与义务</w:t>
      </w:r>
    </w:p>
    <w:p>
      <w:pPr>
        <w:keepNext w:val="0"/>
        <w:keepLines w:val="0"/>
        <w:pageBreakBefore w:val="0"/>
        <w:widowControl w:val="0"/>
        <w:numPr>
          <w:ilvl w:val="0"/>
          <w:numId w:val="42"/>
        </w:numPr>
        <w:kinsoku/>
        <w:wordWrap/>
        <w:overflowPunct/>
        <w:topLinePunct w:val="0"/>
        <w:bidi w:val="0"/>
        <w:spacing w:line="360" w:lineRule="auto"/>
        <w:ind w:firstLine="480" w:firstLineChars="200"/>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乙方有权根据本合同约定获得合同款项、活动商业运作和市场开发收益。</w:t>
      </w:r>
    </w:p>
    <w:p>
      <w:pPr>
        <w:keepNext w:val="0"/>
        <w:keepLines w:val="0"/>
        <w:pageBreakBefore w:val="0"/>
        <w:widowControl w:val="0"/>
        <w:numPr>
          <w:ilvl w:val="0"/>
          <w:numId w:val="42"/>
        </w:numPr>
        <w:kinsoku/>
        <w:wordWrap/>
        <w:overflowPunct/>
        <w:topLinePunct w:val="0"/>
        <w:bidi w:val="0"/>
        <w:spacing w:line="360" w:lineRule="auto"/>
        <w:ind w:firstLine="480" w:firstLineChars="200"/>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乙方应全面、高效、优质的履行合同约定的各项要求（包括</w:t>
      </w:r>
      <w:r>
        <w:rPr>
          <w:rFonts w:hint="eastAsia" w:ascii="宋体" w:hAnsi="宋体" w:cs="宋体"/>
          <w:color w:val="auto"/>
          <w:sz w:val="24"/>
          <w:szCs w:val="22"/>
          <w:highlight w:val="none"/>
          <w:lang w:val="en-US" w:eastAsia="zh-CN"/>
        </w:rPr>
        <w:t>招标</w:t>
      </w:r>
      <w:r>
        <w:rPr>
          <w:rFonts w:hint="eastAsia" w:ascii="宋体" w:hAnsi="宋体" w:cs="宋体"/>
          <w:color w:val="auto"/>
          <w:sz w:val="24"/>
          <w:szCs w:val="22"/>
          <w:highlight w:val="none"/>
        </w:rPr>
        <w:t>文件的要求及履约过程中甲方交待的事项）以及己方承诺的义务（包括</w:t>
      </w:r>
      <w:r>
        <w:rPr>
          <w:rFonts w:hint="eastAsia" w:ascii="宋体" w:hAnsi="宋体" w:cs="宋体"/>
          <w:color w:val="auto"/>
          <w:sz w:val="24"/>
          <w:szCs w:val="22"/>
          <w:highlight w:val="none"/>
          <w:lang w:eastAsia="zh-CN"/>
        </w:rPr>
        <w:t>招标</w:t>
      </w:r>
      <w:r>
        <w:rPr>
          <w:rFonts w:hint="eastAsia" w:ascii="宋体" w:hAnsi="宋体" w:cs="宋体"/>
          <w:color w:val="auto"/>
          <w:sz w:val="24"/>
          <w:szCs w:val="22"/>
          <w:highlight w:val="none"/>
        </w:rPr>
        <w:t>响应文件的承诺）。</w:t>
      </w:r>
    </w:p>
    <w:p>
      <w:pPr>
        <w:keepNext w:val="0"/>
        <w:keepLines w:val="0"/>
        <w:pageBreakBefore w:val="0"/>
        <w:widowControl w:val="0"/>
        <w:numPr>
          <w:ilvl w:val="0"/>
          <w:numId w:val="42"/>
        </w:numPr>
        <w:kinsoku/>
        <w:wordWrap/>
        <w:overflowPunct/>
        <w:topLinePunct w:val="0"/>
        <w:bidi w:val="0"/>
        <w:spacing w:line="360" w:lineRule="auto"/>
        <w:ind w:firstLine="480" w:firstLineChars="200"/>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乙方应按甲方的要求开展工作，如在合同履约过程中出现计划或方案变更情况时，应及时向甲方提出，并在征得甲方的同意后方可实施。</w:t>
      </w:r>
    </w:p>
    <w:p>
      <w:pPr>
        <w:keepNext w:val="0"/>
        <w:keepLines w:val="0"/>
        <w:pageBreakBefore w:val="0"/>
        <w:widowControl w:val="0"/>
        <w:numPr>
          <w:ilvl w:val="0"/>
          <w:numId w:val="42"/>
        </w:numPr>
        <w:kinsoku/>
        <w:wordWrap/>
        <w:overflowPunct/>
        <w:topLinePunct w:val="0"/>
        <w:bidi w:val="0"/>
        <w:spacing w:line="360" w:lineRule="auto"/>
        <w:ind w:firstLine="480" w:firstLineChars="200"/>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乙方应按照甲方的要求，合理确定各项目组的工作人员，全程参与组委会各工作机构的工作，积极配合活动保障工作有关职能部门，做好活动的各项筹备和保障工作，确保活动安全、成功举办。</w:t>
      </w:r>
    </w:p>
    <w:p>
      <w:pPr>
        <w:keepNext w:val="0"/>
        <w:keepLines w:val="0"/>
        <w:pageBreakBefore w:val="0"/>
        <w:widowControl w:val="0"/>
        <w:numPr>
          <w:ilvl w:val="0"/>
          <w:numId w:val="42"/>
        </w:numPr>
        <w:kinsoku/>
        <w:wordWrap/>
        <w:overflowPunct/>
        <w:topLinePunct w:val="0"/>
        <w:bidi w:val="0"/>
        <w:spacing w:line="360" w:lineRule="auto"/>
        <w:ind w:firstLine="480" w:firstLineChars="200"/>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乙方应接受甲方的管理、监督、检查及指导，在项目实施过程中出现问题应及时的纠正并向甲方进行通报。</w:t>
      </w:r>
    </w:p>
    <w:p>
      <w:pPr>
        <w:keepNext w:val="0"/>
        <w:keepLines w:val="0"/>
        <w:pageBreakBefore w:val="0"/>
        <w:widowControl w:val="0"/>
        <w:numPr>
          <w:ilvl w:val="0"/>
          <w:numId w:val="42"/>
        </w:numPr>
        <w:kinsoku/>
        <w:wordWrap/>
        <w:overflowPunct/>
        <w:topLinePunct w:val="0"/>
        <w:bidi w:val="0"/>
        <w:spacing w:line="360" w:lineRule="auto"/>
        <w:ind w:firstLine="480" w:firstLineChars="200"/>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乙方应维护甲方的声誉和利益，服从甲方的统一安排。</w:t>
      </w:r>
    </w:p>
    <w:p>
      <w:pPr>
        <w:keepNext w:val="0"/>
        <w:keepLines w:val="0"/>
        <w:pageBreakBefore w:val="0"/>
        <w:widowControl w:val="0"/>
        <w:numPr>
          <w:ilvl w:val="0"/>
          <w:numId w:val="42"/>
        </w:numPr>
        <w:kinsoku/>
        <w:wordWrap/>
        <w:overflowPunct/>
        <w:topLinePunct w:val="0"/>
        <w:bidi w:val="0"/>
        <w:spacing w:line="360" w:lineRule="auto"/>
        <w:ind w:firstLine="480" w:firstLineChars="200"/>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甲方不承担乙方在合同履行过程中因其责任引起的一切事故、法律纠纷和经济责任，乙方须自行负责并处理合同履行过程中与第三方发生的所有事故、法律纠纷及一切费用。</w:t>
      </w:r>
    </w:p>
    <w:p>
      <w:pPr>
        <w:keepNext w:val="0"/>
        <w:keepLines w:val="0"/>
        <w:pageBreakBefore w:val="0"/>
        <w:widowControl w:val="0"/>
        <w:numPr>
          <w:ilvl w:val="0"/>
          <w:numId w:val="42"/>
        </w:numPr>
        <w:kinsoku/>
        <w:wordWrap/>
        <w:overflowPunct/>
        <w:topLinePunct w:val="0"/>
        <w:bidi w:val="0"/>
        <w:spacing w:line="360" w:lineRule="auto"/>
        <w:ind w:firstLine="480" w:firstLineChars="200"/>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乙方应严格遵守国家有关法律、法规，若有违反，由此造成的一切后果由乙方承担。乙方如因上述原因使合同性质发生改变，甲方不负赔偿责任。</w:t>
      </w:r>
    </w:p>
    <w:p>
      <w:pPr>
        <w:keepNext w:val="0"/>
        <w:keepLines w:val="0"/>
        <w:pageBreakBefore w:val="0"/>
        <w:widowControl w:val="0"/>
        <w:numPr>
          <w:ilvl w:val="0"/>
          <w:numId w:val="42"/>
        </w:numPr>
        <w:kinsoku/>
        <w:wordWrap/>
        <w:overflowPunct/>
        <w:topLinePunct w:val="0"/>
        <w:bidi w:val="0"/>
        <w:spacing w:line="360" w:lineRule="auto"/>
        <w:ind w:firstLine="480" w:firstLineChars="200"/>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乙方在制作、运输及安装施工过程中，应严格按照国家有关操作规程和施工规范进行作业。任何由乙方的原因造成的事故及赔偿均由乙方负责承担。</w:t>
      </w:r>
    </w:p>
    <w:p>
      <w:pPr>
        <w:keepNext w:val="0"/>
        <w:keepLines w:val="0"/>
        <w:pageBreakBefore w:val="0"/>
        <w:widowControl w:val="0"/>
        <w:numPr>
          <w:ilvl w:val="0"/>
          <w:numId w:val="42"/>
        </w:numPr>
        <w:kinsoku/>
        <w:wordWrap/>
        <w:overflowPunct/>
        <w:topLinePunct w:val="0"/>
        <w:bidi w:val="0"/>
        <w:spacing w:line="360" w:lineRule="auto"/>
        <w:ind w:firstLine="480" w:firstLineChars="200"/>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乙方应做好活动的各类资料的收集整理工作，活动结束后统一移交给甲方立卷、归档。</w:t>
      </w:r>
    </w:p>
    <w:p>
      <w:pPr>
        <w:spacing w:line="360" w:lineRule="auto"/>
        <w:ind w:left="479" w:leftChars="228" w:firstLine="0" w:firstLineChars="0"/>
        <w:rPr>
          <w:rFonts w:hint="eastAsia" w:eastAsia="宋体"/>
          <w:b/>
          <w:bCs/>
          <w:color w:val="auto"/>
          <w:sz w:val="24"/>
          <w:highlight w:val="none"/>
          <w:lang w:val="en-US" w:eastAsia="zh-CN"/>
        </w:rPr>
      </w:pPr>
      <w:r>
        <w:rPr>
          <w:rFonts w:hint="eastAsia" w:eastAsia="宋体"/>
          <w:b/>
          <w:bCs/>
          <w:color w:val="auto"/>
          <w:sz w:val="24"/>
          <w:highlight w:val="none"/>
          <w:lang w:val="en-US" w:eastAsia="zh-CN"/>
        </w:rPr>
        <w:t>十二、违约责任</w:t>
      </w:r>
    </w:p>
    <w:p>
      <w:pPr>
        <w:pStyle w:val="3"/>
        <w:keepNext w:val="0"/>
        <w:keepLines w:val="0"/>
        <w:pageBreakBefore w:val="0"/>
        <w:widowControl w:val="0"/>
        <w:kinsoku/>
        <w:wordWrap/>
        <w:overflowPunct/>
        <w:topLinePunct w:val="0"/>
        <w:bidi w:val="0"/>
        <w:spacing w:line="360" w:lineRule="auto"/>
        <w:ind w:firstLine="456" w:firstLineChars="19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1、在项目实施过程中，因乙方原因导致活动过程出现问题，严重影响活动效果的，</w:t>
      </w:r>
      <w:r>
        <w:rPr>
          <w:rFonts w:hint="eastAsia" w:ascii="宋体" w:hAnsi="宋体" w:cs="宋体"/>
          <w:color w:val="auto"/>
          <w:sz w:val="24"/>
          <w:szCs w:val="22"/>
          <w:highlight w:val="none"/>
        </w:rPr>
        <w:t>乙方应赔偿甲方相应的损失</w:t>
      </w:r>
      <w:r>
        <w:rPr>
          <w:rFonts w:hint="eastAsia" w:ascii="宋体" w:hAnsi="宋体" w:cs="宋体"/>
          <w:color w:val="auto"/>
          <w:sz w:val="24"/>
          <w:szCs w:val="24"/>
          <w:highlight w:val="none"/>
        </w:rPr>
        <w:t>；</w:t>
      </w:r>
    </w:p>
    <w:p>
      <w:pPr>
        <w:keepNext w:val="0"/>
        <w:keepLines w:val="0"/>
        <w:pageBreakBefore w:val="0"/>
        <w:widowControl w:val="0"/>
        <w:kinsoku/>
        <w:wordWrap/>
        <w:overflowPunct/>
        <w:topLinePunct w:val="0"/>
        <w:bidi w:val="0"/>
        <w:spacing w:line="360" w:lineRule="auto"/>
        <w:ind w:firstLine="48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2、乙方需按投标时承诺的活动项目，如因客观原因必须更换，更换写应向甲方递请更换申请，经甲方同意后方可更换；</w:t>
      </w:r>
    </w:p>
    <w:p>
      <w:pPr>
        <w:pStyle w:val="3"/>
        <w:keepNext w:val="0"/>
        <w:keepLines w:val="0"/>
        <w:pageBreakBefore w:val="0"/>
        <w:widowControl w:val="0"/>
        <w:kinsoku/>
        <w:wordWrap/>
        <w:overflowPunct/>
        <w:topLinePunct w:val="0"/>
        <w:bidi w:val="0"/>
        <w:spacing w:line="360" w:lineRule="auto"/>
        <w:ind w:firstLine="456" w:firstLineChars="19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、乙方未能履行本合同约定，造成甲方直接经济损失的，经相关部门认定后，乙方须承担赔偿责任；</w:t>
      </w:r>
    </w:p>
    <w:p>
      <w:pPr>
        <w:pStyle w:val="3"/>
        <w:keepNext w:val="0"/>
        <w:keepLines w:val="0"/>
        <w:pageBreakBefore w:val="0"/>
        <w:widowControl w:val="0"/>
        <w:kinsoku/>
        <w:wordWrap/>
        <w:overflowPunct/>
        <w:topLinePunct w:val="0"/>
        <w:bidi w:val="0"/>
        <w:spacing w:line="360" w:lineRule="auto"/>
        <w:ind w:firstLine="456" w:firstLineChars="19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、若给甲方工作造成严重影响的，甲方有权提前终止合同，由此给甲方带来经济损失的，乙方须承担相应的经济赔偿责任。</w:t>
      </w:r>
    </w:p>
    <w:p>
      <w:pPr>
        <w:keepNext w:val="0"/>
        <w:keepLines w:val="0"/>
        <w:pageBreakBefore w:val="0"/>
        <w:widowControl w:val="0"/>
        <w:numPr>
          <w:ilvl w:val="0"/>
          <w:numId w:val="0"/>
        </w:numPr>
        <w:kinsoku/>
        <w:wordWrap/>
        <w:overflowPunct/>
        <w:topLinePunct w:val="0"/>
        <w:bidi w:val="0"/>
        <w:spacing w:line="360" w:lineRule="auto"/>
        <w:ind w:firstLine="482" w:firstLineChars="200"/>
        <w:textAlignment w:val="auto"/>
        <w:rPr>
          <w:rFonts w:hint="default"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十三、其他</w:t>
      </w:r>
    </w:p>
    <w:p>
      <w:pPr>
        <w:keepNext w:val="0"/>
        <w:keepLines w:val="0"/>
        <w:pageBreakBefore w:val="0"/>
        <w:widowControl w:val="0"/>
        <w:numPr>
          <w:ilvl w:val="0"/>
          <w:numId w:val="0"/>
        </w:numPr>
        <w:kinsoku/>
        <w:wordWrap/>
        <w:overflowPunct/>
        <w:topLinePunct w:val="0"/>
        <w:bidi w:val="0"/>
        <w:spacing w:line="360" w:lineRule="auto"/>
        <w:ind w:firstLine="480" w:firstLineChars="200"/>
        <w:textAlignment w:val="auto"/>
        <w:rPr>
          <w:rFonts w:hint="eastAsia" w:ascii="宋体" w:hAnsi="宋体" w:cs="宋体"/>
          <w:color w:val="auto"/>
          <w:sz w:val="24"/>
          <w:szCs w:val="21"/>
          <w:highlight w:val="none"/>
        </w:rPr>
      </w:pPr>
      <w:r>
        <w:rPr>
          <w:rFonts w:hint="eastAsia" w:ascii="宋体" w:hAnsi="宋体" w:cs="宋体"/>
          <w:color w:val="auto"/>
          <w:sz w:val="24"/>
          <w:szCs w:val="21"/>
          <w:highlight w:val="none"/>
          <w:lang w:val="en-US" w:eastAsia="zh-CN"/>
        </w:rPr>
        <w:t>1、</w:t>
      </w:r>
      <w:r>
        <w:rPr>
          <w:rFonts w:hint="eastAsia" w:ascii="宋体" w:hAnsi="宋体" w:cs="宋体"/>
          <w:color w:val="auto"/>
          <w:sz w:val="24"/>
          <w:szCs w:val="21"/>
          <w:highlight w:val="none"/>
        </w:rPr>
        <w:t>本合同执行过程中的未尽事宜，双方应本着实事求是友好协商的态度加以解决。双方协商一致的，签订补充协议。补充协议与本合同具有同等效力。</w:t>
      </w:r>
    </w:p>
    <w:p>
      <w:pPr>
        <w:keepNext w:val="0"/>
        <w:keepLines w:val="0"/>
        <w:pageBreakBefore w:val="0"/>
        <w:widowControl w:val="0"/>
        <w:kinsoku/>
        <w:wordWrap/>
        <w:overflowPunct/>
        <w:topLinePunct w:val="0"/>
        <w:bidi w:val="0"/>
        <w:spacing w:line="360" w:lineRule="auto"/>
        <w:ind w:firstLine="481"/>
        <w:textAlignment w:val="auto"/>
        <w:rPr>
          <w:rFonts w:hint="eastAsia" w:ascii="宋体" w:hAnsi="宋体" w:cs="宋体"/>
          <w:color w:val="auto"/>
          <w:sz w:val="24"/>
          <w:szCs w:val="21"/>
          <w:highlight w:val="none"/>
        </w:rPr>
      </w:pPr>
      <w:r>
        <w:rPr>
          <w:rFonts w:hint="eastAsia" w:ascii="宋体" w:hAnsi="宋体" w:cs="宋体"/>
          <w:color w:val="auto"/>
          <w:sz w:val="24"/>
          <w:szCs w:val="21"/>
          <w:highlight w:val="none"/>
          <w:lang w:val="en-US" w:eastAsia="zh-CN"/>
        </w:rPr>
        <w:t>2</w:t>
      </w:r>
      <w:r>
        <w:rPr>
          <w:rFonts w:hint="eastAsia" w:ascii="宋体" w:hAnsi="宋体" w:cs="宋体"/>
          <w:color w:val="auto"/>
          <w:sz w:val="24"/>
          <w:szCs w:val="21"/>
          <w:highlight w:val="none"/>
        </w:rPr>
        <w:t>、由于不可抗力，致使合同无法履行时，双方应按有关法律规定及时协商处理。</w:t>
      </w:r>
    </w:p>
    <w:p>
      <w:pPr>
        <w:keepNext w:val="0"/>
        <w:keepLines w:val="0"/>
        <w:pageBreakBefore w:val="0"/>
        <w:widowControl w:val="0"/>
        <w:kinsoku/>
        <w:wordWrap/>
        <w:overflowPunct/>
        <w:topLinePunct w:val="0"/>
        <w:bidi w:val="0"/>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szCs w:val="21"/>
          <w:highlight w:val="none"/>
          <w:lang w:val="en-US" w:eastAsia="zh-CN"/>
        </w:rPr>
        <w:t>3</w:t>
      </w:r>
      <w:r>
        <w:rPr>
          <w:rFonts w:hint="eastAsia" w:ascii="宋体" w:hAnsi="宋体" w:cs="宋体"/>
          <w:color w:val="auto"/>
          <w:sz w:val="24"/>
          <w:szCs w:val="21"/>
          <w:highlight w:val="none"/>
        </w:rPr>
        <w:t>、因合同执行过程中双方发生纠纷，可由双方协商解决或由双方主管部门调解，若达不成协议，双方同意就本合同产生的纠纷向仲裁委员会申请仲裁。当事人双方不在合同中约定仲裁机构的，事后又没有达成书面仲裁协议的，可向有管辖权的人民法院起诉</w:t>
      </w:r>
      <w:r>
        <w:rPr>
          <w:rFonts w:hint="eastAsia" w:ascii="宋体" w:hAnsi="宋体" w:cs="宋体"/>
          <w:color w:val="auto"/>
          <w:sz w:val="24"/>
          <w:highlight w:val="none"/>
        </w:rPr>
        <w:t>。</w:t>
      </w:r>
    </w:p>
    <w:p>
      <w:pPr>
        <w:keepNext w:val="0"/>
        <w:keepLines w:val="0"/>
        <w:pageBreakBefore w:val="0"/>
        <w:widowControl w:val="0"/>
        <w:numPr>
          <w:ilvl w:val="0"/>
          <w:numId w:val="0"/>
        </w:numPr>
        <w:kinsoku/>
        <w:wordWrap/>
        <w:overflowPunct/>
        <w:topLinePunct w:val="0"/>
        <w:bidi w:val="0"/>
        <w:spacing w:line="360" w:lineRule="auto"/>
        <w:ind w:firstLine="482" w:firstLineChars="200"/>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十四、附则</w:t>
      </w:r>
    </w:p>
    <w:p>
      <w:pPr>
        <w:keepNext w:val="0"/>
        <w:keepLines w:val="0"/>
        <w:pageBreakBefore w:val="0"/>
        <w:widowControl w:val="0"/>
        <w:kinsoku/>
        <w:wordWrap/>
        <w:overflowPunct/>
        <w:topLinePunct w:val="0"/>
        <w:bidi w:val="0"/>
        <w:spacing w:line="360" w:lineRule="auto"/>
        <w:ind w:firstLine="481"/>
        <w:textAlignment w:val="auto"/>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lang w:val="en-US" w:eastAsia="zh-CN"/>
        </w:rPr>
        <w:t>1、</w:t>
      </w:r>
      <w:r>
        <w:rPr>
          <w:rFonts w:hint="eastAsia" w:ascii="宋体" w:hAnsi="宋体" w:eastAsia="宋体" w:cs="宋体"/>
          <w:color w:val="auto"/>
          <w:sz w:val="24"/>
          <w:szCs w:val="21"/>
          <w:highlight w:val="none"/>
        </w:rPr>
        <w:t>本合同由双方代表签字，加盖双方公章或合同专用章即生效。全部</w:t>
      </w:r>
      <w:r>
        <w:rPr>
          <w:rFonts w:hint="eastAsia" w:ascii="宋体" w:hAnsi="宋体" w:eastAsia="宋体" w:cs="宋体"/>
          <w:color w:val="auto"/>
          <w:sz w:val="24"/>
          <w:szCs w:val="21"/>
          <w:highlight w:val="none"/>
          <w:lang w:val="en-US" w:eastAsia="zh-CN"/>
        </w:rPr>
        <w:t>活动结束</w:t>
      </w:r>
      <w:r>
        <w:rPr>
          <w:rFonts w:hint="eastAsia" w:ascii="宋体" w:hAnsi="宋体" w:eastAsia="宋体" w:cs="宋体"/>
          <w:color w:val="auto"/>
          <w:sz w:val="24"/>
          <w:szCs w:val="21"/>
          <w:highlight w:val="none"/>
        </w:rPr>
        <w:t>和服务费结算完成后，本合同终止。</w:t>
      </w:r>
    </w:p>
    <w:p>
      <w:pPr>
        <w:keepNext w:val="0"/>
        <w:keepLines w:val="0"/>
        <w:pageBreakBefore w:val="0"/>
        <w:widowControl w:val="0"/>
        <w:kinsoku/>
        <w:wordWrap/>
        <w:overflowPunct/>
        <w:topLinePunct w:val="0"/>
        <w:bidi w:val="0"/>
        <w:spacing w:line="360" w:lineRule="auto"/>
        <w:ind w:firstLine="481"/>
        <w:textAlignment w:val="auto"/>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lang w:val="en-US" w:eastAsia="zh-CN"/>
        </w:rPr>
        <w:t>2、本项目货物如涉及柴油动力移动源，柴油动力移动源应当符合低排放要求。</w:t>
      </w:r>
    </w:p>
    <w:p>
      <w:pPr>
        <w:spacing w:line="36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lang w:val="en-US" w:eastAsia="zh-CN"/>
        </w:rPr>
        <w:t>3、</w:t>
      </w:r>
      <w:r>
        <w:rPr>
          <w:rFonts w:hint="eastAsia" w:ascii="宋体" w:hAnsi="宋体" w:cs="宋体"/>
          <w:b/>
          <w:color w:val="auto"/>
          <w:kern w:val="0"/>
          <w:sz w:val="24"/>
          <w:highlight w:val="none"/>
        </w:rPr>
        <w:t>本合同一式</w:t>
      </w:r>
      <w:r>
        <w:rPr>
          <w:rFonts w:hint="eastAsia" w:ascii="宋体" w:hAnsi="宋体" w:cs="宋体"/>
          <w:b/>
          <w:color w:val="auto"/>
          <w:kern w:val="0"/>
          <w:sz w:val="24"/>
          <w:highlight w:val="none"/>
          <w:u w:val="single"/>
        </w:rPr>
        <w:t xml:space="preserve">　　　 </w:t>
      </w:r>
      <w:r>
        <w:rPr>
          <w:rFonts w:hint="eastAsia" w:ascii="宋体" w:hAnsi="宋体" w:cs="宋体"/>
          <w:b/>
          <w:color w:val="auto"/>
          <w:kern w:val="0"/>
          <w:sz w:val="24"/>
          <w:highlight w:val="none"/>
        </w:rPr>
        <w:t>份，其中正本两份，</w:t>
      </w:r>
      <w:r>
        <w:rPr>
          <w:rFonts w:hint="eastAsia" w:ascii="宋体" w:hAnsi="宋体" w:cs="宋体"/>
          <w:b/>
          <w:color w:val="auto"/>
          <w:kern w:val="0"/>
          <w:sz w:val="24"/>
          <w:highlight w:val="none"/>
          <w:lang w:eastAsia="zh-CN"/>
        </w:rPr>
        <w:t>甲方</w:t>
      </w:r>
      <w:r>
        <w:rPr>
          <w:rFonts w:hint="eastAsia" w:ascii="宋体" w:hAnsi="宋体" w:cs="宋体"/>
          <w:b/>
          <w:color w:val="auto"/>
          <w:kern w:val="0"/>
          <w:sz w:val="24"/>
          <w:highlight w:val="none"/>
        </w:rPr>
        <w:t>和</w:t>
      </w:r>
      <w:r>
        <w:rPr>
          <w:rFonts w:hint="eastAsia" w:ascii="宋体" w:hAnsi="宋体" w:cs="宋体"/>
          <w:b/>
          <w:color w:val="auto"/>
          <w:kern w:val="0"/>
          <w:sz w:val="24"/>
          <w:highlight w:val="none"/>
          <w:lang w:val="en-US" w:eastAsia="zh-CN"/>
        </w:rPr>
        <w:t>乙方</w:t>
      </w:r>
      <w:r>
        <w:rPr>
          <w:rFonts w:hint="eastAsia" w:ascii="宋体" w:hAnsi="宋体" w:cs="宋体"/>
          <w:b/>
          <w:color w:val="auto"/>
          <w:kern w:val="0"/>
          <w:sz w:val="24"/>
          <w:highlight w:val="none"/>
        </w:rPr>
        <w:t>各执一份，并由</w:t>
      </w:r>
      <w:r>
        <w:rPr>
          <w:rFonts w:hint="eastAsia" w:ascii="宋体" w:hAnsi="宋体" w:cs="宋体"/>
          <w:b/>
          <w:color w:val="auto"/>
          <w:kern w:val="0"/>
          <w:sz w:val="24"/>
          <w:highlight w:val="none"/>
          <w:lang w:eastAsia="zh-CN"/>
        </w:rPr>
        <w:t>甲方</w:t>
      </w:r>
      <w:r>
        <w:rPr>
          <w:rFonts w:hint="eastAsia" w:ascii="宋体" w:hAnsi="宋体" w:cs="宋体"/>
          <w:b/>
          <w:color w:val="auto"/>
          <w:kern w:val="0"/>
          <w:sz w:val="24"/>
          <w:highlight w:val="none"/>
        </w:rPr>
        <w:t>在30日内做好合同创建及备案。</w:t>
      </w:r>
    </w:p>
    <w:tbl>
      <w:tblPr>
        <w:tblStyle w:val="21"/>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noWrap/>
            <w:vAlign w:val="center"/>
          </w:tcPr>
          <w:p>
            <w:pPr>
              <w:snapToGrid w:val="0"/>
              <w:spacing w:line="360" w:lineRule="auto"/>
              <w:jc w:val="center"/>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甲方单位</w:t>
            </w:r>
          </w:p>
        </w:tc>
        <w:tc>
          <w:tcPr>
            <w:tcW w:w="2340" w:type="dxa"/>
            <w:noWrap/>
            <w:vAlign w:val="center"/>
          </w:tcPr>
          <w:p>
            <w:pPr>
              <w:snapToGrid w:val="0"/>
              <w:spacing w:line="360" w:lineRule="auto"/>
              <w:jc w:val="center"/>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（盖章）</w:t>
            </w:r>
          </w:p>
        </w:tc>
        <w:tc>
          <w:tcPr>
            <w:tcW w:w="1620" w:type="dxa"/>
            <w:noWrap/>
            <w:vAlign w:val="center"/>
          </w:tcPr>
          <w:p>
            <w:pPr>
              <w:snapToGrid w:val="0"/>
              <w:spacing w:line="360" w:lineRule="auto"/>
              <w:jc w:val="center"/>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乙方单位</w:t>
            </w:r>
          </w:p>
        </w:tc>
        <w:tc>
          <w:tcPr>
            <w:tcW w:w="2700" w:type="dxa"/>
            <w:noWrap/>
            <w:vAlign w:val="center"/>
          </w:tcPr>
          <w:p>
            <w:pPr>
              <w:snapToGrid w:val="0"/>
              <w:spacing w:line="360" w:lineRule="auto"/>
              <w:jc w:val="center"/>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noWrap/>
            <w:vAlign w:val="center"/>
          </w:tcPr>
          <w:p>
            <w:pPr>
              <w:snapToGrid w:val="0"/>
              <w:spacing w:line="360" w:lineRule="auto"/>
              <w:jc w:val="center"/>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代表签名</w:t>
            </w:r>
          </w:p>
        </w:tc>
        <w:tc>
          <w:tcPr>
            <w:tcW w:w="2340" w:type="dxa"/>
            <w:noWrap/>
            <w:vAlign w:val="center"/>
          </w:tcPr>
          <w:p>
            <w:pPr>
              <w:snapToGrid w:val="0"/>
              <w:spacing w:line="360" w:lineRule="auto"/>
              <w:jc w:val="center"/>
              <w:rPr>
                <w:rFonts w:ascii="宋体" w:hAnsi="宋体" w:cs="宋体"/>
                <w:snapToGrid w:val="0"/>
                <w:color w:val="auto"/>
                <w:kern w:val="0"/>
                <w:sz w:val="24"/>
                <w:highlight w:val="none"/>
              </w:rPr>
            </w:pPr>
          </w:p>
        </w:tc>
        <w:tc>
          <w:tcPr>
            <w:tcW w:w="1620" w:type="dxa"/>
            <w:noWrap/>
            <w:vAlign w:val="center"/>
          </w:tcPr>
          <w:p>
            <w:pPr>
              <w:snapToGrid w:val="0"/>
              <w:spacing w:line="360" w:lineRule="auto"/>
              <w:jc w:val="center"/>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代表签名</w:t>
            </w:r>
          </w:p>
        </w:tc>
        <w:tc>
          <w:tcPr>
            <w:tcW w:w="2700" w:type="dxa"/>
            <w:noWrap/>
            <w:vAlign w:val="center"/>
          </w:tcPr>
          <w:p>
            <w:pPr>
              <w:snapToGrid w:val="0"/>
              <w:spacing w:line="360" w:lineRule="auto"/>
              <w:jc w:val="center"/>
              <w:rPr>
                <w:rFonts w:ascii="宋体" w:hAnsi="宋体" w:cs="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noWrap/>
            <w:vAlign w:val="center"/>
          </w:tcPr>
          <w:p>
            <w:pPr>
              <w:snapToGrid w:val="0"/>
              <w:spacing w:line="360" w:lineRule="auto"/>
              <w:jc w:val="center"/>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地址</w:t>
            </w:r>
          </w:p>
        </w:tc>
        <w:tc>
          <w:tcPr>
            <w:tcW w:w="2340" w:type="dxa"/>
            <w:noWrap/>
            <w:vAlign w:val="center"/>
          </w:tcPr>
          <w:p>
            <w:pPr>
              <w:snapToGrid w:val="0"/>
              <w:spacing w:line="360" w:lineRule="auto"/>
              <w:jc w:val="center"/>
              <w:rPr>
                <w:rFonts w:ascii="宋体" w:hAnsi="宋体" w:cs="宋体"/>
                <w:snapToGrid w:val="0"/>
                <w:color w:val="auto"/>
                <w:kern w:val="0"/>
                <w:sz w:val="24"/>
                <w:highlight w:val="none"/>
              </w:rPr>
            </w:pPr>
          </w:p>
        </w:tc>
        <w:tc>
          <w:tcPr>
            <w:tcW w:w="1620" w:type="dxa"/>
            <w:noWrap/>
            <w:vAlign w:val="center"/>
          </w:tcPr>
          <w:p>
            <w:pPr>
              <w:snapToGrid w:val="0"/>
              <w:spacing w:line="360" w:lineRule="auto"/>
              <w:jc w:val="center"/>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地址</w:t>
            </w:r>
          </w:p>
        </w:tc>
        <w:tc>
          <w:tcPr>
            <w:tcW w:w="2700" w:type="dxa"/>
            <w:noWrap/>
            <w:vAlign w:val="center"/>
          </w:tcPr>
          <w:p>
            <w:pPr>
              <w:snapToGrid w:val="0"/>
              <w:spacing w:line="360" w:lineRule="auto"/>
              <w:jc w:val="center"/>
              <w:rPr>
                <w:rFonts w:ascii="宋体" w:hAnsi="宋体" w:cs="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noWrap/>
            <w:vAlign w:val="center"/>
          </w:tcPr>
          <w:p>
            <w:pPr>
              <w:snapToGrid w:val="0"/>
              <w:spacing w:line="360" w:lineRule="auto"/>
              <w:jc w:val="center"/>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电话</w:t>
            </w:r>
          </w:p>
        </w:tc>
        <w:tc>
          <w:tcPr>
            <w:tcW w:w="2340" w:type="dxa"/>
            <w:noWrap/>
            <w:vAlign w:val="center"/>
          </w:tcPr>
          <w:p>
            <w:pPr>
              <w:snapToGrid w:val="0"/>
              <w:spacing w:line="360" w:lineRule="auto"/>
              <w:jc w:val="center"/>
              <w:rPr>
                <w:rFonts w:ascii="宋体" w:hAnsi="宋体" w:cs="宋体"/>
                <w:snapToGrid w:val="0"/>
                <w:color w:val="auto"/>
                <w:kern w:val="0"/>
                <w:sz w:val="24"/>
                <w:highlight w:val="none"/>
              </w:rPr>
            </w:pPr>
          </w:p>
        </w:tc>
        <w:tc>
          <w:tcPr>
            <w:tcW w:w="1620" w:type="dxa"/>
            <w:noWrap/>
            <w:vAlign w:val="center"/>
          </w:tcPr>
          <w:p>
            <w:pPr>
              <w:snapToGrid w:val="0"/>
              <w:spacing w:line="360" w:lineRule="auto"/>
              <w:jc w:val="center"/>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电话</w:t>
            </w:r>
          </w:p>
        </w:tc>
        <w:tc>
          <w:tcPr>
            <w:tcW w:w="2700" w:type="dxa"/>
            <w:noWrap/>
            <w:vAlign w:val="center"/>
          </w:tcPr>
          <w:p>
            <w:pPr>
              <w:snapToGrid w:val="0"/>
              <w:spacing w:line="360" w:lineRule="auto"/>
              <w:jc w:val="center"/>
              <w:rPr>
                <w:rFonts w:ascii="宋体" w:hAnsi="宋体" w:cs="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noWrap/>
            <w:vAlign w:val="center"/>
          </w:tcPr>
          <w:p>
            <w:pPr>
              <w:snapToGrid w:val="0"/>
              <w:spacing w:line="360" w:lineRule="auto"/>
              <w:jc w:val="center"/>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开户银行</w:t>
            </w:r>
          </w:p>
        </w:tc>
        <w:tc>
          <w:tcPr>
            <w:tcW w:w="2340" w:type="dxa"/>
            <w:noWrap/>
            <w:vAlign w:val="center"/>
          </w:tcPr>
          <w:p>
            <w:pPr>
              <w:snapToGrid w:val="0"/>
              <w:spacing w:line="360" w:lineRule="auto"/>
              <w:jc w:val="center"/>
              <w:rPr>
                <w:rFonts w:ascii="宋体" w:hAnsi="宋体" w:cs="宋体"/>
                <w:snapToGrid w:val="0"/>
                <w:color w:val="auto"/>
                <w:kern w:val="0"/>
                <w:sz w:val="24"/>
                <w:highlight w:val="none"/>
              </w:rPr>
            </w:pPr>
          </w:p>
        </w:tc>
        <w:tc>
          <w:tcPr>
            <w:tcW w:w="1620" w:type="dxa"/>
            <w:noWrap/>
            <w:vAlign w:val="center"/>
          </w:tcPr>
          <w:p>
            <w:pPr>
              <w:snapToGrid w:val="0"/>
              <w:spacing w:line="360" w:lineRule="auto"/>
              <w:jc w:val="center"/>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开户银行</w:t>
            </w:r>
          </w:p>
        </w:tc>
        <w:tc>
          <w:tcPr>
            <w:tcW w:w="2700" w:type="dxa"/>
            <w:noWrap/>
            <w:vAlign w:val="center"/>
          </w:tcPr>
          <w:p>
            <w:pPr>
              <w:snapToGrid w:val="0"/>
              <w:spacing w:line="360" w:lineRule="auto"/>
              <w:jc w:val="center"/>
              <w:rPr>
                <w:rFonts w:ascii="宋体" w:hAnsi="宋体" w:cs="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noWrap/>
            <w:vAlign w:val="center"/>
          </w:tcPr>
          <w:p>
            <w:pPr>
              <w:snapToGrid w:val="0"/>
              <w:spacing w:line="360" w:lineRule="auto"/>
              <w:jc w:val="center"/>
              <w:rPr>
                <w:rFonts w:hint="eastAsia" w:ascii="宋体" w:hAnsi="宋体" w:eastAsia="宋体" w:cs="宋体"/>
                <w:snapToGrid w:val="0"/>
                <w:color w:val="auto"/>
                <w:kern w:val="0"/>
                <w:sz w:val="24"/>
                <w:highlight w:val="none"/>
                <w:lang w:eastAsia="zh-CN"/>
              </w:rPr>
            </w:pPr>
            <w:r>
              <w:rPr>
                <w:rFonts w:hint="eastAsia" w:ascii="宋体" w:hAnsi="宋体" w:cs="宋体"/>
                <w:snapToGrid w:val="0"/>
                <w:color w:val="auto"/>
                <w:kern w:val="0"/>
                <w:sz w:val="24"/>
                <w:highlight w:val="none"/>
                <w:lang w:val="en-US" w:eastAsia="zh-CN"/>
              </w:rPr>
              <w:t>账号</w:t>
            </w:r>
          </w:p>
        </w:tc>
        <w:tc>
          <w:tcPr>
            <w:tcW w:w="2340" w:type="dxa"/>
            <w:noWrap/>
            <w:vAlign w:val="center"/>
          </w:tcPr>
          <w:p>
            <w:pPr>
              <w:snapToGrid w:val="0"/>
              <w:spacing w:line="360" w:lineRule="auto"/>
              <w:jc w:val="center"/>
              <w:rPr>
                <w:rFonts w:ascii="宋体" w:hAnsi="宋体" w:cs="宋体"/>
                <w:snapToGrid w:val="0"/>
                <w:color w:val="auto"/>
                <w:kern w:val="0"/>
                <w:sz w:val="24"/>
                <w:highlight w:val="none"/>
              </w:rPr>
            </w:pPr>
          </w:p>
        </w:tc>
        <w:tc>
          <w:tcPr>
            <w:tcW w:w="1620" w:type="dxa"/>
            <w:noWrap/>
            <w:vAlign w:val="center"/>
          </w:tcPr>
          <w:p>
            <w:pPr>
              <w:snapToGrid w:val="0"/>
              <w:spacing w:line="360" w:lineRule="auto"/>
              <w:jc w:val="center"/>
              <w:rPr>
                <w:rFonts w:hint="eastAsia" w:ascii="宋体" w:hAnsi="宋体" w:eastAsia="宋体" w:cs="宋体"/>
                <w:snapToGrid w:val="0"/>
                <w:color w:val="auto"/>
                <w:kern w:val="0"/>
                <w:sz w:val="24"/>
                <w:highlight w:val="none"/>
                <w:lang w:eastAsia="zh-CN"/>
              </w:rPr>
            </w:pPr>
            <w:r>
              <w:rPr>
                <w:rFonts w:hint="eastAsia" w:ascii="宋体" w:hAnsi="宋体" w:cs="宋体"/>
                <w:snapToGrid w:val="0"/>
                <w:color w:val="auto"/>
                <w:kern w:val="0"/>
                <w:sz w:val="24"/>
                <w:highlight w:val="none"/>
                <w:lang w:val="en-US" w:eastAsia="zh-CN"/>
              </w:rPr>
              <w:t>账号</w:t>
            </w:r>
          </w:p>
        </w:tc>
        <w:tc>
          <w:tcPr>
            <w:tcW w:w="2700" w:type="dxa"/>
            <w:noWrap/>
            <w:vAlign w:val="center"/>
          </w:tcPr>
          <w:p>
            <w:pPr>
              <w:snapToGrid w:val="0"/>
              <w:spacing w:line="360" w:lineRule="auto"/>
              <w:jc w:val="center"/>
              <w:rPr>
                <w:rFonts w:ascii="宋体" w:hAnsi="宋体" w:cs="宋体"/>
                <w:snapToGrid w:val="0"/>
                <w:color w:val="auto"/>
                <w:kern w:val="0"/>
                <w:sz w:val="24"/>
                <w:highlight w:val="none"/>
              </w:rPr>
            </w:pPr>
          </w:p>
        </w:tc>
      </w:tr>
    </w:tbl>
    <w:p>
      <w:pPr>
        <w:spacing w:line="420" w:lineRule="exact"/>
        <w:jc w:val="center"/>
        <w:rPr>
          <w:rFonts w:ascii="宋体" w:hAnsi="宋体" w:cs="宋体"/>
          <w:b/>
          <w:color w:val="auto"/>
          <w:sz w:val="36"/>
          <w:szCs w:val="36"/>
          <w:highlight w:val="none"/>
        </w:rPr>
      </w:pPr>
      <w:r>
        <w:rPr>
          <w:rFonts w:hint="eastAsia" w:ascii="宋体" w:hAnsi="宋体" w:cs="宋体"/>
          <w:b/>
          <w:color w:val="auto"/>
          <w:sz w:val="36"/>
          <w:szCs w:val="36"/>
          <w:highlight w:val="none"/>
        </w:rPr>
        <w:br w:type="page"/>
      </w:r>
      <w:bookmarkStart w:id="445" w:name="_Toc29864"/>
      <w:r>
        <w:rPr>
          <w:rStyle w:val="37"/>
          <w:rFonts w:hint="eastAsia"/>
          <w:color w:val="auto"/>
          <w:sz w:val="32"/>
          <w:szCs w:val="21"/>
          <w:highlight w:val="none"/>
        </w:rPr>
        <w:t>第六部分</w:t>
      </w:r>
      <w:bookmarkEnd w:id="433"/>
      <w:bookmarkEnd w:id="434"/>
      <w:r>
        <w:rPr>
          <w:rStyle w:val="37"/>
          <w:rFonts w:hint="eastAsia"/>
          <w:color w:val="auto"/>
          <w:sz w:val="32"/>
          <w:szCs w:val="21"/>
          <w:highlight w:val="none"/>
          <w:lang w:val="en-US" w:eastAsia="zh-CN"/>
        </w:rPr>
        <w:t xml:space="preserve"> </w:t>
      </w:r>
      <w:r>
        <w:rPr>
          <w:rStyle w:val="37"/>
          <w:rFonts w:hint="eastAsia"/>
          <w:color w:val="auto"/>
          <w:sz w:val="32"/>
          <w:szCs w:val="21"/>
          <w:highlight w:val="none"/>
        </w:rPr>
        <w:t>应提交的有关格式范例</w:t>
      </w:r>
      <w:bookmarkEnd w:id="445"/>
    </w:p>
    <w:p>
      <w:pPr>
        <w:spacing w:line="360" w:lineRule="auto"/>
        <w:ind w:firstLine="480" w:firstLineChars="200"/>
        <w:outlineLvl w:val="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投标人按照以下格式编制投标文件，并将资格文件、商务技术文件、报价文件分别上传，并与招标文件的评分要点准确设置关联点。</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此格式内容仅为参考模板，具体内容投标人应根据招标文件要求进行调整。未按以下格式编制投标文件或因格式不规范、页码不清等原因引发的一切后果由投标人自行承担。</w:t>
      </w:r>
    </w:p>
    <w:p>
      <w:pPr>
        <w:spacing w:line="360" w:lineRule="auto"/>
        <w:jc w:val="center"/>
        <w:rPr>
          <w:rFonts w:ascii="宋体" w:hAnsi="宋体" w:cs="宋体"/>
          <w:b/>
          <w:color w:val="auto"/>
          <w:kern w:val="0"/>
          <w:sz w:val="36"/>
          <w:szCs w:val="36"/>
          <w:highlight w:val="none"/>
        </w:rPr>
      </w:pPr>
      <w:r>
        <w:rPr>
          <w:rFonts w:hint="eastAsia" w:ascii="宋体" w:hAnsi="宋体" w:cs="宋体"/>
          <w:b/>
          <w:color w:val="auto"/>
          <w:sz w:val="24"/>
          <w:highlight w:val="none"/>
        </w:rPr>
        <w:br w:type="page"/>
      </w:r>
      <w:r>
        <w:rPr>
          <w:rFonts w:hint="eastAsia" w:ascii="宋体" w:hAnsi="宋体" w:cs="宋体"/>
          <w:b/>
          <w:color w:val="auto"/>
          <w:kern w:val="0"/>
          <w:sz w:val="36"/>
          <w:szCs w:val="36"/>
          <w:highlight w:val="none"/>
        </w:rPr>
        <w:t>资格文件部分</w:t>
      </w:r>
    </w:p>
    <w:p>
      <w:pPr>
        <w:spacing w:line="360" w:lineRule="auto"/>
        <w:jc w:val="center"/>
        <w:rPr>
          <w:rFonts w:ascii="宋体" w:hAnsi="宋体" w:cs="宋体"/>
          <w:b/>
          <w:color w:val="auto"/>
          <w:kern w:val="0"/>
          <w:sz w:val="36"/>
          <w:szCs w:val="36"/>
          <w:highlight w:val="none"/>
        </w:rPr>
      </w:pPr>
    </w:p>
    <w:p>
      <w:pPr>
        <w:spacing w:line="360" w:lineRule="auto"/>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（1）法定代表人授权书（格式见附件）；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事业单位的，则提供有效的《事业单位法人证书》副本复印件并加盖单位公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采购活动，由单位负责人签署相关文件材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（3）具有履行合同所必需的产品和专业技术能力的承诺函；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（4）投标人承诺函（格式见附件）。</w:t>
      </w:r>
    </w:p>
    <w:p>
      <w:pPr>
        <w:pStyle w:val="9"/>
        <w:ind w:firstLine="486"/>
        <w:rPr>
          <w:rFonts w:ascii="宋体" w:hAnsi="宋体" w:cs="宋体"/>
          <w:color w:val="auto"/>
          <w:highlight w:val="none"/>
        </w:rPr>
      </w:pPr>
    </w:p>
    <w:p>
      <w:pPr>
        <w:pStyle w:val="9"/>
        <w:ind w:firstLine="486"/>
        <w:rPr>
          <w:rFonts w:ascii="宋体" w:hAnsi="宋体" w:cs="宋体"/>
          <w:color w:val="auto"/>
          <w:highlight w:val="none"/>
        </w:rPr>
      </w:pPr>
    </w:p>
    <w:p>
      <w:pPr>
        <w:pStyle w:val="9"/>
        <w:ind w:firstLine="486"/>
        <w:rPr>
          <w:rFonts w:ascii="宋体" w:hAnsi="宋体" w:cs="宋体"/>
          <w:color w:val="auto"/>
          <w:highlight w:val="none"/>
        </w:rPr>
      </w:pPr>
    </w:p>
    <w:p>
      <w:pPr>
        <w:pStyle w:val="9"/>
        <w:ind w:firstLine="486"/>
        <w:rPr>
          <w:rFonts w:ascii="宋体" w:hAnsi="宋体" w:cs="宋体"/>
          <w:color w:val="auto"/>
          <w:highlight w:val="none"/>
        </w:rPr>
      </w:pPr>
    </w:p>
    <w:p>
      <w:pPr>
        <w:pStyle w:val="9"/>
        <w:ind w:firstLine="486"/>
        <w:rPr>
          <w:rFonts w:ascii="宋体" w:hAnsi="宋体" w:cs="宋体"/>
          <w:color w:val="auto"/>
          <w:highlight w:val="none"/>
        </w:rPr>
      </w:pPr>
    </w:p>
    <w:p>
      <w:pPr>
        <w:pStyle w:val="9"/>
        <w:ind w:firstLine="486"/>
        <w:rPr>
          <w:rFonts w:ascii="宋体" w:hAnsi="宋体" w:cs="宋体"/>
          <w:color w:val="auto"/>
          <w:highlight w:val="none"/>
        </w:rPr>
      </w:pPr>
    </w:p>
    <w:p>
      <w:pPr>
        <w:pStyle w:val="2"/>
        <w:rPr>
          <w:rFonts w:hAnsi="宋体" w:cs="宋体"/>
          <w:b w:val="0"/>
          <w:color w:val="auto"/>
          <w:sz w:val="24"/>
          <w:szCs w:val="24"/>
          <w:highlight w:val="none"/>
        </w:rPr>
      </w:pPr>
      <w:bookmarkStart w:id="446" w:name="_Toc24699"/>
      <w:r>
        <w:rPr>
          <w:rFonts w:hint="eastAsia" w:hAnsi="宋体" w:cs="宋体"/>
          <w:color w:val="auto"/>
          <w:sz w:val="24"/>
          <w:szCs w:val="24"/>
          <w:highlight w:val="none"/>
        </w:rPr>
        <w:br w:type="page"/>
      </w:r>
      <w:r>
        <w:rPr>
          <w:rFonts w:hint="eastAsia" w:hAnsi="宋体" w:cs="宋体"/>
          <w:color w:val="auto"/>
          <w:sz w:val="24"/>
          <w:szCs w:val="24"/>
          <w:highlight w:val="none"/>
        </w:rPr>
        <w:t>附件一：</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法定代表人授权书</w:t>
      </w:r>
      <w:bookmarkEnd w:id="446"/>
    </w:p>
    <w:p>
      <w:pPr>
        <w:pStyle w:val="3"/>
        <w:spacing w:line="360" w:lineRule="auto"/>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eastAsia="zh-CN"/>
        </w:rPr>
        <w:t>绍兴市上虞区特色小镇投资建设有限公司</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浙江宇康工程管理咨询有限公司：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u w:val="single"/>
        </w:rPr>
        <w:t xml:space="preserve">  （投标人全称） </w:t>
      </w:r>
      <w:r>
        <w:rPr>
          <w:rFonts w:hint="eastAsia" w:ascii="宋体" w:hAnsi="宋体" w:cs="宋体"/>
          <w:color w:val="auto"/>
          <w:sz w:val="24"/>
          <w:highlight w:val="none"/>
        </w:rPr>
        <w:t>法定代表人授权</w:t>
      </w:r>
      <w:r>
        <w:rPr>
          <w:rFonts w:hint="eastAsia" w:ascii="宋体" w:hAnsi="宋体" w:cs="宋体"/>
          <w:color w:val="auto"/>
          <w:sz w:val="24"/>
          <w:highlight w:val="none"/>
          <w:u w:val="single"/>
        </w:rPr>
        <w:t>（授权代表名称）</w:t>
      </w:r>
      <w:r>
        <w:rPr>
          <w:rFonts w:hint="eastAsia" w:ascii="宋体" w:hAnsi="宋体" w:cs="宋体"/>
          <w:color w:val="auto"/>
          <w:sz w:val="24"/>
          <w:highlight w:val="none"/>
        </w:rPr>
        <w:t>为授权代表，参加贵处组织的项目</w:t>
      </w:r>
      <w:r>
        <w:rPr>
          <w:rFonts w:hint="eastAsia" w:ascii="宋体" w:hAnsi="宋体" w:cs="宋体"/>
          <w:color w:val="auto"/>
          <w:sz w:val="24"/>
          <w:highlight w:val="none"/>
          <w:u w:val="single"/>
        </w:rPr>
        <w:t>（括号内填写招标编号）</w:t>
      </w:r>
      <w:r>
        <w:rPr>
          <w:rFonts w:hint="eastAsia" w:ascii="宋体" w:hAnsi="宋体" w:cs="宋体"/>
          <w:color w:val="auto"/>
          <w:sz w:val="24"/>
          <w:highlight w:val="none"/>
        </w:rPr>
        <w:t>，授权处理招投标活动中的一切事宜。</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法定代表人签字：</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投标人全称：（盖章）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日期：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授权代表姓名：</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职务：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详细通讯地址：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传真：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电话：</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邮政编码：</w:t>
      </w:r>
    </w:p>
    <w:p>
      <w:pPr>
        <w:pStyle w:val="12"/>
        <w:snapToGrid w:val="0"/>
        <w:spacing w:line="360" w:lineRule="auto"/>
        <w:rPr>
          <w:rFonts w:hAnsi="宋体" w:cs="宋体"/>
          <w:color w:val="auto"/>
          <w:sz w:val="24"/>
          <w:highlight w:val="none"/>
        </w:rPr>
      </w:pPr>
    </w:p>
    <w:p>
      <w:pPr>
        <w:pStyle w:val="12"/>
        <w:snapToGrid w:val="0"/>
        <w:spacing w:line="360" w:lineRule="auto"/>
        <w:rPr>
          <w:rFonts w:hAnsi="宋体" w:cs="宋体"/>
          <w:color w:val="auto"/>
          <w:sz w:val="24"/>
          <w:highlight w:val="none"/>
        </w:rPr>
      </w:pPr>
    </w:p>
    <w:p>
      <w:pPr>
        <w:pStyle w:val="12"/>
        <w:snapToGrid w:val="0"/>
        <w:spacing w:line="360" w:lineRule="auto"/>
        <w:rPr>
          <w:rFonts w:hAnsi="宋体" w:cs="宋体"/>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附：授权代表身份证复印件（正反面）</w:t>
      </w:r>
    </w:p>
    <w:p>
      <w:pPr>
        <w:spacing w:line="360" w:lineRule="auto"/>
        <w:rPr>
          <w:rFonts w:ascii="宋体" w:hAnsi="宋体" w:cs="宋体"/>
          <w:b/>
          <w:color w:val="auto"/>
          <w:sz w:val="24"/>
          <w:highlight w:val="none"/>
        </w:rPr>
      </w:pPr>
    </w:p>
    <w:p>
      <w:pPr>
        <w:pStyle w:val="9"/>
        <w:ind w:firstLine="486"/>
        <w:rPr>
          <w:rFonts w:ascii="宋体" w:hAnsi="宋体" w:cs="宋体"/>
          <w:color w:val="auto"/>
          <w:highlight w:val="none"/>
        </w:rPr>
      </w:pPr>
    </w:p>
    <w:p>
      <w:pPr>
        <w:snapToGrid w:val="0"/>
        <w:spacing w:before="50" w:afterLines="50"/>
        <w:jc w:val="left"/>
        <w:rPr>
          <w:rFonts w:ascii="宋体" w:hAnsi="宋体" w:cs="宋体"/>
          <w:b/>
          <w:bCs/>
          <w:color w:val="auto"/>
          <w:sz w:val="24"/>
          <w:highlight w:val="none"/>
          <w:lang w:val="zh-CN"/>
        </w:rPr>
      </w:pPr>
      <w:r>
        <w:rPr>
          <w:rFonts w:hint="eastAsia" w:ascii="宋体" w:hAnsi="宋体" w:cs="宋体"/>
          <w:b/>
          <w:bCs/>
          <w:color w:val="auto"/>
          <w:sz w:val="24"/>
          <w:highlight w:val="none"/>
        </w:rPr>
        <w:br w:type="page"/>
      </w:r>
      <w:r>
        <w:rPr>
          <w:rFonts w:hint="eastAsia" w:ascii="宋体" w:hAnsi="宋体" w:cs="宋体"/>
          <w:b/>
          <w:bCs/>
          <w:color w:val="auto"/>
          <w:sz w:val="24"/>
          <w:highlight w:val="none"/>
          <w:lang w:val="zh-CN"/>
        </w:rPr>
        <w:t>附件二：</w:t>
      </w:r>
    </w:p>
    <w:p>
      <w:pPr>
        <w:snapToGrid w:val="0"/>
        <w:spacing w:before="50" w:afterLines="50"/>
        <w:jc w:val="center"/>
        <w:outlineLvl w:val="0"/>
        <w:rPr>
          <w:rFonts w:ascii="宋体" w:hAnsi="宋体" w:cs="宋体"/>
          <w:b/>
          <w:color w:val="auto"/>
          <w:sz w:val="30"/>
          <w:szCs w:val="30"/>
          <w:highlight w:val="none"/>
        </w:rPr>
      </w:pPr>
      <w:bookmarkStart w:id="447" w:name="_Toc5553"/>
      <w:bookmarkStart w:id="448" w:name="_Toc16254"/>
      <w:bookmarkStart w:id="449" w:name="_Toc17524"/>
      <w:bookmarkStart w:id="450" w:name="_Toc18952"/>
      <w:bookmarkStart w:id="451" w:name="_Toc30307"/>
      <w:r>
        <w:rPr>
          <w:rFonts w:hint="eastAsia" w:ascii="宋体" w:hAnsi="宋体" w:cs="宋体"/>
          <w:b/>
          <w:color w:val="auto"/>
          <w:sz w:val="30"/>
          <w:szCs w:val="30"/>
          <w:highlight w:val="none"/>
          <w:lang w:val="zh-CN"/>
        </w:rPr>
        <w:t>投 标 人 承 诺 函</w:t>
      </w:r>
      <w:bookmarkEnd w:id="447"/>
      <w:bookmarkEnd w:id="448"/>
      <w:bookmarkEnd w:id="449"/>
      <w:bookmarkEnd w:id="450"/>
      <w:bookmarkEnd w:id="451"/>
    </w:p>
    <w:p>
      <w:pPr>
        <w:spacing w:line="360" w:lineRule="auto"/>
        <w:ind w:firstLine="420" w:firstLineChars="200"/>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eastAsia="zh-CN"/>
        </w:rPr>
        <w:t>绍兴市上虞区特色小镇投资建设有限公司</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浙江宇康工程管理咨询有限公司：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u w:val="single"/>
        </w:rPr>
        <w:t>（投标人名称）</w:t>
      </w:r>
      <w:r>
        <w:rPr>
          <w:rFonts w:hint="eastAsia" w:ascii="宋体" w:hAnsi="宋体" w:cs="宋体"/>
          <w:color w:val="auto"/>
          <w:sz w:val="24"/>
          <w:highlight w:val="none"/>
        </w:rPr>
        <w:t>系中华人民共和国合法企业，经营地址。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（姓名）</w:t>
      </w:r>
      <w:r>
        <w:rPr>
          <w:rFonts w:hint="eastAsia" w:ascii="宋体" w:hAnsi="宋体" w:cs="宋体"/>
          <w:color w:val="auto"/>
          <w:sz w:val="24"/>
          <w:highlight w:val="none"/>
        </w:rPr>
        <w:t>系</w:t>
      </w:r>
      <w:r>
        <w:rPr>
          <w:rFonts w:hint="eastAsia" w:ascii="宋体" w:hAnsi="宋体" w:cs="宋体"/>
          <w:color w:val="auto"/>
          <w:sz w:val="24"/>
          <w:highlight w:val="none"/>
          <w:u w:val="single"/>
        </w:rPr>
        <w:t>（投标人名称）</w:t>
      </w:r>
      <w:r>
        <w:rPr>
          <w:rFonts w:hint="eastAsia" w:ascii="宋体" w:hAnsi="宋体" w:cs="宋体"/>
          <w:color w:val="auto"/>
          <w:sz w:val="24"/>
          <w:highlight w:val="none"/>
        </w:rPr>
        <w:t>的法定代表人，我方愿意参加贵方组织的</w:t>
      </w:r>
      <w:r>
        <w:rPr>
          <w:rFonts w:hint="eastAsia" w:ascii="宋体" w:hAnsi="宋体" w:cs="宋体"/>
          <w:color w:val="auto"/>
          <w:sz w:val="24"/>
          <w:highlight w:val="none"/>
          <w:u w:val="single"/>
        </w:rPr>
        <w:t>（招标项目名称）（编号为）</w:t>
      </w:r>
      <w:r>
        <w:rPr>
          <w:rFonts w:hint="eastAsia" w:ascii="宋体" w:hAnsi="宋体" w:cs="宋体"/>
          <w:color w:val="auto"/>
          <w:sz w:val="24"/>
          <w:highlight w:val="none"/>
        </w:rPr>
        <w:t>的投标，为此，我方就本次投标有关事项郑重承诺如下：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1、我方已详细审查全部招标文件，同意招标文件的各项要求。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2、我方向贵方提交的所有投标文件、资料都是准确的和真实的。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3、若中标，我方将按招标文件规定履行合同责任和义务。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4、我方不是采购人的附属机构；在获知本项目采购信息后，与采购人聘请的为此项目提供咨询服务的公司及其附属机构没有任何联系。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5、投标文件自开标日起有效期为90天。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6、我方参与本项目前3年内的经营活动中没有重大违法记录；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7、我方通过“信用中国”网站（www.creditchina.gov.cn）、中国政府采购网（www.ccgp.gov.cn）查询，未被列入失信被执行人、重大税收违法案件当事人名单、政府采购严重违法失信行为记录名单。</w:t>
      </w:r>
    </w:p>
    <w:p>
      <w:pPr>
        <w:pStyle w:val="27"/>
        <w:spacing w:before="0"/>
        <w:ind w:firstLine="480"/>
        <w:jc w:val="left"/>
        <w:rPr>
          <w:rFonts w:ascii="宋体" w:hAnsi="宋体" w:cs="宋体"/>
          <w:color w:val="auto"/>
          <w:szCs w:val="24"/>
          <w:highlight w:val="none"/>
        </w:rPr>
      </w:pPr>
      <w:r>
        <w:rPr>
          <w:rFonts w:hint="eastAsia" w:ascii="宋体" w:hAnsi="宋体" w:cs="宋体"/>
          <w:color w:val="auto"/>
          <w:highlight w:val="none"/>
        </w:rPr>
        <w:t>8、</w:t>
      </w:r>
      <w:r>
        <w:rPr>
          <w:rFonts w:hint="eastAsia" w:ascii="宋体" w:hAnsi="宋体" w:cs="宋体"/>
          <w:color w:val="auto"/>
          <w:szCs w:val="24"/>
          <w:highlight w:val="none"/>
        </w:rPr>
        <w:t>具有良好的商业信誉和健全的财务会计制度；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9、具有依法缴纳税收和社会保障资金的良好记录；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10、以上事项如有虚假或隐瞒，我方愿意承担一切后果，并不再寻求任何旨在减轻或免除法律责任的辩解。</w:t>
      </w:r>
    </w:p>
    <w:p>
      <w:pPr>
        <w:spacing w:line="360" w:lineRule="auto"/>
        <w:ind w:firstLine="480" w:firstLineChars="200"/>
        <w:rPr>
          <w:rFonts w:ascii="宋体" w:hAnsi="宋体" w:cs="宋体"/>
          <w:color w:val="auto"/>
          <w:sz w:val="24"/>
          <w:highlight w:val="none"/>
        </w:rPr>
      </w:pPr>
    </w:p>
    <w:p>
      <w:pPr>
        <w:pStyle w:val="9"/>
        <w:rPr>
          <w:rFonts w:ascii="宋体" w:hAnsi="宋体" w:cs="宋体"/>
          <w:color w:val="auto"/>
          <w:highlight w:val="none"/>
        </w:rPr>
      </w:pP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 xml:space="preserve">法定代表人签名（或签名章）：                       </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投标人全称（公章）：</w:t>
      </w:r>
    </w:p>
    <w:p>
      <w:pPr>
        <w:spacing w:line="360" w:lineRule="auto"/>
        <w:ind w:left="3780" w:leftChars="1800" w:firstLine="480" w:firstLineChars="200"/>
        <w:rPr>
          <w:rFonts w:ascii="宋体" w:hAnsi="宋体" w:cs="宋体"/>
          <w:color w:val="auto"/>
          <w:sz w:val="24"/>
          <w:highlight w:val="none"/>
        </w:rPr>
      </w:pPr>
    </w:p>
    <w:p>
      <w:pPr>
        <w:pStyle w:val="9"/>
        <w:ind w:firstLine="566"/>
        <w:rPr>
          <w:rFonts w:ascii="宋体" w:hAnsi="宋体" w:cs="宋体"/>
          <w:color w:val="auto"/>
          <w:sz w:val="28"/>
          <w:szCs w:val="28"/>
          <w:highlight w:val="none"/>
        </w:rPr>
      </w:pPr>
    </w:p>
    <w:p>
      <w:pPr>
        <w:pStyle w:val="3"/>
        <w:rPr>
          <w:rFonts w:ascii="宋体" w:hAnsi="宋体" w:cs="宋体"/>
          <w:color w:val="auto"/>
          <w:highlight w:val="none"/>
        </w:rPr>
      </w:pPr>
    </w:p>
    <w:p>
      <w:pPr>
        <w:spacing w:line="360" w:lineRule="auto"/>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w:t>
      </w:r>
    </w:p>
    <w:p>
      <w:pPr>
        <w:spacing w:line="360" w:lineRule="auto"/>
        <w:jc w:val="center"/>
        <w:rPr>
          <w:rFonts w:ascii="宋体" w:hAnsi="宋体" w:cs="宋体"/>
          <w:b/>
          <w:color w:val="auto"/>
          <w:kern w:val="0"/>
          <w:sz w:val="36"/>
          <w:szCs w:val="36"/>
          <w:highlight w:val="none"/>
        </w:rPr>
      </w:pPr>
    </w:p>
    <w:p>
      <w:pPr>
        <w:spacing w:line="360" w:lineRule="auto"/>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pStyle w:val="9"/>
        <w:ind w:firstLine="486"/>
        <w:rPr>
          <w:rFonts w:ascii="宋体" w:hAnsi="宋体" w:cs="宋体"/>
          <w:color w:val="auto"/>
          <w:highlight w:val="none"/>
        </w:rPr>
      </w:pPr>
    </w:p>
    <w:p>
      <w:pPr>
        <w:numPr>
          <w:ilvl w:val="0"/>
          <w:numId w:val="43"/>
        </w:num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评分对应表（格式见附件，主要用于评委对应评分内容）；</w:t>
      </w:r>
    </w:p>
    <w:p>
      <w:pPr>
        <w:numPr>
          <w:ilvl w:val="0"/>
          <w:numId w:val="43"/>
        </w:num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供应商商务技术文件中资信分自评表（格式见附件）；</w:t>
      </w:r>
    </w:p>
    <w:p>
      <w:pPr>
        <w:numPr>
          <w:ilvl w:val="0"/>
          <w:numId w:val="43"/>
        </w:num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投标项目明细清单（格式见附件）；</w:t>
      </w:r>
    </w:p>
    <w:p>
      <w:pPr>
        <w:numPr>
          <w:ilvl w:val="0"/>
          <w:numId w:val="43"/>
        </w:num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技术响应及建议表（格式见附件）；</w:t>
      </w:r>
    </w:p>
    <w:p>
      <w:pPr>
        <w:numPr>
          <w:ilvl w:val="0"/>
          <w:numId w:val="43"/>
        </w:num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商务响应表（格式见附件）；</w:t>
      </w:r>
    </w:p>
    <w:p>
      <w:pPr>
        <w:numPr>
          <w:ilvl w:val="0"/>
          <w:numId w:val="43"/>
        </w:num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项目总体设计方案；</w:t>
      </w:r>
    </w:p>
    <w:p>
      <w:pPr>
        <w:numPr>
          <w:ilvl w:val="0"/>
          <w:numId w:val="43"/>
        </w:num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项目征集方案；</w:t>
      </w:r>
    </w:p>
    <w:p>
      <w:pPr>
        <w:numPr>
          <w:ilvl w:val="0"/>
          <w:numId w:val="43"/>
        </w:num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大赛评委保障；</w:t>
      </w:r>
    </w:p>
    <w:p>
      <w:pPr>
        <w:numPr>
          <w:ilvl w:val="0"/>
          <w:numId w:val="43"/>
        </w:num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资源保障；</w:t>
      </w:r>
    </w:p>
    <w:p>
      <w:pPr>
        <w:numPr>
          <w:ilvl w:val="0"/>
          <w:numId w:val="43"/>
        </w:num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工作量及进度计划；</w:t>
      </w:r>
    </w:p>
    <w:p>
      <w:pPr>
        <w:numPr>
          <w:ilvl w:val="0"/>
          <w:numId w:val="43"/>
        </w:num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人员配备；</w:t>
      </w:r>
    </w:p>
    <w:p>
      <w:pPr>
        <w:numPr>
          <w:ilvl w:val="0"/>
          <w:numId w:val="43"/>
        </w:num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项目落地服务；</w:t>
      </w:r>
    </w:p>
    <w:p>
      <w:pPr>
        <w:numPr>
          <w:ilvl w:val="0"/>
          <w:numId w:val="43"/>
        </w:num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宣传方案；</w:t>
      </w:r>
    </w:p>
    <w:p>
      <w:pPr>
        <w:numPr>
          <w:ilvl w:val="0"/>
          <w:numId w:val="43"/>
        </w:num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重难点分析；</w:t>
      </w:r>
    </w:p>
    <w:p>
      <w:pPr>
        <w:numPr>
          <w:ilvl w:val="0"/>
          <w:numId w:val="43"/>
        </w:num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应急方案；</w:t>
      </w:r>
    </w:p>
    <w:p>
      <w:pPr>
        <w:numPr>
          <w:ilvl w:val="0"/>
          <w:numId w:val="43"/>
        </w:num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供应商业绩；</w:t>
      </w:r>
    </w:p>
    <w:p>
      <w:pPr>
        <w:numPr>
          <w:ilvl w:val="0"/>
          <w:numId w:val="43"/>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认证证书；</w:t>
      </w:r>
    </w:p>
    <w:p>
      <w:pPr>
        <w:numPr>
          <w:ilvl w:val="0"/>
          <w:numId w:val="43"/>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项目组人员清单（格式见附件）</w:t>
      </w:r>
      <w:r>
        <w:rPr>
          <w:rFonts w:hint="eastAsia" w:ascii="宋体" w:hAnsi="宋体" w:cs="宋体"/>
          <w:color w:val="auto"/>
          <w:sz w:val="24"/>
          <w:highlight w:val="none"/>
        </w:rPr>
        <w:t>；</w:t>
      </w:r>
    </w:p>
    <w:p>
      <w:pPr>
        <w:numPr>
          <w:ilvl w:val="0"/>
          <w:numId w:val="43"/>
        </w:num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供应商认为需要的其他文件资料。</w:t>
      </w:r>
    </w:p>
    <w:p>
      <w:pPr>
        <w:pStyle w:val="9"/>
        <w:ind w:firstLine="566"/>
        <w:rPr>
          <w:rFonts w:ascii="宋体" w:hAnsi="宋体" w:cs="宋体"/>
          <w:color w:val="auto"/>
          <w:sz w:val="28"/>
          <w:szCs w:val="28"/>
          <w:highlight w:val="none"/>
        </w:rPr>
      </w:pPr>
    </w:p>
    <w:p>
      <w:pPr>
        <w:pStyle w:val="9"/>
        <w:ind w:left="0" w:leftChars="0"/>
        <w:jc w:val="left"/>
        <w:rPr>
          <w:rFonts w:ascii="宋体" w:hAnsi="宋体" w:cs="宋体"/>
          <w:b/>
          <w:bCs/>
          <w:color w:val="auto"/>
          <w:sz w:val="24"/>
          <w:highlight w:val="none"/>
          <w:lang w:val="zh-CN"/>
        </w:rPr>
      </w:pPr>
      <w:bookmarkStart w:id="452" w:name="_Toc10131"/>
      <w:r>
        <w:rPr>
          <w:rFonts w:hint="eastAsia" w:ascii="宋体" w:hAnsi="宋体" w:cs="宋体"/>
          <w:b/>
          <w:bCs/>
          <w:color w:val="auto"/>
          <w:sz w:val="24"/>
          <w:highlight w:val="none"/>
          <w:lang w:val="zh-CN"/>
        </w:rPr>
        <w:br w:type="page"/>
      </w:r>
      <w:r>
        <w:rPr>
          <w:rFonts w:hint="eastAsia" w:ascii="宋体" w:hAnsi="宋体" w:cs="宋体"/>
          <w:b/>
          <w:bCs/>
          <w:color w:val="auto"/>
          <w:sz w:val="24"/>
          <w:highlight w:val="none"/>
          <w:lang w:val="zh-CN"/>
        </w:rPr>
        <w:t>附件三：</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评分对应表</w:t>
      </w:r>
    </w:p>
    <w:p>
      <w:pPr>
        <w:snapToGrid w:val="0"/>
        <w:spacing w:before="50"/>
        <w:jc w:val="center"/>
        <w:rPr>
          <w:rFonts w:ascii="宋体" w:hAnsi="宋体" w:cs="宋体"/>
          <w:b/>
          <w:color w:val="auto"/>
          <w:sz w:val="32"/>
          <w:szCs w:val="32"/>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项目名称：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采购编号：</w:t>
      </w:r>
    </w:p>
    <w:tbl>
      <w:tblPr>
        <w:tblStyle w:val="2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评分项目</w:t>
            </w:r>
          </w:p>
        </w:tc>
        <w:tc>
          <w:tcPr>
            <w:tcW w:w="30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投标文件对应资料</w:t>
            </w:r>
          </w:p>
        </w:tc>
        <w:tc>
          <w:tcPr>
            <w:tcW w:w="197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对应评分办法及评分标准</w:t>
            </w:r>
          </w:p>
          <w:p>
            <w:pPr>
              <w:jc w:val="center"/>
              <w:rPr>
                <w:rFonts w:ascii="宋体" w:hAnsi="宋体" w:cs="宋体"/>
                <w:color w:val="auto"/>
                <w:sz w:val="24"/>
                <w:highlight w:val="none"/>
              </w:rPr>
            </w:pPr>
            <w:r>
              <w:rPr>
                <w:rFonts w:hint="eastAsia" w:ascii="宋体" w:hAnsi="宋体" w:cs="宋体"/>
                <w:color w:val="auto"/>
                <w:sz w:val="24"/>
                <w:highlight w:val="none"/>
              </w:rPr>
              <w:t>（报价除外）</w:t>
            </w:r>
          </w:p>
        </w:tc>
        <w:tc>
          <w:tcPr>
            <w:tcW w:w="30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4"/>
                <w:highlight w:val="none"/>
              </w:rPr>
            </w:pPr>
          </w:p>
        </w:tc>
        <w:tc>
          <w:tcPr>
            <w:tcW w:w="197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30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4"/>
                <w:highlight w:val="none"/>
              </w:rPr>
            </w:pPr>
          </w:p>
        </w:tc>
        <w:tc>
          <w:tcPr>
            <w:tcW w:w="197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4"/>
                <w:highlight w:val="none"/>
              </w:rPr>
            </w:pPr>
          </w:p>
        </w:tc>
        <w:tc>
          <w:tcPr>
            <w:tcW w:w="30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4"/>
                <w:highlight w:val="none"/>
              </w:rPr>
            </w:pPr>
          </w:p>
        </w:tc>
        <w:tc>
          <w:tcPr>
            <w:tcW w:w="197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color w:val="auto"/>
                <w:sz w:val="24"/>
                <w:highlight w:val="none"/>
              </w:rPr>
            </w:pPr>
          </w:p>
        </w:tc>
        <w:tc>
          <w:tcPr>
            <w:tcW w:w="3060"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color w:val="auto"/>
                <w:sz w:val="24"/>
                <w:highlight w:val="none"/>
              </w:rPr>
            </w:pPr>
          </w:p>
        </w:tc>
        <w:tc>
          <w:tcPr>
            <w:tcW w:w="1977"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color w:val="auto"/>
                <w:sz w:val="24"/>
                <w:highlight w:val="none"/>
              </w:rPr>
            </w:pPr>
          </w:p>
        </w:tc>
        <w:tc>
          <w:tcPr>
            <w:tcW w:w="3060"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color w:val="auto"/>
                <w:sz w:val="24"/>
                <w:highlight w:val="none"/>
              </w:rPr>
            </w:pPr>
          </w:p>
        </w:tc>
        <w:tc>
          <w:tcPr>
            <w:tcW w:w="1977"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color w:val="auto"/>
                <w:sz w:val="24"/>
                <w:highlight w:val="none"/>
              </w:rPr>
            </w:pPr>
          </w:p>
        </w:tc>
        <w:tc>
          <w:tcPr>
            <w:tcW w:w="3060"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color w:val="auto"/>
                <w:sz w:val="24"/>
                <w:highlight w:val="none"/>
              </w:rPr>
            </w:pPr>
          </w:p>
        </w:tc>
        <w:tc>
          <w:tcPr>
            <w:tcW w:w="1977"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color w:val="auto"/>
                <w:sz w:val="24"/>
                <w:highlight w:val="none"/>
              </w:rPr>
            </w:pPr>
          </w:p>
        </w:tc>
        <w:tc>
          <w:tcPr>
            <w:tcW w:w="3060"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color w:val="auto"/>
                <w:sz w:val="24"/>
                <w:highlight w:val="none"/>
              </w:rPr>
            </w:pPr>
          </w:p>
        </w:tc>
        <w:tc>
          <w:tcPr>
            <w:tcW w:w="1977"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color w:val="auto"/>
                <w:sz w:val="24"/>
                <w:highlight w:val="none"/>
              </w:rPr>
            </w:pPr>
          </w:p>
        </w:tc>
        <w:tc>
          <w:tcPr>
            <w:tcW w:w="3060"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color w:val="auto"/>
                <w:sz w:val="24"/>
                <w:highlight w:val="none"/>
              </w:rPr>
            </w:pPr>
          </w:p>
        </w:tc>
        <w:tc>
          <w:tcPr>
            <w:tcW w:w="1977"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color w:val="auto"/>
                <w:sz w:val="24"/>
                <w:highlight w:val="none"/>
              </w:rPr>
            </w:pPr>
          </w:p>
        </w:tc>
        <w:tc>
          <w:tcPr>
            <w:tcW w:w="3060"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color w:val="auto"/>
                <w:sz w:val="24"/>
                <w:highlight w:val="none"/>
              </w:rPr>
            </w:pPr>
          </w:p>
        </w:tc>
        <w:tc>
          <w:tcPr>
            <w:tcW w:w="1977"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color w:val="auto"/>
                <w:sz w:val="24"/>
                <w:highlight w:val="none"/>
              </w:rPr>
            </w:pPr>
          </w:p>
        </w:tc>
      </w:tr>
    </w:tbl>
    <w:p>
      <w:pPr>
        <w:spacing w:line="360" w:lineRule="auto"/>
        <w:ind w:firstLine="480" w:firstLineChars="200"/>
        <w:rPr>
          <w:rFonts w:ascii="宋体" w:hAnsi="宋体" w:cs="宋体"/>
          <w:color w:val="auto"/>
          <w:sz w:val="24"/>
          <w:highlight w:val="none"/>
        </w:rPr>
      </w:pPr>
    </w:p>
    <w:p>
      <w:pPr>
        <w:spacing w:line="360" w:lineRule="auto"/>
        <w:ind w:left="3780" w:leftChars="1800" w:firstLine="480" w:firstLineChars="200"/>
        <w:rPr>
          <w:rFonts w:ascii="宋体" w:hAnsi="宋体" w:cs="宋体"/>
          <w:color w:val="auto"/>
          <w:sz w:val="24"/>
          <w:highlight w:val="none"/>
        </w:rPr>
      </w:pP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 xml:space="preserve">法定代表人签名（或签名章）：                       </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投标人全称（公章）：</w:t>
      </w:r>
    </w:p>
    <w:p>
      <w:pPr>
        <w:snapToGrid w:val="0"/>
        <w:spacing w:before="50" w:afterLines="50"/>
        <w:jc w:val="left"/>
        <w:rPr>
          <w:rFonts w:ascii="宋体" w:hAnsi="宋体" w:cs="宋体"/>
          <w:color w:val="auto"/>
          <w:sz w:val="30"/>
          <w:szCs w:val="30"/>
          <w:highlight w:val="none"/>
        </w:rPr>
      </w:pPr>
    </w:p>
    <w:p>
      <w:pPr>
        <w:pStyle w:val="2"/>
        <w:rPr>
          <w:rFonts w:hAnsi="宋体" w:cs="宋体"/>
          <w:bCs/>
          <w:color w:val="auto"/>
          <w:sz w:val="24"/>
          <w:szCs w:val="24"/>
          <w:highlight w:val="none"/>
        </w:rPr>
      </w:pPr>
      <w:r>
        <w:rPr>
          <w:rFonts w:hint="eastAsia" w:hAnsi="宋体" w:cs="宋体"/>
          <w:color w:val="auto"/>
          <w:sz w:val="30"/>
          <w:szCs w:val="30"/>
          <w:highlight w:val="none"/>
        </w:rPr>
        <w:br w:type="page"/>
      </w:r>
      <w:r>
        <w:rPr>
          <w:rFonts w:hint="eastAsia" w:hAnsi="宋体" w:cs="宋体"/>
          <w:bCs/>
          <w:color w:val="auto"/>
          <w:sz w:val="24"/>
          <w:szCs w:val="24"/>
          <w:highlight w:val="none"/>
        </w:rPr>
        <w:t>附件四：</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投标人商务技术文件中资信分自评表</w:t>
      </w:r>
      <w:bookmarkEnd w:id="452"/>
    </w:p>
    <w:p>
      <w:pPr>
        <w:snapToGrid w:val="0"/>
        <w:spacing w:before="50"/>
        <w:jc w:val="center"/>
        <w:rPr>
          <w:rFonts w:ascii="宋体" w:hAnsi="宋体" w:cs="宋体"/>
          <w:b/>
          <w:color w:val="auto"/>
          <w:sz w:val="32"/>
          <w:szCs w:val="32"/>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项目名称：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采购编号：</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2387"/>
        <w:gridCol w:w="1462"/>
        <w:gridCol w:w="2415"/>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2387"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资信分内容</w:t>
            </w:r>
          </w:p>
        </w:tc>
        <w:tc>
          <w:tcPr>
            <w:tcW w:w="1462"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自评得分</w:t>
            </w:r>
          </w:p>
        </w:tc>
        <w:tc>
          <w:tcPr>
            <w:tcW w:w="2415" w:type="dxa"/>
            <w:tcBorders>
              <w:right w:val="single" w:color="auto" w:sz="4" w:space="0"/>
            </w:tcBorders>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投标文件对应资料</w:t>
            </w:r>
          </w:p>
        </w:tc>
        <w:tc>
          <w:tcPr>
            <w:tcW w:w="1746" w:type="dxa"/>
            <w:tcBorders>
              <w:left w:val="single" w:color="auto" w:sz="4" w:space="0"/>
            </w:tcBorders>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2387" w:type="dxa"/>
            <w:noWrap/>
          </w:tcPr>
          <w:p>
            <w:pPr>
              <w:jc w:val="center"/>
              <w:rPr>
                <w:rFonts w:ascii="宋体" w:hAnsi="宋体" w:cs="宋体"/>
                <w:color w:val="auto"/>
                <w:sz w:val="24"/>
                <w:highlight w:val="none"/>
              </w:rPr>
            </w:pPr>
          </w:p>
        </w:tc>
        <w:tc>
          <w:tcPr>
            <w:tcW w:w="1462" w:type="dxa"/>
            <w:noWrap/>
          </w:tcPr>
          <w:p>
            <w:pPr>
              <w:jc w:val="center"/>
              <w:rPr>
                <w:rFonts w:ascii="宋体" w:hAnsi="宋体" w:cs="宋体"/>
                <w:color w:val="auto"/>
                <w:sz w:val="24"/>
                <w:highlight w:val="none"/>
              </w:rPr>
            </w:pPr>
          </w:p>
        </w:tc>
        <w:tc>
          <w:tcPr>
            <w:tcW w:w="2415" w:type="dxa"/>
            <w:tcBorders>
              <w:right w:val="single" w:color="auto" w:sz="4" w:space="0"/>
            </w:tcBorders>
            <w:noWrap/>
          </w:tcPr>
          <w:p>
            <w:pPr>
              <w:jc w:val="center"/>
              <w:rPr>
                <w:rFonts w:ascii="宋体" w:hAnsi="宋体" w:cs="宋体"/>
                <w:color w:val="auto"/>
                <w:sz w:val="24"/>
                <w:highlight w:val="none"/>
              </w:rPr>
            </w:pPr>
          </w:p>
        </w:tc>
        <w:tc>
          <w:tcPr>
            <w:tcW w:w="1746" w:type="dxa"/>
            <w:tcBorders>
              <w:left w:val="single" w:color="auto" w:sz="4" w:space="0"/>
            </w:tcBorders>
            <w:noWrap/>
          </w:tcPr>
          <w:p>
            <w:pPr>
              <w:jc w:val="center"/>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2387" w:type="dxa"/>
            <w:noWrap/>
          </w:tcPr>
          <w:p>
            <w:pPr>
              <w:jc w:val="center"/>
              <w:rPr>
                <w:rFonts w:ascii="宋体" w:hAnsi="宋体" w:cs="宋体"/>
                <w:color w:val="auto"/>
                <w:sz w:val="24"/>
                <w:highlight w:val="none"/>
              </w:rPr>
            </w:pPr>
          </w:p>
        </w:tc>
        <w:tc>
          <w:tcPr>
            <w:tcW w:w="1462" w:type="dxa"/>
            <w:noWrap/>
          </w:tcPr>
          <w:p>
            <w:pPr>
              <w:jc w:val="center"/>
              <w:rPr>
                <w:rFonts w:ascii="宋体" w:hAnsi="宋体" w:cs="宋体"/>
                <w:color w:val="auto"/>
                <w:sz w:val="24"/>
                <w:highlight w:val="none"/>
              </w:rPr>
            </w:pPr>
          </w:p>
        </w:tc>
        <w:tc>
          <w:tcPr>
            <w:tcW w:w="2415" w:type="dxa"/>
            <w:tcBorders>
              <w:right w:val="single" w:color="auto" w:sz="4" w:space="0"/>
            </w:tcBorders>
            <w:noWrap/>
          </w:tcPr>
          <w:p>
            <w:pPr>
              <w:jc w:val="center"/>
              <w:rPr>
                <w:rFonts w:ascii="宋体" w:hAnsi="宋体" w:cs="宋体"/>
                <w:color w:val="auto"/>
                <w:sz w:val="24"/>
                <w:highlight w:val="none"/>
              </w:rPr>
            </w:pPr>
          </w:p>
        </w:tc>
        <w:tc>
          <w:tcPr>
            <w:tcW w:w="1746" w:type="dxa"/>
            <w:tcBorders>
              <w:left w:val="single" w:color="auto" w:sz="4" w:space="0"/>
            </w:tcBorders>
            <w:noWrap/>
          </w:tcPr>
          <w:p>
            <w:pPr>
              <w:jc w:val="center"/>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2387" w:type="dxa"/>
            <w:noWrap/>
          </w:tcPr>
          <w:p>
            <w:pPr>
              <w:jc w:val="center"/>
              <w:rPr>
                <w:rFonts w:ascii="宋体" w:hAnsi="宋体" w:cs="宋体"/>
                <w:color w:val="auto"/>
                <w:sz w:val="24"/>
                <w:highlight w:val="none"/>
              </w:rPr>
            </w:pPr>
          </w:p>
        </w:tc>
        <w:tc>
          <w:tcPr>
            <w:tcW w:w="1462" w:type="dxa"/>
            <w:noWrap/>
          </w:tcPr>
          <w:p>
            <w:pPr>
              <w:jc w:val="center"/>
              <w:rPr>
                <w:rFonts w:ascii="宋体" w:hAnsi="宋体" w:cs="宋体"/>
                <w:color w:val="auto"/>
                <w:sz w:val="24"/>
                <w:highlight w:val="none"/>
              </w:rPr>
            </w:pPr>
          </w:p>
        </w:tc>
        <w:tc>
          <w:tcPr>
            <w:tcW w:w="2415" w:type="dxa"/>
            <w:tcBorders>
              <w:right w:val="single" w:color="auto" w:sz="4" w:space="0"/>
            </w:tcBorders>
            <w:noWrap/>
          </w:tcPr>
          <w:p>
            <w:pPr>
              <w:jc w:val="center"/>
              <w:rPr>
                <w:rFonts w:ascii="宋体" w:hAnsi="宋体" w:cs="宋体"/>
                <w:color w:val="auto"/>
                <w:sz w:val="24"/>
                <w:highlight w:val="none"/>
              </w:rPr>
            </w:pPr>
          </w:p>
        </w:tc>
        <w:tc>
          <w:tcPr>
            <w:tcW w:w="1746" w:type="dxa"/>
            <w:tcBorders>
              <w:left w:val="single" w:color="auto" w:sz="4" w:space="0"/>
            </w:tcBorders>
            <w:noWrap/>
          </w:tcPr>
          <w:p>
            <w:pPr>
              <w:jc w:val="center"/>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4</w:t>
            </w:r>
          </w:p>
        </w:tc>
        <w:tc>
          <w:tcPr>
            <w:tcW w:w="2387" w:type="dxa"/>
            <w:noWrap/>
          </w:tcPr>
          <w:p>
            <w:pPr>
              <w:jc w:val="center"/>
              <w:rPr>
                <w:rFonts w:ascii="宋体" w:hAnsi="宋体" w:cs="宋体"/>
                <w:color w:val="auto"/>
                <w:sz w:val="24"/>
                <w:highlight w:val="none"/>
              </w:rPr>
            </w:pPr>
          </w:p>
        </w:tc>
        <w:tc>
          <w:tcPr>
            <w:tcW w:w="1462" w:type="dxa"/>
            <w:noWrap/>
          </w:tcPr>
          <w:p>
            <w:pPr>
              <w:jc w:val="center"/>
              <w:rPr>
                <w:rFonts w:ascii="宋体" w:hAnsi="宋体" w:cs="宋体"/>
                <w:color w:val="auto"/>
                <w:sz w:val="24"/>
                <w:highlight w:val="none"/>
              </w:rPr>
            </w:pPr>
          </w:p>
        </w:tc>
        <w:tc>
          <w:tcPr>
            <w:tcW w:w="2415" w:type="dxa"/>
            <w:tcBorders>
              <w:right w:val="single" w:color="auto" w:sz="4" w:space="0"/>
            </w:tcBorders>
            <w:noWrap/>
          </w:tcPr>
          <w:p>
            <w:pPr>
              <w:jc w:val="center"/>
              <w:rPr>
                <w:rFonts w:ascii="宋体" w:hAnsi="宋体" w:cs="宋体"/>
                <w:color w:val="auto"/>
                <w:sz w:val="24"/>
                <w:highlight w:val="none"/>
              </w:rPr>
            </w:pPr>
          </w:p>
        </w:tc>
        <w:tc>
          <w:tcPr>
            <w:tcW w:w="1746" w:type="dxa"/>
            <w:tcBorders>
              <w:left w:val="single" w:color="auto" w:sz="4" w:space="0"/>
            </w:tcBorders>
            <w:noWrap/>
          </w:tcPr>
          <w:p>
            <w:pPr>
              <w:jc w:val="center"/>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5</w:t>
            </w:r>
          </w:p>
        </w:tc>
        <w:tc>
          <w:tcPr>
            <w:tcW w:w="2387" w:type="dxa"/>
            <w:noWrap/>
          </w:tcPr>
          <w:p>
            <w:pPr>
              <w:jc w:val="center"/>
              <w:rPr>
                <w:rFonts w:ascii="宋体" w:hAnsi="宋体" w:cs="宋体"/>
                <w:color w:val="auto"/>
                <w:sz w:val="24"/>
                <w:highlight w:val="none"/>
              </w:rPr>
            </w:pPr>
          </w:p>
        </w:tc>
        <w:tc>
          <w:tcPr>
            <w:tcW w:w="1462" w:type="dxa"/>
            <w:noWrap/>
          </w:tcPr>
          <w:p>
            <w:pPr>
              <w:jc w:val="center"/>
              <w:rPr>
                <w:rFonts w:ascii="宋体" w:hAnsi="宋体" w:cs="宋体"/>
                <w:color w:val="auto"/>
                <w:sz w:val="24"/>
                <w:highlight w:val="none"/>
              </w:rPr>
            </w:pPr>
          </w:p>
        </w:tc>
        <w:tc>
          <w:tcPr>
            <w:tcW w:w="2415" w:type="dxa"/>
            <w:tcBorders>
              <w:right w:val="single" w:color="auto" w:sz="4" w:space="0"/>
            </w:tcBorders>
            <w:noWrap/>
          </w:tcPr>
          <w:p>
            <w:pPr>
              <w:jc w:val="center"/>
              <w:rPr>
                <w:rFonts w:ascii="宋体" w:hAnsi="宋体" w:cs="宋体"/>
                <w:color w:val="auto"/>
                <w:sz w:val="24"/>
                <w:highlight w:val="none"/>
              </w:rPr>
            </w:pPr>
          </w:p>
        </w:tc>
        <w:tc>
          <w:tcPr>
            <w:tcW w:w="1746" w:type="dxa"/>
            <w:tcBorders>
              <w:left w:val="single" w:color="auto" w:sz="4" w:space="0"/>
            </w:tcBorders>
            <w:noWrap/>
          </w:tcPr>
          <w:p>
            <w:pPr>
              <w:jc w:val="center"/>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6</w:t>
            </w:r>
          </w:p>
        </w:tc>
        <w:tc>
          <w:tcPr>
            <w:tcW w:w="2387" w:type="dxa"/>
            <w:noWrap/>
          </w:tcPr>
          <w:p>
            <w:pPr>
              <w:jc w:val="center"/>
              <w:rPr>
                <w:rFonts w:ascii="宋体" w:hAnsi="宋体" w:cs="宋体"/>
                <w:color w:val="auto"/>
                <w:sz w:val="24"/>
                <w:highlight w:val="none"/>
              </w:rPr>
            </w:pPr>
          </w:p>
        </w:tc>
        <w:tc>
          <w:tcPr>
            <w:tcW w:w="1462" w:type="dxa"/>
            <w:noWrap/>
          </w:tcPr>
          <w:p>
            <w:pPr>
              <w:jc w:val="center"/>
              <w:rPr>
                <w:rFonts w:ascii="宋体" w:hAnsi="宋体" w:cs="宋体"/>
                <w:color w:val="auto"/>
                <w:sz w:val="24"/>
                <w:highlight w:val="none"/>
              </w:rPr>
            </w:pPr>
          </w:p>
        </w:tc>
        <w:tc>
          <w:tcPr>
            <w:tcW w:w="2415" w:type="dxa"/>
            <w:tcBorders>
              <w:right w:val="single" w:color="auto" w:sz="4" w:space="0"/>
            </w:tcBorders>
            <w:noWrap/>
          </w:tcPr>
          <w:p>
            <w:pPr>
              <w:jc w:val="center"/>
              <w:rPr>
                <w:rFonts w:ascii="宋体" w:hAnsi="宋体" w:cs="宋体"/>
                <w:color w:val="auto"/>
                <w:sz w:val="24"/>
                <w:highlight w:val="none"/>
              </w:rPr>
            </w:pPr>
          </w:p>
        </w:tc>
        <w:tc>
          <w:tcPr>
            <w:tcW w:w="1746" w:type="dxa"/>
            <w:tcBorders>
              <w:left w:val="single" w:color="auto" w:sz="4" w:space="0"/>
            </w:tcBorders>
            <w:noWrap/>
          </w:tcPr>
          <w:p>
            <w:pPr>
              <w:jc w:val="center"/>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7</w:t>
            </w:r>
          </w:p>
        </w:tc>
        <w:tc>
          <w:tcPr>
            <w:tcW w:w="2387" w:type="dxa"/>
            <w:noWrap/>
          </w:tcPr>
          <w:p>
            <w:pPr>
              <w:jc w:val="center"/>
              <w:rPr>
                <w:rFonts w:ascii="宋体" w:hAnsi="宋体" w:cs="宋体"/>
                <w:color w:val="auto"/>
                <w:sz w:val="24"/>
                <w:highlight w:val="none"/>
              </w:rPr>
            </w:pPr>
          </w:p>
        </w:tc>
        <w:tc>
          <w:tcPr>
            <w:tcW w:w="1462" w:type="dxa"/>
            <w:noWrap/>
          </w:tcPr>
          <w:p>
            <w:pPr>
              <w:jc w:val="center"/>
              <w:rPr>
                <w:rFonts w:ascii="宋体" w:hAnsi="宋体" w:cs="宋体"/>
                <w:color w:val="auto"/>
                <w:sz w:val="24"/>
                <w:highlight w:val="none"/>
              </w:rPr>
            </w:pPr>
          </w:p>
        </w:tc>
        <w:tc>
          <w:tcPr>
            <w:tcW w:w="2415" w:type="dxa"/>
            <w:tcBorders>
              <w:right w:val="single" w:color="auto" w:sz="4" w:space="0"/>
            </w:tcBorders>
            <w:noWrap/>
          </w:tcPr>
          <w:p>
            <w:pPr>
              <w:jc w:val="center"/>
              <w:rPr>
                <w:rFonts w:ascii="宋体" w:hAnsi="宋体" w:cs="宋体"/>
                <w:color w:val="auto"/>
                <w:sz w:val="24"/>
                <w:highlight w:val="none"/>
              </w:rPr>
            </w:pPr>
          </w:p>
        </w:tc>
        <w:tc>
          <w:tcPr>
            <w:tcW w:w="1746" w:type="dxa"/>
            <w:tcBorders>
              <w:left w:val="single" w:color="auto" w:sz="4" w:space="0"/>
            </w:tcBorders>
            <w:noWrap/>
          </w:tcPr>
          <w:p>
            <w:pPr>
              <w:jc w:val="center"/>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8</w:t>
            </w:r>
          </w:p>
        </w:tc>
        <w:tc>
          <w:tcPr>
            <w:tcW w:w="2387" w:type="dxa"/>
            <w:noWrap/>
          </w:tcPr>
          <w:p>
            <w:pPr>
              <w:jc w:val="center"/>
              <w:rPr>
                <w:rFonts w:ascii="宋体" w:hAnsi="宋体" w:cs="宋体"/>
                <w:color w:val="auto"/>
                <w:sz w:val="24"/>
                <w:highlight w:val="none"/>
              </w:rPr>
            </w:pPr>
          </w:p>
        </w:tc>
        <w:tc>
          <w:tcPr>
            <w:tcW w:w="1462" w:type="dxa"/>
            <w:noWrap/>
          </w:tcPr>
          <w:p>
            <w:pPr>
              <w:jc w:val="center"/>
              <w:rPr>
                <w:rFonts w:ascii="宋体" w:hAnsi="宋体" w:cs="宋体"/>
                <w:color w:val="auto"/>
                <w:sz w:val="24"/>
                <w:highlight w:val="none"/>
              </w:rPr>
            </w:pPr>
          </w:p>
        </w:tc>
        <w:tc>
          <w:tcPr>
            <w:tcW w:w="2415" w:type="dxa"/>
            <w:tcBorders>
              <w:right w:val="single" w:color="auto" w:sz="4" w:space="0"/>
            </w:tcBorders>
            <w:noWrap/>
          </w:tcPr>
          <w:p>
            <w:pPr>
              <w:jc w:val="center"/>
              <w:rPr>
                <w:rFonts w:ascii="宋体" w:hAnsi="宋体" w:cs="宋体"/>
                <w:color w:val="auto"/>
                <w:sz w:val="24"/>
                <w:highlight w:val="none"/>
              </w:rPr>
            </w:pPr>
          </w:p>
        </w:tc>
        <w:tc>
          <w:tcPr>
            <w:tcW w:w="1746" w:type="dxa"/>
            <w:tcBorders>
              <w:left w:val="single" w:color="auto" w:sz="4" w:space="0"/>
            </w:tcBorders>
            <w:noWrap/>
          </w:tcPr>
          <w:p>
            <w:pPr>
              <w:jc w:val="center"/>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合计</w:t>
            </w:r>
          </w:p>
        </w:tc>
        <w:tc>
          <w:tcPr>
            <w:tcW w:w="2387" w:type="dxa"/>
            <w:noWrap/>
          </w:tcPr>
          <w:p>
            <w:pPr>
              <w:jc w:val="center"/>
              <w:rPr>
                <w:rFonts w:ascii="宋体" w:hAnsi="宋体" w:cs="宋体"/>
                <w:color w:val="auto"/>
                <w:sz w:val="24"/>
                <w:highlight w:val="none"/>
              </w:rPr>
            </w:pPr>
          </w:p>
        </w:tc>
        <w:tc>
          <w:tcPr>
            <w:tcW w:w="1462" w:type="dxa"/>
            <w:noWrap/>
          </w:tcPr>
          <w:p>
            <w:pPr>
              <w:jc w:val="center"/>
              <w:rPr>
                <w:rFonts w:ascii="宋体" w:hAnsi="宋体" w:cs="宋体"/>
                <w:color w:val="auto"/>
                <w:sz w:val="24"/>
                <w:highlight w:val="none"/>
              </w:rPr>
            </w:pPr>
          </w:p>
        </w:tc>
        <w:tc>
          <w:tcPr>
            <w:tcW w:w="2415" w:type="dxa"/>
            <w:tcBorders>
              <w:right w:val="single" w:color="auto" w:sz="4" w:space="0"/>
            </w:tcBorders>
            <w:noWrap/>
          </w:tcPr>
          <w:p>
            <w:pPr>
              <w:jc w:val="center"/>
              <w:rPr>
                <w:rFonts w:ascii="宋体" w:hAnsi="宋体" w:cs="宋体"/>
                <w:color w:val="auto"/>
                <w:sz w:val="24"/>
                <w:highlight w:val="none"/>
              </w:rPr>
            </w:pPr>
          </w:p>
        </w:tc>
        <w:tc>
          <w:tcPr>
            <w:tcW w:w="1746" w:type="dxa"/>
            <w:tcBorders>
              <w:left w:val="single" w:color="auto" w:sz="4" w:space="0"/>
            </w:tcBorders>
            <w:noWrap/>
          </w:tcPr>
          <w:p>
            <w:pPr>
              <w:jc w:val="center"/>
              <w:rPr>
                <w:rFonts w:ascii="宋体" w:hAnsi="宋体" w:cs="宋体"/>
                <w:color w:val="auto"/>
                <w:sz w:val="24"/>
                <w:highlight w:val="none"/>
              </w:rPr>
            </w:pPr>
          </w:p>
        </w:tc>
      </w:tr>
    </w:tbl>
    <w:p>
      <w:pPr>
        <w:spacing w:line="360" w:lineRule="auto"/>
        <w:ind w:firstLine="480" w:firstLineChars="200"/>
        <w:rPr>
          <w:rFonts w:ascii="宋体" w:hAnsi="宋体" w:cs="宋体"/>
          <w:color w:val="auto"/>
          <w:sz w:val="24"/>
          <w:highlight w:val="none"/>
        </w:rPr>
      </w:pPr>
    </w:p>
    <w:p>
      <w:pPr>
        <w:spacing w:line="360" w:lineRule="auto"/>
        <w:ind w:left="3780" w:leftChars="1800" w:firstLine="480" w:firstLineChars="200"/>
        <w:rPr>
          <w:rFonts w:ascii="宋体" w:hAnsi="宋体" w:cs="宋体"/>
          <w:color w:val="auto"/>
          <w:sz w:val="24"/>
          <w:highlight w:val="none"/>
        </w:rPr>
      </w:pP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 xml:space="preserve">法定代表人签名（或签名章）：                       </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投标人全称（公章）：</w:t>
      </w:r>
    </w:p>
    <w:p>
      <w:pPr>
        <w:pStyle w:val="9"/>
        <w:ind w:firstLine="566"/>
        <w:rPr>
          <w:rFonts w:ascii="宋体" w:hAnsi="宋体" w:cs="宋体"/>
          <w:color w:val="auto"/>
          <w:sz w:val="28"/>
          <w:szCs w:val="28"/>
          <w:highlight w:val="none"/>
        </w:rPr>
      </w:pPr>
    </w:p>
    <w:p>
      <w:pPr>
        <w:snapToGrid w:val="0"/>
        <w:spacing w:before="50" w:afterLines="50"/>
        <w:jc w:val="left"/>
        <w:rPr>
          <w:rFonts w:ascii="宋体" w:hAnsi="宋体" w:cs="宋体"/>
          <w:b/>
          <w:bCs/>
          <w:color w:val="auto"/>
          <w:sz w:val="24"/>
          <w:highlight w:val="none"/>
          <w:lang w:val="zh-CN"/>
        </w:rPr>
      </w:pPr>
      <w:r>
        <w:rPr>
          <w:rFonts w:hint="eastAsia" w:ascii="宋体" w:hAnsi="宋体" w:cs="宋体"/>
          <w:b/>
          <w:bCs/>
          <w:color w:val="auto"/>
          <w:sz w:val="30"/>
          <w:szCs w:val="30"/>
          <w:highlight w:val="none"/>
        </w:rPr>
        <w:br w:type="page"/>
      </w:r>
      <w:r>
        <w:rPr>
          <w:rFonts w:hint="eastAsia" w:ascii="宋体" w:hAnsi="宋体" w:cs="宋体"/>
          <w:b/>
          <w:bCs/>
          <w:color w:val="auto"/>
          <w:sz w:val="24"/>
          <w:highlight w:val="none"/>
          <w:lang w:val="zh-CN"/>
        </w:rPr>
        <w:t>附件五：</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投标项目明细清单</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项目名称：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采购编号：</w:t>
      </w:r>
    </w:p>
    <w:tbl>
      <w:tblPr>
        <w:tblStyle w:val="2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序号</w:t>
            </w:r>
          </w:p>
        </w:tc>
        <w:tc>
          <w:tcPr>
            <w:tcW w:w="282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服务内容</w:t>
            </w:r>
          </w:p>
        </w:tc>
        <w:tc>
          <w:tcPr>
            <w:tcW w:w="282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服务人员数量</w:t>
            </w:r>
          </w:p>
        </w:tc>
        <w:tc>
          <w:tcPr>
            <w:tcW w:w="283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282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282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宋体" w:hAnsi="宋体" w:cs="宋体"/>
                <w:color w:val="auto"/>
                <w:sz w:val="24"/>
                <w:highlight w:val="none"/>
              </w:rPr>
            </w:pPr>
          </w:p>
        </w:tc>
        <w:tc>
          <w:tcPr>
            <w:tcW w:w="283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282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282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宋体" w:hAnsi="宋体" w:cs="宋体"/>
                <w:color w:val="auto"/>
                <w:sz w:val="24"/>
                <w:highlight w:val="none"/>
              </w:rPr>
            </w:pPr>
          </w:p>
        </w:tc>
        <w:tc>
          <w:tcPr>
            <w:tcW w:w="283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r>
    </w:tbl>
    <w:p>
      <w:pPr>
        <w:snapToGrid w:val="0"/>
        <w:spacing w:beforeLines="5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注：在填写时，如上表不适合本项目的实际情况，可在确保投标明细内容完整的情况下，根据上表格式自行划表填写。</w:t>
      </w:r>
    </w:p>
    <w:p>
      <w:pPr>
        <w:pStyle w:val="9"/>
        <w:rPr>
          <w:rFonts w:ascii="宋体" w:hAnsi="宋体" w:cs="宋体"/>
          <w:color w:val="auto"/>
          <w:sz w:val="24"/>
          <w:highlight w:val="none"/>
        </w:rPr>
      </w:pPr>
    </w:p>
    <w:p>
      <w:pPr>
        <w:pStyle w:val="9"/>
        <w:rPr>
          <w:rFonts w:ascii="宋体" w:hAnsi="宋体" w:cs="宋体"/>
          <w:color w:val="auto"/>
          <w:sz w:val="24"/>
          <w:highlight w:val="none"/>
        </w:rPr>
      </w:pPr>
    </w:p>
    <w:p>
      <w:pPr>
        <w:pStyle w:val="9"/>
        <w:rPr>
          <w:rFonts w:ascii="宋体" w:hAnsi="宋体" w:cs="宋体"/>
          <w:color w:val="auto"/>
          <w:sz w:val="24"/>
          <w:highlight w:val="none"/>
        </w:rPr>
      </w:pPr>
    </w:p>
    <w:p>
      <w:pPr>
        <w:snapToGrid w:val="0"/>
        <w:spacing w:beforeLines="50"/>
        <w:rPr>
          <w:rFonts w:ascii="宋体" w:hAnsi="宋体" w:cs="宋体"/>
          <w:color w:val="auto"/>
          <w:sz w:val="24"/>
          <w:highlight w:val="none"/>
        </w:rPr>
      </w:pP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 xml:space="preserve">法定代表人签名（或签名章）：                       </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投标人全称（公章）：</w:t>
      </w:r>
    </w:p>
    <w:p>
      <w:pPr>
        <w:snapToGrid w:val="0"/>
        <w:spacing w:before="50" w:after="50"/>
        <w:rPr>
          <w:rFonts w:ascii="宋体" w:hAnsi="宋体" w:cs="宋体"/>
          <w:color w:val="auto"/>
          <w:spacing w:val="20"/>
          <w:sz w:val="24"/>
          <w:highlight w:val="none"/>
        </w:rPr>
      </w:pPr>
    </w:p>
    <w:p>
      <w:pPr>
        <w:snapToGrid w:val="0"/>
        <w:spacing w:before="50" w:after="50"/>
        <w:rPr>
          <w:rFonts w:ascii="宋体" w:hAnsi="宋体" w:cs="宋体"/>
          <w:color w:val="auto"/>
          <w:spacing w:val="20"/>
          <w:sz w:val="30"/>
          <w:szCs w:val="30"/>
          <w:highlight w:val="none"/>
        </w:rPr>
      </w:pPr>
    </w:p>
    <w:p>
      <w:pPr>
        <w:pStyle w:val="9"/>
        <w:ind w:firstLine="686"/>
        <w:rPr>
          <w:rFonts w:ascii="宋体" w:hAnsi="宋体" w:cs="宋体"/>
          <w:color w:val="auto"/>
          <w:spacing w:val="20"/>
          <w:sz w:val="30"/>
          <w:szCs w:val="30"/>
          <w:highlight w:val="none"/>
        </w:rPr>
      </w:pPr>
    </w:p>
    <w:p>
      <w:pPr>
        <w:pStyle w:val="9"/>
        <w:ind w:firstLine="686"/>
        <w:rPr>
          <w:rFonts w:ascii="宋体" w:hAnsi="宋体" w:cs="宋体"/>
          <w:color w:val="auto"/>
          <w:spacing w:val="20"/>
          <w:sz w:val="30"/>
          <w:szCs w:val="30"/>
          <w:highlight w:val="none"/>
        </w:rPr>
      </w:pPr>
    </w:p>
    <w:p>
      <w:pPr>
        <w:pStyle w:val="9"/>
        <w:ind w:firstLine="686"/>
        <w:rPr>
          <w:rFonts w:ascii="宋体" w:hAnsi="宋体" w:cs="宋体"/>
          <w:color w:val="auto"/>
          <w:spacing w:val="20"/>
          <w:sz w:val="30"/>
          <w:szCs w:val="30"/>
          <w:highlight w:val="none"/>
        </w:rPr>
      </w:pPr>
    </w:p>
    <w:p>
      <w:pPr>
        <w:pStyle w:val="9"/>
        <w:ind w:firstLine="686"/>
        <w:rPr>
          <w:rFonts w:ascii="宋体" w:hAnsi="宋体" w:cs="宋体"/>
          <w:color w:val="auto"/>
          <w:spacing w:val="20"/>
          <w:sz w:val="30"/>
          <w:szCs w:val="30"/>
          <w:highlight w:val="none"/>
        </w:rPr>
      </w:pPr>
    </w:p>
    <w:p>
      <w:pPr>
        <w:pStyle w:val="2"/>
        <w:rPr>
          <w:rFonts w:hAnsi="宋体" w:cs="宋体"/>
          <w:bCs/>
          <w:color w:val="auto"/>
          <w:sz w:val="24"/>
          <w:szCs w:val="24"/>
          <w:highlight w:val="none"/>
        </w:rPr>
      </w:pPr>
      <w:bookmarkStart w:id="453" w:name="_Toc2823"/>
      <w:r>
        <w:rPr>
          <w:rFonts w:hint="eastAsia" w:hAnsi="宋体" w:cs="宋体"/>
          <w:bCs/>
          <w:color w:val="auto"/>
          <w:sz w:val="24"/>
          <w:szCs w:val="24"/>
          <w:highlight w:val="none"/>
        </w:rPr>
        <w:br w:type="page"/>
      </w:r>
      <w:r>
        <w:rPr>
          <w:rFonts w:hint="eastAsia" w:hAnsi="宋体" w:cs="宋体"/>
          <w:bCs/>
          <w:color w:val="auto"/>
          <w:sz w:val="24"/>
          <w:szCs w:val="24"/>
          <w:highlight w:val="none"/>
        </w:rPr>
        <w:t>附件六：</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技术响应及建议表</w:t>
      </w:r>
      <w:bookmarkEnd w:id="453"/>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项目名称：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采购编号：</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252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序号</w:t>
            </w:r>
          </w:p>
        </w:tc>
        <w:tc>
          <w:tcPr>
            <w:tcW w:w="1440" w:type="dxa"/>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名称</w:t>
            </w:r>
          </w:p>
        </w:tc>
        <w:tc>
          <w:tcPr>
            <w:tcW w:w="1980" w:type="dxa"/>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招标文件要求</w:t>
            </w:r>
          </w:p>
        </w:tc>
        <w:tc>
          <w:tcPr>
            <w:tcW w:w="2520" w:type="dxa"/>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投标文件响应</w:t>
            </w:r>
          </w:p>
        </w:tc>
        <w:tc>
          <w:tcPr>
            <w:tcW w:w="1953" w:type="dxa"/>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noWrap/>
            <w:vAlign w:val="center"/>
          </w:tcPr>
          <w:p>
            <w:pPr>
              <w:snapToGrid w:val="0"/>
              <w:spacing w:before="50" w:after="50"/>
              <w:jc w:val="center"/>
              <w:rPr>
                <w:rFonts w:ascii="宋体" w:hAnsi="宋体" w:cs="宋体"/>
                <w:color w:val="auto"/>
                <w:sz w:val="24"/>
                <w:highlight w:val="none"/>
              </w:rPr>
            </w:pPr>
          </w:p>
        </w:tc>
        <w:tc>
          <w:tcPr>
            <w:tcW w:w="1440" w:type="dxa"/>
            <w:noWrap/>
            <w:vAlign w:val="center"/>
          </w:tcPr>
          <w:p>
            <w:pPr>
              <w:snapToGrid w:val="0"/>
              <w:spacing w:before="50" w:after="50"/>
              <w:jc w:val="center"/>
              <w:rPr>
                <w:rFonts w:ascii="宋体" w:hAnsi="宋体" w:cs="宋体"/>
                <w:color w:val="auto"/>
                <w:sz w:val="24"/>
                <w:highlight w:val="none"/>
              </w:rPr>
            </w:pPr>
          </w:p>
        </w:tc>
        <w:tc>
          <w:tcPr>
            <w:tcW w:w="1980" w:type="dxa"/>
            <w:noWrap/>
            <w:vAlign w:val="center"/>
          </w:tcPr>
          <w:p>
            <w:pPr>
              <w:snapToGrid w:val="0"/>
              <w:spacing w:before="50" w:after="50"/>
              <w:jc w:val="center"/>
              <w:rPr>
                <w:rFonts w:ascii="宋体" w:hAnsi="宋体" w:cs="宋体"/>
                <w:color w:val="auto"/>
                <w:sz w:val="24"/>
                <w:highlight w:val="none"/>
              </w:rPr>
            </w:pPr>
          </w:p>
        </w:tc>
        <w:tc>
          <w:tcPr>
            <w:tcW w:w="2520" w:type="dxa"/>
            <w:noWrap/>
            <w:vAlign w:val="center"/>
          </w:tcPr>
          <w:p>
            <w:pPr>
              <w:snapToGrid w:val="0"/>
              <w:spacing w:before="50" w:after="50"/>
              <w:jc w:val="center"/>
              <w:rPr>
                <w:rFonts w:ascii="宋体" w:hAnsi="宋体" w:cs="宋体"/>
                <w:color w:val="auto"/>
                <w:sz w:val="24"/>
                <w:highlight w:val="none"/>
              </w:rPr>
            </w:pPr>
          </w:p>
        </w:tc>
        <w:tc>
          <w:tcPr>
            <w:tcW w:w="1953" w:type="dxa"/>
            <w:noWrap/>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noWrap/>
            <w:vAlign w:val="center"/>
          </w:tcPr>
          <w:p>
            <w:pPr>
              <w:snapToGrid w:val="0"/>
              <w:spacing w:before="50" w:after="50"/>
              <w:jc w:val="center"/>
              <w:rPr>
                <w:rFonts w:ascii="宋体" w:hAnsi="宋体" w:cs="宋体"/>
                <w:color w:val="auto"/>
                <w:sz w:val="24"/>
                <w:highlight w:val="none"/>
              </w:rPr>
            </w:pPr>
          </w:p>
        </w:tc>
        <w:tc>
          <w:tcPr>
            <w:tcW w:w="1440" w:type="dxa"/>
            <w:noWrap/>
            <w:vAlign w:val="center"/>
          </w:tcPr>
          <w:p>
            <w:pPr>
              <w:snapToGrid w:val="0"/>
              <w:spacing w:before="50" w:after="50"/>
              <w:jc w:val="center"/>
              <w:rPr>
                <w:rFonts w:ascii="宋体" w:hAnsi="宋体" w:cs="宋体"/>
                <w:color w:val="auto"/>
                <w:sz w:val="24"/>
                <w:highlight w:val="none"/>
              </w:rPr>
            </w:pPr>
          </w:p>
        </w:tc>
        <w:tc>
          <w:tcPr>
            <w:tcW w:w="1980" w:type="dxa"/>
            <w:noWrap/>
            <w:vAlign w:val="center"/>
          </w:tcPr>
          <w:p>
            <w:pPr>
              <w:snapToGrid w:val="0"/>
              <w:spacing w:before="50" w:after="50"/>
              <w:jc w:val="center"/>
              <w:rPr>
                <w:rFonts w:ascii="宋体" w:hAnsi="宋体" w:cs="宋体"/>
                <w:color w:val="auto"/>
                <w:sz w:val="24"/>
                <w:highlight w:val="none"/>
              </w:rPr>
            </w:pPr>
          </w:p>
        </w:tc>
        <w:tc>
          <w:tcPr>
            <w:tcW w:w="2520" w:type="dxa"/>
            <w:noWrap/>
            <w:vAlign w:val="center"/>
          </w:tcPr>
          <w:p>
            <w:pPr>
              <w:snapToGrid w:val="0"/>
              <w:spacing w:before="50" w:after="50"/>
              <w:jc w:val="center"/>
              <w:rPr>
                <w:rFonts w:ascii="宋体" w:hAnsi="宋体" w:cs="宋体"/>
                <w:color w:val="auto"/>
                <w:sz w:val="24"/>
                <w:highlight w:val="none"/>
              </w:rPr>
            </w:pPr>
          </w:p>
        </w:tc>
        <w:tc>
          <w:tcPr>
            <w:tcW w:w="1953" w:type="dxa"/>
            <w:noWrap/>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noWrap/>
            <w:vAlign w:val="center"/>
          </w:tcPr>
          <w:p>
            <w:pPr>
              <w:snapToGrid w:val="0"/>
              <w:spacing w:before="50" w:after="50"/>
              <w:jc w:val="center"/>
              <w:rPr>
                <w:rFonts w:ascii="宋体" w:hAnsi="宋体" w:cs="宋体"/>
                <w:color w:val="auto"/>
                <w:sz w:val="24"/>
                <w:highlight w:val="none"/>
              </w:rPr>
            </w:pPr>
          </w:p>
        </w:tc>
        <w:tc>
          <w:tcPr>
            <w:tcW w:w="1440" w:type="dxa"/>
            <w:noWrap/>
            <w:vAlign w:val="center"/>
          </w:tcPr>
          <w:p>
            <w:pPr>
              <w:snapToGrid w:val="0"/>
              <w:spacing w:before="50" w:after="50"/>
              <w:jc w:val="center"/>
              <w:rPr>
                <w:rFonts w:ascii="宋体" w:hAnsi="宋体" w:cs="宋体"/>
                <w:color w:val="auto"/>
                <w:sz w:val="24"/>
                <w:highlight w:val="none"/>
              </w:rPr>
            </w:pPr>
          </w:p>
        </w:tc>
        <w:tc>
          <w:tcPr>
            <w:tcW w:w="1980" w:type="dxa"/>
            <w:noWrap/>
            <w:vAlign w:val="center"/>
          </w:tcPr>
          <w:p>
            <w:pPr>
              <w:snapToGrid w:val="0"/>
              <w:spacing w:before="50" w:after="50"/>
              <w:jc w:val="center"/>
              <w:rPr>
                <w:rFonts w:ascii="宋体" w:hAnsi="宋体" w:cs="宋体"/>
                <w:color w:val="auto"/>
                <w:sz w:val="24"/>
                <w:highlight w:val="none"/>
              </w:rPr>
            </w:pPr>
          </w:p>
        </w:tc>
        <w:tc>
          <w:tcPr>
            <w:tcW w:w="2520" w:type="dxa"/>
            <w:noWrap/>
            <w:vAlign w:val="center"/>
          </w:tcPr>
          <w:p>
            <w:pPr>
              <w:snapToGrid w:val="0"/>
              <w:spacing w:before="50" w:after="50"/>
              <w:jc w:val="center"/>
              <w:rPr>
                <w:rFonts w:ascii="宋体" w:hAnsi="宋体" w:cs="宋体"/>
                <w:color w:val="auto"/>
                <w:sz w:val="24"/>
                <w:highlight w:val="none"/>
              </w:rPr>
            </w:pPr>
          </w:p>
        </w:tc>
        <w:tc>
          <w:tcPr>
            <w:tcW w:w="1953" w:type="dxa"/>
            <w:noWrap/>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noWrap/>
            <w:vAlign w:val="center"/>
          </w:tcPr>
          <w:p>
            <w:pPr>
              <w:snapToGrid w:val="0"/>
              <w:spacing w:before="50" w:after="50"/>
              <w:jc w:val="center"/>
              <w:rPr>
                <w:rFonts w:ascii="宋体" w:hAnsi="宋体" w:cs="宋体"/>
                <w:color w:val="auto"/>
                <w:sz w:val="24"/>
                <w:highlight w:val="none"/>
              </w:rPr>
            </w:pPr>
          </w:p>
        </w:tc>
        <w:tc>
          <w:tcPr>
            <w:tcW w:w="1440" w:type="dxa"/>
            <w:noWrap/>
            <w:vAlign w:val="center"/>
          </w:tcPr>
          <w:p>
            <w:pPr>
              <w:snapToGrid w:val="0"/>
              <w:spacing w:before="50" w:after="50"/>
              <w:jc w:val="center"/>
              <w:rPr>
                <w:rFonts w:ascii="宋体" w:hAnsi="宋体" w:cs="宋体"/>
                <w:color w:val="auto"/>
                <w:sz w:val="24"/>
                <w:highlight w:val="none"/>
              </w:rPr>
            </w:pPr>
          </w:p>
        </w:tc>
        <w:tc>
          <w:tcPr>
            <w:tcW w:w="1980" w:type="dxa"/>
            <w:noWrap/>
            <w:vAlign w:val="center"/>
          </w:tcPr>
          <w:p>
            <w:pPr>
              <w:snapToGrid w:val="0"/>
              <w:spacing w:before="50" w:after="50"/>
              <w:jc w:val="center"/>
              <w:rPr>
                <w:rFonts w:ascii="宋体" w:hAnsi="宋体" w:cs="宋体"/>
                <w:color w:val="auto"/>
                <w:sz w:val="24"/>
                <w:highlight w:val="none"/>
              </w:rPr>
            </w:pPr>
          </w:p>
        </w:tc>
        <w:tc>
          <w:tcPr>
            <w:tcW w:w="2520" w:type="dxa"/>
            <w:noWrap/>
            <w:vAlign w:val="center"/>
          </w:tcPr>
          <w:p>
            <w:pPr>
              <w:snapToGrid w:val="0"/>
              <w:spacing w:before="50" w:after="50"/>
              <w:jc w:val="center"/>
              <w:rPr>
                <w:rFonts w:ascii="宋体" w:hAnsi="宋体" w:cs="宋体"/>
                <w:color w:val="auto"/>
                <w:sz w:val="24"/>
                <w:highlight w:val="none"/>
              </w:rPr>
            </w:pPr>
          </w:p>
        </w:tc>
        <w:tc>
          <w:tcPr>
            <w:tcW w:w="1953" w:type="dxa"/>
            <w:noWrap/>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noWrap/>
            <w:vAlign w:val="center"/>
          </w:tcPr>
          <w:p>
            <w:pPr>
              <w:snapToGrid w:val="0"/>
              <w:spacing w:before="50" w:after="50"/>
              <w:jc w:val="center"/>
              <w:rPr>
                <w:rFonts w:ascii="宋体" w:hAnsi="宋体" w:cs="宋体"/>
                <w:color w:val="auto"/>
                <w:sz w:val="24"/>
                <w:highlight w:val="none"/>
              </w:rPr>
            </w:pPr>
          </w:p>
        </w:tc>
        <w:tc>
          <w:tcPr>
            <w:tcW w:w="1440" w:type="dxa"/>
            <w:noWrap/>
            <w:vAlign w:val="center"/>
          </w:tcPr>
          <w:p>
            <w:pPr>
              <w:snapToGrid w:val="0"/>
              <w:spacing w:before="50" w:after="50"/>
              <w:jc w:val="center"/>
              <w:rPr>
                <w:rFonts w:ascii="宋体" w:hAnsi="宋体" w:cs="宋体"/>
                <w:color w:val="auto"/>
                <w:sz w:val="24"/>
                <w:highlight w:val="none"/>
              </w:rPr>
            </w:pPr>
          </w:p>
        </w:tc>
        <w:tc>
          <w:tcPr>
            <w:tcW w:w="1980" w:type="dxa"/>
            <w:noWrap/>
            <w:vAlign w:val="center"/>
          </w:tcPr>
          <w:p>
            <w:pPr>
              <w:snapToGrid w:val="0"/>
              <w:spacing w:before="50" w:after="50"/>
              <w:jc w:val="center"/>
              <w:rPr>
                <w:rFonts w:ascii="宋体" w:hAnsi="宋体" w:cs="宋体"/>
                <w:color w:val="auto"/>
                <w:sz w:val="24"/>
                <w:highlight w:val="none"/>
              </w:rPr>
            </w:pPr>
          </w:p>
        </w:tc>
        <w:tc>
          <w:tcPr>
            <w:tcW w:w="2520" w:type="dxa"/>
            <w:noWrap/>
            <w:vAlign w:val="center"/>
          </w:tcPr>
          <w:p>
            <w:pPr>
              <w:snapToGrid w:val="0"/>
              <w:spacing w:before="50" w:after="50"/>
              <w:jc w:val="center"/>
              <w:rPr>
                <w:rFonts w:ascii="宋体" w:hAnsi="宋体" w:cs="宋体"/>
                <w:color w:val="auto"/>
                <w:sz w:val="24"/>
                <w:highlight w:val="none"/>
              </w:rPr>
            </w:pPr>
          </w:p>
        </w:tc>
        <w:tc>
          <w:tcPr>
            <w:tcW w:w="1953" w:type="dxa"/>
            <w:noWrap/>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60" w:type="dxa"/>
            <w:gridSpan w:val="2"/>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投标建议</w:t>
            </w:r>
          </w:p>
        </w:tc>
        <w:tc>
          <w:tcPr>
            <w:tcW w:w="6453" w:type="dxa"/>
            <w:gridSpan w:val="3"/>
            <w:noWrap/>
            <w:vAlign w:val="center"/>
          </w:tcPr>
          <w:p>
            <w:pPr>
              <w:spacing w:line="360" w:lineRule="auto"/>
              <w:jc w:val="center"/>
              <w:rPr>
                <w:rFonts w:ascii="宋体" w:hAnsi="宋体" w:cs="宋体"/>
                <w:color w:val="auto"/>
                <w:sz w:val="24"/>
                <w:highlight w:val="none"/>
              </w:rPr>
            </w:pPr>
          </w:p>
        </w:tc>
      </w:tr>
    </w:tbl>
    <w:p>
      <w:pPr>
        <w:snapToGrid w:val="0"/>
        <w:spacing w:line="360" w:lineRule="auto"/>
        <w:rPr>
          <w:rFonts w:ascii="宋体" w:hAnsi="宋体" w:cs="宋体"/>
          <w:color w:val="auto"/>
          <w:sz w:val="24"/>
          <w:highlight w:val="none"/>
        </w:rPr>
      </w:pPr>
    </w:p>
    <w:p>
      <w:pPr>
        <w:pStyle w:val="12"/>
        <w:spacing w:line="360" w:lineRule="auto"/>
        <w:rPr>
          <w:rFonts w:hAnsi="宋体" w:cs="宋体"/>
          <w:color w:val="auto"/>
          <w:sz w:val="24"/>
          <w:highlight w:val="none"/>
        </w:rPr>
      </w:pPr>
      <w:r>
        <w:rPr>
          <w:rFonts w:hint="eastAsia" w:hAnsi="宋体" w:cs="宋体"/>
          <w:color w:val="auto"/>
          <w:sz w:val="24"/>
          <w:highlight w:val="none"/>
        </w:rPr>
        <w:t>注：名称可基于项目清单根据投标人实际情况调整。</w:t>
      </w:r>
    </w:p>
    <w:p>
      <w:pPr>
        <w:rPr>
          <w:rFonts w:ascii="宋体" w:hAnsi="宋体" w:cs="宋体"/>
          <w:color w:val="auto"/>
          <w:sz w:val="24"/>
          <w:highlight w:val="none"/>
        </w:rPr>
      </w:pPr>
    </w:p>
    <w:p>
      <w:pPr>
        <w:pStyle w:val="9"/>
        <w:rPr>
          <w:color w:val="auto"/>
          <w:highlight w:val="none"/>
        </w:rPr>
      </w:pPr>
    </w:p>
    <w:p>
      <w:pPr>
        <w:snapToGrid w:val="0"/>
        <w:spacing w:line="360" w:lineRule="auto"/>
        <w:rPr>
          <w:rFonts w:ascii="宋体" w:hAnsi="宋体" w:cs="宋体"/>
          <w:color w:val="auto"/>
          <w:sz w:val="24"/>
          <w:highlight w:val="none"/>
        </w:rPr>
      </w:pP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 xml:space="preserve">法定代表人签名（或签名章）：                       </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投标人全称（公章）：</w:t>
      </w:r>
    </w:p>
    <w:p>
      <w:pPr>
        <w:pStyle w:val="2"/>
        <w:rPr>
          <w:rFonts w:hAnsi="宋体" w:cs="宋体"/>
          <w:bCs/>
          <w:color w:val="auto"/>
          <w:sz w:val="24"/>
          <w:szCs w:val="24"/>
          <w:highlight w:val="none"/>
        </w:rPr>
      </w:pPr>
      <w:r>
        <w:rPr>
          <w:rFonts w:hint="eastAsia" w:hAnsi="宋体" w:cs="宋体"/>
          <w:bCs/>
          <w:color w:val="auto"/>
          <w:sz w:val="24"/>
          <w:szCs w:val="24"/>
          <w:highlight w:val="none"/>
        </w:rPr>
        <w:br w:type="page"/>
      </w:r>
      <w:r>
        <w:rPr>
          <w:rFonts w:hint="eastAsia" w:hAnsi="宋体" w:cs="宋体"/>
          <w:bCs/>
          <w:color w:val="auto"/>
          <w:sz w:val="24"/>
          <w:szCs w:val="24"/>
          <w:highlight w:val="none"/>
        </w:rPr>
        <w:t>附件七：</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商务响应表</w:t>
      </w:r>
    </w:p>
    <w:p>
      <w:pPr>
        <w:snapToGrid w:val="0"/>
        <w:spacing w:before="50"/>
        <w:jc w:val="center"/>
        <w:rPr>
          <w:rFonts w:ascii="宋体" w:hAnsi="宋体" w:cs="宋体"/>
          <w:b/>
          <w:color w:val="auto"/>
          <w:sz w:val="32"/>
          <w:szCs w:val="32"/>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项目名称：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采购编号：</w:t>
      </w:r>
    </w:p>
    <w:tbl>
      <w:tblPr>
        <w:tblStyle w:val="2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项目</w:t>
            </w:r>
          </w:p>
        </w:tc>
        <w:tc>
          <w:tcPr>
            <w:tcW w:w="27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招标文件要求</w:t>
            </w: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是否</w:t>
            </w:r>
          </w:p>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响应</w:t>
            </w: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服务时间及地点</w:t>
            </w:r>
          </w:p>
        </w:tc>
        <w:tc>
          <w:tcPr>
            <w:tcW w:w="27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付款条件</w:t>
            </w:r>
          </w:p>
        </w:tc>
        <w:tc>
          <w:tcPr>
            <w:tcW w:w="27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违约责任及争议解决方式</w:t>
            </w:r>
          </w:p>
        </w:tc>
        <w:tc>
          <w:tcPr>
            <w:tcW w:w="27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项目维护计划</w:t>
            </w:r>
          </w:p>
        </w:tc>
        <w:tc>
          <w:tcPr>
            <w:tcW w:w="27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售后服务响应情况</w:t>
            </w:r>
          </w:p>
        </w:tc>
        <w:tc>
          <w:tcPr>
            <w:tcW w:w="27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本地化服务</w:t>
            </w:r>
          </w:p>
        </w:tc>
        <w:tc>
          <w:tcPr>
            <w:tcW w:w="27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技术培训</w:t>
            </w:r>
          </w:p>
        </w:tc>
        <w:tc>
          <w:tcPr>
            <w:tcW w:w="27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24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公司技术力量情况</w:t>
            </w:r>
          </w:p>
        </w:tc>
        <w:tc>
          <w:tcPr>
            <w:tcW w:w="27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经验或业绩要求</w:t>
            </w:r>
          </w:p>
        </w:tc>
        <w:tc>
          <w:tcPr>
            <w:tcW w:w="27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各类证书</w:t>
            </w:r>
          </w:p>
        </w:tc>
        <w:tc>
          <w:tcPr>
            <w:tcW w:w="27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w:t>
            </w:r>
          </w:p>
        </w:tc>
        <w:tc>
          <w:tcPr>
            <w:tcW w:w="27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p>
        </w:tc>
      </w:tr>
    </w:tbl>
    <w:p>
      <w:pPr>
        <w:spacing w:line="360" w:lineRule="auto"/>
        <w:ind w:left="3780" w:leftChars="1800" w:firstLine="480" w:firstLineChars="200"/>
        <w:rPr>
          <w:rFonts w:ascii="宋体" w:hAnsi="宋体" w:cs="宋体"/>
          <w:color w:val="auto"/>
          <w:sz w:val="24"/>
          <w:highlight w:val="none"/>
        </w:rPr>
      </w:pPr>
    </w:p>
    <w:p>
      <w:pPr>
        <w:spacing w:line="360" w:lineRule="auto"/>
        <w:ind w:left="3780" w:leftChars="1800" w:firstLine="480" w:firstLineChars="200"/>
        <w:rPr>
          <w:rFonts w:ascii="宋体" w:hAnsi="宋体" w:cs="宋体"/>
          <w:color w:val="auto"/>
          <w:sz w:val="24"/>
          <w:highlight w:val="none"/>
        </w:rPr>
      </w:pPr>
    </w:p>
    <w:p>
      <w:pPr>
        <w:spacing w:line="360" w:lineRule="auto"/>
        <w:ind w:left="3780" w:leftChars="1800" w:firstLine="480" w:firstLineChars="200"/>
        <w:rPr>
          <w:rFonts w:ascii="宋体" w:hAnsi="宋体" w:cs="宋体"/>
          <w:color w:val="auto"/>
          <w:sz w:val="24"/>
          <w:highlight w:val="none"/>
        </w:rPr>
      </w:pP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 xml:space="preserve">法定代表人签名（或签名章）：                       </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投标人全称（公章）：</w:t>
      </w:r>
    </w:p>
    <w:p>
      <w:pPr>
        <w:snapToGrid w:val="0"/>
        <w:spacing w:before="50" w:after="50"/>
        <w:rPr>
          <w:rFonts w:ascii="宋体" w:hAnsi="宋体" w:cs="宋体"/>
          <w:b/>
          <w:bCs/>
          <w:color w:val="auto"/>
          <w:sz w:val="24"/>
          <w:highlight w:val="none"/>
          <w:lang w:val="zh-CN"/>
        </w:rPr>
      </w:pPr>
      <w:r>
        <w:rPr>
          <w:rFonts w:hint="eastAsia" w:ascii="宋体" w:hAnsi="宋体" w:cs="宋体"/>
          <w:color w:val="auto"/>
          <w:sz w:val="24"/>
          <w:highlight w:val="none"/>
        </w:rPr>
        <w:br w:type="page"/>
      </w:r>
      <w:r>
        <w:rPr>
          <w:rFonts w:hint="eastAsia" w:ascii="宋体" w:hAnsi="宋体" w:cs="宋体"/>
          <w:b/>
          <w:bCs/>
          <w:color w:val="auto"/>
          <w:sz w:val="24"/>
          <w:highlight w:val="none"/>
          <w:lang w:val="zh-CN"/>
        </w:rPr>
        <w:t>附件八：</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项目组人员清单</w:t>
      </w:r>
    </w:p>
    <w:p>
      <w:pPr>
        <w:snapToGrid w:val="0"/>
        <w:spacing w:beforeLines="50" w:after="50"/>
        <w:jc w:val="center"/>
        <w:rPr>
          <w:rFonts w:ascii="宋体" w:hAnsi="宋体" w:cs="宋体"/>
          <w:b/>
          <w:color w:val="auto"/>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项目名称：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采购编号：</w:t>
      </w:r>
    </w:p>
    <w:tbl>
      <w:tblPr>
        <w:tblStyle w:val="2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专业技术资格</w:t>
            </w: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证书编号</w:t>
            </w:r>
          </w:p>
        </w:tc>
        <w:tc>
          <w:tcPr>
            <w:tcW w:w="18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参加本单位工作时间</w:t>
            </w:r>
          </w:p>
        </w:tc>
        <w:tc>
          <w:tcPr>
            <w:tcW w:w="18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pStyle w:val="13"/>
              <w:snapToGrid w:val="0"/>
              <w:spacing w:beforeLines="50" w:after="50" w:line="460" w:lineRule="exact"/>
              <w:ind w:left="5250"/>
              <w:rPr>
                <w:rFonts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color w:val="auto"/>
                <w:sz w:val="24"/>
                <w:highlight w:val="none"/>
              </w:rPr>
            </w:pPr>
          </w:p>
        </w:tc>
      </w:tr>
    </w:tbl>
    <w:p>
      <w:pPr>
        <w:adjustRightInd w:val="0"/>
        <w:snapToGrid w:val="0"/>
        <w:spacing w:line="360" w:lineRule="auto"/>
        <w:jc w:val="left"/>
        <w:rPr>
          <w:rFonts w:ascii="宋体" w:hAnsi="宋体" w:cs="宋体"/>
          <w:color w:val="auto"/>
          <w:sz w:val="24"/>
          <w:highlight w:val="none"/>
        </w:rPr>
      </w:pP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注：在填写时，如本表格不适合投标单位的实际情况，可根据本表格式自行划表填写。 </w:t>
      </w:r>
    </w:p>
    <w:p>
      <w:pPr>
        <w:snapToGrid w:val="0"/>
        <w:spacing w:before="50" w:afterLines="50" w:line="460" w:lineRule="exact"/>
        <w:jc w:val="left"/>
        <w:rPr>
          <w:rFonts w:ascii="宋体" w:hAnsi="宋体" w:cs="宋体"/>
          <w:color w:val="auto"/>
          <w:sz w:val="24"/>
          <w:highlight w:val="none"/>
        </w:rPr>
      </w:pPr>
    </w:p>
    <w:p>
      <w:pPr>
        <w:pStyle w:val="9"/>
        <w:rPr>
          <w:color w:val="auto"/>
          <w:highlight w:val="none"/>
        </w:rPr>
      </w:pP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 xml:space="preserve">法定代表人签名（或签名章）：                       </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投标人全称（公章）：</w:t>
      </w:r>
    </w:p>
    <w:p>
      <w:pPr>
        <w:spacing w:line="360" w:lineRule="auto"/>
        <w:jc w:val="center"/>
        <w:rPr>
          <w:rFonts w:ascii="宋体" w:hAnsi="宋体" w:cs="宋体"/>
          <w:b/>
          <w:color w:val="auto"/>
          <w:kern w:val="0"/>
          <w:sz w:val="36"/>
          <w:szCs w:val="36"/>
          <w:highlight w:val="none"/>
        </w:rPr>
      </w:pPr>
      <w:r>
        <w:rPr>
          <w:rFonts w:hint="eastAsia" w:ascii="宋体" w:hAnsi="宋体" w:cs="宋体"/>
          <w:color w:val="auto"/>
          <w:spacing w:val="20"/>
          <w:sz w:val="30"/>
          <w:szCs w:val="30"/>
          <w:highlight w:val="none"/>
        </w:rPr>
        <w:br w:type="page"/>
      </w:r>
      <w:r>
        <w:rPr>
          <w:rFonts w:hint="eastAsia" w:ascii="宋体" w:hAnsi="宋体" w:cs="宋体"/>
          <w:b/>
          <w:color w:val="auto"/>
          <w:kern w:val="0"/>
          <w:sz w:val="36"/>
          <w:szCs w:val="36"/>
          <w:highlight w:val="none"/>
        </w:rPr>
        <w:t>报价文件</w:t>
      </w:r>
    </w:p>
    <w:p>
      <w:pPr>
        <w:spacing w:line="360" w:lineRule="auto"/>
        <w:jc w:val="center"/>
        <w:rPr>
          <w:rFonts w:ascii="宋体" w:hAnsi="宋体" w:cs="宋体"/>
          <w:b/>
          <w:color w:val="auto"/>
          <w:kern w:val="0"/>
          <w:sz w:val="36"/>
          <w:szCs w:val="36"/>
          <w:highlight w:val="none"/>
        </w:rPr>
      </w:pPr>
    </w:p>
    <w:p>
      <w:pPr>
        <w:spacing w:line="360" w:lineRule="auto"/>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pStyle w:val="9"/>
        <w:ind w:firstLine="723"/>
        <w:rPr>
          <w:rFonts w:ascii="宋体" w:hAnsi="宋体" w:cs="宋体"/>
          <w:b/>
          <w:color w:val="auto"/>
          <w:kern w:val="0"/>
          <w:sz w:val="36"/>
          <w:szCs w:val="36"/>
          <w:highlight w:val="none"/>
        </w:rPr>
      </w:pPr>
    </w:p>
    <w:p>
      <w:pPr>
        <w:tabs>
          <w:tab w:val="left" w:pos="1440"/>
          <w:tab w:val="left" w:pos="1620"/>
          <w:tab w:val="left" w:pos="1800"/>
          <w:tab w:val="left" w:pos="1980"/>
        </w:tabs>
        <w:autoSpaceDE w:val="0"/>
        <w:autoSpaceDN w:val="0"/>
        <w:spacing w:line="360" w:lineRule="auto"/>
        <w:ind w:left="420" w:leftChars="200" w:firstLine="240" w:firstLineChars="100"/>
        <w:textAlignment w:val="bottom"/>
        <w:rPr>
          <w:rFonts w:ascii="宋体" w:hAnsi="宋体" w:cs="宋体"/>
          <w:color w:val="auto"/>
          <w:sz w:val="24"/>
          <w:highlight w:val="none"/>
        </w:rPr>
      </w:pPr>
      <w:r>
        <w:rPr>
          <w:rFonts w:hint="eastAsia" w:ascii="宋体" w:hAnsi="宋体" w:cs="宋体"/>
          <w:color w:val="auto"/>
          <w:sz w:val="24"/>
          <w:highlight w:val="none"/>
        </w:rPr>
        <w:t>（1）投标函（格式见附件）；</w:t>
      </w:r>
    </w:p>
    <w:p>
      <w:pPr>
        <w:tabs>
          <w:tab w:val="left" w:pos="1440"/>
          <w:tab w:val="left" w:pos="1620"/>
          <w:tab w:val="left" w:pos="1800"/>
          <w:tab w:val="left" w:pos="1980"/>
        </w:tabs>
        <w:autoSpaceDE w:val="0"/>
        <w:autoSpaceDN w:val="0"/>
        <w:spacing w:line="360" w:lineRule="auto"/>
        <w:ind w:left="420" w:leftChars="200" w:firstLine="240" w:firstLineChars="100"/>
        <w:textAlignment w:val="bottom"/>
        <w:rPr>
          <w:rFonts w:ascii="宋体" w:hAnsi="宋体" w:cs="宋体"/>
          <w:color w:val="auto"/>
          <w:sz w:val="24"/>
          <w:highlight w:val="none"/>
        </w:rPr>
      </w:pPr>
      <w:r>
        <w:rPr>
          <w:rFonts w:hint="eastAsia" w:ascii="宋体" w:hAnsi="宋体" w:cs="宋体"/>
          <w:color w:val="auto"/>
          <w:sz w:val="24"/>
          <w:highlight w:val="none"/>
        </w:rPr>
        <w:t>（2）开标一览表（格式见附件）；</w:t>
      </w:r>
    </w:p>
    <w:p>
      <w:pPr>
        <w:tabs>
          <w:tab w:val="left" w:pos="1440"/>
          <w:tab w:val="left" w:pos="1620"/>
          <w:tab w:val="left" w:pos="1800"/>
          <w:tab w:val="left" w:pos="1980"/>
        </w:tabs>
        <w:autoSpaceDE w:val="0"/>
        <w:autoSpaceDN w:val="0"/>
        <w:spacing w:line="360" w:lineRule="auto"/>
        <w:ind w:left="420" w:leftChars="200" w:firstLine="240" w:firstLineChars="100"/>
        <w:textAlignment w:val="bottom"/>
        <w:rPr>
          <w:rFonts w:ascii="宋体" w:hAnsi="宋体" w:cs="宋体"/>
          <w:color w:val="auto"/>
          <w:sz w:val="24"/>
          <w:highlight w:val="none"/>
        </w:rPr>
      </w:pPr>
      <w:r>
        <w:rPr>
          <w:rFonts w:hint="eastAsia" w:ascii="宋体" w:hAnsi="宋体" w:cs="宋体"/>
          <w:color w:val="auto"/>
          <w:sz w:val="24"/>
          <w:highlight w:val="none"/>
        </w:rPr>
        <w:t>（3）投标报价明细表（格式见附件）。</w:t>
      </w:r>
    </w:p>
    <w:p>
      <w:pPr>
        <w:pStyle w:val="9"/>
        <w:ind w:firstLine="560"/>
        <w:rPr>
          <w:rFonts w:ascii="宋体" w:hAnsi="宋体" w:cs="宋体"/>
          <w:color w:val="auto"/>
          <w:sz w:val="28"/>
          <w:szCs w:val="28"/>
          <w:highlight w:val="none"/>
        </w:rPr>
      </w:pPr>
    </w:p>
    <w:p>
      <w:pPr>
        <w:pStyle w:val="9"/>
        <w:ind w:firstLine="560"/>
        <w:rPr>
          <w:rFonts w:ascii="宋体" w:hAnsi="宋体" w:cs="宋体"/>
          <w:color w:val="auto"/>
          <w:sz w:val="28"/>
          <w:szCs w:val="28"/>
          <w:highlight w:val="none"/>
        </w:rPr>
      </w:pPr>
    </w:p>
    <w:p>
      <w:pPr>
        <w:pStyle w:val="9"/>
        <w:ind w:firstLine="560"/>
        <w:rPr>
          <w:rFonts w:ascii="宋体" w:hAnsi="宋体" w:cs="宋体"/>
          <w:color w:val="auto"/>
          <w:sz w:val="28"/>
          <w:szCs w:val="28"/>
          <w:highlight w:val="none"/>
        </w:rPr>
      </w:pPr>
    </w:p>
    <w:p>
      <w:pPr>
        <w:pStyle w:val="9"/>
        <w:ind w:firstLine="560"/>
        <w:rPr>
          <w:rFonts w:ascii="宋体" w:hAnsi="宋体" w:cs="宋体"/>
          <w:color w:val="auto"/>
          <w:sz w:val="28"/>
          <w:szCs w:val="28"/>
          <w:highlight w:val="none"/>
        </w:rPr>
      </w:pPr>
    </w:p>
    <w:p>
      <w:pPr>
        <w:pStyle w:val="9"/>
        <w:ind w:firstLine="560"/>
        <w:rPr>
          <w:rFonts w:ascii="宋体" w:hAnsi="宋体" w:cs="宋体"/>
          <w:color w:val="auto"/>
          <w:sz w:val="28"/>
          <w:szCs w:val="28"/>
          <w:highlight w:val="none"/>
        </w:rPr>
      </w:pPr>
    </w:p>
    <w:p>
      <w:pPr>
        <w:pStyle w:val="9"/>
        <w:ind w:firstLine="560"/>
        <w:rPr>
          <w:rFonts w:ascii="宋体" w:hAnsi="宋体" w:cs="宋体"/>
          <w:color w:val="auto"/>
          <w:sz w:val="28"/>
          <w:szCs w:val="28"/>
          <w:highlight w:val="none"/>
        </w:rPr>
      </w:pPr>
    </w:p>
    <w:p>
      <w:pPr>
        <w:pStyle w:val="9"/>
        <w:ind w:firstLine="560"/>
        <w:rPr>
          <w:rFonts w:ascii="宋体" w:hAnsi="宋体" w:cs="宋体"/>
          <w:color w:val="auto"/>
          <w:sz w:val="28"/>
          <w:szCs w:val="28"/>
          <w:highlight w:val="none"/>
        </w:rPr>
      </w:pPr>
    </w:p>
    <w:p>
      <w:pPr>
        <w:pStyle w:val="9"/>
        <w:ind w:firstLine="560"/>
        <w:rPr>
          <w:rFonts w:ascii="宋体" w:hAnsi="宋体" w:cs="宋体"/>
          <w:color w:val="auto"/>
          <w:sz w:val="28"/>
          <w:szCs w:val="28"/>
          <w:highlight w:val="none"/>
        </w:rPr>
      </w:pPr>
    </w:p>
    <w:p>
      <w:pPr>
        <w:pStyle w:val="9"/>
        <w:ind w:firstLine="560"/>
        <w:rPr>
          <w:rFonts w:ascii="宋体" w:hAnsi="宋体" w:cs="宋体"/>
          <w:color w:val="auto"/>
          <w:sz w:val="28"/>
          <w:szCs w:val="28"/>
          <w:highlight w:val="none"/>
        </w:rPr>
      </w:pPr>
    </w:p>
    <w:p>
      <w:pPr>
        <w:pStyle w:val="2"/>
        <w:rPr>
          <w:rFonts w:hAnsi="宋体" w:cs="宋体"/>
          <w:bCs/>
          <w:color w:val="auto"/>
          <w:sz w:val="24"/>
          <w:szCs w:val="24"/>
          <w:highlight w:val="none"/>
          <w:lang w:val="zh-CN"/>
        </w:rPr>
      </w:pPr>
      <w:r>
        <w:rPr>
          <w:rFonts w:hint="eastAsia" w:hAnsi="宋体" w:cs="宋体"/>
          <w:color w:val="auto"/>
          <w:szCs w:val="28"/>
          <w:highlight w:val="none"/>
        </w:rPr>
        <w:br w:type="page"/>
      </w:r>
      <w:bookmarkStart w:id="454" w:name="_Toc3094"/>
      <w:r>
        <w:rPr>
          <w:rFonts w:hint="eastAsia" w:hAnsi="宋体" w:cs="宋体"/>
          <w:bCs/>
          <w:color w:val="auto"/>
          <w:sz w:val="24"/>
          <w:szCs w:val="24"/>
          <w:highlight w:val="none"/>
          <w:lang w:val="zh-CN"/>
        </w:rPr>
        <w:t>附件</w:t>
      </w:r>
      <w:bookmarkStart w:id="455" w:name="_Toc98731770"/>
      <w:bookmarkStart w:id="456" w:name="_Toc130094924"/>
      <w:r>
        <w:rPr>
          <w:rFonts w:hint="eastAsia" w:hAnsi="宋体" w:cs="宋体"/>
          <w:bCs/>
          <w:color w:val="auto"/>
          <w:sz w:val="24"/>
          <w:szCs w:val="24"/>
          <w:highlight w:val="none"/>
        </w:rPr>
        <w:t>九：</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投 标 函</w:t>
      </w:r>
      <w:bookmarkEnd w:id="454"/>
      <w:bookmarkEnd w:id="455"/>
      <w:bookmarkEnd w:id="456"/>
    </w:p>
    <w:p>
      <w:pPr>
        <w:spacing w:line="360" w:lineRule="auto"/>
        <w:ind w:firstLine="480" w:firstLineChars="200"/>
        <w:rPr>
          <w:rFonts w:ascii="宋体" w:hAnsi="宋体" w:cs="宋体"/>
          <w:color w:val="auto"/>
          <w:sz w:val="24"/>
          <w:highlight w:val="none"/>
          <w:u w:val="singl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eastAsia="zh-CN"/>
        </w:rPr>
        <w:t>绍兴市上虞区特色小镇投资建设有限公司</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浙江宇康工程管理咨询有限公司：</w:t>
      </w:r>
    </w:p>
    <w:p>
      <w:pPr>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我单位认真研究了关于的招标文件，包括修改文件（如有的话）以及全部参考资料和有关附件。我们完全理解并接受招标文件的各项规定和要求，对招标文件的合理性、合法性不再有异议。如招标文件前后有矛盾的，我方完全同意按贵方的理解处理。我单位承诺：</w:t>
      </w:r>
    </w:p>
    <w:p>
      <w:pPr>
        <w:spacing w:line="360" w:lineRule="auto"/>
        <w:ind w:firstLine="576" w:firstLineChars="240"/>
        <w:rPr>
          <w:rFonts w:ascii="宋体" w:hAnsi="宋体" w:cs="宋体"/>
          <w:color w:val="auto"/>
          <w:sz w:val="24"/>
          <w:highlight w:val="none"/>
        </w:rPr>
      </w:pPr>
      <w:r>
        <w:rPr>
          <w:rFonts w:ascii="宋体" w:hAnsi="宋体" w:cs="宋体"/>
          <w:color w:val="auto"/>
          <w:sz w:val="24"/>
          <w:highlight w:val="none"/>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495300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pt;margin-top:39pt;height:0pt;width:0.05pt;z-index:251659264;mso-width-relative:page;mso-height-relative:page;" filled="f" stroked="t" coordsize="21600,21600" o:allowincell="f" o:gfxdata="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6T0kGtIAAAAHAQAADwAAAAAAAAABACAAAAAiAAAAZHJzL2Rvd25yZXYueG1sUEsBAhQAFAAA&#10;AAgAh07iQIScJp71AQAA7gMAAA4AAAAAAAAAAQAgAAAAIQEAAGRycy9lMm9Eb2MueG1sUEsFBgAA&#10;AAAGAAYAWQEAAIgFAAAAAA==&#10;">
                <v:fill on="f" focussize="0,0"/>
                <v:stroke color="#000000" joinstyle="round"/>
                <v:imagedata o:title=""/>
                <o:lock v:ext="edit" aspectratio="f"/>
              </v:line>
            </w:pict>
          </mc:Fallback>
        </mc:AlternateContent>
      </w:r>
      <w:r>
        <w:rPr>
          <w:rFonts w:hint="eastAsia" w:ascii="宋体" w:hAnsi="宋体" w:cs="宋体"/>
          <w:color w:val="auto"/>
          <w:sz w:val="24"/>
          <w:highlight w:val="none"/>
        </w:rPr>
        <w:t>1、一旦我单位中标，我单位愿意承接开标一览表和投标报价明细表中所列的所有服务，服务期为：</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天</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2、我单位同意提供按照</w:t>
      </w:r>
      <w:r>
        <w:rPr>
          <w:rFonts w:hint="eastAsia" w:ascii="宋体" w:hAnsi="宋体" w:cs="宋体"/>
          <w:bCs/>
          <w:color w:val="auto"/>
          <w:sz w:val="24"/>
          <w:highlight w:val="none"/>
        </w:rPr>
        <w:t>采购人的可能要求与其投标有关的一切数据和资料，完全理解采购人不一定要接受最低价者作为中标人</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3、一旦我单位中标，我们保证按照招标文件的要求，完成服务。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4、如果我单位中标，我方将按照要求提交履约保证金，严格履行合同义务。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5、除非另行达成协议并生效，你方的中标通知书和本投标函将构成约束你我双方的合同。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6、我单位承诺，一旦发生招标文件第二部分第12条规定情形之一的，承担该条款约定的责任。</w:t>
      </w:r>
    </w:p>
    <w:p>
      <w:pPr>
        <w:pStyle w:val="12"/>
        <w:snapToGrid w:val="0"/>
        <w:spacing w:line="360" w:lineRule="auto"/>
        <w:ind w:left="480"/>
        <w:jc w:val="left"/>
        <w:rPr>
          <w:rFonts w:hAnsi="宋体" w:cs="宋体"/>
          <w:color w:val="auto"/>
          <w:sz w:val="24"/>
          <w:highlight w:val="none"/>
        </w:rPr>
      </w:pPr>
    </w:p>
    <w:p>
      <w:pPr>
        <w:spacing w:line="360" w:lineRule="auto"/>
        <w:ind w:firstLine="480" w:firstLineChars="200"/>
        <w:rPr>
          <w:rFonts w:ascii="宋体" w:hAnsi="宋体" w:cs="宋体"/>
          <w:bCs/>
          <w:color w:val="auto"/>
          <w:sz w:val="24"/>
          <w:szCs w:val="21"/>
          <w:highlight w:val="none"/>
        </w:rPr>
      </w:pPr>
      <w:r>
        <w:rPr>
          <w:rFonts w:hint="eastAsia" w:ascii="宋体" w:hAnsi="宋体" w:cs="宋体"/>
          <w:bCs/>
          <w:color w:val="auto"/>
          <w:sz w:val="24"/>
          <w:szCs w:val="21"/>
          <w:highlight w:val="none"/>
        </w:rPr>
        <w:t>地址：邮编：</w:t>
      </w:r>
    </w:p>
    <w:p>
      <w:pPr>
        <w:spacing w:line="360" w:lineRule="auto"/>
        <w:ind w:firstLine="480" w:firstLineChars="200"/>
        <w:rPr>
          <w:rFonts w:ascii="宋体" w:hAnsi="宋体" w:cs="宋体"/>
          <w:bCs/>
          <w:color w:val="auto"/>
          <w:sz w:val="24"/>
          <w:szCs w:val="21"/>
          <w:highlight w:val="none"/>
          <w:u w:val="single"/>
        </w:rPr>
      </w:pPr>
      <w:r>
        <w:rPr>
          <w:rFonts w:hint="eastAsia" w:ascii="宋体" w:hAnsi="宋体" w:cs="宋体"/>
          <w:bCs/>
          <w:color w:val="auto"/>
          <w:sz w:val="24"/>
          <w:szCs w:val="21"/>
          <w:highlight w:val="none"/>
        </w:rPr>
        <w:t>电话：传真：</w:t>
      </w:r>
    </w:p>
    <w:p>
      <w:pPr>
        <w:spacing w:line="360" w:lineRule="auto"/>
        <w:ind w:firstLine="480" w:firstLineChars="200"/>
        <w:rPr>
          <w:rFonts w:ascii="宋体" w:hAnsi="宋体" w:cs="宋体"/>
          <w:bCs/>
          <w:color w:val="auto"/>
          <w:sz w:val="24"/>
          <w:szCs w:val="21"/>
          <w:highlight w:val="none"/>
        </w:rPr>
      </w:pPr>
      <w:r>
        <w:rPr>
          <w:rFonts w:hint="eastAsia" w:ascii="宋体" w:hAnsi="宋体" w:cs="宋体"/>
          <w:bCs/>
          <w:color w:val="auto"/>
          <w:sz w:val="24"/>
          <w:szCs w:val="21"/>
          <w:highlight w:val="none"/>
        </w:rPr>
        <w:t>供应商代表姓名：职务：</w:t>
      </w:r>
    </w:p>
    <w:p>
      <w:pPr>
        <w:spacing w:line="360" w:lineRule="auto"/>
        <w:ind w:firstLine="480" w:firstLineChars="200"/>
        <w:rPr>
          <w:rFonts w:ascii="宋体" w:hAnsi="宋体" w:cs="宋体"/>
          <w:bCs/>
          <w:color w:val="auto"/>
          <w:sz w:val="24"/>
          <w:szCs w:val="21"/>
          <w:highlight w:val="none"/>
        </w:rPr>
      </w:pPr>
      <w:r>
        <w:rPr>
          <w:rFonts w:hint="eastAsia" w:ascii="宋体" w:hAnsi="宋体" w:cs="宋体"/>
          <w:bCs/>
          <w:color w:val="auto"/>
          <w:sz w:val="24"/>
          <w:szCs w:val="21"/>
          <w:highlight w:val="none"/>
        </w:rPr>
        <w:t>供应商名称</w:t>
      </w:r>
      <w:r>
        <w:rPr>
          <w:rFonts w:hint="eastAsia" w:ascii="宋体" w:hAnsi="宋体" w:cs="宋体"/>
          <w:bCs/>
          <w:color w:val="auto"/>
          <w:sz w:val="24"/>
          <w:szCs w:val="21"/>
          <w:highlight w:val="none"/>
          <w:u w:val="single"/>
        </w:rPr>
        <w:t>：                   　　　</w:t>
      </w:r>
    </w:p>
    <w:p>
      <w:pPr>
        <w:spacing w:line="360" w:lineRule="auto"/>
        <w:ind w:firstLine="480" w:firstLineChars="200"/>
        <w:rPr>
          <w:rFonts w:ascii="宋体" w:hAnsi="宋体" w:cs="宋体"/>
          <w:bCs/>
          <w:color w:val="auto"/>
          <w:sz w:val="24"/>
          <w:szCs w:val="21"/>
          <w:highlight w:val="none"/>
        </w:rPr>
      </w:pPr>
      <w:r>
        <w:rPr>
          <w:rFonts w:hint="eastAsia" w:ascii="宋体" w:hAnsi="宋体" w:cs="宋体"/>
          <w:bCs/>
          <w:color w:val="auto"/>
          <w:sz w:val="24"/>
          <w:szCs w:val="21"/>
          <w:highlight w:val="none"/>
        </w:rPr>
        <w:t xml:space="preserve">（公章）：                   </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 xml:space="preserve">法定代表人签名（或签名章）：                       </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5280" w:firstLineChars="2200"/>
        <w:rPr>
          <w:rFonts w:ascii="宋体" w:hAnsi="宋体" w:cs="宋体"/>
          <w:bCs/>
          <w:color w:val="auto"/>
          <w:sz w:val="24"/>
          <w:szCs w:val="21"/>
          <w:highlight w:val="none"/>
        </w:rPr>
      </w:pPr>
    </w:p>
    <w:p>
      <w:pPr>
        <w:pStyle w:val="2"/>
        <w:rPr>
          <w:rFonts w:hAnsi="宋体" w:cs="宋体"/>
          <w:bCs/>
          <w:color w:val="auto"/>
          <w:sz w:val="24"/>
          <w:szCs w:val="24"/>
          <w:highlight w:val="none"/>
          <w:lang w:val="zh-CN"/>
        </w:rPr>
        <w:sectPr>
          <w:footerReference r:id="rId6" w:type="default"/>
          <w:pgSz w:w="11906" w:h="16838"/>
          <w:pgMar w:top="1440" w:right="1800" w:bottom="1440" w:left="1800" w:header="851" w:footer="992" w:gutter="0"/>
          <w:cols w:space="720" w:num="1"/>
          <w:docGrid w:type="lines" w:linePitch="312" w:charSpace="0"/>
        </w:sectPr>
      </w:pPr>
      <w:bookmarkStart w:id="457" w:name="_Toc12011"/>
    </w:p>
    <w:p>
      <w:pPr>
        <w:pStyle w:val="12"/>
        <w:spacing w:line="460" w:lineRule="atLeast"/>
        <w:rPr>
          <w:rFonts w:hAnsi="宋体"/>
          <w:b/>
          <w:bCs/>
          <w:color w:val="auto"/>
          <w:sz w:val="24"/>
          <w:highlight w:val="none"/>
        </w:rPr>
      </w:pPr>
      <w:r>
        <w:rPr>
          <w:rFonts w:hint="eastAsia" w:hAnsi="宋体"/>
          <w:b/>
          <w:bCs/>
          <w:color w:val="auto"/>
          <w:sz w:val="24"/>
          <w:highlight w:val="none"/>
        </w:rPr>
        <w:t>附件十：</w:t>
      </w:r>
    </w:p>
    <w:p>
      <w:pPr>
        <w:pStyle w:val="12"/>
        <w:spacing w:line="460" w:lineRule="atLeast"/>
        <w:jc w:val="center"/>
        <w:rPr>
          <w:rFonts w:hAnsi="宋体"/>
          <w:b/>
          <w:bCs/>
          <w:color w:val="auto"/>
          <w:sz w:val="24"/>
          <w:highlight w:val="none"/>
        </w:rPr>
      </w:pPr>
      <w:r>
        <w:rPr>
          <w:rFonts w:hint="eastAsia" w:hAnsi="宋体" w:cs="宋体"/>
          <w:b/>
          <w:bCs/>
          <w:color w:val="auto"/>
          <w:sz w:val="32"/>
          <w:szCs w:val="32"/>
          <w:highlight w:val="none"/>
        </w:rPr>
        <w:t>开标一览表</w:t>
      </w:r>
    </w:p>
    <w:p>
      <w:pPr>
        <w:pStyle w:val="12"/>
        <w:spacing w:line="460" w:lineRule="atLeast"/>
        <w:rPr>
          <w:rFonts w:hAnsi="宋体"/>
          <w:color w:val="auto"/>
          <w:sz w:val="24"/>
          <w:highlight w:val="none"/>
        </w:rPr>
      </w:pPr>
    </w:p>
    <w:bookmarkEnd w:id="457"/>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项目名称：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项目编号：</w:t>
      </w:r>
    </w:p>
    <w:tbl>
      <w:tblPr>
        <w:tblStyle w:val="21"/>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9" w:hRule="atLeast"/>
          <w:jc w:val="center"/>
        </w:trPr>
        <w:tc>
          <w:tcPr>
            <w:tcW w:w="2089" w:type="dxa"/>
            <w:noWrap/>
            <w:vAlign w:val="center"/>
          </w:tcPr>
          <w:p>
            <w:pPr>
              <w:pStyle w:val="12"/>
              <w:spacing w:line="360" w:lineRule="auto"/>
              <w:jc w:val="center"/>
              <w:rPr>
                <w:rFonts w:hAnsi="宋体" w:cs="宋体"/>
                <w:b/>
                <w:bCs/>
                <w:color w:val="auto"/>
                <w:sz w:val="24"/>
                <w:highlight w:val="none"/>
              </w:rPr>
            </w:pPr>
            <w:r>
              <w:rPr>
                <w:rFonts w:hint="eastAsia" w:hAnsi="宋体" w:cs="宋体"/>
                <w:b/>
                <w:bCs/>
                <w:color w:val="auto"/>
                <w:sz w:val="24"/>
                <w:highlight w:val="none"/>
              </w:rPr>
              <w:t>投标报价</w:t>
            </w:r>
          </w:p>
        </w:tc>
        <w:tc>
          <w:tcPr>
            <w:tcW w:w="6707" w:type="dxa"/>
            <w:noWrap/>
            <w:vAlign w:val="center"/>
          </w:tcPr>
          <w:p>
            <w:pPr>
              <w:pStyle w:val="12"/>
              <w:spacing w:line="360" w:lineRule="auto"/>
              <w:jc w:val="center"/>
              <w:rPr>
                <w:rFonts w:hAnsi="宋体" w:cs="宋体"/>
                <w:b/>
                <w:bCs/>
                <w:color w:val="auto"/>
                <w:sz w:val="24"/>
                <w:highlight w:val="none"/>
              </w:rPr>
            </w:pPr>
            <w:r>
              <w:rPr>
                <w:rFonts w:hint="eastAsia" w:hAnsi="宋体" w:cs="宋体"/>
                <w:b/>
                <w:bCs/>
                <w:color w:val="auto"/>
                <w:sz w:val="24"/>
                <w:highlight w:val="none"/>
              </w:rPr>
              <w:t>大写：</w:t>
            </w:r>
            <w:r>
              <w:rPr>
                <w:rFonts w:hint="eastAsia" w:hAnsi="宋体" w:cs="宋体"/>
                <w:b/>
                <w:bCs/>
                <w:color w:val="auto"/>
                <w:sz w:val="24"/>
                <w:highlight w:val="none"/>
                <w:u w:val="single"/>
              </w:rPr>
              <w:t xml:space="preserve">　　　　            </w:t>
            </w:r>
            <w:r>
              <w:rPr>
                <w:rFonts w:hint="eastAsia" w:hAnsi="宋体" w:cs="宋体"/>
                <w:b/>
                <w:bCs/>
                <w:color w:val="auto"/>
                <w:sz w:val="24"/>
                <w:highlight w:val="none"/>
              </w:rPr>
              <w:t>元（小写：</w:t>
            </w:r>
            <w:r>
              <w:rPr>
                <w:rFonts w:hint="eastAsia" w:hAnsi="宋体" w:cs="宋体"/>
                <w:b/>
                <w:bCs/>
                <w:color w:val="auto"/>
                <w:sz w:val="24"/>
                <w:highlight w:val="none"/>
                <w:u w:val="single"/>
              </w:rPr>
              <w:t xml:space="preserve">　　　　 </w:t>
            </w:r>
            <w:r>
              <w:rPr>
                <w:rFonts w:hint="eastAsia" w:hAnsi="宋体" w:cs="宋体"/>
                <w:b/>
                <w:bCs/>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jc w:val="center"/>
        </w:trPr>
        <w:tc>
          <w:tcPr>
            <w:tcW w:w="8796" w:type="dxa"/>
            <w:gridSpan w:val="2"/>
            <w:noWrap/>
            <w:vAlign w:val="center"/>
          </w:tcPr>
          <w:p>
            <w:pPr>
              <w:pStyle w:val="27"/>
              <w:tabs>
                <w:tab w:val="left" w:pos="0"/>
              </w:tabs>
              <w:spacing w:before="0"/>
              <w:ind w:firstLine="482"/>
              <w:rPr>
                <w:rFonts w:ascii="宋体" w:hAnsi="宋体" w:cs="宋体"/>
                <w:b/>
                <w:bCs/>
                <w:color w:val="auto"/>
                <w:highlight w:val="none"/>
              </w:rPr>
            </w:pPr>
            <w:r>
              <w:rPr>
                <w:rFonts w:hint="eastAsia" w:ascii="宋体" w:hAnsi="宋体" w:cs="宋体"/>
                <w:b/>
                <w:bCs/>
                <w:color w:val="auto"/>
                <w:highlight w:val="none"/>
              </w:rPr>
              <w:t>投标报价统一包括本项目所需</w:t>
            </w:r>
            <w:r>
              <w:rPr>
                <w:rFonts w:hint="eastAsia" w:ascii="宋体" w:hAnsi="宋体" w:cs="宋体"/>
                <w:b/>
                <w:bCs/>
                <w:color w:val="auto"/>
                <w:highlight w:val="none"/>
                <w:lang w:val="en-US" w:eastAsia="zh-CN"/>
              </w:rPr>
              <w:t>活动</w:t>
            </w:r>
            <w:r>
              <w:rPr>
                <w:rFonts w:hint="eastAsia" w:ascii="宋体" w:hAnsi="宋体" w:cs="宋体"/>
                <w:b/>
                <w:bCs/>
                <w:color w:val="auto"/>
                <w:highlight w:val="none"/>
              </w:rPr>
              <w:t>设计费、会议物料制作费、宣传品、会场布置费、舞台搭建费、氛围布置费、音响设备、场地租赁费、评委评审费、嘉宾邀请费、</w:t>
            </w:r>
            <w:r>
              <w:rPr>
                <w:rFonts w:hint="eastAsia" w:ascii="宋体" w:hAnsi="宋体" w:cs="宋体"/>
                <w:b/>
                <w:bCs/>
                <w:color w:val="auto"/>
                <w:highlight w:val="none"/>
                <w:lang w:val="en-US" w:eastAsia="zh-CN"/>
              </w:rPr>
              <w:t>奖金、</w:t>
            </w:r>
            <w:r>
              <w:rPr>
                <w:rFonts w:hint="eastAsia" w:ascii="宋体" w:hAnsi="宋体" w:cs="宋体"/>
                <w:b/>
                <w:bCs/>
                <w:color w:val="auto"/>
                <w:highlight w:val="none"/>
              </w:rPr>
              <w:t>住宿及餐饮费、</w:t>
            </w:r>
            <w:r>
              <w:rPr>
                <w:rFonts w:hint="eastAsia" w:ascii="宋体" w:hAnsi="宋体" w:cs="宋体"/>
                <w:b/>
                <w:bCs/>
                <w:color w:val="auto"/>
                <w:highlight w:val="none"/>
                <w:lang w:val="en-US" w:eastAsia="zh-CN"/>
              </w:rPr>
              <w:t>交通补贴、</w:t>
            </w:r>
            <w:r>
              <w:rPr>
                <w:rFonts w:hint="eastAsia" w:ascii="宋体" w:hAnsi="宋体" w:cs="宋体"/>
                <w:b/>
                <w:bCs/>
                <w:color w:val="auto"/>
                <w:highlight w:val="none"/>
              </w:rPr>
              <w:t>宣传费、摄影及摄像费、招标代理费、规费、税金及不可预见费等一切相关费用。凡投标人在报价中未列明但又为本次采购所必备的项目或遗漏项目，采购人将一律视为已包括在合同价中，在合同执行中将不予考虑。</w:t>
            </w:r>
          </w:p>
        </w:tc>
      </w:tr>
    </w:tbl>
    <w:p>
      <w:pPr>
        <w:pStyle w:val="10"/>
        <w:rPr>
          <w:color w:val="auto"/>
          <w:highlight w:val="none"/>
        </w:rPr>
      </w:pPr>
    </w:p>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 xml:space="preserve">注: </w:t>
      </w:r>
    </w:p>
    <w:p>
      <w:pPr>
        <w:numPr>
          <w:ilvl w:val="0"/>
          <w:numId w:val="44"/>
        </w:num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报价一经涂改，应在涂改处加盖单位公章或者由法定代表人或授权委托人签字或盖章，否则其投标作无效标处理。</w:t>
      </w:r>
    </w:p>
    <w:p>
      <w:pPr>
        <w:numPr>
          <w:ilvl w:val="0"/>
          <w:numId w:val="44"/>
        </w:num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开标一览表格式不得修改，</w:t>
      </w:r>
      <w:r>
        <w:rPr>
          <w:rFonts w:hint="eastAsia" w:ascii="宋体" w:hAnsi="宋体" w:cs="宋体"/>
          <w:color w:val="auto"/>
          <w:sz w:val="24"/>
          <w:highlight w:val="none"/>
        </w:rPr>
        <w:t>否则其投标作无效标处理。</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pStyle w:val="12"/>
        <w:spacing w:line="420" w:lineRule="auto"/>
        <w:rPr>
          <w:rFonts w:hAnsi="宋体" w:cs="宋体"/>
          <w:color w:val="auto"/>
          <w:sz w:val="24"/>
          <w:highlight w:val="none"/>
        </w:rPr>
      </w:pPr>
      <w:r>
        <w:rPr>
          <w:rFonts w:hint="eastAsia" w:hAnsi="宋体" w:cs="宋体"/>
          <w:color w:val="auto"/>
          <w:sz w:val="24"/>
          <w:highlight w:val="none"/>
        </w:rPr>
        <w:t xml:space="preserve">                                  投标人全称（盖章）：</w:t>
      </w:r>
    </w:p>
    <w:p>
      <w:pPr>
        <w:pStyle w:val="12"/>
        <w:spacing w:line="420" w:lineRule="auto"/>
        <w:rPr>
          <w:rFonts w:hAnsi="宋体" w:cs="宋体"/>
          <w:color w:val="auto"/>
          <w:sz w:val="24"/>
          <w:highlight w:val="none"/>
        </w:rPr>
      </w:pPr>
      <w:r>
        <w:rPr>
          <w:rFonts w:hint="eastAsia" w:hAnsi="宋体" w:cs="宋体"/>
          <w:color w:val="auto"/>
          <w:sz w:val="24"/>
          <w:highlight w:val="none"/>
        </w:rPr>
        <w:t xml:space="preserve">                                  法定代表人或授权委托人（签字或盖章）：</w:t>
      </w:r>
    </w:p>
    <w:p>
      <w:pPr>
        <w:jc w:val="center"/>
        <w:rPr>
          <w:rFonts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   期：</w:t>
      </w:r>
    </w:p>
    <w:p>
      <w:pPr>
        <w:rPr>
          <w:rFonts w:ascii="宋体" w:hAnsi="宋体" w:cs="宋体"/>
          <w:color w:val="auto"/>
          <w:sz w:val="24"/>
          <w:highlight w:val="none"/>
        </w:rPr>
      </w:pPr>
      <w:r>
        <w:rPr>
          <w:rFonts w:hint="eastAsia" w:ascii="宋体" w:hAnsi="宋体" w:cs="宋体"/>
          <w:color w:val="auto"/>
          <w:sz w:val="24"/>
          <w:highlight w:val="none"/>
        </w:rPr>
        <w:br w:type="page"/>
      </w:r>
    </w:p>
    <w:p>
      <w:pPr>
        <w:pStyle w:val="2"/>
        <w:rPr>
          <w:rFonts w:hAnsi="宋体" w:cs="宋体"/>
          <w:bCs/>
          <w:color w:val="auto"/>
          <w:sz w:val="24"/>
          <w:szCs w:val="24"/>
          <w:highlight w:val="none"/>
          <w:lang w:val="zh-CN"/>
        </w:rPr>
      </w:pPr>
      <w:r>
        <w:rPr>
          <w:rFonts w:hint="eastAsia" w:hAnsi="宋体" w:cs="宋体"/>
          <w:bCs/>
          <w:color w:val="auto"/>
          <w:sz w:val="24"/>
          <w:szCs w:val="24"/>
          <w:highlight w:val="none"/>
          <w:lang w:val="zh-CN"/>
        </w:rPr>
        <w:t>附件</w:t>
      </w:r>
      <w:r>
        <w:rPr>
          <w:rFonts w:hint="eastAsia" w:hAnsi="宋体" w:cs="宋体"/>
          <w:bCs/>
          <w:color w:val="auto"/>
          <w:sz w:val="24"/>
          <w:szCs w:val="24"/>
          <w:highlight w:val="none"/>
        </w:rPr>
        <w:t>十一：</w:t>
      </w:r>
    </w:p>
    <w:p>
      <w:pPr>
        <w:spacing w:line="360" w:lineRule="auto"/>
        <w:jc w:val="center"/>
        <w:rPr>
          <w:rFonts w:hAnsi="宋体" w:cs="宋体"/>
          <w:color w:val="auto"/>
          <w:sz w:val="24"/>
          <w:highlight w:val="none"/>
        </w:rPr>
      </w:pPr>
      <w:r>
        <w:rPr>
          <w:rFonts w:hint="eastAsia" w:ascii="宋体" w:hAnsi="宋体" w:cs="宋体"/>
          <w:b/>
          <w:bCs/>
          <w:color w:val="auto"/>
          <w:sz w:val="32"/>
          <w:szCs w:val="32"/>
          <w:highlight w:val="none"/>
        </w:rPr>
        <w:t>投标报价明细表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项目名称：</w:t>
      </w:r>
    </w:p>
    <w:p>
      <w:pPr>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采购编号：   </w:t>
      </w:r>
    </w:p>
    <w:tbl>
      <w:tblPr>
        <w:tblStyle w:val="21"/>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2492"/>
        <w:gridCol w:w="915"/>
        <w:gridCol w:w="1876"/>
        <w:gridCol w:w="495"/>
        <w:gridCol w:w="498"/>
        <w:gridCol w:w="1148"/>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Merge w:val="restart"/>
            <w:noWrap w:val="0"/>
            <w:vAlign w:val="center"/>
          </w:tcPr>
          <w:p>
            <w:pPr>
              <w:pStyle w:val="12"/>
              <w:spacing w:line="360" w:lineRule="auto"/>
              <w:jc w:val="center"/>
              <w:rPr>
                <w:rFonts w:hAnsi="宋体"/>
                <w:sz w:val="22"/>
                <w:szCs w:val="22"/>
              </w:rPr>
            </w:pPr>
            <w:r>
              <w:rPr>
                <w:rFonts w:hint="eastAsia" w:hAnsi="宋体"/>
                <w:sz w:val="22"/>
                <w:szCs w:val="22"/>
              </w:rPr>
              <w:t>序</w:t>
            </w:r>
          </w:p>
          <w:p>
            <w:pPr>
              <w:pStyle w:val="12"/>
              <w:spacing w:line="360" w:lineRule="auto"/>
              <w:jc w:val="center"/>
              <w:rPr>
                <w:rFonts w:hAnsi="宋体"/>
                <w:sz w:val="22"/>
                <w:szCs w:val="22"/>
              </w:rPr>
            </w:pPr>
            <w:r>
              <w:rPr>
                <w:rFonts w:hint="eastAsia" w:hAnsi="宋体"/>
                <w:sz w:val="22"/>
                <w:szCs w:val="22"/>
              </w:rPr>
              <w:t>号</w:t>
            </w:r>
          </w:p>
        </w:tc>
        <w:tc>
          <w:tcPr>
            <w:tcW w:w="2492" w:type="dxa"/>
            <w:vMerge w:val="restart"/>
            <w:noWrap w:val="0"/>
            <w:vAlign w:val="center"/>
          </w:tcPr>
          <w:p>
            <w:pPr>
              <w:pStyle w:val="12"/>
              <w:spacing w:line="360" w:lineRule="auto"/>
              <w:jc w:val="center"/>
              <w:rPr>
                <w:rFonts w:hAnsi="宋体"/>
                <w:sz w:val="22"/>
                <w:szCs w:val="22"/>
              </w:rPr>
            </w:pPr>
            <w:r>
              <w:rPr>
                <w:rFonts w:hint="eastAsia" w:hAnsi="宋体"/>
                <w:sz w:val="22"/>
                <w:szCs w:val="22"/>
              </w:rPr>
              <w:t>名称</w:t>
            </w:r>
          </w:p>
        </w:tc>
        <w:tc>
          <w:tcPr>
            <w:tcW w:w="915" w:type="dxa"/>
            <w:vMerge w:val="restart"/>
            <w:noWrap w:val="0"/>
            <w:vAlign w:val="center"/>
          </w:tcPr>
          <w:p>
            <w:pPr>
              <w:pStyle w:val="12"/>
              <w:spacing w:line="360" w:lineRule="auto"/>
              <w:jc w:val="center"/>
              <w:rPr>
                <w:rFonts w:hAnsi="宋体"/>
                <w:sz w:val="22"/>
                <w:szCs w:val="22"/>
              </w:rPr>
            </w:pPr>
            <w:r>
              <w:rPr>
                <w:rFonts w:hint="eastAsia" w:hAnsi="宋体"/>
                <w:sz w:val="22"/>
                <w:szCs w:val="22"/>
              </w:rPr>
              <w:t>内容</w:t>
            </w:r>
          </w:p>
        </w:tc>
        <w:tc>
          <w:tcPr>
            <w:tcW w:w="1876" w:type="dxa"/>
            <w:vMerge w:val="restart"/>
            <w:noWrap w:val="0"/>
            <w:vAlign w:val="center"/>
          </w:tcPr>
          <w:p>
            <w:pPr>
              <w:pStyle w:val="12"/>
              <w:spacing w:line="360" w:lineRule="auto"/>
              <w:jc w:val="center"/>
              <w:rPr>
                <w:rFonts w:hAnsi="宋体"/>
                <w:sz w:val="22"/>
                <w:szCs w:val="22"/>
              </w:rPr>
            </w:pPr>
            <w:r>
              <w:rPr>
                <w:rFonts w:hint="eastAsia" w:hAnsi="宋体"/>
                <w:sz w:val="22"/>
                <w:szCs w:val="22"/>
              </w:rPr>
              <w:t>其他</w:t>
            </w:r>
          </w:p>
        </w:tc>
        <w:tc>
          <w:tcPr>
            <w:tcW w:w="495" w:type="dxa"/>
            <w:vMerge w:val="restart"/>
            <w:noWrap w:val="0"/>
            <w:vAlign w:val="center"/>
          </w:tcPr>
          <w:p>
            <w:pPr>
              <w:pStyle w:val="12"/>
              <w:spacing w:line="360" w:lineRule="auto"/>
              <w:jc w:val="center"/>
              <w:rPr>
                <w:rFonts w:hAnsi="宋体"/>
                <w:sz w:val="22"/>
                <w:szCs w:val="22"/>
              </w:rPr>
            </w:pPr>
            <w:r>
              <w:rPr>
                <w:rFonts w:hint="eastAsia" w:hAnsi="宋体"/>
                <w:sz w:val="22"/>
                <w:szCs w:val="22"/>
              </w:rPr>
              <w:t>单</w:t>
            </w:r>
          </w:p>
          <w:p>
            <w:pPr>
              <w:pStyle w:val="12"/>
              <w:spacing w:line="360" w:lineRule="auto"/>
              <w:jc w:val="center"/>
              <w:rPr>
                <w:rFonts w:hAnsi="宋体"/>
                <w:sz w:val="22"/>
                <w:szCs w:val="22"/>
              </w:rPr>
            </w:pPr>
            <w:r>
              <w:rPr>
                <w:rFonts w:hint="eastAsia" w:hAnsi="宋体"/>
                <w:sz w:val="22"/>
                <w:szCs w:val="22"/>
              </w:rPr>
              <w:t>位</w:t>
            </w:r>
          </w:p>
        </w:tc>
        <w:tc>
          <w:tcPr>
            <w:tcW w:w="498" w:type="dxa"/>
            <w:vMerge w:val="restart"/>
            <w:noWrap w:val="0"/>
            <w:vAlign w:val="center"/>
          </w:tcPr>
          <w:p>
            <w:pPr>
              <w:pStyle w:val="12"/>
              <w:spacing w:line="360" w:lineRule="auto"/>
              <w:jc w:val="center"/>
              <w:rPr>
                <w:rFonts w:hAnsi="宋体"/>
                <w:sz w:val="22"/>
                <w:szCs w:val="22"/>
              </w:rPr>
            </w:pPr>
            <w:r>
              <w:rPr>
                <w:rFonts w:hint="eastAsia" w:hAnsi="宋体"/>
                <w:sz w:val="22"/>
                <w:szCs w:val="22"/>
              </w:rPr>
              <w:t>数量</w:t>
            </w:r>
          </w:p>
        </w:tc>
        <w:tc>
          <w:tcPr>
            <w:tcW w:w="2272" w:type="dxa"/>
            <w:gridSpan w:val="2"/>
            <w:noWrap w:val="0"/>
            <w:vAlign w:val="center"/>
          </w:tcPr>
          <w:p>
            <w:pPr>
              <w:pStyle w:val="12"/>
              <w:spacing w:line="360" w:lineRule="auto"/>
              <w:jc w:val="center"/>
              <w:rPr>
                <w:rFonts w:hAnsi="宋体"/>
                <w:sz w:val="22"/>
                <w:szCs w:val="22"/>
              </w:rPr>
            </w:pPr>
            <w:r>
              <w:rPr>
                <w:rFonts w:hint="eastAsia" w:hAnsi="宋体"/>
                <w:sz w:val="22"/>
                <w:szCs w:val="22"/>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Merge w:val="continue"/>
            <w:noWrap w:val="0"/>
            <w:vAlign w:val="center"/>
          </w:tcPr>
          <w:p>
            <w:pPr>
              <w:pStyle w:val="12"/>
              <w:spacing w:line="360" w:lineRule="auto"/>
              <w:jc w:val="center"/>
              <w:rPr>
                <w:rFonts w:hAnsi="宋体"/>
                <w:sz w:val="22"/>
                <w:szCs w:val="22"/>
              </w:rPr>
            </w:pPr>
          </w:p>
        </w:tc>
        <w:tc>
          <w:tcPr>
            <w:tcW w:w="2492" w:type="dxa"/>
            <w:vMerge w:val="continue"/>
            <w:noWrap w:val="0"/>
            <w:vAlign w:val="center"/>
          </w:tcPr>
          <w:p>
            <w:pPr>
              <w:pStyle w:val="12"/>
              <w:spacing w:line="360" w:lineRule="auto"/>
              <w:jc w:val="center"/>
              <w:rPr>
                <w:rFonts w:hAnsi="宋体"/>
                <w:sz w:val="22"/>
                <w:szCs w:val="22"/>
              </w:rPr>
            </w:pPr>
          </w:p>
        </w:tc>
        <w:tc>
          <w:tcPr>
            <w:tcW w:w="915" w:type="dxa"/>
            <w:vMerge w:val="continue"/>
            <w:noWrap w:val="0"/>
            <w:vAlign w:val="center"/>
          </w:tcPr>
          <w:p>
            <w:pPr>
              <w:pStyle w:val="12"/>
              <w:spacing w:line="360" w:lineRule="auto"/>
              <w:jc w:val="center"/>
              <w:rPr>
                <w:rFonts w:hAnsi="宋体"/>
                <w:sz w:val="22"/>
                <w:szCs w:val="22"/>
              </w:rPr>
            </w:pPr>
          </w:p>
        </w:tc>
        <w:tc>
          <w:tcPr>
            <w:tcW w:w="1876" w:type="dxa"/>
            <w:vMerge w:val="continue"/>
            <w:noWrap w:val="0"/>
            <w:vAlign w:val="center"/>
          </w:tcPr>
          <w:p>
            <w:pPr>
              <w:pStyle w:val="12"/>
              <w:spacing w:line="360" w:lineRule="auto"/>
              <w:jc w:val="center"/>
              <w:rPr>
                <w:rFonts w:hAnsi="宋体"/>
                <w:sz w:val="22"/>
                <w:szCs w:val="22"/>
              </w:rPr>
            </w:pPr>
          </w:p>
        </w:tc>
        <w:tc>
          <w:tcPr>
            <w:tcW w:w="495" w:type="dxa"/>
            <w:vMerge w:val="continue"/>
            <w:noWrap w:val="0"/>
            <w:vAlign w:val="center"/>
          </w:tcPr>
          <w:p>
            <w:pPr>
              <w:pStyle w:val="12"/>
              <w:spacing w:line="360" w:lineRule="auto"/>
              <w:jc w:val="center"/>
              <w:rPr>
                <w:rFonts w:hAnsi="宋体"/>
                <w:sz w:val="22"/>
                <w:szCs w:val="22"/>
              </w:rPr>
            </w:pPr>
          </w:p>
        </w:tc>
        <w:tc>
          <w:tcPr>
            <w:tcW w:w="498" w:type="dxa"/>
            <w:vMerge w:val="continue"/>
            <w:noWrap w:val="0"/>
            <w:vAlign w:val="center"/>
          </w:tcPr>
          <w:p>
            <w:pPr>
              <w:pStyle w:val="12"/>
              <w:spacing w:line="360" w:lineRule="auto"/>
              <w:jc w:val="center"/>
              <w:rPr>
                <w:rFonts w:hAnsi="宋体"/>
                <w:sz w:val="22"/>
                <w:szCs w:val="22"/>
              </w:rPr>
            </w:pPr>
          </w:p>
        </w:tc>
        <w:tc>
          <w:tcPr>
            <w:tcW w:w="1148" w:type="dxa"/>
            <w:noWrap w:val="0"/>
            <w:vAlign w:val="center"/>
          </w:tcPr>
          <w:p>
            <w:pPr>
              <w:pStyle w:val="12"/>
              <w:spacing w:line="360" w:lineRule="auto"/>
              <w:jc w:val="center"/>
              <w:rPr>
                <w:rFonts w:hAnsi="宋体"/>
                <w:sz w:val="22"/>
                <w:szCs w:val="22"/>
              </w:rPr>
            </w:pPr>
            <w:r>
              <w:rPr>
                <w:rFonts w:hint="eastAsia" w:hAnsi="宋体"/>
                <w:sz w:val="22"/>
                <w:szCs w:val="22"/>
              </w:rPr>
              <w:t>单价</w:t>
            </w:r>
          </w:p>
        </w:tc>
        <w:tc>
          <w:tcPr>
            <w:tcW w:w="1124" w:type="dxa"/>
            <w:noWrap w:val="0"/>
            <w:vAlign w:val="center"/>
          </w:tcPr>
          <w:p>
            <w:pPr>
              <w:pStyle w:val="12"/>
              <w:spacing w:line="360" w:lineRule="auto"/>
              <w:jc w:val="center"/>
              <w:rPr>
                <w:rFonts w:hAnsi="宋体"/>
                <w:sz w:val="22"/>
                <w:szCs w:val="22"/>
              </w:rPr>
            </w:pPr>
            <w:r>
              <w:rPr>
                <w:rFonts w:hint="eastAsia" w:hAnsi="宋体"/>
                <w:sz w:val="22"/>
                <w:szCs w:val="2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noWrap w:val="0"/>
            <w:vAlign w:val="center"/>
          </w:tcPr>
          <w:p>
            <w:pPr>
              <w:pStyle w:val="12"/>
              <w:jc w:val="center"/>
              <w:rPr>
                <w:rFonts w:hAnsi="宋体"/>
                <w:sz w:val="22"/>
                <w:szCs w:val="22"/>
              </w:rPr>
            </w:pPr>
            <w:r>
              <w:rPr>
                <w:rFonts w:hint="eastAsia" w:hAnsi="宋体"/>
                <w:sz w:val="22"/>
                <w:szCs w:val="22"/>
              </w:rPr>
              <w:t>1</w:t>
            </w:r>
          </w:p>
        </w:tc>
        <w:tc>
          <w:tcPr>
            <w:tcW w:w="2492" w:type="dxa"/>
            <w:noWrap w:val="0"/>
            <w:vAlign w:val="center"/>
          </w:tcPr>
          <w:p>
            <w:pPr>
              <w:pStyle w:val="7"/>
              <w:autoSpaceDE/>
              <w:autoSpaceDN/>
              <w:adjustRightInd/>
              <w:ind w:left="0" w:leftChars="0" w:firstLine="0" w:firstLineChars="0"/>
              <w:jc w:val="center"/>
              <w:rPr>
                <w:rFonts w:hint="eastAsia" w:ascii="宋体" w:hAnsi="宋体" w:eastAsia="宋体" w:cs="宋体"/>
                <w:snapToGrid w:val="0"/>
                <w:kern w:val="0"/>
                <w:sz w:val="24"/>
                <w:szCs w:val="21"/>
                <w:lang w:val="en-US" w:eastAsia="zh-CN" w:bidi="ar-SA"/>
              </w:rPr>
            </w:pPr>
          </w:p>
        </w:tc>
        <w:tc>
          <w:tcPr>
            <w:tcW w:w="915" w:type="dxa"/>
            <w:noWrap w:val="0"/>
            <w:vAlign w:val="center"/>
          </w:tcPr>
          <w:p>
            <w:pPr>
              <w:pStyle w:val="12"/>
              <w:spacing w:line="360" w:lineRule="auto"/>
              <w:rPr>
                <w:rFonts w:hAnsi="宋体"/>
                <w:b/>
                <w:bCs/>
                <w:sz w:val="22"/>
                <w:szCs w:val="22"/>
              </w:rPr>
            </w:pPr>
          </w:p>
        </w:tc>
        <w:tc>
          <w:tcPr>
            <w:tcW w:w="1876" w:type="dxa"/>
            <w:noWrap w:val="0"/>
            <w:vAlign w:val="center"/>
          </w:tcPr>
          <w:p>
            <w:pPr>
              <w:pStyle w:val="12"/>
              <w:spacing w:line="360" w:lineRule="auto"/>
              <w:rPr>
                <w:rFonts w:hAnsi="宋体"/>
                <w:b/>
                <w:bCs/>
                <w:sz w:val="22"/>
                <w:szCs w:val="22"/>
              </w:rPr>
            </w:pPr>
          </w:p>
        </w:tc>
        <w:tc>
          <w:tcPr>
            <w:tcW w:w="495" w:type="dxa"/>
            <w:noWrap w:val="0"/>
            <w:vAlign w:val="center"/>
          </w:tcPr>
          <w:p>
            <w:pPr>
              <w:pStyle w:val="12"/>
              <w:spacing w:line="360" w:lineRule="auto"/>
              <w:rPr>
                <w:rFonts w:hAnsi="宋体"/>
                <w:b/>
                <w:bCs/>
                <w:sz w:val="22"/>
                <w:szCs w:val="22"/>
              </w:rPr>
            </w:pPr>
          </w:p>
        </w:tc>
        <w:tc>
          <w:tcPr>
            <w:tcW w:w="498" w:type="dxa"/>
            <w:noWrap w:val="0"/>
            <w:vAlign w:val="center"/>
          </w:tcPr>
          <w:p>
            <w:pPr>
              <w:pStyle w:val="12"/>
              <w:spacing w:line="360" w:lineRule="auto"/>
              <w:rPr>
                <w:rFonts w:hAnsi="宋体"/>
                <w:b/>
                <w:bCs/>
                <w:sz w:val="22"/>
                <w:szCs w:val="22"/>
              </w:rPr>
            </w:pPr>
          </w:p>
        </w:tc>
        <w:tc>
          <w:tcPr>
            <w:tcW w:w="1148" w:type="dxa"/>
            <w:noWrap w:val="0"/>
            <w:vAlign w:val="top"/>
          </w:tcPr>
          <w:p>
            <w:pPr>
              <w:pStyle w:val="12"/>
              <w:spacing w:line="360" w:lineRule="auto"/>
              <w:rPr>
                <w:rFonts w:hAnsi="宋体"/>
                <w:sz w:val="22"/>
                <w:szCs w:val="22"/>
              </w:rPr>
            </w:pPr>
          </w:p>
        </w:tc>
        <w:tc>
          <w:tcPr>
            <w:tcW w:w="1124" w:type="dxa"/>
            <w:noWrap w:val="0"/>
            <w:vAlign w:val="top"/>
          </w:tcPr>
          <w:p>
            <w:pPr>
              <w:pStyle w:val="12"/>
              <w:spacing w:line="360" w:lineRule="auto"/>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noWrap w:val="0"/>
            <w:vAlign w:val="center"/>
          </w:tcPr>
          <w:p>
            <w:pPr>
              <w:pStyle w:val="12"/>
              <w:jc w:val="center"/>
              <w:rPr>
                <w:rFonts w:hAnsi="宋体"/>
                <w:sz w:val="22"/>
                <w:szCs w:val="22"/>
              </w:rPr>
            </w:pPr>
            <w:r>
              <w:rPr>
                <w:rFonts w:hint="eastAsia" w:hAnsi="宋体"/>
                <w:sz w:val="22"/>
                <w:szCs w:val="22"/>
              </w:rPr>
              <w:t>2</w:t>
            </w:r>
          </w:p>
        </w:tc>
        <w:tc>
          <w:tcPr>
            <w:tcW w:w="2492" w:type="dxa"/>
            <w:noWrap w:val="0"/>
            <w:vAlign w:val="center"/>
          </w:tcPr>
          <w:p>
            <w:pPr>
              <w:spacing w:line="348" w:lineRule="auto"/>
              <w:jc w:val="center"/>
              <w:rPr>
                <w:rFonts w:hint="eastAsia" w:ascii="宋体" w:hAnsi="宋体" w:eastAsia="宋体" w:cs="宋体"/>
                <w:kern w:val="2"/>
                <w:sz w:val="24"/>
                <w:szCs w:val="24"/>
                <w:lang w:val="en-US" w:eastAsia="zh-CN" w:bidi="ar-SA"/>
              </w:rPr>
            </w:pPr>
          </w:p>
        </w:tc>
        <w:tc>
          <w:tcPr>
            <w:tcW w:w="915" w:type="dxa"/>
            <w:noWrap w:val="0"/>
            <w:vAlign w:val="center"/>
          </w:tcPr>
          <w:p>
            <w:pPr>
              <w:pStyle w:val="12"/>
              <w:spacing w:line="360" w:lineRule="auto"/>
              <w:rPr>
                <w:rFonts w:hAnsi="宋体"/>
                <w:b/>
                <w:bCs/>
                <w:sz w:val="22"/>
                <w:szCs w:val="22"/>
              </w:rPr>
            </w:pPr>
          </w:p>
        </w:tc>
        <w:tc>
          <w:tcPr>
            <w:tcW w:w="1876" w:type="dxa"/>
            <w:noWrap w:val="0"/>
            <w:vAlign w:val="center"/>
          </w:tcPr>
          <w:p>
            <w:pPr>
              <w:pStyle w:val="12"/>
              <w:spacing w:line="360" w:lineRule="auto"/>
              <w:rPr>
                <w:rFonts w:hAnsi="宋体"/>
                <w:b/>
                <w:bCs/>
                <w:sz w:val="22"/>
                <w:szCs w:val="22"/>
              </w:rPr>
            </w:pPr>
          </w:p>
        </w:tc>
        <w:tc>
          <w:tcPr>
            <w:tcW w:w="495" w:type="dxa"/>
            <w:noWrap w:val="0"/>
            <w:vAlign w:val="center"/>
          </w:tcPr>
          <w:p>
            <w:pPr>
              <w:pStyle w:val="12"/>
              <w:spacing w:line="360" w:lineRule="auto"/>
              <w:rPr>
                <w:rFonts w:hAnsi="宋体"/>
                <w:b/>
                <w:bCs/>
                <w:sz w:val="22"/>
                <w:szCs w:val="22"/>
              </w:rPr>
            </w:pPr>
          </w:p>
        </w:tc>
        <w:tc>
          <w:tcPr>
            <w:tcW w:w="498" w:type="dxa"/>
            <w:noWrap w:val="0"/>
            <w:vAlign w:val="center"/>
          </w:tcPr>
          <w:p>
            <w:pPr>
              <w:pStyle w:val="12"/>
              <w:spacing w:line="360" w:lineRule="auto"/>
              <w:rPr>
                <w:rFonts w:hAnsi="宋体"/>
                <w:b/>
                <w:bCs/>
                <w:sz w:val="22"/>
                <w:szCs w:val="22"/>
              </w:rPr>
            </w:pPr>
          </w:p>
        </w:tc>
        <w:tc>
          <w:tcPr>
            <w:tcW w:w="1148" w:type="dxa"/>
            <w:noWrap w:val="0"/>
            <w:vAlign w:val="top"/>
          </w:tcPr>
          <w:p>
            <w:pPr>
              <w:pStyle w:val="12"/>
              <w:spacing w:line="360" w:lineRule="auto"/>
              <w:rPr>
                <w:rFonts w:hAnsi="宋体"/>
                <w:sz w:val="22"/>
                <w:szCs w:val="22"/>
              </w:rPr>
            </w:pPr>
          </w:p>
        </w:tc>
        <w:tc>
          <w:tcPr>
            <w:tcW w:w="1124" w:type="dxa"/>
            <w:noWrap w:val="0"/>
            <w:vAlign w:val="top"/>
          </w:tcPr>
          <w:p>
            <w:pPr>
              <w:pStyle w:val="12"/>
              <w:spacing w:line="360" w:lineRule="auto"/>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noWrap w:val="0"/>
            <w:vAlign w:val="center"/>
          </w:tcPr>
          <w:p>
            <w:pPr>
              <w:pStyle w:val="12"/>
              <w:jc w:val="center"/>
              <w:rPr>
                <w:rFonts w:hAnsi="宋体"/>
                <w:sz w:val="22"/>
                <w:szCs w:val="22"/>
              </w:rPr>
            </w:pPr>
            <w:r>
              <w:rPr>
                <w:rFonts w:hint="eastAsia" w:hAnsi="宋体"/>
                <w:sz w:val="22"/>
                <w:szCs w:val="22"/>
              </w:rPr>
              <w:t>3</w:t>
            </w:r>
          </w:p>
        </w:tc>
        <w:tc>
          <w:tcPr>
            <w:tcW w:w="2492" w:type="dxa"/>
            <w:noWrap w:val="0"/>
            <w:vAlign w:val="center"/>
          </w:tcPr>
          <w:p>
            <w:pPr>
              <w:pStyle w:val="12"/>
              <w:jc w:val="center"/>
              <w:rPr>
                <w:rFonts w:hAnsi="宋体"/>
                <w:sz w:val="22"/>
                <w:szCs w:val="22"/>
              </w:rPr>
            </w:pPr>
          </w:p>
        </w:tc>
        <w:tc>
          <w:tcPr>
            <w:tcW w:w="915" w:type="dxa"/>
            <w:noWrap w:val="0"/>
            <w:vAlign w:val="center"/>
          </w:tcPr>
          <w:p>
            <w:pPr>
              <w:pStyle w:val="12"/>
              <w:spacing w:line="360" w:lineRule="auto"/>
              <w:rPr>
                <w:rFonts w:hAnsi="宋体"/>
                <w:b/>
                <w:bCs/>
                <w:sz w:val="22"/>
                <w:szCs w:val="22"/>
              </w:rPr>
            </w:pPr>
          </w:p>
        </w:tc>
        <w:tc>
          <w:tcPr>
            <w:tcW w:w="1876" w:type="dxa"/>
            <w:noWrap w:val="0"/>
            <w:vAlign w:val="center"/>
          </w:tcPr>
          <w:p>
            <w:pPr>
              <w:pStyle w:val="12"/>
              <w:spacing w:line="360" w:lineRule="auto"/>
              <w:rPr>
                <w:rFonts w:hAnsi="宋体"/>
                <w:b/>
                <w:bCs/>
                <w:sz w:val="22"/>
                <w:szCs w:val="22"/>
              </w:rPr>
            </w:pPr>
          </w:p>
        </w:tc>
        <w:tc>
          <w:tcPr>
            <w:tcW w:w="495" w:type="dxa"/>
            <w:noWrap w:val="0"/>
            <w:vAlign w:val="center"/>
          </w:tcPr>
          <w:p>
            <w:pPr>
              <w:pStyle w:val="12"/>
              <w:spacing w:line="360" w:lineRule="auto"/>
              <w:rPr>
                <w:rFonts w:hAnsi="宋体"/>
                <w:b/>
                <w:bCs/>
                <w:sz w:val="22"/>
                <w:szCs w:val="22"/>
              </w:rPr>
            </w:pPr>
          </w:p>
        </w:tc>
        <w:tc>
          <w:tcPr>
            <w:tcW w:w="498" w:type="dxa"/>
            <w:noWrap w:val="0"/>
            <w:vAlign w:val="center"/>
          </w:tcPr>
          <w:p>
            <w:pPr>
              <w:pStyle w:val="12"/>
              <w:spacing w:line="360" w:lineRule="auto"/>
              <w:rPr>
                <w:rFonts w:hAnsi="宋体"/>
                <w:b/>
                <w:bCs/>
                <w:sz w:val="22"/>
                <w:szCs w:val="22"/>
              </w:rPr>
            </w:pPr>
          </w:p>
        </w:tc>
        <w:tc>
          <w:tcPr>
            <w:tcW w:w="1148" w:type="dxa"/>
            <w:noWrap w:val="0"/>
            <w:vAlign w:val="top"/>
          </w:tcPr>
          <w:p>
            <w:pPr>
              <w:pStyle w:val="12"/>
              <w:spacing w:line="360" w:lineRule="auto"/>
              <w:rPr>
                <w:rFonts w:hAnsi="宋体"/>
                <w:sz w:val="22"/>
                <w:szCs w:val="22"/>
              </w:rPr>
            </w:pPr>
          </w:p>
        </w:tc>
        <w:tc>
          <w:tcPr>
            <w:tcW w:w="1124" w:type="dxa"/>
            <w:noWrap w:val="0"/>
            <w:vAlign w:val="top"/>
          </w:tcPr>
          <w:p>
            <w:pPr>
              <w:pStyle w:val="12"/>
              <w:spacing w:line="360" w:lineRule="auto"/>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89" w:type="dxa"/>
            <w:noWrap w:val="0"/>
            <w:vAlign w:val="center"/>
          </w:tcPr>
          <w:p>
            <w:pPr>
              <w:pStyle w:val="12"/>
              <w:jc w:val="center"/>
              <w:rPr>
                <w:rFonts w:hAnsi="宋体"/>
                <w:sz w:val="22"/>
                <w:szCs w:val="22"/>
              </w:rPr>
            </w:pPr>
            <w:r>
              <w:rPr>
                <w:rFonts w:hint="eastAsia" w:hAnsi="宋体"/>
                <w:sz w:val="22"/>
                <w:szCs w:val="22"/>
              </w:rPr>
              <w:t>4</w:t>
            </w:r>
          </w:p>
        </w:tc>
        <w:tc>
          <w:tcPr>
            <w:tcW w:w="2492" w:type="dxa"/>
            <w:noWrap w:val="0"/>
            <w:vAlign w:val="center"/>
          </w:tcPr>
          <w:p>
            <w:pPr>
              <w:pStyle w:val="12"/>
              <w:jc w:val="center"/>
              <w:rPr>
                <w:rFonts w:hAnsi="宋体"/>
                <w:sz w:val="22"/>
                <w:szCs w:val="22"/>
              </w:rPr>
            </w:pPr>
          </w:p>
        </w:tc>
        <w:tc>
          <w:tcPr>
            <w:tcW w:w="915" w:type="dxa"/>
            <w:noWrap w:val="0"/>
            <w:vAlign w:val="center"/>
          </w:tcPr>
          <w:p>
            <w:pPr>
              <w:pStyle w:val="12"/>
              <w:spacing w:line="360" w:lineRule="auto"/>
              <w:jc w:val="center"/>
              <w:rPr>
                <w:rFonts w:hAnsi="宋体"/>
                <w:sz w:val="22"/>
                <w:szCs w:val="22"/>
              </w:rPr>
            </w:pPr>
          </w:p>
        </w:tc>
        <w:tc>
          <w:tcPr>
            <w:tcW w:w="1876" w:type="dxa"/>
            <w:noWrap w:val="0"/>
            <w:vAlign w:val="center"/>
          </w:tcPr>
          <w:p>
            <w:pPr>
              <w:pStyle w:val="12"/>
              <w:spacing w:line="360" w:lineRule="auto"/>
              <w:jc w:val="center"/>
              <w:rPr>
                <w:rFonts w:hAnsi="宋体"/>
                <w:sz w:val="22"/>
                <w:szCs w:val="22"/>
              </w:rPr>
            </w:pPr>
          </w:p>
        </w:tc>
        <w:tc>
          <w:tcPr>
            <w:tcW w:w="495" w:type="dxa"/>
            <w:noWrap w:val="0"/>
            <w:vAlign w:val="center"/>
          </w:tcPr>
          <w:p>
            <w:pPr>
              <w:pStyle w:val="12"/>
              <w:spacing w:line="360" w:lineRule="auto"/>
              <w:jc w:val="center"/>
              <w:rPr>
                <w:rFonts w:hAnsi="宋体"/>
                <w:sz w:val="22"/>
                <w:szCs w:val="22"/>
              </w:rPr>
            </w:pPr>
          </w:p>
        </w:tc>
        <w:tc>
          <w:tcPr>
            <w:tcW w:w="498" w:type="dxa"/>
            <w:noWrap w:val="0"/>
            <w:vAlign w:val="center"/>
          </w:tcPr>
          <w:p>
            <w:pPr>
              <w:pStyle w:val="12"/>
              <w:spacing w:line="360" w:lineRule="auto"/>
              <w:jc w:val="center"/>
              <w:rPr>
                <w:rFonts w:hAnsi="宋体"/>
                <w:sz w:val="22"/>
                <w:szCs w:val="22"/>
              </w:rPr>
            </w:pPr>
          </w:p>
        </w:tc>
        <w:tc>
          <w:tcPr>
            <w:tcW w:w="1148" w:type="dxa"/>
            <w:noWrap w:val="0"/>
            <w:vAlign w:val="top"/>
          </w:tcPr>
          <w:p>
            <w:pPr>
              <w:pStyle w:val="12"/>
              <w:spacing w:line="360" w:lineRule="auto"/>
              <w:rPr>
                <w:rFonts w:hAnsi="宋体"/>
                <w:sz w:val="22"/>
                <w:szCs w:val="22"/>
              </w:rPr>
            </w:pPr>
          </w:p>
        </w:tc>
        <w:tc>
          <w:tcPr>
            <w:tcW w:w="1124" w:type="dxa"/>
            <w:noWrap w:val="0"/>
            <w:vAlign w:val="top"/>
          </w:tcPr>
          <w:p>
            <w:pPr>
              <w:pStyle w:val="12"/>
              <w:spacing w:line="360" w:lineRule="auto"/>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89" w:type="dxa"/>
            <w:noWrap w:val="0"/>
            <w:vAlign w:val="center"/>
          </w:tcPr>
          <w:p>
            <w:pPr>
              <w:pStyle w:val="12"/>
              <w:spacing w:line="360" w:lineRule="auto"/>
              <w:jc w:val="center"/>
              <w:rPr>
                <w:rFonts w:hAnsi="宋体"/>
                <w:sz w:val="22"/>
                <w:szCs w:val="22"/>
              </w:rPr>
            </w:pPr>
            <w:r>
              <w:rPr>
                <w:rFonts w:hint="eastAsia" w:hAnsi="宋体"/>
                <w:sz w:val="22"/>
                <w:szCs w:val="22"/>
              </w:rPr>
              <w:t>5</w:t>
            </w:r>
          </w:p>
        </w:tc>
        <w:tc>
          <w:tcPr>
            <w:tcW w:w="2492" w:type="dxa"/>
            <w:noWrap w:val="0"/>
            <w:vAlign w:val="center"/>
          </w:tcPr>
          <w:p>
            <w:pPr>
              <w:pStyle w:val="12"/>
              <w:spacing w:line="360" w:lineRule="auto"/>
              <w:jc w:val="center"/>
              <w:rPr>
                <w:rFonts w:hAnsi="宋体"/>
                <w:sz w:val="22"/>
                <w:szCs w:val="22"/>
              </w:rPr>
            </w:pPr>
          </w:p>
        </w:tc>
        <w:tc>
          <w:tcPr>
            <w:tcW w:w="915" w:type="dxa"/>
            <w:noWrap w:val="0"/>
            <w:vAlign w:val="center"/>
          </w:tcPr>
          <w:p>
            <w:pPr>
              <w:jc w:val="center"/>
              <w:rPr>
                <w:rFonts w:ascii="宋体" w:hAnsi="宋体" w:cs="宋体"/>
                <w:b/>
                <w:bCs/>
                <w:sz w:val="22"/>
                <w:szCs w:val="22"/>
              </w:rPr>
            </w:pPr>
          </w:p>
        </w:tc>
        <w:tc>
          <w:tcPr>
            <w:tcW w:w="1876" w:type="dxa"/>
            <w:noWrap w:val="0"/>
            <w:vAlign w:val="center"/>
          </w:tcPr>
          <w:p>
            <w:pPr>
              <w:jc w:val="center"/>
              <w:rPr>
                <w:rFonts w:ascii="宋体" w:hAnsi="宋体" w:cs="宋体"/>
                <w:b/>
                <w:bCs/>
                <w:sz w:val="22"/>
                <w:szCs w:val="22"/>
              </w:rPr>
            </w:pPr>
          </w:p>
        </w:tc>
        <w:tc>
          <w:tcPr>
            <w:tcW w:w="495" w:type="dxa"/>
            <w:noWrap w:val="0"/>
            <w:vAlign w:val="center"/>
          </w:tcPr>
          <w:p>
            <w:pPr>
              <w:pStyle w:val="12"/>
              <w:spacing w:line="360" w:lineRule="auto"/>
              <w:jc w:val="center"/>
              <w:rPr>
                <w:rFonts w:hAnsi="宋体"/>
                <w:b/>
                <w:bCs/>
                <w:sz w:val="22"/>
                <w:szCs w:val="22"/>
              </w:rPr>
            </w:pPr>
          </w:p>
        </w:tc>
        <w:tc>
          <w:tcPr>
            <w:tcW w:w="498" w:type="dxa"/>
            <w:noWrap w:val="0"/>
            <w:vAlign w:val="center"/>
          </w:tcPr>
          <w:p>
            <w:pPr>
              <w:pStyle w:val="12"/>
              <w:spacing w:line="360" w:lineRule="auto"/>
              <w:jc w:val="center"/>
              <w:rPr>
                <w:rFonts w:hAnsi="宋体"/>
                <w:b/>
                <w:bCs/>
                <w:sz w:val="22"/>
                <w:szCs w:val="22"/>
              </w:rPr>
            </w:pPr>
          </w:p>
        </w:tc>
        <w:tc>
          <w:tcPr>
            <w:tcW w:w="1148" w:type="dxa"/>
            <w:noWrap w:val="0"/>
            <w:vAlign w:val="center"/>
          </w:tcPr>
          <w:p>
            <w:pPr>
              <w:pStyle w:val="12"/>
              <w:spacing w:line="360" w:lineRule="auto"/>
              <w:jc w:val="center"/>
              <w:rPr>
                <w:rFonts w:hAnsi="宋体"/>
                <w:b/>
                <w:bCs/>
                <w:sz w:val="22"/>
                <w:szCs w:val="22"/>
              </w:rPr>
            </w:pPr>
          </w:p>
        </w:tc>
        <w:tc>
          <w:tcPr>
            <w:tcW w:w="1124" w:type="dxa"/>
            <w:noWrap w:val="0"/>
            <w:vAlign w:val="center"/>
          </w:tcPr>
          <w:p>
            <w:pPr>
              <w:pStyle w:val="12"/>
              <w:spacing w:line="360" w:lineRule="auto"/>
              <w:jc w:val="center"/>
              <w:rPr>
                <w:rFonts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89" w:type="dxa"/>
            <w:noWrap w:val="0"/>
            <w:vAlign w:val="top"/>
          </w:tcPr>
          <w:p>
            <w:pPr>
              <w:pStyle w:val="12"/>
              <w:spacing w:line="360" w:lineRule="auto"/>
              <w:rPr>
                <w:rFonts w:hAnsi="宋体"/>
                <w:sz w:val="22"/>
                <w:szCs w:val="22"/>
              </w:rPr>
            </w:pPr>
            <w:r>
              <w:rPr>
                <w:rFonts w:hint="eastAsia" w:hAnsi="宋体"/>
                <w:sz w:val="22"/>
                <w:szCs w:val="22"/>
              </w:rPr>
              <w:t>…</w:t>
            </w:r>
          </w:p>
        </w:tc>
        <w:tc>
          <w:tcPr>
            <w:tcW w:w="2492" w:type="dxa"/>
            <w:noWrap w:val="0"/>
            <w:vAlign w:val="center"/>
          </w:tcPr>
          <w:p>
            <w:pPr>
              <w:pStyle w:val="12"/>
              <w:spacing w:line="360" w:lineRule="auto"/>
              <w:jc w:val="center"/>
              <w:rPr>
                <w:rFonts w:hAnsi="宋体"/>
                <w:sz w:val="22"/>
                <w:szCs w:val="22"/>
              </w:rPr>
            </w:pPr>
            <w:r>
              <w:rPr>
                <w:rFonts w:hint="eastAsia" w:hAnsi="宋体"/>
                <w:sz w:val="22"/>
                <w:szCs w:val="22"/>
              </w:rPr>
              <w:t>……</w:t>
            </w:r>
          </w:p>
        </w:tc>
        <w:tc>
          <w:tcPr>
            <w:tcW w:w="915" w:type="dxa"/>
            <w:noWrap w:val="0"/>
            <w:vAlign w:val="center"/>
          </w:tcPr>
          <w:p>
            <w:pPr>
              <w:jc w:val="center"/>
              <w:rPr>
                <w:rFonts w:ascii="宋体" w:hAnsi="宋体" w:cs="宋体"/>
                <w:sz w:val="22"/>
                <w:szCs w:val="22"/>
              </w:rPr>
            </w:pPr>
          </w:p>
        </w:tc>
        <w:tc>
          <w:tcPr>
            <w:tcW w:w="1876" w:type="dxa"/>
            <w:noWrap w:val="0"/>
            <w:vAlign w:val="center"/>
          </w:tcPr>
          <w:p>
            <w:pPr>
              <w:jc w:val="center"/>
              <w:rPr>
                <w:rFonts w:ascii="宋体" w:hAnsi="宋体" w:cs="宋体"/>
                <w:sz w:val="22"/>
                <w:szCs w:val="22"/>
              </w:rPr>
            </w:pPr>
          </w:p>
        </w:tc>
        <w:tc>
          <w:tcPr>
            <w:tcW w:w="495" w:type="dxa"/>
            <w:noWrap w:val="0"/>
            <w:vAlign w:val="center"/>
          </w:tcPr>
          <w:p>
            <w:pPr>
              <w:pStyle w:val="12"/>
              <w:spacing w:line="360" w:lineRule="auto"/>
              <w:jc w:val="center"/>
              <w:rPr>
                <w:rFonts w:hAnsi="宋体"/>
                <w:sz w:val="22"/>
                <w:szCs w:val="22"/>
              </w:rPr>
            </w:pPr>
          </w:p>
        </w:tc>
        <w:tc>
          <w:tcPr>
            <w:tcW w:w="498" w:type="dxa"/>
            <w:noWrap w:val="0"/>
            <w:vAlign w:val="center"/>
          </w:tcPr>
          <w:p>
            <w:pPr>
              <w:pStyle w:val="12"/>
              <w:spacing w:line="360" w:lineRule="auto"/>
              <w:jc w:val="center"/>
              <w:rPr>
                <w:rFonts w:hAnsi="宋体"/>
                <w:sz w:val="22"/>
                <w:szCs w:val="22"/>
              </w:rPr>
            </w:pPr>
          </w:p>
        </w:tc>
        <w:tc>
          <w:tcPr>
            <w:tcW w:w="1148" w:type="dxa"/>
            <w:noWrap w:val="0"/>
            <w:vAlign w:val="top"/>
          </w:tcPr>
          <w:p>
            <w:pPr>
              <w:pStyle w:val="12"/>
              <w:spacing w:line="360" w:lineRule="auto"/>
              <w:rPr>
                <w:rFonts w:hAnsi="宋体"/>
                <w:sz w:val="22"/>
                <w:szCs w:val="22"/>
              </w:rPr>
            </w:pPr>
          </w:p>
        </w:tc>
        <w:tc>
          <w:tcPr>
            <w:tcW w:w="1124" w:type="dxa"/>
            <w:noWrap w:val="0"/>
            <w:vAlign w:val="top"/>
          </w:tcPr>
          <w:p>
            <w:pPr>
              <w:pStyle w:val="12"/>
              <w:spacing w:line="360" w:lineRule="auto"/>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2981" w:type="dxa"/>
            <w:gridSpan w:val="2"/>
            <w:noWrap w:val="0"/>
            <w:vAlign w:val="center"/>
          </w:tcPr>
          <w:p>
            <w:pPr>
              <w:pStyle w:val="12"/>
              <w:spacing w:line="360" w:lineRule="auto"/>
              <w:jc w:val="center"/>
              <w:rPr>
                <w:rFonts w:hAnsi="宋体"/>
                <w:sz w:val="22"/>
                <w:szCs w:val="22"/>
              </w:rPr>
            </w:pPr>
            <w:r>
              <w:rPr>
                <w:rFonts w:hint="eastAsia" w:hAnsi="宋体"/>
                <w:sz w:val="22"/>
                <w:szCs w:val="22"/>
              </w:rPr>
              <w:t>投标总价</w:t>
            </w:r>
          </w:p>
        </w:tc>
        <w:tc>
          <w:tcPr>
            <w:tcW w:w="6056" w:type="dxa"/>
            <w:gridSpan w:val="6"/>
            <w:noWrap w:val="0"/>
            <w:vAlign w:val="center"/>
          </w:tcPr>
          <w:p>
            <w:pPr>
              <w:pStyle w:val="12"/>
              <w:spacing w:line="360" w:lineRule="auto"/>
              <w:jc w:val="center"/>
              <w:rPr>
                <w:rFonts w:hAnsi="宋体"/>
                <w:sz w:val="22"/>
                <w:szCs w:val="22"/>
              </w:rPr>
            </w:pPr>
            <w:r>
              <w:rPr>
                <w:rFonts w:hint="eastAsia" w:hAnsi="宋体"/>
                <w:sz w:val="22"/>
                <w:szCs w:val="22"/>
              </w:rPr>
              <w:t>大写：　　　　                元（小写：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jc w:val="center"/>
        </w:trPr>
        <w:tc>
          <w:tcPr>
            <w:tcW w:w="9037" w:type="dxa"/>
            <w:gridSpan w:val="8"/>
            <w:noWrap w:val="0"/>
            <w:vAlign w:val="center"/>
          </w:tcPr>
          <w:p>
            <w:pPr>
              <w:pStyle w:val="12"/>
              <w:spacing w:line="360" w:lineRule="auto"/>
              <w:ind w:firstLine="480" w:firstLineChars="200"/>
              <w:jc w:val="left"/>
              <w:rPr>
                <w:rFonts w:hAnsi="宋体"/>
                <w:sz w:val="22"/>
                <w:szCs w:val="22"/>
              </w:rPr>
            </w:pPr>
            <w:r>
              <w:rPr>
                <w:rFonts w:hint="eastAsia" w:hAnsi="宋体"/>
                <w:sz w:val="24"/>
                <w:szCs w:val="24"/>
              </w:rPr>
              <w:t>投标报价</w:t>
            </w:r>
            <w:r>
              <w:rPr>
                <w:rFonts w:hint="eastAsia" w:hAnsi="宋体"/>
                <w:sz w:val="24"/>
                <w:szCs w:val="24"/>
                <w:lang w:val="en-US" w:eastAsia="zh-CN"/>
              </w:rPr>
              <w:t>包含项目所需全部服务及货物，不得缺漏，是履行合同的最终价格，包括本项目所需活动设计费、会议物料制作费、宣传品、会场布置费、舞台搭建费、氛围布置费、音响设备、场地租赁费、评委评审费、嘉宾邀请费、奖金、住宿及餐饮费、交通补贴、宣传费、摄影及摄像费、招标代理费、规费、税金及不可预见费等一切相关费用。凡投标人在报价中未列明但又为本次采购所必备的项目或遗漏项目，采购人将一律视为已包括在合同价中，在合同执行中将不予考虑。</w:t>
            </w:r>
          </w:p>
        </w:tc>
      </w:tr>
    </w:tbl>
    <w:p>
      <w:pPr>
        <w:spacing w:line="400" w:lineRule="exact"/>
        <w:rPr>
          <w:rFonts w:ascii="宋体" w:hAnsi="宋体" w:cs="宋体"/>
          <w:b/>
          <w:color w:val="auto"/>
          <w:sz w:val="24"/>
          <w:highlight w:val="none"/>
        </w:rPr>
      </w:pPr>
      <w:r>
        <w:rPr>
          <w:rFonts w:hint="eastAsia" w:ascii="宋体" w:hAnsi="宋体" w:eastAsia="宋体" w:cs="宋体"/>
          <w:b/>
          <w:color w:val="auto"/>
          <w:sz w:val="24"/>
          <w:highlight w:val="none"/>
        </w:rPr>
        <w:t>注：内</w:t>
      </w:r>
      <w:r>
        <w:rPr>
          <w:rFonts w:hint="eastAsia" w:ascii="宋体" w:hAnsi="宋体" w:cs="宋体"/>
          <w:b/>
          <w:color w:val="auto"/>
          <w:sz w:val="24"/>
          <w:highlight w:val="none"/>
        </w:rPr>
        <w:t xml:space="preserve">容可根据供应商实际情况自行调整。 </w:t>
      </w:r>
    </w:p>
    <w:p>
      <w:pPr>
        <w:spacing w:line="360" w:lineRule="auto"/>
        <w:ind w:right="-817" w:rightChars="-389"/>
        <w:rPr>
          <w:rFonts w:ascii="宋体" w:hAnsi="宋体" w:cs="宋体"/>
          <w:color w:val="auto"/>
          <w:sz w:val="24"/>
          <w:highlight w:val="none"/>
        </w:rPr>
      </w:pPr>
    </w:p>
    <w:p>
      <w:pPr>
        <w:spacing w:line="360" w:lineRule="auto"/>
        <w:ind w:right="-817" w:rightChars="-389" w:firstLine="4560" w:firstLineChars="1900"/>
        <w:rPr>
          <w:rFonts w:ascii="宋体" w:hAnsi="宋体" w:cs="宋体"/>
          <w:color w:val="auto"/>
          <w:sz w:val="24"/>
          <w:highlight w:val="none"/>
        </w:rPr>
      </w:pPr>
      <w:r>
        <w:rPr>
          <w:rFonts w:hint="eastAsia" w:ascii="宋体" w:hAnsi="宋体" w:cs="宋体"/>
          <w:color w:val="auto"/>
          <w:sz w:val="24"/>
          <w:highlight w:val="none"/>
        </w:rPr>
        <w:t>投标人名称（盖章）：</w:t>
      </w:r>
    </w:p>
    <w:p>
      <w:pPr>
        <w:spacing w:line="360" w:lineRule="auto"/>
        <w:ind w:left="-2" w:leftChars="-1" w:right="-817" w:rightChars="-389" w:firstLine="4440" w:firstLineChars="1850"/>
        <w:rPr>
          <w:rFonts w:ascii="宋体" w:hAnsi="宋体" w:cs="宋体"/>
          <w:color w:val="auto"/>
          <w:sz w:val="24"/>
          <w:highlight w:val="none"/>
        </w:rPr>
      </w:pPr>
      <w:r>
        <w:rPr>
          <w:rFonts w:hint="eastAsia" w:ascii="宋体" w:hAnsi="宋体" w:cs="宋体"/>
          <w:color w:val="auto"/>
          <w:sz w:val="24"/>
          <w:highlight w:val="none"/>
        </w:rPr>
        <w:t>法定代表人或授权委托人（签字或盖章）：</w:t>
      </w:r>
    </w:p>
    <w:p>
      <w:pPr>
        <w:spacing w:line="360" w:lineRule="auto"/>
        <w:ind w:left="-2" w:leftChars="-1" w:right="-817" w:rightChars="-389" w:firstLine="4440" w:firstLineChars="1850"/>
        <w:rPr>
          <w:rFonts w:ascii="宋体" w:hAnsi="宋体" w:cs="宋体"/>
          <w:b/>
          <w:color w:val="auto"/>
          <w:sz w:val="28"/>
          <w:szCs w:val="20"/>
          <w:highlight w:val="none"/>
        </w:rPr>
      </w:pPr>
      <w:r>
        <w:rPr>
          <w:rFonts w:hint="eastAsia" w:ascii="宋体" w:hAnsi="宋体" w:cs="宋体"/>
          <w:color w:val="auto"/>
          <w:sz w:val="24"/>
          <w:highlight w:val="none"/>
        </w:rPr>
        <w:t xml:space="preserve">日期：    年   月 </w:t>
      </w:r>
    </w:p>
    <w:p>
      <w:pPr>
        <w:pStyle w:val="10"/>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MS PGothic">
    <w:panose1 w:val="020B0600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Style w:val="24"/>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Style w:val="24"/>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45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45</w:t>
                    </w:r>
                    <w:r>
                      <w:fldChar w:fldCharType="end"/>
                    </w:r>
                  </w:p>
                </w:txbxContent>
              </v:textbox>
            </v:shape>
          </w:pict>
        </mc:Fallback>
      </mc:AlternateContent>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Style w:val="24"/>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69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69</w:t>
                    </w:r>
                    <w:r>
                      <w:fldChar w:fldCharType="end"/>
                    </w:r>
                  </w:p>
                </w:txbxContent>
              </v:textbox>
            </v:shape>
          </w:pict>
        </mc:Fallback>
      </mc:AlternateContent>
    </w:r>
  </w:p>
  <w:p>
    <w:pPr>
      <w:pStyle w:val="1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ind w:left="1080" w:hanging="1080" w:hangingChars="600"/>
      <w:jc w:val="both"/>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173AF"/>
    <w:multiLevelType w:val="singleLevel"/>
    <w:tmpl w:val="84B173AF"/>
    <w:lvl w:ilvl="0" w:tentative="0">
      <w:start w:val="1"/>
      <w:numFmt w:val="decimal"/>
      <w:suff w:val="nothing"/>
      <w:lvlText w:val="%1．"/>
      <w:lvlJc w:val="left"/>
      <w:pPr>
        <w:ind w:left="0" w:firstLine="40"/>
      </w:pPr>
      <w:rPr>
        <w:rFonts w:hint="default"/>
      </w:rPr>
    </w:lvl>
  </w:abstractNum>
  <w:abstractNum w:abstractNumId="1">
    <w:nsid w:val="8CA00E09"/>
    <w:multiLevelType w:val="singleLevel"/>
    <w:tmpl w:val="8CA00E09"/>
    <w:lvl w:ilvl="0" w:tentative="0">
      <w:start w:val="1"/>
      <w:numFmt w:val="decimalEnclosedCircleChinese"/>
      <w:suff w:val="nothing"/>
      <w:lvlText w:val="%1　"/>
      <w:lvlJc w:val="left"/>
      <w:pPr>
        <w:ind w:left="0" w:firstLine="1134"/>
      </w:pPr>
      <w:rPr>
        <w:rFonts w:hint="eastAsia"/>
      </w:rPr>
    </w:lvl>
  </w:abstractNum>
  <w:abstractNum w:abstractNumId="2">
    <w:nsid w:val="9577F733"/>
    <w:multiLevelType w:val="singleLevel"/>
    <w:tmpl w:val="9577F733"/>
    <w:lvl w:ilvl="0" w:tentative="0">
      <w:start w:val="1"/>
      <w:numFmt w:val="decimal"/>
      <w:suff w:val="nothing"/>
      <w:lvlText w:val="10.%1 "/>
      <w:lvlJc w:val="left"/>
      <w:pPr>
        <w:tabs>
          <w:tab w:val="left" w:pos="0"/>
        </w:tabs>
        <w:ind w:left="0" w:firstLine="40"/>
      </w:pPr>
      <w:rPr>
        <w:rFonts w:hint="default" w:ascii="宋体" w:hAnsi="宋体" w:eastAsia="宋体" w:cs="宋体"/>
      </w:rPr>
    </w:lvl>
  </w:abstractNum>
  <w:abstractNum w:abstractNumId="3">
    <w:nsid w:val="960C84E7"/>
    <w:multiLevelType w:val="singleLevel"/>
    <w:tmpl w:val="960C84E7"/>
    <w:lvl w:ilvl="0" w:tentative="0">
      <w:start w:val="1"/>
      <w:numFmt w:val="decimal"/>
      <w:suff w:val="nothing"/>
      <w:lvlText w:val="14.%1 "/>
      <w:lvlJc w:val="left"/>
      <w:pPr>
        <w:tabs>
          <w:tab w:val="left" w:pos="0"/>
        </w:tabs>
        <w:ind w:left="0" w:firstLine="40"/>
      </w:pPr>
      <w:rPr>
        <w:rFonts w:hint="default" w:ascii="宋体" w:hAnsi="宋体" w:eastAsia="宋体" w:cs="宋体"/>
      </w:rPr>
    </w:lvl>
  </w:abstractNum>
  <w:abstractNum w:abstractNumId="4">
    <w:nsid w:val="9DEC2DD6"/>
    <w:multiLevelType w:val="singleLevel"/>
    <w:tmpl w:val="9DEC2DD6"/>
    <w:lvl w:ilvl="0" w:tentative="0">
      <w:start w:val="1"/>
      <w:numFmt w:val="decimal"/>
      <w:suff w:val="nothing"/>
      <w:lvlText w:val="%1、"/>
      <w:lvlJc w:val="left"/>
    </w:lvl>
  </w:abstractNum>
  <w:abstractNum w:abstractNumId="5">
    <w:nsid w:val="A51B0742"/>
    <w:multiLevelType w:val="singleLevel"/>
    <w:tmpl w:val="A51B0742"/>
    <w:lvl w:ilvl="0" w:tentative="0">
      <w:start w:val="1"/>
      <w:numFmt w:val="decimalEnclosedCircleChinese"/>
      <w:suff w:val="nothing"/>
      <w:lvlText w:val="%1　"/>
      <w:lvlJc w:val="left"/>
      <w:pPr>
        <w:ind w:left="0" w:firstLine="1134"/>
      </w:pPr>
      <w:rPr>
        <w:rFonts w:hint="eastAsia"/>
      </w:rPr>
    </w:lvl>
  </w:abstractNum>
  <w:abstractNum w:abstractNumId="6">
    <w:nsid w:val="A623EEB2"/>
    <w:multiLevelType w:val="singleLevel"/>
    <w:tmpl w:val="A623EEB2"/>
    <w:lvl w:ilvl="0" w:tentative="0">
      <w:start w:val="1"/>
      <w:numFmt w:val="decimal"/>
      <w:suff w:val="nothing"/>
      <w:lvlText w:val="4.%1 "/>
      <w:lvlJc w:val="left"/>
      <w:pPr>
        <w:tabs>
          <w:tab w:val="left" w:pos="0"/>
        </w:tabs>
        <w:ind w:left="0" w:firstLine="40"/>
      </w:pPr>
      <w:rPr>
        <w:rFonts w:hint="default" w:ascii="宋体" w:hAnsi="宋体" w:eastAsia="宋体" w:cs="宋体"/>
      </w:rPr>
    </w:lvl>
  </w:abstractNum>
  <w:abstractNum w:abstractNumId="7">
    <w:nsid w:val="BED6ED46"/>
    <w:multiLevelType w:val="singleLevel"/>
    <w:tmpl w:val="BED6ED46"/>
    <w:lvl w:ilvl="0" w:tentative="0">
      <w:start w:val="1"/>
      <w:numFmt w:val="decimal"/>
      <w:suff w:val="nothing"/>
      <w:lvlText w:val="%1、"/>
      <w:lvlJc w:val="left"/>
    </w:lvl>
  </w:abstractNum>
  <w:abstractNum w:abstractNumId="8">
    <w:nsid w:val="C55B0E83"/>
    <w:multiLevelType w:val="singleLevel"/>
    <w:tmpl w:val="C55B0E83"/>
    <w:lvl w:ilvl="0" w:tentative="0">
      <w:start w:val="2"/>
      <w:numFmt w:val="chineseCounting"/>
      <w:suff w:val="nothing"/>
      <w:lvlText w:val="%1、"/>
      <w:lvlJc w:val="left"/>
      <w:pPr>
        <w:ind w:left="-62"/>
      </w:pPr>
      <w:rPr>
        <w:rFonts w:hint="eastAsia"/>
      </w:rPr>
    </w:lvl>
  </w:abstractNum>
  <w:abstractNum w:abstractNumId="9">
    <w:nsid w:val="C65771D8"/>
    <w:multiLevelType w:val="singleLevel"/>
    <w:tmpl w:val="C65771D8"/>
    <w:lvl w:ilvl="0" w:tentative="0">
      <w:start w:val="1"/>
      <w:numFmt w:val="decimal"/>
      <w:suff w:val="nothing"/>
      <w:lvlText w:val="19.%1 "/>
      <w:lvlJc w:val="left"/>
      <w:pPr>
        <w:tabs>
          <w:tab w:val="left" w:pos="0"/>
        </w:tabs>
        <w:ind w:left="0" w:firstLine="40"/>
      </w:pPr>
      <w:rPr>
        <w:rFonts w:hint="default" w:ascii="宋体" w:hAnsi="宋体" w:eastAsia="宋体" w:cs="宋体"/>
      </w:rPr>
    </w:lvl>
  </w:abstractNum>
  <w:abstractNum w:abstractNumId="10">
    <w:nsid w:val="C88B87FA"/>
    <w:multiLevelType w:val="singleLevel"/>
    <w:tmpl w:val="C88B87FA"/>
    <w:lvl w:ilvl="0" w:tentative="0">
      <w:start w:val="1"/>
      <w:numFmt w:val="decimal"/>
      <w:suff w:val="nothing"/>
      <w:lvlText w:val="22.%1 "/>
      <w:lvlJc w:val="left"/>
      <w:pPr>
        <w:tabs>
          <w:tab w:val="left" w:pos="0"/>
        </w:tabs>
        <w:ind w:left="0" w:firstLine="40"/>
      </w:pPr>
      <w:rPr>
        <w:rFonts w:hint="default" w:ascii="宋体" w:hAnsi="宋体" w:eastAsia="宋体" w:cs="宋体"/>
      </w:rPr>
    </w:lvl>
  </w:abstractNum>
  <w:abstractNum w:abstractNumId="11">
    <w:nsid w:val="CA005832"/>
    <w:multiLevelType w:val="singleLevel"/>
    <w:tmpl w:val="CA005832"/>
    <w:lvl w:ilvl="0" w:tentative="0">
      <w:start w:val="1"/>
      <w:numFmt w:val="decimal"/>
      <w:suff w:val="nothing"/>
      <w:lvlText w:val="6.%1 "/>
      <w:lvlJc w:val="left"/>
      <w:pPr>
        <w:tabs>
          <w:tab w:val="left" w:pos="0"/>
        </w:tabs>
        <w:ind w:left="0" w:firstLine="40"/>
      </w:pPr>
      <w:rPr>
        <w:rFonts w:hint="default" w:ascii="宋体" w:hAnsi="宋体" w:eastAsia="宋体" w:cs="宋体"/>
      </w:rPr>
    </w:lvl>
  </w:abstractNum>
  <w:abstractNum w:abstractNumId="12">
    <w:nsid w:val="D5C663A9"/>
    <w:multiLevelType w:val="singleLevel"/>
    <w:tmpl w:val="D5C663A9"/>
    <w:lvl w:ilvl="0" w:tentative="0">
      <w:start w:val="1"/>
      <w:numFmt w:val="decimalEnclosedCircleChinese"/>
      <w:suff w:val="nothing"/>
      <w:lvlText w:val="%1　"/>
      <w:lvlJc w:val="left"/>
      <w:pPr>
        <w:ind w:left="0" w:firstLine="1134"/>
      </w:pPr>
      <w:rPr>
        <w:rFonts w:hint="eastAsia"/>
      </w:rPr>
    </w:lvl>
  </w:abstractNum>
  <w:abstractNum w:abstractNumId="13">
    <w:nsid w:val="E3D28C86"/>
    <w:multiLevelType w:val="singleLevel"/>
    <w:tmpl w:val="E3D28C86"/>
    <w:lvl w:ilvl="0" w:tentative="0">
      <w:start w:val="1"/>
      <w:numFmt w:val="decimal"/>
      <w:suff w:val="nothing"/>
      <w:lvlText w:val="18.%1 "/>
      <w:lvlJc w:val="left"/>
      <w:pPr>
        <w:tabs>
          <w:tab w:val="left" w:pos="0"/>
        </w:tabs>
        <w:ind w:left="0" w:firstLine="40"/>
      </w:pPr>
      <w:rPr>
        <w:rFonts w:hint="default" w:ascii="宋体" w:hAnsi="宋体" w:eastAsia="宋体" w:cs="宋体"/>
      </w:rPr>
    </w:lvl>
  </w:abstractNum>
  <w:abstractNum w:abstractNumId="14">
    <w:nsid w:val="E68D516E"/>
    <w:multiLevelType w:val="singleLevel"/>
    <w:tmpl w:val="E68D516E"/>
    <w:lvl w:ilvl="0" w:tentative="0">
      <w:start w:val="1"/>
      <w:numFmt w:val="decimal"/>
      <w:suff w:val="nothing"/>
      <w:lvlText w:val="（%1）"/>
      <w:lvlJc w:val="left"/>
    </w:lvl>
  </w:abstractNum>
  <w:abstractNum w:abstractNumId="15">
    <w:nsid w:val="EDC34A36"/>
    <w:multiLevelType w:val="singleLevel"/>
    <w:tmpl w:val="EDC34A36"/>
    <w:lvl w:ilvl="0" w:tentative="0">
      <w:start w:val="1"/>
      <w:numFmt w:val="decimal"/>
      <w:suff w:val="nothing"/>
      <w:lvlText w:val="12.%1 "/>
      <w:lvlJc w:val="left"/>
      <w:pPr>
        <w:tabs>
          <w:tab w:val="left" w:pos="0"/>
        </w:tabs>
        <w:ind w:left="0" w:firstLine="40"/>
      </w:pPr>
      <w:rPr>
        <w:rFonts w:hint="default" w:ascii="宋体" w:hAnsi="宋体" w:eastAsia="宋体" w:cs="宋体"/>
      </w:rPr>
    </w:lvl>
  </w:abstractNum>
  <w:abstractNum w:abstractNumId="16">
    <w:nsid w:val="F92E5739"/>
    <w:multiLevelType w:val="singleLevel"/>
    <w:tmpl w:val="F92E5739"/>
    <w:lvl w:ilvl="0" w:tentative="0">
      <w:start w:val="1"/>
      <w:numFmt w:val="decimal"/>
      <w:suff w:val="nothing"/>
      <w:lvlText w:val="%1．"/>
      <w:lvlJc w:val="left"/>
      <w:pPr>
        <w:ind w:left="0" w:firstLine="400"/>
      </w:pPr>
      <w:rPr>
        <w:rFonts w:hint="default"/>
      </w:rPr>
    </w:lvl>
  </w:abstractNum>
  <w:abstractNum w:abstractNumId="17">
    <w:nsid w:val="0486B618"/>
    <w:multiLevelType w:val="singleLevel"/>
    <w:tmpl w:val="0486B618"/>
    <w:lvl w:ilvl="0" w:tentative="0">
      <w:start w:val="1"/>
      <w:numFmt w:val="decimalEnclosedCircleChinese"/>
      <w:suff w:val="nothing"/>
      <w:lvlText w:val="%1　"/>
      <w:lvlJc w:val="left"/>
      <w:pPr>
        <w:ind w:left="0" w:firstLine="1134"/>
      </w:pPr>
      <w:rPr>
        <w:rFonts w:hint="eastAsia"/>
      </w:rPr>
    </w:lvl>
  </w:abstractNum>
  <w:abstractNum w:abstractNumId="18">
    <w:nsid w:val="0E56E872"/>
    <w:multiLevelType w:val="singleLevel"/>
    <w:tmpl w:val="0E56E872"/>
    <w:lvl w:ilvl="0" w:tentative="0">
      <w:start w:val="1"/>
      <w:numFmt w:val="decimalEnclosedCircleChinese"/>
      <w:suff w:val="nothing"/>
      <w:lvlText w:val="%1　"/>
      <w:lvlJc w:val="left"/>
      <w:pPr>
        <w:ind w:left="0" w:firstLine="400"/>
      </w:pPr>
      <w:rPr>
        <w:rFonts w:hint="eastAsia"/>
      </w:rPr>
    </w:lvl>
  </w:abstractNum>
  <w:abstractNum w:abstractNumId="19">
    <w:nsid w:val="139B6DF6"/>
    <w:multiLevelType w:val="singleLevel"/>
    <w:tmpl w:val="139B6DF6"/>
    <w:lvl w:ilvl="0" w:tentative="0">
      <w:start w:val="1"/>
      <w:numFmt w:val="decimal"/>
      <w:suff w:val="nothing"/>
      <w:lvlText w:val="9.%1 "/>
      <w:lvlJc w:val="left"/>
      <w:pPr>
        <w:tabs>
          <w:tab w:val="left" w:pos="0"/>
        </w:tabs>
        <w:ind w:left="0" w:firstLine="40"/>
      </w:pPr>
      <w:rPr>
        <w:rFonts w:hint="default" w:ascii="宋体" w:hAnsi="宋体" w:eastAsia="宋体" w:cs="宋体"/>
      </w:rPr>
    </w:lvl>
  </w:abstractNum>
  <w:abstractNum w:abstractNumId="20">
    <w:nsid w:val="18D8B6CC"/>
    <w:multiLevelType w:val="singleLevel"/>
    <w:tmpl w:val="18D8B6CC"/>
    <w:lvl w:ilvl="0" w:tentative="0">
      <w:start w:val="35"/>
      <w:numFmt w:val="decimal"/>
      <w:lvlText w:val="%1."/>
      <w:lvlJc w:val="left"/>
      <w:pPr>
        <w:tabs>
          <w:tab w:val="left" w:pos="312"/>
        </w:tabs>
      </w:pPr>
    </w:lvl>
  </w:abstractNum>
  <w:abstractNum w:abstractNumId="21">
    <w:nsid w:val="1D8CA61A"/>
    <w:multiLevelType w:val="singleLevel"/>
    <w:tmpl w:val="1D8CA61A"/>
    <w:lvl w:ilvl="0" w:tentative="0">
      <w:start w:val="1"/>
      <w:numFmt w:val="decimal"/>
      <w:suff w:val="nothing"/>
      <w:lvlText w:val="%1、"/>
      <w:lvlJc w:val="left"/>
    </w:lvl>
  </w:abstractNum>
  <w:abstractNum w:abstractNumId="22">
    <w:nsid w:val="1DBCF645"/>
    <w:multiLevelType w:val="singleLevel"/>
    <w:tmpl w:val="1DBCF645"/>
    <w:lvl w:ilvl="0" w:tentative="0">
      <w:start w:val="1"/>
      <w:numFmt w:val="decimalEnclosedCircleChinese"/>
      <w:suff w:val="nothing"/>
      <w:lvlText w:val="%1　"/>
      <w:lvlJc w:val="left"/>
      <w:pPr>
        <w:ind w:left="0" w:firstLine="397"/>
      </w:pPr>
      <w:rPr>
        <w:rFonts w:hint="eastAsia"/>
      </w:rPr>
    </w:lvl>
  </w:abstractNum>
  <w:abstractNum w:abstractNumId="23">
    <w:nsid w:val="1EC1A361"/>
    <w:multiLevelType w:val="singleLevel"/>
    <w:tmpl w:val="1EC1A361"/>
    <w:lvl w:ilvl="0" w:tentative="0">
      <w:start w:val="1"/>
      <w:numFmt w:val="decimalEnclosedCircleChinese"/>
      <w:suff w:val="nothing"/>
      <w:lvlText w:val="%1　"/>
      <w:lvlJc w:val="left"/>
      <w:pPr>
        <w:ind w:left="0" w:firstLine="397"/>
      </w:pPr>
      <w:rPr>
        <w:rFonts w:hint="eastAsia"/>
      </w:rPr>
    </w:lvl>
  </w:abstractNum>
  <w:abstractNum w:abstractNumId="24">
    <w:nsid w:val="22CAA529"/>
    <w:multiLevelType w:val="singleLevel"/>
    <w:tmpl w:val="22CAA529"/>
    <w:lvl w:ilvl="0" w:tentative="0">
      <w:start w:val="1"/>
      <w:numFmt w:val="decimal"/>
      <w:suff w:val="nothing"/>
      <w:lvlText w:val="16.%1 "/>
      <w:lvlJc w:val="left"/>
      <w:pPr>
        <w:ind w:left="0" w:firstLine="1134"/>
      </w:pPr>
      <w:rPr>
        <w:rFonts w:hint="default"/>
      </w:rPr>
    </w:lvl>
  </w:abstractNum>
  <w:abstractNum w:abstractNumId="25">
    <w:nsid w:val="25F33ADD"/>
    <w:multiLevelType w:val="singleLevel"/>
    <w:tmpl w:val="25F33ADD"/>
    <w:lvl w:ilvl="0" w:tentative="0">
      <w:start w:val="1"/>
      <w:numFmt w:val="decimalEnclosedCircleChinese"/>
      <w:suff w:val="nothing"/>
      <w:lvlText w:val="%1　"/>
      <w:lvlJc w:val="left"/>
      <w:pPr>
        <w:ind w:left="0" w:firstLine="1134"/>
      </w:pPr>
      <w:rPr>
        <w:rFonts w:hint="eastAsia"/>
      </w:rPr>
    </w:lvl>
  </w:abstractNum>
  <w:abstractNum w:abstractNumId="26">
    <w:nsid w:val="27029FB5"/>
    <w:multiLevelType w:val="singleLevel"/>
    <w:tmpl w:val="27029FB5"/>
    <w:lvl w:ilvl="0" w:tentative="0">
      <w:start w:val="1"/>
      <w:numFmt w:val="decimal"/>
      <w:suff w:val="nothing"/>
      <w:lvlText w:val="11.%1 "/>
      <w:lvlJc w:val="left"/>
      <w:pPr>
        <w:tabs>
          <w:tab w:val="left" w:pos="0"/>
        </w:tabs>
        <w:ind w:left="0" w:firstLine="40"/>
      </w:pPr>
      <w:rPr>
        <w:rFonts w:hint="default" w:ascii="宋体" w:hAnsi="宋体" w:eastAsia="宋体" w:cs="宋体"/>
      </w:rPr>
    </w:lvl>
  </w:abstractNum>
  <w:abstractNum w:abstractNumId="27">
    <w:nsid w:val="272BB4B6"/>
    <w:multiLevelType w:val="singleLevel"/>
    <w:tmpl w:val="272BB4B6"/>
    <w:lvl w:ilvl="0" w:tentative="0">
      <w:start w:val="1"/>
      <w:numFmt w:val="decimal"/>
      <w:suff w:val="nothing"/>
      <w:lvlText w:val="1.%1 "/>
      <w:lvlJc w:val="left"/>
      <w:pPr>
        <w:ind w:left="0" w:firstLine="397"/>
      </w:pPr>
      <w:rPr>
        <w:rFonts w:hint="default"/>
      </w:rPr>
    </w:lvl>
  </w:abstractNum>
  <w:abstractNum w:abstractNumId="28">
    <w:nsid w:val="31FBB5E1"/>
    <w:multiLevelType w:val="singleLevel"/>
    <w:tmpl w:val="31FBB5E1"/>
    <w:lvl w:ilvl="0" w:tentative="0">
      <w:start w:val="1"/>
      <w:numFmt w:val="decimal"/>
      <w:suff w:val="nothing"/>
      <w:lvlText w:val="23.%1 "/>
      <w:lvlJc w:val="left"/>
      <w:pPr>
        <w:tabs>
          <w:tab w:val="left" w:pos="0"/>
        </w:tabs>
        <w:ind w:left="0" w:firstLine="40"/>
      </w:pPr>
      <w:rPr>
        <w:rFonts w:hint="default" w:ascii="宋体" w:hAnsi="宋体" w:eastAsia="宋体" w:cs="宋体"/>
      </w:rPr>
    </w:lvl>
  </w:abstractNum>
  <w:abstractNum w:abstractNumId="29">
    <w:nsid w:val="3543FC97"/>
    <w:multiLevelType w:val="singleLevel"/>
    <w:tmpl w:val="3543FC97"/>
    <w:lvl w:ilvl="0" w:tentative="0">
      <w:start w:val="1"/>
      <w:numFmt w:val="decimal"/>
      <w:suff w:val="nothing"/>
      <w:lvlText w:val="17.%1 "/>
      <w:lvlJc w:val="left"/>
      <w:pPr>
        <w:tabs>
          <w:tab w:val="left" w:pos="0"/>
        </w:tabs>
        <w:ind w:left="0" w:firstLine="40"/>
      </w:pPr>
      <w:rPr>
        <w:rFonts w:hint="default" w:ascii="宋体" w:hAnsi="宋体" w:eastAsia="宋体" w:cs="宋体"/>
      </w:rPr>
    </w:lvl>
  </w:abstractNum>
  <w:abstractNum w:abstractNumId="30">
    <w:nsid w:val="3F34804C"/>
    <w:multiLevelType w:val="singleLevel"/>
    <w:tmpl w:val="3F34804C"/>
    <w:lvl w:ilvl="0" w:tentative="0">
      <w:start w:val="1"/>
      <w:numFmt w:val="decimal"/>
      <w:suff w:val="nothing"/>
      <w:lvlText w:val="21.%1 "/>
      <w:lvlJc w:val="left"/>
      <w:pPr>
        <w:tabs>
          <w:tab w:val="left" w:pos="0"/>
        </w:tabs>
        <w:ind w:left="0" w:firstLine="40"/>
      </w:pPr>
      <w:rPr>
        <w:rFonts w:hint="default" w:ascii="宋体" w:hAnsi="宋体" w:eastAsia="宋体" w:cs="宋体"/>
      </w:rPr>
    </w:lvl>
  </w:abstractNum>
  <w:abstractNum w:abstractNumId="31">
    <w:nsid w:val="43F94463"/>
    <w:multiLevelType w:val="singleLevel"/>
    <w:tmpl w:val="43F94463"/>
    <w:lvl w:ilvl="0" w:tentative="0">
      <w:start w:val="1"/>
      <w:numFmt w:val="decimalEnclosedCircleChinese"/>
      <w:suff w:val="nothing"/>
      <w:lvlText w:val="%1　"/>
      <w:lvlJc w:val="left"/>
      <w:pPr>
        <w:ind w:left="0" w:firstLine="1134"/>
      </w:pPr>
      <w:rPr>
        <w:rFonts w:hint="eastAsia"/>
      </w:rPr>
    </w:lvl>
  </w:abstractNum>
  <w:abstractNum w:abstractNumId="32">
    <w:nsid w:val="474E1A63"/>
    <w:multiLevelType w:val="singleLevel"/>
    <w:tmpl w:val="474E1A63"/>
    <w:lvl w:ilvl="0" w:tentative="0">
      <w:start w:val="1"/>
      <w:numFmt w:val="decimalEnclosedCircleChinese"/>
      <w:suff w:val="nothing"/>
      <w:lvlText w:val="%1　"/>
      <w:lvlJc w:val="left"/>
      <w:pPr>
        <w:ind w:left="0" w:firstLine="1134"/>
      </w:pPr>
      <w:rPr>
        <w:rFonts w:hint="eastAsia"/>
      </w:rPr>
    </w:lvl>
  </w:abstractNum>
  <w:abstractNum w:abstractNumId="33">
    <w:nsid w:val="4D4A2151"/>
    <w:multiLevelType w:val="singleLevel"/>
    <w:tmpl w:val="4D4A2151"/>
    <w:lvl w:ilvl="0" w:tentative="0">
      <w:start w:val="1"/>
      <w:numFmt w:val="decimal"/>
      <w:suff w:val="nothing"/>
      <w:lvlText w:val="%1．"/>
      <w:lvlJc w:val="left"/>
      <w:pPr>
        <w:ind w:left="0" w:firstLine="397"/>
      </w:pPr>
      <w:rPr>
        <w:rFonts w:hint="default"/>
      </w:rPr>
    </w:lvl>
  </w:abstractNum>
  <w:abstractNum w:abstractNumId="34">
    <w:nsid w:val="56581EFE"/>
    <w:multiLevelType w:val="singleLevel"/>
    <w:tmpl w:val="56581EFE"/>
    <w:lvl w:ilvl="0" w:tentative="0">
      <w:start w:val="1"/>
      <w:numFmt w:val="decimal"/>
      <w:suff w:val="nothing"/>
      <w:lvlText w:val="24.%1 "/>
      <w:lvlJc w:val="left"/>
      <w:pPr>
        <w:ind w:left="0" w:firstLine="397"/>
      </w:pPr>
      <w:rPr>
        <w:rFonts w:hint="default"/>
      </w:rPr>
    </w:lvl>
  </w:abstractNum>
  <w:abstractNum w:abstractNumId="35">
    <w:nsid w:val="5E92E1E8"/>
    <w:multiLevelType w:val="singleLevel"/>
    <w:tmpl w:val="5E92E1E8"/>
    <w:lvl w:ilvl="0" w:tentative="0">
      <w:start w:val="1"/>
      <w:numFmt w:val="decimal"/>
      <w:suff w:val="nothing"/>
      <w:lvlText w:val="%1、"/>
      <w:lvlJc w:val="left"/>
    </w:lvl>
  </w:abstractNum>
  <w:abstractNum w:abstractNumId="36">
    <w:nsid w:val="62705028"/>
    <w:multiLevelType w:val="singleLevel"/>
    <w:tmpl w:val="62705028"/>
    <w:lvl w:ilvl="0" w:tentative="0">
      <w:start w:val="1"/>
      <w:numFmt w:val="decimalEnclosedCircleChinese"/>
      <w:suff w:val="nothing"/>
      <w:lvlText w:val="%1　"/>
      <w:lvlJc w:val="left"/>
      <w:pPr>
        <w:ind w:left="0" w:firstLine="397"/>
      </w:pPr>
      <w:rPr>
        <w:rFonts w:hint="eastAsia"/>
      </w:rPr>
    </w:lvl>
  </w:abstractNum>
  <w:abstractNum w:abstractNumId="37">
    <w:nsid w:val="6271A596"/>
    <w:multiLevelType w:val="singleLevel"/>
    <w:tmpl w:val="6271A596"/>
    <w:lvl w:ilvl="0" w:tentative="0">
      <w:start w:val="1"/>
      <w:numFmt w:val="decimal"/>
      <w:suff w:val="nothing"/>
      <w:lvlText w:val="5.%1 "/>
      <w:lvlJc w:val="left"/>
      <w:pPr>
        <w:tabs>
          <w:tab w:val="left" w:pos="0"/>
        </w:tabs>
        <w:ind w:left="0" w:firstLine="40"/>
      </w:pPr>
      <w:rPr>
        <w:rFonts w:hint="default" w:ascii="宋体" w:hAnsi="宋体" w:eastAsia="宋体" w:cs="宋体"/>
      </w:rPr>
    </w:lvl>
  </w:abstractNum>
  <w:abstractNum w:abstractNumId="38">
    <w:nsid w:val="68F4C47F"/>
    <w:multiLevelType w:val="singleLevel"/>
    <w:tmpl w:val="68F4C47F"/>
    <w:lvl w:ilvl="0" w:tentative="0">
      <w:start w:val="1"/>
      <w:numFmt w:val="decimal"/>
      <w:suff w:val="nothing"/>
      <w:lvlText w:val="%1．"/>
      <w:lvlJc w:val="left"/>
      <w:pPr>
        <w:ind w:left="0" w:firstLine="400"/>
      </w:pPr>
      <w:rPr>
        <w:rFonts w:hint="default"/>
      </w:rPr>
    </w:lvl>
  </w:abstractNum>
  <w:abstractNum w:abstractNumId="39">
    <w:nsid w:val="6EF32394"/>
    <w:multiLevelType w:val="singleLevel"/>
    <w:tmpl w:val="6EF32394"/>
    <w:lvl w:ilvl="0" w:tentative="0">
      <w:start w:val="1"/>
      <w:numFmt w:val="decimal"/>
      <w:suff w:val="nothing"/>
      <w:lvlText w:val="7.%1 "/>
      <w:lvlJc w:val="left"/>
      <w:pPr>
        <w:tabs>
          <w:tab w:val="left" w:pos="0"/>
        </w:tabs>
        <w:ind w:left="0" w:firstLine="40"/>
      </w:pPr>
      <w:rPr>
        <w:rFonts w:hint="default" w:ascii="宋体" w:hAnsi="宋体" w:eastAsia="宋体" w:cs="宋体"/>
      </w:rPr>
    </w:lvl>
  </w:abstractNum>
  <w:abstractNum w:abstractNumId="40">
    <w:nsid w:val="6F596645"/>
    <w:multiLevelType w:val="singleLevel"/>
    <w:tmpl w:val="6F596645"/>
    <w:lvl w:ilvl="0" w:tentative="0">
      <w:start w:val="1"/>
      <w:numFmt w:val="decimal"/>
      <w:suff w:val="nothing"/>
      <w:lvlText w:val="27.%1 "/>
      <w:lvlJc w:val="left"/>
      <w:pPr>
        <w:tabs>
          <w:tab w:val="left" w:pos="0"/>
        </w:tabs>
        <w:ind w:left="0" w:firstLine="40"/>
      </w:pPr>
      <w:rPr>
        <w:rFonts w:hint="default" w:ascii="宋体" w:hAnsi="宋体" w:eastAsia="宋体" w:cs="宋体"/>
      </w:rPr>
    </w:lvl>
  </w:abstractNum>
  <w:abstractNum w:abstractNumId="41">
    <w:nsid w:val="7299BAD2"/>
    <w:multiLevelType w:val="singleLevel"/>
    <w:tmpl w:val="7299BAD2"/>
    <w:lvl w:ilvl="0" w:tentative="0">
      <w:start w:val="2"/>
      <w:numFmt w:val="chineseCounting"/>
      <w:suff w:val="nothing"/>
      <w:lvlText w:val="%1、"/>
      <w:lvlJc w:val="left"/>
      <w:pPr>
        <w:ind w:left="-62"/>
      </w:pPr>
      <w:rPr>
        <w:rFonts w:hint="eastAsia"/>
      </w:rPr>
    </w:lvl>
  </w:abstractNum>
  <w:abstractNum w:abstractNumId="42">
    <w:nsid w:val="7B2826C6"/>
    <w:multiLevelType w:val="singleLevel"/>
    <w:tmpl w:val="7B2826C6"/>
    <w:lvl w:ilvl="0" w:tentative="0">
      <w:start w:val="1"/>
      <w:numFmt w:val="decimal"/>
      <w:suff w:val="nothing"/>
      <w:lvlText w:val="%1．"/>
      <w:lvlJc w:val="left"/>
      <w:pPr>
        <w:ind w:left="0" w:firstLine="397"/>
      </w:pPr>
      <w:rPr>
        <w:rFonts w:hint="default"/>
      </w:rPr>
    </w:lvl>
  </w:abstractNum>
  <w:abstractNum w:abstractNumId="43">
    <w:nsid w:val="7E262585"/>
    <w:multiLevelType w:val="singleLevel"/>
    <w:tmpl w:val="7E262585"/>
    <w:lvl w:ilvl="0" w:tentative="0">
      <w:start w:val="1"/>
      <w:numFmt w:val="decimal"/>
      <w:suff w:val="nothing"/>
      <w:lvlText w:val="%1．"/>
      <w:lvlJc w:val="left"/>
      <w:pPr>
        <w:ind w:left="0" w:firstLine="400"/>
      </w:pPr>
      <w:rPr>
        <w:rFonts w:hint="default"/>
      </w:rPr>
    </w:lvl>
  </w:abstractNum>
  <w:num w:numId="1">
    <w:abstractNumId w:val="33"/>
  </w:num>
  <w:num w:numId="2">
    <w:abstractNumId w:val="22"/>
  </w:num>
  <w:num w:numId="3">
    <w:abstractNumId w:val="42"/>
  </w:num>
  <w:num w:numId="4">
    <w:abstractNumId w:val="23"/>
  </w:num>
  <w:num w:numId="5">
    <w:abstractNumId w:val="36"/>
  </w:num>
  <w:num w:numId="6">
    <w:abstractNumId w:val="4"/>
  </w:num>
  <w:num w:numId="7">
    <w:abstractNumId w:val="0"/>
  </w:num>
  <w:num w:numId="8">
    <w:abstractNumId w:val="27"/>
  </w:num>
  <w:num w:numId="9">
    <w:abstractNumId w:val="5"/>
  </w:num>
  <w:num w:numId="10">
    <w:abstractNumId w:val="6"/>
  </w:num>
  <w:num w:numId="11">
    <w:abstractNumId w:val="17"/>
  </w:num>
  <w:num w:numId="12">
    <w:abstractNumId w:val="37"/>
  </w:num>
  <w:num w:numId="13">
    <w:abstractNumId w:val="11"/>
  </w:num>
  <w:num w:numId="14">
    <w:abstractNumId w:val="39"/>
  </w:num>
  <w:num w:numId="15">
    <w:abstractNumId w:val="19"/>
  </w:num>
  <w:num w:numId="16">
    <w:abstractNumId w:val="32"/>
  </w:num>
  <w:num w:numId="17">
    <w:abstractNumId w:val="31"/>
  </w:num>
  <w:num w:numId="18">
    <w:abstractNumId w:val="12"/>
  </w:num>
  <w:num w:numId="19">
    <w:abstractNumId w:val="2"/>
  </w:num>
  <w:num w:numId="20">
    <w:abstractNumId w:val="26"/>
  </w:num>
  <w:num w:numId="21">
    <w:abstractNumId w:val="15"/>
  </w:num>
  <w:num w:numId="22">
    <w:abstractNumId w:val="3"/>
  </w:num>
  <w:num w:numId="23">
    <w:abstractNumId w:val="24"/>
  </w:num>
  <w:num w:numId="24">
    <w:abstractNumId w:val="29"/>
  </w:num>
  <w:num w:numId="25">
    <w:abstractNumId w:val="13"/>
  </w:num>
  <w:num w:numId="26">
    <w:abstractNumId w:val="9"/>
  </w:num>
  <w:num w:numId="27">
    <w:abstractNumId w:val="30"/>
  </w:num>
  <w:num w:numId="28">
    <w:abstractNumId w:val="10"/>
  </w:num>
  <w:num w:numId="29">
    <w:abstractNumId w:val="28"/>
  </w:num>
  <w:num w:numId="30">
    <w:abstractNumId w:val="34"/>
  </w:num>
  <w:num w:numId="31">
    <w:abstractNumId w:val="25"/>
  </w:num>
  <w:num w:numId="32">
    <w:abstractNumId w:val="40"/>
  </w:num>
  <w:num w:numId="33">
    <w:abstractNumId w:val="20"/>
  </w:num>
  <w:num w:numId="34">
    <w:abstractNumId w:val="1"/>
  </w:num>
  <w:num w:numId="35">
    <w:abstractNumId w:val="8"/>
  </w:num>
  <w:num w:numId="36">
    <w:abstractNumId w:val="38"/>
  </w:num>
  <w:num w:numId="37">
    <w:abstractNumId w:val="16"/>
  </w:num>
  <w:num w:numId="38">
    <w:abstractNumId w:val="41"/>
  </w:num>
  <w:num w:numId="39">
    <w:abstractNumId w:val="43"/>
  </w:num>
  <w:num w:numId="40">
    <w:abstractNumId w:val="18"/>
  </w:num>
  <w:num w:numId="41">
    <w:abstractNumId w:val="35"/>
  </w:num>
  <w:num w:numId="42">
    <w:abstractNumId w:val="21"/>
  </w:num>
  <w:num w:numId="43">
    <w:abstractNumId w:val="1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1YWU2ZTk2MGU1NDNlZGY5MzE0NzM2ODJlNDA4NTkifQ=="/>
  </w:docVars>
  <w:rsids>
    <w:rsidRoot w:val="1326542E"/>
    <w:rsid w:val="001410E2"/>
    <w:rsid w:val="00166C4F"/>
    <w:rsid w:val="00206564"/>
    <w:rsid w:val="00407472"/>
    <w:rsid w:val="004708A9"/>
    <w:rsid w:val="00504D96"/>
    <w:rsid w:val="006D3276"/>
    <w:rsid w:val="00744DC1"/>
    <w:rsid w:val="007D1C86"/>
    <w:rsid w:val="00885B63"/>
    <w:rsid w:val="00893649"/>
    <w:rsid w:val="00A47BF1"/>
    <w:rsid w:val="00AA399D"/>
    <w:rsid w:val="00AE45D1"/>
    <w:rsid w:val="00B16F79"/>
    <w:rsid w:val="00B935EE"/>
    <w:rsid w:val="00C31BFF"/>
    <w:rsid w:val="00C84BFF"/>
    <w:rsid w:val="00CB3EE8"/>
    <w:rsid w:val="00DF4450"/>
    <w:rsid w:val="00F83739"/>
    <w:rsid w:val="00FE5D19"/>
    <w:rsid w:val="02CF7A3A"/>
    <w:rsid w:val="043E72DC"/>
    <w:rsid w:val="04F96FF0"/>
    <w:rsid w:val="05EF21A1"/>
    <w:rsid w:val="09436A8B"/>
    <w:rsid w:val="0B7E296F"/>
    <w:rsid w:val="0C782EF0"/>
    <w:rsid w:val="0CB2382D"/>
    <w:rsid w:val="0D645222"/>
    <w:rsid w:val="0E032C8D"/>
    <w:rsid w:val="0E80663D"/>
    <w:rsid w:val="107B538A"/>
    <w:rsid w:val="12B001D9"/>
    <w:rsid w:val="1326542E"/>
    <w:rsid w:val="161F5B3C"/>
    <w:rsid w:val="162027C4"/>
    <w:rsid w:val="163A3269"/>
    <w:rsid w:val="16552432"/>
    <w:rsid w:val="17B251A8"/>
    <w:rsid w:val="180A1089"/>
    <w:rsid w:val="185310C2"/>
    <w:rsid w:val="19801636"/>
    <w:rsid w:val="1A163D48"/>
    <w:rsid w:val="1AB236D7"/>
    <w:rsid w:val="1B4610D2"/>
    <w:rsid w:val="1C907DE2"/>
    <w:rsid w:val="1D6476B7"/>
    <w:rsid w:val="1E252737"/>
    <w:rsid w:val="1E7E3740"/>
    <w:rsid w:val="1F862805"/>
    <w:rsid w:val="23C16FB3"/>
    <w:rsid w:val="26105AE5"/>
    <w:rsid w:val="26367651"/>
    <w:rsid w:val="27AA4F6F"/>
    <w:rsid w:val="2A280C3B"/>
    <w:rsid w:val="2B1F5692"/>
    <w:rsid w:val="2B2040F4"/>
    <w:rsid w:val="2B3F1C94"/>
    <w:rsid w:val="2DBD427A"/>
    <w:rsid w:val="2F210D6D"/>
    <w:rsid w:val="310426F5"/>
    <w:rsid w:val="3199108F"/>
    <w:rsid w:val="337922FD"/>
    <w:rsid w:val="34551CE2"/>
    <w:rsid w:val="34B42429"/>
    <w:rsid w:val="35165723"/>
    <w:rsid w:val="378325C5"/>
    <w:rsid w:val="38160A85"/>
    <w:rsid w:val="3824565D"/>
    <w:rsid w:val="388A7983"/>
    <w:rsid w:val="39276F80"/>
    <w:rsid w:val="39AC177F"/>
    <w:rsid w:val="3AD82C28"/>
    <w:rsid w:val="3C025A83"/>
    <w:rsid w:val="3C322C87"/>
    <w:rsid w:val="3D256684"/>
    <w:rsid w:val="3D2F0AF9"/>
    <w:rsid w:val="3DFA1107"/>
    <w:rsid w:val="40CB6FF9"/>
    <w:rsid w:val="44223166"/>
    <w:rsid w:val="449D74EC"/>
    <w:rsid w:val="44BB092A"/>
    <w:rsid w:val="45022447"/>
    <w:rsid w:val="459B245A"/>
    <w:rsid w:val="46BC0419"/>
    <w:rsid w:val="46DF420B"/>
    <w:rsid w:val="48942FA6"/>
    <w:rsid w:val="48E629B4"/>
    <w:rsid w:val="492A7C6E"/>
    <w:rsid w:val="4B795A0D"/>
    <w:rsid w:val="4BA2133D"/>
    <w:rsid w:val="4C052120"/>
    <w:rsid w:val="4C24657D"/>
    <w:rsid w:val="4C706B26"/>
    <w:rsid w:val="4C731400"/>
    <w:rsid w:val="4EE63F23"/>
    <w:rsid w:val="4F2A1121"/>
    <w:rsid w:val="4F8E6254"/>
    <w:rsid w:val="50EC60EE"/>
    <w:rsid w:val="536A2AAE"/>
    <w:rsid w:val="53FF3B61"/>
    <w:rsid w:val="54EF6AEE"/>
    <w:rsid w:val="58BD71A2"/>
    <w:rsid w:val="5B796777"/>
    <w:rsid w:val="5C615E60"/>
    <w:rsid w:val="5DB40D99"/>
    <w:rsid w:val="5DBD57C0"/>
    <w:rsid w:val="5EB07633"/>
    <w:rsid w:val="5ECA396F"/>
    <w:rsid w:val="5F67226E"/>
    <w:rsid w:val="612F5580"/>
    <w:rsid w:val="61AA0A6C"/>
    <w:rsid w:val="62815DD2"/>
    <w:rsid w:val="645B763F"/>
    <w:rsid w:val="64B0555C"/>
    <w:rsid w:val="67620EEF"/>
    <w:rsid w:val="6B52226C"/>
    <w:rsid w:val="6CE0261F"/>
    <w:rsid w:val="6FC5291A"/>
    <w:rsid w:val="70614152"/>
    <w:rsid w:val="71212746"/>
    <w:rsid w:val="745C4473"/>
    <w:rsid w:val="759C4277"/>
    <w:rsid w:val="7A853FE3"/>
    <w:rsid w:val="7B3429CE"/>
    <w:rsid w:val="7BF36CB8"/>
    <w:rsid w:val="7D822298"/>
    <w:rsid w:val="7DFB736D"/>
    <w:rsid w:val="7F647C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7"/>
    <w:qFormat/>
    <w:uiPriority w:val="0"/>
    <w:pPr>
      <w:keepNext/>
      <w:spacing w:line="216" w:lineRule="auto"/>
      <w:jc w:val="center"/>
      <w:outlineLvl w:val="0"/>
    </w:pPr>
    <w:rPr>
      <w:rFonts w:ascii="宋体" w:hAnsi="宋体"/>
      <w:b/>
      <w:sz w:val="30"/>
      <w:szCs w:val="20"/>
    </w:rPr>
  </w:style>
  <w:style w:type="paragraph" w:styleId="2">
    <w:name w:val="heading 2"/>
    <w:basedOn w:val="1"/>
    <w:next w:val="3"/>
    <w:link w:val="29"/>
    <w:qFormat/>
    <w:uiPriority w:val="0"/>
    <w:pPr>
      <w:keepNext/>
      <w:spacing w:line="216" w:lineRule="auto"/>
      <w:outlineLvl w:val="1"/>
    </w:pPr>
    <w:rPr>
      <w:rFonts w:ascii="宋体"/>
      <w:b/>
      <w:sz w:val="28"/>
      <w:szCs w:val="20"/>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0"/>
    <w:pPr>
      <w:ind w:firstLine="420"/>
    </w:pPr>
    <w:rPr>
      <w:szCs w:val="20"/>
    </w:rPr>
  </w:style>
  <w:style w:type="paragraph" w:styleId="5">
    <w:name w:val="annotation text"/>
    <w:basedOn w:val="1"/>
    <w:qFormat/>
    <w:uiPriority w:val="0"/>
    <w:pPr>
      <w:adjustRightInd w:val="0"/>
      <w:jc w:val="left"/>
    </w:pPr>
  </w:style>
  <w:style w:type="paragraph" w:styleId="6">
    <w:name w:val="Body Text"/>
    <w:basedOn w:val="1"/>
    <w:next w:val="7"/>
    <w:qFormat/>
    <w:uiPriority w:val="0"/>
    <w:pPr>
      <w:autoSpaceDE w:val="0"/>
      <w:autoSpaceDN w:val="0"/>
      <w:adjustRightInd w:val="0"/>
      <w:spacing w:line="360" w:lineRule="auto"/>
    </w:pPr>
    <w:rPr>
      <w:rFonts w:ascii="宋体" w:hAnsi="Arial" w:cs="Arial"/>
      <w:snapToGrid w:val="0"/>
      <w:sz w:val="24"/>
      <w:szCs w:val="21"/>
      <w:lang w:val="zh-CN"/>
    </w:rPr>
  </w:style>
  <w:style w:type="paragraph" w:styleId="7">
    <w:name w:val="Body Text First Indent"/>
    <w:basedOn w:val="6"/>
    <w:next w:val="8"/>
    <w:qFormat/>
    <w:uiPriority w:val="99"/>
    <w:pPr>
      <w:ind w:firstLine="420" w:firstLineChars="100"/>
    </w:pPr>
  </w:style>
  <w:style w:type="paragraph" w:styleId="8">
    <w:name w:val="toc 6"/>
    <w:basedOn w:val="1"/>
    <w:next w:val="1"/>
    <w:semiHidden/>
    <w:qFormat/>
    <w:uiPriority w:val="0"/>
    <w:pPr>
      <w:ind w:left="2100" w:leftChars="1000"/>
    </w:pPr>
  </w:style>
  <w:style w:type="paragraph" w:styleId="9">
    <w:name w:val="Body Text Indent"/>
    <w:basedOn w:val="1"/>
    <w:next w:val="10"/>
    <w:qFormat/>
    <w:uiPriority w:val="0"/>
    <w:pPr>
      <w:spacing w:after="120"/>
      <w:ind w:left="420" w:leftChars="200"/>
    </w:pPr>
  </w:style>
  <w:style w:type="paragraph" w:styleId="10">
    <w:name w:val="Body Text First Indent 2"/>
    <w:basedOn w:val="9"/>
    <w:next w:val="7"/>
    <w:qFormat/>
    <w:uiPriority w:val="0"/>
    <w:pPr>
      <w:ind w:firstLine="420" w:firstLineChars="200"/>
    </w:pPr>
  </w:style>
  <w:style w:type="paragraph" w:styleId="11">
    <w:name w:val="Block Text"/>
    <w:basedOn w:val="1"/>
    <w:semiHidden/>
    <w:unhideWhenUsed/>
    <w:qFormat/>
    <w:uiPriority w:val="99"/>
    <w:pPr>
      <w:spacing w:after="120"/>
      <w:ind w:left="1440" w:leftChars="700" w:right="1440" w:rightChars="700"/>
    </w:pPr>
  </w:style>
  <w:style w:type="paragraph" w:styleId="12">
    <w:name w:val="Plain Text"/>
    <w:basedOn w:val="1"/>
    <w:next w:val="1"/>
    <w:qFormat/>
    <w:uiPriority w:val="0"/>
    <w:rPr>
      <w:rFonts w:ascii="宋体" w:hAnsi="Courier New" w:cs="Courier New"/>
      <w:szCs w:val="21"/>
    </w:rPr>
  </w:style>
  <w:style w:type="paragraph" w:styleId="13">
    <w:name w:val="Date"/>
    <w:basedOn w:val="1"/>
    <w:next w:val="1"/>
    <w:qFormat/>
    <w:uiPriority w:val="0"/>
    <w:pPr>
      <w:ind w:left="100" w:leftChars="2500"/>
    </w:pPr>
    <w:rPr>
      <w:rFonts w:ascii="宋体" w:hAnsi="宋体"/>
      <w:color w:val="000000"/>
      <w:sz w:val="24"/>
    </w:rPr>
  </w:style>
  <w:style w:type="paragraph" w:styleId="14">
    <w:name w:val="Balloon Text"/>
    <w:basedOn w:val="1"/>
    <w:link w:val="31"/>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envelope return"/>
    <w:basedOn w:val="1"/>
    <w:qFormat/>
    <w:uiPriority w:val="0"/>
    <w:pPr>
      <w:snapToGrid w:val="0"/>
    </w:pPr>
    <w:rPr>
      <w:rFonts w:ascii="Arial" w:hAnsi="Arial"/>
    </w:rPr>
  </w:style>
  <w:style w:type="paragraph" w:styleId="17">
    <w:name w:val="header"/>
    <w:basedOn w:val="1"/>
    <w:qFormat/>
    <w:uiPriority w:val="0"/>
    <w:pPr>
      <w:pBdr>
        <w:bottom w:val="single" w:color="auto" w:sz="6" w:space="1"/>
      </w:pBdr>
      <w:tabs>
        <w:tab w:val="center" w:pos="4153"/>
        <w:tab w:val="right" w:pos="8306"/>
      </w:tabs>
      <w:adjustRightInd w:val="0"/>
      <w:snapToGrid w:val="0"/>
      <w:spacing w:line="240" w:lineRule="atLeast"/>
      <w:jc w:val="center"/>
      <w:textAlignment w:val="baseline"/>
    </w:pPr>
    <w:rPr>
      <w:rFonts w:ascii="宋体"/>
      <w:kern w:val="0"/>
      <w:sz w:val="18"/>
      <w:szCs w:val="20"/>
    </w:rPr>
  </w:style>
  <w:style w:type="paragraph" w:styleId="18">
    <w:name w:val="toc 1"/>
    <w:basedOn w:val="1"/>
    <w:next w:val="1"/>
    <w:semiHidden/>
    <w:qFormat/>
    <w:uiPriority w:val="0"/>
  </w:style>
  <w:style w:type="paragraph" w:styleId="19">
    <w:name w:val="Body Text 2"/>
    <w:basedOn w:val="1"/>
    <w:qFormat/>
    <w:uiPriority w:val="0"/>
    <w:pPr>
      <w:spacing w:after="120" w:line="480" w:lineRule="auto"/>
    </w:pPr>
    <w:rPr>
      <w:szCs w:val="20"/>
    </w:rPr>
  </w:style>
  <w:style w:type="paragraph" w:styleId="20">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22">
    <w:name w:val="Table Grid"/>
    <w:basedOn w:val="2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4">
    <w:name w:val="page number"/>
    <w:qFormat/>
    <w:uiPriority w:val="0"/>
  </w:style>
  <w:style w:type="character" w:styleId="25">
    <w:name w:val="annotation reference"/>
    <w:basedOn w:val="23"/>
    <w:qFormat/>
    <w:uiPriority w:val="0"/>
    <w:rPr>
      <w:sz w:val="21"/>
      <w:szCs w:val="21"/>
    </w:rPr>
  </w:style>
  <w:style w:type="paragraph" w:customStyle="1" w:styleId="26">
    <w:name w:val="Body Text First Indent1"/>
    <w:basedOn w:val="6"/>
    <w:qFormat/>
    <w:uiPriority w:val="0"/>
    <w:pPr>
      <w:tabs>
        <w:tab w:val="left" w:pos="1275"/>
      </w:tabs>
      <w:ind w:firstLine="420" w:firstLineChars="100"/>
    </w:pPr>
  </w:style>
  <w:style w:type="paragraph" w:customStyle="1" w:styleId="27">
    <w:name w:val="正文2"/>
    <w:basedOn w:val="19"/>
    <w:link w:val="32"/>
    <w:qFormat/>
    <w:uiPriority w:val="0"/>
    <w:pPr>
      <w:adjustRightInd w:val="0"/>
      <w:spacing w:before="156" w:line="360" w:lineRule="auto"/>
      <w:ind w:firstLine="510" w:firstLineChars="200"/>
    </w:pPr>
    <w:rPr>
      <w:sz w:val="24"/>
    </w:rPr>
  </w:style>
  <w:style w:type="character" w:customStyle="1" w:styleId="28">
    <w:name w:val="NormalCharacter"/>
    <w:semiHidden/>
    <w:qFormat/>
    <w:uiPriority w:val="0"/>
  </w:style>
  <w:style w:type="character" w:customStyle="1" w:styleId="29">
    <w:name w:val="标题 2 Char"/>
    <w:basedOn w:val="23"/>
    <w:link w:val="2"/>
    <w:qFormat/>
    <w:uiPriority w:val="0"/>
    <w:rPr>
      <w:rFonts w:ascii="宋体"/>
      <w:b/>
      <w:sz w:val="28"/>
      <w:szCs w:val="20"/>
    </w:rPr>
  </w:style>
  <w:style w:type="paragraph" w:customStyle="1" w:styleId="30">
    <w:name w:val="样式3"/>
    <w:basedOn w:val="12"/>
    <w:qFormat/>
    <w:uiPriority w:val="0"/>
    <w:pPr>
      <w:spacing w:line="0" w:lineRule="atLeast"/>
      <w:outlineLvl w:val="0"/>
    </w:pPr>
    <w:rPr>
      <w:sz w:val="28"/>
    </w:rPr>
  </w:style>
  <w:style w:type="character" w:customStyle="1" w:styleId="31">
    <w:name w:val="批注框文本 Char"/>
    <w:basedOn w:val="23"/>
    <w:link w:val="14"/>
    <w:qFormat/>
    <w:uiPriority w:val="0"/>
    <w:rPr>
      <w:rFonts w:ascii="Times New Roman" w:hAnsi="Times New Roman" w:eastAsia="宋体" w:cs="Times New Roman"/>
      <w:kern w:val="2"/>
      <w:sz w:val="18"/>
      <w:szCs w:val="18"/>
    </w:rPr>
  </w:style>
  <w:style w:type="character" w:customStyle="1" w:styleId="32">
    <w:name w:val="正文2 Char Char"/>
    <w:link w:val="27"/>
    <w:qFormat/>
    <w:uiPriority w:val="0"/>
    <w:rPr>
      <w:rFonts w:ascii="Times New Roman" w:hAnsi="Times New Roman" w:eastAsia="宋体" w:cs="Times New Roman"/>
      <w:kern w:val="2"/>
      <w:sz w:val="24"/>
    </w:rPr>
  </w:style>
  <w:style w:type="paragraph" w:customStyle="1" w:styleId="33">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34">
    <w:name w:val="BodyText1I2"/>
    <w:basedOn w:val="1"/>
    <w:qFormat/>
    <w:uiPriority w:val="0"/>
    <w:pPr>
      <w:spacing w:line="360" w:lineRule="auto"/>
      <w:ind w:firstLine="420"/>
      <w:jc w:val="left"/>
    </w:pPr>
    <w:rPr>
      <w:rFonts w:ascii="宋体" w:hAnsi="宋体"/>
    </w:rPr>
  </w:style>
  <w:style w:type="paragraph" w:customStyle="1" w:styleId="35">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6">
    <w:name w:val="List Paragraph"/>
    <w:basedOn w:val="1"/>
    <w:qFormat/>
    <w:uiPriority w:val="34"/>
    <w:pPr>
      <w:ind w:firstLine="420" w:firstLineChars="200"/>
    </w:pPr>
  </w:style>
  <w:style w:type="character" w:customStyle="1" w:styleId="37">
    <w:name w:val="标题 1 Char"/>
    <w:link w:val="4"/>
    <w:qFormat/>
    <w:uiPriority w:val="0"/>
    <w:rPr>
      <w:rFonts w:ascii="宋体" w:hAnsi="宋体"/>
      <w:b/>
      <w:sz w:val="30"/>
      <w:szCs w:val="20"/>
    </w:rPr>
  </w:style>
  <w:style w:type="paragraph" w:customStyle="1" w:styleId="38">
    <w:name w:val="正文_0"/>
    <w:basedOn w:val="39"/>
    <w:qFormat/>
    <w:uiPriority w:val="0"/>
    <w:rPr>
      <w:rFonts w:ascii="Calibri" w:hAnsi="Calibri"/>
    </w:rPr>
  </w:style>
  <w:style w:type="paragraph" w:customStyle="1" w:styleId="39">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0">
    <w:name w:val="表格文字"/>
    <w:basedOn w:val="12"/>
    <w:next w:val="6"/>
    <w:qFormat/>
    <w:uiPriority w:val="0"/>
    <w:pPr>
      <w:adjustRightInd w:val="0"/>
      <w:spacing w:line="420" w:lineRule="atLeast"/>
      <w:textAlignment w:val="baseline"/>
    </w:pPr>
    <w:rPr>
      <w:rFonts w:ascii="宋体" w:hAnsi="宋体" w:cs="宋体"/>
      <w:kern w:val="0"/>
      <w:sz w:val="2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57</Pages>
  <Words>26397</Words>
  <Characters>27482</Characters>
  <Lines>345</Lines>
  <Paragraphs>97</Paragraphs>
  <TotalTime>6</TotalTime>
  <ScaleCrop>false</ScaleCrop>
  <LinksUpToDate>false</LinksUpToDate>
  <CharactersWithSpaces>28270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2022-11-10T00:47:00Z</dcterms:created>
  <dc:creator>王成</dc:creator>
  <cp:lastModifiedBy>RYQ</cp:lastModifiedBy>
  <cp:lastPrinted>2022-11-10T01:42:00Z</cp:lastPrinted>
  <dcterms:modified xsi:type="dcterms:W3CDTF">2023-04-26T03:15:36Z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3BAB60A0B0204B83A5E57058740FC041</vt:lpwstr>
  </property>
</Properties>
</file>