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E50E8">
      <w:pPr>
        <w:rPr>
          <w:rFonts w:hint="eastAsia" w:ascii="黑体" w:hAnsi="黑体" w:eastAsia="黑体"/>
          <w:color w:val="auto"/>
          <w:sz w:val="32"/>
          <w:szCs w:val="32"/>
          <w:highlight w:val="none"/>
          <w:lang w:eastAsia="zh-CN"/>
        </w:rPr>
      </w:pPr>
    </w:p>
    <w:p w14:paraId="7E039B8B">
      <w:pPr>
        <w:jc w:val="center"/>
        <w:rPr>
          <w:rFonts w:hint="eastAsia" w:ascii="黑体" w:hAnsi="黑体" w:eastAsia="黑体"/>
          <w:color w:val="auto"/>
          <w:spacing w:val="5760"/>
          <w:w w:val="100"/>
          <w:kern w:val="0"/>
          <w:sz w:val="36"/>
          <w:szCs w:val="36"/>
          <w:highlight w:val="none"/>
          <w:fitText w:val="6120" w:id="-1002138880"/>
          <w:lang w:val="en-US" w:eastAsia="zh-CN"/>
        </w:rPr>
      </w:pPr>
    </w:p>
    <w:p w14:paraId="143A0883">
      <w:pPr>
        <w:jc w:val="center"/>
        <w:rPr>
          <w:rFonts w:hint="eastAsia" w:ascii="宋体" w:hAnsi="宋体" w:eastAsia="宋体" w:cs="宋体"/>
          <w:b/>
          <w:bCs/>
          <w:color w:val="auto"/>
          <w:sz w:val="60"/>
          <w:szCs w:val="60"/>
          <w:highlight w:val="none"/>
          <w:lang w:val="en-US" w:eastAsia="zh-CN"/>
        </w:rPr>
      </w:pPr>
      <w:r>
        <w:rPr>
          <w:rFonts w:hint="eastAsia" w:ascii="宋体" w:hAnsi="宋体" w:eastAsia="宋体" w:cs="宋体"/>
          <w:b/>
          <w:bCs/>
          <w:color w:val="auto"/>
          <w:kern w:val="0"/>
          <w:sz w:val="60"/>
          <w:szCs w:val="60"/>
          <w:highlight w:val="none"/>
          <w:lang w:val="en-US" w:eastAsia="zh-CN"/>
        </w:rPr>
        <w:t>兵团政府采购项目</w:t>
      </w:r>
    </w:p>
    <w:p w14:paraId="01CD27AD">
      <w:pPr>
        <w:jc w:val="center"/>
        <w:rPr>
          <w:rFonts w:hint="eastAsia" w:ascii="宋体" w:hAnsi="宋体" w:eastAsia="宋体" w:cs="宋体"/>
          <w:b/>
          <w:bCs/>
          <w:color w:val="auto"/>
          <w:sz w:val="60"/>
          <w:szCs w:val="60"/>
          <w:highlight w:val="none"/>
          <w:lang w:val="en-US" w:eastAsia="zh-CN"/>
        </w:rPr>
      </w:pPr>
      <w:r>
        <w:rPr>
          <w:rFonts w:hint="eastAsia" w:ascii="宋体" w:hAnsi="宋体" w:eastAsia="宋体" w:cs="宋体"/>
          <w:b/>
          <w:bCs/>
          <w:color w:val="auto"/>
          <w:sz w:val="60"/>
          <w:szCs w:val="60"/>
          <w:highlight w:val="none"/>
        </w:rPr>
        <w:t>公开招标文件</w:t>
      </w:r>
    </w:p>
    <w:p w14:paraId="2348539C">
      <w:pPr>
        <w:jc w:val="center"/>
        <w:rPr>
          <w:rFonts w:hint="eastAsia" w:ascii="宋体" w:hAnsi="宋体" w:eastAsia="宋体" w:cs="宋体"/>
          <w:b/>
          <w:bCs/>
          <w:color w:val="auto"/>
          <w:sz w:val="60"/>
          <w:szCs w:val="60"/>
          <w:highlight w:val="none"/>
        </w:rPr>
      </w:pPr>
      <w:r>
        <w:rPr>
          <w:rFonts w:hint="eastAsia" w:ascii="宋体" w:hAnsi="宋体" w:eastAsia="宋体" w:cs="宋体"/>
          <w:b/>
          <w:bCs/>
          <w:color w:val="auto"/>
          <w:sz w:val="60"/>
          <w:szCs w:val="60"/>
          <w:highlight w:val="none"/>
          <w:lang w:val="en-US" w:eastAsia="zh-CN"/>
        </w:rPr>
        <w:t>（货物）</w:t>
      </w:r>
    </w:p>
    <w:p w14:paraId="7757DFAA">
      <w:pPr>
        <w:spacing w:line="240" w:lineRule="auto"/>
        <w:jc w:val="center"/>
        <w:rPr>
          <w:rFonts w:ascii="黑体" w:hAnsi="黑体" w:eastAsia="黑体"/>
          <w:color w:val="auto"/>
          <w:sz w:val="52"/>
          <w:szCs w:val="52"/>
          <w:highlight w:val="none"/>
        </w:rPr>
      </w:pPr>
    </w:p>
    <w:p w14:paraId="107FD74D">
      <w:pPr>
        <w:spacing w:line="240" w:lineRule="auto"/>
        <w:jc w:val="center"/>
        <w:rPr>
          <w:rFonts w:ascii="黑体" w:hAnsi="黑体" w:eastAsia="黑体"/>
          <w:color w:val="auto"/>
          <w:sz w:val="52"/>
          <w:szCs w:val="52"/>
          <w:highlight w:val="none"/>
        </w:rPr>
      </w:pPr>
    </w:p>
    <w:p w14:paraId="67E856E7">
      <w:pPr>
        <w:spacing w:line="240" w:lineRule="auto"/>
        <w:jc w:val="center"/>
        <w:rPr>
          <w:rFonts w:ascii="黑体" w:hAnsi="黑体" w:eastAsia="黑体"/>
          <w:color w:val="auto"/>
          <w:sz w:val="52"/>
          <w:szCs w:val="52"/>
          <w:highlight w:val="none"/>
        </w:rPr>
      </w:pPr>
    </w:p>
    <w:p w14:paraId="6E97F6A4">
      <w:pPr>
        <w:spacing w:line="240" w:lineRule="auto"/>
        <w:jc w:val="center"/>
        <w:rPr>
          <w:rFonts w:ascii="黑体" w:hAnsi="黑体" w:eastAsia="黑体"/>
          <w:color w:val="auto"/>
          <w:sz w:val="52"/>
          <w:szCs w:val="52"/>
          <w:highlight w:val="none"/>
        </w:rPr>
      </w:pPr>
    </w:p>
    <w:p w14:paraId="0F88ECFE">
      <w:pPr>
        <w:ind w:left="35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B15SBJ[2025]104号</w:t>
      </w:r>
      <w:r>
        <w:rPr>
          <w:rFonts w:hint="eastAsia" w:ascii="宋体" w:hAnsi="宋体" w:eastAsia="宋体" w:cs="宋体"/>
          <w:color w:val="auto"/>
          <w:sz w:val="36"/>
          <w:szCs w:val="36"/>
          <w:highlight w:val="none"/>
          <w:u w:val="single"/>
          <w:lang w:val="en-US" w:eastAsia="zh-CN"/>
        </w:rPr>
        <w:t>-1</w:t>
      </w:r>
      <w:r>
        <w:rPr>
          <w:rFonts w:hint="eastAsia" w:ascii="宋体" w:hAnsi="宋体" w:eastAsia="宋体" w:cs="宋体"/>
          <w:color w:val="auto"/>
          <w:sz w:val="36"/>
          <w:szCs w:val="36"/>
          <w:highlight w:val="none"/>
          <w:u w:val="single"/>
        </w:rPr>
        <w:t xml:space="preserve">    </w:t>
      </w:r>
    </w:p>
    <w:p w14:paraId="0E6E48F8">
      <w:pPr>
        <w:ind w:left="35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草湖项目区党委办公室（草湖项目区办公室、草湖项目区党委政策研究室）</w:t>
      </w:r>
      <w:r>
        <w:rPr>
          <w:rFonts w:hint="eastAsia" w:ascii="宋体" w:hAnsi="宋体" w:eastAsia="宋体" w:cs="宋体"/>
          <w:color w:val="auto"/>
          <w:sz w:val="36"/>
          <w:szCs w:val="36"/>
          <w:highlight w:val="none"/>
          <w:u w:val="single"/>
          <w:lang w:val="en-US" w:eastAsia="zh-CN"/>
        </w:rPr>
        <w:t>采购</w:t>
      </w:r>
      <w:r>
        <w:rPr>
          <w:rFonts w:hint="eastAsia" w:ascii="宋体" w:hAnsi="宋体" w:eastAsia="宋体" w:cs="宋体"/>
          <w:color w:val="auto"/>
          <w:sz w:val="36"/>
          <w:szCs w:val="36"/>
          <w:highlight w:val="none"/>
          <w:u w:val="single"/>
        </w:rPr>
        <w:t xml:space="preserve">2辆新能源商务车项目  </w:t>
      </w:r>
    </w:p>
    <w:p w14:paraId="0F84FA94">
      <w:pPr>
        <w:ind w:left="35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购</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草湖项目区党委办公室（草湖项目区办公室、草湖项目区党委政策研究室） </w:t>
      </w:r>
    </w:p>
    <w:p w14:paraId="4B180FDF">
      <w:pPr>
        <w:ind w:left="35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采购代理机构：</w:t>
      </w:r>
      <w:r>
        <w:rPr>
          <w:rFonts w:hint="eastAsia" w:ascii="宋体" w:hAnsi="宋体" w:eastAsia="宋体" w:cs="宋体"/>
          <w:color w:val="auto"/>
          <w:sz w:val="36"/>
          <w:szCs w:val="36"/>
          <w:highlight w:val="none"/>
          <w:u w:val="single"/>
        </w:rPr>
        <w:t xml:space="preserve"> 草湖项目区公共资源交易中心  </w:t>
      </w:r>
    </w:p>
    <w:p w14:paraId="2C93F193">
      <w:pPr>
        <w:rPr>
          <w:rFonts w:ascii="黑体" w:hAnsi="黑体" w:eastAsia="黑体"/>
          <w:color w:val="auto"/>
          <w:highlight w:val="none"/>
        </w:rPr>
      </w:pPr>
    </w:p>
    <w:p w14:paraId="320C1BF6">
      <w:pPr>
        <w:ind w:left="350" w:leftChars="175" w:firstLine="640" w:firstLineChars="2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r>
        <w:rPr>
          <w:rFonts w:ascii="黑体" w:hAnsi="黑体" w:eastAsia="黑体"/>
          <w:color w:val="auto"/>
          <w:sz w:val="32"/>
          <w:szCs w:val="32"/>
          <w:highlight w:val="none"/>
        </w:rPr>
        <w:t xml:space="preserve">   </w:t>
      </w:r>
    </w:p>
    <w:p w14:paraId="3B2CDAF9">
      <w:pPr>
        <w:jc w:val="center"/>
        <w:rPr>
          <w:rFonts w:hint="eastAsia" w:ascii="黑体" w:hAnsi="黑体" w:eastAsia="黑体"/>
          <w:color w:val="auto"/>
          <w:sz w:val="48"/>
          <w:szCs w:val="48"/>
          <w:highlight w:val="none"/>
        </w:rPr>
      </w:pPr>
    </w:p>
    <w:p w14:paraId="309B13BD">
      <w:pPr>
        <w:jc w:val="center"/>
        <w:rPr>
          <w:rFonts w:hint="eastAsia" w:ascii="黑体" w:hAnsi="黑体" w:eastAsia="黑体"/>
          <w:color w:val="auto"/>
          <w:sz w:val="48"/>
          <w:szCs w:val="48"/>
          <w:highlight w:val="none"/>
        </w:rPr>
      </w:pPr>
    </w:p>
    <w:p w14:paraId="67540CEC">
      <w:pPr>
        <w:jc w:val="center"/>
        <w:rPr>
          <w:rFonts w:hint="eastAsia" w:ascii="黑体" w:hAnsi="黑体" w:eastAsia="黑体"/>
          <w:color w:val="auto"/>
          <w:sz w:val="48"/>
          <w:szCs w:val="48"/>
          <w:highlight w:val="none"/>
        </w:rPr>
      </w:pPr>
    </w:p>
    <w:p w14:paraId="0BD23774">
      <w:pPr>
        <w:jc w:val="center"/>
        <w:rPr>
          <w:rFonts w:hint="eastAsia" w:ascii="黑体" w:hAnsi="黑体" w:eastAsia="黑体"/>
          <w:color w:val="auto"/>
          <w:sz w:val="48"/>
          <w:szCs w:val="48"/>
          <w:highlight w:val="none"/>
        </w:rPr>
      </w:pPr>
    </w:p>
    <w:p w14:paraId="2E6E0FD2">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目 </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5100918">
      <w:pPr>
        <w:jc w:val="center"/>
        <w:rPr>
          <w:rFonts w:hint="eastAsia" w:ascii="宋体" w:hAnsi="宋体" w:eastAsia="宋体" w:cs="宋体"/>
          <w:b/>
          <w:bCs/>
          <w:color w:val="auto"/>
          <w:sz w:val="36"/>
          <w:szCs w:val="36"/>
          <w:highlight w:val="none"/>
        </w:rPr>
      </w:pPr>
    </w:p>
    <w:p w14:paraId="17EE2807">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"1-4"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_Toc16718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 xml:space="preserve">第一章 </w:t>
      </w:r>
      <w:r>
        <w:rPr>
          <w:rFonts w:hint="eastAsia" w:ascii="宋体" w:hAnsi="宋体" w:eastAsia="宋体" w:cs="宋体"/>
          <w:sz w:val="24"/>
          <w:szCs w:val="24"/>
          <w:highlight w:val="none"/>
          <w:lang w:val="en-US" w:eastAsia="zh-CN"/>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_Toc16718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5A46D4F3">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_Toc6667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_Toc6667 \h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43ADB032">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_Toc18413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第三章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_Toc18413 \h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652A25E7">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_Toc16160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第四章 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_Toc16160 \h </w:instrText>
      </w:r>
      <w:r>
        <w:rPr>
          <w:rFonts w:hint="eastAsia" w:ascii="宋体" w:hAnsi="宋体" w:eastAsia="宋体" w:cs="宋体"/>
          <w:sz w:val="24"/>
          <w:szCs w:val="24"/>
        </w:rPr>
        <w:fldChar w:fldCharType="separate"/>
      </w:r>
      <w:r>
        <w:rPr>
          <w:rFonts w:hint="eastAsia" w:ascii="宋体" w:hAnsi="宋体" w:eastAsia="宋体" w:cs="宋体"/>
          <w:sz w:val="24"/>
          <w:szCs w:val="24"/>
        </w:rPr>
        <w:t>- 37 -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2AF7A218">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_Toc22582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第五章 评标方法及标准</w:t>
      </w:r>
      <w:r>
        <w:rPr>
          <w:rFonts w:hint="eastAsia" w:ascii="宋体" w:hAnsi="宋体" w:eastAsia="宋体" w:cs="宋体"/>
          <w:sz w:val="24"/>
          <w:szCs w:val="24"/>
          <w:lang w:val="zh-CN" w:eastAsia="zh-CN"/>
        </w:rPr>
        <w:t>【</w:t>
      </w:r>
      <w:r>
        <w:rPr>
          <w:rFonts w:hint="eastAsia" w:ascii="宋体" w:hAnsi="宋体" w:eastAsia="宋体" w:cs="宋体"/>
          <w:bCs/>
          <w:kern w:val="44"/>
          <w:sz w:val="24"/>
          <w:szCs w:val="24"/>
          <w:highlight w:val="none"/>
          <w:lang w:val="en-US" w:eastAsia="zh-CN" w:bidi="ar-SA"/>
        </w:rPr>
        <w:t>综合评分法</w:t>
      </w:r>
      <w:r>
        <w:rPr>
          <w:rFonts w:hint="eastAsia" w:ascii="宋体" w:hAnsi="宋体" w:eastAsia="宋体" w:cs="宋体"/>
          <w:sz w:val="24"/>
          <w:szCs w:val="24"/>
          <w:lang w:val="zh-CN" w:eastAsia="zh-CN"/>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_Toc22582 \h </w:instrText>
      </w:r>
      <w:r>
        <w:rPr>
          <w:rFonts w:hint="eastAsia" w:ascii="宋体" w:hAnsi="宋体" w:eastAsia="宋体" w:cs="宋体"/>
          <w:sz w:val="24"/>
          <w:szCs w:val="24"/>
        </w:rPr>
        <w:fldChar w:fldCharType="separate"/>
      </w:r>
      <w:r>
        <w:rPr>
          <w:rFonts w:hint="eastAsia" w:ascii="宋体" w:hAnsi="宋体" w:eastAsia="宋体" w:cs="宋体"/>
          <w:sz w:val="24"/>
          <w:szCs w:val="24"/>
        </w:rPr>
        <w:t>- 40 -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316B7BA6">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_Toc24636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zh-CN" w:eastAsia="zh-CN" w:bidi="ar-SA"/>
        </w:rPr>
        <w:t>第六章 合同草案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_Toc24636 \h </w:instrText>
      </w:r>
      <w:r>
        <w:rPr>
          <w:rFonts w:hint="eastAsia" w:ascii="宋体" w:hAnsi="宋体" w:eastAsia="宋体" w:cs="宋体"/>
          <w:sz w:val="24"/>
          <w:szCs w:val="24"/>
        </w:rPr>
        <w:fldChar w:fldCharType="separate"/>
      </w:r>
      <w:r>
        <w:rPr>
          <w:rFonts w:hint="eastAsia" w:ascii="宋体" w:hAnsi="宋体" w:eastAsia="宋体" w:cs="宋体"/>
          <w:sz w:val="24"/>
          <w:szCs w:val="24"/>
        </w:rPr>
        <w:t>- 60 -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09259C59">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_Toc5888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第七章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_Toc5888 \h </w:instrText>
      </w:r>
      <w:r>
        <w:rPr>
          <w:rFonts w:hint="eastAsia" w:ascii="宋体" w:hAnsi="宋体" w:eastAsia="宋体" w:cs="宋体"/>
          <w:sz w:val="24"/>
          <w:szCs w:val="24"/>
        </w:rPr>
        <w:fldChar w:fldCharType="separate"/>
      </w:r>
      <w:r>
        <w:rPr>
          <w:rFonts w:hint="eastAsia" w:ascii="宋体" w:hAnsi="宋体" w:eastAsia="宋体" w:cs="宋体"/>
          <w:sz w:val="24"/>
          <w:szCs w:val="24"/>
        </w:rPr>
        <w:t>- 76 -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rPr>
        <w:fldChar w:fldCharType="end"/>
      </w:r>
    </w:p>
    <w:p w14:paraId="7355FB1A">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_Toc7054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rPr>
        <w:t>投标文件</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_Toc17826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rPr>
        <w:t>资格证明文件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_Toc17826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- 77 -</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highlight w:val="none"/>
        </w:rPr>
        <w:fldChar w:fldCharType="end"/>
      </w:r>
    </w:p>
    <w:p w14:paraId="3DE83DBA">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_Toc25734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rPr>
        <w:t>投标文件</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_Toc16181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lang w:val="en-US" w:eastAsia="zh-CN"/>
        </w:rPr>
        <w:t>报价文件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_Toc16181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- 100 -</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highlight w:val="none"/>
        </w:rPr>
        <w:fldChar w:fldCharType="end"/>
      </w:r>
    </w:p>
    <w:p w14:paraId="1BBF401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_Toc5027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rPr>
        <w:t>投标文件</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_Toc17239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lang w:val="en-US" w:eastAsia="zh-CN"/>
        </w:rPr>
        <w:t>商务技术文件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_Toc17239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- 104 -</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highlight w:val="none"/>
        </w:rPr>
        <w:fldChar w:fldCharType="end"/>
      </w:r>
    </w:p>
    <w:p w14:paraId="0DD905CE">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464AFCF2">
      <w:pPr>
        <w:spacing w:line="360" w:lineRule="auto"/>
        <w:jc w:val="center"/>
        <w:outlineLvl w:val="1"/>
        <w:rPr>
          <w:rFonts w:hint="eastAsia" w:ascii="宋体" w:hAnsi="宋体" w:eastAsia="宋体" w:cs="宋体"/>
          <w:b/>
          <w:bCs/>
          <w:color w:val="auto"/>
          <w:sz w:val="24"/>
          <w:szCs w:val="24"/>
          <w:highlight w:val="none"/>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9DD1FCB">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color w:val="auto"/>
          <w:sz w:val="36"/>
          <w:szCs w:val="36"/>
          <w:highlight w:val="none"/>
          <w:lang w:val="en-US" w:eastAsia="zh-CN"/>
        </w:rPr>
      </w:pPr>
      <w:bookmarkStart w:id="0" w:name="_Toc155185859"/>
      <w:bookmarkStart w:id="1" w:name="_Toc16718"/>
      <w:r>
        <w:rPr>
          <w:rFonts w:hint="eastAsia" w:ascii="宋体" w:hAnsi="宋体" w:eastAsia="宋体" w:cs="宋体"/>
          <w:b/>
          <w:bCs/>
          <w:color w:val="auto"/>
          <w:kern w:val="44"/>
          <w:sz w:val="36"/>
          <w:szCs w:val="36"/>
          <w:highlight w:val="none"/>
          <w:lang w:val="en-US" w:eastAsia="zh-CN" w:bidi="ar-SA"/>
        </w:rPr>
        <w:t xml:space="preserve">第一章 </w:t>
      </w:r>
      <w:bookmarkEnd w:id="0"/>
      <w:bookmarkStart w:id="2" w:name="_Hlk130458318"/>
      <w:r>
        <w:rPr>
          <w:rFonts w:hint="eastAsia" w:ascii="宋体" w:hAnsi="宋体" w:eastAsia="宋体" w:cs="宋体"/>
          <w:color w:val="auto"/>
          <w:sz w:val="36"/>
          <w:szCs w:val="36"/>
          <w:highlight w:val="none"/>
          <w:lang w:val="en-US" w:eastAsia="zh-CN"/>
        </w:rPr>
        <w:t>招标公告</w:t>
      </w:r>
      <w:bookmarkEnd w:id="1"/>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5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4682E00">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olor w:val="auto"/>
                <w:sz w:val="24"/>
                <w:szCs w:val="24"/>
                <w:highlight w:val="none"/>
                <w:lang w:val="en-US" w:eastAsia="zh-CN"/>
              </w:rPr>
            </w:pPr>
            <w:bookmarkStart w:id="3" w:name="_Toc8264"/>
            <w:bookmarkStart w:id="4" w:name="_Toc21773"/>
            <w:bookmarkStart w:id="5" w:name="_Toc23233"/>
            <w:bookmarkStart w:id="6" w:name="_Toc109900248"/>
            <w:bookmarkStart w:id="7" w:name="_Toc28359012"/>
            <w:bookmarkStart w:id="8" w:name="_Toc28359089"/>
            <w:bookmarkStart w:id="9" w:name="_Toc35393798"/>
            <w:bookmarkStart w:id="10" w:name="_Toc44583628"/>
            <w:bookmarkStart w:id="11" w:name="_Toc140132745"/>
            <w:bookmarkStart w:id="12" w:name="_Toc35393629"/>
            <w:bookmarkStart w:id="13" w:name="_Toc155185860"/>
            <w:bookmarkStart w:id="14" w:name="_Toc109899410"/>
            <w:bookmarkStart w:id="15" w:name="_Toc109899829"/>
            <w:r>
              <w:rPr>
                <w:rFonts w:hint="eastAsia"/>
                <w:color w:val="auto"/>
                <w:sz w:val="24"/>
                <w:szCs w:val="24"/>
                <w:highlight w:val="none"/>
                <w:lang w:val="en-US" w:eastAsia="zh-CN"/>
              </w:rPr>
              <w:t>项目概况：</w:t>
            </w:r>
            <w:bookmarkEnd w:id="3"/>
            <w:bookmarkEnd w:id="4"/>
            <w:bookmarkEnd w:id="5"/>
          </w:p>
          <w:p w14:paraId="2852FE91">
            <w:pPr>
              <w:spacing w:line="360" w:lineRule="auto"/>
              <w:ind w:firstLine="480" w:firstLineChars="200"/>
              <w:rPr>
                <w:rFonts w:hint="default"/>
                <w:color w:val="auto"/>
                <w:highlight w:val="none"/>
                <w:lang w:val="en-US" w:eastAsia="zh-CN"/>
              </w:rPr>
            </w:pPr>
            <w:r>
              <w:rPr>
                <w:rFonts w:hint="eastAsia" w:ascii="宋体" w:hAnsi="宋体" w:eastAsia="宋体" w:cs="宋体"/>
                <w:color w:val="auto"/>
                <w:sz w:val="24"/>
                <w:highlight w:val="none"/>
                <w:u w:val="single"/>
              </w:rPr>
              <w:t>草湖项目区党委办公室（草湖项目区办公室、草湖项目区党委政策研究室）</w:t>
            </w:r>
            <w:r>
              <w:rPr>
                <w:rFonts w:hint="eastAsia" w:ascii="宋体" w:hAnsi="宋体" w:eastAsia="宋体" w:cs="宋体"/>
                <w:color w:val="auto"/>
                <w:sz w:val="24"/>
                <w:highlight w:val="none"/>
                <w:u w:val="single"/>
                <w:lang w:val="en-US" w:eastAsia="zh-CN"/>
              </w:rPr>
              <w:t>采购</w:t>
            </w:r>
            <w:r>
              <w:rPr>
                <w:rFonts w:hint="eastAsia" w:ascii="宋体" w:hAnsi="宋体" w:eastAsia="宋体" w:cs="宋体"/>
                <w:color w:val="auto"/>
                <w:sz w:val="24"/>
                <w:highlight w:val="none"/>
                <w:u w:val="single"/>
              </w:rPr>
              <w:t>2辆新能源商务车项目</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 xml:space="preserve"> </w:t>
            </w:r>
            <w:r>
              <w:rPr>
                <w:rFonts w:hint="eastAsia" w:ascii="宋体" w:hAnsi="宋体" w:eastAsia="宋体" w:cstheme="minorBidi"/>
                <w:iCs/>
                <w:color w:val="auto"/>
                <w:kern w:val="2"/>
                <w:sz w:val="24"/>
                <w:szCs w:val="24"/>
                <w:highlight w:val="none"/>
                <w:shd w:val="clear" w:color="auto" w:fill="FFFFFF" w:themeFill="background1"/>
                <w:lang w:val="hr-HR" w:eastAsia="zh-CN" w:bidi="ar-SA"/>
              </w:rPr>
              <w:t>招标项目的潜在投标人应在</w:t>
            </w:r>
            <w:r>
              <w:rPr>
                <w:rFonts w:hint="eastAsia" w:ascii="宋体" w:hAnsi="宋体" w:eastAsia="宋体" w:cstheme="minorBidi"/>
                <w:iCs/>
                <w:color w:val="auto"/>
                <w:kern w:val="2"/>
                <w:sz w:val="24"/>
                <w:szCs w:val="24"/>
                <w:highlight w:val="none"/>
                <w:u w:val="single"/>
                <w:shd w:val="clear" w:color="auto" w:fill="FFFFFF" w:themeFill="background1"/>
                <w:lang w:val="en-US" w:eastAsia="zh-CN" w:bidi="ar-SA"/>
              </w:rPr>
              <w:t xml:space="preserve"> </w:t>
            </w:r>
            <w:r>
              <w:rPr>
                <w:rFonts w:hint="default" w:ascii="宋体" w:hAnsi="宋体" w:eastAsia="宋体" w:cstheme="minorBidi"/>
                <w:iCs/>
                <w:color w:val="auto"/>
                <w:kern w:val="2"/>
                <w:sz w:val="24"/>
                <w:szCs w:val="24"/>
                <w:highlight w:val="none"/>
                <w:u w:val="single"/>
                <w:shd w:val="clear" w:color="auto" w:fill="FFFFFF" w:themeFill="background1"/>
                <w:lang w:val="hr-HR" w:eastAsia="zh-CN" w:bidi="ar-SA"/>
              </w:rPr>
              <w:t>政采云平台（</w:t>
            </w:r>
            <w:r>
              <w:rPr>
                <w:rFonts w:hint="default" w:ascii="宋体" w:hAnsi="宋体" w:eastAsia="宋体" w:cstheme="minorBidi"/>
                <w:iCs/>
                <w:color w:val="auto"/>
                <w:kern w:val="2"/>
                <w:sz w:val="24"/>
                <w:szCs w:val="24"/>
                <w:highlight w:val="none"/>
                <w:u w:val="single"/>
                <w:shd w:val="clear" w:color="auto" w:fill="FFFFFF" w:themeFill="background1"/>
                <w:lang w:val="hr-HR" w:eastAsia="zh-CN" w:bidi="ar-SA"/>
              </w:rPr>
              <w:fldChar w:fldCharType="begin"/>
            </w:r>
            <w:r>
              <w:rPr>
                <w:rFonts w:hint="default" w:ascii="宋体" w:hAnsi="宋体" w:eastAsia="宋体" w:cstheme="minorBidi"/>
                <w:iCs/>
                <w:color w:val="auto"/>
                <w:kern w:val="2"/>
                <w:sz w:val="24"/>
                <w:szCs w:val="24"/>
                <w:highlight w:val="none"/>
                <w:u w:val="single"/>
                <w:shd w:val="clear" w:color="auto" w:fill="FFFFFF" w:themeFill="background1"/>
                <w:lang w:val="hr-HR" w:eastAsia="zh-CN" w:bidi="ar-SA"/>
              </w:rPr>
              <w:instrText xml:space="preserve"> HYPERLINK "https://www.zcygov.cn/）线上获取招标文件，并于2022年8月11日11点00" </w:instrText>
            </w:r>
            <w:r>
              <w:rPr>
                <w:rFonts w:hint="default" w:ascii="宋体" w:hAnsi="宋体" w:eastAsia="宋体" w:cstheme="minorBidi"/>
                <w:iCs/>
                <w:color w:val="auto"/>
                <w:kern w:val="2"/>
                <w:sz w:val="24"/>
                <w:szCs w:val="24"/>
                <w:highlight w:val="none"/>
                <w:u w:val="single"/>
                <w:shd w:val="clear" w:color="auto" w:fill="FFFFFF" w:themeFill="background1"/>
                <w:lang w:val="hr-HR" w:eastAsia="zh-CN" w:bidi="ar-SA"/>
              </w:rPr>
              <w:fldChar w:fldCharType="separate"/>
            </w:r>
            <w:r>
              <w:rPr>
                <w:rFonts w:hint="default" w:ascii="宋体" w:hAnsi="宋体" w:eastAsia="宋体" w:cstheme="minorBidi"/>
                <w:iCs/>
                <w:color w:val="auto"/>
                <w:kern w:val="2"/>
                <w:sz w:val="24"/>
                <w:szCs w:val="24"/>
                <w:highlight w:val="none"/>
                <w:u w:val="single"/>
                <w:shd w:val="clear" w:color="auto" w:fill="FFFFFF" w:themeFill="background1"/>
                <w:lang w:val="hr-HR" w:eastAsia="zh-CN" w:bidi="ar-SA"/>
              </w:rPr>
              <w:t>https：//www.zcygov.cn/）</w:t>
            </w:r>
            <w:r>
              <w:rPr>
                <w:rFonts w:hint="default" w:ascii="宋体" w:hAnsi="宋体" w:eastAsia="宋体" w:cstheme="minorBidi"/>
                <w:iCs/>
                <w:color w:val="auto"/>
                <w:kern w:val="2"/>
                <w:sz w:val="24"/>
                <w:szCs w:val="24"/>
                <w:highlight w:val="none"/>
                <w:u w:val="single"/>
                <w:shd w:val="clear" w:color="auto" w:fill="FFFFFF" w:themeFill="background1"/>
                <w:lang w:val="hr-HR" w:eastAsia="zh-CN" w:bidi="ar-SA"/>
              </w:rPr>
              <w:fldChar w:fldCharType="end"/>
            </w:r>
            <w:r>
              <w:rPr>
                <w:rFonts w:hint="eastAsia" w:ascii="宋体" w:hAnsi="宋体" w:eastAsia="宋体" w:cstheme="minorBidi"/>
                <w:iCs/>
                <w:color w:val="auto"/>
                <w:kern w:val="2"/>
                <w:sz w:val="24"/>
                <w:szCs w:val="24"/>
                <w:highlight w:val="none"/>
                <w:shd w:val="clear" w:color="auto" w:fill="FFFFFF" w:themeFill="background1"/>
                <w:lang w:val="hr-HR" w:eastAsia="zh-CN" w:bidi="ar-SA"/>
              </w:rPr>
              <w:t>获取招标文件，并于</w:t>
            </w:r>
            <w:r>
              <w:rPr>
                <w:rFonts w:hint="eastAsia" w:cstheme="minorBidi"/>
                <w:iCs/>
                <w:color w:val="auto"/>
                <w:kern w:val="2"/>
                <w:sz w:val="24"/>
                <w:szCs w:val="24"/>
                <w:highlight w:val="none"/>
                <w:u w:val="single"/>
                <w:shd w:val="clear" w:color="auto" w:fill="FFFFFF" w:themeFill="background1"/>
                <w:lang w:val="en-US" w:eastAsia="zh-CN" w:bidi="ar-SA"/>
              </w:rPr>
              <w:t>2025</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年</w:t>
            </w:r>
            <w:r>
              <w:rPr>
                <w:rFonts w:hint="eastAsia" w:cstheme="minorBidi"/>
                <w:iCs/>
                <w:color w:val="auto"/>
                <w:kern w:val="2"/>
                <w:sz w:val="24"/>
                <w:szCs w:val="24"/>
                <w:highlight w:val="none"/>
                <w:u w:val="single"/>
                <w:shd w:val="clear" w:color="auto" w:fill="FFFFFF" w:themeFill="background1"/>
                <w:lang w:val="en-US" w:eastAsia="zh-CN" w:bidi="ar-SA"/>
              </w:rPr>
              <w:t>07</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月</w:t>
            </w:r>
            <w:r>
              <w:rPr>
                <w:rFonts w:hint="eastAsia" w:cstheme="minorBidi"/>
                <w:iCs/>
                <w:color w:val="auto"/>
                <w:kern w:val="2"/>
                <w:sz w:val="24"/>
                <w:szCs w:val="24"/>
                <w:highlight w:val="none"/>
                <w:u w:val="single"/>
                <w:shd w:val="clear" w:color="auto" w:fill="FFFFFF" w:themeFill="background1"/>
                <w:lang w:val="en-US" w:eastAsia="zh-CN" w:bidi="ar-SA"/>
              </w:rPr>
              <w:t>14</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日</w:t>
            </w:r>
            <w:r>
              <w:rPr>
                <w:rFonts w:hint="eastAsia" w:cstheme="minorBidi"/>
                <w:iCs/>
                <w:color w:val="auto"/>
                <w:kern w:val="2"/>
                <w:sz w:val="24"/>
                <w:szCs w:val="24"/>
                <w:highlight w:val="none"/>
                <w:u w:val="single"/>
                <w:shd w:val="clear" w:color="auto" w:fill="FFFFFF" w:themeFill="background1"/>
                <w:lang w:val="en-US" w:eastAsia="zh-CN" w:bidi="ar-SA"/>
              </w:rPr>
              <w:t>11时00</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 xml:space="preserve"> 分</w:t>
            </w:r>
            <w:r>
              <w:rPr>
                <w:rFonts w:hint="eastAsia" w:ascii="宋体" w:hAnsi="宋体" w:eastAsia="宋体" w:cstheme="minorBidi"/>
                <w:iCs/>
                <w:color w:val="auto"/>
                <w:kern w:val="2"/>
                <w:sz w:val="24"/>
                <w:szCs w:val="24"/>
                <w:highlight w:val="none"/>
                <w:shd w:val="clear" w:color="auto" w:fill="FFFFFF" w:themeFill="background1"/>
                <w:lang w:val="hr-HR" w:eastAsia="zh-CN" w:bidi="ar-SA"/>
              </w:rPr>
              <w:t>北京时间）前递交投标文件。</w:t>
            </w:r>
          </w:p>
        </w:tc>
      </w:tr>
    </w:tbl>
    <w:p w14:paraId="4072DEF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color w:val="auto"/>
          <w:sz w:val="24"/>
          <w:szCs w:val="24"/>
          <w:highlight w:val="none"/>
          <w:lang w:val="hr-HR"/>
        </w:rPr>
      </w:pPr>
      <w:bookmarkStart w:id="16" w:name="_Toc23169"/>
      <w:r>
        <w:rPr>
          <w:rFonts w:hint="eastAsia" w:ascii="宋体" w:hAnsi="宋体" w:eastAsia="宋体" w:cs="宋体"/>
          <w:b/>
          <w:bCs/>
          <w:color w:val="auto"/>
          <w:kern w:val="2"/>
          <w:sz w:val="24"/>
          <w:szCs w:val="24"/>
          <w:highlight w:val="none"/>
          <w:lang w:val="hr-HR" w:eastAsia="zh-CN" w:bidi="ar-SA"/>
        </w:rPr>
        <w:t>一、</w:t>
      </w:r>
      <w:r>
        <w:rPr>
          <w:rFonts w:hint="eastAsia" w:ascii="宋体" w:hAnsi="宋体" w:eastAsia="宋体" w:cs="宋体"/>
          <w:color w:val="auto"/>
          <w:sz w:val="24"/>
          <w:szCs w:val="24"/>
          <w:highlight w:val="none"/>
          <w:lang w:val="hr-HR"/>
        </w:rPr>
        <w:t>项目基本情况</w:t>
      </w:r>
      <w:bookmarkEnd w:id="6"/>
      <w:bookmarkEnd w:id="7"/>
      <w:bookmarkEnd w:id="8"/>
      <w:bookmarkEnd w:id="9"/>
      <w:bookmarkEnd w:id="10"/>
      <w:bookmarkEnd w:id="11"/>
      <w:bookmarkEnd w:id="12"/>
      <w:bookmarkEnd w:id="13"/>
      <w:bookmarkEnd w:id="14"/>
      <w:bookmarkEnd w:id="15"/>
      <w:bookmarkEnd w:id="16"/>
    </w:p>
    <w:p w14:paraId="590E39A6">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hr-HR"/>
        </w:rPr>
        <w:t>1.项目编号：</w:t>
      </w:r>
      <w:r>
        <w:rPr>
          <w:rFonts w:hint="eastAsia" w:ascii="宋体" w:hAnsi="宋体" w:eastAsia="宋体" w:cs="宋体"/>
          <w:color w:val="auto"/>
          <w:sz w:val="24"/>
          <w:highlight w:val="none"/>
          <w:u w:val="single"/>
        </w:rPr>
        <w:t xml:space="preserve">   B15SBJ[2025]104号</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p>
    <w:p w14:paraId="544AA4B7">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hr-HR"/>
        </w:rPr>
        <w:t>.项目名称：</w:t>
      </w:r>
      <w:r>
        <w:rPr>
          <w:rFonts w:hint="eastAsia" w:ascii="宋体" w:hAnsi="宋体" w:eastAsia="宋体" w:cs="宋体"/>
          <w:color w:val="auto"/>
          <w:sz w:val="24"/>
          <w:highlight w:val="none"/>
          <w:u w:val="single"/>
        </w:rPr>
        <w:t xml:space="preserve">  草湖项目区党委办公室（草湖项目区办公室、草湖项目区党委政策研究室）</w:t>
      </w:r>
      <w:r>
        <w:rPr>
          <w:rFonts w:hint="eastAsia" w:ascii="宋体" w:hAnsi="宋体" w:eastAsia="宋体" w:cs="宋体"/>
          <w:color w:val="auto"/>
          <w:sz w:val="24"/>
          <w:highlight w:val="none"/>
          <w:u w:val="single"/>
          <w:lang w:val="en-US" w:eastAsia="zh-CN"/>
        </w:rPr>
        <w:t>采购</w:t>
      </w:r>
      <w:r>
        <w:rPr>
          <w:rFonts w:hint="eastAsia" w:ascii="宋体" w:hAnsi="宋体" w:eastAsia="宋体" w:cs="宋体"/>
          <w:color w:val="auto"/>
          <w:sz w:val="24"/>
          <w:highlight w:val="none"/>
          <w:u w:val="single"/>
        </w:rPr>
        <w:t xml:space="preserve">2辆新能源商务车项目 </w:t>
      </w:r>
      <w:r>
        <w:rPr>
          <w:rFonts w:hint="eastAsia" w:ascii="宋体" w:hAnsi="宋体" w:eastAsia="宋体" w:cs="宋体"/>
          <w:color w:val="auto"/>
          <w:sz w:val="24"/>
          <w:highlight w:val="none"/>
          <w:u w:val="single"/>
          <w:lang w:val="hr-HR"/>
        </w:rPr>
        <w:t xml:space="preserve"> </w:t>
      </w:r>
    </w:p>
    <w:p w14:paraId="3CE35A7E">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.采购方式：公开招标</w:t>
      </w:r>
    </w:p>
    <w:p w14:paraId="78A90596">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lang w:val="hr-HR"/>
        </w:rPr>
        <w:t>预算金额：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50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hr-HR"/>
        </w:rPr>
        <w:t>万元</w:t>
      </w:r>
    </w:p>
    <w:p w14:paraId="7851BE2C">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u w:val="single"/>
          <w:lang w:val="hr-HR"/>
        </w:rPr>
        <w:t xml:space="preserve"> </w:t>
      </w:r>
      <w:r>
        <w:rPr>
          <w:rFonts w:hint="eastAsia" w:cs="宋体"/>
          <w:color w:val="auto"/>
          <w:sz w:val="24"/>
          <w:highlight w:val="none"/>
          <w:u w:val="single"/>
          <w:lang w:val="en-US" w:eastAsia="zh-CN"/>
        </w:rPr>
        <w:t>50</w:t>
      </w:r>
      <w:r>
        <w:rPr>
          <w:rFonts w:hint="eastAsia" w:ascii="宋体" w:hAnsi="宋体" w:eastAsia="宋体" w:cs="宋体"/>
          <w:color w:val="auto"/>
          <w:sz w:val="24"/>
          <w:highlight w:val="none"/>
          <w:u w:val="single"/>
          <w:lang w:val="hr-HR"/>
        </w:rPr>
        <w:t xml:space="preserve">  </w:t>
      </w:r>
      <w:r>
        <w:rPr>
          <w:rFonts w:hint="eastAsia" w:ascii="宋体" w:hAnsi="宋体" w:eastAsia="宋体" w:cs="宋体"/>
          <w:color w:val="auto"/>
          <w:sz w:val="24"/>
          <w:highlight w:val="none"/>
        </w:rPr>
        <w:t>万元</w:t>
      </w:r>
    </w:p>
    <w:p w14:paraId="242750DC">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hr-HR"/>
        </w:rPr>
        <w:t>.采购需求：</w:t>
      </w:r>
      <w:r>
        <w:rPr>
          <w:rFonts w:hint="eastAsia" w:ascii="宋体" w:hAnsi="宋体" w:eastAsia="宋体" w:cs="宋体"/>
          <w:color w:val="auto"/>
          <w:sz w:val="24"/>
          <w:highlight w:val="none"/>
          <w:u w:val="single"/>
        </w:rPr>
        <w:t>详见第三章采购需求</w:t>
      </w:r>
    </w:p>
    <w:p w14:paraId="56FBF6DA">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.合同履行期限：</w:t>
      </w:r>
      <w:r>
        <w:rPr>
          <w:rFonts w:hint="eastAsia" w:ascii="宋体" w:hAnsi="宋体" w:eastAsia="宋体" w:cs="宋体"/>
          <w:color w:val="auto"/>
          <w:sz w:val="24"/>
          <w:highlight w:val="none"/>
          <w:u w:val="single"/>
        </w:rPr>
        <w:t xml:space="preserve"> 自中标(成交)结果之日起15个工作日内交付完毕</w:t>
      </w:r>
      <w:r>
        <w:rPr>
          <w:rFonts w:hint="eastAsia" w:ascii="宋体" w:hAnsi="宋体" w:eastAsia="宋体" w:cs="宋体"/>
          <w:color w:val="auto"/>
          <w:sz w:val="24"/>
          <w:highlight w:val="none"/>
          <w:u w:val="single"/>
          <w:lang w:val="hr-HR"/>
        </w:rPr>
        <w:t xml:space="preserve"> </w:t>
      </w:r>
    </w:p>
    <w:p w14:paraId="4B098642">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bookmarkStart w:id="17" w:name="_Toc35393630"/>
      <w:bookmarkStart w:id="18" w:name="_Toc28359090"/>
      <w:bookmarkStart w:id="19" w:name="_Toc35393799"/>
      <w:bookmarkStart w:id="20" w:name="_Toc28359013"/>
      <w:bookmarkStart w:id="21" w:name="_Toc44583629"/>
      <w:r>
        <w:rPr>
          <w:rFonts w:hint="eastAsia" w:ascii="宋体" w:hAnsi="宋体" w:eastAsia="宋体" w:cs="宋体"/>
          <w:color w:val="auto"/>
          <w:sz w:val="24"/>
          <w:highlight w:val="none"/>
          <w:lang w:val="en-US" w:eastAsia="zh-CN"/>
        </w:rPr>
        <w:t>8.</w:t>
      </w:r>
      <w:bookmarkStart w:id="22" w:name="_Hlk162011358"/>
      <w:r>
        <w:rPr>
          <w:rFonts w:hint="eastAsia" w:ascii="宋体" w:hAnsi="宋体" w:eastAsia="宋体" w:cs="宋体"/>
          <w:color w:val="auto"/>
          <w:sz w:val="24"/>
          <w:highlight w:val="none"/>
          <w:lang w:val="en-US" w:eastAsia="zh-CN"/>
        </w:rPr>
        <w:t>本项目是否接受联合体投标：□是</w:t>
      </w:r>
      <w:bookmarkEnd w:id="22"/>
      <w:r>
        <w:rPr>
          <w:rFonts w:hint="eastAsia" w:ascii="宋体" w:hAnsi="宋体" w:eastAsia="宋体" w:cs="宋体"/>
          <w:color w:val="auto"/>
          <w:sz w:val="24"/>
          <w:highlight w:val="none"/>
          <w:lang w:val="en-US" w:eastAsia="zh-CN"/>
        </w:rPr>
        <w:t xml:space="preserve">   </w:t>
      </w:r>
      <w:r>
        <w:rPr>
          <w:rFonts w:hint="eastAsia" w:cs="宋体"/>
          <w:color w:val="auto"/>
          <w:sz w:val="24"/>
          <w:highlight w:val="none"/>
          <w:lang w:val="en-US" w:eastAsia="zh-CN"/>
        </w:rPr>
        <w:t>☑</w:t>
      </w:r>
      <w:r>
        <w:rPr>
          <w:rFonts w:hint="eastAsia" w:ascii="宋体" w:hAnsi="宋体" w:eastAsia="宋体" w:cs="宋体"/>
          <w:color w:val="auto"/>
          <w:sz w:val="24"/>
          <w:highlight w:val="none"/>
          <w:lang w:val="en-US" w:eastAsia="zh-CN"/>
        </w:rPr>
        <w:t>否</w:t>
      </w:r>
    </w:p>
    <w:p w14:paraId="1EEB1622">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23" w:name="_Toc109899830"/>
      <w:bookmarkStart w:id="24" w:name="_Toc140132746"/>
      <w:bookmarkStart w:id="25" w:name="_Toc155185861"/>
      <w:bookmarkStart w:id="26" w:name="_Toc109899411"/>
      <w:bookmarkStart w:id="27" w:name="_Toc109900249"/>
      <w:bookmarkStart w:id="28" w:name="_Toc16935"/>
      <w:r>
        <w:rPr>
          <w:rFonts w:hint="eastAsia" w:ascii="宋体" w:hAnsi="宋体" w:eastAsia="宋体" w:cs="宋体"/>
          <w:b/>
          <w:bCs/>
          <w:color w:val="auto"/>
          <w:kern w:val="2"/>
          <w:sz w:val="24"/>
          <w:szCs w:val="24"/>
          <w:highlight w:val="none"/>
          <w:lang w:val="en-US" w:eastAsia="zh-CN" w:bidi="ar-SA"/>
        </w:rPr>
        <w:t>二、申请</w:t>
      </w:r>
      <w:r>
        <w:rPr>
          <w:rFonts w:hint="eastAsia" w:ascii="宋体" w:hAnsi="宋体" w:eastAsia="宋体" w:cs="宋体"/>
          <w:b/>
          <w:bCs/>
          <w:color w:val="auto"/>
          <w:kern w:val="2"/>
          <w:sz w:val="24"/>
          <w:szCs w:val="24"/>
          <w:highlight w:val="none"/>
          <w:lang w:val="hr-HR" w:eastAsia="zh-CN" w:bidi="ar-SA"/>
        </w:rPr>
        <w:t>人</w:t>
      </w:r>
      <w:r>
        <w:rPr>
          <w:rFonts w:hint="eastAsia" w:ascii="宋体" w:hAnsi="宋体" w:eastAsia="宋体" w:cs="宋体"/>
          <w:b/>
          <w:bCs/>
          <w:color w:val="auto"/>
          <w:kern w:val="2"/>
          <w:sz w:val="24"/>
          <w:szCs w:val="24"/>
          <w:highlight w:val="none"/>
          <w:lang w:val="en-US" w:eastAsia="zh-CN" w:bidi="ar-SA"/>
        </w:rPr>
        <w:t>的</w:t>
      </w:r>
      <w:r>
        <w:rPr>
          <w:rFonts w:hint="eastAsia" w:ascii="宋体" w:hAnsi="宋体" w:eastAsia="宋体" w:cs="宋体"/>
          <w:b/>
          <w:bCs/>
          <w:color w:val="auto"/>
          <w:kern w:val="2"/>
          <w:sz w:val="24"/>
          <w:szCs w:val="24"/>
          <w:highlight w:val="none"/>
          <w:lang w:val="hr-HR" w:eastAsia="zh-CN" w:bidi="ar-SA"/>
        </w:rPr>
        <w:t>资格要求</w:t>
      </w:r>
      <w:bookmarkEnd w:id="17"/>
      <w:bookmarkEnd w:id="18"/>
      <w:bookmarkEnd w:id="19"/>
      <w:bookmarkEnd w:id="20"/>
      <w:bookmarkEnd w:id="21"/>
      <w:bookmarkEnd w:id="23"/>
      <w:bookmarkEnd w:id="24"/>
      <w:bookmarkEnd w:id="25"/>
      <w:bookmarkEnd w:id="26"/>
      <w:bookmarkEnd w:id="27"/>
      <w:bookmarkEnd w:id="28"/>
    </w:p>
    <w:p w14:paraId="4033335F">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bookmarkStart w:id="29" w:name="_Toc35393800"/>
      <w:bookmarkStart w:id="30" w:name="_Toc35393631"/>
      <w:bookmarkStart w:id="31" w:name="_Toc28359014"/>
      <w:bookmarkStart w:id="32" w:name="_Toc44583630"/>
      <w:bookmarkStart w:id="33" w:name="_Toc28359091"/>
      <w:r>
        <w:rPr>
          <w:rFonts w:hint="eastAsia" w:ascii="宋体" w:hAnsi="宋体" w:eastAsia="宋体" w:cs="宋体"/>
          <w:color w:val="auto"/>
          <w:sz w:val="24"/>
          <w:highlight w:val="none"/>
          <w:lang w:val="en-US" w:eastAsia="zh-CN"/>
        </w:rPr>
        <w:t>1.满足《中华人民共和国政府采购法》第二十二条的规定，按照兵财库[2023]29号文《关于进一步优化政府采购营商环境的通知》第八条的规定，提供兵团政府采购供应商信用承诺函；</w:t>
      </w:r>
    </w:p>
    <w:p w14:paraId="55D67213">
      <w:pPr>
        <w:pageBreakBefore w:val="0"/>
        <w:widowControl/>
        <w:tabs>
          <w:tab w:val="left" w:pos="3570"/>
        </w:tabs>
        <w:kinsoku/>
        <w:wordWrap/>
        <w:overflowPunct/>
        <w:topLinePunct w:val="0"/>
        <w:bidi w:val="0"/>
        <w:spacing w:afterAutospacing="0" w:line="360" w:lineRule="auto"/>
        <w:ind w:left="0" w:leftChars="0" w:right="0"/>
        <w:jc w:val="left"/>
        <w:rPr>
          <w:rFonts w:hint="eastAsia" w:ascii="宋体" w:hAnsi="宋体" w:cs="宋体"/>
          <w:sz w:val="24"/>
        </w:rPr>
      </w:pPr>
      <w:r>
        <w:rPr>
          <w:rFonts w:hint="eastAsia" w:ascii="宋体" w:hAnsi="宋体" w:eastAsia="宋体" w:cs="宋体"/>
          <w:color w:val="auto"/>
          <w:sz w:val="24"/>
          <w:highlight w:val="none"/>
          <w:lang w:val="en-US" w:eastAsia="zh-CN"/>
        </w:rPr>
        <w:t>2.落实政府采购政策需满足的资格要求：</w:t>
      </w:r>
      <w:r>
        <w:rPr>
          <w:rFonts w:hint="eastAsia" w:ascii="宋体" w:hAnsi="宋体" w:eastAsia="宋体" w:cs="宋体"/>
          <w:sz w:val="24"/>
          <w:szCs w:val="24"/>
        </w:rPr>
        <w:t>本项目为</w:t>
      </w:r>
      <w:r>
        <w:rPr>
          <w:rFonts w:hint="eastAsia" w:ascii="宋体" w:hAnsi="宋体" w:eastAsia="宋体" w:cs="宋体"/>
          <w:sz w:val="24"/>
          <w:szCs w:val="24"/>
          <w:lang w:val="en-US" w:eastAsia="zh-CN"/>
        </w:rPr>
        <w:t>不</w:t>
      </w:r>
      <w:r>
        <w:rPr>
          <w:rFonts w:hint="eastAsia" w:ascii="宋体" w:hAnsi="宋体" w:eastAsia="宋体" w:cs="宋体"/>
          <w:sz w:val="24"/>
          <w:szCs w:val="24"/>
        </w:rPr>
        <w:t>专门面向中小企业预留资金项目，执行价格评审优惠扶持政策</w:t>
      </w:r>
      <w:r>
        <w:rPr>
          <w:rFonts w:hint="eastAsia" w:ascii="宋体" w:hAnsi="宋体" w:eastAsia="宋体" w:cs="宋体"/>
          <w:sz w:val="24"/>
          <w:szCs w:val="24"/>
          <w:lang w:eastAsia="zh-CN"/>
        </w:rPr>
        <w:t>，小微型企业价格</w:t>
      </w:r>
      <w:r>
        <w:rPr>
          <w:rFonts w:hint="eastAsia" w:ascii="宋体" w:hAnsi="宋体" w:eastAsia="宋体" w:cs="宋体"/>
          <w:sz w:val="24"/>
          <w:szCs w:val="24"/>
          <w:lang w:val="en-US" w:eastAsia="zh-CN"/>
        </w:rPr>
        <w:t>评审</w:t>
      </w:r>
      <w:r>
        <w:rPr>
          <w:rFonts w:hint="eastAsia" w:ascii="宋体" w:hAnsi="宋体" w:eastAsia="宋体" w:cs="宋体"/>
          <w:sz w:val="24"/>
          <w:szCs w:val="24"/>
          <w:lang w:eastAsia="zh-CN"/>
        </w:rPr>
        <w:t>扣除幅度∶价格</w:t>
      </w:r>
      <w:r>
        <w:rPr>
          <w:rFonts w:hint="eastAsia" w:ascii="宋体" w:hAnsi="宋体" w:eastAsia="宋体" w:cs="宋体"/>
          <w:sz w:val="24"/>
          <w:szCs w:val="24"/>
          <w:lang w:val="en-US" w:eastAsia="zh-CN"/>
        </w:rPr>
        <w:t>评审</w:t>
      </w:r>
      <w:r>
        <w:rPr>
          <w:rFonts w:hint="eastAsia" w:ascii="宋体" w:hAnsi="宋体" w:eastAsia="宋体" w:cs="宋体"/>
          <w:sz w:val="24"/>
          <w:szCs w:val="24"/>
          <w:lang w:eastAsia="zh-CN"/>
        </w:rPr>
        <w:t>给予</w:t>
      </w:r>
      <w:r>
        <w:rPr>
          <w:rFonts w:hint="eastAsia" w:ascii="宋体" w:hAnsi="宋体" w:eastAsia="宋体" w:cs="宋体"/>
          <w:sz w:val="24"/>
          <w:szCs w:val="24"/>
          <w:highlight w:val="none"/>
          <w:lang w:eastAsia="zh-CN"/>
        </w:rPr>
        <w:t>10%</w:t>
      </w:r>
      <w:r>
        <w:rPr>
          <w:rFonts w:hint="eastAsia" w:ascii="宋体" w:hAnsi="宋体" w:eastAsia="宋体" w:cs="宋体"/>
          <w:sz w:val="24"/>
          <w:szCs w:val="24"/>
          <w:lang w:eastAsia="zh-CN"/>
        </w:rPr>
        <w:t>的扣除。</w:t>
      </w:r>
      <w:r>
        <w:rPr>
          <w:rFonts w:hint="eastAsia" w:ascii="宋体" w:hAnsi="宋体" w:eastAsia="宋体" w:cs="宋体"/>
          <w:sz w:val="24"/>
          <w:szCs w:val="24"/>
        </w:rPr>
        <w:t>参加投标的供应商须出具《中小企业声明函》（如是监狱企业的应当提供《监狱企业声明函》，如是残疾人福利性单位的应当提供《残疾人福利性单位声明函》）；对不提供《中小企业声明函》或提供的《中小企业声明函》未按照采购文件格式填写，未按照工信部联企业(2011)300号文件规定如实填写的，</w:t>
      </w:r>
      <w:r>
        <w:rPr>
          <w:rFonts w:hint="eastAsia" w:ascii="宋体" w:hAnsi="宋体" w:eastAsia="宋体" w:cs="宋体"/>
          <w:sz w:val="24"/>
          <w:szCs w:val="24"/>
          <w:lang w:val="en-US" w:eastAsia="zh-CN"/>
        </w:rPr>
        <w:t>不进行价格扣除</w:t>
      </w:r>
      <w:r>
        <w:rPr>
          <w:rFonts w:hint="eastAsia" w:ascii="宋体" w:hAnsi="宋体" w:eastAsia="宋体" w:cs="宋体"/>
          <w:sz w:val="24"/>
          <w:szCs w:val="24"/>
        </w:rPr>
        <w:t>；</w:t>
      </w:r>
    </w:p>
    <w:p w14:paraId="5B58C6A3">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（1）财政部、国家发展改革委、生态环境部、市场监管总局《关于调整优化节能产品、环境标志产品政府采购执行机制的通知》（财库[2019]9号文）；</w:t>
      </w:r>
    </w:p>
    <w:p w14:paraId="5657DD9D">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（2）财政部、生态环境部《关于印发环境标志产品政府采购品目清单的通知》（财库[2019]18号文）；</w:t>
      </w:r>
    </w:p>
    <w:p w14:paraId="1C71E04E">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（3）财政部、发展改革委《关于印发节能产品政府采购品目清单的通知》（财库[2019]19号文）；</w:t>
      </w:r>
    </w:p>
    <w:p w14:paraId="20F2A22B">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（4）市场监管总局《市场监管总局关于发布参与实施政府采购节能产品、环境标志产品认证机构名录的公告》（2019年第16号）；</w:t>
      </w:r>
    </w:p>
    <w:p w14:paraId="49FABEFF">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（5）财政部 民政部 中国残疾人联合会《关于促进残疾人就业政府采购政策的通知》财库〔2017〕141号；</w:t>
      </w:r>
    </w:p>
    <w:p w14:paraId="5A3C829E">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（6）财政部、司法部《关于政府采购支持监狱企业发展有关问题的通知》（财库〔2014〕68号文）；</w:t>
      </w:r>
    </w:p>
    <w:p w14:paraId="41650057">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（7）财政部、工业和信息化部《关于印发&lt;政府采购促进中小企业发展管理办法&gt;的通知》（财库〔2020〕46号）。 </w:t>
      </w:r>
    </w:p>
    <w:p w14:paraId="2CA3C8A8">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3.本项目的特定资格要求：无</w:t>
      </w:r>
    </w:p>
    <w:p w14:paraId="43F094C6">
      <w:pPr>
        <w:pStyle w:val="37"/>
        <w:pageBreakBefore w:val="0"/>
        <w:widowControl w:val="0"/>
        <w:kinsoku/>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 其他资格要求：</w:t>
      </w:r>
    </w:p>
    <w:p w14:paraId="040E7358">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hr-HR"/>
        </w:rPr>
        <w:t>法定代表人或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val="hr-HR"/>
        </w:rPr>
        <w:t>负责人为同一人或者存在</w:t>
      </w:r>
      <w:r>
        <w:rPr>
          <w:rFonts w:hint="eastAsia" w:ascii="宋体" w:hAnsi="宋体" w:eastAsia="宋体" w:cs="宋体"/>
          <w:color w:val="auto"/>
          <w:sz w:val="24"/>
          <w:highlight w:val="none"/>
          <w:lang w:val="en-US" w:eastAsia="zh-CN"/>
        </w:rPr>
        <w:t>直接</w:t>
      </w:r>
      <w:r>
        <w:rPr>
          <w:rFonts w:hint="eastAsia" w:ascii="宋体" w:hAnsi="宋体" w:eastAsia="宋体" w:cs="宋体"/>
          <w:color w:val="auto"/>
          <w:sz w:val="24"/>
          <w:highlight w:val="none"/>
          <w:lang w:val="hr-HR"/>
        </w:rPr>
        <w:t>控股、管理关系的</w:t>
      </w:r>
      <w:r>
        <w:rPr>
          <w:rFonts w:hint="eastAsia" w:ascii="宋体" w:hAnsi="宋体" w:eastAsia="宋体" w:cs="宋体"/>
          <w:color w:val="auto"/>
          <w:sz w:val="24"/>
          <w:highlight w:val="none"/>
          <w:lang w:val="en-US" w:eastAsia="zh-CN"/>
        </w:rPr>
        <w:t>不同供应商</w:t>
      </w:r>
      <w:r>
        <w:rPr>
          <w:rFonts w:hint="eastAsia" w:ascii="宋体" w:hAnsi="宋体" w:eastAsia="宋体" w:cs="宋体"/>
          <w:color w:val="auto"/>
          <w:sz w:val="24"/>
          <w:highlight w:val="none"/>
          <w:lang w:val="hr-HR"/>
        </w:rPr>
        <w:t>，不得参加同一合同项下的政府采购活动。</w:t>
      </w:r>
    </w:p>
    <w:p w14:paraId="68099EEC">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hr-HR"/>
        </w:rPr>
        <w:t>除单一来源采购项目外，为采购项目提供整体设计、规范编制或者项目管理、监理、检测等服务的供应商，不得再参加该采购项目的其他采购活动。</w:t>
      </w:r>
    </w:p>
    <w:p w14:paraId="49ABF921">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hr-HR"/>
        </w:rPr>
        <w:t>供应商的信用行为</w:t>
      </w:r>
      <w:r>
        <w:rPr>
          <w:rFonts w:hint="eastAsia" w:ascii="宋体" w:hAnsi="宋体" w:eastAsia="宋体" w:cs="宋体"/>
          <w:color w:val="auto"/>
          <w:sz w:val="24"/>
          <w:highlight w:val="none"/>
          <w:lang w:val="hr-HR" w:eastAsia="zh-CN"/>
        </w:rPr>
        <w:t>：</w:t>
      </w:r>
      <w:r>
        <w:rPr>
          <w:rFonts w:hint="eastAsia" w:ascii="宋体" w:hAnsi="宋体" w:eastAsia="宋体" w:cs="宋体"/>
          <w:color w:val="auto"/>
          <w:sz w:val="24"/>
          <w:highlight w:val="none"/>
          <w:lang w:val="hr-HR"/>
        </w:rPr>
        <w:t>在</w:t>
      </w:r>
      <w:r>
        <w:rPr>
          <w:rFonts w:hint="eastAsia" w:ascii="宋体" w:hAnsi="宋体" w:eastAsia="宋体" w:cs="宋体"/>
          <w:color w:val="auto"/>
          <w:sz w:val="24"/>
          <w:highlight w:val="none"/>
          <w:lang w:val="en-US" w:eastAsia="zh-CN"/>
        </w:rPr>
        <w:t>资格审查阶段经查询</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eastAsia="zh-CN"/>
        </w:rPr>
        <w:t>未被列入“失信被执行人”、“重大税收违法失信主体”、“政府采购严重违法失信行为记录名单”</w:t>
      </w:r>
      <w:r>
        <w:rPr>
          <w:rFonts w:hint="eastAsia" w:ascii="宋体" w:hAnsi="宋体" w:eastAsia="宋体" w:cs="宋体"/>
          <w:color w:val="auto"/>
          <w:sz w:val="24"/>
          <w:highlight w:val="none"/>
          <w:lang w:val="hr-HR"/>
        </w:rPr>
        <w:t>其中之一。如有以上不良信用记录</w:t>
      </w:r>
      <w:r>
        <w:rPr>
          <w:rFonts w:hint="eastAsia" w:ascii="宋体" w:hAnsi="宋体" w:eastAsia="宋体" w:cs="宋体"/>
          <w:color w:val="auto"/>
          <w:sz w:val="24"/>
          <w:highlight w:val="none"/>
          <w:lang w:val="en-US" w:eastAsia="zh-CN"/>
        </w:rPr>
        <w:t>之一的，</w:t>
      </w:r>
      <w:r>
        <w:rPr>
          <w:rFonts w:hint="eastAsia" w:ascii="宋体" w:hAnsi="宋体" w:eastAsia="宋体" w:cs="宋体"/>
          <w:color w:val="auto"/>
          <w:sz w:val="24"/>
          <w:highlight w:val="none"/>
          <w:lang w:val="hr-HR"/>
        </w:rPr>
        <w:t>其</w:t>
      </w:r>
      <w:r>
        <w:rPr>
          <w:rFonts w:hint="eastAsia" w:ascii="宋体" w:hAnsi="宋体" w:eastAsia="宋体" w:cs="宋体"/>
          <w:b/>
          <w:bCs/>
          <w:color w:val="auto"/>
          <w:sz w:val="24"/>
          <w:highlight w:val="none"/>
          <w:lang w:val="hr-HR"/>
        </w:rPr>
        <w:t>投标</w:t>
      </w:r>
      <w:r>
        <w:rPr>
          <w:rFonts w:hint="eastAsia" w:ascii="宋体" w:hAnsi="宋体" w:eastAsia="宋体" w:cs="宋体"/>
          <w:b/>
          <w:bCs/>
          <w:color w:val="auto"/>
          <w:sz w:val="24"/>
          <w:highlight w:val="none"/>
          <w:lang w:val="en-US" w:eastAsia="zh-CN"/>
        </w:rPr>
        <w:t>无效</w:t>
      </w:r>
      <w:r>
        <w:rPr>
          <w:rFonts w:hint="eastAsia" w:ascii="宋体" w:hAnsi="宋体" w:eastAsia="宋体" w:cs="宋体"/>
          <w:color w:val="auto"/>
          <w:sz w:val="24"/>
          <w:highlight w:val="none"/>
          <w:lang w:val="hr-HR"/>
        </w:rPr>
        <w:t>。</w:t>
      </w:r>
    </w:p>
    <w:p w14:paraId="2CF8443E">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hr-HR" w:eastAsia="zh-CN"/>
        </w:rPr>
        <w:t>（</w:t>
      </w:r>
      <w:r>
        <w:rPr>
          <w:rFonts w:hint="eastAsia" w:ascii="宋体" w:hAnsi="宋体" w:eastAsia="宋体" w:cs="宋体"/>
          <w:color w:val="auto"/>
          <w:sz w:val="24"/>
          <w:highlight w:val="none"/>
          <w:lang w:val="en-US" w:eastAsia="zh-CN"/>
        </w:rPr>
        <w:t>4）投标人不得与采购人、采购代理机构存在隶属关系或者其他利害关系。</w:t>
      </w:r>
    </w:p>
    <w:p w14:paraId="17F1ED43">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34" w:name="_Toc13557"/>
      <w:bookmarkStart w:id="35" w:name="_Toc109899412"/>
      <w:bookmarkStart w:id="36" w:name="_Toc109899831"/>
      <w:bookmarkStart w:id="37" w:name="_Toc140132747"/>
      <w:bookmarkStart w:id="38" w:name="_Toc109900250"/>
      <w:bookmarkStart w:id="39" w:name="_Toc155185862"/>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hr-HR" w:eastAsia="zh-CN" w:bidi="ar-SA"/>
        </w:rPr>
        <w:t>获取招标文件</w:t>
      </w:r>
      <w:bookmarkEnd w:id="29"/>
      <w:bookmarkEnd w:id="30"/>
      <w:bookmarkEnd w:id="31"/>
      <w:bookmarkEnd w:id="32"/>
      <w:bookmarkEnd w:id="33"/>
      <w:bookmarkEnd w:id="34"/>
      <w:bookmarkEnd w:id="35"/>
      <w:bookmarkEnd w:id="36"/>
      <w:bookmarkEnd w:id="37"/>
      <w:bookmarkEnd w:id="38"/>
      <w:bookmarkEnd w:id="39"/>
      <w:r>
        <w:rPr>
          <w:rFonts w:hint="eastAsia" w:ascii="宋体" w:hAnsi="宋体" w:eastAsia="宋体" w:cs="宋体"/>
          <w:b/>
          <w:bCs/>
          <w:color w:val="auto"/>
          <w:kern w:val="2"/>
          <w:sz w:val="24"/>
          <w:szCs w:val="24"/>
          <w:highlight w:val="none"/>
          <w:lang w:val="hr-HR" w:eastAsia="zh-CN" w:bidi="ar-SA"/>
        </w:rPr>
        <w:t xml:space="preserve"> </w:t>
      </w:r>
    </w:p>
    <w:p w14:paraId="7F0135DE">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bookmarkStart w:id="40" w:name="_Hlk130457234"/>
      <w:bookmarkStart w:id="41" w:name="_Toc35393632"/>
      <w:bookmarkStart w:id="42" w:name="_Hlk130457327"/>
      <w:bookmarkStart w:id="43" w:name="_Toc35393801"/>
      <w:bookmarkStart w:id="44" w:name="_Hlk130457261"/>
      <w:bookmarkStart w:id="45" w:name="_Toc28359015"/>
      <w:bookmarkStart w:id="46" w:name="_Toc28359092"/>
      <w:r>
        <w:rPr>
          <w:rFonts w:hint="eastAsia" w:ascii="宋体" w:hAnsi="宋体" w:eastAsia="宋体" w:cs="宋体"/>
          <w:color w:val="auto"/>
          <w:sz w:val="24"/>
          <w:highlight w:val="none"/>
          <w:lang w:val="hr-HR"/>
        </w:rPr>
        <w:t>1.时间：</w:t>
      </w:r>
      <w:r>
        <w:rPr>
          <w:rFonts w:hint="eastAsia" w:cs="宋体"/>
          <w:color w:val="auto"/>
          <w:sz w:val="24"/>
          <w:highlight w:val="none"/>
          <w:u w:val="single"/>
          <w:lang w:val="en-US" w:eastAsia="zh-CN"/>
        </w:rPr>
        <w:t>2025</w:t>
      </w:r>
      <w:r>
        <w:rPr>
          <w:rFonts w:hint="eastAsia" w:ascii="宋体" w:hAnsi="宋体" w:eastAsia="宋体" w:cs="宋体"/>
          <w:color w:val="auto"/>
          <w:sz w:val="24"/>
          <w:highlight w:val="none"/>
          <w:u w:val="single"/>
        </w:rPr>
        <w:t>年</w:t>
      </w:r>
      <w:r>
        <w:rPr>
          <w:rFonts w:hint="eastAsia" w:cs="宋体"/>
          <w:color w:val="auto"/>
          <w:sz w:val="24"/>
          <w:highlight w:val="none"/>
          <w:u w:val="single"/>
          <w:lang w:val="en-US" w:eastAsia="zh-CN"/>
        </w:rPr>
        <w:t>06</w:t>
      </w:r>
      <w:r>
        <w:rPr>
          <w:rFonts w:hint="eastAsia" w:ascii="宋体" w:hAnsi="宋体" w:eastAsia="宋体" w:cs="宋体"/>
          <w:color w:val="auto"/>
          <w:sz w:val="24"/>
          <w:highlight w:val="none"/>
          <w:u w:val="single"/>
        </w:rPr>
        <w:t>月</w:t>
      </w:r>
      <w:r>
        <w:rPr>
          <w:rFonts w:hint="eastAsia" w:cs="宋体"/>
          <w:color w:val="auto"/>
          <w:sz w:val="24"/>
          <w:highlight w:val="none"/>
          <w:u w:val="single"/>
          <w:lang w:val="en-US" w:eastAsia="zh-CN"/>
        </w:rPr>
        <w:t>23</w:t>
      </w:r>
      <w:r>
        <w:rPr>
          <w:rFonts w:hint="eastAsia" w:ascii="宋体" w:hAnsi="宋体" w:eastAsia="宋体" w:cs="宋体"/>
          <w:color w:val="auto"/>
          <w:sz w:val="24"/>
          <w:highlight w:val="none"/>
          <w:u w:val="single"/>
        </w:rPr>
        <w:t>日</w:t>
      </w:r>
      <w:r>
        <w:rPr>
          <w:rFonts w:hint="eastAsia" w:cs="宋体"/>
          <w:color w:val="auto"/>
          <w:sz w:val="24"/>
          <w:highlight w:val="none"/>
          <w:u w:val="single"/>
          <w:lang w:val="en-US" w:eastAsia="zh-CN"/>
        </w:rPr>
        <w:t>11</w:t>
      </w:r>
      <w:r>
        <w:rPr>
          <w:rFonts w:hint="eastAsia" w:ascii="宋体" w:hAnsi="宋体" w:eastAsia="宋体" w:cs="宋体"/>
          <w:color w:val="auto"/>
          <w:sz w:val="24"/>
          <w:highlight w:val="none"/>
          <w:u w:val="single"/>
        </w:rPr>
        <w:t>时</w:t>
      </w:r>
      <w:r>
        <w:rPr>
          <w:rFonts w:hint="eastAsia"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lang w:val="hr-HR"/>
        </w:rPr>
        <w:t>至</w:t>
      </w:r>
      <w:r>
        <w:rPr>
          <w:rFonts w:hint="eastAsia" w:cs="宋体"/>
          <w:color w:val="auto"/>
          <w:sz w:val="24"/>
          <w:highlight w:val="none"/>
          <w:u w:val="single"/>
          <w:lang w:val="en-US" w:eastAsia="zh-CN"/>
        </w:rPr>
        <w:t>2025</w:t>
      </w:r>
      <w:r>
        <w:rPr>
          <w:rFonts w:hint="eastAsia" w:ascii="宋体" w:hAnsi="宋体" w:eastAsia="宋体" w:cs="宋体"/>
          <w:color w:val="auto"/>
          <w:sz w:val="24"/>
          <w:highlight w:val="none"/>
          <w:u w:val="single"/>
        </w:rPr>
        <w:t>年</w:t>
      </w:r>
      <w:r>
        <w:rPr>
          <w:rFonts w:hint="eastAsia"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cs="宋体"/>
          <w:color w:val="auto"/>
          <w:sz w:val="24"/>
          <w:highlight w:val="none"/>
          <w:u w:val="single"/>
          <w:lang w:val="en-US" w:eastAsia="zh-CN"/>
        </w:rPr>
        <w:t>13</w:t>
      </w:r>
      <w:bookmarkStart w:id="678" w:name="_GoBack"/>
      <w:bookmarkEnd w:id="678"/>
      <w:r>
        <w:rPr>
          <w:rFonts w:hint="eastAsia" w:ascii="宋体" w:hAnsi="宋体" w:eastAsia="宋体" w:cs="宋体"/>
          <w:color w:val="auto"/>
          <w:sz w:val="24"/>
          <w:highlight w:val="none"/>
          <w:u w:val="single"/>
        </w:rPr>
        <w:t>日</w:t>
      </w:r>
      <w:r>
        <w:rPr>
          <w:rFonts w:hint="eastAsia" w:cs="宋体"/>
          <w:color w:val="auto"/>
          <w:sz w:val="24"/>
          <w:highlight w:val="none"/>
          <w:u w:val="single"/>
          <w:lang w:val="en-US" w:eastAsia="zh-CN"/>
        </w:rPr>
        <w:t>10</w:t>
      </w:r>
      <w:r>
        <w:rPr>
          <w:rFonts w:hint="eastAsia" w:ascii="宋体" w:hAnsi="宋体" w:eastAsia="宋体" w:cs="宋体"/>
          <w:color w:val="auto"/>
          <w:sz w:val="24"/>
          <w:highlight w:val="none"/>
          <w:u w:val="single"/>
        </w:rPr>
        <w:t>时</w:t>
      </w:r>
      <w:r>
        <w:rPr>
          <w:rFonts w:hint="eastAsia"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lang w:val="hr-HR"/>
        </w:rPr>
        <w:t>（北京时间）。</w:t>
      </w:r>
    </w:p>
    <w:bookmarkEnd w:id="40"/>
    <w:p w14:paraId="34FD69CE">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rPr>
        <w:t>2.</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val="hr-HR"/>
        </w:rPr>
        <w:t>：</w:t>
      </w:r>
      <w:bookmarkStart w:id="47" w:name="_Hlk89807779"/>
      <w:r>
        <w:rPr>
          <w:rFonts w:hint="eastAsia" w:ascii="宋体" w:hAnsi="宋体" w:eastAsia="宋体" w:cs="宋体"/>
          <w:color w:val="auto"/>
          <w:sz w:val="24"/>
          <w:highlight w:val="none"/>
          <w:lang w:val="en-US"/>
        </w:rPr>
        <w:t>兵团</w:t>
      </w:r>
      <w:r>
        <w:rPr>
          <w:rFonts w:hint="eastAsia" w:ascii="宋体" w:hAnsi="宋体" w:eastAsia="宋体" w:cs="宋体"/>
          <w:color w:val="auto"/>
          <w:sz w:val="24"/>
          <w:highlight w:val="none"/>
        </w:rPr>
        <w:t>政府采购</w:t>
      </w:r>
      <w:r>
        <w:rPr>
          <w:rFonts w:hint="eastAsia" w:ascii="宋体" w:hAnsi="宋体" w:eastAsia="宋体" w:cs="宋体"/>
          <w:color w:val="auto"/>
          <w:sz w:val="24"/>
          <w:highlight w:val="none"/>
          <w:lang w:val="en-US"/>
        </w:rPr>
        <w:t>电子交易云</w:t>
      </w:r>
      <w:r>
        <w:rPr>
          <w:rFonts w:hint="eastAsia" w:ascii="宋体" w:hAnsi="宋体" w:eastAsia="宋体" w:cs="宋体"/>
          <w:color w:val="auto"/>
          <w:sz w:val="24"/>
          <w:highlight w:val="none"/>
        </w:rPr>
        <w:t>平台</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val="hr-HR"/>
        </w:rPr>
        <w:t>：https://www.zcygov.cn/）</w:t>
      </w:r>
      <w:r>
        <w:rPr>
          <w:rFonts w:hint="eastAsia" w:ascii="宋体" w:hAnsi="宋体" w:eastAsia="宋体" w:cs="宋体"/>
          <w:color w:val="auto"/>
          <w:sz w:val="24"/>
          <w:highlight w:val="none"/>
        </w:rPr>
        <w:t>。</w:t>
      </w:r>
      <w:bookmarkEnd w:id="47"/>
    </w:p>
    <w:p w14:paraId="674E7A4D">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hr-HR"/>
        </w:rPr>
        <w:t>3.</w:t>
      </w: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投标供应商登录政采云平台</w:t>
      </w:r>
      <w:r>
        <w:rPr>
          <w:rFonts w:hint="eastAsia" w:ascii="宋体" w:hAnsi="宋体" w:eastAsia="宋体" w:cs="宋体"/>
          <w:color w:val="auto"/>
          <w:sz w:val="24"/>
          <w:highlight w:val="none"/>
          <w:lang w:val="hr-HR"/>
        </w:rPr>
        <w:t>https</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hr-HR"/>
        </w:rPr>
        <w:t>//www.zcygov.cn/</w:t>
      </w:r>
      <w:r>
        <w:rPr>
          <w:rFonts w:hint="eastAsia" w:ascii="宋体" w:hAnsi="宋体" w:eastAsia="宋体" w:cs="宋体"/>
          <w:color w:val="auto"/>
          <w:sz w:val="24"/>
          <w:highlight w:val="none"/>
          <w:lang w:val="en-US"/>
        </w:rPr>
        <w:t>在线申请</w:t>
      </w:r>
      <w:r>
        <w:rPr>
          <w:rFonts w:hint="eastAsia" w:ascii="宋体" w:hAnsi="宋体" w:eastAsia="宋体" w:cs="宋体"/>
          <w:color w:val="auto"/>
          <w:sz w:val="24"/>
          <w:highlight w:val="none"/>
          <w:lang w:val="en-US" w:eastAsia="zh-CN"/>
        </w:rPr>
        <w:t>，免费</w:t>
      </w:r>
      <w:r>
        <w:rPr>
          <w:rFonts w:hint="eastAsia" w:ascii="宋体" w:hAnsi="宋体" w:eastAsia="宋体" w:cs="宋体"/>
          <w:color w:val="auto"/>
          <w:sz w:val="24"/>
          <w:highlight w:val="none"/>
          <w:lang w:val="en-US"/>
        </w:rPr>
        <w:t>获取</w:t>
      </w:r>
      <w:r>
        <w:rPr>
          <w:rFonts w:hint="eastAsia" w:ascii="宋体" w:hAnsi="宋体" w:eastAsia="宋体" w:cs="宋体"/>
          <w:color w:val="auto"/>
          <w:sz w:val="24"/>
          <w:highlight w:val="none"/>
          <w:lang w:val="en-US" w:eastAsia="zh-CN"/>
        </w:rPr>
        <w:t>电子</w:t>
      </w:r>
      <w:r>
        <w:rPr>
          <w:rFonts w:hint="eastAsia" w:ascii="宋体" w:hAnsi="宋体" w:eastAsia="宋体" w:cs="宋体"/>
          <w:color w:val="auto"/>
          <w:sz w:val="24"/>
          <w:highlight w:val="none"/>
          <w:lang w:val="en-US"/>
        </w:rPr>
        <w:t>采购文件</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进入</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项目采购</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应用</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在获取采购文件菜单中选择项目</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申请获取采购文件</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w:t>
      </w:r>
    </w:p>
    <w:p w14:paraId="21D74D7F">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4.售价：0元。</w:t>
      </w:r>
    </w:p>
    <w:bookmarkEnd w:id="41"/>
    <w:bookmarkEnd w:id="42"/>
    <w:bookmarkEnd w:id="43"/>
    <w:bookmarkEnd w:id="44"/>
    <w:bookmarkEnd w:id="45"/>
    <w:bookmarkEnd w:id="46"/>
    <w:p w14:paraId="6020FAF9">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48" w:name="_Toc109899832"/>
      <w:bookmarkStart w:id="49" w:name="_Toc140132748"/>
      <w:bookmarkStart w:id="50" w:name="_Toc155185863"/>
      <w:bookmarkStart w:id="51" w:name="_Toc109900251"/>
      <w:bookmarkStart w:id="52" w:name="_Toc109899413"/>
      <w:bookmarkStart w:id="53" w:name="_Toc1017"/>
      <w:r>
        <w:rPr>
          <w:rFonts w:hint="eastAsia" w:ascii="宋体" w:hAnsi="宋体" w:eastAsia="宋体" w:cs="宋体"/>
          <w:b/>
          <w:bCs/>
          <w:color w:val="auto"/>
          <w:kern w:val="2"/>
          <w:sz w:val="24"/>
          <w:szCs w:val="24"/>
          <w:highlight w:val="none"/>
          <w:lang w:val="en-US" w:eastAsia="zh-CN" w:bidi="ar-SA"/>
        </w:rPr>
        <w:t>四、</w:t>
      </w:r>
      <w:bookmarkEnd w:id="48"/>
      <w:bookmarkEnd w:id="49"/>
      <w:bookmarkEnd w:id="50"/>
      <w:bookmarkEnd w:id="51"/>
      <w:bookmarkEnd w:id="52"/>
      <w:r>
        <w:rPr>
          <w:rFonts w:hint="eastAsia" w:ascii="宋体" w:hAnsi="宋体" w:eastAsia="宋体" w:cs="宋体"/>
          <w:b/>
          <w:bCs/>
          <w:color w:val="auto"/>
          <w:kern w:val="2"/>
          <w:sz w:val="24"/>
          <w:szCs w:val="24"/>
          <w:highlight w:val="none"/>
          <w:lang w:val="hr-HR" w:eastAsia="zh-CN" w:bidi="ar-SA"/>
        </w:rPr>
        <w:t>提交投标文件截止时间</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hr-HR" w:eastAsia="zh-CN" w:bidi="ar-SA"/>
        </w:rPr>
        <w:t>开标时间、递交方式和</w:t>
      </w:r>
      <w:r>
        <w:rPr>
          <w:rFonts w:hint="eastAsia" w:ascii="宋体" w:hAnsi="宋体" w:eastAsia="宋体" w:cs="宋体"/>
          <w:b/>
          <w:bCs/>
          <w:color w:val="auto"/>
          <w:kern w:val="2"/>
          <w:sz w:val="24"/>
          <w:szCs w:val="24"/>
          <w:highlight w:val="none"/>
          <w:lang w:val="en-US" w:eastAsia="zh-CN" w:bidi="ar-SA"/>
        </w:rPr>
        <w:t>开标</w:t>
      </w:r>
      <w:r>
        <w:rPr>
          <w:rFonts w:hint="eastAsia" w:ascii="宋体" w:hAnsi="宋体" w:eastAsia="宋体" w:cs="宋体"/>
          <w:b/>
          <w:bCs/>
          <w:color w:val="auto"/>
          <w:kern w:val="2"/>
          <w:sz w:val="24"/>
          <w:szCs w:val="24"/>
          <w:highlight w:val="none"/>
          <w:lang w:val="hr-HR" w:eastAsia="zh-CN" w:bidi="ar-SA"/>
        </w:rPr>
        <w:t>地点</w:t>
      </w:r>
      <w:bookmarkEnd w:id="53"/>
      <w:bookmarkStart w:id="54" w:name="_Hlk130457395"/>
      <w:bookmarkStart w:id="55" w:name="_Toc35393803"/>
      <w:bookmarkStart w:id="56" w:name="_Toc44583633"/>
      <w:bookmarkStart w:id="57" w:name="_Toc28359094"/>
      <w:bookmarkStart w:id="58" w:name="_Toc28359017"/>
      <w:bookmarkStart w:id="59" w:name="_Toc35393634"/>
    </w:p>
    <w:p w14:paraId="2D110B47">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color w:val="auto"/>
          <w:sz w:val="24"/>
          <w:highlight w:val="none"/>
        </w:rPr>
      </w:pPr>
      <w:bookmarkStart w:id="60" w:name="_Toc29336"/>
      <w:bookmarkStart w:id="61" w:name="_Toc27649"/>
      <w:bookmarkStart w:id="62" w:name="_Toc3967"/>
      <w:bookmarkStart w:id="63" w:name="_Toc20025"/>
      <w:r>
        <w:rPr>
          <w:rFonts w:hint="eastAsia" w:ascii="宋体" w:hAnsi="宋体" w:eastAsia="宋体" w:cs="宋体"/>
          <w:b w:val="0"/>
          <w:bCs w:val="0"/>
          <w:color w:val="auto"/>
          <w:sz w:val="24"/>
          <w:highlight w:val="none"/>
        </w:rPr>
        <w:t>1.截止时间</w:t>
      </w:r>
      <w:r>
        <w:rPr>
          <w:rFonts w:hint="eastAsia" w:ascii="宋体" w:hAnsi="宋体" w:eastAsia="宋体" w:cs="宋体"/>
          <w:b w:val="0"/>
          <w:bCs w:val="0"/>
          <w:color w:val="auto"/>
          <w:sz w:val="24"/>
          <w:highlight w:val="none"/>
          <w:lang w:val="en-US"/>
        </w:rPr>
        <w:t>/</w:t>
      </w:r>
      <w:r>
        <w:rPr>
          <w:rFonts w:hint="eastAsia" w:ascii="宋体" w:hAnsi="宋体" w:eastAsia="宋体" w:cs="宋体"/>
          <w:b w:val="0"/>
          <w:bCs w:val="0"/>
          <w:color w:val="auto"/>
          <w:sz w:val="24"/>
          <w:highlight w:val="none"/>
        </w:rPr>
        <w:t>开标时间：</w:t>
      </w:r>
      <w:r>
        <w:rPr>
          <w:rFonts w:hint="eastAsia" w:ascii="宋体" w:hAnsi="宋体" w:cs="宋体"/>
          <w:b w:val="0"/>
          <w:bCs w:val="0"/>
          <w:color w:val="auto"/>
          <w:sz w:val="24"/>
          <w:highlight w:val="none"/>
          <w:u w:val="single"/>
          <w:lang w:val="en-US" w:eastAsia="zh-CN"/>
        </w:rPr>
        <w:t>2025</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u w:val="single"/>
        </w:rPr>
        <w:t>年</w:t>
      </w:r>
      <w:r>
        <w:rPr>
          <w:rFonts w:hint="eastAsia" w:ascii="宋体" w:hAnsi="宋体" w:cs="宋体"/>
          <w:b w:val="0"/>
          <w:bCs w:val="0"/>
          <w:color w:val="auto"/>
          <w:sz w:val="24"/>
          <w:highlight w:val="none"/>
          <w:u w:val="single"/>
          <w:lang w:val="en-US" w:eastAsia="zh-CN"/>
        </w:rPr>
        <w:t>07</w:t>
      </w:r>
      <w:r>
        <w:rPr>
          <w:rFonts w:hint="eastAsia" w:ascii="宋体" w:hAnsi="宋体" w:eastAsia="宋体" w:cs="宋体"/>
          <w:b w:val="0"/>
          <w:bCs w:val="0"/>
          <w:color w:val="auto"/>
          <w:sz w:val="24"/>
          <w:highlight w:val="none"/>
          <w:u w:val="single"/>
        </w:rPr>
        <w:t>月</w:t>
      </w:r>
      <w:r>
        <w:rPr>
          <w:rFonts w:hint="eastAsia" w:ascii="宋体" w:hAnsi="宋体" w:cs="宋体"/>
          <w:b w:val="0"/>
          <w:bCs w:val="0"/>
          <w:color w:val="auto"/>
          <w:sz w:val="24"/>
          <w:highlight w:val="none"/>
          <w:u w:val="single"/>
          <w:lang w:val="en-US" w:eastAsia="zh-CN"/>
        </w:rPr>
        <w:t>14</w:t>
      </w:r>
      <w:r>
        <w:rPr>
          <w:rFonts w:hint="eastAsia" w:ascii="宋体" w:hAnsi="宋体" w:eastAsia="宋体" w:cs="宋体"/>
          <w:b w:val="0"/>
          <w:bCs w:val="0"/>
          <w:color w:val="auto"/>
          <w:sz w:val="24"/>
          <w:highlight w:val="none"/>
          <w:u w:val="single"/>
        </w:rPr>
        <w:t>日</w:t>
      </w:r>
      <w:r>
        <w:rPr>
          <w:rFonts w:hint="eastAsia" w:ascii="宋体" w:hAnsi="宋体" w:cs="宋体"/>
          <w:b w:val="0"/>
          <w:bCs w:val="0"/>
          <w:color w:val="auto"/>
          <w:sz w:val="24"/>
          <w:highlight w:val="none"/>
          <w:u w:val="single"/>
          <w:lang w:val="en-US" w:eastAsia="zh-CN"/>
        </w:rPr>
        <w:t>11</w:t>
      </w:r>
      <w:r>
        <w:rPr>
          <w:rFonts w:hint="eastAsia" w:ascii="宋体" w:hAnsi="宋体" w:eastAsia="宋体" w:cs="宋体"/>
          <w:b w:val="0"/>
          <w:bCs w:val="0"/>
          <w:color w:val="auto"/>
          <w:sz w:val="24"/>
          <w:highlight w:val="none"/>
          <w:u w:val="single"/>
        </w:rPr>
        <w:t>时</w:t>
      </w:r>
      <w:r>
        <w:rPr>
          <w:rFonts w:hint="eastAsia" w:ascii="宋体" w:hAnsi="宋体" w:cs="宋体"/>
          <w:b w:val="0"/>
          <w:bCs w:val="0"/>
          <w:color w:val="auto"/>
          <w:sz w:val="24"/>
          <w:highlight w:val="none"/>
          <w:u w:val="single"/>
          <w:lang w:val="en-US" w:eastAsia="zh-CN"/>
        </w:rPr>
        <w:t>00</w:t>
      </w:r>
      <w:r>
        <w:rPr>
          <w:rFonts w:hint="eastAsia" w:ascii="宋体" w:hAnsi="宋体" w:eastAsia="宋体" w:cs="宋体"/>
          <w:b w:val="0"/>
          <w:bCs w:val="0"/>
          <w:color w:val="auto"/>
          <w:sz w:val="24"/>
          <w:highlight w:val="none"/>
          <w:u w:val="single"/>
        </w:rPr>
        <w:t>分</w:t>
      </w:r>
      <w:r>
        <w:rPr>
          <w:rFonts w:hint="eastAsia" w:ascii="宋体" w:hAnsi="宋体" w:eastAsia="宋体" w:cs="宋体"/>
          <w:b w:val="0"/>
          <w:bCs w:val="0"/>
          <w:color w:val="auto"/>
          <w:sz w:val="24"/>
          <w:highlight w:val="none"/>
        </w:rPr>
        <w:t>（北京时间）。</w:t>
      </w:r>
      <w:bookmarkEnd w:id="60"/>
      <w:bookmarkEnd w:id="61"/>
      <w:bookmarkEnd w:id="62"/>
      <w:bookmarkEnd w:id="63"/>
    </w:p>
    <w:p w14:paraId="51B173F3">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2.递交方式：</w:t>
      </w:r>
      <w:bookmarkStart w:id="64" w:name="_Hlk89807823"/>
      <w:r>
        <w:rPr>
          <w:rFonts w:hint="eastAsia" w:ascii="宋体" w:hAnsi="宋体" w:eastAsia="宋体" w:cs="宋体"/>
          <w:color w:val="auto"/>
          <w:sz w:val="24"/>
          <w:highlight w:val="none"/>
        </w:rPr>
        <w:t>在兵团政府采购电子交易云平台（网址：https://www.zcygov.cn/）进入“项目采购”应用，在投标文件上传菜单中选择项目进行上传。</w:t>
      </w:r>
      <w:bookmarkEnd w:id="64"/>
    </w:p>
    <w:p w14:paraId="276D3E17">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w:t>
      </w:r>
      <w:r>
        <w:rPr>
          <w:rFonts w:hint="eastAsia" w:ascii="宋体" w:hAnsi="宋体" w:eastAsia="宋体" w:cs="宋体"/>
          <w:color w:val="auto"/>
          <w:sz w:val="24"/>
          <w:highlight w:val="none"/>
          <w:lang w:val="en-US"/>
        </w:rPr>
        <w:t>地点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投标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lang w:val="en-US"/>
        </w:rPr>
        <w:t>登录政采云平台https</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//www.zcygov.cn/，进入项目采购-开</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lang w:val="en-US"/>
        </w:rPr>
        <w:t>评标-右边选择对应项目点击“进入项目”进入开标大厅</w:t>
      </w:r>
      <w:r>
        <w:rPr>
          <w:rFonts w:hint="eastAsia" w:ascii="宋体" w:hAnsi="宋体" w:eastAsia="宋体" w:cs="宋体"/>
          <w:color w:val="auto"/>
          <w:sz w:val="24"/>
          <w:highlight w:val="none"/>
        </w:rPr>
        <w:t>。</w:t>
      </w:r>
    </w:p>
    <w:bookmarkEnd w:id="54"/>
    <w:p w14:paraId="679A69E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65" w:name="_Toc109900252"/>
      <w:bookmarkStart w:id="66" w:name="_Toc155185864"/>
      <w:bookmarkStart w:id="67" w:name="_Toc24036"/>
      <w:bookmarkStart w:id="68" w:name="_Toc109899833"/>
      <w:bookmarkStart w:id="69" w:name="_Toc140132749"/>
      <w:bookmarkStart w:id="70" w:name="_Toc109899414"/>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hr-HR" w:eastAsia="zh-CN" w:bidi="ar-SA"/>
        </w:rPr>
        <w:t>公告期限</w:t>
      </w:r>
      <w:bookmarkEnd w:id="55"/>
      <w:bookmarkEnd w:id="56"/>
      <w:bookmarkEnd w:id="57"/>
      <w:bookmarkEnd w:id="58"/>
      <w:bookmarkEnd w:id="59"/>
      <w:bookmarkEnd w:id="65"/>
      <w:bookmarkEnd w:id="66"/>
      <w:bookmarkEnd w:id="67"/>
      <w:bookmarkEnd w:id="68"/>
      <w:bookmarkEnd w:id="69"/>
      <w:bookmarkEnd w:id="70"/>
    </w:p>
    <w:p w14:paraId="32028F42">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自招标公告发布之日起5个工作日。</w:t>
      </w:r>
    </w:p>
    <w:p w14:paraId="20DD1AA0">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71" w:name="_Toc109900253"/>
      <w:bookmarkStart w:id="72" w:name="_Toc22515"/>
      <w:bookmarkStart w:id="73" w:name="_Toc44583634"/>
      <w:bookmarkStart w:id="74" w:name="_Toc35393804"/>
      <w:bookmarkStart w:id="75" w:name="_Toc140132750"/>
      <w:bookmarkStart w:id="76" w:name="_Toc109899834"/>
      <w:bookmarkStart w:id="77" w:name="_Toc155185865"/>
      <w:bookmarkStart w:id="78" w:name="_Toc109899415"/>
      <w:bookmarkStart w:id="79" w:name="_Toc35393635"/>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hr-HR" w:eastAsia="zh-CN" w:bidi="ar-SA"/>
        </w:rPr>
        <w:t>其他补充事宜</w:t>
      </w:r>
      <w:bookmarkEnd w:id="71"/>
      <w:bookmarkEnd w:id="72"/>
      <w:bookmarkEnd w:id="73"/>
      <w:bookmarkEnd w:id="74"/>
      <w:bookmarkEnd w:id="75"/>
      <w:bookmarkEnd w:id="76"/>
      <w:bookmarkEnd w:id="77"/>
      <w:bookmarkEnd w:id="78"/>
      <w:bookmarkEnd w:id="79"/>
    </w:p>
    <w:p w14:paraId="30FA302A">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1、本项目实行网上投标，采用电子投标文件；</w:t>
      </w:r>
    </w:p>
    <w:p w14:paraId="40387C18">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各投标人应在开标前应确保成为政采云平台供应商，并完成CA数字证书（符合国密标准）申领。因未注册入库、未办理CA数字证书等原因造成无法投标或投标失败等后果由投标人自行承担。有意向参与兵团区域电子开评标的投标人，可访问兵团政府采购网-办事指南-操作指南-CA证书办理操作指南或点击链接：http://ccgp-bingtuan.gov.cn/site/detail?parentId=189171&amp;articleId=CZ0bD526ZE+CHX5isJvt0w==&amp;utm=site.site-PC-4840.633-pc-websitegroup-secondlevelpage-front.1.2e96d52081d811eebbd67dd2372c0b9a自行进行申领。</w:t>
      </w:r>
    </w:p>
    <w:p w14:paraId="34AAF104">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95763进行咨询。如因投标人自身原因导致在规定时间内无法正常解密的（如：浏览器故障、未安装相关驱动、网络故障、加密CA与解密CA不一致等），视为投标人自动弃标。</w:t>
      </w:r>
    </w:p>
    <w:p w14:paraId="723251BD">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80" w:name="_Toc35393805"/>
      <w:bookmarkStart w:id="81" w:name="_Toc155185866"/>
      <w:bookmarkStart w:id="82" w:name="_Toc140132751"/>
      <w:bookmarkStart w:id="83" w:name="_Toc109899416"/>
      <w:bookmarkStart w:id="84" w:name="_Toc28359095"/>
      <w:bookmarkStart w:id="85" w:name="_Toc28359018"/>
      <w:bookmarkStart w:id="86" w:name="_Toc35393636"/>
      <w:bookmarkStart w:id="87" w:name="_Toc109900254"/>
      <w:bookmarkStart w:id="88" w:name="_Toc109899835"/>
      <w:bookmarkStart w:id="89" w:name="_Toc44583635"/>
      <w:bookmarkStart w:id="90" w:name="_Toc20894"/>
      <w:r>
        <w:rPr>
          <w:rFonts w:hint="eastAsia" w:ascii="宋体" w:hAnsi="宋体" w:eastAsia="宋体" w:cs="宋体"/>
          <w:b/>
          <w:bCs/>
          <w:color w:val="auto"/>
          <w:kern w:val="2"/>
          <w:sz w:val="24"/>
          <w:szCs w:val="24"/>
          <w:highlight w:val="none"/>
          <w:lang w:val="en-US" w:eastAsia="zh-CN" w:bidi="ar-SA"/>
        </w:rPr>
        <w:t>七、</w:t>
      </w:r>
      <w:bookmarkEnd w:id="80"/>
      <w:bookmarkEnd w:id="81"/>
      <w:bookmarkEnd w:id="82"/>
      <w:bookmarkEnd w:id="83"/>
      <w:bookmarkEnd w:id="84"/>
      <w:bookmarkEnd w:id="85"/>
      <w:bookmarkEnd w:id="86"/>
      <w:bookmarkEnd w:id="87"/>
      <w:bookmarkEnd w:id="88"/>
      <w:bookmarkEnd w:id="89"/>
      <w:r>
        <w:rPr>
          <w:rFonts w:hint="eastAsia" w:ascii="宋体" w:hAnsi="宋体" w:eastAsia="宋体" w:cs="宋体"/>
          <w:b/>
          <w:bCs/>
          <w:color w:val="auto"/>
          <w:kern w:val="2"/>
          <w:sz w:val="24"/>
          <w:szCs w:val="24"/>
          <w:highlight w:val="none"/>
          <w:lang w:val="hr-HR" w:eastAsia="zh-CN" w:bidi="ar-SA"/>
        </w:rPr>
        <w:t>对本次</w:t>
      </w:r>
      <w:r>
        <w:rPr>
          <w:rFonts w:hint="eastAsia" w:ascii="宋体" w:hAnsi="宋体" w:eastAsia="宋体" w:cs="宋体"/>
          <w:b/>
          <w:bCs/>
          <w:color w:val="auto"/>
          <w:kern w:val="2"/>
          <w:sz w:val="24"/>
          <w:szCs w:val="24"/>
          <w:highlight w:val="none"/>
          <w:lang w:val="en-US" w:eastAsia="zh-CN" w:bidi="ar-SA"/>
        </w:rPr>
        <w:t>招标</w:t>
      </w:r>
      <w:r>
        <w:rPr>
          <w:rFonts w:hint="eastAsia" w:ascii="宋体" w:hAnsi="宋体" w:eastAsia="宋体" w:cs="宋体"/>
          <w:b/>
          <w:bCs/>
          <w:color w:val="auto"/>
          <w:kern w:val="2"/>
          <w:sz w:val="24"/>
          <w:szCs w:val="24"/>
          <w:highlight w:val="none"/>
          <w:lang w:val="hr-HR" w:eastAsia="zh-CN" w:bidi="ar-SA"/>
        </w:rPr>
        <w:t>提出询问，请按以下方式联系</w:t>
      </w:r>
      <w:bookmarkEnd w:id="90"/>
    </w:p>
    <w:p w14:paraId="7F468749">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bookmarkStart w:id="91" w:name="_Toc28359096"/>
      <w:bookmarkStart w:id="92" w:name="_Toc35393637"/>
      <w:bookmarkStart w:id="93" w:name="_Toc35393806"/>
      <w:bookmarkStart w:id="94" w:name="_Toc28359019"/>
      <w:r>
        <w:rPr>
          <w:rFonts w:hint="eastAsia" w:ascii="宋体" w:hAnsi="宋体" w:eastAsia="宋体" w:cs="宋体"/>
          <w:color w:val="auto"/>
          <w:sz w:val="24"/>
          <w:highlight w:val="none"/>
        </w:rPr>
        <w:t>1.采购人信息</w:t>
      </w:r>
      <w:bookmarkEnd w:id="91"/>
      <w:bookmarkEnd w:id="92"/>
      <w:bookmarkEnd w:id="93"/>
      <w:bookmarkEnd w:id="94"/>
    </w:p>
    <w:p w14:paraId="239A78CE">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草湖项目区党委办公室（草湖项目区办公室、草湖项目区党委政策研究室</w:t>
      </w:r>
      <w:r>
        <w:rPr>
          <w:rFonts w:hint="eastAsia" w:cs="宋体"/>
          <w:color w:val="auto"/>
          <w:sz w:val="24"/>
          <w:highlight w:val="none"/>
          <w:u w:val="single"/>
          <w:lang w:eastAsia="zh-CN"/>
        </w:rPr>
        <w:t>）</w:t>
      </w:r>
    </w:p>
    <w:p w14:paraId="6B14BE38">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新疆</w:t>
      </w:r>
      <w:r>
        <w:rPr>
          <w:rFonts w:hint="eastAsia" w:ascii="宋体" w:hAnsi="宋体" w:eastAsia="宋体" w:cs="宋体"/>
          <w:color w:val="auto"/>
          <w:sz w:val="24"/>
          <w:highlight w:val="none"/>
          <w:u w:val="single"/>
          <w:lang w:val="en-US" w:eastAsia="zh-CN"/>
        </w:rPr>
        <w:t>维吾尔自治区喀什地区疏勒县</w:t>
      </w:r>
      <w:r>
        <w:rPr>
          <w:rFonts w:hint="eastAsia" w:ascii="宋体" w:hAnsi="宋体" w:eastAsia="宋体" w:cs="宋体"/>
          <w:color w:val="auto"/>
          <w:sz w:val="24"/>
          <w:highlight w:val="none"/>
          <w:u w:val="single"/>
        </w:rPr>
        <w:t xml:space="preserve">草湖镇 </w:t>
      </w:r>
    </w:p>
    <w:p w14:paraId="2B93D679">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李自林</w:t>
      </w:r>
      <w:r>
        <w:rPr>
          <w:rFonts w:hint="eastAsia" w:ascii="宋体" w:hAnsi="宋体" w:eastAsia="宋体" w:cs="宋体"/>
          <w:color w:val="auto"/>
          <w:sz w:val="24"/>
          <w:szCs w:val="24"/>
          <w:highlight w:val="none"/>
          <w:u w:val="single"/>
          <w:lang w:val="en-US" w:eastAsia="zh-CN"/>
        </w:rPr>
        <w:t xml:space="preserve">         </w:t>
      </w:r>
    </w:p>
    <w:p w14:paraId="7AB87317">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bookmarkStart w:id="95" w:name="_Hlk46775675"/>
      <w:r>
        <w:rPr>
          <w:rFonts w:hint="eastAsia" w:ascii="宋体" w:hAnsi="宋体" w:eastAsia="宋体" w:cs="宋体"/>
          <w:color w:val="auto"/>
          <w:sz w:val="24"/>
          <w:highlight w:val="none"/>
          <w:u w:val="single"/>
        </w:rPr>
        <w:t xml:space="preserve"> 19690151128 </w:t>
      </w:r>
    </w:p>
    <w:bookmarkEnd w:id="95"/>
    <w:p w14:paraId="1C38D281">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bookmarkStart w:id="96" w:name="_Toc35393807"/>
      <w:bookmarkStart w:id="97" w:name="_Toc35393638"/>
      <w:bookmarkStart w:id="98" w:name="_Toc28359020"/>
      <w:bookmarkStart w:id="99" w:name="_Toc28359097"/>
      <w:r>
        <w:rPr>
          <w:rFonts w:hint="eastAsia" w:ascii="宋体" w:hAnsi="宋体" w:eastAsia="宋体" w:cs="宋体"/>
          <w:color w:val="auto"/>
          <w:sz w:val="24"/>
          <w:highlight w:val="none"/>
        </w:rPr>
        <w:t>2.采购代理机构信息</w:t>
      </w:r>
      <w:bookmarkEnd w:id="96"/>
      <w:bookmarkEnd w:id="97"/>
      <w:bookmarkEnd w:id="98"/>
      <w:bookmarkEnd w:id="99"/>
    </w:p>
    <w:p w14:paraId="1951C113">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草湖项目区公共资源交易中心</w:t>
      </w:r>
      <w:r>
        <w:rPr>
          <w:rFonts w:hint="eastAsia" w:ascii="宋体" w:hAnsi="宋体" w:eastAsia="宋体" w:cs="宋体"/>
          <w:color w:val="auto"/>
          <w:sz w:val="24"/>
          <w:highlight w:val="none"/>
          <w:u w:val="single"/>
        </w:rPr>
        <w:t xml:space="preserve">  </w:t>
      </w:r>
    </w:p>
    <w:p w14:paraId="43B396A2">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新疆维吾尔自治区喀什地区疏勒县草湖镇</w:t>
      </w:r>
      <w:r>
        <w:rPr>
          <w:rFonts w:hint="eastAsia" w:ascii="宋体" w:hAnsi="宋体" w:eastAsia="宋体" w:cs="宋体"/>
          <w:color w:val="auto"/>
          <w:sz w:val="24"/>
          <w:highlight w:val="none"/>
          <w:u w:val="single"/>
          <w:lang w:val="en-US" w:eastAsia="zh-CN"/>
        </w:rPr>
        <w:t>41团</w:t>
      </w:r>
      <w:r>
        <w:rPr>
          <w:rFonts w:hint="eastAsia" w:cs="宋体"/>
          <w:color w:val="auto"/>
          <w:sz w:val="24"/>
          <w:highlight w:val="none"/>
          <w:u w:val="single"/>
          <w:lang w:val="en-US" w:eastAsia="zh-CN"/>
        </w:rPr>
        <w:t>职工创业园</w:t>
      </w:r>
      <w:r>
        <w:rPr>
          <w:rFonts w:hint="eastAsia" w:ascii="宋体" w:hAnsi="宋体" w:eastAsia="宋体" w:cs="宋体"/>
          <w:color w:val="auto"/>
          <w:sz w:val="24"/>
          <w:highlight w:val="none"/>
          <w:u w:val="single"/>
        </w:rPr>
        <w:t xml:space="preserve">   </w:t>
      </w:r>
    </w:p>
    <w:p w14:paraId="5C4ED5AE">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李嫣</w:t>
      </w:r>
    </w:p>
    <w:p w14:paraId="45F7B059">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19390529131</w:t>
      </w:r>
      <w:r>
        <w:rPr>
          <w:rFonts w:hint="eastAsia" w:ascii="宋体" w:hAnsi="宋体" w:eastAsia="宋体" w:cs="宋体"/>
          <w:color w:val="auto"/>
          <w:sz w:val="24"/>
          <w:highlight w:val="none"/>
          <w:u w:val="single"/>
        </w:rPr>
        <w:t xml:space="preserve">  </w:t>
      </w:r>
    </w:p>
    <w:p w14:paraId="1D80FF0A">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lang w:val="en-US" w:eastAsia="zh-CN"/>
        </w:rPr>
      </w:pPr>
      <w:bookmarkStart w:id="100" w:name="_Toc28359098"/>
      <w:bookmarkStart w:id="101" w:name="_Toc35393639"/>
      <w:bookmarkStart w:id="102" w:name="_Toc28359021"/>
      <w:bookmarkStart w:id="103" w:name="_Toc35393808"/>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项目联系方式</w:t>
      </w:r>
    </w:p>
    <w:p w14:paraId="56284208">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李嫣</w:t>
      </w:r>
      <w:r>
        <w:rPr>
          <w:rFonts w:hint="eastAsia" w:ascii="宋体" w:hAnsi="宋体" w:eastAsia="宋体" w:cs="宋体"/>
          <w:color w:val="auto"/>
          <w:sz w:val="24"/>
          <w:szCs w:val="24"/>
          <w:highlight w:val="none"/>
          <w:u w:val="single"/>
          <w:lang w:val="en-US" w:eastAsia="zh-CN"/>
        </w:rPr>
        <w:t xml:space="preserve">         </w:t>
      </w:r>
    </w:p>
    <w:bookmarkEnd w:id="100"/>
    <w:bookmarkEnd w:id="101"/>
    <w:bookmarkEnd w:id="102"/>
    <w:bookmarkEnd w:id="103"/>
    <w:p w14:paraId="02714B26">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电话：</w:t>
      </w:r>
      <w:r>
        <w:rPr>
          <w:rFonts w:hint="eastAsia" w:ascii="宋体" w:hAnsi="宋体" w:eastAsia="宋体" w:cs="宋体"/>
          <w:color w:val="auto"/>
          <w:sz w:val="24"/>
          <w:szCs w:val="24"/>
          <w:highlight w:val="none"/>
          <w:u w:val="single"/>
          <w:lang w:val="en-US" w:eastAsia="zh-CN"/>
        </w:rPr>
        <w:t xml:space="preserve"> 19390529131   </w:t>
      </w:r>
    </w:p>
    <w:p w14:paraId="014E1FA1">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B793992">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4A5BC61">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7A53C82D">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4D23FB4C">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104" w:name="_Toc155185867"/>
      <w:bookmarkStart w:id="105" w:name="_Toc6667"/>
      <w:r>
        <w:rPr>
          <w:rFonts w:hint="eastAsia" w:ascii="宋体" w:hAnsi="宋体" w:eastAsia="宋体" w:cs="宋体"/>
          <w:b/>
          <w:bCs/>
          <w:color w:val="auto"/>
          <w:kern w:val="44"/>
          <w:sz w:val="36"/>
          <w:szCs w:val="36"/>
          <w:highlight w:val="none"/>
          <w:lang w:val="en-US" w:eastAsia="zh-CN" w:bidi="ar-SA"/>
        </w:rPr>
        <w:t>第二章 投标人须知</w:t>
      </w:r>
      <w:bookmarkEnd w:id="104"/>
      <w:bookmarkEnd w:id="105"/>
    </w:p>
    <w:bookmarkEnd w:id="2"/>
    <w:p w14:paraId="5A1F6903">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06" w:name="_Toc6574"/>
      <w:bookmarkStart w:id="107" w:name="_Toc155185868"/>
      <w:r>
        <w:rPr>
          <w:rFonts w:hint="eastAsia" w:eastAsia="宋体" w:asciiTheme="majorHAnsi" w:hAnsiTheme="majorHAnsi" w:cstheme="majorBidi"/>
          <w:b/>
          <w:bCs/>
          <w:color w:val="auto"/>
          <w:kern w:val="2"/>
          <w:sz w:val="28"/>
          <w:szCs w:val="28"/>
          <w:highlight w:val="none"/>
          <w:lang w:val="en-US" w:eastAsia="zh-CN" w:bidi="ar-SA"/>
        </w:rPr>
        <w:t>一、投标人须知前附表</w:t>
      </w:r>
      <w:bookmarkEnd w:id="106"/>
      <w:bookmarkEnd w:id="107"/>
    </w:p>
    <w:p w14:paraId="7F3ACB7A">
      <w:pPr>
        <w:pStyle w:val="37"/>
        <w:rPr>
          <w:rFonts w:hint="default" w:eastAsia="宋体"/>
          <w:color w:val="auto"/>
          <w:sz w:val="24"/>
          <w:szCs w:val="24"/>
          <w:highlight w:val="none"/>
          <w:lang w:val="en-US" w:eastAsia="zh-CN"/>
        </w:rPr>
      </w:pPr>
      <w:r>
        <w:rPr>
          <w:rFonts w:hint="eastAsia"/>
          <w:color w:val="auto"/>
          <w:sz w:val="24"/>
          <w:szCs w:val="24"/>
          <w:highlight w:val="none"/>
        </w:rPr>
        <w:t>投标人应仔细阅读本招标文件的第二章“投标人须知”，下面所列资料是对“投标人须知”的具体补充和说明</w:t>
      </w:r>
      <w:r>
        <w:rPr>
          <w:rFonts w:hint="eastAsia"/>
          <w:color w:val="auto"/>
          <w:sz w:val="24"/>
          <w:szCs w:val="24"/>
          <w:highlight w:val="none"/>
          <w:lang w:eastAsia="zh-CN"/>
        </w:rPr>
        <w:t>，</w:t>
      </w:r>
      <w:r>
        <w:rPr>
          <w:rFonts w:hint="eastAsia"/>
          <w:color w:val="auto"/>
          <w:sz w:val="24"/>
          <w:szCs w:val="24"/>
          <w:highlight w:val="none"/>
        </w:rPr>
        <w:t>如有矛盾，应以本表为准。</w:t>
      </w:r>
      <w:r>
        <w:rPr>
          <w:rFonts w:hint="eastAsia"/>
          <w:color w:val="auto"/>
          <w:sz w:val="24"/>
          <w:szCs w:val="24"/>
          <w:highlight w:val="none"/>
          <w:lang w:val="en-US" w:eastAsia="zh-CN"/>
        </w:rPr>
        <w:t>标记“</w:t>
      </w:r>
      <w:r>
        <w:rPr>
          <w:rFonts w:hint="eastAsia" w:ascii="宋体" w:hAnsi="宋体" w:eastAsia="宋体"/>
          <w:color w:val="auto"/>
          <w:sz w:val="24"/>
          <w:szCs w:val="24"/>
          <w:highlight w:val="none"/>
          <w:lang w:val="en-US" w:eastAsia="zh-CN"/>
        </w:rPr>
        <w:t>☑”的选项意为适用于本项目，标记“□”的选项意为不适用于本项目。</w:t>
      </w:r>
    </w:p>
    <w:tbl>
      <w:tblPr>
        <w:tblStyle w:val="30"/>
        <w:tblW w:w="9408" w:type="dxa"/>
        <w:tblInd w:w="-3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38"/>
        <w:gridCol w:w="6700"/>
      </w:tblGrid>
      <w:tr w14:paraId="1B64B2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C4440DB">
            <w:pPr>
              <w:pStyle w:val="4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73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B9EABEB">
            <w:pPr>
              <w:pStyle w:val="4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70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C7B3B70">
            <w:pPr>
              <w:pStyle w:val="4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719F92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shd w:val="clear" w:color="auto" w:fill="auto"/>
            <w:vAlign w:val="center"/>
          </w:tcPr>
          <w:p w14:paraId="7351F699">
            <w:pPr>
              <w:pStyle w:val="49"/>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1</w:t>
            </w:r>
          </w:p>
        </w:tc>
        <w:tc>
          <w:tcPr>
            <w:tcW w:w="1738" w:type="dxa"/>
            <w:shd w:val="clear" w:color="auto" w:fill="auto"/>
            <w:vAlign w:val="center"/>
          </w:tcPr>
          <w:p w14:paraId="25B2CB3E">
            <w:pPr>
              <w:pStyle w:val="4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项目名称</w:t>
            </w:r>
          </w:p>
          <w:p w14:paraId="5DBC9FF6">
            <w:pPr>
              <w:pStyle w:val="49"/>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项目编号</w:t>
            </w:r>
          </w:p>
        </w:tc>
        <w:tc>
          <w:tcPr>
            <w:tcW w:w="6700" w:type="dxa"/>
            <w:shd w:val="clear" w:color="auto" w:fill="auto"/>
            <w:vAlign w:val="center"/>
          </w:tcPr>
          <w:p w14:paraId="29094C59">
            <w:pPr>
              <w:pStyle w:val="90"/>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草湖项目区党委办公室（草湖项目区办公室、草湖项目区党委政策研究室）</w:t>
            </w:r>
            <w:r>
              <w:rPr>
                <w:rFonts w:hint="eastAsia" w:ascii="宋体" w:hAnsi="宋体" w:cs="宋体"/>
                <w:color w:val="auto"/>
                <w:sz w:val="24"/>
                <w:highlight w:val="none"/>
                <w:u w:val="none"/>
                <w:lang w:val="en-US" w:eastAsia="zh-CN"/>
              </w:rPr>
              <w:t>采购</w:t>
            </w:r>
            <w:r>
              <w:rPr>
                <w:rFonts w:hint="eastAsia" w:ascii="宋体" w:hAnsi="宋体" w:eastAsia="宋体" w:cs="宋体"/>
                <w:color w:val="auto"/>
                <w:sz w:val="24"/>
                <w:highlight w:val="none"/>
                <w:u w:val="none"/>
              </w:rPr>
              <w:t xml:space="preserve">2辆新能源商务车项目 </w:t>
            </w:r>
          </w:p>
          <w:p w14:paraId="32F873B3">
            <w:pPr>
              <w:pStyle w:val="90"/>
              <w:spacing w:line="360" w:lineRule="auto"/>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sz w:val="24"/>
                <w:highlight w:val="none"/>
                <w:u w:val="none"/>
              </w:rPr>
              <w:t xml:space="preserve"> B15SBJ[2025]104号</w:t>
            </w:r>
            <w:r>
              <w:rPr>
                <w:rFonts w:hint="eastAsia" w:ascii="宋体" w:hAnsi="宋体" w:cs="宋体"/>
                <w:color w:val="auto"/>
                <w:sz w:val="24"/>
                <w:highlight w:val="none"/>
                <w:u w:val="none"/>
                <w:lang w:val="en-US" w:eastAsia="zh-CN"/>
              </w:rPr>
              <w:t>-1</w:t>
            </w:r>
          </w:p>
        </w:tc>
      </w:tr>
      <w:tr w14:paraId="396803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shd w:val="clear" w:color="auto" w:fill="auto"/>
            <w:vAlign w:val="center"/>
          </w:tcPr>
          <w:p w14:paraId="04BAE923">
            <w:pPr>
              <w:pStyle w:val="49"/>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2.2</w:t>
            </w:r>
          </w:p>
        </w:tc>
        <w:tc>
          <w:tcPr>
            <w:tcW w:w="1738" w:type="dxa"/>
            <w:shd w:val="clear" w:color="auto" w:fill="auto"/>
            <w:vAlign w:val="center"/>
          </w:tcPr>
          <w:p w14:paraId="20ABE010">
            <w:pPr>
              <w:pStyle w:val="49"/>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采购人</w:t>
            </w:r>
          </w:p>
        </w:tc>
        <w:tc>
          <w:tcPr>
            <w:tcW w:w="6700" w:type="dxa"/>
            <w:shd w:val="clear" w:color="auto" w:fill="auto"/>
            <w:vAlign w:val="center"/>
          </w:tcPr>
          <w:p w14:paraId="7A11E15F">
            <w:pPr>
              <w:pStyle w:val="37"/>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u w:val="none"/>
                <w:lang w:eastAsia="zh-CN"/>
              </w:rPr>
            </w:pPr>
            <w:r>
              <w:rPr>
                <w:rFonts w:hint="eastAsia" w:ascii="宋体" w:hAnsi="宋体" w:eastAsia="宋体" w:cs="宋体"/>
                <w:b w:val="0"/>
                <w:bCs w:val="0"/>
                <w:i w:val="0"/>
                <w:iCs w:val="0"/>
                <w:color w:val="auto"/>
                <w:kern w:val="2"/>
                <w:sz w:val="24"/>
                <w:szCs w:val="24"/>
                <w:highlight w:val="none"/>
                <w:u w:val="none"/>
                <w:lang w:val="en-US" w:eastAsia="zh-CN" w:bidi="ar-SA"/>
              </w:rPr>
              <w:t>名    称：</w:t>
            </w:r>
            <w:r>
              <w:rPr>
                <w:rFonts w:hint="eastAsia" w:ascii="宋体" w:hAnsi="宋体" w:eastAsia="宋体" w:cs="宋体"/>
                <w:color w:val="auto"/>
                <w:sz w:val="24"/>
                <w:highlight w:val="none"/>
                <w:u w:val="none"/>
              </w:rPr>
              <w:t>草湖项目区党委办公室（草湖项目区办公室、草湖项目区党委政策研究室</w:t>
            </w:r>
            <w:r>
              <w:rPr>
                <w:rFonts w:hint="eastAsia" w:cs="宋体"/>
                <w:color w:val="auto"/>
                <w:sz w:val="24"/>
                <w:highlight w:val="none"/>
                <w:u w:val="none"/>
                <w:lang w:eastAsia="zh-CN"/>
              </w:rPr>
              <w:t>）</w:t>
            </w:r>
          </w:p>
          <w:p w14:paraId="1E26B139">
            <w:pPr>
              <w:pStyle w:val="37"/>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地    址：</w:t>
            </w:r>
            <w:r>
              <w:rPr>
                <w:rFonts w:hint="eastAsia" w:ascii="宋体" w:hAnsi="宋体" w:eastAsia="宋体" w:cs="宋体"/>
                <w:color w:val="auto"/>
                <w:sz w:val="24"/>
                <w:highlight w:val="none"/>
                <w:u w:val="none"/>
              </w:rPr>
              <w:t xml:space="preserve"> 新疆维吾尔自治区喀什地区疏勒县草湖镇</w:t>
            </w:r>
          </w:p>
          <w:p w14:paraId="3251085A">
            <w:pPr>
              <w:pStyle w:val="93"/>
              <w:spacing w:line="360" w:lineRule="auto"/>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联 系 人：</w:t>
            </w:r>
            <w:r>
              <w:rPr>
                <w:rFonts w:hint="eastAsia" w:cs="宋体"/>
                <w:color w:val="auto"/>
                <w:sz w:val="24"/>
                <w:szCs w:val="24"/>
                <w:highlight w:val="none"/>
                <w:u w:val="none"/>
                <w:lang w:val="en-US" w:eastAsia="zh-CN"/>
              </w:rPr>
              <w:t>李自林</w:t>
            </w:r>
          </w:p>
          <w:p w14:paraId="77259AD8">
            <w:pPr>
              <w:pStyle w:val="93"/>
              <w:spacing w:line="360" w:lineRule="auto"/>
              <w:rPr>
                <w:rFonts w:hint="eastAsia" w:ascii="宋体" w:hAnsi="宋体" w:eastAsia="宋体" w:cs="宋体"/>
                <w:i w:val="0"/>
                <w:iCs w:val="0"/>
                <w:color w:val="auto"/>
                <w:kern w:val="2"/>
                <w:sz w:val="24"/>
                <w:szCs w:val="24"/>
                <w:highlight w:val="none"/>
                <w:u w:val="none"/>
                <w:lang w:val="en-US" w:eastAsia="zh-CN" w:bidi="ug-CN"/>
              </w:rPr>
            </w:pPr>
            <w:r>
              <w:rPr>
                <w:rFonts w:hint="eastAsia" w:ascii="宋体" w:hAnsi="宋体" w:eastAsia="宋体" w:cs="宋体"/>
                <w:b w:val="0"/>
                <w:bCs w:val="0"/>
                <w:i w:val="0"/>
                <w:iCs w:val="0"/>
                <w:color w:val="auto"/>
                <w:kern w:val="2"/>
                <w:sz w:val="24"/>
                <w:szCs w:val="24"/>
                <w:highlight w:val="none"/>
                <w:u w:val="none"/>
                <w:lang w:val="en-US" w:eastAsia="zh-CN" w:bidi="ar-SA"/>
              </w:rPr>
              <w:t>电话：</w:t>
            </w:r>
            <w:r>
              <w:rPr>
                <w:rFonts w:hint="eastAsia" w:ascii="宋体" w:hAnsi="宋体" w:eastAsia="宋体" w:cs="宋体"/>
                <w:color w:val="auto"/>
                <w:sz w:val="24"/>
                <w:highlight w:val="none"/>
                <w:u w:val="none"/>
              </w:rPr>
              <w:t>19690151128</w:t>
            </w:r>
          </w:p>
        </w:tc>
      </w:tr>
      <w:tr w14:paraId="50AFE0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shd w:val="clear" w:color="auto" w:fill="auto"/>
            <w:vAlign w:val="center"/>
          </w:tcPr>
          <w:p w14:paraId="6BDA02A8">
            <w:pPr>
              <w:pStyle w:val="49"/>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2.3</w:t>
            </w:r>
          </w:p>
        </w:tc>
        <w:tc>
          <w:tcPr>
            <w:tcW w:w="1738" w:type="dxa"/>
            <w:shd w:val="clear" w:color="auto" w:fill="auto"/>
            <w:vAlign w:val="center"/>
          </w:tcPr>
          <w:p w14:paraId="4DC142CA">
            <w:pPr>
              <w:pStyle w:val="49"/>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采购代理机构</w:t>
            </w:r>
          </w:p>
        </w:tc>
        <w:tc>
          <w:tcPr>
            <w:tcW w:w="6700" w:type="dxa"/>
            <w:shd w:val="clear" w:color="auto" w:fill="auto"/>
            <w:vAlign w:val="center"/>
          </w:tcPr>
          <w:p w14:paraId="20B54C5B">
            <w:pPr>
              <w:pStyle w:val="90"/>
              <w:spacing w:line="360" w:lineRule="auto"/>
              <w:rPr>
                <w:rFonts w:hint="eastAsia" w:ascii="宋体" w:hAnsi="宋体" w:eastAsia="宋体" w:cs="宋体"/>
                <w:color w:val="auto"/>
                <w:sz w:val="24"/>
                <w:highlight w:val="none"/>
                <w:u w:val="none"/>
              </w:rPr>
            </w:pPr>
            <w:r>
              <w:rPr>
                <w:rFonts w:hint="eastAsia" w:ascii="宋体" w:hAnsi="宋体" w:eastAsia="宋体" w:cs="宋体"/>
                <w:b w:val="0"/>
                <w:bCs w:val="0"/>
                <w:i w:val="0"/>
                <w:iCs w:val="0"/>
                <w:color w:val="auto"/>
                <w:kern w:val="2"/>
                <w:sz w:val="24"/>
                <w:szCs w:val="24"/>
                <w:highlight w:val="none"/>
                <w:u w:val="none"/>
                <w:lang w:val="en-US" w:eastAsia="zh-CN" w:bidi="ar-SA"/>
              </w:rPr>
              <w:t>名称：</w:t>
            </w:r>
            <w:r>
              <w:rPr>
                <w:rFonts w:hint="eastAsia" w:cs="宋体"/>
                <w:color w:val="auto"/>
                <w:sz w:val="24"/>
                <w:highlight w:val="none"/>
                <w:u w:val="none"/>
                <w:lang w:val="en-US" w:eastAsia="zh-CN"/>
              </w:rPr>
              <w:t>草湖项目区公共资源交易中心</w:t>
            </w:r>
            <w:r>
              <w:rPr>
                <w:rFonts w:hint="eastAsia" w:ascii="宋体" w:hAnsi="宋体" w:eastAsia="宋体" w:cs="宋体"/>
                <w:color w:val="auto"/>
                <w:sz w:val="24"/>
                <w:highlight w:val="none"/>
                <w:u w:val="none"/>
              </w:rPr>
              <w:t xml:space="preserve"> </w:t>
            </w:r>
          </w:p>
          <w:p w14:paraId="0B4C803B">
            <w:pPr>
              <w:pStyle w:val="90"/>
              <w:spacing w:line="360" w:lineRule="auto"/>
              <w:rPr>
                <w:rFonts w:hint="default"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地址：</w:t>
            </w:r>
            <w:r>
              <w:rPr>
                <w:rFonts w:hint="eastAsia" w:ascii="宋体" w:hAnsi="宋体" w:eastAsia="宋体" w:cs="宋体"/>
                <w:color w:val="auto"/>
                <w:sz w:val="24"/>
                <w:highlight w:val="none"/>
                <w:u w:val="none"/>
              </w:rPr>
              <w:t>新疆维吾尔自治区喀什地区疏勒县草湖镇41团职工创业园</w:t>
            </w:r>
          </w:p>
          <w:p w14:paraId="7F5BA78A">
            <w:pPr>
              <w:pStyle w:val="90"/>
              <w:spacing w:line="360" w:lineRule="auto"/>
              <w:rPr>
                <w:rFonts w:hint="default"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联系人：</w:t>
            </w:r>
            <w:r>
              <w:rPr>
                <w:rFonts w:hint="eastAsia" w:ascii="宋体" w:hAnsi="宋体" w:cs="宋体"/>
                <w:b w:val="0"/>
                <w:bCs w:val="0"/>
                <w:i w:val="0"/>
                <w:iCs w:val="0"/>
                <w:color w:val="auto"/>
                <w:kern w:val="2"/>
                <w:sz w:val="24"/>
                <w:szCs w:val="24"/>
                <w:highlight w:val="none"/>
                <w:u w:val="none"/>
                <w:lang w:val="en-US" w:eastAsia="zh-CN" w:bidi="ar-SA"/>
              </w:rPr>
              <w:t>李嫣</w:t>
            </w:r>
          </w:p>
          <w:p w14:paraId="10604455">
            <w:pPr>
              <w:pStyle w:val="90"/>
              <w:spacing w:line="360" w:lineRule="auto"/>
              <w:rPr>
                <w:rFonts w:hint="eastAsia" w:ascii="宋体" w:hAnsi="宋体" w:eastAsia="宋体" w:cs="宋体"/>
                <w:i w:val="0"/>
                <w:iCs w:val="0"/>
                <w:color w:val="auto"/>
                <w:kern w:val="2"/>
                <w:sz w:val="24"/>
                <w:szCs w:val="24"/>
                <w:highlight w:val="none"/>
                <w:u w:val="singl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联系电话：</w:t>
            </w:r>
            <w:r>
              <w:rPr>
                <w:rFonts w:hint="eastAsia" w:ascii="宋体" w:hAnsi="宋体" w:eastAsia="宋体" w:cs="宋体"/>
                <w:color w:val="auto"/>
                <w:sz w:val="24"/>
                <w:highlight w:val="none"/>
                <w:u w:val="none"/>
              </w:rPr>
              <w:t xml:space="preserve"> </w:t>
            </w:r>
            <w:r>
              <w:rPr>
                <w:rFonts w:hint="eastAsia" w:cs="宋体"/>
                <w:color w:val="auto"/>
                <w:sz w:val="24"/>
                <w:highlight w:val="none"/>
                <w:u w:val="none"/>
                <w:lang w:val="en-US" w:eastAsia="zh-CN"/>
              </w:rPr>
              <w:t>19390529131</w:t>
            </w:r>
            <w:r>
              <w:rPr>
                <w:rFonts w:hint="eastAsia" w:ascii="宋体" w:hAnsi="宋体" w:eastAsia="宋体" w:cs="宋体"/>
                <w:color w:val="auto"/>
                <w:sz w:val="24"/>
                <w:highlight w:val="none"/>
                <w:u w:val="none"/>
              </w:rPr>
              <w:t xml:space="preserve"> </w:t>
            </w:r>
          </w:p>
        </w:tc>
      </w:tr>
      <w:tr w14:paraId="21839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shd w:val="clear" w:color="auto" w:fill="auto"/>
            <w:vAlign w:val="center"/>
          </w:tcPr>
          <w:p w14:paraId="4D685E18">
            <w:pPr>
              <w:pStyle w:val="49"/>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2.4</w:t>
            </w:r>
          </w:p>
        </w:tc>
        <w:tc>
          <w:tcPr>
            <w:tcW w:w="1738" w:type="dxa"/>
            <w:shd w:val="clear" w:color="auto" w:fill="auto"/>
            <w:vAlign w:val="center"/>
          </w:tcPr>
          <w:p w14:paraId="6ECD7501">
            <w:pPr>
              <w:pStyle w:val="49"/>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监管部门</w:t>
            </w:r>
          </w:p>
        </w:tc>
        <w:tc>
          <w:tcPr>
            <w:tcW w:w="6700" w:type="dxa"/>
            <w:shd w:val="clear" w:color="auto" w:fill="auto"/>
            <w:vAlign w:val="center"/>
          </w:tcPr>
          <w:p w14:paraId="7A102DF6">
            <w:pPr>
              <w:pStyle w:val="4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名称：草湖项目区财政局</w:t>
            </w:r>
          </w:p>
          <w:p w14:paraId="2FB632A1">
            <w:pPr>
              <w:pStyle w:val="4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地址：新疆维吾尔自治区喀什地区疏勒县草湖镇</w:t>
            </w:r>
          </w:p>
          <w:p w14:paraId="27432834">
            <w:pPr>
              <w:pStyle w:val="4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联系人：魏媛明</w:t>
            </w:r>
          </w:p>
          <w:p w14:paraId="59E0AB80">
            <w:pPr>
              <w:pStyle w:val="49"/>
              <w:rPr>
                <w:rFonts w:hint="eastAsia" w:ascii="宋体" w:hAnsi="宋体" w:eastAsia="宋体" w:cs="宋体"/>
                <w:i w:val="0"/>
                <w:iCs w:val="0"/>
                <w:color w:val="auto"/>
                <w:kern w:val="2"/>
                <w:sz w:val="24"/>
                <w:szCs w:val="24"/>
                <w:highlight w:val="none"/>
                <w:u w:val="single"/>
                <w:lang w:val="en-US" w:eastAsia="zh-CN" w:bidi="ar-SA"/>
              </w:rPr>
            </w:pPr>
            <w:r>
              <w:rPr>
                <w:rFonts w:hint="eastAsia" w:ascii="宋体" w:hAnsi="宋体" w:eastAsia="宋体" w:cs="宋体"/>
                <w:i w:val="0"/>
                <w:iCs w:val="0"/>
                <w:color w:val="auto"/>
                <w:sz w:val="24"/>
                <w:szCs w:val="24"/>
                <w:highlight w:val="none"/>
                <w:lang w:val="en-US" w:eastAsia="zh-CN"/>
              </w:rPr>
              <w:t>电话：09986371687</w:t>
            </w:r>
          </w:p>
        </w:tc>
      </w:tr>
      <w:tr w14:paraId="46137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60441C76">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738" w:type="dxa"/>
            <w:vAlign w:val="center"/>
          </w:tcPr>
          <w:p w14:paraId="3D9DB5F0">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核心产品</w:t>
            </w:r>
          </w:p>
        </w:tc>
        <w:tc>
          <w:tcPr>
            <w:tcW w:w="6700" w:type="dxa"/>
            <w:vAlign w:val="center"/>
          </w:tcPr>
          <w:p w14:paraId="7BB22B3E">
            <w:pPr>
              <w:pStyle w:val="49"/>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本项目不适用。 </w:t>
            </w:r>
          </w:p>
          <w:p w14:paraId="3D32C559">
            <w:pPr>
              <w:pStyle w:val="49"/>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本项目为单一产品采购项目。 </w:t>
            </w:r>
          </w:p>
          <w:p w14:paraId="6BCC34C0">
            <w:pPr>
              <w:pStyle w:val="49"/>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本项目为非单一产品采购项目，其中核心产品为：__</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__。</w:t>
            </w:r>
          </w:p>
        </w:tc>
      </w:tr>
      <w:tr w14:paraId="2E7636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61" w:hRule="atLeast"/>
        </w:trPr>
        <w:tc>
          <w:tcPr>
            <w:tcW w:w="970" w:type="dxa"/>
            <w:shd w:val="clear" w:color="auto" w:fill="auto"/>
            <w:vAlign w:val="center"/>
          </w:tcPr>
          <w:p w14:paraId="1BF1D896">
            <w:pPr>
              <w:pStyle w:val="49"/>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2.6</w:t>
            </w:r>
          </w:p>
        </w:tc>
        <w:tc>
          <w:tcPr>
            <w:tcW w:w="1738" w:type="dxa"/>
            <w:shd w:val="clear" w:color="auto" w:fill="auto"/>
            <w:vAlign w:val="center"/>
          </w:tcPr>
          <w:p w14:paraId="700F5EE9">
            <w:pPr>
              <w:keepNext w:val="0"/>
              <w:keepLines w:val="0"/>
              <w:widowControl/>
              <w:suppressLineNumbers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科研仪器设备</w:t>
            </w:r>
          </w:p>
        </w:tc>
        <w:tc>
          <w:tcPr>
            <w:tcW w:w="6700" w:type="dxa"/>
            <w:shd w:val="clear" w:color="auto" w:fill="auto"/>
            <w:vAlign w:val="center"/>
          </w:tcPr>
          <w:p w14:paraId="0F6FC5C1">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是否属于科研仪器设备采购项目： </w:t>
            </w:r>
          </w:p>
          <w:p w14:paraId="4A1686C7">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 xml:space="preserve">是 </w:t>
            </w:r>
          </w:p>
          <w:p w14:paraId="7C9332C8">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否</w:t>
            </w:r>
          </w:p>
        </w:tc>
      </w:tr>
      <w:tr w14:paraId="25C46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68" w:hRule="atLeast"/>
        </w:trPr>
        <w:tc>
          <w:tcPr>
            <w:tcW w:w="970" w:type="dxa"/>
            <w:vAlign w:val="center"/>
          </w:tcPr>
          <w:p w14:paraId="3A136892">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1738" w:type="dxa"/>
            <w:vAlign w:val="center"/>
          </w:tcPr>
          <w:p w14:paraId="117C18AE">
            <w:pPr>
              <w:pStyle w:val="49"/>
              <w:rPr>
                <w:rFonts w:hint="eastAsia" w:ascii="宋体" w:hAnsi="宋体" w:eastAsia="宋体" w:cs="宋体"/>
                <w:color w:val="auto"/>
                <w:sz w:val="24"/>
                <w:szCs w:val="24"/>
                <w:highlight w:val="none"/>
              </w:rPr>
            </w:pPr>
            <w:bookmarkStart w:id="108" w:name="_Hlk143529175"/>
            <w:r>
              <w:rPr>
                <w:rFonts w:hint="eastAsia" w:ascii="宋体" w:hAnsi="宋体" w:eastAsia="宋体" w:cs="宋体"/>
                <w:color w:val="auto"/>
                <w:sz w:val="24"/>
                <w:szCs w:val="24"/>
                <w:highlight w:val="none"/>
              </w:rPr>
              <w:t>现场考察</w:t>
            </w:r>
            <w:bookmarkEnd w:id="108"/>
          </w:p>
        </w:tc>
        <w:tc>
          <w:tcPr>
            <w:tcW w:w="6700" w:type="dxa"/>
            <w:vAlign w:val="center"/>
          </w:tcPr>
          <w:p w14:paraId="36549596">
            <w:pPr>
              <w:pStyle w:val="4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不组织，投标人自行前往</w:t>
            </w:r>
            <w:r>
              <w:rPr>
                <w:rFonts w:hint="eastAsia" w:ascii="宋体" w:hAnsi="宋体" w:eastAsia="宋体" w:cs="宋体"/>
                <w:color w:val="auto"/>
                <w:sz w:val="24"/>
                <w:szCs w:val="24"/>
                <w:highlight w:val="none"/>
                <w:lang w:eastAsia="zh-CN"/>
              </w:rPr>
              <w:t>。</w:t>
            </w:r>
          </w:p>
          <w:p w14:paraId="70F71951">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0A578DA1">
            <w:pPr>
              <w:pStyle w:val="49"/>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E8AF39">
            <w:pPr>
              <w:pStyle w:val="49"/>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31CF27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35" w:hRule="atLeast"/>
        </w:trPr>
        <w:tc>
          <w:tcPr>
            <w:tcW w:w="970" w:type="dxa"/>
            <w:vAlign w:val="center"/>
          </w:tcPr>
          <w:p w14:paraId="0D95D099">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9.5</w:t>
            </w:r>
          </w:p>
        </w:tc>
        <w:tc>
          <w:tcPr>
            <w:tcW w:w="1738" w:type="dxa"/>
            <w:vAlign w:val="center"/>
          </w:tcPr>
          <w:p w14:paraId="4A5FE036">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w:t>
            </w:r>
          </w:p>
        </w:tc>
        <w:tc>
          <w:tcPr>
            <w:tcW w:w="6700" w:type="dxa"/>
            <w:vAlign w:val="center"/>
          </w:tcPr>
          <w:p w14:paraId="6B78B750">
            <w:pPr>
              <w:pStyle w:val="4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w:t>
            </w:r>
          </w:p>
          <w:p w14:paraId="3C61F0CD">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1279EA7E">
            <w:pPr>
              <w:pStyle w:val="49"/>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68AD2C">
            <w:pPr>
              <w:pStyle w:val="49"/>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8EAFC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9017C90">
            <w:pPr>
              <w:pStyle w:val="49"/>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1738" w:type="dxa"/>
            <w:vAlign w:val="center"/>
          </w:tcPr>
          <w:p w14:paraId="14B3667D">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询问</w:t>
            </w:r>
          </w:p>
        </w:tc>
        <w:tc>
          <w:tcPr>
            <w:tcW w:w="6700" w:type="dxa"/>
            <w:vAlign w:val="center"/>
          </w:tcPr>
          <w:p w14:paraId="3D637E0D">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方式：</w:t>
            </w:r>
          </w:p>
          <w:p w14:paraId="0DD19460">
            <w:pPr>
              <w:pStyle w:val="4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在供应商客户端中按照格式填写询问函，并在生成询问函后加盖电子印章提交</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其他询问方式：</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E4A188">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67C3B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A104107">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p>
        </w:tc>
        <w:tc>
          <w:tcPr>
            <w:tcW w:w="1738" w:type="dxa"/>
            <w:vAlign w:val="center"/>
          </w:tcPr>
          <w:p w14:paraId="79A1D807">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00" w:type="dxa"/>
            <w:vAlign w:val="center"/>
          </w:tcPr>
          <w:p w14:paraId="41DD7733">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日历日。</w:t>
            </w:r>
          </w:p>
        </w:tc>
      </w:tr>
      <w:tr w14:paraId="05426B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357" w:hRule="atLeast"/>
        </w:trPr>
        <w:tc>
          <w:tcPr>
            <w:tcW w:w="970" w:type="dxa"/>
            <w:vAlign w:val="center"/>
          </w:tcPr>
          <w:p w14:paraId="3DB59B05">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17.1</w:t>
            </w:r>
          </w:p>
        </w:tc>
        <w:tc>
          <w:tcPr>
            <w:tcW w:w="1738" w:type="dxa"/>
            <w:vAlign w:val="center"/>
          </w:tcPr>
          <w:p w14:paraId="02D54664">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w:t>
            </w:r>
          </w:p>
        </w:tc>
        <w:tc>
          <w:tcPr>
            <w:tcW w:w="6700" w:type="dxa"/>
            <w:vAlign w:val="center"/>
          </w:tcPr>
          <w:p w14:paraId="713A171A">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5947F8CF">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659FBE06">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预算金额</w:t>
            </w:r>
            <w:r>
              <w:rPr>
                <w:rFonts w:hint="eastAsia" w:ascii="宋体" w:hAnsi="宋体" w:eastAsia="宋体" w:cs="宋体"/>
                <w:color w:val="auto"/>
                <w:sz w:val="24"/>
                <w:szCs w:val="24"/>
                <w:highlight w:val="none"/>
              </w:rPr>
              <w:t>的   %</w:t>
            </w:r>
            <w:r>
              <w:rPr>
                <w:rFonts w:hint="eastAsia" w:ascii="宋体" w:hAnsi="宋体" w:eastAsia="宋体" w:cs="宋体"/>
                <w:color w:val="auto"/>
                <w:sz w:val="24"/>
                <w:szCs w:val="24"/>
                <w:highlight w:val="none"/>
                <w:lang w:eastAsia="zh-CN"/>
              </w:rPr>
              <w:t>。</w:t>
            </w:r>
          </w:p>
          <w:p w14:paraId="408CDEE0">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□定额收取：人民币       元</w:t>
            </w:r>
            <w:r>
              <w:rPr>
                <w:rFonts w:hint="eastAsia" w:ascii="宋体" w:hAnsi="宋体" w:eastAsia="宋体" w:cs="宋体"/>
                <w:color w:val="auto"/>
                <w:sz w:val="24"/>
                <w:szCs w:val="24"/>
                <w:highlight w:val="none"/>
                <w:lang w:eastAsia="zh-CN"/>
              </w:rPr>
              <w:t>。</w:t>
            </w:r>
          </w:p>
          <w:p w14:paraId="471258F6">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54A32B09">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投标人可自主选择以支票、汇票、本票、电汇、转账、网银、保函等非现金形式缴纳或提交保证金。</w:t>
            </w:r>
          </w:p>
          <w:p w14:paraId="013890D1">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收取单位：                            </w:t>
            </w:r>
          </w:p>
          <w:p w14:paraId="521BA7F2">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4.收取账号：</w:t>
            </w:r>
            <w:r>
              <w:rPr>
                <w:rFonts w:hint="eastAsia" w:ascii="宋体" w:hAnsi="宋体" w:eastAsia="宋体" w:cs="宋体"/>
                <w:color w:val="auto"/>
                <w:sz w:val="24"/>
                <w:szCs w:val="24"/>
                <w:highlight w:val="none"/>
              </w:rPr>
              <w:t xml:space="preserve">              </w:t>
            </w:r>
          </w:p>
          <w:p w14:paraId="1F174ACF">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退还时间：              </w:t>
            </w:r>
          </w:p>
          <w:p w14:paraId="0C79EF6C">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注意事项：</w:t>
            </w:r>
          </w:p>
          <w:p w14:paraId="7CEAD366">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0A6AA7E8">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保证金的，受益人和收取单位须为采购人。</w:t>
            </w:r>
          </w:p>
        </w:tc>
      </w:tr>
      <w:tr w14:paraId="4501E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603" w:hRule="atLeast"/>
        </w:trPr>
        <w:tc>
          <w:tcPr>
            <w:tcW w:w="970" w:type="dxa"/>
            <w:vAlign w:val="center"/>
          </w:tcPr>
          <w:p w14:paraId="0FAEE6C9">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1738" w:type="dxa"/>
            <w:vAlign w:val="center"/>
          </w:tcPr>
          <w:p w14:paraId="1A5D11C5">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实物样品</w:t>
            </w:r>
          </w:p>
        </w:tc>
        <w:tc>
          <w:tcPr>
            <w:tcW w:w="6700" w:type="dxa"/>
            <w:vAlign w:val="center"/>
          </w:tcPr>
          <w:p w14:paraId="29F70D2B">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投标样品递交： </w:t>
            </w:r>
          </w:p>
          <w:p w14:paraId="08448385">
            <w:pPr>
              <w:pStyle w:val="49"/>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不需要 </w:t>
            </w:r>
          </w:p>
          <w:p w14:paraId="75ABDCC9">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□需要，具体要求如下： </w:t>
            </w:r>
          </w:p>
          <w:p w14:paraId="45E00831">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1.样品制作的标准和要求：_____</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____； </w:t>
            </w:r>
          </w:p>
          <w:p w14:paraId="636410A9">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2.是否需要随样品提交相关检测报告： </w:t>
            </w:r>
          </w:p>
          <w:p w14:paraId="4042F79A">
            <w:pPr>
              <w:pStyle w:val="4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□不需要 </w:t>
            </w:r>
          </w:p>
          <w:p w14:paraId="69ACDCB3">
            <w:pPr>
              <w:pStyle w:val="4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 </w:t>
            </w:r>
          </w:p>
          <w:p w14:paraId="2365C0AF">
            <w:pPr>
              <w:pStyle w:val="49"/>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3.样品递交要求：递交时间：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0C201764">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，逾期提供的样品将不予接受。</w:t>
            </w:r>
            <w:r>
              <w:rPr>
                <w:rFonts w:hint="eastAsia" w:ascii="宋体" w:hAnsi="宋体" w:eastAsia="宋体" w:cs="宋体"/>
                <w:color w:val="auto"/>
                <w:sz w:val="24"/>
                <w:szCs w:val="24"/>
                <w:highlight w:val="none"/>
                <w:lang w:val="en-US" w:eastAsia="zh-CN"/>
              </w:rPr>
              <w:t xml:space="preserve"> </w:t>
            </w:r>
          </w:p>
          <w:p w14:paraId="20C6A605">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4.未中标人样品退还：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FA55552">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5.中标人样品保管、封存及退还：_____</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____； </w:t>
            </w:r>
          </w:p>
          <w:p w14:paraId="5F60BBB0">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6.其他要求（如有）：_____</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____。 </w:t>
            </w:r>
          </w:p>
        </w:tc>
      </w:tr>
      <w:tr w14:paraId="1C643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3DA43E2">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738" w:type="dxa"/>
            <w:vAlign w:val="center"/>
          </w:tcPr>
          <w:p w14:paraId="22504622">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p>
        </w:tc>
        <w:tc>
          <w:tcPr>
            <w:tcW w:w="6700" w:type="dxa"/>
            <w:vAlign w:val="center"/>
          </w:tcPr>
          <w:p w14:paraId="7B2FDAC1">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sym w:font="Wingdings" w:char="00FE"/>
            </w:r>
            <w:r>
              <w:rPr>
                <w:rFonts w:hint="eastAsia" w:ascii="宋体" w:hAnsi="宋体" w:eastAsia="宋体" w:cs="宋体"/>
                <w:color w:val="auto"/>
                <w:sz w:val="24"/>
                <w:szCs w:val="24"/>
                <w:highlight w:val="none"/>
              </w:rPr>
              <w:t>不进行</w:t>
            </w:r>
          </w:p>
          <w:p w14:paraId="7B0141AF">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进行，远程线上演示/现场演示</w:t>
            </w:r>
          </w:p>
          <w:p w14:paraId="29D1FB67">
            <w:pPr>
              <w:pStyle w:val="49"/>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1.演示时间不得超过</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分钟；</w:t>
            </w:r>
          </w:p>
          <w:p w14:paraId="0D5B188D">
            <w:pPr>
              <w:pStyle w:val="49"/>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2.进行远程线上演示的，投标人应提前自行准备好演示的软硬配置环境和网络环境，做好演示的各项准备工作。因投标人自身原因无法演示或者演示效果不理想的，导致的后果由投标人自行承担；</w:t>
            </w:r>
          </w:p>
          <w:p w14:paraId="34ED7966">
            <w:pPr>
              <w:pStyle w:val="49"/>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3.进行现场演示的，演示人员不得超过</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人，演示现场提供</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9764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885" w:hRule="atLeast"/>
        </w:trPr>
        <w:tc>
          <w:tcPr>
            <w:tcW w:w="970" w:type="dxa"/>
            <w:vAlign w:val="center"/>
          </w:tcPr>
          <w:p w14:paraId="4CE72DC4">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w:t>
            </w:r>
          </w:p>
        </w:tc>
        <w:tc>
          <w:tcPr>
            <w:tcW w:w="1738" w:type="dxa"/>
            <w:vAlign w:val="center"/>
          </w:tcPr>
          <w:p w14:paraId="35FB661A">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解密投标文件的时限</w:t>
            </w:r>
          </w:p>
        </w:tc>
        <w:tc>
          <w:tcPr>
            <w:tcW w:w="6700" w:type="dxa"/>
            <w:vAlign w:val="center"/>
          </w:tcPr>
          <w:p w14:paraId="44601FEC">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不见面开标默认解密时长：</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分钟。</w:t>
            </w:r>
            <w:r>
              <w:rPr>
                <w:rFonts w:hint="eastAsia" w:ascii="宋体" w:hAnsi="宋体" w:eastAsia="宋体" w:cs="宋体"/>
                <w:color w:val="auto"/>
                <w:sz w:val="24"/>
                <w:szCs w:val="24"/>
                <w:highlight w:val="none"/>
              </w:rPr>
              <w:t xml:space="preserve"> </w:t>
            </w:r>
          </w:p>
          <w:p w14:paraId="01B25268">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除因交易平台发生故障导致投标文件无法按时解密外，投标文件未按时解密的，视为未按规定提交投标文件。</w:t>
            </w:r>
          </w:p>
        </w:tc>
      </w:tr>
      <w:tr w14:paraId="79EC8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23FC94CD">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29.1</w:t>
            </w:r>
          </w:p>
        </w:tc>
        <w:tc>
          <w:tcPr>
            <w:tcW w:w="1738" w:type="dxa"/>
            <w:vAlign w:val="center"/>
          </w:tcPr>
          <w:p w14:paraId="5A1E858C">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评标方法</w:t>
            </w:r>
          </w:p>
        </w:tc>
        <w:tc>
          <w:tcPr>
            <w:tcW w:w="6700" w:type="dxa"/>
            <w:vAlign w:val="center"/>
          </w:tcPr>
          <w:p w14:paraId="49F2488F">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val="en-US" w:eastAsia="zh-CN"/>
              </w:rPr>
              <w:t>综合评分法</w:t>
            </w:r>
          </w:p>
          <w:p w14:paraId="63A64BEE">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en-US" w:eastAsia="zh-CN"/>
              </w:rPr>
              <w:t>最低评标价法</w:t>
            </w:r>
          </w:p>
        </w:tc>
      </w:tr>
      <w:tr w14:paraId="5A087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67" w:hRule="atLeast"/>
        </w:trPr>
        <w:tc>
          <w:tcPr>
            <w:tcW w:w="970" w:type="dxa"/>
            <w:vAlign w:val="center"/>
          </w:tcPr>
          <w:p w14:paraId="42D57B39">
            <w:pPr>
              <w:pStyle w:val="49"/>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1738" w:type="dxa"/>
            <w:vAlign w:val="center"/>
          </w:tcPr>
          <w:p w14:paraId="109515DE">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w:t>
            </w:r>
          </w:p>
        </w:tc>
        <w:tc>
          <w:tcPr>
            <w:tcW w:w="6700" w:type="dxa"/>
            <w:vAlign w:val="center"/>
          </w:tcPr>
          <w:p w14:paraId="0DB0E73E">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家</w:t>
            </w:r>
          </w:p>
        </w:tc>
      </w:tr>
      <w:tr w14:paraId="176C1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13" w:hRule="atLeast"/>
        </w:trPr>
        <w:tc>
          <w:tcPr>
            <w:tcW w:w="970" w:type="dxa"/>
            <w:vAlign w:val="center"/>
          </w:tcPr>
          <w:p w14:paraId="4EEEE9B4">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p>
        </w:tc>
        <w:tc>
          <w:tcPr>
            <w:tcW w:w="1738" w:type="dxa"/>
            <w:vAlign w:val="center"/>
          </w:tcPr>
          <w:p w14:paraId="266C355B">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w:t>
            </w:r>
          </w:p>
        </w:tc>
        <w:tc>
          <w:tcPr>
            <w:tcW w:w="6700" w:type="dxa"/>
            <w:vAlign w:val="center"/>
          </w:tcPr>
          <w:p w14:paraId="59D1D95D">
            <w:pPr>
              <w:pStyle w:val="4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sym w:font="Wingdings" w:char="00FE"/>
            </w:r>
            <w:r>
              <w:rPr>
                <w:rFonts w:hint="eastAsia" w:ascii="宋体" w:hAnsi="宋体" w:eastAsia="宋体" w:cs="宋体"/>
                <w:i w:val="0"/>
                <w:iCs w:val="0"/>
                <w:color w:val="auto"/>
                <w:sz w:val="24"/>
                <w:szCs w:val="24"/>
                <w:highlight w:val="none"/>
              </w:rPr>
              <w:t>采购人</w:t>
            </w:r>
            <w:r>
              <w:rPr>
                <w:rFonts w:hint="eastAsia" w:ascii="宋体" w:hAnsi="宋体" w:eastAsia="宋体" w:cs="宋体"/>
                <w:i w:val="0"/>
                <w:iCs w:val="0"/>
                <w:color w:val="auto"/>
                <w:sz w:val="24"/>
                <w:szCs w:val="24"/>
                <w:highlight w:val="none"/>
                <w:lang w:eastAsia="zh-CN"/>
              </w:rPr>
              <w:t>在</w:t>
            </w:r>
            <w:r>
              <w:rPr>
                <w:rFonts w:hint="eastAsia" w:ascii="宋体" w:hAnsi="宋体" w:eastAsia="宋体" w:cs="宋体"/>
                <w:i w:val="0"/>
                <w:iCs w:val="0"/>
                <w:color w:val="auto"/>
                <w:sz w:val="24"/>
                <w:szCs w:val="24"/>
                <w:highlight w:val="none"/>
              </w:rPr>
              <w:t>收到评审报告后5个工作日内，按评审报告中推荐的成交候选人排序确定成交供应商。</w:t>
            </w:r>
          </w:p>
          <w:p w14:paraId="0911185A">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采购人委托评标委员会直接确定中标人。</w:t>
            </w:r>
          </w:p>
        </w:tc>
      </w:tr>
      <w:tr w14:paraId="6F937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01" w:hRule="atLeast"/>
        </w:trPr>
        <w:tc>
          <w:tcPr>
            <w:tcW w:w="970" w:type="dxa"/>
            <w:vAlign w:val="center"/>
          </w:tcPr>
          <w:p w14:paraId="7325020F">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30.2</w:t>
            </w:r>
          </w:p>
          <w:p w14:paraId="55F094A5">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30.3</w:t>
            </w:r>
          </w:p>
        </w:tc>
        <w:tc>
          <w:tcPr>
            <w:tcW w:w="1738" w:type="dxa"/>
            <w:vAlign w:val="center"/>
          </w:tcPr>
          <w:p w14:paraId="1B13E6FA">
            <w:pPr>
              <w:pStyle w:val="49"/>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提供相同品牌产品的不同投标人确定中标候选人的规定</w:t>
            </w:r>
          </w:p>
        </w:tc>
        <w:tc>
          <w:tcPr>
            <w:tcW w:w="6700" w:type="dxa"/>
            <w:vAlign w:val="center"/>
          </w:tcPr>
          <w:p w14:paraId="1B566793">
            <w:pPr>
              <w:pStyle w:val="49"/>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kern w:val="0"/>
                <w:sz w:val="24"/>
                <w:szCs w:val="24"/>
                <w:highlight w:val="none"/>
                <w:lang w:val="en-US" w:eastAsia="zh-CN" w:bidi="ar"/>
              </w:rPr>
              <w:t>综合评分法的采购项目，提供相同品牌产品且通过资格审查、符合性审查的不同投标人参加同一合同项下投标的，按一家投标人计算，评审后得分相同的，按照</w:t>
            </w:r>
            <w:r>
              <w:rPr>
                <w:rFonts w:hint="eastAsia" w:ascii="宋体" w:hAnsi="宋体" w:eastAsia="宋体" w:cs="宋体"/>
                <w:color w:val="auto"/>
                <w:kern w:val="0"/>
                <w:sz w:val="24"/>
                <w:szCs w:val="24"/>
                <w:highlight w:val="none"/>
                <w:u w:val="single"/>
                <w:lang w:val="en-US" w:eastAsia="zh-CN" w:bidi="ar"/>
              </w:rPr>
              <w:t xml:space="preserve"> </w:t>
            </w:r>
            <w:r>
              <w:rPr>
                <w:rFonts w:hint="eastAsia" w:cs="宋体"/>
                <w:color w:val="auto"/>
                <w:kern w:val="0"/>
                <w:sz w:val="24"/>
                <w:szCs w:val="24"/>
                <w:highlight w:val="none"/>
                <w:u w:val="single"/>
                <w:lang w:val="en-US" w:eastAsia="zh-CN" w:bidi="ar"/>
              </w:rPr>
              <w:t>报价最低</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确定一个投标人获得中标人推荐资格，其他同品牌投标人不作为中标候选人。</w:t>
            </w:r>
          </w:p>
          <w:p w14:paraId="0F6B6850">
            <w:pPr>
              <w:pStyle w:val="49"/>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kern w:val="0"/>
                <w:sz w:val="24"/>
                <w:szCs w:val="24"/>
                <w:highlight w:val="none"/>
                <w:lang w:val="en-US" w:eastAsia="zh-CN" w:bidi="ar"/>
              </w:rPr>
              <w:t>最低评标价法的采购项目，提供相同品牌产品的不同投标人参加同一合同项下投标的，以其中通过资格审查、符合性审查且报价最低的参加评标；报价相同的，按照</w:t>
            </w:r>
            <w:r>
              <w:rPr>
                <w:rFonts w:hint="eastAsia" w:ascii="宋体" w:hAnsi="宋体" w:eastAsia="宋体" w:cs="宋体"/>
                <w:color w:val="auto"/>
                <w:kern w:val="0"/>
                <w:sz w:val="24"/>
                <w:szCs w:val="24"/>
                <w:highlight w:val="none"/>
                <w:u w:val="single"/>
                <w:lang w:val="en-US" w:eastAsia="zh-CN" w:bidi="ar"/>
              </w:rPr>
              <w:t xml:space="preserve">    </w:t>
            </w:r>
            <w:r>
              <w:rPr>
                <w:rFonts w:hint="eastAsia" w:cs="宋体"/>
                <w:color w:val="auto"/>
                <w:kern w:val="0"/>
                <w:sz w:val="24"/>
                <w:szCs w:val="24"/>
                <w:highlight w:val="none"/>
                <w:u w:val="singl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方式确定一个参加评标的投标人，其他投标无效。</w:t>
            </w:r>
          </w:p>
        </w:tc>
      </w:tr>
      <w:tr w14:paraId="35A01A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641" w:hRule="atLeast"/>
        </w:trPr>
        <w:tc>
          <w:tcPr>
            <w:tcW w:w="970" w:type="dxa"/>
            <w:vAlign w:val="center"/>
          </w:tcPr>
          <w:p w14:paraId="1D722A96">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738" w:type="dxa"/>
            <w:vAlign w:val="center"/>
          </w:tcPr>
          <w:p w14:paraId="0A6B190B">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700" w:type="dxa"/>
            <w:vAlign w:val="center"/>
          </w:tcPr>
          <w:p w14:paraId="52B73BFF">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2D4AA05F">
            <w:pPr>
              <w:pStyle w:val="49"/>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185FFD88">
            <w:pPr>
              <w:pStyle w:val="4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□合同价的   %</w:t>
            </w:r>
          </w:p>
          <w:p w14:paraId="7DCA35D2">
            <w:pPr>
              <w:pStyle w:val="4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□定额收取：人民币              元</w:t>
            </w:r>
          </w:p>
          <w:p w14:paraId="78911AAD">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12B7F8B1">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投标人可自主选择以支票、汇票、本票、电汇、转账、网银、保函等非现金形式缴纳或提交保证金。</w:t>
            </w:r>
          </w:p>
          <w:p w14:paraId="20AB6ECE">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rPr>
              <w:t xml:space="preserve">收取单位：                            </w:t>
            </w:r>
          </w:p>
          <w:p w14:paraId="4D83FA75">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4.收取账号：</w:t>
            </w:r>
            <w:r>
              <w:rPr>
                <w:rFonts w:hint="eastAsia" w:ascii="宋体" w:hAnsi="宋体" w:eastAsia="宋体" w:cs="宋体"/>
                <w:color w:val="auto"/>
                <w:sz w:val="24"/>
                <w:szCs w:val="24"/>
                <w:highlight w:val="none"/>
              </w:rPr>
              <w:t xml:space="preserve">              </w:t>
            </w:r>
          </w:p>
          <w:p w14:paraId="2CF8CC08">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w:t>
            </w:r>
            <w:r>
              <w:rPr>
                <w:rFonts w:hint="eastAsia" w:ascii="宋体" w:hAnsi="宋体" w:eastAsia="宋体" w:cs="宋体"/>
                <w:color w:val="auto"/>
                <w:sz w:val="24"/>
                <w:szCs w:val="24"/>
                <w:highlight w:val="none"/>
              </w:rPr>
              <w:t xml:space="preserve">退还时间：              </w:t>
            </w:r>
          </w:p>
          <w:p w14:paraId="5BA146AB">
            <w:pPr>
              <w:pStyle w:val="4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43FE4EC8">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191E3959">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以担保函、保证保险形式缴纳履约保证金的，受益人和收取单位须为采购人。</w:t>
            </w:r>
          </w:p>
        </w:tc>
      </w:tr>
      <w:tr w14:paraId="6B1F0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23" w:hRule="atLeast"/>
        </w:trPr>
        <w:tc>
          <w:tcPr>
            <w:tcW w:w="970" w:type="dxa"/>
            <w:vAlign w:val="center"/>
          </w:tcPr>
          <w:p w14:paraId="600814BC">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p>
        </w:tc>
        <w:tc>
          <w:tcPr>
            <w:tcW w:w="1738" w:type="dxa"/>
            <w:vAlign w:val="center"/>
          </w:tcPr>
          <w:p w14:paraId="74D19386">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中标后分包</w:t>
            </w:r>
          </w:p>
        </w:tc>
        <w:tc>
          <w:tcPr>
            <w:tcW w:w="6700" w:type="dxa"/>
            <w:vAlign w:val="center"/>
          </w:tcPr>
          <w:p w14:paraId="4344EC45">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本项目的非主体、非关键性工作是否允许分包： </w:t>
            </w:r>
          </w:p>
          <w:p w14:paraId="3D901FC0">
            <w:pPr>
              <w:pStyle w:val="49"/>
              <w:ind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不允许 </w:t>
            </w:r>
          </w:p>
          <w:p w14:paraId="56DFA0F7">
            <w:pPr>
              <w:pStyle w:val="49"/>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□允许，具体要求： </w:t>
            </w:r>
          </w:p>
          <w:p w14:paraId="6C445FF2">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1.可以分包履行的具体内容：___</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__； </w:t>
            </w:r>
          </w:p>
          <w:p w14:paraId="71BE067E">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2.允许分包的金额或者比例：___</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__； </w:t>
            </w:r>
          </w:p>
          <w:p w14:paraId="2F04DF99">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3.其他要求：__</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___。 </w:t>
            </w:r>
          </w:p>
        </w:tc>
      </w:tr>
      <w:tr w14:paraId="19B12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BFFADC2">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35.1</w:t>
            </w:r>
          </w:p>
        </w:tc>
        <w:tc>
          <w:tcPr>
            <w:tcW w:w="1738" w:type="dxa"/>
            <w:vAlign w:val="center"/>
          </w:tcPr>
          <w:p w14:paraId="6B25F509">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质疑</w:t>
            </w:r>
          </w:p>
        </w:tc>
        <w:tc>
          <w:tcPr>
            <w:tcW w:w="6700" w:type="dxa"/>
            <w:vAlign w:val="center"/>
          </w:tcPr>
          <w:p w14:paraId="7B263530">
            <w:pPr>
              <w:pStyle w:val="55"/>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1.供应商认为采购文件、采购过程、中标或者成交结果使自己的权益受到损害的，可以在知道或者应知其权益受到损害之日起7个工作日内，以书面形式向采购人、采购代理机构提出质疑。</w:t>
            </w:r>
          </w:p>
          <w:p w14:paraId="4FAF8EB2">
            <w:pPr>
              <w:pStyle w:val="55"/>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2.供应商在法定质疑期内必须一次性提出针对同一采购程序环节的质疑。</w:t>
            </w:r>
          </w:p>
          <w:p w14:paraId="6B91B1BE">
            <w:pPr>
              <w:pStyle w:val="55"/>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 xml:space="preserve">3.质疑供应商应按照财政部制定的《政府采购质疑函范本》格式10（可从财政部官方网站下载）和《政府采购质疑和投诉办法》（财政部令第94号）的要求，在法定质疑期内以书面形式提出质疑。 </w:t>
            </w:r>
          </w:p>
          <w:p w14:paraId="0A8C3E44">
            <w:pPr>
              <w:pStyle w:val="55"/>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 xml:space="preserve">4.超出法定质疑期、重复或分次提出的、内容或形式不符合《政府采购质疑和投诉办法》规定的质疑将被拒绝。 </w:t>
            </w:r>
          </w:p>
          <w:p w14:paraId="7AB23B8A">
            <w:pPr>
              <w:pStyle w:val="55"/>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5.依据：《中华人民共和国政府采购法》第五十二条、《中华人民共和国政府采购法实施条例》第五十三条规定的供应商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逾期送达，不予受理。</w:t>
            </w:r>
          </w:p>
          <w:p w14:paraId="74BA7727">
            <w:pPr>
              <w:pStyle w:val="55"/>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6.澄清、修改文件发出后（若有），供应商必须使用最新的澄清文件制作电子响应文件。</w:t>
            </w:r>
          </w:p>
          <w:p w14:paraId="072436AA">
            <w:pPr>
              <w:pStyle w:val="55"/>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7.采购代理机构质疑函接收部门、联系电话：</w:t>
            </w:r>
          </w:p>
          <w:p w14:paraId="373E4C26">
            <w:pPr>
              <w:pStyle w:val="55"/>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接收部门：</w:t>
            </w:r>
            <w:r>
              <w:rPr>
                <w:rFonts w:hint="eastAsia" w:ascii="宋体" w:hAnsi="宋体" w:eastAsia="宋体" w:cs="宋体"/>
                <w:color w:val="auto"/>
                <w:kern w:val="2"/>
                <w:sz w:val="24"/>
                <w:szCs w:val="24"/>
                <w:highlight w:val="none"/>
                <w:lang w:val="en-US" w:eastAsia="zh-CN" w:bidi="ar-SA"/>
              </w:rPr>
              <w:t>草湖项目区公共资源交易中心</w:t>
            </w:r>
          </w:p>
          <w:p w14:paraId="1ADCE9A3">
            <w:pPr>
              <w:pStyle w:val="55"/>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联系人：</w:t>
            </w:r>
            <w:r>
              <w:rPr>
                <w:rFonts w:hint="eastAsia" w:ascii="宋体" w:hAnsi="宋体" w:eastAsia="宋体" w:cs="宋体"/>
                <w:color w:val="auto"/>
                <w:kern w:val="2"/>
                <w:sz w:val="24"/>
                <w:szCs w:val="24"/>
                <w:highlight w:val="none"/>
                <w:lang w:val="en-US" w:eastAsia="zh-CN" w:bidi="ar-SA"/>
              </w:rPr>
              <w:t>李嫣</w:t>
            </w:r>
          </w:p>
          <w:p w14:paraId="7F8F11DB">
            <w:pPr>
              <w:pStyle w:val="55"/>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联系电话：13319859131</w:t>
            </w:r>
          </w:p>
          <w:p w14:paraId="30211831">
            <w:pPr>
              <w:pStyle w:val="55"/>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地址：</w:t>
            </w:r>
            <w:r>
              <w:rPr>
                <w:rFonts w:hint="eastAsia" w:ascii="宋体" w:hAnsi="宋体" w:cs="宋体"/>
                <w:color w:val="auto"/>
                <w:kern w:val="2"/>
                <w:sz w:val="24"/>
                <w:szCs w:val="24"/>
                <w:highlight w:val="none"/>
                <w:lang w:val="en-US" w:eastAsia="zh-CN" w:bidi="ar-SA"/>
              </w:rPr>
              <w:t xml:space="preserve">新疆维吾尔自治区喀什地区疏勒县草湖镇41团职工创业园 </w:t>
            </w:r>
            <w:r>
              <w:rPr>
                <w:rFonts w:hint="eastAsia" w:ascii="宋体" w:hAnsi="宋体" w:eastAsia="宋体" w:cs="宋体"/>
                <w:color w:val="auto"/>
                <w:kern w:val="2"/>
                <w:sz w:val="24"/>
                <w:szCs w:val="24"/>
                <w:highlight w:val="none"/>
                <w:lang w:val="zh-CN" w:eastAsia="zh-CN" w:bidi="ar-SA"/>
              </w:rPr>
              <w:t xml:space="preserve">          </w:t>
            </w:r>
          </w:p>
        </w:tc>
      </w:tr>
      <w:tr w14:paraId="30DE5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42" w:hRule="atLeast"/>
        </w:trPr>
        <w:tc>
          <w:tcPr>
            <w:tcW w:w="970" w:type="dxa"/>
            <w:vAlign w:val="center"/>
          </w:tcPr>
          <w:p w14:paraId="6F1BF374">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p>
        </w:tc>
        <w:tc>
          <w:tcPr>
            <w:tcW w:w="1738" w:type="dxa"/>
            <w:vAlign w:val="center"/>
          </w:tcPr>
          <w:p w14:paraId="5D860FC6">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是否接受进口产品</w:t>
            </w:r>
          </w:p>
        </w:tc>
        <w:tc>
          <w:tcPr>
            <w:tcW w:w="6700" w:type="dxa"/>
            <w:vAlign w:val="center"/>
          </w:tcPr>
          <w:p w14:paraId="438B47DA">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p>
          <w:p w14:paraId="1481386A">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zh-CN"/>
              </w:rPr>
              <w:t>接受</w:t>
            </w:r>
          </w:p>
        </w:tc>
      </w:tr>
      <w:tr w14:paraId="2539F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829" w:hRule="atLeast"/>
        </w:trPr>
        <w:tc>
          <w:tcPr>
            <w:tcW w:w="970" w:type="dxa"/>
            <w:vAlign w:val="center"/>
          </w:tcPr>
          <w:p w14:paraId="06648806">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p>
        </w:tc>
        <w:tc>
          <w:tcPr>
            <w:tcW w:w="1738" w:type="dxa"/>
            <w:vAlign w:val="center"/>
          </w:tcPr>
          <w:p w14:paraId="34AA4482">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支持中小企业政策</w:t>
            </w:r>
            <w:r>
              <w:rPr>
                <w:rStyle w:val="33"/>
                <w:rFonts w:hint="eastAsia" w:ascii="宋体" w:hAnsi="宋体" w:eastAsia="宋体" w:cs="宋体"/>
                <w:b w:val="0"/>
                <w:color w:val="auto"/>
                <w:sz w:val="24"/>
                <w:szCs w:val="24"/>
                <w:highlight w:val="none"/>
                <w:lang w:val="en-US" w:eastAsia="zh-CN"/>
              </w:rPr>
              <w:t>（非专门面向中小企业采购项目适用）</w:t>
            </w:r>
          </w:p>
        </w:tc>
        <w:tc>
          <w:tcPr>
            <w:tcW w:w="6700" w:type="dxa"/>
            <w:vAlign w:val="center"/>
          </w:tcPr>
          <w:p w14:paraId="736B9D94">
            <w:pPr>
              <w:pStyle w:val="79"/>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小型和微型企业价格扣除：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10%</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3A14D5AD">
            <w:pPr>
              <w:pStyle w:val="79"/>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CF7AA8F">
            <w:pPr>
              <w:pStyle w:val="79"/>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29022C4">
            <w:pPr>
              <w:pStyle w:val="79"/>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4</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符合条件的联合体价格扣除：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1B996B16">
            <w:pPr>
              <w:pStyle w:val="79"/>
              <w:widowControl w:val="0"/>
              <w:spacing w:before="0" w:beforeAutospacing="0" w:after="0" w:afterAutospacing="0" w:line="240" w:lineRule="auto"/>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5</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符合条件的向小微企业分包的大中型企业价格扣除：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r>
              <w:rPr>
                <w:rFonts w:hint="eastAsia" w:ascii="宋体" w:hAnsi="宋体" w:eastAsia="宋体" w:cs="宋体"/>
                <w:b w:val="0"/>
                <w:i w:val="0"/>
                <w:iCs/>
                <w:color w:val="auto"/>
                <w:sz w:val="24"/>
                <w:szCs w:val="24"/>
                <w:highlight w:val="none"/>
              </w:rPr>
              <w:t>（允许大中型企业向小微企业分包的项目适用）</w:t>
            </w:r>
          </w:p>
        </w:tc>
      </w:tr>
      <w:tr w14:paraId="707AA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513" w:hRule="atLeast"/>
        </w:trPr>
        <w:tc>
          <w:tcPr>
            <w:tcW w:w="970" w:type="dxa"/>
            <w:vAlign w:val="center"/>
          </w:tcPr>
          <w:p w14:paraId="3AAFC5B3">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42.5</w:t>
            </w:r>
          </w:p>
        </w:tc>
        <w:tc>
          <w:tcPr>
            <w:tcW w:w="1738" w:type="dxa"/>
            <w:vAlign w:val="center"/>
          </w:tcPr>
          <w:p w14:paraId="59931474">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标的所属行业</w:t>
            </w:r>
          </w:p>
          <w:p w14:paraId="27995733">
            <w:pPr>
              <w:pStyle w:val="49"/>
              <w:rPr>
                <w:rFonts w:hint="eastAsia" w:ascii="宋体" w:hAnsi="宋体" w:eastAsia="宋体" w:cs="宋体"/>
                <w:color w:val="auto"/>
                <w:sz w:val="24"/>
                <w:szCs w:val="24"/>
                <w:highlight w:val="none"/>
                <w:lang w:val="en-US" w:eastAsia="zh-CN"/>
              </w:rPr>
            </w:pPr>
            <w:r>
              <w:rPr>
                <w:rStyle w:val="33"/>
                <w:rFonts w:hint="eastAsia" w:ascii="宋体" w:hAnsi="宋体" w:eastAsia="宋体" w:cs="宋体"/>
                <w:b w:val="0"/>
                <w:color w:val="auto"/>
                <w:sz w:val="24"/>
                <w:szCs w:val="24"/>
                <w:highlight w:val="none"/>
                <w:lang w:val="en-US" w:eastAsia="zh-CN"/>
              </w:rPr>
              <w:t>参照后附</w:t>
            </w:r>
            <w:r>
              <w:rPr>
                <w:rStyle w:val="33"/>
                <w:rFonts w:hint="eastAsia" w:ascii="宋体" w:hAnsi="宋体" w:eastAsia="宋体" w:cs="宋体"/>
                <w:b w:val="0"/>
                <w:color w:val="auto"/>
                <w:sz w:val="24"/>
                <w:szCs w:val="24"/>
                <w:highlight w:val="none"/>
                <w:lang w:eastAsia="zh-CN"/>
              </w:rPr>
              <w:t>《</w:t>
            </w:r>
            <w:r>
              <w:rPr>
                <w:rStyle w:val="33"/>
                <w:rFonts w:hint="eastAsia" w:ascii="宋体" w:hAnsi="宋体" w:eastAsia="宋体" w:cs="宋体"/>
                <w:b w:val="0"/>
                <w:color w:val="auto"/>
                <w:sz w:val="24"/>
                <w:szCs w:val="24"/>
                <w:highlight w:val="none"/>
              </w:rPr>
              <w:t>工信部联企业〔2011〕300号</w:t>
            </w:r>
            <w:r>
              <w:rPr>
                <w:rStyle w:val="33"/>
                <w:rFonts w:hint="eastAsia" w:ascii="宋体" w:hAnsi="宋体" w:eastAsia="宋体" w:cs="宋体"/>
                <w:b w:val="0"/>
                <w:color w:val="auto"/>
                <w:sz w:val="24"/>
                <w:szCs w:val="24"/>
                <w:highlight w:val="none"/>
                <w:lang w:eastAsia="zh-CN"/>
              </w:rPr>
              <w:t>》</w:t>
            </w:r>
          </w:p>
        </w:tc>
        <w:tc>
          <w:tcPr>
            <w:tcW w:w="6700" w:type="dxa"/>
            <w:vAlign w:val="center"/>
          </w:tcPr>
          <w:p w14:paraId="6804F69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本项目采购标的对应的中小企业划分标准所属行业： </w:t>
            </w:r>
          </w:p>
          <w:tbl>
            <w:tblPr>
              <w:tblStyle w:val="31"/>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824"/>
              <w:gridCol w:w="3245"/>
            </w:tblGrid>
            <w:tr w14:paraId="1CAA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7059451F">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cs="宋体"/>
                      <w:color w:val="auto"/>
                      <w:kern w:val="0"/>
                      <w:sz w:val="24"/>
                      <w:szCs w:val="24"/>
                      <w:highlight w:val="none"/>
                      <w:lang w:val="en-US" w:eastAsia="zh-CN" w:bidi="ar"/>
                    </w:rPr>
                    <w:t>标项</w:t>
                  </w:r>
                </w:p>
              </w:tc>
              <w:tc>
                <w:tcPr>
                  <w:tcW w:w="1824" w:type="dxa"/>
                  <w:vAlign w:val="center"/>
                </w:tcPr>
                <w:p w14:paraId="334359A5">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标的名称</w:t>
                  </w:r>
                </w:p>
              </w:tc>
              <w:tc>
                <w:tcPr>
                  <w:tcW w:w="3245" w:type="dxa"/>
                  <w:vAlign w:val="center"/>
                </w:tcPr>
                <w:p w14:paraId="6E9115BA">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中小企业划分标准所属行业</w:t>
                  </w:r>
                </w:p>
              </w:tc>
            </w:tr>
            <w:tr w14:paraId="585F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4BD03589">
                  <w:pPr>
                    <w:keepNext w:val="0"/>
                    <w:keepLines w:val="0"/>
                    <w:widowControl/>
                    <w:suppressLineNumbers w:val="0"/>
                    <w:jc w:val="center"/>
                    <w:rPr>
                      <w:rFonts w:hint="default" w:ascii="宋体" w:hAnsi="宋体" w:eastAsia="宋体" w:cs="宋体"/>
                      <w:color w:val="auto"/>
                      <w:kern w:val="0"/>
                      <w:sz w:val="24"/>
                      <w:szCs w:val="24"/>
                      <w:highlight w:val="none"/>
                      <w:vertAlign w:val="baseline"/>
                      <w:lang w:val="en-US" w:eastAsia="zh-CN" w:bidi="ar"/>
                    </w:rPr>
                  </w:pPr>
                  <w:r>
                    <w:rPr>
                      <w:rFonts w:hint="eastAsia" w:cs="宋体"/>
                      <w:color w:val="auto"/>
                      <w:kern w:val="0"/>
                      <w:sz w:val="24"/>
                      <w:szCs w:val="24"/>
                      <w:highlight w:val="none"/>
                      <w:vertAlign w:val="baseline"/>
                      <w:lang w:val="en-US" w:eastAsia="zh-CN" w:bidi="ar"/>
                    </w:rPr>
                    <w:t>1</w:t>
                  </w:r>
                </w:p>
              </w:tc>
              <w:tc>
                <w:tcPr>
                  <w:tcW w:w="1824" w:type="dxa"/>
                  <w:vAlign w:val="center"/>
                </w:tcPr>
                <w:p w14:paraId="402B250B">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草湖项目区党委办公室（草湖项目区办公室、草湖项目区党委政策研究室）采购2辆新能源商务车项目</w:t>
                  </w:r>
                </w:p>
              </w:tc>
              <w:tc>
                <w:tcPr>
                  <w:tcW w:w="3245" w:type="dxa"/>
                  <w:vAlign w:val="center"/>
                </w:tcPr>
                <w:p w14:paraId="6A9C8731">
                  <w:pPr>
                    <w:keepNext w:val="0"/>
                    <w:keepLines w:val="0"/>
                    <w:widowControl/>
                    <w:suppressLineNumbers w:val="0"/>
                    <w:jc w:val="center"/>
                    <w:rPr>
                      <w:rFonts w:hint="default" w:ascii="宋体" w:hAnsi="宋体" w:eastAsia="宋体" w:cs="宋体"/>
                      <w:color w:val="auto"/>
                      <w:kern w:val="0"/>
                      <w:sz w:val="24"/>
                      <w:szCs w:val="24"/>
                      <w:highlight w:val="none"/>
                      <w:vertAlign w:val="baseline"/>
                      <w:lang w:val="en-US" w:eastAsia="zh-CN" w:bidi="ar"/>
                    </w:rPr>
                  </w:pPr>
                  <w:r>
                    <w:rPr>
                      <w:rFonts w:hint="eastAsia" w:cs="宋体"/>
                      <w:color w:val="auto"/>
                      <w:kern w:val="0"/>
                      <w:sz w:val="24"/>
                      <w:szCs w:val="24"/>
                      <w:highlight w:val="none"/>
                      <w:vertAlign w:val="baseline"/>
                      <w:lang w:val="en-US" w:eastAsia="zh-CN" w:bidi="ar"/>
                    </w:rPr>
                    <w:t>工业</w:t>
                  </w:r>
                </w:p>
              </w:tc>
            </w:tr>
          </w:tbl>
          <w:p w14:paraId="56AC7DD6">
            <w:pPr>
              <w:pStyle w:val="49"/>
              <w:rPr>
                <w:rFonts w:hint="eastAsia" w:ascii="宋体" w:hAnsi="宋体" w:eastAsia="宋体" w:cs="宋体"/>
                <w:color w:val="auto"/>
                <w:sz w:val="24"/>
                <w:szCs w:val="24"/>
                <w:highlight w:val="none"/>
              </w:rPr>
            </w:pPr>
          </w:p>
        </w:tc>
      </w:tr>
      <w:tr w14:paraId="545B0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25" w:hRule="atLeast"/>
        </w:trPr>
        <w:tc>
          <w:tcPr>
            <w:tcW w:w="970" w:type="dxa"/>
            <w:shd w:val="clear" w:color="auto" w:fill="auto"/>
            <w:vAlign w:val="center"/>
          </w:tcPr>
          <w:p w14:paraId="18792692">
            <w:pPr>
              <w:pStyle w:val="49"/>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43.5</w:t>
            </w:r>
          </w:p>
        </w:tc>
        <w:tc>
          <w:tcPr>
            <w:tcW w:w="1738" w:type="dxa"/>
            <w:shd w:val="clear" w:color="auto" w:fill="auto"/>
            <w:vAlign w:val="center"/>
          </w:tcPr>
          <w:p w14:paraId="69CF29E9">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优先采购创新节能环保产品</w:t>
            </w:r>
          </w:p>
        </w:tc>
        <w:tc>
          <w:tcPr>
            <w:tcW w:w="6700" w:type="dxa"/>
            <w:shd w:val="clear" w:color="auto" w:fill="auto"/>
            <w:vAlign w:val="center"/>
          </w:tcPr>
          <w:p w14:paraId="299F639F">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所投产品纳入创新产品应用示范推荐目录内企业、所投产品获得节能产品或环境标志产品认证证书的企业报价给予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的价格扣除。</w:t>
            </w:r>
          </w:p>
        </w:tc>
      </w:tr>
      <w:tr w14:paraId="140D50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379" w:hRule="atLeast"/>
        </w:trPr>
        <w:tc>
          <w:tcPr>
            <w:tcW w:w="970" w:type="dxa"/>
            <w:tcBorders>
              <w:right w:val="single" w:color="auto" w:sz="4" w:space="0"/>
            </w:tcBorders>
            <w:vAlign w:val="center"/>
          </w:tcPr>
          <w:p w14:paraId="08D3F63A">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1738" w:type="dxa"/>
            <w:tcBorders>
              <w:left w:val="single" w:color="auto" w:sz="4" w:space="0"/>
              <w:right w:val="single" w:color="auto" w:sz="4" w:space="0"/>
            </w:tcBorders>
            <w:vAlign w:val="center"/>
          </w:tcPr>
          <w:p w14:paraId="651753DB">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w:t>
            </w:r>
          </w:p>
          <w:p w14:paraId="5E3751DF">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合同融资政策</w:t>
            </w:r>
          </w:p>
        </w:tc>
        <w:tc>
          <w:tcPr>
            <w:tcW w:w="6700" w:type="dxa"/>
            <w:tcBorders>
              <w:left w:val="single" w:color="auto" w:sz="4" w:space="0"/>
            </w:tcBorders>
            <w:vAlign w:val="center"/>
          </w:tcPr>
          <w:p w14:paraId="4377B3EE">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有融资需求的中标人在获得政府采购中标通知书后，即可向开展“政采贷”业务的金融机构提出申请，金融机构依据政府采购中标通知书和政府采购合同，为中小微企业提供融资服务。</w:t>
            </w:r>
          </w:p>
          <w:p w14:paraId="247FAD72">
            <w:pPr>
              <w:pStyle w:val="49"/>
              <w:rPr>
                <w:rFonts w:hint="eastAsia" w:ascii="宋体" w:hAnsi="宋体" w:eastAsia="宋体" w:cs="宋体"/>
                <w:strike/>
                <w:dstrike w:val="0"/>
                <w:color w:val="auto"/>
                <w:sz w:val="24"/>
                <w:szCs w:val="24"/>
                <w:highlight w:val="none"/>
              </w:rPr>
            </w:pPr>
            <w:r>
              <w:rPr>
                <w:rFonts w:hint="eastAsia" w:ascii="宋体" w:hAnsi="宋体" w:eastAsia="宋体" w:cs="宋体"/>
                <w:color w:val="auto"/>
                <w:sz w:val="24"/>
                <w:szCs w:val="24"/>
                <w:highlight w:val="none"/>
              </w:rPr>
              <w:t>渠道和方式：</w:t>
            </w:r>
            <w:r>
              <w:rPr>
                <w:rFonts w:hint="eastAsia" w:cs="宋体"/>
                <w:strike w:val="0"/>
                <w:dstrike w:val="0"/>
                <w:color w:val="auto"/>
                <w:sz w:val="24"/>
                <w:szCs w:val="24"/>
                <w:highlight w:val="none"/>
                <w:u w:val="single"/>
                <w:lang w:val="en-US" w:eastAsia="zh-CN"/>
              </w:rPr>
              <w:t xml:space="preserve">  / </w:t>
            </w:r>
            <w:r>
              <w:rPr>
                <w:rFonts w:hint="eastAsia" w:cs="宋体"/>
                <w:strike w:val="0"/>
                <w:color w:val="auto"/>
                <w:sz w:val="24"/>
                <w:szCs w:val="24"/>
                <w:highlight w:val="none"/>
                <w:u w:val="single"/>
                <w:lang w:val="en-US" w:eastAsia="zh-CN"/>
              </w:rPr>
              <w:t xml:space="preserve"> </w:t>
            </w:r>
            <w:r>
              <w:rPr>
                <w:rFonts w:hint="eastAsia" w:ascii="宋体" w:hAnsi="宋体" w:eastAsia="宋体" w:cs="宋体"/>
                <w:strike w:val="0"/>
                <w:color w:val="auto"/>
                <w:sz w:val="24"/>
                <w:szCs w:val="24"/>
                <w:highlight w:val="none"/>
                <w:u w:val="single"/>
              </w:rPr>
              <w:t>。</w:t>
            </w:r>
          </w:p>
          <w:p w14:paraId="5D7FBF5F">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sz w:val="24"/>
                <w:szCs w:val="24"/>
                <w:highlight w:val="none"/>
                <w:lang w:eastAsia="zh-CN"/>
              </w:rPr>
              <w:t>“政采贷”融资指引：在取得政府采购中标通知书后，可访问“</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，查看和联系第三方平台或者金融机构，商洽融资事项，确定融资意向。中标人签署政府采购中标合同后，登录“</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，选择意向产品进行申请，并填写相关信息，“</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将中标人融资申请信息推送第三方平台、意向金融机构。</w:t>
            </w:r>
          </w:p>
        </w:tc>
      </w:tr>
      <w:tr w14:paraId="48C9F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99" w:hRule="atLeast"/>
        </w:trPr>
        <w:tc>
          <w:tcPr>
            <w:tcW w:w="970" w:type="dxa"/>
            <w:tcBorders>
              <w:right w:val="single" w:color="auto" w:sz="4" w:space="0"/>
            </w:tcBorders>
            <w:vAlign w:val="center"/>
          </w:tcPr>
          <w:p w14:paraId="59449E7E">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738" w:type="dxa"/>
            <w:tcBorders>
              <w:right w:val="single" w:color="auto" w:sz="4" w:space="0"/>
            </w:tcBorders>
            <w:vAlign w:val="center"/>
          </w:tcPr>
          <w:p w14:paraId="7068A1E1">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6700" w:type="dxa"/>
            <w:tcBorders>
              <w:left w:val="single" w:color="auto" w:sz="4" w:space="0"/>
            </w:tcBorders>
            <w:vAlign w:val="center"/>
          </w:tcPr>
          <w:p w14:paraId="4301834D">
            <w:pPr>
              <w:pStyle w:val="49"/>
              <w:numPr>
                <w:ilvl w:val="0"/>
                <w:numId w:val="3"/>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本项目的采购活动以及相关当事人须接受财政监督部门依法实施的监督。</w:t>
            </w:r>
          </w:p>
          <w:p w14:paraId="4EE9D77C">
            <w:pPr>
              <w:pStyle w:val="49"/>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2.投标文件中有弄虚作假的内容，其投标文件作废，（如假证书、假业绩、假合同、隐瞒不良行为记录、夸大荣誉、使用非本单位在职员工的相关证件及不符合招标文件规定的条款等）；</w:t>
            </w:r>
          </w:p>
          <w:p w14:paraId="2C85AB89">
            <w:pPr>
              <w:pStyle w:val="4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供应商应保证在本项目使用的任何产品和服务（包括部分使用）时，不会产生因第三方提出侵犯其专利权、商标权或其它知识产权而引起的法律和经济纠纷，如因专利权、商标权或其他知识产权而引起法律和经济纠纷，由供应商承担所有相关责任的同时不得耽误本项目供货。</w:t>
            </w:r>
          </w:p>
          <w:p w14:paraId="080829ED">
            <w:pPr>
              <w:pStyle w:val="4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4.本项目所述时间以政采购云平台服务器时间为准。</w:t>
            </w:r>
          </w:p>
          <w:p w14:paraId="5AFA70E9">
            <w:pPr>
              <w:pStyle w:val="4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5.若招标文件其他部分描述与前附表不一致的，以前附表为准。</w:t>
            </w:r>
          </w:p>
          <w:p w14:paraId="5503F9B2">
            <w:pPr>
              <w:pStyle w:val="4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针对同一项目，不同供应商使用同一计算机制作并生成电子投标文件的视为文件制作机器码（mac地址）一致，不同供应商使用同一投标文件的过程稿制作并生成电子投标文件的视为文件创建标识码一致。上述两种情形，一经发现，视为供应商相互串通投标，将导致投标均被拒绝且按串通投标处理。</w:t>
            </w:r>
          </w:p>
          <w:p w14:paraId="48509A24">
            <w:pPr>
              <w:pStyle w:val="4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7.“较大数额罚款”具体适用问题的意见（财库[2022]3号 ）：本项目初步评审中所称“重大违法记录”，是指供应商因违法经营受到刑事处罚或者责令停产停业、吊销许可证或者执照、较大数额罚款等行政处罚。所称“较大数额罚款”认定为200万元以上的罚款。</w:t>
            </w:r>
          </w:p>
        </w:tc>
      </w:tr>
      <w:tr w14:paraId="0C2269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408" w:type="dxa"/>
            <w:gridSpan w:val="3"/>
            <w:vAlign w:val="center"/>
          </w:tcPr>
          <w:p w14:paraId="16CF3F9F">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1ECD6A03">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除本招标文件另有规定外，招标文件中出现的类似于“近三年”或“前三年”、“近五年”或“前五年”均指递交投标文件</w:t>
            </w:r>
            <w:r>
              <w:rPr>
                <w:rFonts w:hint="eastAsia" w:ascii="宋体" w:hAnsi="宋体" w:eastAsia="宋体" w:cs="宋体"/>
                <w:color w:val="auto"/>
                <w:sz w:val="24"/>
                <w:szCs w:val="24"/>
                <w:highlight w:val="none"/>
                <w:lang w:val="en-US" w:eastAsia="zh-CN"/>
              </w:rPr>
              <w:t>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前三年或前五年，以此类推。如：递交投标文件时间为  年  月  日，则“近三年”是指  年  月  日至  年  月  日。</w:t>
            </w:r>
          </w:p>
          <w:p w14:paraId="6F66C892">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本招标文件所称的“以上”、“以下”、“内”、“以内”，包括本数；所称的“不足”，不包括本数。</w:t>
            </w:r>
          </w:p>
        </w:tc>
      </w:tr>
    </w:tbl>
    <w:p w14:paraId="452C548F">
      <w:pPr>
        <w:rPr>
          <w:color w:val="auto"/>
          <w:highlight w:val="none"/>
        </w:rPr>
      </w:pPr>
      <w:r>
        <w:rPr>
          <w:color w:val="auto"/>
          <w:highlight w:val="none"/>
        </w:rPr>
        <w:br w:type="page"/>
      </w:r>
    </w:p>
    <w:p w14:paraId="410914FC">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09" w:name="_Toc155185869"/>
      <w:bookmarkStart w:id="110" w:name="_Toc25718"/>
      <w:r>
        <w:rPr>
          <w:rFonts w:hint="eastAsia" w:eastAsia="宋体" w:asciiTheme="majorHAnsi" w:hAnsiTheme="majorHAnsi" w:cstheme="majorBidi"/>
          <w:b/>
          <w:bCs/>
          <w:color w:val="auto"/>
          <w:kern w:val="2"/>
          <w:sz w:val="28"/>
          <w:szCs w:val="28"/>
          <w:highlight w:val="none"/>
          <w:lang w:val="en-US" w:eastAsia="zh-CN" w:bidi="ar-SA"/>
        </w:rPr>
        <w:t>二、投标人须知</w:t>
      </w:r>
      <w:bookmarkEnd w:id="109"/>
      <w:bookmarkEnd w:id="110"/>
    </w:p>
    <w:p w14:paraId="604D77A9">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color w:val="auto"/>
          <w:sz w:val="24"/>
          <w:highlight w:val="none"/>
        </w:rPr>
      </w:pPr>
      <w:bookmarkStart w:id="111" w:name="_Toc163492822"/>
      <w:bookmarkStart w:id="112" w:name="_Toc23355"/>
      <w:bookmarkStart w:id="113" w:name="_Toc26511"/>
      <w:bookmarkStart w:id="114" w:name="_Toc27686"/>
      <w:bookmarkStart w:id="115" w:name="_Toc27067"/>
      <w:bookmarkStart w:id="116" w:name="_Toc155185870"/>
      <w:r>
        <w:rPr>
          <w:rFonts w:hint="eastAsia" w:ascii="宋体" w:hAnsi="宋体" w:eastAsia="宋体" w:cs="宋体"/>
          <w:b/>
          <w:bCs/>
          <w:color w:val="auto"/>
          <w:kern w:val="2"/>
          <w:sz w:val="24"/>
          <w:szCs w:val="32"/>
          <w:highlight w:val="none"/>
          <w:lang w:val="en-US" w:eastAsia="zh-CN" w:bidi="ar-SA"/>
        </w:rPr>
        <w:t>（一）</w:t>
      </w:r>
      <w:r>
        <w:rPr>
          <w:rFonts w:hint="eastAsia" w:ascii="宋体" w:hAnsi="宋体" w:eastAsia="宋体" w:cs="宋体"/>
          <w:color w:val="auto"/>
          <w:sz w:val="24"/>
          <w:highlight w:val="none"/>
        </w:rPr>
        <w:t>总则</w:t>
      </w:r>
      <w:bookmarkEnd w:id="111"/>
      <w:bookmarkEnd w:id="112"/>
      <w:bookmarkEnd w:id="113"/>
      <w:bookmarkEnd w:id="114"/>
      <w:bookmarkEnd w:id="115"/>
      <w:bookmarkEnd w:id="116"/>
    </w:p>
    <w:p w14:paraId="788765C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color w:val="auto"/>
          <w:sz w:val="24"/>
          <w:highlight w:val="none"/>
        </w:rPr>
      </w:pPr>
      <w:bookmarkStart w:id="117" w:name="_Toc8451"/>
      <w:bookmarkStart w:id="118" w:name="_Toc109899631"/>
      <w:bookmarkStart w:id="119" w:name="_Toc109900469"/>
      <w:bookmarkStart w:id="120" w:name="_Toc9584"/>
      <w:bookmarkStart w:id="121" w:name="_Toc109897532"/>
      <w:bookmarkStart w:id="122" w:name="_Toc29103"/>
      <w:bookmarkStart w:id="123" w:name="_Toc155095689"/>
      <w:bookmarkStart w:id="124" w:name="_Toc163492823"/>
      <w:bookmarkStart w:id="125" w:name="_Toc31233"/>
      <w:bookmarkStart w:id="126" w:name="_Toc26566"/>
      <w:bookmarkStart w:id="127" w:name="_Toc109900050"/>
      <w:r>
        <w:rPr>
          <w:rFonts w:hint="eastAsia" w:ascii="宋体" w:hAnsi="宋体" w:eastAsia="宋体" w:cs="宋体"/>
          <w:b/>
          <w:bCs/>
          <w:color w:val="auto"/>
          <w:kern w:val="2"/>
          <w:sz w:val="24"/>
          <w:szCs w:val="28"/>
          <w:highlight w:val="none"/>
          <w:lang w:val="en-US" w:eastAsia="zh-CN" w:bidi="ar-SA"/>
        </w:rPr>
        <w:t>1.</w:t>
      </w:r>
      <w:r>
        <w:rPr>
          <w:rFonts w:hint="eastAsia" w:ascii="宋体" w:hAnsi="宋体" w:eastAsia="宋体" w:cs="宋体"/>
          <w:color w:val="auto"/>
          <w:sz w:val="24"/>
          <w:highlight w:val="none"/>
        </w:rPr>
        <w:t>适用范围</w:t>
      </w:r>
      <w:bookmarkEnd w:id="117"/>
      <w:bookmarkEnd w:id="118"/>
      <w:bookmarkEnd w:id="119"/>
      <w:bookmarkEnd w:id="120"/>
      <w:bookmarkEnd w:id="121"/>
      <w:bookmarkEnd w:id="122"/>
      <w:bookmarkEnd w:id="123"/>
      <w:bookmarkEnd w:id="124"/>
      <w:bookmarkEnd w:id="125"/>
      <w:bookmarkEnd w:id="126"/>
      <w:bookmarkEnd w:id="127"/>
    </w:p>
    <w:p w14:paraId="38963635">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1.1本招标文件仅适用于本项目的采购活动。</w:t>
      </w:r>
    </w:p>
    <w:p w14:paraId="34F0841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28" w:name="_Toc163492824"/>
      <w:bookmarkStart w:id="129" w:name="_Toc32274"/>
      <w:bookmarkStart w:id="130" w:name="_Toc26282"/>
      <w:bookmarkStart w:id="131" w:name="_Toc20400"/>
      <w:bookmarkStart w:id="132" w:name="_Toc11923"/>
      <w:r>
        <w:rPr>
          <w:rFonts w:hint="eastAsia" w:ascii="宋体" w:hAnsi="宋体" w:eastAsia="宋体" w:cs="宋体"/>
          <w:b/>
          <w:bCs/>
          <w:color w:val="auto"/>
          <w:kern w:val="2"/>
          <w:sz w:val="24"/>
          <w:szCs w:val="28"/>
          <w:highlight w:val="none"/>
          <w:lang w:val="en-US" w:eastAsia="zh-CN" w:bidi="ar-SA"/>
        </w:rPr>
        <w:t>2.基本定义</w:t>
      </w:r>
      <w:bookmarkEnd w:id="128"/>
      <w:bookmarkEnd w:id="129"/>
      <w:bookmarkEnd w:id="130"/>
      <w:bookmarkEnd w:id="131"/>
      <w:bookmarkEnd w:id="132"/>
    </w:p>
    <w:p w14:paraId="768D70C2">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2.1根据《中华人民共和国政府采购法》及其实施条例等有关法律、法规和规章的规定，制定本招标文件。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eastAsia="宋体"/>
          <w:color w:val="auto"/>
          <w:sz w:val="24"/>
          <w:highlight w:val="none"/>
        </w:rPr>
      </w:pPr>
      <w:r>
        <w:rPr>
          <w:rFonts w:hint="eastAsia" w:eastAsia="宋体"/>
          <w:color w:val="auto"/>
          <w:sz w:val="24"/>
          <w:highlight w:val="none"/>
        </w:rPr>
        <w:t>2.2采购人：</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eastAsia="宋体"/>
          <w:color w:val="auto"/>
          <w:sz w:val="24"/>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eastAsia="宋体"/>
          <w:color w:val="auto"/>
          <w:sz w:val="24"/>
          <w:highlight w:val="none"/>
        </w:rPr>
      </w:pPr>
      <w:r>
        <w:rPr>
          <w:rFonts w:hint="eastAsia" w:eastAsia="宋体"/>
          <w:color w:val="auto"/>
          <w:sz w:val="24"/>
          <w:highlight w:val="none"/>
        </w:rPr>
        <w:t>2.3采购代理机构：</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eastAsia="宋体"/>
          <w:color w:val="auto"/>
          <w:sz w:val="24"/>
          <w:highlight w:val="none"/>
          <w:lang w:val="en-US" w:eastAsia="zh-CN"/>
        </w:rPr>
        <w:t>委托的采购代理机构</w:t>
      </w:r>
      <w:r>
        <w:rPr>
          <w:rFonts w:hint="eastAsia" w:eastAsia="宋体"/>
          <w:color w:val="auto"/>
          <w:sz w:val="24"/>
          <w:highlight w:val="none"/>
        </w:rPr>
        <w:t>。</w:t>
      </w:r>
    </w:p>
    <w:p w14:paraId="26D50742">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8E21DAA">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2.5 核心产品见</w:t>
      </w:r>
      <w:r>
        <w:rPr>
          <w:rFonts w:hint="eastAsia" w:eastAsia="宋体"/>
          <w:color w:val="auto"/>
          <w:sz w:val="24"/>
          <w:highlight w:val="none"/>
        </w:rPr>
        <w:t>“投标人须知前附表”</w:t>
      </w:r>
      <w:r>
        <w:rPr>
          <w:rFonts w:hint="eastAsia" w:eastAsia="宋体"/>
          <w:color w:val="auto"/>
          <w:sz w:val="24"/>
          <w:highlight w:val="none"/>
          <w:lang w:val="en-US" w:eastAsia="zh-CN"/>
        </w:rPr>
        <w:t>。</w:t>
      </w:r>
    </w:p>
    <w:p w14:paraId="6557BF30">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2.6是否属于</w:t>
      </w:r>
      <w:r>
        <w:rPr>
          <w:rFonts w:ascii="FZShuSong-Z01" w:hAnsi="FZShuSong-Z01" w:eastAsia="宋体" w:cs="FZShuSong-Z01"/>
          <w:color w:val="auto"/>
          <w:kern w:val="0"/>
          <w:sz w:val="24"/>
          <w:szCs w:val="24"/>
          <w:highlight w:val="none"/>
          <w:lang w:val="en-US" w:eastAsia="zh-CN" w:bidi="ar"/>
        </w:rPr>
        <w:t>科研仪器设备</w:t>
      </w:r>
      <w:r>
        <w:rPr>
          <w:rFonts w:hint="eastAsia" w:ascii="FZShuSong-Z01" w:hAnsi="FZShuSong-Z01" w:eastAsia="宋体" w:cs="FZShuSong-Z01"/>
          <w:color w:val="auto"/>
          <w:kern w:val="0"/>
          <w:sz w:val="24"/>
          <w:szCs w:val="24"/>
          <w:highlight w:val="none"/>
          <w:lang w:val="en-US" w:eastAsia="zh-CN" w:bidi="ar"/>
        </w:rPr>
        <w:t>采购</w:t>
      </w:r>
      <w:r>
        <w:rPr>
          <w:rFonts w:hint="eastAsia" w:eastAsia="宋体"/>
          <w:color w:val="auto"/>
          <w:sz w:val="24"/>
          <w:highlight w:val="none"/>
          <w:lang w:val="en-US" w:eastAsia="zh-CN"/>
        </w:rPr>
        <w:t>见</w:t>
      </w:r>
      <w:r>
        <w:rPr>
          <w:rFonts w:hint="eastAsia" w:eastAsia="宋体"/>
          <w:color w:val="auto"/>
          <w:sz w:val="24"/>
          <w:highlight w:val="none"/>
        </w:rPr>
        <w:t>“</w:t>
      </w:r>
      <w:r>
        <w:rPr>
          <w:rFonts w:hint="eastAsia" w:eastAsia="宋体"/>
          <w:color w:val="auto"/>
          <w:sz w:val="24"/>
          <w:highlight w:val="none"/>
          <w:lang w:val="en-US" w:eastAsia="zh-CN"/>
        </w:rPr>
        <w:t>投标人</w:t>
      </w:r>
      <w:r>
        <w:rPr>
          <w:rFonts w:hint="eastAsia" w:eastAsia="宋体"/>
          <w:color w:val="auto"/>
          <w:sz w:val="24"/>
          <w:highlight w:val="none"/>
        </w:rPr>
        <w:t>须知前附表”</w:t>
      </w:r>
      <w:r>
        <w:rPr>
          <w:rFonts w:hint="eastAsia" w:eastAsia="宋体"/>
          <w:color w:val="auto"/>
          <w:sz w:val="24"/>
          <w:highlight w:val="none"/>
          <w:lang w:val="en-US" w:eastAsia="zh-CN"/>
        </w:rPr>
        <w:t>。</w:t>
      </w:r>
    </w:p>
    <w:p w14:paraId="214DD75F">
      <w:pPr>
        <w:ind w:firstLine="480" w:firstLineChars="200"/>
        <w:rPr>
          <w:rFonts w:eastAsia="宋体"/>
          <w:color w:val="auto"/>
          <w:sz w:val="24"/>
          <w:highlight w:val="none"/>
        </w:rPr>
      </w:pPr>
      <w:r>
        <w:rPr>
          <w:rFonts w:hint="eastAsia" w:eastAsia="宋体"/>
          <w:iCs/>
          <w:color w:val="auto"/>
          <w:sz w:val="24"/>
          <w:highlight w:val="none"/>
          <w:shd w:val="clear" w:color="auto" w:fill="FFFFFF" w:themeFill="background1"/>
        </w:rPr>
        <w:t>2.</w:t>
      </w:r>
      <w:r>
        <w:rPr>
          <w:rFonts w:hint="eastAsia" w:eastAsia="宋体"/>
          <w:iCs/>
          <w:color w:val="auto"/>
          <w:sz w:val="24"/>
          <w:highlight w:val="none"/>
          <w:shd w:val="clear" w:color="auto" w:fill="FFFFFF" w:themeFill="background1"/>
          <w:lang w:val="en-US" w:eastAsia="zh-CN"/>
        </w:rPr>
        <w:t>7</w:t>
      </w:r>
      <w:r>
        <w:rPr>
          <w:rFonts w:hint="eastAsia" w:eastAsia="宋体"/>
          <w:iCs/>
          <w:color w:val="auto"/>
          <w:sz w:val="24"/>
          <w:highlight w:val="none"/>
          <w:shd w:val="clear" w:color="auto" w:fill="FFFFFF" w:themeFill="background1"/>
        </w:rPr>
        <w:t>投标人（也称“供应商”、“申请人”）：指向采购人提供货物、工程或者服务的法人、其他组织或者自然人。</w:t>
      </w:r>
      <w:r>
        <w:rPr>
          <w:rFonts w:hint="eastAsia" w:eastAsia="宋体"/>
          <w:color w:val="auto"/>
          <w:sz w:val="24"/>
          <w:highlight w:val="none"/>
        </w:rPr>
        <w:t>分支机构不得参加政府采购活动，但银行、保险、石油石化、电力、电信等</w:t>
      </w:r>
      <w:r>
        <w:rPr>
          <w:rFonts w:hint="eastAsia" w:eastAsia="宋体"/>
          <w:color w:val="auto"/>
          <w:sz w:val="24"/>
          <w:highlight w:val="none"/>
          <w:lang w:val="en-US" w:eastAsia="zh-CN"/>
        </w:rPr>
        <w:t>有</w:t>
      </w:r>
      <w:r>
        <w:rPr>
          <w:rFonts w:hint="eastAsia" w:eastAsia="宋体"/>
          <w:color w:val="auto"/>
          <w:sz w:val="24"/>
          <w:highlight w:val="none"/>
        </w:rPr>
        <w:t>行业特殊</w:t>
      </w:r>
      <w:r>
        <w:rPr>
          <w:rFonts w:hint="eastAsia" w:eastAsia="宋体"/>
          <w:color w:val="auto"/>
          <w:sz w:val="24"/>
          <w:highlight w:val="none"/>
          <w:lang w:val="en-US" w:eastAsia="zh-CN"/>
        </w:rPr>
        <w:t>情况的</w:t>
      </w:r>
      <w:r>
        <w:rPr>
          <w:rFonts w:hint="eastAsia" w:eastAsia="宋体"/>
          <w:color w:val="auto"/>
          <w:sz w:val="24"/>
          <w:highlight w:val="none"/>
        </w:rPr>
        <w:t>除外。</w:t>
      </w:r>
      <w:r>
        <w:rPr>
          <w:rFonts w:eastAsia="宋体"/>
          <w:color w:val="auto"/>
          <w:sz w:val="24"/>
          <w:highlight w:val="none"/>
        </w:rPr>
        <w:t>本项目的投标人须满足以下条件：</w:t>
      </w:r>
    </w:p>
    <w:p w14:paraId="2518C535">
      <w:pPr>
        <w:ind w:firstLine="480" w:firstLineChars="200"/>
        <w:rPr>
          <w:rFonts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7</w:t>
      </w:r>
      <w:r>
        <w:rPr>
          <w:rFonts w:eastAsia="宋体"/>
          <w:color w:val="auto"/>
          <w:sz w:val="24"/>
          <w:highlight w:val="none"/>
        </w:rPr>
        <w:t>.</w:t>
      </w:r>
      <w:r>
        <w:rPr>
          <w:rFonts w:hint="eastAsia" w:eastAsia="宋体"/>
          <w:color w:val="auto"/>
          <w:sz w:val="24"/>
          <w:highlight w:val="none"/>
        </w:rPr>
        <w:t>1</w:t>
      </w:r>
      <w:r>
        <w:rPr>
          <w:rFonts w:eastAsia="宋体"/>
          <w:color w:val="auto"/>
          <w:sz w:val="24"/>
          <w:highlight w:val="none"/>
        </w:rPr>
        <w:t>具备《中华人民共和国政府采购法》第二十二条规定的</w:t>
      </w:r>
      <w:r>
        <w:rPr>
          <w:rFonts w:hint="eastAsia" w:eastAsia="宋体"/>
          <w:color w:val="auto"/>
          <w:sz w:val="24"/>
          <w:highlight w:val="none"/>
        </w:rPr>
        <w:t>条件</w:t>
      </w:r>
      <w:r>
        <w:rPr>
          <w:rFonts w:eastAsia="宋体"/>
          <w:color w:val="auto"/>
          <w:sz w:val="24"/>
          <w:highlight w:val="none"/>
        </w:rPr>
        <w:t>，遵守本项目采购人本级和上级财政部门政府采购的有关规定。</w:t>
      </w:r>
    </w:p>
    <w:p w14:paraId="76745163">
      <w:pPr>
        <w:ind w:firstLine="480" w:firstLineChars="200"/>
        <w:rPr>
          <w:rFonts w:hint="eastAsia"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.2以招标公告中发布的方式依法获得了本项目的招标文件。</w:t>
      </w:r>
    </w:p>
    <w:p w14:paraId="0DE24F0D">
      <w:pPr>
        <w:ind w:firstLine="480" w:firstLineChars="200"/>
        <w:rPr>
          <w:rFonts w:hint="eastAsia" w:eastAsia="宋体"/>
          <w:color w:val="auto"/>
          <w:sz w:val="24"/>
          <w:highlight w:val="none"/>
          <w:lang w:val="en-US" w:eastAsia="zh-CN"/>
        </w:rPr>
      </w:pPr>
      <w:r>
        <w:rPr>
          <w:rFonts w:hint="eastAsia" w:eastAsia="宋体"/>
          <w:color w:val="auto"/>
          <w:sz w:val="24"/>
          <w:highlight w:val="none"/>
          <w:lang w:val="en-US" w:eastAsia="zh-CN"/>
        </w:rPr>
        <w:t>2.7.3符合本招标文件规定并参加投标的供应商。</w:t>
      </w:r>
    </w:p>
    <w:p w14:paraId="5FC27D1B">
      <w:pPr>
        <w:spacing w:line="360" w:lineRule="auto"/>
        <w:ind w:firstLine="480" w:firstLineChars="200"/>
        <w:rPr>
          <w:rFonts w:hint="default" w:eastAsia="宋体"/>
          <w:color w:val="auto"/>
          <w:sz w:val="24"/>
          <w:highlight w:val="none"/>
          <w:lang w:val="en-US" w:eastAsia="zh-CN"/>
        </w:rPr>
      </w:pPr>
      <w:r>
        <w:rPr>
          <w:rFonts w:hint="eastAsia" w:eastAsia="宋体"/>
          <w:color w:val="auto"/>
          <w:sz w:val="24"/>
          <w:highlight w:val="none"/>
          <w:lang w:val="en-US" w:eastAsia="zh-CN"/>
        </w:rPr>
        <w:t>2.8</w:t>
      </w:r>
      <w:r>
        <w:rPr>
          <w:rFonts w:hint="eastAsia" w:eastAsia="宋体"/>
          <w:iCs/>
          <w:color w:val="auto"/>
          <w:sz w:val="24"/>
          <w:highlight w:val="none"/>
          <w:shd w:val="clear" w:color="auto" w:fill="FFFFFF" w:themeFill="background1"/>
        </w:rPr>
        <w:t>潜在投标人、潜在供应商</w:t>
      </w:r>
      <w:r>
        <w:rPr>
          <w:rFonts w:hint="eastAsia" w:eastAsia="宋体"/>
          <w:iCs/>
          <w:color w:val="auto"/>
          <w:sz w:val="24"/>
          <w:highlight w:val="none"/>
          <w:shd w:val="clear" w:color="auto" w:fill="FFFFFF" w:themeFill="background1"/>
          <w:lang w:eastAsia="zh-CN"/>
        </w:rPr>
        <w:t>：</w:t>
      </w:r>
      <w:r>
        <w:rPr>
          <w:rFonts w:hint="eastAsia" w:eastAsia="宋体"/>
          <w:iCs/>
          <w:color w:val="auto"/>
          <w:sz w:val="24"/>
          <w:highlight w:val="none"/>
          <w:shd w:val="clear" w:color="auto" w:fill="FFFFFF" w:themeFill="background1"/>
          <w:lang w:val="en-US" w:eastAsia="zh-CN"/>
        </w:rPr>
        <w:t>指</w:t>
      </w:r>
      <w:r>
        <w:rPr>
          <w:rFonts w:hint="eastAsia" w:eastAsia="宋体"/>
          <w:color w:val="auto"/>
          <w:sz w:val="24"/>
          <w:highlight w:val="none"/>
          <w:lang w:val="en-US" w:eastAsia="zh-CN"/>
        </w:rPr>
        <w:t>符合本招标文件规定的供应商。</w:t>
      </w:r>
    </w:p>
    <w:p w14:paraId="7BECD89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33" w:name="_Toc9283"/>
      <w:bookmarkStart w:id="134" w:name="_Toc140132758"/>
      <w:bookmarkStart w:id="135" w:name="_Toc5535"/>
      <w:bookmarkStart w:id="136" w:name="_Toc28067"/>
      <w:bookmarkStart w:id="137" w:name="_Toc16195"/>
      <w:bookmarkStart w:id="138" w:name="_Toc163492825"/>
      <w:r>
        <w:rPr>
          <w:rFonts w:hint="eastAsia" w:ascii="宋体" w:hAnsi="宋体" w:eastAsia="宋体" w:cs="宋体"/>
          <w:b/>
          <w:bCs/>
          <w:color w:val="auto"/>
          <w:kern w:val="2"/>
          <w:sz w:val="24"/>
          <w:szCs w:val="28"/>
          <w:highlight w:val="none"/>
          <w:lang w:val="en-US" w:eastAsia="zh-CN" w:bidi="ar-SA"/>
        </w:rPr>
        <w:t>3.资金来源</w:t>
      </w:r>
      <w:bookmarkEnd w:id="133"/>
      <w:bookmarkEnd w:id="134"/>
      <w:bookmarkEnd w:id="135"/>
      <w:bookmarkEnd w:id="136"/>
      <w:bookmarkEnd w:id="137"/>
      <w:bookmarkEnd w:id="138"/>
    </w:p>
    <w:p w14:paraId="76E8C14F">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3.1资金来源：</w:t>
      </w:r>
      <w:r>
        <w:rPr>
          <w:rFonts w:hint="eastAsia" w:eastAsia="宋体"/>
          <w:color w:val="auto"/>
          <w:sz w:val="24"/>
          <w:highlight w:val="none"/>
          <w:lang w:val="en-US" w:eastAsia="zh-CN"/>
        </w:rPr>
        <w:t>为财政性资金即</w:t>
      </w:r>
      <w:r>
        <w:rPr>
          <w:rFonts w:hint="eastAsia" w:eastAsia="宋体"/>
          <w:color w:val="auto"/>
          <w:sz w:val="24"/>
          <w:highlight w:val="none"/>
        </w:rPr>
        <w:t>纳入预算管理的资金</w:t>
      </w:r>
      <w:r>
        <w:rPr>
          <w:rFonts w:hint="eastAsia" w:eastAsia="宋体"/>
          <w:color w:val="auto"/>
          <w:sz w:val="24"/>
          <w:highlight w:val="none"/>
          <w:lang w:eastAsia="zh-CN"/>
        </w:rPr>
        <w:t>。</w:t>
      </w:r>
      <w:r>
        <w:rPr>
          <w:rFonts w:hint="eastAsia" w:eastAsia="宋体"/>
          <w:color w:val="auto"/>
          <w:sz w:val="24"/>
          <w:highlight w:val="none"/>
        </w:rPr>
        <w:t>以财政性资金作为还款来源的借贷资金，视同财政性资金。财政性资金与非财政性资金无法分割采购的，统一适用《中华人民共和国政府采购法》及其实施条例。</w:t>
      </w:r>
    </w:p>
    <w:p w14:paraId="17722C4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39" w:name="_Toc163492826"/>
      <w:bookmarkStart w:id="140" w:name="_Toc140132760"/>
      <w:bookmarkStart w:id="141" w:name="_Toc23672"/>
      <w:bookmarkStart w:id="142" w:name="_Toc14888"/>
      <w:bookmarkStart w:id="143" w:name="_Toc4999"/>
      <w:bookmarkStart w:id="144" w:name="_Toc17305"/>
      <w:r>
        <w:rPr>
          <w:rFonts w:hint="eastAsia" w:ascii="宋体" w:hAnsi="宋体" w:eastAsia="宋体" w:cs="宋体"/>
          <w:b/>
          <w:bCs/>
          <w:color w:val="auto"/>
          <w:kern w:val="2"/>
          <w:sz w:val="24"/>
          <w:szCs w:val="28"/>
          <w:highlight w:val="none"/>
          <w:lang w:val="en-US" w:eastAsia="zh-CN" w:bidi="ar-SA"/>
        </w:rPr>
        <w:t>4.投标人资格要求</w:t>
      </w:r>
      <w:bookmarkEnd w:id="139"/>
      <w:bookmarkEnd w:id="140"/>
      <w:bookmarkEnd w:id="141"/>
      <w:bookmarkEnd w:id="142"/>
      <w:bookmarkEnd w:id="143"/>
      <w:bookmarkEnd w:id="144"/>
    </w:p>
    <w:p w14:paraId="522AD9C1">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4.1投标人资格要求：见“</w:t>
      </w:r>
      <w:r>
        <w:rPr>
          <w:rFonts w:hint="eastAsia" w:eastAsia="宋体"/>
          <w:color w:val="auto"/>
          <w:sz w:val="24"/>
          <w:highlight w:val="none"/>
          <w:lang w:val="en-US" w:eastAsia="zh-CN"/>
        </w:rPr>
        <w:t>第一章 招标公告</w:t>
      </w:r>
      <w:r>
        <w:rPr>
          <w:rFonts w:hint="eastAsia" w:eastAsia="宋体"/>
          <w:color w:val="auto"/>
          <w:sz w:val="24"/>
          <w:highlight w:val="none"/>
        </w:rPr>
        <w:t>”；</w:t>
      </w:r>
    </w:p>
    <w:p w14:paraId="3B57853B">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en-US" w:eastAsia="zh-CN"/>
        </w:rPr>
        <w:t>4</w:t>
      </w: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w:t>
      </w:r>
      <w:r>
        <w:rPr>
          <w:rFonts w:hint="eastAsia" w:eastAsia="宋体"/>
          <w:color w:val="auto"/>
          <w:sz w:val="24"/>
          <w:highlight w:val="none"/>
          <w:lang w:val="en-US" w:eastAsia="zh-CN"/>
        </w:rPr>
        <w:t>第一章 招标公告</w:t>
      </w:r>
      <w:r>
        <w:rPr>
          <w:rFonts w:hint="eastAsia" w:eastAsia="宋体"/>
          <w:color w:val="auto"/>
          <w:sz w:val="24"/>
          <w:highlight w:val="none"/>
          <w:lang w:val="zh-CN" w:eastAsia="zh-CN"/>
        </w:rPr>
        <w:t>”规定接受联合体投标的，还应遵守以下规定：</w:t>
      </w:r>
    </w:p>
    <w:p w14:paraId="512308FF">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eastAsia="宋体"/>
          <w:color w:val="auto"/>
          <w:sz w:val="24"/>
          <w:highlight w:val="none"/>
          <w:lang w:val="en-US" w:eastAsia="zh-CN"/>
        </w:rPr>
        <w:t>4</w:t>
      </w: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1两个以上的自然人、法人或者其他组织可以组成一个联合体，以一个</w:t>
      </w:r>
      <w:r>
        <w:rPr>
          <w:rFonts w:hint="eastAsia" w:eastAsia="宋体"/>
          <w:color w:val="auto"/>
          <w:sz w:val="24"/>
          <w:highlight w:val="none"/>
          <w:lang w:val="en-US" w:eastAsia="zh-CN"/>
        </w:rPr>
        <w:t>投标人</w:t>
      </w:r>
      <w:r>
        <w:rPr>
          <w:rFonts w:hint="eastAsia" w:eastAsia="宋体"/>
          <w:color w:val="auto"/>
          <w:sz w:val="24"/>
          <w:highlight w:val="none"/>
          <w:lang w:val="zh-CN" w:eastAsia="zh-CN"/>
        </w:rPr>
        <w:t>的身份共同参加政府采购。</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以联合体形式进行政府采购的，参加联合体的供应商均应当具备《</w:t>
      </w:r>
      <w:r>
        <w:rPr>
          <w:rFonts w:hint="eastAsia" w:eastAsia="宋体"/>
          <w:color w:val="auto"/>
          <w:sz w:val="24"/>
          <w:highlight w:val="none"/>
        </w:rPr>
        <w:t>中华人民共和国政府采购法</w:t>
      </w:r>
      <w:r>
        <w:rPr>
          <w:rFonts w:hint="eastAsia" w:ascii="宋体" w:hAnsi="宋体" w:eastAsia="宋体" w:cstheme="minorBidi"/>
          <w:iCs/>
          <w:color w:val="auto"/>
          <w:kern w:val="2"/>
          <w:sz w:val="24"/>
          <w:szCs w:val="22"/>
          <w:highlight w:val="none"/>
          <w:shd w:val="clear" w:color="auto" w:fill="FFFFFF" w:themeFill="background1"/>
          <w:lang w:val="zh-CN" w:eastAsia="zh-CN" w:bidi="ar-SA"/>
        </w:rPr>
        <w:t>》第二十二条规定的条件。</w:t>
      </w:r>
    </w:p>
    <w:p w14:paraId="7EFB49B3">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2.</w:t>
      </w:r>
      <w:r>
        <w:rPr>
          <w:rFonts w:hint="eastAsia" w:eastAsia="宋体" w:cstheme="minorBidi"/>
          <w:iCs/>
          <w:color w:val="auto"/>
          <w:kern w:val="2"/>
          <w:sz w:val="24"/>
          <w:szCs w:val="22"/>
          <w:highlight w:val="none"/>
          <w:shd w:val="clear" w:color="auto" w:fill="FFFFFF" w:themeFill="background1"/>
          <w:lang w:val="en-US" w:eastAsia="zh-CN" w:bidi="ar-SA"/>
        </w:rPr>
        <w:t>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联合体各方应按招标文件提供的格式签订联合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作为投标文件的一部分提交，该协议书对联合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体所有成员</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均具有法律约束力。</w:t>
      </w:r>
    </w:p>
    <w:p w14:paraId="5343E5B5">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eastAsia="宋体" w:cstheme="minorBidi"/>
          <w:iCs/>
          <w:color w:val="auto"/>
          <w:kern w:val="2"/>
          <w:sz w:val="24"/>
          <w:szCs w:val="22"/>
          <w:highlight w:val="none"/>
          <w:shd w:val="clear" w:color="auto" w:fill="FFFFFF" w:themeFill="background1"/>
          <w:lang w:val="en-US" w:eastAsia="zh-CN" w:bidi="ar-SA"/>
        </w:rPr>
        <w:t>3</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21D444C4">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4</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theme="minorBidi"/>
          <w:iCs/>
          <w:color w:val="auto"/>
          <w:kern w:val="2"/>
          <w:sz w:val="24"/>
          <w:szCs w:val="22"/>
          <w:highlight w:val="none"/>
          <w:shd w:val="clear" w:color="auto" w:fill="FFFFFF" w:themeFill="background1"/>
          <w:lang w:val="en-US" w:eastAsia="zh-CN" w:bidi="ar-SA"/>
        </w:rPr>
        <w:t>同一合同项下的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投标，否则相关投标将被认定为</w:t>
      </w:r>
      <w:r>
        <w:rPr>
          <w:rFonts w:hint="eastAsia" w:ascii="宋体" w:hAnsi="宋体" w:eastAsia="宋体" w:cstheme="minorBidi"/>
          <w:b/>
          <w:bCs/>
          <w:iCs/>
          <w:color w:val="auto"/>
          <w:kern w:val="2"/>
          <w:sz w:val="24"/>
          <w:szCs w:val="22"/>
          <w:highlight w:val="none"/>
          <w:shd w:val="clear" w:color="auto" w:fill="FFFFFF" w:themeFill="background1"/>
          <w:lang w:val="zh-CN" w:eastAsia="zh-CN" w:bidi="ar-SA"/>
        </w:rPr>
        <w:t>投标无效</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p>
    <w:p w14:paraId="2E60D00D">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.5大中型企业、其他自然人、法人或者非法人组织与小型、微型企业组成联合体共同参加投标</w:t>
      </w:r>
      <w:r>
        <w:rPr>
          <w:rFonts w:hint="eastAsia"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中应写明小型、微型企业的合同金额占到联合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投标</w:t>
      </w:r>
      <w:r>
        <w:rPr>
          <w:rFonts w:hint="eastAsia" w:ascii="宋体" w:hAnsi="宋体" w:eastAsia="宋体" w:cstheme="minorBidi"/>
          <w:iCs/>
          <w:color w:val="auto"/>
          <w:kern w:val="2"/>
          <w:sz w:val="24"/>
          <w:szCs w:val="22"/>
          <w:highlight w:val="none"/>
          <w:shd w:val="clear" w:color="auto" w:fill="FFFFFF" w:themeFill="background1"/>
          <w:lang w:val="en-US" w:eastAsia="zh-CN" w:bidi="ar-SA"/>
        </w:rPr>
        <w:t>合同</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总金额的比例。</w:t>
      </w:r>
    </w:p>
    <w:p w14:paraId="7127D169">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zh-CN" w:eastAsia="zh-CN" w:bidi="ar-SA"/>
        </w:rPr>
        <w:t>4.2</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6</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联合体中标</w:t>
      </w:r>
      <w:r>
        <w:rPr>
          <w:rFonts w:hint="eastAsia"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采购</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合同应由</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联合体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各成员的合法授权代表签字</w:t>
      </w:r>
      <w:r>
        <w:rPr>
          <w:rFonts w:hint="eastAsia" w:eastAsia="宋体" w:cstheme="minorBidi"/>
          <w:iCs/>
          <w:color w:val="auto"/>
          <w:kern w:val="2"/>
          <w:sz w:val="24"/>
          <w:szCs w:val="22"/>
          <w:highlight w:val="none"/>
          <w:shd w:val="clear" w:color="auto" w:fill="FFFFFF" w:themeFill="background1"/>
          <w:lang w:val="en-US" w:eastAsia="zh-CN" w:bidi="ar-SA"/>
        </w:rPr>
        <w:t>及</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加盖</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联合体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各成员公章，</w:t>
      </w:r>
      <w:r>
        <w:rPr>
          <w:rFonts w:hint="eastAsia" w:eastAsia="宋体" w:cstheme="minorBidi"/>
          <w:iCs/>
          <w:color w:val="auto"/>
          <w:kern w:val="2"/>
          <w:sz w:val="24"/>
          <w:szCs w:val="22"/>
          <w:highlight w:val="none"/>
          <w:shd w:val="clear" w:color="auto" w:fill="FFFFFF" w:themeFill="background1"/>
          <w:lang w:val="en-US" w:eastAsia="zh-CN" w:bidi="ar-SA"/>
        </w:rPr>
        <w:t>并</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2C3CFE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zh-CN" w:eastAsia="zh-CN" w:bidi="ar-SA"/>
        </w:rPr>
        <w:t>4.2</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7</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人</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书面同意并且须遵守相关法律、法规、本次招标的全部相关规定。</w:t>
      </w:r>
    </w:p>
    <w:p w14:paraId="7D2803AB">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8</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对联合体投标的其他资格要求见</w:t>
      </w:r>
      <w:r>
        <w:rPr>
          <w:rFonts w:hint="eastAsia" w:eastAsia="宋体"/>
          <w:color w:val="auto"/>
          <w:sz w:val="24"/>
          <w:highlight w:val="none"/>
        </w:rPr>
        <w:t>“</w:t>
      </w:r>
      <w:r>
        <w:rPr>
          <w:rFonts w:hint="eastAsia" w:eastAsia="宋体"/>
          <w:color w:val="auto"/>
          <w:sz w:val="24"/>
          <w:highlight w:val="none"/>
          <w:lang w:val="en-US" w:eastAsia="zh-CN"/>
        </w:rPr>
        <w:t>第一章 招标公告</w:t>
      </w:r>
      <w:r>
        <w:rPr>
          <w:rFonts w:hint="eastAsia" w:eastAsia="宋体"/>
          <w:color w:val="auto"/>
          <w:sz w:val="24"/>
          <w:highlight w:val="none"/>
        </w:rPr>
        <w:t>”</w:t>
      </w:r>
      <w:r>
        <w:rPr>
          <w:rFonts w:hint="eastAsia" w:eastAsia="宋体"/>
          <w:color w:val="auto"/>
          <w:sz w:val="24"/>
          <w:highlight w:val="none"/>
          <w:lang w:val="en-US" w:eastAsia="zh-CN"/>
        </w:rPr>
        <w:t>中的“二、</w:t>
      </w:r>
      <w:r>
        <w:rPr>
          <w:rFonts w:hint="eastAsia" w:ascii="宋体" w:hAnsi="宋体" w:eastAsia="宋体" w:cstheme="minorBidi"/>
          <w:iCs/>
          <w:color w:val="auto"/>
          <w:kern w:val="2"/>
          <w:sz w:val="24"/>
          <w:szCs w:val="22"/>
          <w:highlight w:val="none"/>
          <w:shd w:val="clear" w:color="auto" w:fill="FFFFFF" w:themeFill="background1"/>
          <w:lang w:val="en-US" w:eastAsia="zh-CN" w:bidi="ar-SA"/>
        </w:rPr>
        <w:t>申请人的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资格</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要求</w:t>
      </w:r>
      <w:r>
        <w:rPr>
          <w:rFonts w:hint="eastAsia"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p>
    <w:p w14:paraId="4DE6446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45" w:name="_Toc21085"/>
      <w:bookmarkStart w:id="146" w:name="_Toc8952"/>
      <w:bookmarkStart w:id="147" w:name="_Toc163492827"/>
      <w:bookmarkStart w:id="148" w:name="_Toc2393"/>
      <w:bookmarkStart w:id="149" w:name="_Toc14011"/>
      <w:r>
        <w:rPr>
          <w:rFonts w:hint="eastAsia" w:ascii="宋体" w:hAnsi="宋体" w:eastAsia="宋体" w:cs="宋体"/>
          <w:b/>
          <w:bCs/>
          <w:color w:val="auto"/>
          <w:kern w:val="2"/>
          <w:sz w:val="24"/>
          <w:szCs w:val="28"/>
          <w:highlight w:val="none"/>
          <w:lang w:val="en-US" w:eastAsia="zh-CN" w:bidi="ar-SA"/>
        </w:rPr>
        <w:t>5.费用承担</w:t>
      </w:r>
      <w:bookmarkEnd w:id="145"/>
      <w:bookmarkEnd w:id="146"/>
      <w:bookmarkEnd w:id="147"/>
      <w:bookmarkEnd w:id="148"/>
      <w:bookmarkEnd w:id="149"/>
    </w:p>
    <w:p w14:paraId="3C6741ED">
      <w:pPr>
        <w:pStyle w:val="37"/>
        <w:keepNext w:val="0"/>
        <w:keepLines w:val="0"/>
        <w:pageBreakBefore w:val="0"/>
        <w:widowControl w:val="0"/>
        <w:kinsoku/>
        <w:overflowPunct/>
        <w:topLinePunct w:val="0"/>
        <w:autoSpaceDE/>
        <w:autoSpaceDN/>
        <w:bidi w:val="0"/>
        <w:adjustRightInd/>
        <w:snapToGrid/>
        <w:textAlignment w:val="auto"/>
        <w:rPr>
          <w:rFonts w:hint="eastAsia" w:eastAsia="宋体"/>
          <w:color w:val="auto"/>
          <w:sz w:val="24"/>
          <w:highlight w:val="none"/>
        </w:rPr>
      </w:pPr>
      <w:r>
        <w:rPr>
          <w:rFonts w:hint="eastAsia" w:eastAsia="宋体"/>
          <w:color w:val="auto"/>
          <w:sz w:val="24"/>
          <w:highlight w:val="none"/>
        </w:rPr>
        <w:t>5.1</w:t>
      </w:r>
      <w:r>
        <w:rPr>
          <w:rFonts w:hint="eastAsia" w:eastAsia="宋体"/>
          <w:color w:val="auto"/>
          <w:sz w:val="24"/>
          <w:highlight w:val="none"/>
          <w:lang w:val="en-US" w:eastAsia="zh-CN"/>
        </w:rPr>
        <w:t>不论投标的结果如何，投标人应承担所有与准备和参加投标有关的费用。</w:t>
      </w:r>
    </w:p>
    <w:p w14:paraId="0CE9AC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50" w:name="_Toc140132761"/>
      <w:bookmarkStart w:id="151" w:name="_Toc163492828"/>
      <w:bookmarkStart w:id="152" w:name="_Toc12379"/>
      <w:bookmarkStart w:id="153" w:name="_Toc7681"/>
      <w:bookmarkStart w:id="154" w:name="_Toc30861"/>
      <w:bookmarkStart w:id="155" w:name="_Toc18248"/>
      <w:r>
        <w:rPr>
          <w:rFonts w:hint="eastAsia" w:ascii="宋体" w:hAnsi="宋体" w:eastAsia="宋体" w:cs="宋体"/>
          <w:b/>
          <w:bCs/>
          <w:color w:val="auto"/>
          <w:kern w:val="2"/>
          <w:sz w:val="24"/>
          <w:szCs w:val="28"/>
          <w:highlight w:val="none"/>
          <w:lang w:val="en-US" w:eastAsia="zh-CN" w:bidi="ar-SA"/>
        </w:rPr>
        <w:t>6.保密</w:t>
      </w:r>
      <w:bookmarkEnd w:id="150"/>
      <w:bookmarkEnd w:id="151"/>
      <w:bookmarkEnd w:id="152"/>
      <w:bookmarkEnd w:id="153"/>
      <w:bookmarkEnd w:id="154"/>
      <w:bookmarkEnd w:id="155"/>
    </w:p>
    <w:p w14:paraId="7CBA93F7">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6.1</w:t>
      </w:r>
      <w:r>
        <w:rPr>
          <w:rFonts w:hint="eastAsia" w:eastAsia="宋体"/>
          <w:color w:val="auto"/>
          <w:sz w:val="24"/>
          <w:highlight w:val="none"/>
          <w:lang w:val="en-US" w:eastAsia="zh-CN"/>
        </w:rPr>
        <w:t xml:space="preserve"> </w:t>
      </w:r>
      <w:r>
        <w:rPr>
          <w:rFonts w:hint="eastAsia" w:eastAsia="宋体"/>
          <w:color w:val="auto"/>
          <w:sz w:val="24"/>
          <w:highlight w:val="none"/>
        </w:rPr>
        <w:t>参与招标投标活动的各方应对招标文件和投标文件中的商业和技术等秘密保密，否则应承担相应的法律责任。</w:t>
      </w:r>
    </w:p>
    <w:p w14:paraId="2947ABFF">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2 </w:t>
      </w:r>
      <w:r>
        <w:rPr>
          <w:rFonts w:hint="eastAsia" w:ascii="宋体" w:hAnsi="宋体" w:eastAsia="宋体" w:cs="宋体"/>
          <w:color w:val="auto"/>
          <w:kern w:val="2"/>
          <w:sz w:val="24"/>
          <w:szCs w:val="22"/>
          <w:highlight w:val="none"/>
        </w:rPr>
        <w:t>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8BD9605">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3 </w:t>
      </w:r>
      <w:r>
        <w:rPr>
          <w:rFonts w:hint="eastAsia" w:ascii="宋体" w:hAnsi="宋体" w:eastAsia="宋体" w:cs="宋体"/>
          <w:color w:val="auto"/>
          <w:kern w:val="2"/>
          <w:sz w:val="24"/>
          <w:szCs w:val="22"/>
          <w:highlight w:val="none"/>
        </w:rPr>
        <w:t>采购代理机构有权将投标人提供的所有资料向有关政府部门或评审</w:t>
      </w:r>
      <w:r>
        <w:rPr>
          <w:rFonts w:hint="eastAsia" w:ascii="宋体" w:hAnsi="宋体" w:eastAsia="宋体" w:cs="宋体"/>
          <w:color w:val="auto"/>
          <w:kern w:val="2"/>
          <w:sz w:val="24"/>
          <w:szCs w:val="22"/>
          <w:highlight w:val="none"/>
          <w:lang w:val="en-US" w:eastAsia="zh-CN"/>
        </w:rPr>
        <w:t>投标文件</w:t>
      </w:r>
      <w:r>
        <w:rPr>
          <w:rFonts w:hint="eastAsia" w:ascii="宋体" w:hAnsi="宋体" w:eastAsia="宋体" w:cs="宋体"/>
          <w:color w:val="auto"/>
          <w:kern w:val="2"/>
          <w:sz w:val="24"/>
          <w:szCs w:val="22"/>
          <w:highlight w:val="none"/>
        </w:rPr>
        <w:t>的有关人员披露。</w:t>
      </w:r>
    </w:p>
    <w:p w14:paraId="7D9AB2DE">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4 各级人民政府财政部门对政府采购活动进行监督检查，有权查阅、复制有关文件、资料，相关单位和人员应当予以配合。</w:t>
      </w:r>
    </w:p>
    <w:p w14:paraId="284B114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56" w:name="_Toc140132762"/>
      <w:bookmarkStart w:id="157" w:name="_Toc163492829"/>
      <w:bookmarkStart w:id="158" w:name="_Toc15553"/>
      <w:bookmarkStart w:id="159" w:name="_Toc29628"/>
      <w:bookmarkStart w:id="160" w:name="_Toc31425"/>
      <w:bookmarkStart w:id="161" w:name="_Toc30926"/>
      <w:r>
        <w:rPr>
          <w:rFonts w:hint="eastAsia" w:ascii="宋体" w:hAnsi="宋体" w:eastAsia="宋体" w:cs="宋体"/>
          <w:b/>
          <w:bCs/>
          <w:color w:val="auto"/>
          <w:kern w:val="2"/>
          <w:sz w:val="24"/>
          <w:szCs w:val="28"/>
          <w:highlight w:val="none"/>
          <w:lang w:val="en-US" w:eastAsia="zh-CN" w:bidi="ar-SA"/>
        </w:rPr>
        <w:t>7.语言文字</w:t>
      </w:r>
      <w:bookmarkEnd w:id="156"/>
      <w:bookmarkEnd w:id="157"/>
      <w:bookmarkEnd w:id="158"/>
      <w:bookmarkEnd w:id="159"/>
      <w:bookmarkEnd w:id="160"/>
      <w:bookmarkEnd w:id="161"/>
    </w:p>
    <w:p w14:paraId="25140936">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7.1招标投标</w:t>
      </w:r>
      <w:r>
        <w:rPr>
          <w:rFonts w:hint="eastAsia" w:eastAsia="宋体"/>
          <w:color w:val="auto"/>
          <w:sz w:val="24"/>
          <w:highlight w:val="none"/>
          <w:lang w:val="en-US" w:eastAsia="zh-CN"/>
        </w:rPr>
        <w:t>过程</w:t>
      </w:r>
      <w:r>
        <w:rPr>
          <w:rFonts w:hint="eastAsia" w:eastAsia="宋体"/>
          <w:color w:val="auto"/>
          <w:sz w:val="24"/>
          <w:highlight w:val="none"/>
        </w:rPr>
        <w:t>文件使用的语言文字为中文。专用术语使用外文的，应附有中文注释。</w:t>
      </w:r>
      <w:r>
        <w:rPr>
          <w:rFonts w:hint="eastAsia" w:eastAsia="宋体"/>
          <w:color w:val="auto"/>
          <w:sz w:val="24"/>
          <w:highlight w:val="none"/>
          <w:lang w:val="en-US" w:eastAsia="zh-CN"/>
        </w:rPr>
        <w:t>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F33616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62" w:name="_Toc140132763"/>
      <w:bookmarkStart w:id="163" w:name="_Toc163492830"/>
      <w:bookmarkStart w:id="164" w:name="_Toc16458"/>
      <w:bookmarkStart w:id="165" w:name="_Toc28427"/>
      <w:bookmarkStart w:id="166" w:name="_Toc31019"/>
      <w:bookmarkStart w:id="167" w:name="_Toc19184"/>
      <w:r>
        <w:rPr>
          <w:rFonts w:hint="eastAsia" w:ascii="宋体" w:hAnsi="宋体" w:eastAsia="宋体" w:cs="宋体"/>
          <w:b/>
          <w:bCs/>
          <w:color w:val="auto"/>
          <w:kern w:val="2"/>
          <w:sz w:val="24"/>
          <w:szCs w:val="28"/>
          <w:highlight w:val="none"/>
          <w:lang w:val="en-US" w:eastAsia="zh-CN" w:bidi="ar-SA"/>
        </w:rPr>
        <w:t>8.计量单位</w:t>
      </w:r>
      <w:bookmarkEnd w:id="162"/>
      <w:bookmarkEnd w:id="163"/>
      <w:bookmarkEnd w:id="164"/>
      <w:bookmarkEnd w:id="165"/>
      <w:bookmarkEnd w:id="166"/>
      <w:bookmarkEnd w:id="167"/>
    </w:p>
    <w:p w14:paraId="45A7AE57">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8.1所有计量均采用中华人民共和国法定计量单位。</w:t>
      </w:r>
    </w:p>
    <w:p w14:paraId="099F3EF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68" w:name="_Toc30434"/>
      <w:bookmarkStart w:id="169" w:name="_Toc30077"/>
      <w:bookmarkStart w:id="170" w:name="_Toc140132764"/>
      <w:bookmarkStart w:id="171" w:name="_Toc28428"/>
      <w:bookmarkStart w:id="172" w:name="_Toc163492831"/>
      <w:bookmarkStart w:id="173" w:name="_Toc8827"/>
      <w:r>
        <w:rPr>
          <w:rFonts w:hint="eastAsia" w:ascii="宋体" w:hAnsi="宋体" w:eastAsia="宋体" w:cs="宋体"/>
          <w:b/>
          <w:bCs/>
          <w:color w:val="auto"/>
          <w:kern w:val="2"/>
          <w:sz w:val="24"/>
          <w:szCs w:val="28"/>
          <w:highlight w:val="none"/>
          <w:lang w:val="en-US" w:eastAsia="zh-CN" w:bidi="ar-SA"/>
        </w:rPr>
        <w:t>9.现场考察和答疑会</w:t>
      </w:r>
      <w:bookmarkEnd w:id="168"/>
      <w:bookmarkEnd w:id="169"/>
      <w:bookmarkEnd w:id="170"/>
      <w:bookmarkEnd w:id="171"/>
      <w:bookmarkEnd w:id="172"/>
      <w:bookmarkEnd w:id="173"/>
    </w:p>
    <w:p w14:paraId="5A8B8C45">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174" w:name="_Hlk143529198"/>
      <w:r>
        <w:rPr>
          <w:rFonts w:hint="eastAsia" w:eastAsia="宋体"/>
          <w:color w:val="auto"/>
          <w:sz w:val="24"/>
          <w:highlight w:val="none"/>
        </w:rPr>
        <w:t xml:space="preserve">9.1 “投标人须知前附表”规定组织现场考察的，采购代理机构按“投标人须知前附表”规定的时间、地点组织投标人项目现场考察。 </w:t>
      </w:r>
    </w:p>
    <w:p w14:paraId="5F8A235F">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9.2 投标人现场考察发生的费用自理。</w:t>
      </w:r>
    </w:p>
    <w:p w14:paraId="199A48B2">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9.3 在现场考察中，因投标人自身原因发生的人员伤亡和财产损失，由投标人自行负责。</w:t>
      </w:r>
    </w:p>
    <w:p w14:paraId="6F1F6A2D">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9.4 采购人在现场考察中介绍的项目场地和相关的周边环境情况，仅供投标人在编制投标文件时参考，采购人和采购代理机构不对投标人据此作出的判断和决策负责。</w:t>
      </w:r>
    </w:p>
    <w:p w14:paraId="0E249AE3">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9.5 “投标人须知前附表”规定召开答疑会的，采购代理机构按“投标人须知前附表”规定的时间和地点召开答疑会，澄清投标人提出的问题。</w:t>
      </w:r>
    </w:p>
    <w:p w14:paraId="00943847">
      <w:pPr>
        <w:pStyle w:val="37"/>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9.6 由于未参加现场考察或未参加标前答疑会而导致对项目实际情况不了解，影响投标文件编制、投标报价准确性、综合因素响应不全面等问题的，由投标人自行承担不利评审后果。</w:t>
      </w:r>
    </w:p>
    <w:bookmarkEnd w:id="174"/>
    <w:p w14:paraId="015C1ED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175" w:name="_Toc26824"/>
      <w:bookmarkStart w:id="176" w:name="_Toc31066"/>
      <w:bookmarkStart w:id="177" w:name="_Toc1905"/>
      <w:bookmarkStart w:id="178" w:name="_Toc163492833"/>
      <w:bookmarkStart w:id="179" w:name="_Toc2189"/>
      <w:bookmarkStart w:id="180" w:name="_Toc155185858"/>
      <w:bookmarkStart w:id="181" w:name="_Toc155185871"/>
      <w:r>
        <w:rPr>
          <w:rFonts w:hint="eastAsia" w:ascii="宋体" w:hAnsi="宋体" w:eastAsia="宋体" w:cs="宋体"/>
          <w:b/>
          <w:bCs/>
          <w:color w:val="auto"/>
          <w:kern w:val="2"/>
          <w:sz w:val="24"/>
          <w:szCs w:val="28"/>
          <w:highlight w:val="none"/>
          <w:lang w:val="en-US" w:eastAsia="zh-CN" w:bidi="ar-SA"/>
        </w:rPr>
        <w:t>10.电子投标说明</w:t>
      </w:r>
      <w:bookmarkEnd w:id="175"/>
      <w:bookmarkEnd w:id="176"/>
      <w:bookmarkEnd w:id="177"/>
      <w:bookmarkEnd w:id="178"/>
      <w:bookmarkEnd w:id="179"/>
      <w:bookmarkEnd w:id="180"/>
      <w:r>
        <w:rPr>
          <w:rFonts w:hint="eastAsia" w:ascii="宋体" w:hAnsi="宋体" w:eastAsia="宋体" w:cs="宋体"/>
          <w:b/>
          <w:bCs/>
          <w:color w:val="auto"/>
          <w:kern w:val="2"/>
          <w:sz w:val="24"/>
          <w:szCs w:val="28"/>
          <w:highlight w:val="none"/>
          <w:lang w:val="en-US" w:eastAsia="zh-CN" w:bidi="ar-SA"/>
        </w:rPr>
        <w:t xml:space="preserve">   </w:t>
      </w:r>
    </w:p>
    <w:p w14:paraId="111A1565">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 xml:space="preserve">.1 </w:t>
      </w:r>
      <w:r>
        <w:rPr>
          <w:rFonts w:hint="eastAsia" w:ascii="宋体" w:hAnsi="宋体" w:eastAsia="宋体"/>
          <w:color w:val="auto"/>
          <w:sz w:val="24"/>
          <w:highlight w:val="none"/>
        </w:rPr>
        <w:t>本次采购采用电子交易方式，电子交易平台为</w:t>
      </w:r>
      <w:r>
        <w:rPr>
          <w:rFonts w:hint="eastAsia" w:ascii="宋体" w:hAnsi="宋体" w:eastAsia="宋体"/>
          <w:color w:val="auto"/>
          <w:sz w:val="24"/>
          <w:highlight w:val="none"/>
          <w:lang w:val="en-US"/>
        </w:rPr>
        <w:t>兵团</w:t>
      </w:r>
      <w:r>
        <w:rPr>
          <w:rFonts w:hint="eastAsia" w:ascii="宋体" w:hAnsi="宋体" w:eastAsia="宋体"/>
          <w:color w:val="auto"/>
          <w:sz w:val="24"/>
          <w:highlight w:val="none"/>
        </w:rPr>
        <w:t>政府采购</w:t>
      </w:r>
      <w:r>
        <w:rPr>
          <w:rFonts w:hint="eastAsia" w:ascii="宋体" w:hAnsi="宋体" w:eastAsia="宋体"/>
          <w:color w:val="auto"/>
          <w:sz w:val="24"/>
          <w:highlight w:val="none"/>
          <w:lang w:val="en-US"/>
        </w:rPr>
        <w:t>电子交易云</w:t>
      </w:r>
      <w:r>
        <w:rPr>
          <w:rFonts w:hint="eastAsia" w:ascii="宋体" w:hAnsi="宋体" w:eastAsia="宋体"/>
          <w:color w:val="auto"/>
          <w:sz w:val="24"/>
          <w:highlight w:val="none"/>
        </w:rPr>
        <w:t>平台</w:t>
      </w:r>
      <w:r>
        <w:rPr>
          <w:rFonts w:hint="eastAsia" w:ascii="宋体" w:hAnsi="宋体" w:eastAsia="宋体"/>
          <w:color w:val="auto"/>
          <w:sz w:val="24"/>
          <w:highlight w:val="none"/>
          <w:lang w:val="hr-HR"/>
        </w:rPr>
        <w:t>（</w:t>
      </w:r>
      <w:r>
        <w:rPr>
          <w:rFonts w:hint="eastAsia" w:ascii="宋体" w:hAnsi="宋体" w:eastAsia="宋体"/>
          <w:color w:val="auto"/>
          <w:sz w:val="24"/>
          <w:highlight w:val="none"/>
        </w:rPr>
        <w:t>网址</w:t>
      </w:r>
      <w:r>
        <w:rPr>
          <w:rFonts w:hint="eastAsia" w:ascii="宋体" w:hAnsi="宋体" w:eastAsia="宋体"/>
          <w:color w:val="auto"/>
          <w:sz w:val="24"/>
          <w:highlight w:val="none"/>
          <w:lang w:val="hr-HR"/>
        </w:rPr>
        <w:t>：https://www.zcygov.cn/）</w:t>
      </w:r>
      <w:r>
        <w:rPr>
          <w:rFonts w:hint="eastAsia" w:ascii="宋体" w:hAnsi="宋体" w:eastAsia="宋体"/>
          <w:color w:val="auto"/>
          <w:sz w:val="24"/>
          <w:highlight w:val="none"/>
        </w:rPr>
        <w:t>。投标人参与本项目电子交易活动前，应</w:t>
      </w:r>
      <w:r>
        <w:rPr>
          <w:rFonts w:hint="eastAsia" w:eastAsia="宋体"/>
          <w:color w:val="auto"/>
          <w:sz w:val="24"/>
          <w:highlight w:val="none"/>
          <w:lang w:val="en-US" w:eastAsia="zh-CN"/>
        </w:rPr>
        <w:t>在</w:t>
      </w:r>
      <w:r>
        <w:rPr>
          <w:rFonts w:hint="eastAsia" w:ascii="宋体" w:hAnsi="宋体" w:eastAsia="宋体"/>
          <w:color w:val="auto"/>
          <w:sz w:val="24"/>
          <w:highlight w:val="none"/>
        </w:rPr>
        <w:t>政</w:t>
      </w:r>
      <w:r>
        <w:rPr>
          <w:rFonts w:hint="eastAsia" w:eastAsia="宋体"/>
          <w:color w:val="auto"/>
          <w:sz w:val="24"/>
          <w:highlight w:val="none"/>
          <w:lang w:val="en-US" w:eastAsia="zh-CN"/>
        </w:rPr>
        <w:t>采</w:t>
      </w:r>
      <w:r>
        <w:rPr>
          <w:rFonts w:hint="eastAsia" w:ascii="宋体" w:hAnsi="宋体" w:eastAsia="宋体"/>
          <w:color w:val="auto"/>
          <w:sz w:val="24"/>
          <w:highlight w:val="none"/>
          <w:lang w:val="en-US"/>
        </w:rPr>
        <w:t>云</w:t>
      </w:r>
      <w:r>
        <w:rPr>
          <w:rFonts w:hint="eastAsia" w:ascii="宋体" w:hAnsi="宋体" w:eastAsia="宋体"/>
          <w:color w:val="auto"/>
          <w:sz w:val="24"/>
          <w:highlight w:val="none"/>
        </w:rPr>
        <w:t>平台</w:t>
      </w:r>
      <w:r>
        <w:rPr>
          <w:rFonts w:hint="eastAsia" w:eastAsia="宋体"/>
          <w:color w:val="auto"/>
          <w:sz w:val="24"/>
          <w:highlight w:val="none"/>
          <w:lang w:val="en-US" w:eastAsia="zh-CN"/>
        </w:rPr>
        <w:t>上</w:t>
      </w:r>
      <w:r>
        <w:rPr>
          <w:rFonts w:hint="eastAsia" w:ascii="宋体" w:hAnsi="宋体" w:eastAsia="宋体"/>
          <w:color w:val="auto"/>
          <w:sz w:val="24"/>
          <w:highlight w:val="none"/>
        </w:rPr>
        <w:t>注册</w:t>
      </w:r>
      <w:r>
        <w:rPr>
          <w:rFonts w:hint="eastAsia" w:eastAsia="宋体"/>
          <w:color w:val="auto"/>
          <w:sz w:val="24"/>
          <w:highlight w:val="none"/>
          <w:lang w:val="en-US" w:eastAsia="zh-CN"/>
        </w:rPr>
        <w:t>供应商账号</w:t>
      </w:r>
      <w:r>
        <w:rPr>
          <w:rFonts w:hint="eastAsia" w:ascii="宋体" w:hAnsi="宋体" w:eastAsia="宋体"/>
          <w:color w:val="auto"/>
          <w:sz w:val="24"/>
          <w:highlight w:val="none"/>
        </w:rPr>
        <w:t>。编制电子</w:t>
      </w:r>
      <w:r>
        <w:rPr>
          <w:rFonts w:hint="eastAsia" w:ascii="宋体" w:hAnsi="宋体" w:eastAsia="宋体"/>
          <w:color w:val="auto"/>
          <w:sz w:val="24"/>
          <w:highlight w:val="none"/>
          <w:lang w:val="en-US" w:eastAsia="zh-CN"/>
        </w:rPr>
        <w:t>投标</w:t>
      </w:r>
      <w:r>
        <w:rPr>
          <w:rFonts w:hint="eastAsia" w:ascii="宋体" w:hAnsi="宋体" w:eastAsia="宋体"/>
          <w:color w:val="auto"/>
          <w:sz w:val="24"/>
          <w:highlight w:val="none"/>
        </w:rPr>
        <w:t>文件前还需</w:t>
      </w:r>
      <w:r>
        <w:rPr>
          <w:rFonts w:hint="eastAsia" w:ascii="宋体" w:hAnsi="宋体" w:eastAsia="宋体"/>
          <w:color w:val="auto"/>
          <w:sz w:val="24"/>
          <w:highlight w:val="none"/>
          <w:lang w:val="en-US" w:eastAsia="zh-CN"/>
        </w:rPr>
        <w:t>申领CA证书并绑定帐号。投标人应充分考虑完成平台注册、申领CA证书等所需的时间。</w:t>
      </w:r>
      <w:r>
        <w:rPr>
          <w:rFonts w:hint="eastAsia" w:ascii="宋体" w:hAnsi="宋体" w:eastAsia="宋体"/>
          <w:color w:val="auto"/>
          <w:sz w:val="24"/>
          <w:highlight w:val="none"/>
          <w:lang w:val="zh-CN" w:eastAsia="zh-CN"/>
        </w:rPr>
        <w:t>潜在投标人领取文件须提前完成注册、CA证书和电子签章申领和绑定、下载投标客户端。因未办理CA数字证书、CA证书故障、操作不当等原因造成无法投标或投标失败等后果由投标人自行承担。</w:t>
      </w:r>
      <w:r>
        <w:rPr>
          <w:rFonts w:hint="eastAsia" w:eastAsia="宋体"/>
          <w:color w:val="auto"/>
          <w:sz w:val="24"/>
          <w:highlight w:val="none"/>
          <w:lang w:val="en-US" w:eastAsia="zh-CN"/>
        </w:rPr>
        <w:t>投标人</w:t>
      </w:r>
      <w:r>
        <w:rPr>
          <w:rFonts w:hint="eastAsia" w:ascii="宋体" w:hAnsi="宋体" w:eastAsia="宋体"/>
          <w:color w:val="auto"/>
          <w:sz w:val="24"/>
          <w:highlight w:val="none"/>
          <w:lang w:val="zh-CN" w:eastAsia="zh-CN"/>
        </w:rPr>
        <w:t>登录兵团政府采购网“供应商注册”—“新疆生产建设兵团政府采购供应商入驻登记”—“立即登记”进行自助注册绑定。</w:t>
      </w:r>
    </w:p>
    <w:p w14:paraId="18ECC266">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投标人将</w:t>
      </w:r>
      <w:r>
        <w:rPr>
          <w:rFonts w:hint="eastAsia" w:ascii="宋体" w:hAnsi="宋体" w:eastAsia="宋体"/>
          <w:color w:val="auto"/>
          <w:sz w:val="24"/>
          <w:highlight w:val="none"/>
          <w:lang w:val="en-US"/>
        </w:rPr>
        <w:t>兵团</w:t>
      </w:r>
      <w:r>
        <w:rPr>
          <w:rFonts w:hint="eastAsia" w:ascii="宋体" w:hAnsi="宋体" w:eastAsia="宋体"/>
          <w:color w:val="auto"/>
          <w:sz w:val="24"/>
          <w:highlight w:val="none"/>
        </w:rPr>
        <w:t>政府采购</w:t>
      </w:r>
      <w:r>
        <w:rPr>
          <w:rFonts w:hint="eastAsia" w:ascii="宋体" w:hAnsi="宋体" w:eastAsia="宋体"/>
          <w:color w:val="auto"/>
          <w:sz w:val="24"/>
          <w:highlight w:val="none"/>
          <w:lang w:val="en-US"/>
        </w:rPr>
        <w:t>电子交易云</w:t>
      </w:r>
      <w:r>
        <w:rPr>
          <w:rFonts w:hint="eastAsia" w:ascii="宋体" w:hAnsi="宋体" w:eastAsia="宋体"/>
          <w:color w:val="auto"/>
          <w:sz w:val="24"/>
          <w:highlight w:val="none"/>
        </w:rPr>
        <w:t>平台电子交易客户端下载、安装完成后，可通过账号密码或CA登录客户端进行</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制作。在使用政采云投标客户端时，建议使用WIN7及以上操作系统。</w:t>
      </w:r>
      <w:r>
        <w:rPr>
          <w:rFonts w:hint="eastAsia" w:eastAsia="宋体"/>
          <w:color w:val="auto"/>
          <w:sz w:val="24"/>
          <w:highlight w:val="none"/>
          <w:lang w:val="en-US" w:eastAsia="zh-CN"/>
        </w:rPr>
        <w:t>投标人</w:t>
      </w:r>
      <w:r>
        <w:rPr>
          <w:rFonts w:hint="eastAsia" w:ascii="宋体" w:hAnsi="宋体" w:eastAsia="宋体"/>
          <w:color w:val="auto"/>
          <w:sz w:val="24"/>
          <w:highlight w:val="none"/>
        </w:rPr>
        <w:t>登录兵团政府采购网“下载专区”—“电子招投标客户端下载”下载相关客户端，如有问题可拨打政采云客户服务热线95763进行咨询。</w:t>
      </w:r>
    </w:p>
    <w:p w14:paraId="1E16A3EF">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加密的电子</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应在</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递交截止时间前通过政采云平台上传完成。逾期上传或者未上传指定地点的</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，不予受理。</w:t>
      </w:r>
    </w:p>
    <w:p w14:paraId="53B28965">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4</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投标人在开标前须提前配置好电脑</w:t>
      </w:r>
      <w:r>
        <w:rPr>
          <w:rFonts w:hint="eastAsia" w:eastAsia="宋体"/>
          <w:color w:val="auto"/>
          <w:sz w:val="24"/>
          <w:highlight w:val="none"/>
          <w:lang w:val="en-US" w:eastAsia="zh-CN"/>
        </w:rPr>
        <w:t>及</w:t>
      </w:r>
      <w:r>
        <w:rPr>
          <w:rFonts w:hint="eastAsia" w:ascii="宋体" w:hAnsi="宋体" w:eastAsia="宋体"/>
          <w:color w:val="auto"/>
          <w:sz w:val="24"/>
          <w:highlight w:val="none"/>
        </w:rPr>
        <w:t>浏览器，开标时请使用制作加密电子</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的CA锁进行解密及报价确认。本项目</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解密时间</w:t>
      </w:r>
      <w:r>
        <w:rPr>
          <w:rFonts w:hint="eastAsia" w:eastAsia="宋体"/>
          <w:color w:val="auto"/>
          <w:sz w:val="24"/>
          <w:highlight w:val="none"/>
          <w:lang w:val="en-US" w:eastAsia="zh-CN"/>
        </w:rPr>
        <w:t>详见“投标人须知前附表”</w:t>
      </w:r>
      <w:r>
        <w:rPr>
          <w:rFonts w:hint="eastAsia" w:ascii="宋体" w:hAnsi="宋体" w:eastAsia="宋体"/>
          <w:color w:val="auto"/>
          <w:sz w:val="24"/>
          <w:highlight w:val="none"/>
        </w:rPr>
        <w:t>，如因自身原因导致无法正常解密，后果由投标人自行承担。</w:t>
      </w:r>
    </w:p>
    <w:p w14:paraId="469768F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5</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如遇“</w:t>
      </w:r>
      <w:r>
        <w:rPr>
          <w:rFonts w:hint="eastAsia" w:ascii="宋体" w:hAnsi="宋体" w:eastAsia="宋体"/>
          <w:color w:val="auto"/>
          <w:sz w:val="24"/>
          <w:highlight w:val="none"/>
          <w:lang w:val="en-US"/>
        </w:rPr>
        <w:t>兵团</w:t>
      </w:r>
      <w:r>
        <w:rPr>
          <w:rFonts w:hint="eastAsia" w:ascii="宋体" w:hAnsi="宋体" w:eastAsia="宋体"/>
          <w:color w:val="auto"/>
          <w:sz w:val="24"/>
          <w:highlight w:val="none"/>
        </w:rPr>
        <w:t>政府采购</w:t>
      </w:r>
      <w:r>
        <w:rPr>
          <w:rFonts w:hint="eastAsia" w:ascii="宋体" w:hAnsi="宋体" w:eastAsia="宋体"/>
          <w:color w:val="auto"/>
          <w:sz w:val="24"/>
          <w:highlight w:val="none"/>
          <w:lang w:val="en-US"/>
        </w:rPr>
        <w:t>电子交易云</w:t>
      </w:r>
      <w:r>
        <w:rPr>
          <w:rFonts w:hint="eastAsia" w:ascii="宋体" w:hAnsi="宋体" w:eastAsia="宋体"/>
          <w:color w:val="auto"/>
          <w:sz w:val="24"/>
          <w:highlight w:val="none"/>
        </w:rPr>
        <w:t>平台</w:t>
      </w:r>
      <w:r>
        <w:rPr>
          <w:rFonts w:hint="eastAsia" w:ascii="宋体" w:hAnsi="宋体" w:eastAsia="宋体"/>
          <w:color w:val="auto"/>
          <w:sz w:val="24"/>
          <w:highlight w:val="none"/>
          <w:lang w:val="hr-HR"/>
        </w:rPr>
        <w:t>（</w:t>
      </w:r>
      <w:r>
        <w:rPr>
          <w:rFonts w:hint="eastAsia" w:ascii="宋体" w:hAnsi="宋体" w:eastAsia="宋体"/>
          <w:color w:val="auto"/>
          <w:sz w:val="24"/>
          <w:highlight w:val="none"/>
        </w:rPr>
        <w:t>网址</w:t>
      </w:r>
      <w:r>
        <w:rPr>
          <w:rFonts w:hint="eastAsia" w:ascii="宋体" w:hAnsi="宋体" w:eastAsia="宋体"/>
          <w:color w:val="auto"/>
          <w:sz w:val="24"/>
          <w:highlight w:val="none"/>
          <w:lang w:val="hr-HR"/>
        </w:rPr>
        <w:t>：https://www.zcygov.cn/）</w:t>
      </w:r>
      <w:r>
        <w:rPr>
          <w:rFonts w:hint="eastAsia" w:ascii="宋体" w:hAnsi="宋体" w:eastAsia="宋体"/>
          <w:color w:val="auto"/>
          <w:sz w:val="24"/>
          <w:highlight w:val="none"/>
        </w:rPr>
        <w:t>”电子交易规则调整，以最新要求为准。</w:t>
      </w:r>
    </w:p>
    <w:p w14:paraId="08AA0ABB">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.6 电子交易系统咨询：投标人应当充分考虑到电子投标可能会发生的各种问题和风险，特别是投标文件签署、提交等问题，</w:t>
      </w:r>
      <w:r>
        <w:rPr>
          <w:rFonts w:hint="eastAsia" w:eastAsia="宋体"/>
          <w:color w:val="auto"/>
          <w:sz w:val="24"/>
          <w:highlight w:val="none"/>
          <w:lang w:val="en-US" w:eastAsia="zh-CN"/>
        </w:rPr>
        <w:t>可</w:t>
      </w:r>
      <w:r>
        <w:rPr>
          <w:rFonts w:hint="eastAsia" w:ascii="宋体" w:hAnsi="宋体" w:eastAsia="宋体"/>
          <w:color w:val="auto"/>
          <w:sz w:val="24"/>
          <w:highlight w:val="none"/>
          <w:lang w:val="en-US" w:eastAsia="zh-CN"/>
        </w:rPr>
        <w:t>按照“</w:t>
      </w:r>
      <w:r>
        <w:rPr>
          <w:rFonts w:hint="eastAsia" w:eastAsia="宋体"/>
          <w:color w:val="auto"/>
          <w:sz w:val="24"/>
          <w:highlight w:val="none"/>
          <w:lang w:val="en-US" w:eastAsia="zh-CN"/>
        </w:rPr>
        <w:t>第一章 招标公告</w:t>
      </w:r>
      <w:r>
        <w:rPr>
          <w:rFonts w:hint="eastAsia" w:ascii="宋体" w:hAnsi="宋体" w:eastAsia="宋体"/>
          <w:color w:val="auto"/>
          <w:sz w:val="24"/>
          <w:highlight w:val="none"/>
          <w:lang w:val="en-US" w:eastAsia="zh-CN"/>
        </w:rPr>
        <w:t>”的</w:t>
      </w:r>
      <w:r>
        <w:rPr>
          <w:rFonts w:hint="eastAsia" w:eastAsia="宋体"/>
          <w:color w:val="auto"/>
          <w:sz w:val="24"/>
          <w:highlight w:val="none"/>
          <w:lang w:val="en-US" w:eastAsia="zh-CN"/>
        </w:rPr>
        <w:t>联系方式咨询相关人员</w:t>
      </w:r>
      <w:r>
        <w:rPr>
          <w:rFonts w:hint="eastAsia" w:ascii="宋体" w:hAnsi="宋体" w:eastAsia="宋体"/>
          <w:color w:val="auto"/>
          <w:sz w:val="24"/>
          <w:highlight w:val="none"/>
          <w:lang w:val="en-US" w:eastAsia="zh-CN"/>
        </w:rPr>
        <w:t>。</w:t>
      </w:r>
    </w:p>
    <w:p w14:paraId="39CA103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.7 由于本项目采用电子招标方式，潜在投标人的名单将在</w:t>
      </w:r>
      <w:r>
        <w:rPr>
          <w:rFonts w:hint="eastAsia" w:eastAsia="宋体"/>
          <w:color w:val="auto"/>
          <w:sz w:val="24"/>
          <w:highlight w:val="none"/>
          <w:lang w:val="en-US" w:eastAsia="zh-CN"/>
        </w:rPr>
        <w:t>提交</w:t>
      </w:r>
      <w:r>
        <w:rPr>
          <w:rFonts w:hint="eastAsia" w:ascii="宋体" w:hAnsi="宋体" w:eastAsia="宋体"/>
          <w:color w:val="auto"/>
          <w:sz w:val="24"/>
          <w:highlight w:val="none"/>
          <w:lang w:val="en-US" w:eastAsia="zh-CN"/>
        </w:rPr>
        <w:t>投标</w:t>
      </w:r>
      <w:r>
        <w:rPr>
          <w:rFonts w:hint="eastAsia" w:eastAsia="宋体"/>
          <w:color w:val="auto"/>
          <w:sz w:val="24"/>
          <w:highlight w:val="none"/>
          <w:lang w:val="en-US" w:eastAsia="zh-CN"/>
        </w:rPr>
        <w:t>文件</w:t>
      </w:r>
      <w:r>
        <w:rPr>
          <w:rFonts w:hint="eastAsia" w:ascii="宋体" w:hAnsi="宋体" w:eastAsia="宋体"/>
          <w:color w:val="auto"/>
          <w:sz w:val="24"/>
          <w:highlight w:val="none"/>
          <w:lang w:val="en-US" w:eastAsia="zh-CN"/>
        </w:rPr>
        <w:t>截止时间后才会解密。因此，采购人或采购代理机构无法通过传统的传真或邮件方式，将招标文件的澄清或修改内容逐一通知到每位已获取招标文件的潜在投标人。为确保信息的及时性和准确性，澄清或修改的内容将仅在政采云平台以更正公告的形式发布。潜在投标人需密切关注该网站，及时查看并下载相关更正公告。若因潜在投标人未能及时查看或下载相关更正公告，而导致的一切后果，将由潜在投标人自行承担。</w:t>
      </w:r>
    </w:p>
    <w:p w14:paraId="7A306C00">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182" w:name="_Toc2606"/>
      <w:bookmarkStart w:id="183" w:name="_Toc2058"/>
      <w:bookmarkStart w:id="184" w:name="_Toc27586"/>
      <w:bookmarkStart w:id="185" w:name="_Toc25633"/>
      <w:bookmarkStart w:id="186" w:name="_Toc163492834"/>
      <w:r>
        <w:rPr>
          <w:rFonts w:hint="eastAsia" w:ascii="宋体" w:hAnsi="宋体" w:eastAsia="宋体" w:cstheme="minorBidi"/>
          <w:b/>
          <w:bCs/>
          <w:color w:val="auto"/>
          <w:kern w:val="2"/>
          <w:sz w:val="24"/>
          <w:szCs w:val="32"/>
          <w:highlight w:val="none"/>
          <w:lang w:val="en-US" w:eastAsia="zh-CN" w:bidi="ar-SA"/>
        </w:rPr>
        <w:t>（二）招标文件</w:t>
      </w:r>
      <w:bookmarkEnd w:id="181"/>
      <w:bookmarkEnd w:id="182"/>
      <w:bookmarkEnd w:id="183"/>
      <w:bookmarkEnd w:id="184"/>
      <w:bookmarkEnd w:id="185"/>
      <w:bookmarkEnd w:id="186"/>
    </w:p>
    <w:p w14:paraId="08A2C6A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87" w:name="_Toc163492835"/>
      <w:bookmarkStart w:id="188" w:name="_Toc11591"/>
      <w:bookmarkStart w:id="189" w:name="_Toc140132768"/>
      <w:bookmarkStart w:id="190" w:name="_Toc7878"/>
      <w:bookmarkStart w:id="191" w:name="_Toc27444"/>
      <w:bookmarkStart w:id="192" w:name="_Toc24167"/>
      <w:r>
        <w:rPr>
          <w:rFonts w:hint="eastAsia" w:ascii="宋体" w:hAnsi="宋体" w:eastAsia="宋体" w:cs="宋体"/>
          <w:b/>
          <w:bCs/>
          <w:color w:val="auto"/>
          <w:kern w:val="2"/>
          <w:sz w:val="24"/>
          <w:szCs w:val="28"/>
          <w:highlight w:val="none"/>
          <w:lang w:val="en-US" w:eastAsia="zh-CN" w:bidi="ar-SA"/>
        </w:rPr>
        <w:t>11.招标文件的组成</w:t>
      </w:r>
      <w:bookmarkEnd w:id="187"/>
      <w:bookmarkEnd w:id="188"/>
      <w:bookmarkEnd w:id="189"/>
      <w:bookmarkEnd w:id="190"/>
      <w:bookmarkEnd w:id="191"/>
      <w:bookmarkEnd w:id="192"/>
    </w:p>
    <w:p w14:paraId="0FCCC62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.1本招标文件包括下列文件及根据本章第9款、第</w:t>
      </w: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款对招标文件所作的澄清或者修改。</w:t>
      </w:r>
    </w:p>
    <w:p w14:paraId="5876B8A3">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 xml:space="preserve">第一章 </w:t>
      </w:r>
      <w:r>
        <w:rPr>
          <w:rFonts w:hint="eastAsia" w:eastAsia="宋体"/>
          <w:color w:val="auto"/>
          <w:sz w:val="24"/>
          <w:highlight w:val="none"/>
          <w:lang w:val="en-US" w:eastAsia="zh-CN"/>
        </w:rPr>
        <w:t>招标公告</w:t>
      </w:r>
    </w:p>
    <w:p w14:paraId="626801D6">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第二章 投标人须知</w:t>
      </w:r>
    </w:p>
    <w:p w14:paraId="5E339F13">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第三章 采购需求</w:t>
      </w:r>
    </w:p>
    <w:p w14:paraId="750A6D4C">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第四章 资格审查</w:t>
      </w:r>
    </w:p>
    <w:p w14:paraId="08BF935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第五章 评标</w:t>
      </w:r>
      <w:r>
        <w:rPr>
          <w:rFonts w:hint="eastAsia" w:eastAsia="宋体" w:cs="仿宋_GB2312"/>
          <w:color w:val="auto"/>
          <w:sz w:val="24"/>
          <w:szCs w:val="24"/>
          <w:highlight w:val="none"/>
          <w:lang w:val="en-US" w:eastAsia="zh-CN"/>
        </w:rPr>
        <w:t>方</w:t>
      </w:r>
      <w:r>
        <w:rPr>
          <w:rFonts w:hint="eastAsia" w:eastAsia="宋体" w:cs="仿宋_GB2312"/>
          <w:color w:val="auto"/>
          <w:sz w:val="24"/>
          <w:szCs w:val="24"/>
          <w:highlight w:val="none"/>
        </w:rPr>
        <w:t>法及标准</w:t>
      </w:r>
    </w:p>
    <w:p w14:paraId="3F57501F">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第六章 合同草案</w:t>
      </w:r>
    </w:p>
    <w:p w14:paraId="5855AFA7">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第七章 投标文件的格式</w:t>
      </w:r>
    </w:p>
    <w:p w14:paraId="78CADEE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93" w:name="_Toc14064"/>
      <w:bookmarkStart w:id="194" w:name="_Toc163492836"/>
      <w:bookmarkStart w:id="195" w:name="_Toc20196"/>
      <w:bookmarkStart w:id="196" w:name="_Toc30904"/>
      <w:bookmarkStart w:id="197" w:name="_Toc140132769"/>
      <w:bookmarkStart w:id="198" w:name="_Toc13699"/>
      <w:r>
        <w:rPr>
          <w:rFonts w:hint="eastAsia" w:ascii="宋体" w:hAnsi="宋体" w:eastAsia="宋体" w:cs="宋体"/>
          <w:b/>
          <w:bCs/>
          <w:color w:val="auto"/>
          <w:kern w:val="2"/>
          <w:sz w:val="24"/>
          <w:szCs w:val="28"/>
          <w:highlight w:val="none"/>
          <w:lang w:val="en-US" w:eastAsia="zh-CN" w:bidi="ar-SA"/>
        </w:rPr>
        <w:t>12.招标文件的询问、澄清或者修改</w:t>
      </w:r>
      <w:bookmarkEnd w:id="193"/>
      <w:bookmarkEnd w:id="194"/>
      <w:bookmarkEnd w:id="195"/>
      <w:bookmarkEnd w:id="196"/>
      <w:bookmarkEnd w:id="197"/>
      <w:bookmarkEnd w:id="198"/>
    </w:p>
    <w:p w14:paraId="3A36B8C0">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w:t>
      </w:r>
      <w:r>
        <w:rPr>
          <w:rFonts w:eastAsia="宋体" w:cs="仿宋_GB2312"/>
          <w:color w:val="auto"/>
          <w:sz w:val="24"/>
          <w:szCs w:val="24"/>
          <w:highlight w:val="none"/>
        </w:rPr>
        <w:t>1</w:t>
      </w:r>
      <w:r>
        <w:rPr>
          <w:rFonts w:hint="eastAsia" w:eastAsia="宋体" w:cs="仿宋_GB2312"/>
          <w:color w:val="auto"/>
          <w:sz w:val="24"/>
          <w:szCs w:val="24"/>
          <w:highlight w:val="none"/>
        </w:rPr>
        <w:t xml:space="preserve"> 投标人对采购项目有疑问的，可以按照“投标人须知前附表”中的规定提出询问。提出后，请投标人及时通过交易平台“答疑文件下载”栏目查看答疑文件或澄清文件。必要时，采购代理机构将组织相关专家召开答疑会，如召开，答疑会安排另行通知。采购人或采购代理机构将在收到询问后依法予以答复。对招标文件询问的答复，在必要时将以澄清形式推送给每个获取招标文件的潜在投标人(答复中不包括问题的来源)。</w:t>
      </w:r>
    </w:p>
    <w:p w14:paraId="56F4138C">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投标人在规定的时间内未对招标文件提出疑问或要求澄清的，采购代理机构将视其为同意，对在“投标人须知前附表”中“</w:t>
      </w:r>
      <w:r>
        <w:rPr>
          <w:rFonts w:hint="eastAsia" w:eastAsia="宋体" w:cs="仿宋_GB2312"/>
          <w:color w:val="auto"/>
          <w:sz w:val="24"/>
          <w:szCs w:val="24"/>
          <w:highlight w:val="none"/>
          <w:lang w:val="en-US" w:eastAsia="zh-CN"/>
        </w:rPr>
        <w:t>提出询问的</w:t>
      </w:r>
      <w:r>
        <w:rPr>
          <w:rFonts w:hint="eastAsia" w:eastAsia="宋体" w:cs="仿宋_GB2312"/>
          <w:color w:val="auto"/>
          <w:sz w:val="24"/>
          <w:szCs w:val="24"/>
          <w:highlight w:val="none"/>
        </w:rPr>
        <w:t>时间</w:t>
      </w:r>
      <w:r>
        <w:rPr>
          <w:rFonts w:hint="eastAsia" w:eastAsia="宋体" w:cs="仿宋_GB2312"/>
          <w:color w:val="auto"/>
          <w:sz w:val="24"/>
          <w:szCs w:val="24"/>
          <w:highlight w:val="none"/>
          <w:lang w:val="en-US" w:eastAsia="zh-CN"/>
        </w:rPr>
        <w:t>要求</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之</w:t>
      </w:r>
      <w:r>
        <w:rPr>
          <w:rFonts w:hint="eastAsia" w:eastAsia="宋体" w:cs="仿宋_GB2312"/>
          <w:color w:val="auto"/>
          <w:sz w:val="24"/>
          <w:szCs w:val="24"/>
          <w:highlight w:val="none"/>
        </w:rPr>
        <w:t>后就招标文件内容提出的疑问及澄清要求将不予受理。</w:t>
      </w:r>
    </w:p>
    <w:p w14:paraId="4A5FAB87">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.2 采购人或者采购代理机构可以对已发出的招标文件进行必要的澄清或者修改。</w:t>
      </w:r>
      <w:r>
        <w:rPr>
          <w:rFonts w:hint="eastAsia" w:eastAsia="宋体"/>
          <w:color w:val="auto"/>
          <w:sz w:val="24"/>
          <w:highlight w:val="none"/>
        </w:rPr>
        <w:t>澄清或修改的内容为招标文件的组成部分，并对所有获取招标文件的潜在投标人具有约束力。</w:t>
      </w:r>
    </w:p>
    <w:p w14:paraId="1EB83C80">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.3 招标文件的澄清或者修改以当面交接、邮寄、传真或电子邮件、网站披露等其中至少一种方式，发给所有领取招标文件的</w:t>
      </w:r>
      <w:r>
        <w:rPr>
          <w:rFonts w:hint="eastAsia" w:eastAsia="宋体" w:cs="仿宋_GB2312"/>
          <w:color w:val="auto"/>
          <w:sz w:val="24"/>
          <w:szCs w:val="24"/>
          <w:highlight w:val="none"/>
          <w:lang w:val="en-US" w:eastAsia="zh-CN"/>
        </w:rPr>
        <w:t>潜在</w:t>
      </w:r>
      <w:r>
        <w:rPr>
          <w:rFonts w:hint="eastAsia" w:eastAsia="宋体" w:cs="仿宋_GB2312"/>
          <w:color w:val="auto"/>
          <w:sz w:val="24"/>
          <w:szCs w:val="24"/>
          <w:highlight w:val="none"/>
        </w:rPr>
        <w:t>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F274E6E">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1</w:t>
      </w:r>
      <w:r>
        <w:rPr>
          <w:rFonts w:hint="eastAsia" w:eastAsia="宋体"/>
          <w:color w:val="auto"/>
          <w:sz w:val="24"/>
          <w:highlight w:val="none"/>
          <w:lang w:val="en-US" w:eastAsia="zh-CN"/>
        </w:rPr>
        <w:t>2</w:t>
      </w:r>
      <w:r>
        <w:rPr>
          <w:rFonts w:eastAsia="宋体"/>
          <w:color w:val="auto"/>
          <w:sz w:val="24"/>
          <w:highlight w:val="none"/>
        </w:rPr>
        <w:t>.</w:t>
      </w:r>
      <w:r>
        <w:rPr>
          <w:rFonts w:hint="eastAsia" w:eastAsia="宋体"/>
          <w:color w:val="auto"/>
          <w:sz w:val="24"/>
          <w:highlight w:val="none"/>
        </w:rPr>
        <w:t xml:space="preserve">4 </w:t>
      </w:r>
      <w:r>
        <w:rPr>
          <w:rFonts w:hint="eastAsia" w:eastAsia="宋体" w:cs="仿宋_GB2312"/>
          <w:color w:val="auto"/>
          <w:sz w:val="24"/>
          <w:szCs w:val="24"/>
          <w:highlight w:val="none"/>
          <w:lang w:val="en-US" w:eastAsia="zh-CN"/>
        </w:rPr>
        <w:t>“</w:t>
      </w:r>
      <w:r>
        <w:rPr>
          <w:rFonts w:hint="eastAsia" w:eastAsia="宋体" w:cs="仿宋_GB2312"/>
          <w:color w:val="auto"/>
          <w:sz w:val="24"/>
          <w:szCs w:val="24"/>
          <w:highlight w:val="none"/>
        </w:rPr>
        <w:t>投标人须知”所称“</w:t>
      </w:r>
      <w:r>
        <w:rPr>
          <w:rFonts w:hint="eastAsia" w:eastAsia="宋体"/>
          <w:color w:val="auto"/>
          <w:sz w:val="24"/>
          <w:highlight w:val="none"/>
        </w:rPr>
        <w:t>书面形式</w:t>
      </w:r>
      <w:r>
        <w:rPr>
          <w:rFonts w:hint="eastAsia" w:eastAsia="宋体" w:cs="仿宋_GB2312"/>
          <w:color w:val="auto"/>
          <w:sz w:val="24"/>
          <w:szCs w:val="24"/>
          <w:highlight w:val="none"/>
        </w:rPr>
        <w:t>”</w:t>
      </w:r>
      <w:r>
        <w:rPr>
          <w:rFonts w:hint="eastAsia" w:eastAsia="宋体"/>
          <w:color w:val="auto"/>
          <w:sz w:val="24"/>
          <w:highlight w:val="none"/>
        </w:rPr>
        <w:t>包括系统消息、政府采购</w:t>
      </w:r>
      <w:r>
        <w:rPr>
          <w:rFonts w:hint="eastAsia" w:eastAsia="宋体"/>
          <w:color w:val="auto"/>
          <w:sz w:val="24"/>
          <w:highlight w:val="none"/>
          <w:lang w:val="en-US" w:eastAsia="zh-CN"/>
        </w:rPr>
        <w:t>云平台</w:t>
      </w:r>
      <w:r>
        <w:rPr>
          <w:rFonts w:hint="eastAsia" w:eastAsia="宋体"/>
          <w:color w:val="auto"/>
          <w:sz w:val="24"/>
          <w:highlight w:val="none"/>
        </w:rPr>
        <w:t>发布的公告。</w:t>
      </w:r>
    </w:p>
    <w:p w14:paraId="1E6D774C">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2</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5</w:t>
      </w:r>
      <w:r>
        <w:rPr>
          <w:rFonts w:hint="eastAsia" w:ascii="宋体" w:hAnsi="宋体" w:eastAsia="宋体" w:cs="宋体"/>
          <w:color w:val="auto"/>
          <w:kern w:val="2"/>
          <w:sz w:val="24"/>
          <w:szCs w:val="22"/>
          <w:highlight w:val="none"/>
        </w:rPr>
        <w:t>采购代理机构一旦对招标文件作出了澄清、修改，即刻发生效力，采购代理机构有关的澄清、修改文件，将作为招标文件的组成部分，对所有现实的或潜在的投标人均具有约束力，而无论是否已经实际收到上述文件。同时，采购代理机构和投标人的权利及义务将受到新的截止期的约束。</w:t>
      </w:r>
    </w:p>
    <w:p w14:paraId="39FCE417">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2</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采购代理机构对招标文件作出的澄清、修改在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578320B0">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199" w:name="_Toc195"/>
      <w:bookmarkStart w:id="200" w:name="_Toc13035"/>
      <w:bookmarkStart w:id="201" w:name="_Toc155185872"/>
      <w:bookmarkStart w:id="202" w:name="_Toc3060"/>
      <w:bookmarkStart w:id="203" w:name="_Toc163492837"/>
      <w:bookmarkStart w:id="204" w:name="_Toc9097"/>
      <w:r>
        <w:rPr>
          <w:rFonts w:hint="eastAsia" w:ascii="宋体" w:hAnsi="宋体" w:eastAsia="宋体" w:cstheme="minorBidi"/>
          <w:b/>
          <w:bCs/>
          <w:color w:val="auto"/>
          <w:kern w:val="2"/>
          <w:sz w:val="24"/>
          <w:szCs w:val="32"/>
          <w:highlight w:val="none"/>
          <w:lang w:val="en-US" w:eastAsia="zh-CN" w:bidi="ar-SA"/>
        </w:rPr>
        <w:t>（三）投标文件</w:t>
      </w:r>
      <w:bookmarkEnd w:id="199"/>
      <w:bookmarkEnd w:id="200"/>
      <w:bookmarkEnd w:id="201"/>
      <w:bookmarkEnd w:id="202"/>
      <w:bookmarkEnd w:id="203"/>
      <w:bookmarkEnd w:id="204"/>
    </w:p>
    <w:p w14:paraId="67D7EC6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205" w:name="_Toc30794"/>
      <w:bookmarkStart w:id="206" w:name="_Toc13879"/>
      <w:bookmarkStart w:id="207" w:name="_Toc1776"/>
      <w:bookmarkStart w:id="208" w:name="_Toc163492838"/>
      <w:bookmarkStart w:id="209" w:name="_Toc24818"/>
      <w:r>
        <w:rPr>
          <w:rFonts w:hint="eastAsia" w:ascii="宋体" w:hAnsi="宋体" w:eastAsia="宋体" w:cs="宋体"/>
          <w:b/>
          <w:bCs/>
          <w:color w:val="auto"/>
          <w:kern w:val="2"/>
          <w:sz w:val="24"/>
          <w:szCs w:val="28"/>
          <w:highlight w:val="none"/>
          <w:lang w:val="en-US" w:eastAsia="zh-CN" w:bidi="ar-SA"/>
        </w:rPr>
        <w:t>13.投标文件的组成</w:t>
      </w:r>
      <w:bookmarkEnd w:id="205"/>
      <w:bookmarkEnd w:id="206"/>
      <w:bookmarkEnd w:id="207"/>
      <w:bookmarkEnd w:id="208"/>
      <w:bookmarkEnd w:id="209"/>
    </w:p>
    <w:p w14:paraId="174A0A3D">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bookmarkStart w:id="210" w:name="_Toc140132772"/>
      <w:bookmarkStart w:id="211" w:name="_Toc163492839"/>
      <w:r>
        <w:rPr>
          <w:rFonts w:hint="eastAsia" w:ascii="宋体" w:hAnsi="宋体" w:eastAsia="宋体" w:cs="宋体"/>
          <w:color w:val="auto"/>
          <w:kern w:val="2"/>
          <w:sz w:val="24"/>
          <w:szCs w:val="22"/>
          <w:highlight w:val="none"/>
          <w:lang w:val="en-US" w:eastAsia="zh-CN"/>
        </w:rPr>
        <w:t>13</w:t>
      </w:r>
      <w:r>
        <w:rPr>
          <w:rFonts w:hint="eastAsia" w:ascii="宋体" w:hAnsi="宋体" w:eastAsia="宋体" w:cs="宋体"/>
          <w:color w:val="auto"/>
          <w:kern w:val="2"/>
          <w:sz w:val="24"/>
          <w:szCs w:val="22"/>
          <w:highlight w:val="none"/>
        </w:rPr>
        <w:t>.1投标人应完整地按招标文件提供的投标文件格式及要求编写投标文件，具体内容详见</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lang w:val="en-US" w:eastAsia="zh-CN"/>
        </w:rPr>
        <w:t xml:space="preserve">第七章 </w:t>
      </w:r>
      <w:r>
        <w:rPr>
          <w:rFonts w:hint="eastAsia" w:ascii="宋体" w:hAnsi="宋体" w:eastAsia="宋体" w:cs="宋体"/>
          <w:color w:val="auto"/>
          <w:kern w:val="2"/>
          <w:sz w:val="24"/>
          <w:szCs w:val="22"/>
          <w:highlight w:val="none"/>
        </w:rPr>
        <w:t>投标文件格式</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的相关内容。</w:t>
      </w:r>
    </w:p>
    <w:p w14:paraId="3BB3A0B7">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13.2</w:t>
      </w:r>
      <w:r>
        <w:rPr>
          <w:rFonts w:hint="eastAsia" w:ascii="宋体" w:hAnsi="宋体" w:eastAsia="宋体" w:cs="宋体"/>
          <w:color w:val="auto"/>
          <w:kern w:val="2"/>
          <w:sz w:val="24"/>
          <w:szCs w:val="22"/>
          <w:highlight w:val="none"/>
        </w:rPr>
        <w:t>投标人应提交招标文件要求的证明文件，证明其投标内容符合招标文件规定</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该证明文件是投标文件的一部分</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证明文件</w:t>
      </w:r>
      <w:r>
        <w:rPr>
          <w:rFonts w:hint="eastAsia" w:ascii="宋体" w:hAnsi="宋体" w:eastAsia="宋体" w:cs="宋体"/>
          <w:color w:val="auto"/>
          <w:kern w:val="2"/>
          <w:sz w:val="24"/>
          <w:szCs w:val="22"/>
          <w:highlight w:val="none"/>
          <w:lang w:val="en-US" w:eastAsia="zh-CN"/>
        </w:rPr>
        <w:t>形式</w:t>
      </w:r>
      <w:r>
        <w:rPr>
          <w:rFonts w:hint="eastAsia" w:ascii="宋体" w:hAnsi="宋体" w:eastAsia="宋体" w:cs="宋体"/>
          <w:color w:val="auto"/>
          <w:kern w:val="2"/>
          <w:sz w:val="24"/>
          <w:szCs w:val="22"/>
          <w:highlight w:val="none"/>
        </w:rPr>
        <w:t>可以是文字资料、图纸和数据</w:t>
      </w:r>
      <w:bookmarkStart w:id="212" w:name="_Hlk11703583"/>
      <w:r>
        <w:rPr>
          <w:rFonts w:hint="eastAsia" w:ascii="宋体" w:hAnsi="宋体" w:eastAsia="宋体" w:cs="宋体"/>
          <w:color w:val="auto"/>
          <w:kern w:val="2"/>
          <w:sz w:val="24"/>
          <w:szCs w:val="22"/>
          <w:highlight w:val="none"/>
          <w:lang w:val="en-US" w:eastAsia="zh-CN"/>
        </w:rPr>
        <w:t>等。</w:t>
      </w:r>
    </w:p>
    <w:bookmarkEnd w:id="212"/>
    <w:p w14:paraId="781BBAEB">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13.3</w:t>
      </w:r>
      <w:r>
        <w:rPr>
          <w:rFonts w:hint="eastAsia" w:ascii="宋体" w:hAnsi="宋体" w:eastAsia="宋体" w:cs="宋体"/>
          <w:color w:val="auto"/>
          <w:kern w:val="2"/>
          <w:sz w:val="24"/>
          <w:szCs w:val="22"/>
          <w:highlight w:val="none"/>
        </w:rPr>
        <w:t>为保证公平公正，除非</w:t>
      </w:r>
      <w:r>
        <w:rPr>
          <w:rFonts w:hint="eastAsia" w:ascii="宋体" w:hAnsi="宋体" w:eastAsia="宋体" w:cs="宋体"/>
          <w:color w:val="auto"/>
          <w:kern w:val="2"/>
          <w:sz w:val="24"/>
          <w:szCs w:val="22"/>
          <w:highlight w:val="none"/>
          <w:lang w:val="en-US" w:eastAsia="zh-CN"/>
        </w:rPr>
        <w:t>本招标文件</w:t>
      </w:r>
      <w:r>
        <w:rPr>
          <w:rFonts w:hint="eastAsia" w:ascii="宋体" w:hAnsi="宋体" w:eastAsia="宋体" w:cs="宋体"/>
          <w:color w:val="auto"/>
          <w:kern w:val="2"/>
          <w:sz w:val="24"/>
          <w:szCs w:val="22"/>
          <w:highlight w:val="none"/>
        </w:rPr>
        <w:t>另有规定或说明，投标人对同一项目投标时，不得同时提供备选投标方案。</w:t>
      </w:r>
    </w:p>
    <w:p w14:paraId="2DB5A9E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13" w:name="_Toc12233"/>
      <w:bookmarkStart w:id="214" w:name="_Toc10265"/>
      <w:bookmarkStart w:id="215" w:name="_Toc893"/>
      <w:bookmarkStart w:id="216" w:name="_Toc16697"/>
      <w:r>
        <w:rPr>
          <w:rFonts w:hint="eastAsia" w:ascii="宋体" w:hAnsi="宋体" w:eastAsia="宋体" w:cs="宋体"/>
          <w:b/>
          <w:bCs/>
          <w:color w:val="auto"/>
          <w:kern w:val="2"/>
          <w:sz w:val="24"/>
          <w:szCs w:val="28"/>
          <w:highlight w:val="none"/>
          <w:lang w:val="en-US" w:eastAsia="zh-CN" w:bidi="ar-SA"/>
        </w:rPr>
        <w:t>14.投标报价</w:t>
      </w:r>
      <w:bookmarkEnd w:id="210"/>
      <w:bookmarkEnd w:id="211"/>
      <w:bookmarkEnd w:id="213"/>
      <w:bookmarkEnd w:id="214"/>
      <w:bookmarkEnd w:id="215"/>
      <w:bookmarkEnd w:id="216"/>
    </w:p>
    <w:p w14:paraId="3BD2CDC3">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lang w:val="zh-CN"/>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 xml:space="preserve">.1 </w:t>
      </w:r>
      <w:r>
        <w:rPr>
          <w:rFonts w:hint="eastAsia" w:eastAsia="宋体" w:cs="宋体"/>
          <w:snapToGrid w:val="0"/>
          <w:color w:val="auto"/>
          <w:sz w:val="24"/>
          <w:szCs w:val="24"/>
          <w:highlight w:val="none"/>
          <w:lang w:val="zh-CN"/>
        </w:rPr>
        <w:t>投标人的报价均应以人民币进行报价。</w:t>
      </w:r>
    </w:p>
    <w:p w14:paraId="6CC00543">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宋体"/>
          <w:snapToGrid w:val="0"/>
          <w:color w:val="auto"/>
          <w:sz w:val="24"/>
          <w:szCs w:val="24"/>
          <w:highlight w:val="none"/>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.2 投标人应按照本招标文件规定的报价方式进行报价，投标报价中不得包含招标文件要求以外的内容，否则，在评标时不予核减。投标报价中也不得</w:t>
      </w:r>
      <w:r>
        <w:rPr>
          <w:rFonts w:hint="eastAsia" w:eastAsia="宋体" w:cs="宋体"/>
          <w:snapToGrid w:val="0"/>
          <w:color w:val="auto"/>
          <w:sz w:val="24"/>
          <w:szCs w:val="24"/>
          <w:highlight w:val="none"/>
          <w:lang w:val="en-US" w:eastAsia="zh-CN"/>
        </w:rPr>
        <w:t>缺</w:t>
      </w:r>
      <w:r>
        <w:rPr>
          <w:rFonts w:hint="eastAsia" w:eastAsia="宋体" w:cs="宋体"/>
          <w:snapToGrid w:val="0"/>
          <w:color w:val="auto"/>
          <w:sz w:val="24"/>
          <w:szCs w:val="24"/>
          <w:highlight w:val="none"/>
        </w:rPr>
        <w:t>漏招标文件所要求的内容，否则，其</w:t>
      </w:r>
      <w:r>
        <w:rPr>
          <w:rFonts w:hint="eastAsia" w:eastAsia="宋体" w:cs="宋体"/>
          <w:b/>
          <w:bCs/>
          <w:snapToGrid w:val="0"/>
          <w:color w:val="auto"/>
          <w:sz w:val="24"/>
          <w:szCs w:val="24"/>
          <w:highlight w:val="none"/>
        </w:rPr>
        <w:t>投标无效</w:t>
      </w:r>
      <w:r>
        <w:rPr>
          <w:rFonts w:hint="eastAsia" w:eastAsia="宋体" w:cs="宋体"/>
          <w:snapToGrid w:val="0"/>
          <w:color w:val="auto"/>
          <w:sz w:val="24"/>
          <w:szCs w:val="24"/>
          <w:highlight w:val="none"/>
        </w:rPr>
        <w:t>。</w:t>
      </w:r>
    </w:p>
    <w:p w14:paraId="1197AD09">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2"/>
          <w:highlight w:val="none"/>
        </w:rPr>
      </w:pPr>
      <w:r>
        <w:rPr>
          <w:rFonts w:hint="eastAsia" w:eastAsia="宋体" w:cs="宋体"/>
          <w:color w:val="auto"/>
          <w:kern w:val="2"/>
          <w:sz w:val="24"/>
          <w:szCs w:val="22"/>
          <w:highlight w:val="none"/>
          <w:lang w:val="en-US" w:eastAsia="zh-CN"/>
        </w:rPr>
        <w:t>投标人的报价应包括为完成本项目所发生的一切费用和税费，采购人将不再支付报价以外的任何费用。</w:t>
      </w:r>
      <w:r>
        <w:rPr>
          <w:rFonts w:hint="eastAsia" w:ascii="宋体" w:hAnsi="宋体" w:eastAsia="宋体" w:cs="宋体"/>
          <w:color w:val="auto"/>
          <w:kern w:val="2"/>
          <w:sz w:val="24"/>
          <w:szCs w:val="22"/>
          <w:highlight w:val="none"/>
        </w:rPr>
        <w:t>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41BDFD38">
      <w:pPr>
        <w:pStyle w:val="10"/>
        <w:keepNext w:val="0"/>
        <w:keepLines w:val="0"/>
        <w:pageBreakBefore w:val="0"/>
        <w:widowControl w:val="0"/>
        <w:kinsoku/>
        <w:overflowPunct/>
        <w:topLinePunct w:val="0"/>
        <w:autoSpaceDE/>
        <w:autoSpaceDN/>
        <w:bidi w:val="0"/>
        <w:adjustRightInd/>
        <w:textAlignment w:val="auto"/>
        <w:rPr>
          <w:rFonts w:hint="eastAsia" w:eastAsia="宋体" w:cs="宋体"/>
          <w:color w:val="auto"/>
          <w:kern w:val="2"/>
          <w:sz w:val="24"/>
          <w:szCs w:val="22"/>
          <w:highlight w:val="none"/>
          <w:lang w:val="en-US" w:eastAsia="zh-CN"/>
        </w:rPr>
      </w:pPr>
      <w:r>
        <w:rPr>
          <w:rFonts w:hint="eastAsia" w:eastAsia="宋体" w:cs="宋体"/>
          <w:color w:val="auto"/>
          <w:kern w:val="2"/>
          <w:sz w:val="24"/>
          <w:szCs w:val="22"/>
          <w:highlight w:val="none"/>
          <w:lang w:val="en-US" w:eastAsia="zh-CN"/>
        </w:rPr>
        <w:t xml:space="preserve">投标人的报价应包括但不限于下列内容： </w:t>
      </w:r>
    </w:p>
    <w:p w14:paraId="4342C0DA">
      <w:pPr>
        <w:pStyle w:val="10"/>
        <w:keepNext w:val="0"/>
        <w:keepLines w:val="0"/>
        <w:pageBreakBefore w:val="0"/>
        <w:widowControl w:val="0"/>
        <w:kinsoku/>
        <w:overflowPunct/>
        <w:topLinePunct w:val="0"/>
        <w:autoSpaceDE/>
        <w:autoSpaceDN/>
        <w:bidi w:val="0"/>
        <w:adjustRightInd/>
        <w:textAlignment w:val="auto"/>
        <w:rPr>
          <w:rFonts w:hint="eastAsia" w:eastAsia="宋体" w:cs="宋体"/>
          <w:color w:val="auto"/>
          <w:kern w:val="2"/>
          <w:sz w:val="24"/>
          <w:szCs w:val="22"/>
          <w:highlight w:val="none"/>
          <w:lang w:val="en-US" w:eastAsia="zh-CN"/>
        </w:rPr>
      </w:pPr>
      <w:r>
        <w:rPr>
          <w:rFonts w:hint="eastAsia" w:ascii="宋体" w:hAnsi="宋体" w:eastAsia="宋体" w:cs="宋体"/>
          <w:snapToGrid w:val="0"/>
          <w:color w:val="auto"/>
          <w:kern w:val="2"/>
          <w:sz w:val="24"/>
          <w:szCs w:val="24"/>
          <w:highlight w:val="none"/>
          <w:lang w:val="en-US" w:eastAsia="zh-CN" w:bidi="ar-SA"/>
        </w:rPr>
        <w:t>14.2.1 投标货物及标准附件、备品备件、专用工具等的出厂价（包括已在中</w:t>
      </w:r>
      <w:r>
        <w:rPr>
          <w:rFonts w:hint="eastAsia" w:eastAsia="宋体" w:cs="宋体"/>
          <w:color w:val="auto"/>
          <w:kern w:val="2"/>
          <w:sz w:val="24"/>
          <w:szCs w:val="22"/>
          <w:highlight w:val="none"/>
          <w:lang w:val="en-US" w:eastAsia="zh-CN"/>
        </w:rPr>
        <w:t xml:space="preserve">国国内的进口货物完税后的仓库交货价、展室交货价或货架交货价）和运至最终目的地的运输费和保险费，安装调试、检验、技术服务、培训、质量保证、售后服务、税费等； </w:t>
      </w:r>
    </w:p>
    <w:p w14:paraId="412F0384">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14.2.2 按照招标文件要求完成本项目的全部相关费用。</w:t>
      </w:r>
    </w:p>
    <w:p w14:paraId="3EFD841C">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lang w:val="zh-CN"/>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 xml:space="preserve">.3 </w:t>
      </w:r>
      <w:r>
        <w:rPr>
          <w:rFonts w:hint="eastAsia" w:ascii="宋体" w:hAnsi="宋体" w:eastAsia="宋体" w:cs="宋体"/>
          <w:color w:val="auto"/>
          <w:kern w:val="2"/>
          <w:sz w:val="24"/>
          <w:szCs w:val="22"/>
          <w:highlight w:val="none"/>
        </w:rPr>
        <w:t>投标人须严格按照</w:t>
      </w:r>
      <w:r>
        <w:rPr>
          <w:rFonts w:hint="eastAsia" w:eastAsia="宋体" w:cs="宋体"/>
          <w:color w:val="auto"/>
          <w:kern w:val="2"/>
          <w:sz w:val="24"/>
          <w:szCs w:val="22"/>
          <w:highlight w:val="none"/>
          <w:lang w:val="en-US" w:eastAsia="zh-CN"/>
        </w:rPr>
        <w:t>分项</w:t>
      </w:r>
      <w:r>
        <w:rPr>
          <w:rFonts w:hint="eastAsia" w:ascii="宋体" w:hAnsi="宋体" w:eastAsia="宋体" w:cs="宋体"/>
          <w:color w:val="auto"/>
          <w:kern w:val="2"/>
          <w:sz w:val="24"/>
          <w:szCs w:val="22"/>
          <w:highlight w:val="none"/>
        </w:rPr>
        <w:t>报价表规定的内容填写货物单价以及其他事项。</w:t>
      </w:r>
      <w:r>
        <w:rPr>
          <w:rFonts w:hint="eastAsia" w:eastAsia="宋体" w:cs="宋体"/>
          <w:snapToGrid w:val="0"/>
          <w:color w:val="auto"/>
          <w:sz w:val="24"/>
          <w:szCs w:val="24"/>
          <w:highlight w:val="none"/>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w:t>
      </w:r>
      <w:r>
        <w:rPr>
          <w:rFonts w:hint="eastAsia" w:eastAsia="宋体" w:cs="宋体"/>
          <w:snapToGrid w:val="0"/>
          <w:color w:val="auto"/>
          <w:sz w:val="24"/>
          <w:szCs w:val="24"/>
          <w:highlight w:val="none"/>
          <w:lang w:val="en-US" w:eastAsia="zh-CN"/>
        </w:rPr>
        <w:t>缴</w:t>
      </w:r>
      <w:r>
        <w:rPr>
          <w:rFonts w:hint="eastAsia" w:eastAsia="宋体" w:cs="宋体"/>
          <w:snapToGrid w:val="0"/>
          <w:color w:val="auto"/>
          <w:sz w:val="24"/>
          <w:szCs w:val="24"/>
          <w:highlight w:val="none"/>
          <w:lang w:val="zh-CN"/>
        </w:rPr>
        <w:t>纳的费用都应包括在投标人提交的投标报价中。</w:t>
      </w:r>
    </w:p>
    <w:p w14:paraId="5E3B6519">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.4 投标人在投标文件中注明免费的项目将视为包含在投标报价中。</w:t>
      </w:r>
    </w:p>
    <w:p w14:paraId="78B9FFCD">
      <w:pPr>
        <w:pStyle w:val="1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4.5 每一</w:t>
      </w:r>
      <w:r>
        <w:rPr>
          <w:rFonts w:hint="eastAsia" w:eastAsia="宋体" w:cs="宋体"/>
          <w:snapToGrid w:val="0"/>
          <w:color w:val="auto"/>
          <w:sz w:val="24"/>
          <w:szCs w:val="24"/>
          <w:highlight w:val="none"/>
        </w:rPr>
        <w:t>种采购内容只允许有一个报价，否则其</w:t>
      </w:r>
      <w:r>
        <w:rPr>
          <w:rFonts w:hint="eastAsia" w:eastAsia="宋体" w:cs="宋体"/>
          <w:b/>
          <w:bCs/>
          <w:snapToGrid w:val="0"/>
          <w:color w:val="auto"/>
          <w:sz w:val="24"/>
          <w:szCs w:val="24"/>
          <w:highlight w:val="none"/>
        </w:rPr>
        <w:t>投标无效</w:t>
      </w:r>
      <w:r>
        <w:rPr>
          <w:rFonts w:hint="eastAsia" w:eastAsia="宋体" w:cs="宋体"/>
          <w:snapToGrid w:val="0"/>
          <w:color w:val="auto"/>
          <w:sz w:val="24"/>
          <w:szCs w:val="24"/>
          <w:highlight w:val="none"/>
        </w:rPr>
        <w:t>。</w:t>
      </w:r>
      <w:r>
        <w:rPr>
          <w:rFonts w:hint="eastAsia" w:ascii="宋体" w:hAnsi="宋体" w:eastAsia="宋体" w:cs="宋体"/>
          <w:color w:val="auto"/>
          <w:kern w:val="2"/>
          <w:sz w:val="24"/>
          <w:szCs w:val="22"/>
          <w:highlight w:val="none"/>
        </w:rPr>
        <w:t>除非招标文件另有规定，不接受可选择或可调整的投标方案和报价，任何有选择的或可调整的投标方案和报价将被视为非</w:t>
      </w:r>
      <w:r>
        <w:rPr>
          <w:rFonts w:hint="eastAsia" w:ascii="宋体" w:hAnsi="宋体" w:eastAsia="宋体" w:cs="宋体"/>
          <w:color w:val="auto"/>
          <w:kern w:val="2"/>
          <w:sz w:val="24"/>
          <w:szCs w:val="22"/>
          <w:highlight w:val="none"/>
          <w:lang w:val="en-US" w:eastAsia="zh-CN"/>
        </w:rPr>
        <w:t>实质性</w:t>
      </w:r>
      <w:r>
        <w:rPr>
          <w:rFonts w:hint="eastAsia" w:ascii="宋体" w:hAnsi="宋体" w:eastAsia="宋体" w:cs="宋体"/>
          <w:color w:val="auto"/>
          <w:kern w:val="2"/>
          <w:sz w:val="24"/>
          <w:szCs w:val="22"/>
          <w:highlight w:val="none"/>
        </w:rPr>
        <w:t>响应</w:t>
      </w:r>
      <w:r>
        <w:rPr>
          <w:rFonts w:hint="eastAsia" w:ascii="宋体" w:hAnsi="宋体" w:eastAsia="宋体" w:cs="宋体"/>
          <w:color w:val="auto"/>
          <w:kern w:val="2"/>
          <w:sz w:val="24"/>
          <w:szCs w:val="22"/>
          <w:highlight w:val="none"/>
          <w:lang w:val="en-US" w:eastAsia="zh-CN"/>
        </w:rPr>
        <w:t>招标文件,其</w:t>
      </w:r>
      <w:r>
        <w:rPr>
          <w:rFonts w:hint="eastAsia" w:eastAsia="宋体" w:cs="宋体"/>
          <w:b/>
          <w:bCs/>
          <w:snapToGrid w:val="0"/>
          <w:color w:val="auto"/>
          <w:sz w:val="24"/>
          <w:szCs w:val="24"/>
          <w:highlight w:val="none"/>
          <w:lang w:eastAsia="zh-CN"/>
        </w:rPr>
        <w:t>投标无效</w:t>
      </w:r>
      <w:r>
        <w:rPr>
          <w:rFonts w:hint="eastAsia" w:ascii="宋体" w:hAnsi="宋体" w:eastAsia="宋体" w:cs="宋体"/>
          <w:color w:val="auto"/>
          <w:kern w:val="2"/>
          <w:sz w:val="24"/>
          <w:szCs w:val="22"/>
          <w:highlight w:val="none"/>
        </w:rPr>
        <w:t>。</w:t>
      </w:r>
    </w:p>
    <w:p w14:paraId="234C15F2">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4</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 xml:space="preserve">6 </w:t>
      </w:r>
      <w:r>
        <w:rPr>
          <w:rFonts w:hint="eastAsia" w:eastAsia="宋体" w:cs="仿宋_GB2312"/>
          <w:color w:val="auto"/>
          <w:sz w:val="24"/>
          <w:szCs w:val="24"/>
          <w:highlight w:val="none"/>
        </w:rPr>
        <w:t>投标报价不得超过“</w:t>
      </w:r>
      <w:r>
        <w:rPr>
          <w:rFonts w:hint="eastAsia" w:eastAsia="宋体"/>
          <w:color w:val="auto"/>
          <w:sz w:val="24"/>
          <w:highlight w:val="none"/>
          <w:lang w:val="en-US" w:eastAsia="zh-CN"/>
        </w:rPr>
        <w:t>第一章 招标公告</w:t>
      </w:r>
      <w:r>
        <w:rPr>
          <w:rFonts w:hint="eastAsia" w:eastAsia="宋体" w:cs="仿宋_GB2312"/>
          <w:color w:val="auto"/>
          <w:sz w:val="24"/>
          <w:szCs w:val="24"/>
          <w:highlight w:val="none"/>
        </w:rPr>
        <w:t>”中规定的最高投标限价</w:t>
      </w:r>
      <w:r>
        <w:rPr>
          <w:rFonts w:hint="eastAsia" w:ascii="宋体" w:hAnsi="宋体" w:eastAsia="宋体"/>
          <w:color w:val="auto"/>
          <w:sz w:val="24"/>
          <w:highlight w:val="none"/>
          <w:lang w:val="en-US" w:eastAsia="zh-CN"/>
        </w:rPr>
        <w:t>或者预算金额</w:t>
      </w:r>
      <w:r>
        <w:rPr>
          <w:rFonts w:hint="eastAsia" w:eastAsia="宋体" w:cs="仿宋_GB2312"/>
          <w:color w:val="auto"/>
          <w:sz w:val="24"/>
          <w:szCs w:val="24"/>
          <w:highlight w:val="none"/>
        </w:rPr>
        <w:t>，否则</w:t>
      </w:r>
      <w:r>
        <w:rPr>
          <w:rFonts w:eastAsia="宋体" w:cs="仿宋_GB2312"/>
          <w:color w:val="auto"/>
          <w:sz w:val="24"/>
          <w:szCs w:val="24"/>
          <w:highlight w:val="none"/>
        </w:rPr>
        <w:t>评标委员会将</w:t>
      </w:r>
      <w:r>
        <w:rPr>
          <w:rFonts w:hint="eastAsia" w:eastAsia="宋体" w:cs="仿宋_GB2312"/>
          <w:b w:val="0"/>
          <w:bCs w:val="0"/>
          <w:color w:val="auto"/>
          <w:sz w:val="24"/>
          <w:szCs w:val="24"/>
          <w:highlight w:val="none"/>
          <w:lang w:val="en-US" w:eastAsia="zh-CN"/>
        </w:rPr>
        <w:t>对</w:t>
      </w:r>
      <w:r>
        <w:rPr>
          <w:rFonts w:eastAsia="宋体" w:cs="仿宋_GB2312"/>
          <w:b w:val="0"/>
          <w:bCs w:val="0"/>
          <w:color w:val="auto"/>
          <w:sz w:val="24"/>
          <w:szCs w:val="24"/>
          <w:highlight w:val="none"/>
        </w:rPr>
        <w:t>其</w:t>
      </w:r>
      <w:r>
        <w:rPr>
          <w:rFonts w:hint="eastAsia" w:eastAsia="宋体" w:cs="仿宋_GB2312"/>
          <w:b w:val="0"/>
          <w:bCs w:val="0"/>
          <w:color w:val="auto"/>
          <w:sz w:val="24"/>
          <w:szCs w:val="24"/>
          <w:highlight w:val="none"/>
          <w:lang w:val="en-US" w:eastAsia="zh-CN"/>
        </w:rPr>
        <w:t>作</w:t>
      </w:r>
      <w:r>
        <w:rPr>
          <w:rFonts w:hint="eastAsia" w:eastAsia="宋体" w:cs="仿宋_GB2312"/>
          <w:b/>
          <w:bCs/>
          <w:color w:val="auto"/>
          <w:sz w:val="24"/>
          <w:szCs w:val="24"/>
          <w:highlight w:val="none"/>
          <w:lang w:val="en-US" w:eastAsia="zh-CN"/>
        </w:rPr>
        <w:t>无效</w:t>
      </w:r>
      <w:r>
        <w:rPr>
          <w:rFonts w:eastAsia="宋体" w:cs="仿宋_GB2312"/>
          <w:b/>
          <w:bCs/>
          <w:color w:val="auto"/>
          <w:sz w:val="24"/>
          <w:szCs w:val="24"/>
          <w:highlight w:val="none"/>
        </w:rPr>
        <w:t>投标</w:t>
      </w:r>
      <w:r>
        <w:rPr>
          <w:rFonts w:hint="eastAsia" w:eastAsia="宋体" w:cs="仿宋_GB2312"/>
          <w:b/>
          <w:bCs/>
          <w:color w:val="auto"/>
          <w:sz w:val="24"/>
          <w:szCs w:val="24"/>
          <w:highlight w:val="none"/>
          <w:lang w:val="en-US" w:eastAsia="zh-CN"/>
        </w:rPr>
        <w:t>处理</w:t>
      </w:r>
      <w:r>
        <w:rPr>
          <w:rFonts w:eastAsia="宋体" w:cs="仿宋_GB2312"/>
          <w:color w:val="auto"/>
          <w:sz w:val="24"/>
          <w:szCs w:val="24"/>
          <w:highlight w:val="none"/>
        </w:rPr>
        <w:t>。</w:t>
      </w:r>
    </w:p>
    <w:p w14:paraId="313FA63F">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7 </w:t>
      </w:r>
      <w:r>
        <w:rPr>
          <w:rFonts w:hint="eastAsia" w:ascii="宋体" w:hAnsi="宋体" w:eastAsia="宋体" w:cs="宋体"/>
          <w:color w:val="auto"/>
          <w:kern w:val="2"/>
          <w:sz w:val="24"/>
          <w:szCs w:val="22"/>
          <w:highlight w:val="none"/>
        </w:rPr>
        <w:t>投标人对投标报价若有说明应在投标文件中显著处注明。</w:t>
      </w:r>
    </w:p>
    <w:p w14:paraId="2DE4CF29">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除政策性文件规定以外，投标人所报价格在合同实施期间不因市场变化因素而变动。</w:t>
      </w:r>
    </w:p>
    <w:p w14:paraId="2C302D73">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8 </w:t>
      </w:r>
      <w:r>
        <w:rPr>
          <w:rFonts w:hint="eastAsia" w:ascii="宋体" w:hAnsi="宋体" w:eastAsia="宋体" w:cs="宋体"/>
          <w:color w:val="auto"/>
          <w:kern w:val="2"/>
          <w:sz w:val="24"/>
          <w:szCs w:val="22"/>
          <w:highlight w:val="none"/>
        </w:rPr>
        <w:t>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7CD424F2">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9 </w:t>
      </w:r>
      <w:r>
        <w:rPr>
          <w:rFonts w:hint="eastAsia" w:ascii="宋体" w:hAnsi="宋体" w:eastAsia="宋体" w:cs="宋体"/>
          <w:color w:val="auto"/>
          <w:kern w:val="2"/>
          <w:sz w:val="24"/>
          <w:szCs w:val="22"/>
          <w:highlight w:val="none"/>
        </w:rPr>
        <w:t>最低报价不能作为中标的保证。</w:t>
      </w:r>
    </w:p>
    <w:p w14:paraId="2C6B9037">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default"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w:t>
      </w:r>
      <w:r>
        <w:rPr>
          <w:rFonts w:hint="eastAsia"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lang w:val="en-US" w:eastAsia="zh-CN"/>
        </w:rPr>
        <w:t>.10</w:t>
      </w:r>
      <w:r>
        <w:rPr>
          <w:rFonts w:hint="eastAsia" w:ascii="宋体" w:hAnsi="宋体" w:eastAsia="宋体" w:cs="宋体"/>
          <w:color w:val="auto"/>
          <w:kern w:val="0"/>
          <w:sz w:val="24"/>
          <w:szCs w:val="24"/>
          <w:highlight w:val="none"/>
          <w:lang w:val="en-US" w:eastAsia="zh-CN" w:bidi="ar"/>
        </w:rPr>
        <w:t>采购人不得向</w:t>
      </w:r>
      <w:r>
        <w:rPr>
          <w:rFonts w:hint="eastAsia" w:eastAsia="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索要或者接受其给予的赠品、回扣或者与采购无关的其他商品、服务。</w:t>
      </w:r>
    </w:p>
    <w:p w14:paraId="691BBD0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17" w:name="_Toc163492840"/>
      <w:bookmarkStart w:id="218" w:name="_Toc2907"/>
      <w:bookmarkStart w:id="219" w:name="_Toc140132773"/>
      <w:bookmarkStart w:id="220" w:name="_Toc15358"/>
      <w:bookmarkStart w:id="221" w:name="_Toc4011"/>
      <w:bookmarkStart w:id="222" w:name="_Toc11990"/>
      <w:r>
        <w:rPr>
          <w:rFonts w:hint="eastAsia" w:ascii="宋体" w:hAnsi="宋体" w:eastAsia="宋体" w:cs="宋体"/>
          <w:b/>
          <w:bCs/>
          <w:color w:val="auto"/>
          <w:kern w:val="2"/>
          <w:sz w:val="24"/>
          <w:szCs w:val="28"/>
          <w:highlight w:val="none"/>
          <w:lang w:val="en-US" w:eastAsia="zh-CN" w:bidi="ar-SA"/>
        </w:rPr>
        <w:t>15.投标有效期</w:t>
      </w:r>
      <w:bookmarkEnd w:id="217"/>
      <w:bookmarkEnd w:id="218"/>
      <w:bookmarkEnd w:id="219"/>
      <w:bookmarkEnd w:id="220"/>
      <w:bookmarkEnd w:id="221"/>
      <w:bookmarkEnd w:id="222"/>
    </w:p>
    <w:p w14:paraId="13B2B164">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 xml:space="preserve">.1 </w:t>
      </w:r>
      <w:r>
        <w:rPr>
          <w:rFonts w:ascii="Arial" w:hAnsi="Arial" w:eastAsia="宋体" w:cs="Arial"/>
          <w:color w:val="auto"/>
          <w:kern w:val="0"/>
          <w:sz w:val="24"/>
          <w:szCs w:val="21"/>
          <w:highlight w:val="none"/>
          <w:lang w:val="en"/>
        </w:rPr>
        <w:t>投标有效期</w:t>
      </w:r>
      <w:r>
        <w:rPr>
          <w:rFonts w:hint="eastAsia" w:eastAsia="宋体" w:cs="仿宋_GB2312"/>
          <w:color w:val="auto"/>
          <w:sz w:val="24"/>
          <w:szCs w:val="24"/>
          <w:highlight w:val="none"/>
        </w:rPr>
        <w:t>见“</w:t>
      </w:r>
      <w:r>
        <w:rPr>
          <w:rFonts w:hint="eastAsia" w:eastAsia="宋体" w:cs="仿宋_GB2312"/>
          <w:color w:val="auto"/>
          <w:sz w:val="24"/>
          <w:szCs w:val="24"/>
          <w:highlight w:val="none"/>
          <w:lang w:val="en-US" w:eastAsia="zh-CN"/>
        </w:rPr>
        <w:t xml:space="preserve">第二章 </w:t>
      </w:r>
      <w:r>
        <w:rPr>
          <w:rFonts w:eastAsia="宋体" w:cs="仿宋_GB2312"/>
          <w:color w:val="auto"/>
          <w:sz w:val="24"/>
          <w:szCs w:val="24"/>
          <w:highlight w:val="none"/>
        </w:rPr>
        <w:t>投标人须知前附表</w:t>
      </w:r>
      <w:r>
        <w:rPr>
          <w:rFonts w:hint="eastAsia" w:eastAsia="宋体" w:cs="仿宋_GB2312"/>
          <w:color w:val="auto"/>
          <w:sz w:val="24"/>
          <w:szCs w:val="24"/>
          <w:highlight w:val="none"/>
        </w:rPr>
        <w:t>”，投标人承诺的投标有效期</w:t>
      </w:r>
      <w:r>
        <w:rPr>
          <w:rFonts w:hint="eastAsia" w:eastAsia="宋体"/>
          <w:snapToGrid w:val="0"/>
          <w:color w:val="auto"/>
          <w:sz w:val="24"/>
          <w:highlight w:val="none"/>
          <w:lang w:val="zh-CN" w:eastAsia="zh-CN"/>
        </w:rPr>
        <w:t>少于</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val="zh-CN" w:eastAsia="zh-CN"/>
        </w:rPr>
        <w:t>文件规定期限的，其</w:t>
      </w:r>
      <w:r>
        <w:rPr>
          <w:rFonts w:hint="eastAsia" w:eastAsia="宋体"/>
          <w:b/>
          <w:bCs/>
          <w:snapToGrid w:val="0"/>
          <w:color w:val="auto"/>
          <w:sz w:val="24"/>
          <w:highlight w:val="none"/>
          <w:lang w:val="en-US" w:eastAsia="zh-CN"/>
        </w:rPr>
        <w:t>投标</w:t>
      </w:r>
      <w:r>
        <w:rPr>
          <w:rFonts w:hint="eastAsia" w:eastAsia="宋体"/>
          <w:b/>
          <w:bCs/>
          <w:snapToGrid w:val="0"/>
          <w:color w:val="auto"/>
          <w:sz w:val="24"/>
          <w:highlight w:val="none"/>
          <w:lang w:val="zh-CN" w:eastAsia="zh-CN"/>
        </w:rPr>
        <w:t>无效</w:t>
      </w:r>
      <w:r>
        <w:rPr>
          <w:rFonts w:hint="eastAsia" w:eastAsia="宋体"/>
          <w:snapToGrid w:val="0"/>
          <w:color w:val="auto"/>
          <w:sz w:val="24"/>
          <w:highlight w:val="none"/>
          <w:lang w:val="zh-CN" w:eastAsia="zh-CN"/>
        </w:rPr>
        <w:t>。</w:t>
      </w:r>
    </w:p>
    <w:p w14:paraId="6D112F8D">
      <w:pPr>
        <w:keepNext w:val="0"/>
        <w:keepLines w:val="0"/>
        <w:pageBreakBefore w:val="0"/>
        <w:widowControl w:val="0"/>
        <w:kinsoku/>
        <w:overflowPunct/>
        <w:topLinePunct w:val="0"/>
        <w:autoSpaceDE/>
        <w:autoSpaceDN/>
        <w:bidi w:val="0"/>
        <w:adjustRightInd/>
        <w:ind w:firstLine="480" w:firstLineChars="200"/>
        <w:textAlignment w:val="auto"/>
        <w:rPr>
          <w:rFonts w:hint="default" w:eastAsia="宋体" w:cs="仿宋_GB2312"/>
          <w:color w:val="auto"/>
          <w:sz w:val="24"/>
          <w:szCs w:val="24"/>
          <w:highlight w:val="none"/>
          <w:lang w:val="en-US" w:eastAsia="zh-CN"/>
        </w:rPr>
      </w:pPr>
      <w:r>
        <w:rPr>
          <w:rFonts w:hint="eastAsia" w:eastAsia="宋体" w:cs="仿宋_GB2312"/>
          <w:color w:val="auto"/>
          <w:sz w:val="24"/>
          <w:szCs w:val="24"/>
          <w:highlight w:val="none"/>
          <w:lang w:val="en-US" w:eastAsia="zh-CN"/>
        </w:rPr>
        <w:t>15.2 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4457FE8E">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3</w:t>
      </w:r>
      <w:r>
        <w:rPr>
          <w:rFonts w:eastAsia="宋体" w:cs="仿宋_GB2312"/>
          <w:color w:val="auto"/>
          <w:sz w:val="24"/>
          <w:szCs w:val="24"/>
          <w:highlight w:val="none"/>
        </w:rPr>
        <w:t>特殊情况下，在原</w:t>
      </w:r>
      <w:r>
        <w:rPr>
          <w:rFonts w:hint="eastAsia" w:eastAsia="宋体" w:cs="仿宋_GB2312"/>
          <w:color w:val="auto"/>
          <w:sz w:val="24"/>
          <w:szCs w:val="24"/>
          <w:highlight w:val="none"/>
        </w:rPr>
        <w:t>投标文件</w:t>
      </w:r>
      <w:r>
        <w:rPr>
          <w:rFonts w:eastAsia="宋体" w:cs="仿宋_GB2312"/>
          <w:color w:val="auto"/>
          <w:sz w:val="24"/>
          <w:szCs w:val="24"/>
          <w:highlight w:val="none"/>
        </w:rPr>
        <w:t>有效期截止之前，采购代理机构或采购人可要求</w:t>
      </w:r>
      <w:r>
        <w:rPr>
          <w:rFonts w:hint="eastAsia" w:eastAsia="宋体" w:cs="仿宋_GB2312"/>
          <w:color w:val="auto"/>
          <w:sz w:val="24"/>
          <w:szCs w:val="24"/>
          <w:highlight w:val="none"/>
        </w:rPr>
        <w:t>投标人</w:t>
      </w:r>
      <w:r>
        <w:rPr>
          <w:rFonts w:eastAsia="宋体" w:cs="仿宋_GB2312"/>
          <w:color w:val="auto"/>
          <w:sz w:val="24"/>
          <w:szCs w:val="24"/>
          <w:highlight w:val="none"/>
        </w:rPr>
        <w:t>延长</w:t>
      </w:r>
      <w:r>
        <w:rPr>
          <w:rFonts w:hint="eastAsia" w:eastAsia="宋体" w:cs="仿宋_GB2312"/>
          <w:color w:val="auto"/>
          <w:sz w:val="24"/>
          <w:szCs w:val="24"/>
          <w:highlight w:val="none"/>
        </w:rPr>
        <w:t>投标</w:t>
      </w:r>
      <w:r>
        <w:rPr>
          <w:rFonts w:eastAsia="宋体" w:cs="仿宋_GB2312"/>
          <w:color w:val="auto"/>
          <w:sz w:val="24"/>
          <w:szCs w:val="24"/>
          <w:highlight w:val="none"/>
        </w:rPr>
        <w:t>有效期。需要延长</w:t>
      </w:r>
      <w:r>
        <w:rPr>
          <w:rFonts w:hint="eastAsia" w:eastAsia="宋体" w:cs="仿宋_GB2312"/>
          <w:color w:val="auto"/>
          <w:sz w:val="24"/>
          <w:szCs w:val="24"/>
          <w:highlight w:val="none"/>
        </w:rPr>
        <w:t>投标</w:t>
      </w:r>
      <w:r>
        <w:rPr>
          <w:rFonts w:eastAsia="宋体" w:cs="仿宋_GB2312"/>
          <w:color w:val="auto"/>
          <w:sz w:val="24"/>
          <w:szCs w:val="24"/>
          <w:highlight w:val="none"/>
        </w:rPr>
        <w:t>有效期时，采购代理机构或采购人将以书面形式通知所有</w:t>
      </w:r>
      <w:r>
        <w:rPr>
          <w:rFonts w:hint="eastAsia" w:eastAsia="宋体" w:cs="仿宋_GB2312"/>
          <w:color w:val="auto"/>
          <w:sz w:val="24"/>
          <w:szCs w:val="24"/>
          <w:highlight w:val="none"/>
        </w:rPr>
        <w:t>投标人</w:t>
      </w:r>
      <w:r>
        <w:rPr>
          <w:rFonts w:eastAsia="宋体" w:cs="仿宋_GB2312"/>
          <w:color w:val="auto"/>
          <w:sz w:val="24"/>
          <w:szCs w:val="24"/>
          <w:highlight w:val="none"/>
        </w:rPr>
        <w:t>，</w:t>
      </w:r>
      <w:r>
        <w:rPr>
          <w:rFonts w:hint="eastAsia" w:eastAsia="宋体" w:cs="仿宋_GB2312"/>
          <w:color w:val="auto"/>
          <w:sz w:val="24"/>
          <w:szCs w:val="24"/>
          <w:highlight w:val="none"/>
        </w:rPr>
        <w:t>投标人</w:t>
      </w:r>
      <w:r>
        <w:rPr>
          <w:rFonts w:eastAsia="宋体" w:cs="仿宋_GB2312"/>
          <w:color w:val="auto"/>
          <w:sz w:val="24"/>
          <w:szCs w:val="24"/>
          <w:highlight w:val="none"/>
        </w:rPr>
        <w:t>应以书面形式答复是否同意延长</w:t>
      </w:r>
      <w:r>
        <w:rPr>
          <w:rFonts w:hint="eastAsia" w:eastAsia="宋体" w:cs="仿宋_GB2312"/>
          <w:color w:val="auto"/>
          <w:sz w:val="24"/>
          <w:szCs w:val="24"/>
          <w:highlight w:val="none"/>
        </w:rPr>
        <w:t>投标</w:t>
      </w:r>
      <w:r>
        <w:rPr>
          <w:rFonts w:eastAsia="宋体" w:cs="仿宋_GB2312"/>
          <w:color w:val="auto"/>
          <w:sz w:val="24"/>
          <w:szCs w:val="24"/>
          <w:highlight w:val="none"/>
        </w:rPr>
        <w:t>有效期。</w:t>
      </w:r>
    </w:p>
    <w:p w14:paraId="2EF7720C">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rPr>
        <w:t>投标人</w:t>
      </w:r>
      <w:r>
        <w:rPr>
          <w:rFonts w:eastAsia="宋体" w:cs="仿宋_GB2312"/>
          <w:color w:val="auto"/>
          <w:sz w:val="24"/>
          <w:szCs w:val="24"/>
          <w:highlight w:val="none"/>
        </w:rPr>
        <w:t>同意延长的，</w:t>
      </w:r>
      <w:r>
        <w:rPr>
          <w:rFonts w:hint="eastAsia" w:eastAsia="宋体" w:cs="宋体"/>
          <w:color w:val="auto"/>
          <w:kern w:val="2"/>
          <w:sz w:val="24"/>
          <w:szCs w:val="22"/>
          <w:highlight w:val="none"/>
          <w:lang w:val="en-US" w:eastAsia="zh-CN"/>
        </w:rPr>
        <w:t>其</w:t>
      </w:r>
      <w:r>
        <w:rPr>
          <w:rFonts w:hint="eastAsia" w:ascii="宋体" w:hAnsi="宋体" w:eastAsia="宋体" w:cs="宋体"/>
          <w:color w:val="auto"/>
          <w:kern w:val="2"/>
          <w:sz w:val="24"/>
          <w:szCs w:val="22"/>
          <w:highlight w:val="none"/>
        </w:rPr>
        <w:t>投标保证金的有效期也相应延长</w:t>
      </w:r>
      <w:r>
        <w:rPr>
          <w:rFonts w:hint="eastAsia" w:eastAsia="宋体" w:cs="宋体"/>
          <w:color w:val="auto"/>
          <w:kern w:val="2"/>
          <w:sz w:val="24"/>
          <w:szCs w:val="22"/>
          <w:highlight w:val="none"/>
          <w:lang w:eastAsia="zh-CN"/>
        </w:rPr>
        <w:t>，</w:t>
      </w:r>
      <w:r>
        <w:rPr>
          <w:rFonts w:hint="eastAsia" w:eastAsia="宋体" w:cs="宋体"/>
          <w:color w:val="auto"/>
          <w:kern w:val="2"/>
          <w:sz w:val="24"/>
          <w:szCs w:val="22"/>
          <w:highlight w:val="none"/>
          <w:lang w:val="en-US" w:eastAsia="zh-CN"/>
        </w:rPr>
        <w:t>但</w:t>
      </w:r>
      <w:r>
        <w:rPr>
          <w:rFonts w:eastAsia="宋体" w:cs="仿宋_GB2312"/>
          <w:color w:val="auto"/>
          <w:sz w:val="24"/>
          <w:szCs w:val="24"/>
          <w:highlight w:val="none"/>
        </w:rPr>
        <w:t>不得要求或被允许修改或撤销其</w:t>
      </w:r>
      <w:r>
        <w:rPr>
          <w:rFonts w:hint="eastAsia" w:eastAsia="宋体" w:cs="仿宋_GB2312"/>
          <w:color w:val="auto"/>
          <w:sz w:val="24"/>
          <w:szCs w:val="24"/>
          <w:highlight w:val="none"/>
        </w:rPr>
        <w:t>投标文件</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投标人</w:t>
      </w:r>
      <w:r>
        <w:rPr>
          <w:rFonts w:eastAsia="宋体" w:cs="仿宋_GB2312"/>
          <w:color w:val="auto"/>
          <w:sz w:val="24"/>
          <w:szCs w:val="24"/>
          <w:highlight w:val="none"/>
        </w:rPr>
        <w:t>拒绝延长的，其</w:t>
      </w:r>
      <w:r>
        <w:rPr>
          <w:rFonts w:hint="eastAsia" w:eastAsia="宋体" w:cs="仿宋_GB2312"/>
          <w:color w:val="auto"/>
          <w:sz w:val="24"/>
          <w:szCs w:val="24"/>
          <w:highlight w:val="none"/>
        </w:rPr>
        <w:t>投标文件</w:t>
      </w:r>
      <w:r>
        <w:rPr>
          <w:rFonts w:eastAsia="宋体" w:cs="仿宋_GB2312"/>
          <w:color w:val="auto"/>
          <w:sz w:val="24"/>
          <w:szCs w:val="24"/>
          <w:highlight w:val="none"/>
        </w:rPr>
        <w:t>在原</w:t>
      </w:r>
      <w:r>
        <w:rPr>
          <w:rFonts w:hint="eastAsia" w:eastAsia="宋体" w:cs="仿宋_GB2312"/>
          <w:color w:val="auto"/>
          <w:sz w:val="24"/>
          <w:szCs w:val="24"/>
          <w:highlight w:val="none"/>
        </w:rPr>
        <w:t>投标</w:t>
      </w:r>
      <w:r>
        <w:rPr>
          <w:rFonts w:eastAsia="宋体" w:cs="仿宋_GB2312"/>
          <w:color w:val="auto"/>
          <w:sz w:val="24"/>
          <w:szCs w:val="24"/>
          <w:highlight w:val="none"/>
        </w:rPr>
        <w:t>有效期满后将不再有效</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lang w:val="en-US" w:eastAsia="zh-CN"/>
        </w:rPr>
        <w:t>但其提交的投标保证金可予以退还</w:t>
      </w:r>
      <w:r>
        <w:rPr>
          <w:rFonts w:eastAsia="宋体" w:cs="仿宋_GB2312"/>
          <w:color w:val="auto"/>
          <w:sz w:val="24"/>
          <w:szCs w:val="24"/>
          <w:highlight w:val="none"/>
        </w:rPr>
        <w:t>。</w:t>
      </w:r>
    </w:p>
    <w:p w14:paraId="51F7C8D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23" w:name="_Toc17233"/>
      <w:bookmarkStart w:id="224" w:name="_Toc140132774"/>
      <w:bookmarkStart w:id="225" w:name="_Toc22098"/>
      <w:bookmarkStart w:id="226" w:name="_Toc18088"/>
      <w:bookmarkStart w:id="227" w:name="_Toc163492841"/>
      <w:bookmarkStart w:id="228" w:name="_Toc25519"/>
      <w:r>
        <w:rPr>
          <w:rFonts w:hint="eastAsia" w:ascii="宋体" w:hAnsi="宋体" w:eastAsia="宋体" w:cs="宋体"/>
          <w:b/>
          <w:bCs/>
          <w:color w:val="auto"/>
          <w:kern w:val="2"/>
          <w:sz w:val="24"/>
          <w:szCs w:val="28"/>
          <w:highlight w:val="none"/>
          <w:lang w:val="en-US" w:eastAsia="zh-CN" w:bidi="ar-SA"/>
        </w:rPr>
        <w:t>16.投标文件的编制</w:t>
      </w:r>
      <w:bookmarkEnd w:id="223"/>
      <w:bookmarkEnd w:id="224"/>
      <w:bookmarkEnd w:id="225"/>
      <w:bookmarkEnd w:id="226"/>
      <w:bookmarkEnd w:id="227"/>
      <w:bookmarkEnd w:id="228"/>
    </w:p>
    <w:p w14:paraId="523C51E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6</w:t>
      </w:r>
      <w:r>
        <w:rPr>
          <w:rFonts w:hint="eastAsia" w:eastAsia="宋体" w:cs="仿宋_GB2312"/>
          <w:color w:val="auto"/>
          <w:sz w:val="24"/>
          <w:szCs w:val="24"/>
          <w:highlight w:val="none"/>
        </w:rPr>
        <w:t>.1投标文件应在供应商客户端中进行编制，在投标文件中要求加盖印章的，除有特殊说明之外，</w:t>
      </w:r>
      <w:r>
        <w:rPr>
          <w:rFonts w:hint="eastAsia" w:eastAsia="宋体" w:cs="仿宋_GB2312"/>
          <w:color w:val="auto"/>
          <w:sz w:val="24"/>
          <w:szCs w:val="24"/>
          <w:highlight w:val="none"/>
          <w:lang w:val="en-US" w:eastAsia="zh-CN"/>
        </w:rPr>
        <w:t>可</w:t>
      </w:r>
      <w:r>
        <w:rPr>
          <w:rFonts w:hint="eastAsia" w:eastAsia="宋体" w:cs="仿宋_GB2312"/>
          <w:color w:val="auto"/>
          <w:sz w:val="24"/>
          <w:szCs w:val="24"/>
          <w:highlight w:val="none"/>
        </w:rPr>
        <w:t>使用电子签章签署。</w:t>
      </w:r>
    </w:p>
    <w:p w14:paraId="540601F4">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1</w:t>
      </w:r>
      <w:r>
        <w:rPr>
          <w:rFonts w:hint="eastAsia" w:eastAsia="宋体"/>
          <w:color w:val="auto"/>
          <w:sz w:val="24"/>
          <w:highlight w:val="none"/>
          <w:lang w:val="en-US" w:eastAsia="zh-CN"/>
        </w:rPr>
        <w:t>6</w:t>
      </w:r>
      <w:r>
        <w:rPr>
          <w:rFonts w:hint="eastAsia" w:eastAsia="宋体"/>
          <w:color w:val="auto"/>
          <w:sz w:val="24"/>
          <w:highlight w:val="none"/>
        </w:rPr>
        <w:t>.</w:t>
      </w:r>
      <w:bookmarkStart w:id="229" w:name="_Hlk143528557"/>
      <w:r>
        <w:rPr>
          <w:rFonts w:eastAsia="宋体"/>
          <w:color w:val="auto"/>
          <w:sz w:val="24"/>
          <w:highlight w:val="none"/>
        </w:rPr>
        <w:t>2</w:t>
      </w:r>
      <w:r>
        <w:rPr>
          <w:rFonts w:hint="eastAsia" w:eastAsia="宋体"/>
          <w:color w:val="auto"/>
          <w:sz w:val="24"/>
          <w:highlight w:val="none"/>
        </w:rPr>
        <w:t>投标人在供应商客户端中按照供应商客户端中的格式要求填写响应内容后，生成投标文件。投标人须按照招标文件的要求使用电子签章对要求加盖印章的部分逐一进行签章。</w:t>
      </w:r>
      <w:bookmarkEnd w:id="229"/>
    </w:p>
    <w:p w14:paraId="1A7BD123">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投标人应详细阅读招标文件的全部内容。投标文件须对招标文件中的内容作出实质性和完整的响应，如果投标文件填报的内容不详，或没有提供招标文件中所要求的全部资料及数据，将可能</w:t>
      </w:r>
      <w:r>
        <w:rPr>
          <w:rFonts w:hint="eastAsia" w:ascii="宋体" w:hAnsi="宋体" w:eastAsia="宋体"/>
          <w:b/>
          <w:bCs/>
          <w:color w:val="auto"/>
          <w:sz w:val="24"/>
          <w:highlight w:val="none"/>
        </w:rPr>
        <w:t>导致</w:t>
      </w:r>
      <w:r>
        <w:rPr>
          <w:rFonts w:hint="eastAsia" w:eastAsia="宋体"/>
          <w:b/>
          <w:bCs/>
          <w:color w:val="auto"/>
          <w:sz w:val="24"/>
          <w:highlight w:val="none"/>
          <w:lang w:val="en-US" w:eastAsia="zh-CN"/>
        </w:rPr>
        <w:t>其</w:t>
      </w:r>
      <w:r>
        <w:rPr>
          <w:rFonts w:hint="eastAsia" w:ascii="宋体" w:hAnsi="宋体" w:eastAsia="宋体"/>
          <w:b/>
          <w:bCs/>
          <w:color w:val="auto"/>
          <w:sz w:val="24"/>
          <w:highlight w:val="none"/>
        </w:rPr>
        <w:t>投标</w:t>
      </w:r>
      <w:r>
        <w:rPr>
          <w:rFonts w:hint="eastAsia" w:eastAsia="宋体"/>
          <w:b/>
          <w:bCs/>
          <w:color w:val="auto"/>
          <w:sz w:val="24"/>
          <w:highlight w:val="none"/>
          <w:lang w:val="en-US" w:eastAsia="zh-CN"/>
        </w:rPr>
        <w:t>无效</w:t>
      </w:r>
      <w:r>
        <w:rPr>
          <w:rFonts w:hint="eastAsia" w:ascii="宋体" w:hAnsi="宋体" w:eastAsia="宋体"/>
          <w:color w:val="auto"/>
          <w:sz w:val="24"/>
          <w:highlight w:val="none"/>
        </w:rPr>
        <w:t>。</w:t>
      </w:r>
    </w:p>
    <w:p w14:paraId="7A6BB4B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投标文件须严格按照</w:t>
      </w:r>
      <w:r>
        <w:rPr>
          <w:rFonts w:hint="eastAsia" w:ascii="宋体" w:hAnsi="宋体" w:eastAsia="宋体"/>
          <w:color w:val="auto"/>
          <w:sz w:val="24"/>
          <w:highlight w:val="none"/>
          <w:lang w:val="en-US" w:eastAsia="zh-CN"/>
        </w:rPr>
        <w:t>本</w:t>
      </w:r>
      <w:r>
        <w:rPr>
          <w:rFonts w:hint="eastAsia" w:ascii="宋体" w:hAnsi="宋体" w:eastAsia="宋体"/>
          <w:color w:val="auto"/>
          <w:sz w:val="24"/>
          <w:highlight w:val="none"/>
        </w:rPr>
        <w:t>招标文件第</w:t>
      </w:r>
      <w:r>
        <w:rPr>
          <w:rFonts w:hint="eastAsia" w:ascii="宋体" w:hAnsi="宋体" w:eastAsia="宋体"/>
          <w:color w:val="auto"/>
          <w:sz w:val="24"/>
          <w:highlight w:val="none"/>
          <w:lang w:val="en-US" w:eastAsia="zh-CN"/>
        </w:rPr>
        <w:t>七章</w:t>
      </w:r>
      <w:r>
        <w:rPr>
          <w:rFonts w:hint="eastAsia" w:ascii="宋体" w:hAnsi="宋体" w:eastAsia="宋体"/>
          <w:color w:val="auto"/>
          <w:sz w:val="24"/>
          <w:highlight w:val="none"/>
        </w:rPr>
        <w:t>规定的格式提交，并按规定的统一格式逐项填写，不准有空项；无相应内容可填的项，应填写“无”、“未测试”、“没有相应指标”等明确的回答文字。由于编排混乱导致投标文件被误读或查找不到，其责任由投标人承担。</w:t>
      </w:r>
    </w:p>
    <w:p w14:paraId="10A9DC8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eastAsia="宋体"/>
          <w:color w:val="auto"/>
          <w:sz w:val="24"/>
          <w:highlight w:val="none"/>
          <w:lang w:val="en-US" w:eastAsia="zh-CN"/>
        </w:rPr>
        <w:t>16.5货物的</w:t>
      </w:r>
      <w:r>
        <w:rPr>
          <w:rFonts w:hint="eastAsia" w:ascii="宋体" w:hAnsi="宋体" w:eastAsia="宋体"/>
          <w:color w:val="auto"/>
          <w:sz w:val="24"/>
          <w:highlight w:val="none"/>
          <w:lang w:val="en-US" w:eastAsia="zh-CN"/>
        </w:rPr>
        <w:t>技术参数有具体数值要求的，</w:t>
      </w:r>
      <w:r>
        <w:rPr>
          <w:rFonts w:hint="eastAsia" w:eastAsia="宋体"/>
          <w:color w:val="auto"/>
          <w:sz w:val="24"/>
          <w:highlight w:val="none"/>
          <w:lang w:val="en-US" w:eastAsia="zh-CN"/>
        </w:rPr>
        <w:t>且招标</w:t>
      </w:r>
      <w:r>
        <w:rPr>
          <w:rFonts w:hint="eastAsia" w:ascii="宋体" w:hAnsi="宋体" w:eastAsia="宋体"/>
          <w:color w:val="auto"/>
          <w:sz w:val="24"/>
          <w:highlight w:val="none"/>
          <w:lang w:val="en-US" w:eastAsia="zh-CN"/>
        </w:rPr>
        <w:t>文件要求</w:t>
      </w:r>
      <w:r>
        <w:rPr>
          <w:rFonts w:hint="eastAsia" w:eastAsia="宋体"/>
          <w:color w:val="auto"/>
          <w:sz w:val="24"/>
          <w:highlight w:val="none"/>
          <w:lang w:val="en-US" w:eastAsia="zh-CN"/>
        </w:rPr>
        <w:t>投标人</w:t>
      </w:r>
      <w:r>
        <w:rPr>
          <w:rFonts w:hint="eastAsia" w:ascii="宋体" w:hAnsi="宋体" w:eastAsia="宋体"/>
          <w:color w:val="auto"/>
          <w:sz w:val="24"/>
          <w:highlight w:val="none"/>
          <w:lang w:val="en-US" w:eastAsia="zh-CN"/>
        </w:rPr>
        <w:t>提供响应产品彩页、检验检测报告、厂家使用说明书等证明材料，</w:t>
      </w:r>
      <w:r>
        <w:rPr>
          <w:rFonts w:hint="eastAsia" w:eastAsia="宋体"/>
          <w:color w:val="auto"/>
          <w:sz w:val="24"/>
          <w:highlight w:val="none"/>
          <w:lang w:val="en-US" w:eastAsia="zh-CN"/>
        </w:rPr>
        <w:t>则投标人</w:t>
      </w:r>
      <w:r>
        <w:rPr>
          <w:rFonts w:hint="eastAsia" w:ascii="宋体" w:hAnsi="宋体" w:eastAsia="宋体"/>
          <w:color w:val="auto"/>
          <w:sz w:val="24"/>
          <w:highlight w:val="none"/>
          <w:lang w:val="en-US" w:eastAsia="zh-CN"/>
        </w:rPr>
        <w:t>在技术参数响应表中</w:t>
      </w:r>
      <w:r>
        <w:rPr>
          <w:rFonts w:hint="eastAsia" w:eastAsia="宋体"/>
          <w:color w:val="auto"/>
          <w:sz w:val="24"/>
          <w:highlight w:val="none"/>
          <w:lang w:val="en-US" w:eastAsia="zh-CN"/>
        </w:rPr>
        <w:t>须</w:t>
      </w:r>
      <w:r>
        <w:rPr>
          <w:rFonts w:hint="eastAsia" w:ascii="宋体" w:hAnsi="宋体" w:eastAsia="宋体"/>
          <w:color w:val="auto"/>
          <w:sz w:val="24"/>
          <w:highlight w:val="none"/>
          <w:lang w:val="en-US" w:eastAsia="zh-CN"/>
        </w:rPr>
        <w:t>标注产品实际参数数值，照搬照抄</w:t>
      </w:r>
      <w:r>
        <w:rPr>
          <w:rFonts w:hint="eastAsia" w:eastAsia="宋体"/>
          <w:color w:val="auto"/>
          <w:sz w:val="24"/>
          <w:highlight w:val="none"/>
          <w:lang w:val="en-US" w:eastAsia="zh-CN"/>
        </w:rPr>
        <w:t>招标</w:t>
      </w:r>
      <w:r>
        <w:rPr>
          <w:rFonts w:hint="eastAsia" w:ascii="宋体" w:hAnsi="宋体" w:eastAsia="宋体"/>
          <w:color w:val="auto"/>
          <w:sz w:val="24"/>
          <w:highlight w:val="none"/>
          <w:lang w:val="en-US" w:eastAsia="zh-CN"/>
        </w:rPr>
        <w:t>文件参数、不注明实际数值者</w:t>
      </w:r>
      <w:r>
        <w:rPr>
          <w:rFonts w:hint="eastAsia" w:ascii="宋体" w:hAnsi="宋体" w:eastAsia="宋体"/>
          <w:b/>
          <w:bCs/>
          <w:color w:val="auto"/>
          <w:sz w:val="24"/>
          <w:highlight w:val="none"/>
          <w:lang w:val="en-US" w:eastAsia="zh-CN"/>
        </w:rPr>
        <w:t>视为未响应</w:t>
      </w:r>
      <w:r>
        <w:rPr>
          <w:rFonts w:hint="eastAsia" w:ascii="宋体" w:hAnsi="宋体" w:eastAsia="宋体"/>
          <w:color w:val="auto"/>
          <w:sz w:val="24"/>
          <w:highlight w:val="none"/>
          <w:lang w:val="en-US" w:eastAsia="zh-CN"/>
        </w:rPr>
        <w:t>。</w:t>
      </w:r>
    </w:p>
    <w:p w14:paraId="4B72F25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6</w:t>
      </w:r>
      <w:r>
        <w:rPr>
          <w:rFonts w:hint="eastAsia" w:ascii="宋体" w:hAnsi="宋体" w:eastAsia="宋体"/>
          <w:color w:val="auto"/>
          <w:sz w:val="24"/>
          <w:highlight w:val="none"/>
        </w:rPr>
        <w:t>开标一览表为在开标</w:t>
      </w:r>
      <w:r>
        <w:rPr>
          <w:rFonts w:hint="eastAsia" w:eastAsia="宋体"/>
          <w:color w:val="auto"/>
          <w:sz w:val="24"/>
          <w:highlight w:val="none"/>
          <w:lang w:val="en-US" w:eastAsia="zh-CN"/>
        </w:rPr>
        <w:t>时</w:t>
      </w:r>
      <w:r>
        <w:rPr>
          <w:rFonts w:hint="eastAsia" w:ascii="宋体" w:hAnsi="宋体" w:eastAsia="宋体"/>
          <w:color w:val="auto"/>
          <w:sz w:val="24"/>
          <w:highlight w:val="none"/>
        </w:rPr>
        <w:t>唱标的内容，要求按格式统一填写，不得自行增减内容。</w:t>
      </w:r>
    </w:p>
    <w:p w14:paraId="499D7059">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7</w:t>
      </w:r>
      <w:r>
        <w:rPr>
          <w:rFonts w:hint="eastAsia" w:ascii="宋体" w:hAnsi="宋体" w:eastAsia="宋体"/>
          <w:color w:val="auto"/>
          <w:sz w:val="24"/>
          <w:highlight w:val="none"/>
        </w:rPr>
        <w:t>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w:t>
      </w:r>
      <w:r>
        <w:rPr>
          <w:rFonts w:hint="eastAsia" w:eastAsia="宋体"/>
          <w:color w:val="auto"/>
          <w:sz w:val="24"/>
          <w:highlight w:val="none"/>
          <w:lang w:val="en-US" w:eastAsia="zh-CN"/>
        </w:rPr>
        <w:t>按</w:t>
      </w:r>
      <w:r>
        <w:rPr>
          <w:rFonts w:hint="eastAsia" w:eastAsia="宋体"/>
          <w:b/>
          <w:bCs/>
          <w:color w:val="auto"/>
          <w:sz w:val="24"/>
          <w:highlight w:val="none"/>
          <w:lang w:val="en-US" w:eastAsia="zh-CN"/>
        </w:rPr>
        <w:t>无效投标</w:t>
      </w:r>
      <w:r>
        <w:rPr>
          <w:rFonts w:hint="eastAsia" w:ascii="宋体" w:hAnsi="宋体" w:eastAsia="宋体"/>
          <w:color w:val="auto"/>
          <w:sz w:val="24"/>
          <w:highlight w:val="none"/>
        </w:rPr>
        <w:t>处理。</w:t>
      </w:r>
    </w:p>
    <w:p w14:paraId="7DBECB06">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8</w:t>
      </w:r>
      <w:r>
        <w:rPr>
          <w:rFonts w:hint="eastAsia" w:ascii="宋体" w:hAnsi="宋体" w:eastAsia="宋体"/>
          <w:color w:val="auto"/>
          <w:sz w:val="24"/>
          <w:highlight w:val="none"/>
        </w:rPr>
        <w:t>投标人必须保证投标文件所提供的全部资料真实可靠，并接受采购</w:t>
      </w:r>
      <w:r>
        <w:rPr>
          <w:rFonts w:hint="eastAsia" w:ascii="宋体" w:hAnsi="宋体" w:eastAsia="宋体"/>
          <w:color w:val="auto"/>
          <w:sz w:val="24"/>
          <w:highlight w:val="none"/>
          <w:lang w:val="en-US" w:eastAsia="zh-CN"/>
        </w:rPr>
        <w:t>人、采购</w:t>
      </w:r>
      <w:r>
        <w:rPr>
          <w:rFonts w:hint="eastAsia" w:ascii="宋体" w:hAnsi="宋体" w:eastAsia="宋体"/>
          <w:color w:val="auto"/>
          <w:sz w:val="24"/>
          <w:highlight w:val="none"/>
        </w:rPr>
        <w:t>代理机构或评标委员会对其中任何资料进一步审查的要求。</w:t>
      </w:r>
    </w:p>
    <w:p w14:paraId="7AE3718F">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9</w:t>
      </w:r>
      <w:r>
        <w:rPr>
          <w:rFonts w:hint="eastAsia" w:ascii="宋体" w:hAnsi="宋体" w:eastAsia="宋体"/>
          <w:color w:val="auto"/>
          <w:sz w:val="24"/>
          <w:highlight w:val="none"/>
        </w:rPr>
        <w:t>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b/>
          <w:bCs/>
          <w:color w:val="auto"/>
          <w:sz w:val="24"/>
          <w:highlight w:val="none"/>
        </w:rPr>
        <w:t>无效投标</w:t>
      </w:r>
      <w:r>
        <w:rPr>
          <w:rFonts w:hint="eastAsia" w:ascii="宋体" w:hAnsi="宋体" w:eastAsia="宋体"/>
          <w:color w:val="auto"/>
          <w:sz w:val="24"/>
          <w:highlight w:val="none"/>
        </w:rPr>
        <w:t>处理。</w:t>
      </w:r>
    </w:p>
    <w:p w14:paraId="323B93DE">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16.10电子投标文件的编制</w:t>
      </w:r>
    </w:p>
    <w:p w14:paraId="072DFFA4">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16.10.1电子投标文件需按招标文件要求进行制作编制。投标文件制作时，不同内容按标签提示制作导入，按照招标文件中明确的投标文件目录和格式进行编制，保证目录清晰、内容完整；           </w:t>
      </w:r>
    </w:p>
    <w:p w14:paraId="51F1928B">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16.10.2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宋体" w:hAnsi="宋体" w:eastAsia="宋体" w:cstheme="minorBidi"/>
          <w:b/>
          <w:bCs/>
          <w:iCs/>
          <w:color w:val="auto"/>
          <w:kern w:val="2"/>
          <w:sz w:val="24"/>
          <w:szCs w:val="22"/>
          <w:highlight w:val="none"/>
          <w:shd w:val="clear" w:color="auto" w:fill="FFFFFF" w:themeFill="background1"/>
          <w:lang w:val="en-US" w:eastAsia="zh-CN" w:bidi="ar-SA"/>
        </w:rPr>
        <w:t>其投标无效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6B2E6D6A">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230" w:name="_Toc155185873"/>
      <w:bookmarkStart w:id="231" w:name="_Toc4470"/>
      <w:bookmarkStart w:id="232" w:name="_Toc17210"/>
      <w:bookmarkStart w:id="233" w:name="_Toc29237"/>
      <w:bookmarkStart w:id="234" w:name="_Toc3198"/>
      <w:bookmarkStart w:id="235" w:name="_Toc163492842"/>
      <w:r>
        <w:rPr>
          <w:rFonts w:hint="eastAsia" w:ascii="宋体" w:hAnsi="宋体" w:eastAsia="宋体" w:cstheme="minorBidi"/>
          <w:b/>
          <w:bCs/>
          <w:color w:val="auto"/>
          <w:kern w:val="2"/>
          <w:sz w:val="24"/>
          <w:szCs w:val="32"/>
          <w:highlight w:val="none"/>
          <w:lang w:val="en-US" w:eastAsia="zh-CN" w:bidi="ar-SA"/>
        </w:rPr>
        <w:t>（四）投标</w:t>
      </w:r>
      <w:bookmarkEnd w:id="230"/>
      <w:bookmarkEnd w:id="231"/>
      <w:bookmarkEnd w:id="232"/>
      <w:bookmarkEnd w:id="233"/>
      <w:bookmarkEnd w:id="234"/>
      <w:bookmarkEnd w:id="235"/>
    </w:p>
    <w:p w14:paraId="386CC8E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36" w:name="_Toc22324"/>
      <w:bookmarkStart w:id="237" w:name="_Toc18595"/>
      <w:bookmarkStart w:id="238" w:name="_Toc28270"/>
      <w:bookmarkStart w:id="239" w:name="_Toc4876"/>
      <w:bookmarkStart w:id="240" w:name="_Toc163492843"/>
      <w:r>
        <w:rPr>
          <w:rFonts w:hint="eastAsia" w:ascii="宋体" w:hAnsi="宋体" w:eastAsia="宋体" w:cs="宋体"/>
          <w:b/>
          <w:bCs/>
          <w:color w:val="auto"/>
          <w:kern w:val="2"/>
          <w:sz w:val="24"/>
          <w:szCs w:val="28"/>
          <w:highlight w:val="none"/>
          <w:lang w:val="en-US" w:eastAsia="zh-CN" w:bidi="ar-SA"/>
        </w:rPr>
        <w:t>17.投标保证金</w:t>
      </w:r>
      <w:bookmarkEnd w:id="236"/>
      <w:bookmarkEnd w:id="237"/>
      <w:bookmarkEnd w:id="238"/>
      <w:bookmarkEnd w:id="239"/>
    </w:p>
    <w:p w14:paraId="1182B9BB">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17.1投标人应按照招标文件“第二章 投标人须知前附表”规定的金额及要求提交投标保证金。投标人自愿超额缴纳投标保证金的，投标文件不做无效处理。</w:t>
      </w:r>
    </w:p>
    <w:p w14:paraId="370C7C1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eastAsia="宋体" w:cstheme="minorBidi"/>
          <w:iCs/>
          <w:color w:val="auto"/>
          <w:kern w:val="2"/>
          <w:sz w:val="24"/>
          <w:szCs w:val="22"/>
          <w:highlight w:val="none"/>
          <w:shd w:val="clear" w:color="auto" w:fill="FFFFFF" w:themeFill="background1"/>
          <w:lang w:val="en-US" w:eastAsia="zh-CN" w:bidi="ar-SA"/>
        </w:rPr>
        <w:t>7</w:t>
      </w:r>
      <w:r>
        <w:rPr>
          <w:rFonts w:hint="eastAsia" w:ascii="宋体" w:hAnsi="宋体" w:eastAsia="宋体" w:cstheme="minorBidi"/>
          <w:iCs/>
          <w:color w:val="auto"/>
          <w:kern w:val="2"/>
          <w:sz w:val="24"/>
          <w:szCs w:val="22"/>
          <w:highlight w:val="none"/>
          <w:shd w:val="clear" w:color="auto" w:fill="FFFFFF" w:themeFill="background1"/>
          <w:lang w:val="en-US" w:eastAsia="zh-CN" w:bidi="ar-SA"/>
        </w:rPr>
        <w:t>.2</w:t>
      </w:r>
      <w:r>
        <w:rPr>
          <w:rFonts w:hint="eastAsia" w:eastAsia="宋体" w:cstheme="minorBidi"/>
          <w:iCs/>
          <w:color w:val="auto"/>
          <w:kern w:val="2"/>
          <w:sz w:val="24"/>
          <w:szCs w:val="22"/>
          <w:highlight w:val="none"/>
          <w:shd w:val="clear" w:color="auto" w:fill="FFFFFF" w:themeFill="background1"/>
          <w:lang w:val="en-US" w:eastAsia="zh-CN" w:bidi="ar-SA"/>
        </w:rPr>
        <w:t>提交</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投标保证金可采用的形式：政府采购法律法规接受的支票、汇票、本票、网上银行支付或者金融机构、担保机构出具的保函等非现金形式。</w:t>
      </w:r>
      <w:r>
        <w:rPr>
          <w:rFonts w:hint="eastAsia" w:ascii="宋体" w:hAnsi="宋体" w:eastAsia="宋体" w:cs="宋体"/>
          <w:color w:val="auto"/>
          <w:kern w:val="2"/>
          <w:sz w:val="24"/>
          <w:szCs w:val="22"/>
          <w:highlight w:val="none"/>
          <w:lang w:val="en-US" w:eastAsia="zh-CN" w:bidi="ar-SA"/>
        </w:rPr>
        <w:t>投标人未按照招标文件要求提交投标保证金的，</w:t>
      </w:r>
      <w:r>
        <w:rPr>
          <w:rFonts w:hint="eastAsia" w:eastAsia="宋体" w:cs="宋体"/>
          <w:color w:val="auto"/>
          <w:kern w:val="2"/>
          <w:sz w:val="24"/>
          <w:szCs w:val="22"/>
          <w:highlight w:val="none"/>
          <w:lang w:val="en-US" w:eastAsia="zh-CN" w:bidi="ar-SA"/>
        </w:rPr>
        <w:t>其</w:t>
      </w:r>
      <w:r>
        <w:rPr>
          <w:rFonts w:hint="eastAsia" w:ascii="宋体" w:hAnsi="宋体" w:eastAsia="宋体" w:cs="宋体"/>
          <w:b/>
          <w:bCs/>
          <w:color w:val="auto"/>
          <w:kern w:val="2"/>
          <w:sz w:val="24"/>
          <w:szCs w:val="22"/>
          <w:highlight w:val="none"/>
          <w:lang w:val="en-US" w:eastAsia="zh-CN" w:bidi="ar-SA"/>
        </w:rPr>
        <w:t>投标无效</w:t>
      </w:r>
      <w:r>
        <w:rPr>
          <w:rFonts w:hint="eastAsia" w:ascii="宋体" w:hAnsi="宋体" w:eastAsia="宋体" w:cs="宋体"/>
          <w:color w:val="auto"/>
          <w:kern w:val="2"/>
          <w:sz w:val="24"/>
          <w:szCs w:val="22"/>
          <w:highlight w:val="none"/>
          <w:lang w:val="en-US" w:eastAsia="zh-CN" w:bidi="ar-SA"/>
        </w:rPr>
        <w:t>。</w:t>
      </w:r>
      <w:r>
        <w:rPr>
          <w:rFonts w:hint="eastAsia" w:eastAsia="宋体"/>
          <w:color w:val="auto"/>
          <w:sz w:val="24"/>
          <w:highlight w:val="none"/>
          <w:lang w:val="en-US" w:eastAsia="zh-CN"/>
        </w:rPr>
        <w:t>投标保证金有效期同投标有效期。</w:t>
      </w:r>
    </w:p>
    <w:p w14:paraId="54BD0912">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17.3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其</w:t>
      </w:r>
      <w:r>
        <w:rPr>
          <w:rFonts w:hint="eastAsia" w:ascii="宋体" w:hAnsi="宋体" w:eastAsia="宋体" w:cs="宋体"/>
          <w:b/>
          <w:bCs/>
          <w:color w:val="auto"/>
          <w:kern w:val="2"/>
          <w:sz w:val="24"/>
          <w:szCs w:val="22"/>
          <w:highlight w:val="none"/>
          <w:lang w:val="en-US" w:eastAsia="zh-CN"/>
        </w:rPr>
        <w:t>投标无效</w:t>
      </w:r>
      <w:r>
        <w:rPr>
          <w:rFonts w:hint="eastAsia" w:ascii="宋体" w:hAnsi="宋体" w:eastAsia="宋体" w:cs="宋体"/>
          <w:color w:val="auto"/>
          <w:kern w:val="2"/>
          <w:sz w:val="24"/>
          <w:szCs w:val="22"/>
          <w:highlight w:val="none"/>
          <w:lang w:val="en-US" w:eastAsia="zh-CN"/>
        </w:rPr>
        <w:t>。</w:t>
      </w:r>
    </w:p>
    <w:p w14:paraId="3BAA958D">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4</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投标人为联合体的，可以由联合体中的一方或者多方共同</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提交</w:t>
      </w:r>
      <w:r>
        <w:rPr>
          <w:rFonts w:hint="default" w:ascii="宋体" w:hAnsi="宋体" w:eastAsia="宋体" w:cstheme="minorBidi"/>
          <w:iCs/>
          <w:color w:val="auto"/>
          <w:kern w:val="2"/>
          <w:sz w:val="24"/>
          <w:szCs w:val="22"/>
          <w:highlight w:val="none"/>
          <w:shd w:val="clear" w:color="auto" w:fill="FFFFFF" w:themeFill="background1"/>
          <w:lang w:val="en-US" w:eastAsia="zh-CN" w:bidi="ar-SA"/>
        </w:rPr>
        <w:t>投标保证金，其</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提交</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的投标保证金对联合体各方均具有约束力。</w:t>
      </w:r>
    </w:p>
    <w:p w14:paraId="27BA1101">
      <w:pPr>
        <w:pStyle w:val="64"/>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17.5</w:t>
      </w:r>
      <w:r>
        <w:rPr>
          <w:rFonts w:hint="default" w:ascii="宋体" w:hAnsi="宋体" w:eastAsia="宋体" w:cstheme="minorBidi"/>
          <w:iCs/>
          <w:color w:val="auto"/>
          <w:kern w:val="2"/>
          <w:sz w:val="24"/>
          <w:szCs w:val="22"/>
          <w:highlight w:val="none"/>
          <w:shd w:val="clear" w:color="auto" w:fill="FFFFFF" w:themeFill="background1"/>
          <w:lang w:val="en-US" w:eastAsia="zh-CN" w:bidi="ar-SA"/>
        </w:rPr>
        <w:t>采购人或者采购代理机构应当在采购活动结束后及时退还</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保证金，采用银行保函、担保机构担保函等形式递交的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保证金，经</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同意后采购人、采购代理机构可以不再退还，但因</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自身原因导致无法及时退还的除外。未</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中标投标人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保证金应当自中标通知书发出之日起 5 个工作日内退还，</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中标投标人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保证金应当自采购合同签订之日起 5 个工作日内退还。 </w:t>
      </w:r>
    </w:p>
    <w:p w14:paraId="6CFB121F">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6</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投标人在投标截止时间前撤回已</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w:t>
      </w:r>
      <w:r>
        <w:rPr>
          <w:rFonts w:hint="default" w:ascii="宋体" w:hAnsi="宋体" w:eastAsia="宋体" w:cstheme="minorBidi"/>
          <w:iCs/>
          <w:color w:val="auto"/>
          <w:kern w:val="2"/>
          <w:sz w:val="24"/>
          <w:szCs w:val="22"/>
          <w:highlight w:val="none"/>
          <w:shd w:val="clear" w:color="auto" w:fill="FFFFFF" w:themeFill="background1"/>
          <w:lang w:val="en-US" w:eastAsia="zh-CN" w:bidi="ar-SA"/>
        </w:rPr>
        <w:t>交的投标文件的，自收到投标人书面撤回通知之日起 5 个工作日内，退还已收取的投标保证金，但因投标人自身原因导致无法及时退还的除外</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28156F6E">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终止招标项目已经收取投标保证金的，自终止采购活动后 5 个工作日内退还已收取的投标保证金及其在银行产生的孳息。</w:t>
      </w:r>
    </w:p>
    <w:p w14:paraId="0B6A028F">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有下列情形之一的，采购人或采购代理机构可以不予退还投标保证金</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宋体"/>
          <w:color w:val="auto"/>
          <w:kern w:val="2"/>
          <w:sz w:val="24"/>
          <w:szCs w:val="22"/>
          <w:highlight w:val="none"/>
        </w:rPr>
        <w:t>情节严重的将其列入不良记录名单</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02F7ADEB">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.1 </w:t>
      </w:r>
      <w:r>
        <w:rPr>
          <w:rFonts w:hint="eastAsia" w:ascii="宋体" w:hAnsi="宋体" w:eastAsia="宋体" w:cs="宋体"/>
          <w:color w:val="auto"/>
          <w:kern w:val="2"/>
          <w:sz w:val="24"/>
          <w:szCs w:val="22"/>
          <w:highlight w:val="none"/>
        </w:rPr>
        <w:t>开标后在投标有效期内，投标人撤</w:t>
      </w:r>
      <w:r>
        <w:rPr>
          <w:rFonts w:hint="eastAsia" w:ascii="宋体" w:hAnsi="宋体" w:eastAsia="宋体" w:cs="宋体"/>
          <w:color w:val="auto"/>
          <w:kern w:val="2"/>
          <w:sz w:val="24"/>
          <w:szCs w:val="22"/>
          <w:highlight w:val="none"/>
          <w:lang w:val="en-US" w:eastAsia="zh-CN"/>
        </w:rPr>
        <w:t>销</w:t>
      </w:r>
      <w:r>
        <w:rPr>
          <w:rFonts w:hint="eastAsia" w:ascii="宋体" w:hAnsi="宋体" w:eastAsia="宋体" w:cs="宋体"/>
          <w:color w:val="auto"/>
          <w:kern w:val="2"/>
          <w:sz w:val="24"/>
          <w:szCs w:val="22"/>
          <w:highlight w:val="none"/>
        </w:rPr>
        <w:t>其投标</w:t>
      </w:r>
      <w:r>
        <w:rPr>
          <w:rFonts w:hint="eastAsia" w:ascii="宋体" w:hAnsi="宋体" w:eastAsia="宋体" w:cs="宋体"/>
          <w:color w:val="auto"/>
          <w:kern w:val="2"/>
          <w:sz w:val="24"/>
          <w:szCs w:val="22"/>
          <w:highlight w:val="none"/>
          <w:lang w:val="en-US" w:eastAsia="zh-CN"/>
        </w:rPr>
        <w:t>的</w:t>
      </w:r>
      <w:r>
        <w:rPr>
          <w:rFonts w:hint="eastAsia" w:ascii="宋体" w:hAnsi="宋体" w:eastAsia="宋体" w:cs="宋体"/>
          <w:color w:val="auto"/>
          <w:kern w:val="2"/>
          <w:sz w:val="24"/>
          <w:szCs w:val="22"/>
          <w:highlight w:val="none"/>
        </w:rPr>
        <w:t>；</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36FC9D74">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.2 </w:t>
      </w:r>
      <w:r>
        <w:rPr>
          <w:rFonts w:hint="eastAsia" w:ascii="宋体" w:hAnsi="宋体" w:eastAsia="宋体" w:cs="宋体"/>
          <w:color w:val="auto"/>
          <w:kern w:val="2"/>
          <w:sz w:val="24"/>
          <w:szCs w:val="22"/>
          <w:highlight w:val="none"/>
        </w:rPr>
        <w:t>中标后无正当理由不与采购人签订合同的；</w:t>
      </w:r>
    </w:p>
    <w:p w14:paraId="3694295C">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17.8.3 </w:t>
      </w:r>
      <w:r>
        <w:rPr>
          <w:rFonts w:hint="eastAsia" w:ascii="宋体" w:hAnsi="宋体" w:eastAsia="宋体" w:cs="宋体"/>
          <w:color w:val="auto"/>
          <w:kern w:val="2"/>
          <w:sz w:val="24"/>
          <w:szCs w:val="22"/>
          <w:highlight w:val="none"/>
        </w:rPr>
        <w:t>中标人与采购人订立背离合同实质性内容的其他协议；</w:t>
      </w:r>
    </w:p>
    <w:p w14:paraId="54583F23">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4</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将中标项目转让给他人，或者在投标文件中未说明，且未经采购</w:t>
      </w:r>
      <w:r>
        <w:rPr>
          <w:rFonts w:hint="eastAsia" w:ascii="宋体" w:hAnsi="宋体" w:eastAsia="宋体" w:cs="宋体"/>
          <w:color w:val="auto"/>
          <w:kern w:val="2"/>
          <w:sz w:val="24"/>
          <w:szCs w:val="22"/>
          <w:highlight w:val="none"/>
          <w:lang w:val="en-US" w:eastAsia="zh-CN"/>
        </w:rPr>
        <w:t>人</w:t>
      </w:r>
      <w:r>
        <w:rPr>
          <w:rFonts w:hint="eastAsia" w:ascii="宋体" w:hAnsi="宋体" w:eastAsia="宋体" w:cs="宋体"/>
          <w:color w:val="auto"/>
          <w:kern w:val="2"/>
          <w:sz w:val="24"/>
          <w:szCs w:val="22"/>
          <w:highlight w:val="none"/>
        </w:rPr>
        <w:t>同意，将中标项目分包给他人的；</w:t>
      </w:r>
    </w:p>
    <w:p w14:paraId="433DB211">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5</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存在串通投标行为的；</w:t>
      </w:r>
    </w:p>
    <w:p w14:paraId="0A3E2CC4">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6</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存在弄虚作假或提供虚假材料谋取中标的；</w:t>
      </w:r>
    </w:p>
    <w:p w14:paraId="3CBF915F">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7</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投标人其他未按招标文件规定和合同约定履行义务的行为。</w:t>
      </w:r>
    </w:p>
    <w:p w14:paraId="330E240F">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17.9如开标时投标人对本单位投标保证金缴纳情况有疑义，投标人应在开标结束前向采购人提交书面申请核实保证金缴纳情况。由银行或保险公司核实后出具书面材料予以答复。</w:t>
      </w:r>
    </w:p>
    <w:p w14:paraId="7018BCE4">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17.10为支持和促进中小企业发展，进一步发挥政府采购政策功能，鼓励投标供应商使用电子保函代替现金缴纳投标保证金，在线完成保函的申请、审核、开票、出函等环节，投标企业注意区分办理保函类型，并确认投标有效期，如采用政采云电子保函，可登录“兵团政府采购网”—顶部通栏“信用融资”或者“兵团政府采购网”首页“政采贷｜电子保函”快捷模块查看：</w:t>
      </w:r>
    </w:p>
    <w:p w14:paraId="1F3A8C5E">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直达链接（电子保函）：</w:t>
      </w:r>
    </w:p>
    <w:p w14:paraId="15E30E92">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https://jinrong.zcygov.cn/luban/finance/xinjiang?utm=site.site-PC-4838.1473-pc-wsg-customFloatWindow-front.1.b9d627301e6311efb796b33a13fe0d0a</w:t>
      </w:r>
    </w:p>
    <w:p w14:paraId="071DFFA7">
      <w:pPr>
        <w:pStyle w:val="6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金融服务支撑热线：</w:t>
      </w:r>
      <w:r>
        <w:rPr>
          <w:rFonts w:hint="eastAsia" w:ascii="宋体" w:hAnsi="宋体" w:eastAsia="宋体" w:cstheme="minorBidi"/>
          <w:b/>
          <w:bCs/>
          <w:iCs/>
          <w:color w:val="auto"/>
          <w:kern w:val="2"/>
          <w:sz w:val="24"/>
          <w:szCs w:val="22"/>
          <w:highlight w:val="none"/>
          <w:shd w:val="clear" w:color="auto" w:fill="FFFFFF" w:themeFill="background1"/>
          <w:lang w:val="en-US" w:eastAsia="zh-CN" w:bidi="ar-SA"/>
        </w:rPr>
        <w:t>0991-2661159</w:t>
      </w: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3586E85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41" w:name="_Toc8188"/>
      <w:bookmarkStart w:id="242" w:name="_Toc28464"/>
      <w:bookmarkStart w:id="243" w:name="_Toc16247"/>
      <w:bookmarkStart w:id="244" w:name="_Toc26606"/>
      <w:r>
        <w:rPr>
          <w:rFonts w:hint="eastAsia" w:ascii="宋体" w:hAnsi="宋体" w:eastAsia="宋体" w:cs="宋体"/>
          <w:b/>
          <w:bCs/>
          <w:color w:val="auto"/>
          <w:kern w:val="2"/>
          <w:sz w:val="24"/>
          <w:szCs w:val="28"/>
          <w:highlight w:val="none"/>
          <w:lang w:val="en-US" w:eastAsia="zh-CN" w:bidi="ar-SA"/>
        </w:rPr>
        <w:t>18.投标文件的加密</w:t>
      </w:r>
      <w:bookmarkEnd w:id="240"/>
      <w:bookmarkEnd w:id="241"/>
      <w:bookmarkEnd w:id="242"/>
      <w:bookmarkEnd w:id="243"/>
      <w:bookmarkEnd w:id="244"/>
    </w:p>
    <w:p w14:paraId="7CFFC076">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u w:val="single"/>
        </w:rPr>
      </w:pPr>
      <w:bookmarkStart w:id="245" w:name="_Hlk143531864"/>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.1投标人在供应商客户端中生成投标文件并完成签章之后，使用CA证书在供应商客户端中对投标文件进行加密。</w:t>
      </w:r>
    </w:p>
    <w:p w14:paraId="20075D69">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.2投标人应在供应商客户端中对加密的投标文件进行解密验证，以防止投标文件加密异常，在开标时无法解密。</w:t>
      </w:r>
    </w:p>
    <w:p w14:paraId="60E84957">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.3 投标人应保证加密投标文件的CA证书有效期在开标时间之前。若CA证书有效期临近开标时间，建议投标人提前办理CA证书续期，以免开标时无法进行解密。</w:t>
      </w:r>
    </w:p>
    <w:p w14:paraId="4D80B003">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lang w:eastAsia="zh-CN"/>
        </w:rPr>
        <w:t>投标人</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w:t>
      </w:r>
      <w:r>
        <w:rPr>
          <w:rFonts w:hint="eastAsia" w:eastAsia="宋体" w:cs="仿宋_GB2312"/>
          <w:color w:val="auto"/>
          <w:sz w:val="24"/>
          <w:szCs w:val="24"/>
          <w:highlight w:val="none"/>
          <w:lang w:val="en-US" w:eastAsia="zh-CN"/>
        </w:rPr>
        <w:t>止</w:t>
      </w:r>
      <w:r>
        <w:rPr>
          <w:rFonts w:hint="eastAsia" w:eastAsia="宋体" w:cs="仿宋_GB2312"/>
          <w:color w:val="auto"/>
          <w:sz w:val="24"/>
          <w:szCs w:val="24"/>
          <w:highlight w:val="none"/>
        </w:rPr>
        <w:t>时间前通过</w:t>
      </w:r>
      <w:r>
        <w:rPr>
          <w:rFonts w:hint="eastAsia" w:eastAsia="宋体" w:cs="仿宋_GB2312"/>
          <w:color w:val="auto"/>
          <w:sz w:val="24"/>
          <w:szCs w:val="24"/>
          <w:highlight w:val="none"/>
          <w:lang w:val="en-US" w:eastAsia="zh-CN"/>
        </w:rPr>
        <w:t>兵团</w:t>
      </w:r>
      <w:r>
        <w:rPr>
          <w:rFonts w:hint="eastAsia" w:eastAsia="宋体" w:cs="仿宋_GB2312"/>
          <w:color w:val="auto"/>
          <w:sz w:val="24"/>
          <w:szCs w:val="24"/>
          <w:highlight w:val="none"/>
        </w:rPr>
        <w:t>政府采购网（http://ccgp-bingtuan.gov.cn/）的”政采云登录入口”登录后，将加密电子</w:t>
      </w:r>
      <w:r>
        <w:rPr>
          <w:rFonts w:hint="eastAsia" w:eastAsia="宋体" w:cs="仿宋_GB2312"/>
          <w:color w:val="auto"/>
          <w:sz w:val="24"/>
          <w:szCs w:val="24"/>
          <w:highlight w:val="none"/>
          <w:lang w:eastAsia="zh-CN"/>
        </w:rPr>
        <w:t>投标文件</w:t>
      </w:r>
      <w:r>
        <w:rPr>
          <w:rFonts w:hint="eastAsia" w:ascii="宋体" w:hAnsi="宋体" w:eastAsia="宋体" w:cs="仿宋_GB2312"/>
          <w:color w:val="auto"/>
          <w:sz w:val="24"/>
          <w:szCs w:val="24"/>
          <w:highlight w:val="none"/>
        </w:rPr>
        <w:t>（为.jmbs后缀格式）</w:t>
      </w:r>
      <w:r>
        <w:rPr>
          <w:rFonts w:hint="eastAsia" w:eastAsia="宋体" w:cs="仿宋_GB2312"/>
          <w:color w:val="auto"/>
          <w:sz w:val="24"/>
          <w:szCs w:val="24"/>
          <w:highlight w:val="none"/>
        </w:rPr>
        <w:t>上传到对应项目的指定位置</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投标人认为有必要提交的其他资料请于投标截止时间前一并提交。</w:t>
      </w:r>
    </w:p>
    <w:p w14:paraId="7FD09881">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如果投标人未按上述要求</w:t>
      </w:r>
      <w:r>
        <w:rPr>
          <w:rFonts w:hint="eastAsia" w:eastAsia="宋体" w:cs="仿宋_GB2312"/>
          <w:color w:val="auto"/>
          <w:sz w:val="24"/>
          <w:szCs w:val="24"/>
          <w:highlight w:val="none"/>
          <w:lang w:val="en-US" w:eastAsia="zh-CN"/>
        </w:rPr>
        <w:t>加密并上传</w:t>
      </w:r>
      <w:r>
        <w:rPr>
          <w:rFonts w:hint="eastAsia" w:eastAsia="宋体" w:cs="仿宋_GB2312"/>
          <w:color w:val="auto"/>
          <w:sz w:val="24"/>
          <w:szCs w:val="24"/>
          <w:highlight w:val="none"/>
        </w:rPr>
        <w:t>，采购代理机构对投标文件的误投</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lang w:val="en-US" w:eastAsia="zh-CN"/>
        </w:rPr>
        <w:t>无法解密、传输错误等问题</w:t>
      </w:r>
      <w:r>
        <w:rPr>
          <w:rFonts w:hint="eastAsia" w:eastAsia="宋体" w:cs="仿宋_GB2312"/>
          <w:color w:val="auto"/>
          <w:sz w:val="24"/>
          <w:szCs w:val="24"/>
          <w:highlight w:val="none"/>
        </w:rPr>
        <w:t>概不负责。对由此造成</w:t>
      </w:r>
      <w:r>
        <w:rPr>
          <w:rFonts w:hint="eastAsia" w:eastAsia="宋体" w:cs="仿宋_GB2312"/>
          <w:color w:val="auto"/>
          <w:sz w:val="24"/>
          <w:szCs w:val="24"/>
          <w:highlight w:val="none"/>
          <w:lang w:val="en-US" w:eastAsia="zh-CN"/>
        </w:rPr>
        <w:t>无法正常开启</w:t>
      </w:r>
      <w:r>
        <w:rPr>
          <w:rFonts w:hint="eastAsia" w:eastAsia="宋体" w:cs="仿宋_GB2312"/>
          <w:color w:val="auto"/>
          <w:sz w:val="24"/>
          <w:szCs w:val="24"/>
          <w:highlight w:val="none"/>
        </w:rPr>
        <w:t>的投标文件，采购代理机构有权予以拒绝，并退回投标人。</w:t>
      </w:r>
    </w:p>
    <w:p w14:paraId="23051441">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6</w:t>
      </w:r>
      <w:r>
        <w:rPr>
          <w:rFonts w:hint="eastAsia" w:eastAsia="宋体" w:cs="仿宋_GB2312"/>
          <w:color w:val="auto"/>
          <w:sz w:val="24"/>
          <w:szCs w:val="24"/>
          <w:highlight w:val="none"/>
        </w:rPr>
        <w:t>本项目采用不见面开标，无需提供电子</w:t>
      </w:r>
      <w:r>
        <w:rPr>
          <w:rFonts w:hint="eastAsia" w:ascii="宋体" w:hAnsi="宋体" w:eastAsia="宋体" w:cs="仿宋_GB2312"/>
          <w:color w:val="auto"/>
          <w:sz w:val="24"/>
          <w:szCs w:val="24"/>
          <w:highlight w:val="none"/>
        </w:rPr>
        <w:t>投标文件U盘</w:t>
      </w:r>
      <w:r>
        <w:rPr>
          <w:rFonts w:hint="eastAsia" w:eastAsia="宋体" w:cs="仿宋_GB2312"/>
          <w:color w:val="auto"/>
          <w:sz w:val="24"/>
          <w:szCs w:val="24"/>
          <w:highlight w:val="none"/>
        </w:rPr>
        <w:t>。</w:t>
      </w:r>
    </w:p>
    <w:bookmarkEnd w:id="245"/>
    <w:p w14:paraId="31ED663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46" w:name="_Toc140132777"/>
      <w:bookmarkStart w:id="247" w:name="_Toc16258"/>
      <w:bookmarkStart w:id="248" w:name="_Toc163492844"/>
      <w:bookmarkStart w:id="249" w:name="_Toc27844"/>
      <w:bookmarkStart w:id="250" w:name="_Toc32423"/>
      <w:bookmarkStart w:id="251" w:name="_Toc29763"/>
      <w:r>
        <w:rPr>
          <w:rFonts w:hint="eastAsia" w:ascii="宋体" w:hAnsi="宋体" w:eastAsia="宋体" w:cs="宋体"/>
          <w:b/>
          <w:bCs/>
          <w:color w:val="auto"/>
          <w:kern w:val="2"/>
          <w:sz w:val="24"/>
          <w:szCs w:val="28"/>
          <w:highlight w:val="none"/>
          <w:lang w:val="en-US" w:eastAsia="zh-CN" w:bidi="ar-SA"/>
        </w:rPr>
        <w:t>19.投标文件的递交</w:t>
      </w:r>
      <w:bookmarkEnd w:id="246"/>
      <w:r>
        <w:rPr>
          <w:rFonts w:hint="eastAsia" w:ascii="宋体" w:hAnsi="宋体" w:eastAsia="宋体" w:cs="宋体"/>
          <w:b/>
          <w:bCs/>
          <w:color w:val="auto"/>
          <w:kern w:val="2"/>
          <w:sz w:val="24"/>
          <w:szCs w:val="28"/>
          <w:highlight w:val="none"/>
          <w:lang w:val="en-US" w:eastAsia="zh-CN" w:bidi="ar-SA"/>
        </w:rPr>
        <w:t>（上传）</w:t>
      </w:r>
      <w:bookmarkEnd w:id="247"/>
      <w:bookmarkEnd w:id="248"/>
      <w:bookmarkEnd w:id="249"/>
      <w:bookmarkEnd w:id="250"/>
      <w:bookmarkEnd w:id="251"/>
    </w:p>
    <w:p w14:paraId="68ADD5DF">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bookmarkStart w:id="252" w:name="_Hlk143531977"/>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.1 投标人应在“</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”规定的投标截止时间前递交（上传）投标文件。</w:t>
      </w:r>
    </w:p>
    <w:p w14:paraId="0686D9A3">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.2 投标人递交（上传）投标文件的地点见“</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w:t>
      </w:r>
    </w:p>
    <w:p w14:paraId="6AE6974A">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lang w:eastAsia="zh-CN"/>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.3投标人应充分评估集中同时投标带来的网络影响，尽量避开投标高峰时间，错峰进行电子投标。投标人递交全部的投标文件后可在政采云平台（项目采购</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投标文件上传）中获取投标文件递交回执单。</w:t>
      </w:r>
    </w:p>
    <w:p w14:paraId="66FB688C">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.4 投标人应在供应商客户端中下载未加密且完成签章的投标文件妥善保存，以便启动应急开标程序时使用。</w:t>
      </w:r>
    </w:p>
    <w:p w14:paraId="4469D505">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.5投标人所递交的投标文件不予退还。</w:t>
      </w:r>
    </w:p>
    <w:bookmarkEnd w:id="252"/>
    <w:p w14:paraId="6AD7096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53" w:name="_Toc30939"/>
      <w:bookmarkStart w:id="254" w:name="_Toc163492845"/>
      <w:bookmarkStart w:id="255" w:name="_Toc29074"/>
      <w:bookmarkStart w:id="256" w:name="_Toc4892"/>
      <w:bookmarkStart w:id="257" w:name="_Toc32306"/>
      <w:r>
        <w:rPr>
          <w:rFonts w:hint="eastAsia" w:ascii="宋体" w:hAnsi="宋体" w:eastAsia="宋体" w:cs="宋体"/>
          <w:b/>
          <w:bCs/>
          <w:color w:val="auto"/>
          <w:kern w:val="2"/>
          <w:sz w:val="24"/>
          <w:szCs w:val="28"/>
          <w:highlight w:val="none"/>
          <w:lang w:val="en-US" w:eastAsia="zh-CN" w:bidi="ar-SA"/>
        </w:rPr>
        <w:t>20.拒收</w:t>
      </w:r>
      <w:bookmarkEnd w:id="253"/>
      <w:bookmarkEnd w:id="254"/>
      <w:bookmarkEnd w:id="255"/>
      <w:bookmarkEnd w:id="256"/>
      <w:bookmarkEnd w:id="257"/>
    </w:p>
    <w:p w14:paraId="163AD542">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2</w:t>
      </w:r>
      <w:r>
        <w:rPr>
          <w:rFonts w:hint="eastAsia" w:eastAsia="宋体" w:cs="仿宋_GB2312"/>
          <w:color w:val="auto"/>
          <w:sz w:val="24"/>
          <w:szCs w:val="24"/>
          <w:highlight w:val="none"/>
          <w:lang w:val="en-US" w:eastAsia="zh-CN"/>
        </w:rPr>
        <w:t>0</w:t>
      </w:r>
      <w:r>
        <w:rPr>
          <w:rFonts w:hint="eastAsia" w:eastAsia="宋体" w:cs="仿宋_GB2312"/>
          <w:color w:val="auto"/>
          <w:sz w:val="24"/>
          <w:szCs w:val="24"/>
          <w:highlight w:val="none"/>
        </w:rPr>
        <w:t>.1 超过投标文件提交截止时间</w:t>
      </w:r>
      <w:bookmarkStart w:id="258" w:name="_Hlk143532404"/>
      <w:r>
        <w:rPr>
          <w:rFonts w:hint="eastAsia" w:eastAsia="宋体" w:cs="仿宋_GB2312"/>
          <w:color w:val="auto"/>
          <w:sz w:val="24"/>
          <w:szCs w:val="24"/>
          <w:highlight w:val="none"/>
        </w:rPr>
        <w:t>或者不按照本章要求加密的投标文件，交易系统应当拒收</w:t>
      </w:r>
      <w:bookmarkEnd w:id="258"/>
      <w:r>
        <w:rPr>
          <w:rFonts w:hint="eastAsia" w:eastAsia="宋体" w:cs="仿宋_GB2312"/>
          <w:color w:val="auto"/>
          <w:sz w:val="24"/>
          <w:szCs w:val="24"/>
          <w:highlight w:val="none"/>
        </w:rPr>
        <w:t>。</w:t>
      </w:r>
    </w:p>
    <w:p w14:paraId="0356121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59" w:name="_Toc26768"/>
      <w:bookmarkStart w:id="260" w:name="_Toc140132778"/>
      <w:bookmarkStart w:id="261" w:name="_Toc163492846"/>
      <w:bookmarkStart w:id="262" w:name="_Toc4072"/>
      <w:bookmarkStart w:id="263" w:name="_Toc29200"/>
      <w:bookmarkStart w:id="264" w:name="_Toc2528"/>
      <w:r>
        <w:rPr>
          <w:rFonts w:hint="eastAsia" w:ascii="宋体" w:hAnsi="宋体" w:eastAsia="宋体" w:cs="宋体"/>
          <w:b/>
          <w:bCs/>
          <w:color w:val="auto"/>
          <w:kern w:val="2"/>
          <w:sz w:val="24"/>
          <w:szCs w:val="28"/>
          <w:highlight w:val="none"/>
          <w:lang w:val="en-US" w:eastAsia="zh-CN" w:bidi="ar-SA"/>
        </w:rPr>
        <w:t>21.投标文件的修改与撤回</w:t>
      </w:r>
      <w:bookmarkEnd w:id="259"/>
      <w:bookmarkEnd w:id="260"/>
      <w:bookmarkEnd w:id="261"/>
      <w:bookmarkEnd w:id="262"/>
      <w:bookmarkEnd w:id="263"/>
      <w:bookmarkEnd w:id="264"/>
    </w:p>
    <w:p w14:paraId="7DBF29E0">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2</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.1</w:t>
      </w:r>
      <w:bookmarkStart w:id="265" w:name="_Hlk143532466"/>
      <w:r>
        <w:rPr>
          <w:rFonts w:hint="eastAsia" w:eastAsia="宋体" w:cs="仿宋_GB2312"/>
          <w:color w:val="auto"/>
          <w:sz w:val="24"/>
          <w:szCs w:val="24"/>
          <w:highlight w:val="none"/>
          <w:lang w:eastAsia="zh-CN"/>
        </w:rPr>
        <w:t>投标人</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w:t>
      </w:r>
      <w:r>
        <w:rPr>
          <w:rFonts w:hint="eastAsia" w:eastAsia="宋体"/>
          <w:color w:val="auto"/>
          <w:sz w:val="24"/>
          <w:highlight w:val="none"/>
          <w:lang w:val="en-US" w:eastAsia="zh-CN"/>
        </w:rPr>
        <w:t>第一章 招标公告</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规定的</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递交截止时间之前，可在兵团政府采购电子交易云平台上随时撤回已上传的电子</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，将修改好的电子</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递交截止时间前重新上传到兵团政府采购电子交易云平台的</w:t>
      </w:r>
      <w:r>
        <w:rPr>
          <w:rFonts w:hint="eastAsia" w:eastAsia="宋体" w:cs="仿宋_GB2312"/>
          <w:color w:val="auto"/>
          <w:sz w:val="24"/>
          <w:szCs w:val="24"/>
          <w:highlight w:val="none"/>
          <w:lang w:val="en-US" w:eastAsia="zh-CN"/>
        </w:rPr>
        <w:t>指</w:t>
      </w:r>
      <w:r>
        <w:rPr>
          <w:rFonts w:hint="eastAsia" w:eastAsia="宋体" w:cs="仿宋_GB2312"/>
          <w:color w:val="auto"/>
          <w:sz w:val="24"/>
          <w:szCs w:val="24"/>
          <w:highlight w:val="none"/>
        </w:rPr>
        <w:t>定位置。</w:t>
      </w:r>
    </w:p>
    <w:bookmarkEnd w:id="265"/>
    <w:p w14:paraId="20434D8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66" w:name="_Toc9242"/>
      <w:bookmarkStart w:id="267" w:name="_Toc6575"/>
      <w:bookmarkStart w:id="268" w:name="_Toc163492847"/>
      <w:bookmarkStart w:id="269" w:name="_Toc155185874"/>
      <w:bookmarkStart w:id="270" w:name="_Toc19338"/>
      <w:bookmarkStart w:id="271" w:name="_Toc24996"/>
      <w:r>
        <w:rPr>
          <w:rFonts w:hint="eastAsia" w:ascii="宋体" w:hAnsi="宋体" w:eastAsia="宋体" w:cs="宋体"/>
          <w:b/>
          <w:bCs/>
          <w:color w:val="auto"/>
          <w:kern w:val="2"/>
          <w:sz w:val="24"/>
          <w:szCs w:val="28"/>
          <w:highlight w:val="none"/>
          <w:lang w:val="en-US" w:eastAsia="zh-CN" w:bidi="ar-SA"/>
        </w:rPr>
        <w:t>22.实物样品</w:t>
      </w:r>
      <w:bookmarkEnd w:id="266"/>
      <w:bookmarkEnd w:id="267"/>
      <w:bookmarkEnd w:id="268"/>
      <w:bookmarkEnd w:id="269"/>
      <w:bookmarkEnd w:id="270"/>
      <w:bookmarkEnd w:id="271"/>
    </w:p>
    <w:p w14:paraId="52D4EAF6">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2</w:t>
      </w:r>
      <w:r>
        <w:rPr>
          <w:rFonts w:hint="eastAsia" w:eastAsia="宋体"/>
          <w:color w:val="auto"/>
          <w:sz w:val="24"/>
          <w:highlight w:val="none"/>
        </w:rPr>
        <w:t>.1“投标人须知前附表”要求提供样品的，样品的具体要求及评审详见“第三章 采购需求”和“第五章 评标</w:t>
      </w:r>
      <w:r>
        <w:rPr>
          <w:rFonts w:hint="eastAsia" w:eastAsia="宋体"/>
          <w:color w:val="auto"/>
          <w:sz w:val="24"/>
          <w:highlight w:val="none"/>
          <w:lang w:val="en-US" w:eastAsia="zh-CN"/>
        </w:rPr>
        <w:t>方</w:t>
      </w:r>
      <w:r>
        <w:rPr>
          <w:rFonts w:hint="eastAsia" w:eastAsia="宋体"/>
          <w:color w:val="auto"/>
          <w:sz w:val="24"/>
          <w:highlight w:val="none"/>
        </w:rPr>
        <w:t>法及标准”。</w:t>
      </w:r>
    </w:p>
    <w:p w14:paraId="2D6ED3FC">
      <w:pPr>
        <w:pStyle w:val="37"/>
        <w:keepNext w:val="0"/>
        <w:keepLines w:val="0"/>
        <w:pageBreakBefore w:val="0"/>
        <w:widowControl w:val="0"/>
        <w:kinsoku/>
        <w:overflowPunct/>
        <w:topLinePunct w:val="0"/>
        <w:autoSpaceDE/>
        <w:autoSpaceDN/>
        <w:bidi w:val="0"/>
        <w:adjustRightInd/>
        <w:textAlignment w:val="auto"/>
        <w:rPr>
          <w:rFonts w:eastAsia="宋体" w:cs="仿宋_GB2312"/>
          <w:b/>
          <w:color w:val="auto"/>
          <w:sz w:val="24"/>
          <w:szCs w:val="24"/>
          <w:highlight w:val="none"/>
        </w:rPr>
      </w:pPr>
      <w:r>
        <w:rPr>
          <w:rFonts w:eastAsia="宋体"/>
          <w:color w:val="auto"/>
          <w:sz w:val="24"/>
          <w:highlight w:val="none"/>
        </w:rPr>
        <w:t>2</w:t>
      </w:r>
      <w:r>
        <w:rPr>
          <w:rFonts w:hint="eastAsia" w:eastAsia="宋体"/>
          <w:color w:val="auto"/>
          <w:sz w:val="24"/>
          <w:highlight w:val="none"/>
          <w:lang w:val="en-US" w:eastAsia="zh-CN"/>
        </w:rPr>
        <w:t>2</w:t>
      </w:r>
      <w:r>
        <w:rPr>
          <w:rFonts w:hint="eastAsia" w:eastAsia="宋体"/>
          <w:color w:val="auto"/>
          <w:sz w:val="24"/>
          <w:highlight w:val="none"/>
        </w:rPr>
        <w:t>.2样品退还：</w:t>
      </w:r>
      <w:r>
        <w:rPr>
          <w:rFonts w:hint="eastAsia" w:ascii="宋体" w:hAnsi="宋体" w:eastAsia="宋体"/>
          <w:color w:val="auto"/>
          <w:sz w:val="24"/>
          <w:highlight w:val="none"/>
        </w:rPr>
        <w:t>未中标的投标人应</w:t>
      </w:r>
      <w:r>
        <w:rPr>
          <w:rFonts w:hint="eastAsia" w:ascii="宋体" w:hAnsi="宋体" w:eastAsia="宋体"/>
          <w:color w:val="auto"/>
          <w:sz w:val="24"/>
          <w:highlight w:val="none"/>
          <w:lang w:val="en-US" w:eastAsia="zh-CN"/>
        </w:rPr>
        <w:t>按照</w:t>
      </w:r>
      <w:r>
        <w:rPr>
          <w:rFonts w:hint="eastAsia" w:ascii="宋体" w:hAnsi="宋体" w:eastAsia="宋体"/>
          <w:color w:val="auto"/>
          <w:sz w:val="24"/>
          <w:highlight w:val="none"/>
        </w:rPr>
        <w:t>“投标人须知前附表”</w:t>
      </w:r>
      <w:r>
        <w:rPr>
          <w:rFonts w:hint="eastAsia" w:ascii="宋体" w:hAnsi="宋体" w:eastAsia="宋体"/>
          <w:color w:val="auto"/>
          <w:sz w:val="24"/>
          <w:highlight w:val="none"/>
          <w:lang w:val="en-US" w:eastAsia="zh-CN"/>
        </w:rPr>
        <w:t>要求</w:t>
      </w:r>
      <w:r>
        <w:rPr>
          <w:rFonts w:hint="eastAsia" w:ascii="宋体" w:hAnsi="宋体" w:eastAsia="宋体"/>
          <w:color w:val="auto"/>
          <w:sz w:val="24"/>
          <w:highlight w:val="none"/>
        </w:rPr>
        <w:t>自行联系采购人取回投标样品；中标人的样品由采购人进行保管、封存，并作为履约验收的参考</w:t>
      </w:r>
      <w:r>
        <w:rPr>
          <w:rFonts w:hint="eastAsia" w:eastAsia="宋体"/>
          <w:color w:val="auto"/>
          <w:sz w:val="24"/>
          <w:highlight w:val="none"/>
        </w:rPr>
        <w:t>（招标文件另有规定的从其规定）。</w:t>
      </w:r>
    </w:p>
    <w:p w14:paraId="7DD3C31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72" w:name="_Toc163492848"/>
      <w:bookmarkStart w:id="273" w:name="_Toc28857"/>
      <w:bookmarkStart w:id="274" w:name="_Toc25755"/>
      <w:bookmarkStart w:id="275" w:name="_Toc155185875"/>
      <w:bookmarkStart w:id="276" w:name="_Toc31127"/>
      <w:bookmarkStart w:id="277" w:name="_Toc29711"/>
      <w:r>
        <w:rPr>
          <w:rFonts w:hint="eastAsia" w:ascii="宋体" w:hAnsi="宋体" w:eastAsia="宋体" w:cs="宋体"/>
          <w:b/>
          <w:bCs/>
          <w:color w:val="auto"/>
          <w:kern w:val="2"/>
          <w:sz w:val="24"/>
          <w:szCs w:val="28"/>
          <w:highlight w:val="none"/>
          <w:lang w:val="en-US" w:eastAsia="zh-CN" w:bidi="ar-SA"/>
        </w:rPr>
        <w:t>23.演示</w:t>
      </w:r>
      <w:bookmarkEnd w:id="272"/>
      <w:bookmarkEnd w:id="273"/>
      <w:bookmarkEnd w:id="274"/>
      <w:bookmarkEnd w:id="275"/>
      <w:bookmarkEnd w:id="276"/>
      <w:bookmarkEnd w:id="277"/>
    </w:p>
    <w:p w14:paraId="1A234B38">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3</w:t>
      </w:r>
      <w:r>
        <w:rPr>
          <w:rFonts w:hint="eastAsia" w:eastAsia="宋体"/>
          <w:color w:val="auto"/>
          <w:sz w:val="24"/>
          <w:highlight w:val="none"/>
        </w:rPr>
        <w:t>.1要求投标人进行演示的，演示要求详见“投标人须知前附表”。</w:t>
      </w:r>
    </w:p>
    <w:p w14:paraId="527E9036">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3</w:t>
      </w:r>
      <w:r>
        <w:rPr>
          <w:rFonts w:hint="eastAsia" w:eastAsia="宋体"/>
          <w:color w:val="auto"/>
          <w:sz w:val="24"/>
          <w:highlight w:val="none"/>
        </w:rPr>
        <w:t>.2演示的评审详见“第三章 采购需求”和“第五章 评标</w:t>
      </w:r>
      <w:r>
        <w:rPr>
          <w:rFonts w:hint="eastAsia" w:eastAsia="宋体"/>
          <w:color w:val="auto"/>
          <w:sz w:val="24"/>
          <w:highlight w:val="none"/>
          <w:lang w:val="en-US" w:eastAsia="zh-CN"/>
        </w:rPr>
        <w:t>方</w:t>
      </w:r>
      <w:r>
        <w:rPr>
          <w:rFonts w:hint="eastAsia" w:eastAsia="宋体"/>
          <w:color w:val="auto"/>
          <w:sz w:val="24"/>
          <w:highlight w:val="none"/>
        </w:rPr>
        <w:t>法及标准”。</w:t>
      </w:r>
    </w:p>
    <w:p w14:paraId="44828689">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278" w:name="_Toc7097"/>
      <w:bookmarkStart w:id="279" w:name="_Toc25557"/>
      <w:bookmarkStart w:id="280" w:name="_Toc6826"/>
      <w:bookmarkStart w:id="281" w:name="_Toc163492849"/>
      <w:bookmarkStart w:id="282" w:name="_Toc21792"/>
      <w:bookmarkStart w:id="283" w:name="_Toc155185876"/>
      <w:bookmarkStart w:id="284" w:name="_Toc140132779"/>
      <w:r>
        <w:rPr>
          <w:rFonts w:hint="eastAsia" w:ascii="宋体" w:hAnsi="宋体" w:eastAsia="宋体" w:cstheme="minorBidi"/>
          <w:b/>
          <w:bCs/>
          <w:color w:val="auto"/>
          <w:kern w:val="2"/>
          <w:sz w:val="24"/>
          <w:szCs w:val="32"/>
          <w:highlight w:val="none"/>
          <w:lang w:val="en-US" w:eastAsia="zh-CN" w:bidi="ar-SA"/>
        </w:rPr>
        <w:t>（五）开标</w:t>
      </w:r>
      <w:bookmarkEnd w:id="278"/>
      <w:bookmarkEnd w:id="279"/>
      <w:bookmarkEnd w:id="280"/>
      <w:bookmarkEnd w:id="281"/>
      <w:bookmarkEnd w:id="282"/>
      <w:bookmarkEnd w:id="283"/>
      <w:bookmarkEnd w:id="284"/>
    </w:p>
    <w:p w14:paraId="1705A8F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85" w:name="_Toc163492850"/>
      <w:bookmarkStart w:id="286" w:name="_Toc140132780"/>
      <w:bookmarkStart w:id="287" w:name="_Toc29962"/>
      <w:bookmarkStart w:id="288" w:name="_Toc25197"/>
      <w:bookmarkStart w:id="289" w:name="_Toc31983"/>
      <w:bookmarkStart w:id="290" w:name="_Toc16939"/>
      <w:r>
        <w:rPr>
          <w:rFonts w:hint="eastAsia" w:ascii="宋体" w:hAnsi="宋体" w:eastAsia="宋体" w:cs="宋体"/>
          <w:b/>
          <w:bCs/>
          <w:color w:val="auto"/>
          <w:kern w:val="2"/>
          <w:sz w:val="24"/>
          <w:szCs w:val="28"/>
          <w:highlight w:val="none"/>
          <w:lang w:val="en-US" w:eastAsia="zh-CN" w:bidi="ar-SA"/>
        </w:rPr>
        <w:t>24.开标会议</w:t>
      </w:r>
      <w:bookmarkEnd w:id="285"/>
      <w:bookmarkEnd w:id="286"/>
      <w:bookmarkEnd w:id="287"/>
      <w:bookmarkEnd w:id="288"/>
      <w:bookmarkEnd w:id="289"/>
      <w:bookmarkEnd w:id="290"/>
    </w:p>
    <w:p w14:paraId="43376441">
      <w:pPr>
        <w:keepNext w:val="0"/>
        <w:keepLines w:val="0"/>
        <w:pageBreakBefore w:val="0"/>
        <w:widowControl w:val="0"/>
        <w:kinsoku/>
        <w:overflowPunct/>
        <w:topLinePunct w:val="0"/>
        <w:autoSpaceDE/>
        <w:autoSpaceDN/>
        <w:bidi w:val="0"/>
        <w:adjustRightInd/>
        <w:snapToGrid/>
        <w:ind w:firstLine="480" w:firstLineChars="200"/>
        <w:textAlignment w:val="auto"/>
        <w:rPr>
          <w:rFonts w:hint="eastAsia" w:eastAsia="宋体" w:cs="仿宋_GB2312"/>
          <w:color w:val="auto"/>
          <w:sz w:val="24"/>
          <w:szCs w:val="24"/>
          <w:highlight w:val="none"/>
          <w:lang w:eastAsia="zh-CN"/>
        </w:rPr>
      </w:pPr>
      <w:bookmarkStart w:id="291" w:name="_Toc140132781"/>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开标会按“</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”规定的开标时间和地点准时举行，采购人、采购代理机构邀请所有投标人准时参加开标会。</w:t>
      </w:r>
      <w:r>
        <w:rPr>
          <w:rFonts w:hint="eastAsia" w:eastAsia="宋体"/>
          <w:color w:val="auto"/>
          <w:sz w:val="24"/>
          <w:highlight w:val="none"/>
        </w:rPr>
        <w:t>投标人应按照</w:t>
      </w:r>
      <w:r>
        <w:rPr>
          <w:rFonts w:hint="eastAsia" w:eastAsia="宋体"/>
          <w:color w:val="auto"/>
          <w:sz w:val="24"/>
          <w:highlight w:val="none"/>
          <w:lang w:val="en-US" w:eastAsia="zh-CN"/>
        </w:rPr>
        <w:t>招标文件</w:t>
      </w:r>
      <w:r>
        <w:rPr>
          <w:rFonts w:hint="eastAsia" w:eastAsia="宋体"/>
          <w:color w:val="auto"/>
          <w:sz w:val="24"/>
          <w:highlight w:val="none"/>
        </w:rPr>
        <w:t>的要求参与</w:t>
      </w:r>
      <w:r>
        <w:rPr>
          <w:rFonts w:hint="eastAsia" w:eastAsia="宋体"/>
          <w:color w:val="auto"/>
          <w:sz w:val="24"/>
          <w:highlight w:val="none"/>
          <w:lang w:val="en-US" w:eastAsia="zh-CN"/>
        </w:rPr>
        <w:t>不见面开标</w:t>
      </w:r>
      <w:r>
        <w:rPr>
          <w:rFonts w:hint="eastAsia" w:eastAsia="宋体"/>
          <w:color w:val="auto"/>
          <w:sz w:val="24"/>
          <w:highlight w:val="none"/>
        </w:rPr>
        <w:t>。</w:t>
      </w:r>
    </w:p>
    <w:p w14:paraId="60A061F0">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2"/>
          <w:highlight w:val="none"/>
        </w:rPr>
      </w:pPr>
      <w:r>
        <w:rPr>
          <w:rFonts w:eastAsia="宋体"/>
          <w:color w:val="auto"/>
          <w:sz w:val="24"/>
          <w:highlight w:val="none"/>
        </w:rPr>
        <w:t>2</w:t>
      </w:r>
      <w:r>
        <w:rPr>
          <w:rFonts w:hint="eastAsia" w:eastAsia="宋体"/>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 xml:space="preserve"> </w:t>
      </w:r>
      <w:bookmarkEnd w:id="291"/>
      <w:r>
        <w:rPr>
          <w:rFonts w:hint="eastAsia" w:ascii="宋体" w:hAnsi="宋体" w:eastAsia="宋体" w:cs="宋体"/>
          <w:color w:val="auto"/>
          <w:kern w:val="2"/>
          <w:sz w:val="24"/>
          <w:szCs w:val="22"/>
          <w:highlight w:val="none"/>
        </w:rPr>
        <w:t>采购代理机构按照招标文件规定的时间、地点主持开标。采购人在规定的</w:t>
      </w:r>
      <w:r>
        <w:rPr>
          <w:rFonts w:hint="eastAsia" w:ascii="宋体" w:hAnsi="宋体" w:eastAsia="宋体" w:cs="宋体"/>
          <w:color w:val="auto"/>
          <w:kern w:val="2"/>
          <w:sz w:val="24"/>
          <w:szCs w:val="22"/>
          <w:highlight w:val="none"/>
          <w:lang w:eastAsia="zh-CN"/>
        </w:rPr>
        <w:t>投标文件</w:t>
      </w:r>
      <w:r>
        <w:rPr>
          <w:rFonts w:hint="eastAsia" w:ascii="宋体" w:hAnsi="宋体" w:eastAsia="宋体" w:cs="宋体"/>
          <w:color w:val="auto"/>
          <w:kern w:val="2"/>
          <w:sz w:val="24"/>
          <w:szCs w:val="22"/>
          <w:highlight w:val="none"/>
        </w:rPr>
        <w:t>递交截止时间（开标时间）和地点进行不见面远程开标。</w:t>
      </w:r>
      <w:r>
        <w:rPr>
          <w:rFonts w:hint="eastAsia" w:ascii="宋体" w:hAnsi="宋体" w:eastAsia="宋体" w:cs="宋体"/>
          <w:color w:val="auto"/>
          <w:kern w:val="2"/>
          <w:sz w:val="24"/>
          <w:szCs w:val="22"/>
          <w:highlight w:val="none"/>
          <w:lang w:eastAsia="zh-CN"/>
        </w:rPr>
        <w:t>投标人</w:t>
      </w:r>
      <w:r>
        <w:rPr>
          <w:rFonts w:hint="eastAsia" w:ascii="宋体" w:hAnsi="宋体" w:eastAsia="宋体" w:cs="宋体"/>
          <w:color w:val="auto"/>
          <w:kern w:val="2"/>
          <w:sz w:val="24"/>
          <w:szCs w:val="22"/>
          <w:highlight w:val="none"/>
        </w:rPr>
        <w:t>的法定代表人或其委托代理人无需到达开标现场，仅需在任意地点通过</w:t>
      </w:r>
      <w:r>
        <w:rPr>
          <w:rFonts w:hint="eastAsia" w:ascii="宋体" w:hAnsi="宋体" w:eastAsia="宋体" w:cs="宋体"/>
          <w:color w:val="auto"/>
          <w:kern w:val="2"/>
          <w:sz w:val="24"/>
          <w:szCs w:val="22"/>
          <w:highlight w:val="none"/>
          <w:lang w:val="en-US" w:eastAsia="zh-CN"/>
        </w:rPr>
        <w:t>兵团政府采购电子交易云平台（网址：https://www.zcygov.cn/）</w:t>
      </w:r>
      <w:r>
        <w:rPr>
          <w:rFonts w:hint="eastAsia" w:ascii="宋体" w:hAnsi="宋体" w:eastAsia="宋体" w:cs="宋体"/>
          <w:color w:val="auto"/>
          <w:kern w:val="2"/>
          <w:sz w:val="24"/>
          <w:szCs w:val="22"/>
          <w:highlight w:val="none"/>
        </w:rPr>
        <w:t>的</w:t>
      </w:r>
      <w:r>
        <w:rPr>
          <w:rFonts w:hint="eastAsia"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政采云登录入口”登录后，进入“政采云远程开标大厅”参加开标会议，并使用CA密钥完成远程解密、提疑澄清、开标唱标、结果公布等交互环节。</w:t>
      </w:r>
    </w:p>
    <w:p w14:paraId="4F83B05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2</w:t>
      </w:r>
      <w:r>
        <w:rPr>
          <w:rFonts w:hint="eastAsia"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lang w:val="en-US" w:eastAsia="zh-CN"/>
        </w:rPr>
        <w:t xml:space="preserve">.3开标过程将宣布投标人名称、投标价格和招标文件规定的需要宣布的其他内容并进行记录，并由参加开标的各投标人确认。投标人未在规定时间内提 出疑义或确认一览表的，视同认可开标结果。 </w:t>
      </w:r>
    </w:p>
    <w:p w14:paraId="63FB5E6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92" w:name="_Toc30827"/>
      <w:bookmarkStart w:id="293" w:name="_Toc163492852"/>
      <w:bookmarkStart w:id="294" w:name="_Toc140132783"/>
      <w:bookmarkStart w:id="295" w:name="_Toc17474"/>
      <w:bookmarkStart w:id="296" w:name="_Toc12764"/>
      <w:bookmarkStart w:id="297" w:name="_Toc20710"/>
      <w:r>
        <w:rPr>
          <w:rFonts w:hint="eastAsia" w:ascii="宋体" w:hAnsi="宋体" w:eastAsia="宋体" w:cs="宋体"/>
          <w:b/>
          <w:bCs/>
          <w:color w:val="auto"/>
          <w:kern w:val="2"/>
          <w:sz w:val="24"/>
          <w:szCs w:val="28"/>
          <w:highlight w:val="none"/>
          <w:lang w:val="en-US" w:eastAsia="zh-CN" w:bidi="ar-SA"/>
        </w:rPr>
        <w:t>25.开标程序</w:t>
      </w:r>
      <w:bookmarkEnd w:id="292"/>
      <w:bookmarkEnd w:id="293"/>
      <w:bookmarkEnd w:id="294"/>
      <w:bookmarkEnd w:id="295"/>
      <w:bookmarkEnd w:id="296"/>
      <w:bookmarkEnd w:id="297"/>
    </w:p>
    <w:p w14:paraId="60F7948B">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.1 投标人不足3家的，不得开标。</w:t>
      </w:r>
    </w:p>
    <w:p w14:paraId="5B4EFA66">
      <w:pPr>
        <w:keepNext w:val="0"/>
        <w:keepLines w:val="0"/>
        <w:pageBreakBefore w:val="0"/>
        <w:widowControl w:val="0"/>
        <w:kinsoku/>
        <w:overflowPunct/>
        <w:topLinePunct w:val="0"/>
        <w:autoSpaceDE/>
        <w:autoSpaceDN/>
        <w:bidi w:val="0"/>
        <w:adjustRightInd/>
        <w:ind w:firstLine="480" w:firstLineChars="200"/>
        <w:textAlignment w:val="auto"/>
        <w:rPr>
          <w:rFonts w:eastAsia="宋体"/>
          <w:color w:val="auto"/>
          <w:sz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.2 评标委员会成员不得参加开标活动。</w:t>
      </w:r>
    </w:p>
    <w:p w14:paraId="6EDD80B3">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.3主持人按下列程序进行开标：</w:t>
      </w:r>
    </w:p>
    <w:p w14:paraId="02BF7803">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（1）宣布开标会纪律；</w:t>
      </w:r>
    </w:p>
    <w:p w14:paraId="06FE8596">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（2）介绍参加开标会的单位和人员；</w:t>
      </w:r>
    </w:p>
    <w:p w14:paraId="69CFC68B">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（3）发起投标文件解密。投标人应在“投标人须知前附表”规定的时间内使用加密投标文件的CA证书在系统中完成投标文件的解密；</w:t>
      </w:r>
    </w:p>
    <w:p w14:paraId="30C058B0">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（4）解密完成后，系统自动显示投标人名称、投标价格和招标文件规定的需要宣布的其他内容；</w:t>
      </w:r>
    </w:p>
    <w:p w14:paraId="102D4E44">
      <w:pPr>
        <w:keepNext w:val="0"/>
        <w:keepLines w:val="0"/>
        <w:pageBreakBefore w:val="0"/>
        <w:widowControl w:val="0"/>
        <w:kinsoku/>
        <w:overflowPunct/>
        <w:topLinePunct w:val="0"/>
        <w:autoSpaceDE/>
        <w:autoSpaceDN/>
        <w:bidi w:val="0"/>
        <w:adjustRightInd/>
        <w:ind w:left="484" w:leftChars="200" w:hanging="84" w:hangingChars="35"/>
        <w:textAlignment w:val="auto"/>
        <w:rPr>
          <w:rFonts w:hint="eastAsia" w:eastAsia="宋体" w:cs="仿宋_GB2312"/>
          <w:color w:val="auto"/>
          <w:sz w:val="24"/>
          <w:szCs w:val="24"/>
          <w:highlight w:val="none"/>
          <w:lang w:val="en-US" w:eastAsia="zh-CN"/>
        </w:rPr>
      </w:pPr>
      <w:r>
        <w:rPr>
          <w:rFonts w:hint="eastAsia" w:eastAsia="宋体" w:cs="仿宋_GB2312"/>
          <w:color w:val="auto"/>
          <w:sz w:val="24"/>
          <w:szCs w:val="24"/>
          <w:highlight w:val="none"/>
        </w:rPr>
        <w:t>（5）系统自动生成开标记录表，</w:t>
      </w:r>
      <w:r>
        <w:rPr>
          <w:rFonts w:hint="eastAsia" w:eastAsia="宋体" w:cs="仿宋_GB2312"/>
          <w:color w:val="auto"/>
          <w:sz w:val="24"/>
          <w:szCs w:val="24"/>
          <w:highlight w:val="none"/>
          <w:lang w:val="en-US" w:eastAsia="zh-CN"/>
        </w:rPr>
        <w:t>投标人</w:t>
      </w:r>
      <w:r>
        <w:rPr>
          <w:rFonts w:hint="eastAsia" w:eastAsia="宋体" w:cs="仿宋_GB2312"/>
          <w:color w:val="auto"/>
          <w:sz w:val="24"/>
          <w:szCs w:val="24"/>
          <w:highlight w:val="none"/>
        </w:rPr>
        <w:t>应在线对开标记录进行签署确认</w:t>
      </w:r>
      <w:r>
        <w:rPr>
          <w:rFonts w:hint="eastAsia" w:eastAsia="宋体" w:cs="仿宋_GB2312"/>
          <w:color w:val="auto"/>
          <w:sz w:val="24"/>
          <w:szCs w:val="24"/>
          <w:highlight w:val="none"/>
          <w:lang w:val="en-US" w:eastAsia="zh-CN"/>
        </w:rPr>
        <w:t>；</w:t>
      </w:r>
    </w:p>
    <w:p w14:paraId="1E68785D">
      <w:pPr>
        <w:keepNext w:val="0"/>
        <w:keepLines w:val="0"/>
        <w:pageBreakBefore w:val="0"/>
        <w:widowControl w:val="0"/>
        <w:kinsoku/>
        <w:overflowPunct/>
        <w:topLinePunct w:val="0"/>
        <w:autoSpaceDE/>
        <w:autoSpaceDN/>
        <w:bidi w:val="0"/>
        <w:adjustRightInd/>
        <w:ind w:left="484" w:leftChars="200" w:hanging="84" w:hangingChars="35"/>
        <w:textAlignment w:val="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（6）开标会结束。</w:t>
      </w:r>
      <w:bookmarkStart w:id="298" w:name="_Toc163492853"/>
      <w:bookmarkStart w:id="299" w:name="_Toc140132784"/>
    </w:p>
    <w:p w14:paraId="459D358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00" w:name="_Toc19420"/>
      <w:bookmarkStart w:id="301" w:name="_Toc15283"/>
      <w:bookmarkStart w:id="302" w:name="_Toc10387"/>
      <w:bookmarkStart w:id="303" w:name="_Toc20123"/>
      <w:r>
        <w:rPr>
          <w:rFonts w:hint="eastAsia" w:ascii="宋体" w:hAnsi="宋体" w:eastAsia="宋体" w:cs="宋体"/>
          <w:b/>
          <w:bCs/>
          <w:color w:val="auto"/>
          <w:kern w:val="2"/>
          <w:sz w:val="24"/>
          <w:szCs w:val="28"/>
          <w:highlight w:val="none"/>
          <w:lang w:val="en-US" w:eastAsia="zh-CN" w:bidi="ar-SA"/>
        </w:rPr>
        <w:t>26.开标疑义及回避情形</w:t>
      </w:r>
      <w:bookmarkEnd w:id="298"/>
      <w:bookmarkEnd w:id="299"/>
      <w:bookmarkEnd w:id="300"/>
      <w:bookmarkEnd w:id="301"/>
      <w:bookmarkEnd w:id="302"/>
      <w:bookmarkEnd w:id="303"/>
    </w:p>
    <w:p w14:paraId="04573EB2">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6</w:t>
      </w:r>
      <w:r>
        <w:rPr>
          <w:rFonts w:hint="eastAsia" w:eastAsia="宋体"/>
          <w:color w:val="auto"/>
          <w:sz w:val="24"/>
          <w:highlight w:val="none"/>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4E69EE01">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6</w:t>
      </w:r>
      <w:r>
        <w:rPr>
          <w:rFonts w:hint="eastAsia" w:eastAsia="宋体"/>
          <w:color w:val="auto"/>
          <w:sz w:val="24"/>
          <w:highlight w:val="none"/>
        </w:rPr>
        <w:t>.2投标人未参加开标的，视同认可开标结果。</w:t>
      </w:r>
    </w:p>
    <w:p w14:paraId="55D243EF">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04" w:name="_Toc155185877"/>
      <w:bookmarkStart w:id="305" w:name="_Toc2893"/>
      <w:bookmarkStart w:id="306" w:name="_Toc163492854"/>
      <w:bookmarkStart w:id="307" w:name="_Toc19512"/>
      <w:bookmarkStart w:id="308" w:name="_Toc140132785"/>
      <w:bookmarkStart w:id="309" w:name="_Toc11421"/>
      <w:bookmarkStart w:id="310" w:name="_Toc20084"/>
      <w:r>
        <w:rPr>
          <w:rFonts w:hint="eastAsia" w:ascii="宋体" w:hAnsi="宋体" w:eastAsia="宋体" w:cstheme="minorBidi"/>
          <w:b/>
          <w:bCs/>
          <w:color w:val="auto"/>
          <w:kern w:val="2"/>
          <w:sz w:val="24"/>
          <w:szCs w:val="32"/>
          <w:highlight w:val="none"/>
          <w:lang w:val="en-US" w:eastAsia="zh-CN" w:bidi="ar-SA"/>
        </w:rPr>
        <w:t>（六）资格审查</w:t>
      </w:r>
      <w:bookmarkEnd w:id="304"/>
      <w:bookmarkEnd w:id="305"/>
      <w:bookmarkEnd w:id="306"/>
      <w:bookmarkEnd w:id="307"/>
      <w:bookmarkEnd w:id="308"/>
      <w:bookmarkEnd w:id="309"/>
      <w:bookmarkEnd w:id="310"/>
    </w:p>
    <w:p w14:paraId="2C1B5FD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11" w:name="_Toc162"/>
      <w:bookmarkStart w:id="312" w:name="_Toc13821"/>
      <w:bookmarkStart w:id="313" w:name="_Toc9963"/>
      <w:bookmarkStart w:id="314" w:name="_Toc1466"/>
      <w:bookmarkStart w:id="315" w:name="_Toc163492855"/>
      <w:r>
        <w:rPr>
          <w:rFonts w:hint="eastAsia" w:ascii="宋体" w:hAnsi="宋体" w:eastAsia="宋体" w:cs="宋体"/>
          <w:b/>
          <w:bCs/>
          <w:color w:val="auto"/>
          <w:kern w:val="2"/>
          <w:sz w:val="24"/>
          <w:szCs w:val="28"/>
          <w:highlight w:val="none"/>
          <w:lang w:val="en-US" w:eastAsia="zh-CN" w:bidi="ar-SA"/>
        </w:rPr>
        <w:t>27.资格审查及审查主体</w:t>
      </w:r>
      <w:bookmarkEnd w:id="311"/>
      <w:bookmarkEnd w:id="312"/>
      <w:bookmarkEnd w:id="313"/>
      <w:bookmarkEnd w:id="314"/>
      <w:bookmarkEnd w:id="315"/>
    </w:p>
    <w:p w14:paraId="3F6E8AD4">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316" w:name="_Toc140132786"/>
      <w:r>
        <w:rPr>
          <w:rFonts w:hint="eastAsia"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.1</w:t>
      </w:r>
      <w:bookmarkEnd w:id="316"/>
      <w:r>
        <w:rPr>
          <w:rFonts w:hint="eastAsia" w:eastAsia="宋体"/>
          <w:color w:val="auto"/>
          <w:sz w:val="24"/>
          <w:highlight w:val="none"/>
        </w:rPr>
        <w:t>开标结束后，采购人或者采购代理机构应当依法对投标人的资格进行审查。</w:t>
      </w:r>
    </w:p>
    <w:p w14:paraId="6F7626D3">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317" w:name="_Toc140132787"/>
      <w:r>
        <w:rPr>
          <w:rFonts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.2</w:t>
      </w:r>
      <w:r>
        <w:rPr>
          <w:rFonts w:eastAsia="宋体"/>
          <w:color w:val="auto"/>
          <w:sz w:val="24"/>
          <w:highlight w:val="none"/>
        </w:rPr>
        <w:t>资格审查</w:t>
      </w:r>
      <w:r>
        <w:rPr>
          <w:rFonts w:hint="eastAsia" w:eastAsia="宋体"/>
          <w:color w:val="auto"/>
          <w:sz w:val="24"/>
          <w:highlight w:val="none"/>
        </w:rPr>
        <w:t>按“第四章</w:t>
      </w:r>
      <w:r>
        <w:rPr>
          <w:rFonts w:hint="eastAsia" w:eastAsia="宋体"/>
          <w:color w:val="auto"/>
          <w:sz w:val="24"/>
          <w:highlight w:val="none"/>
          <w:lang w:val="en-US" w:eastAsia="zh-CN"/>
        </w:rPr>
        <w:t xml:space="preserve"> </w:t>
      </w:r>
      <w:r>
        <w:rPr>
          <w:rFonts w:hint="eastAsia" w:eastAsia="宋体"/>
          <w:color w:val="auto"/>
          <w:sz w:val="24"/>
          <w:highlight w:val="none"/>
        </w:rPr>
        <w:t>资格审查”的规定进行。</w:t>
      </w:r>
      <w:bookmarkEnd w:id="317"/>
    </w:p>
    <w:p w14:paraId="44D43B82">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318" w:name="_Toc140132788"/>
      <w:r>
        <w:rPr>
          <w:rFonts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.3</w:t>
      </w:r>
      <w:r>
        <w:rPr>
          <w:rFonts w:eastAsia="宋体"/>
          <w:color w:val="auto"/>
          <w:sz w:val="24"/>
          <w:highlight w:val="none"/>
        </w:rPr>
        <w:t>资格审查结束后，应及时对资格审查结果进行复核，对资格审查错误进行及时纠正并记录。</w:t>
      </w:r>
      <w:bookmarkEnd w:id="318"/>
    </w:p>
    <w:p w14:paraId="272F167A">
      <w:pPr>
        <w:pStyle w:val="37"/>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27.4</w:t>
      </w:r>
      <w:r>
        <w:rPr>
          <w:rFonts w:eastAsia="宋体"/>
          <w:color w:val="auto"/>
          <w:sz w:val="24"/>
          <w:highlight w:val="none"/>
        </w:rPr>
        <w:t>资格审查</w:t>
      </w:r>
      <w:r>
        <w:rPr>
          <w:rFonts w:hint="eastAsia" w:eastAsia="宋体"/>
          <w:color w:val="auto"/>
          <w:sz w:val="24"/>
          <w:highlight w:val="none"/>
        </w:rPr>
        <w:t>合格投标人不足3家的，不得评标。</w:t>
      </w:r>
    </w:p>
    <w:p w14:paraId="7A1F7D21">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19" w:name="_Toc155185878"/>
      <w:bookmarkStart w:id="320" w:name="_Toc31247"/>
      <w:bookmarkStart w:id="321" w:name="_Toc30290"/>
      <w:bookmarkStart w:id="322" w:name="_Toc140132789"/>
      <w:bookmarkStart w:id="323" w:name="_Toc14198"/>
      <w:bookmarkStart w:id="324" w:name="_Toc8249"/>
      <w:bookmarkStart w:id="325" w:name="_Toc163492856"/>
      <w:r>
        <w:rPr>
          <w:rFonts w:hint="eastAsia" w:ascii="宋体" w:hAnsi="宋体" w:eastAsia="宋体" w:cstheme="minorBidi"/>
          <w:b/>
          <w:bCs/>
          <w:color w:val="auto"/>
          <w:kern w:val="2"/>
          <w:sz w:val="24"/>
          <w:szCs w:val="32"/>
          <w:highlight w:val="none"/>
          <w:lang w:val="en-US" w:eastAsia="zh-CN" w:bidi="ar-SA"/>
        </w:rPr>
        <w:t>（七）评标</w:t>
      </w:r>
      <w:bookmarkEnd w:id="319"/>
      <w:bookmarkEnd w:id="320"/>
      <w:bookmarkEnd w:id="321"/>
      <w:bookmarkEnd w:id="322"/>
      <w:bookmarkEnd w:id="323"/>
      <w:bookmarkEnd w:id="324"/>
      <w:bookmarkEnd w:id="325"/>
    </w:p>
    <w:p w14:paraId="7EBE7AB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26" w:name="_Toc20462"/>
      <w:bookmarkStart w:id="327" w:name="_Toc163492857"/>
      <w:bookmarkStart w:id="328" w:name="_Toc16858"/>
      <w:bookmarkStart w:id="329" w:name="_Toc140132790"/>
      <w:bookmarkStart w:id="330" w:name="_Toc4659"/>
      <w:bookmarkStart w:id="331" w:name="_Toc32434"/>
      <w:r>
        <w:rPr>
          <w:rFonts w:hint="eastAsia" w:ascii="宋体" w:hAnsi="宋体" w:eastAsia="宋体" w:cs="宋体"/>
          <w:b/>
          <w:bCs/>
          <w:color w:val="auto"/>
          <w:kern w:val="2"/>
          <w:sz w:val="24"/>
          <w:szCs w:val="28"/>
          <w:highlight w:val="none"/>
          <w:lang w:val="en-US" w:eastAsia="zh-CN" w:bidi="ar-SA"/>
        </w:rPr>
        <w:t>28.评标委员会</w:t>
      </w:r>
      <w:bookmarkEnd w:id="326"/>
      <w:bookmarkEnd w:id="327"/>
      <w:bookmarkEnd w:id="328"/>
      <w:bookmarkEnd w:id="329"/>
      <w:bookmarkEnd w:id="330"/>
      <w:bookmarkEnd w:id="331"/>
    </w:p>
    <w:p w14:paraId="1EA2B13D">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8</w:t>
      </w:r>
      <w:r>
        <w:rPr>
          <w:rFonts w:hint="eastAsia" w:ascii="宋体" w:hAnsi="宋体" w:eastAsia="宋体"/>
          <w:color w:val="auto"/>
          <w:sz w:val="24"/>
          <w:highlight w:val="none"/>
        </w:rPr>
        <w:t>.1 评标由采购人依法组建的评标委员会负责。评标委员会由采购人代表和评审专家组成</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成员人数应当为5</w:t>
      </w:r>
      <w:r>
        <w:rPr>
          <w:rFonts w:hint="eastAsia" w:ascii="宋体" w:hAnsi="宋体" w:eastAsia="宋体"/>
          <w:color w:val="auto"/>
          <w:sz w:val="24"/>
          <w:highlight w:val="none"/>
        </w:rPr>
        <w:t>人以上单数，其中</w:t>
      </w:r>
      <w:r>
        <w:rPr>
          <w:rFonts w:hint="eastAsia" w:ascii="宋体" w:hAnsi="宋体" w:eastAsia="宋体"/>
          <w:color w:val="auto"/>
          <w:sz w:val="24"/>
          <w:highlight w:val="none"/>
          <w:lang w:val="en-US" w:eastAsia="zh-CN"/>
        </w:rPr>
        <w:t>评审</w:t>
      </w:r>
      <w:r>
        <w:rPr>
          <w:rFonts w:hint="eastAsia" w:ascii="宋体" w:hAnsi="宋体" w:eastAsia="宋体"/>
          <w:color w:val="auto"/>
          <w:sz w:val="24"/>
          <w:highlight w:val="none"/>
        </w:rPr>
        <w:t>专家不</w:t>
      </w:r>
      <w:r>
        <w:rPr>
          <w:rFonts w:hint="eastAsia" w:ascii="宋体" w:hAnsi="宋体" w:eastAsia="宋体"/>
          <w:color w:val="auto"/>
          <w:sz w:val="24"/>
          <w:highlight w:val="none"/>
          <w:lang w:val="en-US" w:eastAsia="zh-CN"/>
        </w:rPr>
        <w:t>得</w:t>
      </w:r>
      <w:r>
        <w:rPr>
          <w:rFonts w:hint="eastAsia" w:ascii="宋体" w:hAnsi="宋体" w:eastAsia="宋体"/>
          <w:color w:val="auto"/>
          <w:sz w:val="24"/>
          <w:highlight w:val="none"/>
        </w:rPr>
        <w:t>少于</w:t>
      </w:r>
      <w:r>
        <w:rPr>
          <w:rFonts w:hint="eastAsia" w:ascii="宋体" w:hAnsi="宋体" w:eastAsia="宋体"/>
          <w:color w:val="auto"/>
          <w:sz w:val="24"/>
          <w:highlight w:val="none"/>
          <w:lang w:val="en-US" w:eastAsia="zh-CN"/>
        </w:rPr>
        <w:t>成员总数的</w:t>
      </w:r>
      <w:r>
        <w:rPr>
          <w:rFonts w:hint="eastAsia" w:ascii="宋体" w:hAnsi="宋体" w:eastAsia="宋体"/>
          <w:color w:val="auto"/>
          <w:sz w:val="24"/>
          <w:highlight w:val="none"/>
        </w:rPr>
        <w:t>三分之二。</w:t>
      </w:r>
      <w:r>
        <w:rPr>
          <w:rFonts w:hint="default" w:ascii="宋体" w:hAnsi="宋体" w:eastAsia="宋体"/>
          <w:color w:val="auto"/>
          <w:sz w:val="24"/>
          <w:highlight w:val="none"/>
          <w:lang w:val="en-US" w:eastAsia="zh-CN"/>
        </w:rPr>
        <w:t>采购人或者采购代理机构应当从省级以上财政部门设立的政府采购评审专家库中，通过随机方式抽取评审专家。</w:t>
      </w:r>
    </w:p>
    <w:p w14:paraId="32DE7801">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28.2 </w:t>
      </w:r>
      <w:r>
        <w:rPr>
          <w:rFonts w:ascii="宋体" w:hAnsi="宋体" w:eastAsia="宋体"/>
          <w:color w:val="auto"/>
          <w:sz w:val="24"/>
          <w:highlight w:val="none"/>
          <w:lang w:val="en-US" w:eastAsia="zh-CN"/>
        </w:rPr>
        <w:t>采购项目符合下列情形之一的，评标委员会成员人数应当为</w:t>
      </w:r>
      <w:r>
        <w:rPr>
          <w:rFonts w:hint="default" w:ascii="宋体" w:hAnsi="宋体" w:eastAsia="宋体"/>
          <w:color w:val="auto"/>
          <w:sz w:val="24"/>
          <w:highlight w:val="none"/>
          <w:lang w:val="en-US" w:eastAsia="zh-CN"/>
        </w:rPr>
        <w:t>7人以上单数：</w:t>
      </w:r>
    </w:p>
    <w:p w14:paraId="05C639B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1</w:t>
      </w:r>
      <w:r>
        <w:rPr>
          <w:rFonts w:hint="default" w:ascii="宋体" w:hAnsi="宋体" w:eastAsia="宋体"/>
          <w:color w:val="auto"/>
          <w:sz w:val="24"/>
          <w:highlight w:val="none"/>
          <w:lang w:val="en-US" w:eastAsia="zh-CN"/>
        </w:rPr>
        <w:t>）采购预算金额在1000万元以上；</w:t>
      </w:r>
    </w:p>
    <w:p w14:paraId="67DFE62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2</w:t>
      </w:r>
      <w:r>
        <w:rPr>
          <w:rFonts w:hint="default" w:ascii="宋体" w:hAnsi="宋体" w:eastAsia="宋体"/>
          <w:color w:val="auto"/>
          <w:sz w:val="24"/>
          <w:highlight w:val="none"/>
          <w:lang w:val="en-US" w:eastAsia="zh-CN"/>
        </w:rPr>
        <w:t>）技术复杂；</w:t>
      </w:r>
    </w:p>
    <w:p w14:paraId="6B9FB10B">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3</w:t>
      </w:r>
      <w:r>
        <w:rPr>
          <w:rFonts w:hint="default" w:ascii="宋体" w:hAnsi="宋体" w:eastAsia="宋体"/>
          <w:color w:val="auto"/>
          <w:sz w:val="24"/>
          <w:highlight w:val="none"/>
          <w:lang w:val="en-US" w:eastAsia="zh-CN"/>
        </w:rPr>
        <w:t>）社会影响较大。</w:t>
      </w:r>
    </w:p>
    <w:p w14:paraId="4590A674">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28.3</w:t>
      </w:r>
      <w:r>
        <w:rPr>
          <w:rFonts w:hint="default" w:ascii="宋体" w:hAnsi="宋体" w:eastAsia="宋体"/>
          <w:color w:val="auto"/>
          <w:sz w:val="24"/>
          <w:highlight w:val="none"/>
          <w:lang w:val="en-US" w:eastAsia="zh-CN"/>
        </w:rPr>
        <w:t>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16E9280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28.4</w:t>
      </w:r>
      <w:r>
        <w:rPr>
          <w:rFonts w:hint="default" w:ascii="宋体" w:hAnsi="宋体" w:eastAsia="宋体"/>
          <w:color w:val="auto"/>
          <w:sz w:val="24"/>
          <w:highlight w:val="none"/>
          <w:lang w:val="en-US" w:eastAsia="zh-CN"/>
        </w:rPr>
        <w:t>评标委员会成员名单在评标结果公告前应当保密。</w:t>
      </w:r>
    </w:p>
    <w:p w14:paraId="2F8842E2">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28.5</w:t>
      </w:r>
      <w:r>
        <w:rPr>
          <w:rFonts w:hint="default" w:ascii="宋体" w:hAnsi="宋体" w:eastAsia="宋体"/>
          <w:color w:val="auto"/>
          <w:sz w:val="24"/>
          <w:highlight w:val="none"/>
          <w:lang w:val="en-US" w:eastAsia="zh-CN"/>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28948BF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28.6</w:t>
      </w:r>
      <w:r>
        <w:rPr>
          <w:rFonts w:hint="default" w:ascii="宋体" w:hAnsi="宋体" w:eastAsia="宋体"/>
          <w:color w:val="auto"/>
          <w:sz w:val="24"/>
          <w:highlight w:val="none"/>
          <w:lang w:val="en-US" w:eastAsia="zh-CN"/>
        </w:rPr>
        <w:t>无法及时补足评标委员会成员的，采购人或者采购代理机构应当停止评标活动，封存所有投标文件和开标、评标资料，依法重新组建评标委员会进行评标。原评标委员会所作出的评标意见无效。</w:t>
      </w:r>
    </w:p>
    <w:p w14:paraId="301CAD81">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8</w:t>
      </w:r>
      <w:r>
        <w:rPr>
          <w:rFonts w:hint="eastAsia" w:eastAsia="宋体"/>
          <w:color w:val="auto"/>
          <w:sz w:val="24"/>
          <w:highlight w:val="none"/>
        </w:rPr>
        <w:t>.</w:t>
      </w:r>
      <w:r>
        <w:rPr>
          <w:rFonts w:hint="eastAsia" w:eastAsia="宋体"/>
          <w:color w:val="auto"/>
          <w:sz w:val="24"/>
          <w:highlight w:val="none"/>
          <w:lang w:val="en-US" w:eastAsia="zh-CN"/>
        </w:rPr>
        <w:t>7</w:t>
      </w:r>
      <w:r>
        <w:rPr>
          <w:rFonts w:hint="eastAsia" w:eastAsia="宋体"/>
          <w:color w:val="auto"/>
          <w:sz w:val="24"/>
          <w:highlight w:val="none"/>
        </w:rPr>
        <w:t xml:space="preserve"> 评标委员会成员有下列情形之一的，应当回避：</w:t>
      </w:r>
    </w:p>
    <w:p w14:paraId="0656ACEF">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（1）参加采购活动前3年内与投标人存在劳动关系；</w:t>
      </w:r>
    </w:p>
    <w:p w14:paraId="55B6A1BF">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（2）参加采购活动前3年内担任投标人的董事、监事；</w:t>
      </w:r>
    </w:p>
    <w:p w14:paraId="61A1D2B8">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（3）参加采购活动前3年内是投标人的控股股东或实际控制人；</w:t>
      </w:r>
    </w:p>
    <w:p w14:paraId="2961D582">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（4）与投标人的法定代表人或者负责人有夫妻、直系血亲、三代以内旁系血亲或者近姻亲关系；</w:t>
      </w:r>
    </w:p>
    <w:p w14:paraId="20FB9B78">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（5）与投标人有其他可能影响采购活动公平、公正进行的关系。</w:t>
      </w:r>
    </w:p>
    <w:p w14:paraId="25BEA5A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32" w:name="_Toc15103"/>
      <w:bookmarkStart w:id="333" w:name="_Toc23723"/>
      <w:bookmarkStart w:id="334" w:name="_Toc140132791"/>
      <w:bookmarkStart w:id="335" w:name="_Toc3667"/>
      <w:bookmarkStart w:id="336" w:name="_Toc26969"/>
      <w:bookmarkStart w:id="337" w:name="_Toc163492858"/>
      <w:r>
        <w:rPr>
          <w:rFonts w:hint="eastAsia" w:ascii="宋体" w:hAnsi="宋体" w:eastAsia="宋体" w:cs="宋体"/>
          <w:b/>
          <w:bCs/>
          <w:color w:val="auto"/>
          <w:kern w:val="2"/>
          <w:sz w:val="24"/>
          <w:szCs w:val="28"/>
          <w:highlight w:val="none"/>
          <w:lang w:val="en-US" w:eastAsia="zh-CN" w:bidi="ar-SA"/>
        </w:rPr>
        <w:t>29.评标</w:t>
      </w:r>
      <w:bookmarkEnd w:id="332"/>
      <w:bookmarkEnd w:id="333"/>
      <w:bookmarkEnd w:id="334"/>
      <w:bookmarkEnd w:id="335"/>
      <w:bookmarkEnd w:id="336"/>
      <w:bookmarkEnd w:id="337"/>
    </w:p>
    <w:p w14:paraId="6D0B095D">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eastAsia="zh-CN"/>
        </w:rPr>
      </w:pPr>
      <w:r>
        <w:rPr>
          <w:rFonts w:hint="eastAsia" w:eastAsia="宋体"/>
          <w:color w:val="auto"/>
          <w:sz w:val="24"/>
          <w:highlight w:val="none"/>
          <w:lang w:val="en-US" w:eastAsia="zh-CN"/>
        </w:rPr>
        <w:t>29</w:t>
      </w:r>
      <w:r>
        <w:rPr>
          <w:rFonts w:hint="eastAsia" w:eastAsia="宋体"/>
          <w:color w:val="auto"/>
          <w:sz w:val="24"/>
          <w:highlight w:val="none"/>
        </w:rPr>
        <w:t>.1</w:t>
      </w:r>
      <w:r>
        <w:rPr>
          <w:rFonts w:hint="eastAsia" w:eastAsia="宋体"/>
          <w:color w:val="auto"/>
          <w:sz w:val="24"/>
          <w:highlight w:val="none"/>
          <w:lang w:val="en-US" w:eastAsia="zh-CN"/>
        </w:rPr>
        <w:t xml:space="preserve"> 评标方法分为综合评分法和</w:t>
      </w:r>
      <w:r>
        <w:rPr>
          <w:rFonts w:eastAsia="宋体"/>
          <w:color w:val="auto"/>
          <w:sz w:val="24"/>
          <w:highlight w:val="none"/>
        </w:rPr>
        <w:t>最低评标价法</w:t>
      </w:r>
      <w:r>
        <w:rPr>
          <w:rFonts w:hint="eastAsia" w:eastAsia="宋体"/>
          <w:color w:val="auto"/>
          <w:sz w:val="24"/>
          <w:highlight w:val="none"/>
          <w:lang w:eastAsia="zh-CN"/>
        </w:rPr>
        <w:t>，</w:t>
      </w:r>
      <w:r>
        <w:rPr>
          <w:rFonts w:eastAsia="宋体"/>
          <w:color w:val="auto"/>
          <w:sz w:val="24"/>
          <w:highlight w:val="none"/>
        </w:rPr>
        <w:t>本项目</w:t>
      </w:r>
      <w:r>
        <w:rPr>
          <w:rFonts w:hint="eastAsia" w:eastAsia="宋体"/>
          <w:color w:val="auto"/>
          <w:sz w:val="24"/>
          <w:highlight w:val="none"/>
        </w:rPr>
        <w:t>评标</w:t>
      </w:r>
      <w:r>
        <w:rPr>
          <w:rFonts w:hint="eastAsia" w:eastAsia="宋体"/>
          <w:color w:val="auto"/>
          <w:sz w:val="24"/>
          <w:highlight w:val="none"/>
          <w:lang w:val="en-US" w:eastAsia="zh-CN"/>
        </w:rPr>
        <w:t>方法详见</w:t>
      </w:r>
      <w:r>
        <w:rPr>
          <w:rFonts w:hint="eastAsia" w:eastAsia="宋体"/>
          <w:color w:val="auto"/>
          <w:sz w:val="24"/>
          <w:highlight w:val="none"/>
        </w:rPr>
        <w:t>“投标人须知前附表”</w:t>
      </w:r>
      <w:r>
        <w:rPr>
          <w:rFonts w:hint="eastAsia" w:eastAsia="宋体"/>
          <w:color w:val="auto"/>
          <w:sz w:val="24"/>
          <w:highlight w:val="none"/>
          <w:lang w:eastAsia="zh-CN"/>
        </w:rPr>
        <w:t>。</w:t>
      </w:r>
    </w:p>
    <w:p w14:paraId="2BC22B3E">
      <w:pPr>
        <w:pStyle w:val="37"/>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9.1.1</w:t>
      </w:r>
      <w:r>
        <w:rPr>
          <w:rFonts w:eastAsia="宋体"/>
          <w:color w:val="auto"/>
          <w:sz w:val="24"/>
          <w:highlight w:val="none"/>
        </w:rPr>
        <w:t>综合评分法，是指投标文件满足招标文件全部实质性要求</w:t>
      </w:r>
      <w:r>
        <w:rPr>
          <w:rFonts w:hint="eastAsia" w:eastAsia="宋体"/>
          <w:color w:val="auto"/>
          <w:sz w:val="24"/>
          <w:highlight w:val="none"/>
          <w:lang w:eastAsia="zh-CN"/>
        </w:rPr>
        <w:t>，</w:t>
      </w:r>
      <w:r>
        <w:rPr>
          <w:rFonts w:eastAsia="宋体"/>
          <w:color w:val="auto"/>
          <w:sz w:val="24"/>
          <w:highlight w:val="none"/>
        </w:rPr>
        <w:t>且按照评审因素的量化指标评审得分最高的投标人为中标候选人的评标方法。</w:t>
      </w:r>
    </w:p>
    <w:p w14:paraId="0E3867EE">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29.1.2.</w:t>
      </w:r>
      <w:r>
        <w:rPr>
          <w:rFonts w:eastAsia="宋体"/>
          <w:color w:val="auto"/>
          <w:sz w:val="24"/>
          <w:highlight w:val="none"/>
        </w:rPr>
        <w:t>最低评标价法，是指投标文件满足招标文件全部实质性要求</w:t>
      </w:r>
      <w:r>
        <w:rPr>
          <w:rFonts w:hint="eastAsia" w:eastAsia="宋体"/>
          <w:color w:val="auto"/>
          <w:sz w:val="24"/>
          <w:highlight w:val="none"/>
          <w:lang w:eastAsia="zh-CN"/>
        </w:rPr>
        <w:t>，</w:t>
      </w:r>
      <w:r>
        <w:rPr>
          <w:rFonts w:eastAsia="宋体"/>
          <w:color w:val="auto"/>
          <w:sz w:val="24"/>
          <w:highlight w:val="none"/>
        </w:rPr>
        <w:t>且投标报价最低的投标人为中标候选人的评标方法。</w:t>
      </w:r>
    </w:p>
    <w:p w14:paraId="418DE4CD">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lang w:val="en-US" w:eastAsia="zh-CN"/>
        </w:rPr>
        <w:t>29</w:t>
      </w:r>
      <w:r>
        <w:rPr>
          <w:rFonts w:hint="eastAsia" w:eastAsia="宋体"/>
          <w:color w:val="auto"/>
          <w:sz w:val="24"/>
          <w:highlight w:val="none"/>
        </w:rPr>
        <w:t>.</w:t>
      </w:r>
      <w:r>
        <w:rPr>
          <w:rFonts w:hint="eastAsia" w:eastAsia="宋体"/>
          <w:color w:val="auto"/>
          <w:sz w:val="24"/>
          <w:highlight w:val="none"/>
          <w:lang w:val="en-US" w:eastAsia="zh-CN"/>
        </w:rPr>
        <w:t xml:space="preserve">2 </w:t>
      </w:r>
      <w:r>
        <w:rPr>
          <w:rFonts w:hint="eastAsia" w:eastAsia="宋体"/>
          <w:color w:val="auto"/>
          <w:sz w:val="24"/>
          <w:highlight w:val="none"/>
        </w:rPr>
        <w:t>评标委员会按照“第五章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的</w:t>
      </w:r>
      <w:r>
        <w:rPr>
          <w:rFonts w:hint="eastAsia" w:eastAsia="宋体"/>
          <w:color w:val="auto"/>
          <w:sz w:val="24"/>
          <w:highlight w:val="none"/>
        </w:rPr>
        <w:t>规定对投标文件进行评审。“第五章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法及标准”没有规定的方法、评审因素和标准，不作为评标依据。</w:t>
      </w:r>
    </w:p>
    <w:p w14:paraId="1A9007D8">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29</w:t>
      </w:r>
      <w:r>
        <w:rPr>
          <w:rFonts w:hint="eastAsia" w:eastAsia="宋体"/>
          <w:color w:val="auto"/>
          <w:sz w:val="24"/>
          <w:highlight w:val="none"/>
        </w:rPr>
        <w:t>.</w:t>
      </w:r>
      <w:r>
        <w:rPr>
          <w:rFonts w:hint="eastAsia" w:eastAsia="宋体"/>
          <w:color w:val="auto"/>
          <w:sz w:val="24"/>
          <w:highlight w:val="none"/>
          <w:lang w:val="en-US" w:eastAsia="zh-CN"/>
        </w:rPr>
        <w:t xml:space="preserve">3 </w:t>
      </w:r>
      <w:r>
        <w:rPr>
          <w:rFonts w:hint="eastAsia" w:eastAsia="宋体"/>
          <w:color w:val="auto"/>
          <w:sz w:val="24"/>
          <w:highlight w:val="none"/>
        </w:rPr>
        <w:t>评标委员会按“投标人须知前附表”规定的中标候选人数量在评标报告中向采购人推荐中标候选人。</w:t>
      </w:r>
    </w:p>
    <w:p w14:paraId="1E63454C">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29.4 开标之后，直到签订合同止，凡是属于审查、澄清、评价和比较投标的有关资料以及定标意向等，均不得向投标人或者其他与评标无关的人员透露。</w:t>
      </w:r>
    </w:p>
    <w:p w14:paraId="57927CBE">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29.5 在确定中标人之前，投标人试图在投标文件审查、澄清、比较和评标时对评标委员会、采购人和采购代理机构施加任何影响都可能导致其</w:t>
      </w:r>
      <w:r>
        <w:rPr>
          <w:rFonts w:hint="eastAsia" w:eastAsia="宋体"/>
          <w:b/>
          <w:bCs/>
          <w:color w:val="auto"/>
          <w:sz w:val="24"/>
          <w:highlight w:val="none"/>
          <w:lang w:val="en-US" w:eastAsia="zh-CN"/>
        </w:rPr>
        <w:t>投标无效</w:t>
      </w:r>
      <w:r>
        <w:rPr>
          <w:rFonts w:hint="eastAsia" w:eastAsia="宋体"/>
          <w:color w:val="auto"/>
          <w:sz w:val="24"/>
          <w:highlight w:val="none"/>
          <w:lang w:val="en-US" w:eastAsia="zh-CN"/>
        </w:rPr>
        <w:t>。</w:t>
      </w:r>
    </w:p>
    <w:p w14:paraId="32A32003">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 电子招投标的应急措施</w:t>
      </w:r>
    </w:p>
    <w:p w14:paraId="52525CD6">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29.6.1电子开标、评标如出现下列原因，导致系统无法正常运行或无法正常评标时，应采取应急措施。</w:t>
      </w:r>
    </w:p>
    <w:p w14:paraId="3D99F562">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（1）系统服务器发生故障，无法访问或无法使用系统；</w:t>
      </w:r>
    </w:p>
    <w:p w14:paraId="518B308A">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（2）系统的软件或数据库出现错误，不能进行正常操作；</w:t>
      </w:r>
    </w:p>
    <w:p w14:paraId="657BA7B3">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（3）系统发现有安全漏洞，有潜在的泄密危险；</w:t>
      </w:r>
    </w:p>
    <w:p w14:paraId="26B15397">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（4）病毒发作或受到外来病毒的攻击；</w:t>
      </w:r>
    </w:p>
    <w:p w14:paraId="6BCA43D9">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（5）出现其他不可抗拒的客观原因造成开评标系统无法正常使用。</w:t>
      </w:r>
    </w:p>
    <w:p w14:paraId="2BA3CE00">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出现上述情况时，应对未开标的暂停开标。已在系统内开标、评标的立即停止。采取应急措施时，必须对原有资料及信息作出妥善保密处理。</w:t>
      </w:r>
    </w:p>
    <w:p w14:paraId="791CC4F0">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29.6.2因系统原因导致投标人均无法解密电子投标文件时，采购代理机构可在开标现场直接导入投标人在投标截止时间前递交的未加密的电子投标文件进行开标、评标。</w:t>
      </w:r>
    </w:p>
    <w:p w14:paraId="28CD45E0">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29.7 投标人瑕疵滞后发现的处理规则</w:t>
      </w:r>
    </w:p>
    <w:p w14:paraId="11E85EAD">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29.7.1无论基于何种原因，各项本应作</w:t>
      </w:r>
      <w:r>
        <w:rPr>
          <w:rFonts w:hint="eastAsia" w:eastAsia="宋体"/>
          <w:b/>
          <w:bCs/>
          <w:color w:val="auto"/>
          <w:sz w:val="24"/>
          <w:highlight w:val="none"/>
          <w:lang w:val="en-US" w:eastAsia="zh-CN"/>
        </w:rPr>
        <w:t>无效投标</w:t>
      </w:r>
      <w:r>
        <w:rPr>
          <w:rFonts w:hint="eastAsia" w:eastAsia="宋体"/>
          <w:color w:val="auto"/>
          <w:sz w:val="24"/>
          <w:highlight w:val="none"/>
          <w:lang w:val="en-US" w:eastAsia="zh-CN"/>
        </w:rPr>
        <w:t>处理的情形即便未被及时发现而使该投标人进入初审、综合评审或其他后续程序，包括已经签订合同的情形，一旦该投标人的投标作无效投标处理或该投标人的此前评议结果被取消，其现有的位置将被其他投标人依序替代，相关的一切损失均由该投标人承担。</w:t>
      </w:r>
    </w:p>
    <w:p w14:paraId="34027149">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38" w:name="_Toc22170"/>
      <w:bookmarkStart w:id="339" w:name="_Toc163492859"/>
      <w:bookmarkStart w:id="340" w:name="_Toc1414"/>
      <w:bookmarkStart w:id="341" w:name="_Toc140132792"/>
      <w:bookmarkStart w:id="342" w:name="_Toc8349"/>
      <w:bookmarkStart w:id="343" w:name="_Toc155185879"/>
      <w:bookmarkStart w:id="344" w:name="_Toc4255"/>
      <w:r>
        <w:rPr>
          <w:rFonts w:hint="eastAsia" w:ascii="宋体" w:hAnsi="宋体" w:eastAsia="宋体" w:cstheme="minorBidi"/>
          <w:b/>
          <w:bCs/>
          <w:color w:val="auto"/>
          <w:kern w:val="2"/>
          <w:sz w:val="24"/>
          <w:szCs w:val="32"/>
          <w:highlight w:val="none"/>
          <w:lang w:val="en-US" w:eastAsia="zh-CN" w:bidi="ar-SA"/>
        </w:rPr>
        <w:t>（八）中标</w:t>
      </w:r>
      <w:bookmarkEnd w:id="338"/>
      <w:bookmarkEnd w:id="339"/>
      <w:bookmarkEnd w:id="340"/>
      <w:bookmarkEnd w:id="341"/>
      <w:bookmarkEnd w:id="342"/>
      <w:bookmarkEnd w:id="343"/>
      <w:bookmarkEnd w:id="344"/>
    </w:p>
    <w:p w14:paraId="37B6B95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45" w:name="_Toc9777"/>
      <w:bookmarkStart w:id="346" w:name="_Toc31516"/>
      <w:bookmarkStart w:id="347" w:name="_Toc140132793"/>
      <w:bookmarkStart w:id="348" w:name="_Toc163492860"/>
      <w:bookmarkStart w:id="349" w:name="_Toc26318"/>
      <w:bookmarkStart w:id="350" w:name="_Toc4784"/>
      <w:r>
        <w:rPr>
          <w:rFonts w:hint="eastAsia" w:ascii="宋体" w:hAnsi="宋体" w:eastAsia="宋体" w:cs="宋体"/>
          <w:b/>
          <w:bCs/>
          <w:color w:val="auto"/>
          <w:kern w:val="2"/>
          <w:sz w:val="24"/>
          <w:szCs w:val="28"/>
          <w:highlight w:val="none"/>
          <w:lang w:val="en-US" w:eastAsia="zh-CN" w:bidi="ar-SA"/>
        </w:rPr>
        <w:t>30.确定中标人</w:t>
      </w:r>
      <w:bookmarkEnd w:id="345"/>
      <w:bookmarkEnd w:id="346"/>
      <w:bookmarkEnd w:id="347"/>
      <w:bookmarkEnd w:id="348"/>
      <w:bookmarkEnd w:id="349"/>
      <w:bookmarkEnd w:id="350"/>
    </w:p>
    <w:p w14:paraId="23CC2B81">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eastAsia="宋体"/>
          <w:color w:val="auto"/>
          <w:sz w:val="24"/>
          <w:highlight w:val="none"/>
          <w:lang w:val="en-US" w:eastAsia="zh-CN"/>
        </w:rPr>
        <w:t>30.1</w:t>
      </w:r>
      <w:r>
        <w:rPr>
          <w:rFonts w:hint="eastAsia" w:ascii="宋体" w:hAnsi="宋体" w:eastAsia="宋体" w:cs="宋体"/>
          <w:color w:val="auto"/>
          <w:kern w:val="0"/>
          <w:sz w:val="24"/>
          <w:szCs w:val="24"/>
          <w:highlight w:val="none"/>
          <w:lang w:val="en-US" w:eastAsia="zh-CN" w:bidi="ar"/>
        </w:rPr>
        <w:t>采购人将在评标报告确定的中标候选人名单中按顺序确定中标人，中标候选人并列的，按照</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确定中标人；招标文件未规定的，采取随机抽取的方式确定。采购人是否委托评标委员会直接确定中标人，见</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w:t>
      </w:r>
    </w:p>
    <w:p w14:paraId="1B14917F">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val="en-US" w:eastAsia="zh-CN" w:bidi="ar"/>
        </w:rPr>
        <w:t>.</w:t>
      </w:r>
      <w:r>
        <w:rPr>
          <w:rFonts w:hint="eastAsia" w:eastAsia="宋体" w:cs="宋体"/>
          <w:color w:val="auto"/>
          <w:kern w:val="0"/>
          <w:sz w:val="24"/>
          <w:szCs w:val="24"/>
          <w:highlight w:val="none"/>
          <w:lang w:val="en-US" w:eastAsia="zh-CN" w:bidi="ar"/>
        </w:rPr>
        <w:t>2采</w:t>
      </w:r>
      <w:r>
        <w:rPr>
          <w:rFonts w:hint="eastAsia" w:ascii="宋体" w:hAnsi="宋体" w:eastAsia="宋体" w:cs="宋体"/>
          <w:color w:val="auto"/>
          <w:kern w:val="0"/>
          <w:sz w:val="24"/>
          <w:szCs w:val="24"/>
          <w:highlight w:val="none"/>
          <w:lang w:val="en-US" w:eastAsia="zh-CN" w:bidi="ar"/>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规定的方式确定一个投标人获得中标人推荐资格，招标文件未规定的采取随机抽取方式确定，其他同品牌投标人不作为中标候选人。</w:t>
      </w:r>
    </w:p>
    <w:p w14:paraId="5EF9107C">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eastAsia="宋体" w:cs="宋体"/>
          <w:color w:val="auto"/>
          <w:kern w:val="0"/>
          <w:sz w:val="24"/>
          <w:szCs w:val="24"/>
          <w:highlight w:val="none"/>
          <w:lang w:val="en-US" w:eastAsia="zh-CN" w:bidi="ar"/>
        </w:rPr>
      </w:pPr>
      <w:r>
        <w:rPr>
          <w:rFonts w:hint="eastAsia" w:eastAsia="宋体" w:cs="宋体"/>
          <w:color w:val="auto"/>
          <w:kern w:val="0"/>
          <w:sz w:val="24"/>
          <w:szCs w:val="24"/>
          <w:highlight w:val="none"/>
          <w:lang w:val="en-US" w:eastAsia="zh-CN" w:bidi="ar"/>
        </w:rPr>
        <w:t>30.3采用最低评标价法的采购项目，提供相同品牌产品的不同投标人参加同一合同项下投标的，以其中通过资格审查、符合性审查且报价最低的参加评标；报价相同的，由采购人或者采购人委托评标委员会按照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eastAsia="宋体"/>
          <w:color w:val="auto"/>
          <w:sz w:val="24"/>
          <w:highlight w:val="none"/>
        </w:rPr>
        <w:t>“投标人须知前附表”</w:t>
      </w:r>
      <w:r>
        <w:rPr>
          <w:rFonts w:hint="eastAsia" w:eastAsia="宋体" w:cs="宋体"/>
          <w:color w:val="auto"/>
          <w:kern w:val="0"/>
          <w:sz w:val="24"/>
          <w:szCs w:val="24"/>
          <w:highlight w:val="none"/>
          <w:lang w:val="en-US" w:eastAsia="zh-CN" w:bidi="ar"/>
        </w:rPr>
        <w:t>规定的方式确定一个参加评标的投标人，招标文件未规定的采取随机抽取方式确定，其他投标无效。</w:t>
      </w:r>
    </w:p>
    <w:p w14:paraId="4A5A7398">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eastAsia="宋体"/>
          <w:color w:val="auto"/>
          <w:sz w:val="24"/>
          <w:highlight w:val="none"/>
        </w:rPr>
      </w:pPr>
      <w:r>
        <w:rPr>
          <w:rFonts w:hint="eastAsia" w:eastAsia="宋体" w:cs="宋体"/>
          <w:color w:val="auto"/>
          <w:kern w:val="0"/>
          <w:sz w:val="24"/>
          <w:szCs w:val="24"/>
          <w:highlight w:val="none"/>
          <w:lang w:val="en-US" w:eastAsia="zh-CN" w:bidi="ar"/>
        </w:rPr>
        <w:t>30.4非单一产品采购项目，采购人应当根据采购项目技术构成、产品价格比重等合理确定核心产品，并在</w:t>
      </w:r>
      <w:r>
        <w:rPr>
          <w:rFonts w:hint="eastAsia" w:eastAsia="宋体"/>
          <w:color w:val="auto"/>
          <w:sz w:val="24"/>
          <w:highlight w:val="none"/>
        </w:rPr>
        <w:t>“投标人须知前附表”</w:t>
      </w:r>
      <w:r>
        <w:rPr>
          <w:rFonts w:hint="eastAsia" w:eastAsia="宋体" w:cs="宋体"/>
          <w:color w:val="auto"/>
          <w:kern w:val="0"/>
          <w:sz w:val="24"/>
          <w:szCs w:val="24"/>
          <w:highlight w:val="none"/>
          <w:lang w:val="en-US" w:eastAsia="zh-CN" w:bidi="ar"/>
        </w:rPr>
        <w:t>中载明。多家投标人提供的核心产品品牌相同的，按前两款规定处理。</w:t>
      </w:r>
      <w:r>
        <w:rPr>
          <w:rFonts w:hint="eastAsia" w:ascii="宋体" w:hAnsi="宋体" w:eastAsia="宋体" w:cs="宋体"/>
          <w:color w:val="auto"/>
          <w:kern w:val="0"/>
          <w:sz w:val="24"/>
          <w:szCs w:val="24"/>
          <w:highlight w:val="none"/>
          <w:lang w:val="en-US" w:eastAsia="zh-CN" w:bidi="ar"/>
        </w:rPr>
        <w:t xml:space="preserve"> </w:t>
      </w:r>
    </w:p>
    <w:p w14:paraId="1897145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51" w:name="_Toc7431"/>
      <w:bookmarkStart w:id="352" w:name="_Toc19155"/>
      <w:bookmarkStart w:id="353" w:name="_Toc24795"/>
      <w:bookmarkStart w:id="354" w:name="_Toc140132794"/>
      <w:bookmarkStart w:id="355" w:name="_Toc6330"/>
      <w:bookmarkStart w:id="356" w:name="_Toc163492861"/>
      <w:r>
        <w:rPr>
          <w:rFonts w:hint="eastAsia" w:ascii="宋体" w:hAnsi="宋体" w:eastAsia="宋体" w:cs="宋体"/>
          <w:b/>
          <w:bCs/>
          <w:color w:val="auto"/>
          <w:kern w:val="2"/>
          <w:sz w:val="24"/>
          <w:szCs w:val="28"/>
          <w:highlight w:val="none"/>
          <w:lang w:val="en-US" w:eastAsia="zh-CN" w:bidi="ar-SA"/>
        </w:rPr>
        <w:t>31.中标结果公告</w:t>
      </w:r>
      <w:bookmarkEnd w:id="351"/>
      <w:bookmarkEnd w:id="352"/>
      <w:bookmarkEnd w:id="353"/>
      <w:bookmarkEnd w:id="354"/>
      <w:bookmarkEnd w:id="355"/>
      <w:bookmarkEnd w:id="356"/>
    </w:p>
    <w:p w14:paraId="712AF3E4">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1</w:t>
      </w:r>
      <w:r>
        <w:rPr>
          <w:rFonts w:hint="eastAsia" w:eastAsia="宋体"/>
          <w:color w:val="auto"/>
          <w:sz w:val="24"/>
          <w:highlight w:val="none"/>
        </w:rPr>
        <w:t>.1</w:t>
      </w:r>
      <w:r>
        <w:rPr>
          <w:rFonts w:hint="eastAsia" w:eastAsia="宋体"/>
          <w:color w:val="auto"/>
          <w:sz w:val="24"/>
          <w:highlight w:val="none"/>
          <w:lang w:val="en-US" w:eastAsia="zh-CN"/>
        </w:rPr>
        <w:t>采购人或</w:t>
      </w:r>
      <w:r>
        <w:rPr>
          <w:rFonts w:hint="eastAsia" w:eastAsia="宋体"/>
          <w:color w:val="auto"/>
          <w:sz w:val="24"/>
          <w:highlight w:val="none"/>
        </w:rPr>
        <w:t>采购代理机构应当自中标人确定之日起2个工作日内，在</w:t>
      </w:r>
      <w:r>
        <w:rPr>
          <w:rFonts w:hint="eastAsia" w:eastAsia="宋体"/>
          <w:color w:val="auto"/>
          <w:sz w:val="24"/>
          <w:highlight w:val="none"/>
          <w:lang w:val="en-US" w:eastAsia="zh-CN"/>
        </w:rPr>
        <w:t>发布招标公告的同一</w:t>
      </w:r>
      <w:r>
        <w:rPr>
          <w:rFonts w:hint="eastAsia" w:eastAsia="宋体"/>
          <w:color w:val="auto"/>
          <w:sz w:val="24"/>
          <w:highlight w:val="none"/>
        </w:rPr>
        <w:t>媒体上发布中标结果公告，</w:t>
      </w:r>
      <w:r>
        <w:rPr>
          <w:rFonts w:hint="eastAsia" w:eastAsia="宋体"/>
          <w:color w:val="auto"/>
          <w:sz w:val="24"/>
          <w:highlight w:val="none"/>
          <w:lang w:val="en-US" w:eastAsia="zh-CN"/>
        </w:rPr>
        <w:t>同时向中标人</w:t>
      </w:r>
      <w:r>
        <w:rPr>
          <w:rFonts w:hint="eastAsia" w:eastAsia="宋体"/>
          <w:color w:val="auto"/>
          <w:sz w:val="24"/>
          <w:highlight w:val="none"/>
        </w:rPr>
        <w:t>发出中标通知书</w:t>
      </w:r>
      <w:r>
        <w:rPr>
          <w:rFonts w:hint="eastAsia" w:eastAsia="宋体"/>
          <w:color w:val="auto"/>
          <w:sz w:val="24"/>
          <w:highlight w:val="none"/>
          <w:lang w:eastAsia="zh-CN"/>
        </w:rPr>
        <w:t>。招标文件随中标结果同时公告，</w:t>
      </w:r>
      <w:r>
        <w:rPr>
          <w:rFonts w:hint="eastAsia" w:eastAsia="宋体"/>
          <w:color w:val="auto"/>
          <w:sz w:val="24"/>
          <w:highlight w:val="none"/>
        </w:rPr>
        <w:t>中标结果公告期限为1个工作日。</w:t>
      </w:r>
    </w:p>
    <w:p w14:paraId="5352A1FC">
      <w:pPr>
        <w:pStyle w:val="37"/>
        <w:keepNext w:val="0"/>
        <w:keepLines w:val="0"/>
        <w:pageBreakBefore w:val="0"/>
        <w:widowControl w:val="0"/>
        <w:kinsoku/>
        <w:overflowPunct/>
        <w:topLinePunct w:val="0"/>
        <w:autoSpaceDE/>
        <w:autoSpaceDN/>
        <w:bidi w:val="0"/>
        <w:adjustRightInd/>
        <w:textAlignment w:val="auto"/>
        <w:rPr>
          <w:rFonts w:hint="eastAsia" w:eastAsia="宋体"/>
          <w:bCs/>
          <w:color w:val="auto"/>
          <w:sz w:val="24"/>
          <w:highlight w:val="none"/>
          <w:lang w:eastAsia="zh-CN"/>
        </w:rPr>
      </w:pPr>
      <w:r>
        <w:rPr>
          <w:rFonts w:hint="eastAsia" w:eastAsia="宋体"/>
          <w:bCs/>
          <w:color w:val="auto"/>
          <w:sz w:val="24"/>
          <w:highlight w:val="none"/>
        </w:rPr>
        <w:t>3</w:t>
      </w:r>
      <w:r>
        <w:rPr>
          <w:rFonts w:hint="eastAsia" w:eastAsia="宋体"/>
          <w:bCs/>
          <w:color w:val="auto"/>
          <w:sz w:val="24"/>
          <w:highlight w:val="none"/>
          <w:lang w:val="en-US" w:eastAsia="zh-CN"/>
        </w:rPr>
        <w:t>1</w:t>
      </w:r>
      <w:r>
        <w:rPr>
          <w:rFonts w:eastAsia="宋体"/>
          <w:bCs/>
          <w:color w:val="auto"/>
          <w:sz w:val="24"/>
          <w:highlight w:val="none"/>
        </w:rPr>
        <w:t>.2</w:t>
      </w:r>
      <w:r>
        <w:rPr>
          <w:rFonts w:hint="eastAsia" w:eastAsia="宋体"/>
          <w:bCs/>
          <w:color w:val="auto"/>
          <w:sz w:val="24"/>
          <w:highlight w:val="none"/>
          <w:lang w:eastAsia="zh-CN"/>
        </w:rPr>
        <w:t>中标</w:t>
      </w:r>
      <w:r>
        <w:rPr>
          <w:rFonts w:hint="eastAsia" w:eastAsia="宋体"/>
          <w:bCs/>
          <w:color w:val="auto"/>
          <w:sz w:val="24"/>
          <w:highlight w:val="none"/>
          <w:lang w:val="en-US" w:eastAsia="zh-CN"/>
        </w:rPr>
        <w:t>人</w:t>
      </w:r>
      <w:r>
        <w:rPr>
          <w:rFonts w:hint="eastAsia" w:eastAsia="宋体"/>
          <w:bCs/>
          <w:color w:val="auto"/>
          <w:sz w:val="24"/>
          <w:highlight w:val="none"/>
          <w:lang w:eastAsia="zh-CN"/>
        </w:rPr>
        <w:t>为中小企业</w:t>
      </w:r>
      <w:r>
        <w:rPr>
          <w:rFonts w:hint="eastAsia" w:eastAsia="宋体"/>
          <w:bCs/>
          <w:color w:val="auto"/>
          <w:sz w:val="24"/>
          <w:highlight w:val="none"/>
          <w:lang w:val="en-US" w:eastAsia="zh-CN"/>
        </w:rPr>
        <w:t>享受中小企业扶持政策的</w:t>
      </w:r>
      <w:r>
        <w:rPr>
          <w:rFonts w:hint="eastAsia" w:eastAsia="宋体"/>
          <w:bCs/>
          <w:color w:val="auto"/>
          <w:sz w:val="24"/>
          <w:highlight w:val="none"/>
          <w:lang w:eastAsia="zh-CN"/>
        </w:rPr>
        <w:t>，其“中小企业声明函”随中标结果同时公告。中标</w:t>
      </w:r>
      <w:r>
        <w:rPr>
          <w:rFonts w:hint="eastAsia" w:eastAsia="宋体"/>
          <w:bCs/>
          <w:color w:val="auto"/>
          <w:sz w:val="24"/>
          <w:highlight w:val="none"/>
          <w:lang w:val="en-US" w:eastAsia="zh-CN"/>
        </w:rPr>
        <w:t>人</w:t>
      </w:r>
      <w:r>
        <w:rPr>
          <w:rFonts w:hint="eastAsia" w:eastAsia="宋体"/>
          <w:bCs/>
          <w:color w:val="auto"/>
          <w:sz w:val="24"/>
          <w:highlight w:val="none"/>
          <w:lang w:eastAsia="zh-CN"/>
        </w:rPr>
        <w:t>为残疾人福利性单位的，其“残疾人福利性单位声明函”随中标结果同时公告。</w:t>
      </w:r>
    </w:p>
    <w:p w14:paraId="284DD9E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bCs/>
          <w:color w:val="auto"/>
          <w:sz w:val="24"/>
          <w:highlight w:val="none"/>
        </w:rPr>
      </w:pPr>
      <w:r>
        <w:rPr>
          <w:rFonts w:hint="eastAsia" w:ascii="宋体" w:hAnsi="宋体" w:eastAsia="宋体"/>
          <w:bCs/>
          <w:color w:val="auto"/>
          <w:sz w:val="24"/>
          <w:highlight w:val="none"/>
          <w:lang w:val="en-US" w:eastAsia="zh-CN"/>
        </w:rPr>
        <w:t>31.3</w:t>
      </w:r>
      <w:r>
        <w:rPr>
          <w:rFonts w:hint="eastAsia" w:ascii="宋体" w:hAnsi="宋体" w:eastAsia="宋体"/>
          <w:bCs/>
          <w:color w:val="auto"/>
          <w:sz w:val="24"/>
          <w:highlight w:val="none"/>
        </w:rPr>
        <w:t>项目采购采用最低评标价法的，公告中标结果时同时公告因落实政府采购政策等原因进行价格扣除后中标</w:t>
      </w:r>
      <w:r>
        <w:rPr>
          <w:rFonts w:hint="eastAsia" w:ascii="宋体" w:hAnsi="宋体" w:eastAsia="宋体"/>
          <w:bCs/>
          <w:color w:val="auto"/>
          <w:sz w:val="24"/>
          <w:highlight w:val="none"/>
          <w:lang w:val="en-US" w:eastAsia="zh-CN"/>
        </w:rPr>
        <w:t>人</w:t>
      </w:r>
      <w:r>
        <w:rPr>
          <w:rFonts w:hint="eastAsia" w:ascii="宋体" w:hAnsi="宋体" w:eastAsia="宋体"/>
          <w:bCs/>
          <w:color w:val="auto"/>
          <w:sz w:val="24"/>
          <w:highlight w:val="none"/>
        </w:rPr>
        <w:t>的评审报价；项目采购采用综合评分法的，公告中标结果时同时公告中标</w:t>
      </w:r>
      <w:r>
        <w:rPr>
          <w:rFonts w:hint="eastAsia" w:ascii="宋体" w:hAnsi="宋体" w:eastAsia="宋体"/>
          <w:bCs/>
          <w:color w:val="auto"/>
          <w:sz w:val="24"/>
          <w:highlight w:val="none"/>
          <w:lang w:val="en-US" w:eastAsia="zh-CN"/>
        </w:rPr>
        <w:t>供应商</w:t>
      </w:r>
      <w:r>
        <w:rPr>
          <w:rFonts w:hint="eastAsia" w:ascii="宋体" w:hAnsi="宋体" w:eastAsia="宋体"/>
          <w:bCs/>
          <w:color w:val="auto"/>
          <w:sz w:val="24"/>
          <w:highlight w:val="none"/>
        </w:rPr>
        <w:t>的评审总得分。</w:t>
      </w:r>
    </w:p>
    <w:p w14:paraId="24E8EB4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57" w:name="_Toc17569"/>
      <w:bookmarkStart w:id="358" w:name="_Toc163492862"/>
      <w:bookmarkStart w:id="359" w:name="_Toc140132795"/>
      <w:bookmarkStart w:id="360" w:name="_Toc7104"/>
      <w:bookmarkStart w:id="361" w:name="_Toc2830"/>
      <w:bookmarkStart w:id="362" w:name="_Toc17586"/>
      <w:r>
        <w:rPr>
          <w:rFonts w:hint="eastAsia" w:ascii="宋体" w:hAnsi="宋体" w:eastAsia="宋体" w:cs="宋体"/>
          <w:b/>
          <w:bCs/>
          <w:color w:val="auto"/>
          <w:kern w:val="2"/>
          <w:sz w:val="24"/>
          <w:szCs w:val="28"/>
          <w:highlight w:val="none"/>
          <w:lang w:val="en-US" w:eastAsia="zh-CN" w:bidi="ar-SA"/>
        </w:rPr>
        <w:t>32.中标通知</w:t>
      </w:r>
      <w:bookmarkEnd w:id="357"/>
      <w:bookmarkEnd w:id="358"/>
      <w:bookmarkEnd w:id="359"/>
      <w:bookmarkEnd w:id="360"/>
      <w:bookmarkEnd w:id="361"/>
      <w:bookmarkEnd w:id="362"/>
    </w:p>
    <w:p w14:paraId="41D33E18">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2</w:t>
      </w:r>
      <w:r>
        <w:rPr>
          <w:rFonts w:hint="eastAsia" w:eastAsia="宋体"/>
          <w:color w:val="auto"/>
          <w:sz w:val="24"/>
          <w:highlight w:val="none"/>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67E9F9A5">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32.2中标通知书对采购人和中标人均具有法律效力。中标通知书发出后，采购人改变中标结果的，或者中标人放弃中标项目的，应当依法承担法律责任。</w:t>
      </w:r>
    </w:p>
    <w:p w14:paraId="004C264E">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63" w:name="_Toc4010"/>
      <w:bookmarkStart w:id="364" w:name="_Toc27448"/>
      <w:bookmarkStart w:id="365" w:name="_Toc9494"/>
      <w:bookmarkStart w:id="366" w:name="_Toc28090"/>
      <w:bookmarkStart w:id="367" w:name="_Toc163492863"/>
      <w:r>
        <w:rPr>
          <w:rFonts w:hint="eastAsia" w:ascii="宋体" w:hAnsi="宋体" w:eastAsia="宋体" w:cstheme="minorBidi"/>
          <w:b/>
          <w:bCs/>
          <w:color w:val="auto"/>
          <w:kern w:val="2"/>
          <w:sz w:val="24"/>
          <w:szCs w:val="32"/>
          <w:highlight w:val="none"/>
          <w:lang w:val="en-US" w:eastAsia="zh-CN" w:bidi="ar-SA"/>
        </w:rPr>
        <w:t>（九）签订</w:t>
      </w:r>
      <w:bookmarkStart w:id="368" w:name="_Toc140132796"/>
      <w:bookmarkStart w:id="369" w:name="_Toc155185880"/>
      <w:r>
        <w:rPr>
          <w:rFonts w:hint="eastAsia" w:ascii="宋体" w:hAnsi="宋体" w:eastAsia="宋体" w:cstheme="minorBidi"/>
          <w:b/>
          <w:bCs/>
          <w:color w:val="auto"/>
          <w:kern w:val="2"/>
          <w:sz w:val="24"/>
          <w:szCs w:val="32"/>
          <w:highlight w:val="none"/>
          <w:lang w:val="en-US" w:eastAsia="zh-CN" w:bidi="ar-SA"/>
        </w:rPr>
        <w:t>合同</w:t>
      </w:r>
      <w:bookmarkEnd w:id="363"/>
      <w:bookmarkEnd w:id="364"/>
      <w:bookmarkEnd w:id="365"/>
      <w:bookmarkEnd w:id="366"/>
      <w:bookmarkEnd w:id="367"/>
      <w:bookmarkEnd w:id="368"/>
      <w:bookmarkEnd w:id="369"/>
    </w:p>
    <w:p w14:paraId="547E6B9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70" w:name="_Toc18923"/>
      <w:bookmarkStart w:id="371" w:name="_Toc6972"/>
      <w:bookmarkStart w:id="372" w:name="_Toc22178"/>
      <w:bookmarkStart w:id="373" w:name="_Toc163492864"/>
      <w:bookmarkStart w:id="374" w:name="_Toc140132797"/>
      <w:bookmarkStart w:id="375" w:name="_Toc18377"/>
      <w:r>
        <w:rPr>
          <w:rFonts w:hint="eastAsia" w:ascii="宋体" w:hAnsi="宋体" w:eastAsia="宋体" w:cs="宋体"/>
          <w:b/>
          <w:bCs/>
          <w:color w:val="auto"/>
          <w:kern w:val="2"/>
          <w:sz w:val="24"/>
          <w:szCs w:val="28"/>
          <w:highlight w:val="none"/>
          <w:lang w:val="en-US" w:eastAsia="zh-CN" w:bidi="ar-SA"/>
        </w:rPr>
        <w:t>33.履约保证金</w:t>
      </w:r>
      <w:bookmarkEnd w:id="370"/>
      <w:bookmarkEnd w:id="371"/>
      <w:bookmarkEnd w:id="372"/>
      <w:bookmarkEnd w:id="373"/>
      <w:bookmarkEnd w:id="374"/>
      <w:bookmarkEnd w:id="375"/>
    </w:p>
    <w:p w14:paraId="77717F01">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3</w:t>
      </w:r>
      <w:r>
        <w:rPr>
          <w:rFonts w:hint="eastAsia" w:eastAsia="宋体"/>
          <w:color w:val="auto"/>
          <w:sz w:val="24"/>
          <w:highlight w:val="none"/>
        </w:rPr>
        <w:t>.1在签订合同前，中标人应按“投标人须知前附表”规定的金额、担保形式和采购人认可的履约担保格式向采购人提交履约保证金。</w:t>
      </w:r>
    </w:p>
    <w:p w14:paraId="73BC7DAF">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3</w:t>
      </w:r>
      <w:r>
        <w:rPr>
          <w:rFonts w:hint="eastAsia" w:eastAsia="宋体"/>
          <w:color w:val="auto"/>
          <w:sz w:val="24"/>
          <w:highlight w:val="none"/>
        </w:rPr>
        <w:t>.2中标人不能按本章第</w:t>
      </w:r>
      <w:r>
        <w:rPr>
          <w:rFonts w:eastAsia="宋体"/>
          <w:color w:val="auto"/>
          <w:sz w:val="24"/>
          <w:highlight w:val="none"/>
        </w:rPr>
        <w:t>3</w:t>
      </w:r>
      <w:r>
        <w:rPr>
          <w:rFonts w:hint="eastAsia" w:eastAsia="宋体"/>
          <w:color w:val="auto"/>
          <w:sz w:val="24"/>
          <w:highlight w:val="none"/>
          <w:lang w:val="en-US" w:eastAsia="zh-CN"/>
        </w:rPr>
        <w:t>3</w:t>
      </w:r>
      <w:r>
        <w:rPr>
          <w:rFonts w:hint="eastAsia" w:eastAsia="宋体"/>
          <w:color w:val="auto"/>
          <w:sz w:val="24"/>
          <w:highlight w:val="none"/>
        </w:rPr>
        <w:t>.1项要求提交履约担保的，视为放弃中标，给采购人造成损失的，中标人还应当承担民事责任。</w:t>
      </w:r>
    </w:p>
    <w:p w14:paraId="4B3DD6F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76" w:name="_Toc30681"/>
      <w:bookmarkStart w:id="377" w:name="_Toc25821"/>
      <w:bookmarkStart w:id="378" w:name="_Toc19464"/>
      <w:bookmarkStart w:id="379" w:name="_Toc163492865"/>
      <w:bookmarkStart w:id="380" w:name="_Toc2818"/>
      <w:bookmarkStart w:id="381" w:name="_Toc140132798"/>
      <w:r>
        <w:rPr>
          <w:rFonts w:hint="eastAsia" w:ascii="宋体" w:hAnsi="宋体" w:eastAsia="宋体" w:cs="宋体"/>
          <w:b/>
          <w:bCs/>
          <w:color w:val="auto"/>
          <w:kern w:val="2"/>
          <w:sz w:val="24"/>
          <w:szCs w:val="28"/>
          <w:highlight w:val="none"/>
          <w:lang w:val="en-US" w:eastAsia="zh-CN" w:bidi="ar-SA"/>
        </w:rPr>
        <w:t>34.签订合同</w:t>
      </w:r>
      <w:bookmarkEnd w:id="376"/>
      <w:bookmarkEnd w:id="377"/>
      <w:bookmarkEnd w:id="378"/>
      <w:bookmarkEnd w:id="379"/>
      <w:bookmarkEnd w:id="380"/>
      <w:bookmarkEnd w:id="381"/>
    </w:p>
    <w:p w14:paraId="77507EBB">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.1 采购人和中标人应当自中标通知书发出之日起</w:t>
      </w:r>
      <w:r>
        <w:rPr>
          <w:rFonts w:hint="eastAsia" w:eastAsia="宋体"/>
          <w:color w:val="auto"/>
          <w:sz w:val="24"/>
          <w:highlight w:val="none"/>
          <w:lang w:val="en-US" w:eastAsia="zh-CN"/>
        </w:rPr>
        <w:t>25</w:t>
      </w:r>
      <w:r>
        <w:rPr>
          <w:rFonts w:hint="eastAsia" w:eastAsia="宋体"/>
          <w:color w:val="auto"/>
          <w:sz w:val="24"/>
          <w:highlight w:val="none"/>
        </w:rPr>
        <w:t>天内，根据招标文件和中标人的投标文件订立书面合同。</w:t>
      </w:r>
      <w:r>
        <w:rPr>
          <w:rFonts w:hint="eastAsia" w:ascii="宋体" w:hAnsi="宋体" w:eastAsia="宋体"/>
          <w:color w:val="auto"/>
          <w:sz w:val="24"/>
          <w:highlight w:val="none"/>
        </w:rPr>
        <w:t>采购人因不可抗力原因迟延签订合同的，应当自不可抗力事由消除之日起7日内完成合同签订事宜。</w:t>
      </w:r>
      <w:r>
        <w:rPr>
          <w:rFonts w:hint="eastAsia" w:eastAsia="宋体"/>
          <w:color w:val="auto"/>
          <w:sz w:val="24"/>
          <w:highlight w:val="none"/>
        </w:rPr>
        <w:t>所签订的合同不得对招标文件和中标人投标文件作实质性修改。中标人无正当理由拒签合同，给采购人造成损失的，中标人还应当承担民事责任。</w:t>
      </w:r>
    </w:p>
    <w:p w14:paraId="72CF4FDD">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34.2 中标人拒绝与采购人签订合同的，采购人可以按照评标报告推荐的中标候选人名单排序，确定下一候选人为中标人，也可以重新开展政府采购活动。</w:t>
      </w:r>
    </w:p>
    <w:p w14:paraId="0D3421B6">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 xml:space="preserve"> 采购人和中标人不得向对方提出任何不合理的要求，作为签订合同的条件，双方不得私下订立背离合同实质性内容的协议。</w:t>
      </w:r>
    </w:p>
    <w:p w14:paraId="5551DDAE">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34.4 联合体中标的，联合体各方应当共同与采购人签订合同，就采购合同约定的事项向采购人承担连带责任。</w:t>
      </w:r>
    </w:p>
    <w:p w14:paraId="2BA187E8">
      <w:pPr>
        <w:pStyle w:val="37"/>
        <w:keepNext w:val="0"/>
        <w:keepLines w:val="0"/>
        <w:pageBreakBefore w:val="0"/>
        <w:widowControl w:val="0"/>
        <w:kinsoku/>
        <w:overflowPunct/>
        <w:topLinePunct w:val="0"/>
        <w:autoSpaceDE/>
        <w:autoSpaceDN/>
        <w:bidi w:val="0"/>
        <w:adjustRightInd/>
        <w:textAlignment w:val="auto"/>
        <w:rPr>
          <w:rFonts w:hint="eastAsia" w:eastAsia="宋体"/>
          <w:b/>
          <w:bCs/>
          <w:color w:val="auto"/>
          <w:sz w:val="24"/>
          <w:highlight w:val="none"/>
          <w:lang w:val="en-US" w:eastAsia="zh-CN"/>
        </w:rPr>
      </w:pPr>
      <w:r>
        <w:rPr>
          <w:rFonts w:hint="eastAsia" w:eastAsia="宋体"/>
          <w:color w:val="auto"/>
          <w:sz w:val="24"/>
          <w:highlight w:val="none"/>
          <w:lang w:val="en-US" w:eastAsia="zh-CN"/>
        </w:rPr>
        <w:t>34.5 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eastAsia="宋体"/>
          <w:b/>
          <w:bCs/>
          <w:color w:val="auto"/>
          <w:sz w:val="24"/>
          <w:highlight w:val="none"/>
          <w:lang w:val="en-US" w:eastAsia="zh-CN"/>
        </w:rPr>
        <w:t>投标无效</w:t>
      </w:r>
      <w:r>
        <w:rPr>
          <w:rFonts w:hint="eastAsia" w:eastAsia="宋体"/>
          <w:color w:val="auto"/>
          <w:sz w:val="24"/>
          <w:highlight w:val="none"/>
          <w:lang w:val="en-US" w:eastAsia="zh-CN"/>
        </w:rPr>
        <w:t>。中标人就采购项目和分包项目向采购人负责，分包供应商就分包项目承担责任。</w:t>
      </w:r>
      <w:r>
        <w:rPr>
          <w:rFonts w:hint="eastAsia" w:eastAsia="宋体"/>
          <w:b/>
          <w:bCs/>
          <w:color w:val="auto"/>
          <w:sz w:val="24"/>
          <w:highlight w:val="none"/>
          <w:lang w:val="en-US" w:eastAsia="zh-CN"/>
        </w:rPr>
        <w:t>政府采购合同不能转包。</w:t>
      </w:r>
    </w:p>
    <w:p w14:paraId="13D12B87">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采购合同履行中，采购人需追加与合同标的相同的</w:t>
      </w:r>
      <w:r>
        <w:rPr>
          <w:rFonts w:hint="eastAsia" w:eastAsia="宋体"/>
          <w:color w:val="auto"/>
          <w:sz w:val="24"/>
          <w:highlight w:val="none"/>
          <w:lang w:val="en-US" w:eastAsia="zh-CN"/>
        </w:rPr>
        <w:t>货物、工程或者服务</w:t>
      </w:r>
      <w:r>
        <w:rPr>
          <w:rFonts w:hint="eastAsia" w:eastAsia="宋体"/>
          <w:color w:val="auto"/>
          <w:sz w:val="24"/>
          <w:highlight w:val="none"/>
        </w:rPr>
        <w:t>的，在不改变合同其他条款的前提下，可以与中标人协商签订补充合同，但所有补充合同的采购金额不得超过原合同采购金额的百分之十。</w:t>
      </w:r>
    </w:p>
    <w:p w14:paraId="259D0E8B">
      <w:pPr>
        <w:pStyle w:val="37"/>
        <w:keepNext w:val="0"/>
        <w:keepLines w:val="0"/>
        <w:pageBreakBefore w:val="0"/>
        <w:widowControl w:val="0"/>
        <w:kinsoku/>
        <w:overflowPunct/>
        <w:topLinePunct w:val="0"/>
        <w:autoSpaceDE/>
        <w:autoSpaceDN/>
        <w:bidi w:val="0"/>
        <w:adjustRightInd/>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34.7 采购人应于签订合同之日起2个工作日内在政采云平台备案公示。</w:t>
      </w:r>
    </w:p>
    <w:p w14:paraId="12490EB6">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82" w:name="_Toc16755"/>
      <w:bookmarkStart w:id="383" w:name="_Toc163492866"/>
      <w:bookmarkStart w:id="384" w:name="_Toc140132799"/>
      <w:bookmarkStart w:id="385" w:name="_Toc9575"/>
      <w:bookmarkStart w:id="386" w:name="_Toc3470"/>
      <w:bookmarkStart w:id="387" w:name="_Toc155185881"/>
      <w:bookmarkStart w:id="388" w:name="_Toc16618"/>
      <w:r>
        <w:rPr>
          <w:rFonts w:hint="eastAsia" w:ascii="宋体" w:hAnsi="宋体" w:eastAsia="宋体" w:cstheme="minorBidi"/>
          <w:b/>
          <w:bCs/>
          <w:color w:val="auto"/>
          <w:kern w:val="2"/>
          <w:sz w:val="24"/>
          <w:szCs w:val="32"/>
          <w:highlight w:val="none"/>
          <w:lang w:val="en-US" w:eastAsia="zh-CN" w:bidi="ar-SA"/>
        </w:rPr>
        <w:t>（十）质疑和投诉</w:t>
      </w:r>
      <w:bookmarkEnd w:id="382"/>
      <w:bookmarkEnd w:id="383"/>
      <w:bookmarkEnd w:id="384"/>
      <w:bookmarkEnd w:id="385"/>
      <w:bookmarkEnd w:id="386"/>
      <w:bookmarkEnd w:id="387"/>
      <w:bookmarkEnd w:id="388"/>
    </w:p>
    <w:p w14:paraId="23BE6A9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89" w:name="_Toc5638"/>
      <w:bookmarkStart w:id="390" w:name="_Toc8211"/>
      <w:bookmarkStart w:id="391" w:name="_Toc163492867"/>
      <w:bookmarkStart w:id="392" w:name="_Toc26264"/>
      <w:bookmarkStart w:id="393" w:name="_Toc1814"/>
      <w:bookmarkStart w:id="394" w:name="_Toc140132800"/>
      <w:r>
        <w:rPr>
          <w:rFonts w:hint="eastAsia" w:ascii="宋体" w:hAnsi="宋体" w:eastAsia="宋体" w:cs="宋体"/>
          <w:b/>
          <w:bCs/>
          <w:color w:val="auto"/>
          <w:kern w:val="2"/>
          <w:sz w:val="24"/>
          <w:szCs w:val="28"/>
          <w:highlight w:val="none"/>
          <w:lang w:val="en-US" w:eastAsia="zh-CN" w:bidi="ar-SA"/>
        </w:rPr>
        <w:t>35.质疑</w:t>
      </w:r>
      <w:bookmarkEnd w:id="389"/>
      <w:bookmarkEnd w:id="390"/>
      <w:bookmarkEnd w:id="391"/>
      <w:bookmarkEnd w:id="392"/>
      <w:bookmarkEnd w:id="393"/>
      <w:bookmarkEnd w:id="394"/>
    </w:p>
    <w:p w14:paraId="097AA162">
      <w:pPr>
        <w:pStyle w:val="37"/>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.1供应商认为采购文件、采购过程、中标结果使自己的权益受到损害的，可以在知道或者应知其权益受到损害之日起7个工作日内，以书面形式向采购人、采购代理机构提出质疑</w:t>
      </w:r>
      <w:r>
        <w:rPr>
          <w:rFonts w:hint="eastAsia" w:eastAsia="宋体"/>
          <w:color w:val="auto"/>
          <w:sz w:val="24"/>
          <w:highlight w:val="none"/>
          <w:lang w:eastAsia="zh-CN"/>
        </w:rPr>
        <w:t>，</w:t>
      </w:r>
      <w:r>
        <w:rPr>
          <w:rFonts w:hint="eastAsia" w:eastAsia="宋体"/>
          <w:color w:val="auto"/>
          <w:sz w:val="24"/>
          <w:highlight w:val="none"/>
          <w:lang w:val="en-US" w:eastAsia="zh-CN"/>
        </w:rPr>
        <w:t>详见“投标人须知前附表”</w:t>
      </w:r>
      <w:r>
        <w:rPr>
          <w:rFonts w:hint="eastAsia" w:eastAsia="宋体"/>
          <w:color w:val="auto"/>
          <w:sz w:val="24"/>
          <w:highlight w:val="none"/>
        </w:rPr>
        <w:t>。供应商在法定质疑期内一次性提出针对同一采购程序环节的质疑。</w:t>
      </w:r>
    </w:p>
    <w:p w14:paraId="35972B93">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.2提出质疑的供应商（以下简称质疑供应商）应当是参与所质疑项目采购活动的供应商。</w:t>
      </w:r>
    </w:p>
    <w:p w14:paraId="6503DC74">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35.3</w:t>
      </w:r>
      <w:r>
        <w:rPr>
          <w:rFonts w:hint="eastAsia" w:eastAsia="宋体"/>
          <w:color w:val="auto"/>
          <w:sz w:val="24"/>
          <w:highlight w:val="none"/>
        </w:rPr>
        <w:t>潜在供应商已依法获取其可质疑的采购文件的，可以对该文件提出质疑。对采购文件提出质疑的，应当在获取采购文件或者采购文件公告期限届满之日起7个工作日内提出。</w:t>
      </w:r>
    </w:p>
    <w:p w14:paraId="7A916D67">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35.4</w:t>
      </w:r>
      <w:r>
        <w:rPr>
          <w:rFonts w:hint="eastAsia" w:eastAsia="宋体"/>
          <w:color w:val="auto"/>
          <w:sz w:val="24"/>
          <w:highlight w:val="none"/>
        </w:rPr>
        <w:t>供应商提出质疑应当提交质疑函和必要的证明材料。质疑函应当包括下列内容：</w:t>
      </w:r>
    </w:p>
    <w:p w14:paraId="57C1F480">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1</w:t>
      </w:r>
      <w:r>
        <w:rPr>
          <w:rFonts w:hint="eastAsia" w:eastAsia="宋体"/>
          <w:color w:val="auto"/>
          <w:sz w:val="24"/>
          <w:highlight w:val="none"/>
        </w:rPr>
        <w:t>）供应商的姓名或者名称、地址、邮编、联系人及联系电话；</w:t>
      </w:r>
    </w:p>
    <w:p w14:paraId="2B1F4E61">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）质疑项目的名称、</w:t>
      </w:r>
      <w:r>
        <w:rPr>
          <w:rFonts w:hint="eastAsia" w:eastAsia="宋体"/>
          <w:color w:val="auto"/>
          <w:sz w:val="24"/>
          <w:highlight w:val="none"/>
          <w:lang w:val="en-US" w:eastAsia="zh-CN"/>
        </w:rPr>
        <w:t>项目</w:t>
      </w:r>
      <w:r>
        <w:rPr>
          <w:rFonts w:hint="eastAsia" w:eastAsia="宋体"/>
          <w:color w:val="auto"/>
          <w:sz w:val="24"/>
          <w:highlight w:val="none"/>
        </w:rPr>
        <w:t>编号</w:t>
      </w:r>
      <w:r>
        <w:rPr>
          <w:rFonts w:hint="eastAsia" w:eastAsia="宋体"/>
          <w:color w:val="auto"/>
          <w:sz w:val="24"/>
          <w:highlight w:val="none"/>
          <w:lang w:val="en-US" w:eastAsia="zh-CN"/>
        </w:rPr>
        <w:t>/包号</w:t>
      </w:r>
      <w:r>
        <w:rPr>
          <w:rFonts w:hint="eastAsia" w:eastAsia="宋体"/>
          <w:color w:val="auto"/>
          <w:sz w:val="24"/>
          <w:highlight w:val="none"/>
        </w:rPr>
        <w:t>；</w:t>
      </w:r>
    </w:p>
    <w:p w14:paraId="1AA8BB74">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）具体、明确的质疑事项和与质疑事项相关的请求；</w:t>
      </w:r>
    </w:p>
    <w:p w14:paraId="6456E8B1">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4</w:t>
      </w:r>
      <w:r>
        <w:rPr>
          <w:rFonts w:hint="eastAsia" w:eastAsia="宋体"/>
          <w:color w:val="auto"/>
          <w:sz w:val="24"/>
          <w:highlight w:val="none"/>
        </w:rPr>
        <w:t>）事实依据；</w:t>
      </w:r>
    </w:p>
    <w:p w14:paraId="4D032ABB">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5</w:t>
      </w:r>
      <w:r>
        <w:rPr>
          <w:rFonts w:hint="eastAsia" w:eastAsia="宋体"/>
          <w:color w:val="auto"/>
          <w:sz w:val="24"/>
          <w:highlight w:val="none"/>
        </w:rPr>
        <w:t>）必要的法律依据；</w:t>
      </w:r>
    </w:p>
    <w:p w14:paraId="2E14DE4D">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）提出质疑的日期。</w:t>
      </w:r>
    </w:p>
    <w:p w14:paraId="553B627B">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供应商为自然人的，应当由本人签字；供应商为法人或者其他组织的，应当由法定代表人、主要负责人，或者其授权代表签字或者盖章，并加盖公章。</w:t>
      </w:r>
    </w:p>
    <w:p w14:paraId="5F1352A8">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.5质疑函不符合上述要求的，采购人或代理机构应书面告知具体事项，质疑人应当按要求进行修改或补充，并在质疑有效期限内提交。</w:t>
      </w:r>
    </w:p>
    <w:p w14:paraId="4A4B9243">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hint="eastAsia" w:eastAsia="宋体"/>
          <w:snapToGrid w:val="0"/>
          <w:color w:val="auto"/>
          <w:sz w:val="24"/>
          <w:highlight w:val="none"/>
        </w:rPr>
        <w:t>3</w:t>
      </w:r>
      <w:r>
        <w:rPr>
          <w:rFonts w:hint="eastAsia" w:eastAsia="宋体"/>
          <w:snapToGrid w:val="0"/>
          <w:color w:val="auto"/>
          <w:sz w:val="24"/>
          <w:highlight w:val="none"/>
          <w:lang w:val="en-US" w:eastAsia="zh-CN"/>
        </w:rPr>
        <w:t>5</w:t>
      </w:r>
      <w:r>
        <w:rPr>
          <w:rFonts w:hint="eastAsia" w:eastAsia="宋体"/>
          <w:snapToGrid w:val="0"/>
          <w:color w:val="auto"/>
          <w:sz w:val="24"/>
          <w:highlight w:val="none"/>
        </w:rPr>
        <w:t>.</w:t>
      </w:r>
      <w:r>
        <w:rPr>
          <w:rFonts w:hint="eastAsia" w:eastAsia="宋体"/>
          <w:snapToGrid w:val="0"/>
          <w:color w:val="auto"/>
          <w:sz w:val="24"/>
          <w:highlight w:val="none"/>
          <w:lang w:val="en-US" w:eastAsia="zh-CN"/>
        </w:rPr>
        <w:t>6</w:t>
      </w:r>
      <w:r>
        <w:rPr>
          <w:rFonts w:hint="eastAsia" w:eastAsia="宋体"/>
          <w:snapToGrid w:val="0"/>
          <w:color w:val="auto"/>
          <w:sz w:val="24"/>
          <w:highlight w:val="none"/>
        </w:rPr>
        <w:t>投标人进行虚假和恶意</w:t>
      </w:r>
      <w:r>
        <w:rPr>
          <w:rFonts w:hint="eastAsia" w:eastAsia="宋体"/>
          <w:snapToGrid w:val="0"/>
          <w:color w:val="auto"/>
          <w:sz w:val="24"/>
          <w:highlight w:val="none"/>
          <w:lang w:val="en-US" w:eastAsia="zh-CN"/>
        </w:rPr>
        <w:t>质疑投诉</w:t>
      </w:r>
      <w:r>
        <w:rPr>
          <w:rFonts w:hint="eastAsia" w:eastAsia="宋体"/>
          <w:snapToGrid w:val="0"/>
          <w:color w:val="auto"/>
          <w:sz w:val="24"/>
          <w:highlight w:val="none"/>
        </w:rPr>
        <w:t>的，采购代理机构将提请有关部门将其列入不良记录名单，在一至三年内禁止参加政府采购活动，并将处理决定在相关政府采购媒体上公布。</w:t>
      </w:r>
    </w:p>
    <w:p w14:paraId="3E72DE8B">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35.7</w:t>
      </w:r>
      <w:r>
        <w:rPr>
          <w:rFonts w:hint="eastAsia" w:eastAsia="宋体"/>
          <w:color w:val="auto"/>
          <w:sz w:val="24"/>
          <w:highlight w:val="none"/>
        </w:rPr>
        <w:t>质疑函</w:t>
      </w:r>
      <w:r>
        <w:rPr>
          <w:rFonts w:hint="eastAsia" w:eastAsia="宋体"/>
          <w:color w:val="auto"/>
          <w:sz w:val="24"/>
          <w:highlight w:val="none"/>
          <w:lang w:val="en-US" w:eastAsia="zh-CN"/>
        </w:rPr>
        <w:t>应当使用中文，并采用财政部门制定的范本。</w:t>
      </w:r>
    </w:p>
    <w:p w14:paraId="57BB856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95" w:name="_Toc13773"/>
      <w:bookmarkStart w:id="396" w:name="_Toc21790"/>
      <w:bookmarkStart w:id="397" w:name="_Toc28277"/>
      <w:bookmarkStart w:id="398" w:name="_Toc140132801"/>
      <w:bookmarkStart w:id="399" w:name="_Toc2311"/>
      <w:bookmarkStart w:id="400" w:name="_Toc163492868"/>
      <w:r>
        <w:rPr>
          <w:rFonts w:hint="eastAsia" w:ascii="宋体" w:hAnsi="宋体" w:eastAsia="宋体" w:cs="宋体"/>
          <w:b/>
          <w:bCs/>
          <w:color w:val="auto"/>
          <w:kern w:val="2"/>
          <w:sz w:val="24"/>
          <w:szCs w:val="28"/>
          <w:highlight w:val="none"/>
          <w:lang w:val="en-US" w:eastAsia="zh-CN" w:bidi="ar-SA"/>
        </w:rPr>
        <w:t>36.质疑答复</w:t>
      </w:r>
      <w:bookmarkEnd w:id="395"/>
      <w:bookmarkEnd w:id="396"/>
      <w:bookmarkEnd w:id="397"/>
      <w:bookmarkEnd w:id="398"/>
      <w:bookmarkEnd w:id="399"/>
      <w:bookmarkEnd w:id="400"/>
    </w:p>
    <w:p w14:paraId="43D7F91D">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6</w:t>
      </w:r>
      <w:r>
        <w:rPr>
          <w:rFonts w:hint="eastAsia" w:eastAsia="宋体"/>
          <w:color w:val="auto"/>
          <w:sz w:val="24"/>
          <w:highlight w:val="none"/>
        </w:rPr>
        <w:t>.1采购人、采购代理机构不得拒收质疑供应商在法定质疑期内发出的质疑函，应当在收到质疑函后7个工作日内作出答复，并以书面形式通知质疑供应商和其他有关供应商。</w:t>
      </w:r>
    </w:p>
    <w:p w14:paraId="6776834F">
      <w:pPr>
        <w:pStyle w:val="37"/>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36.2供应商对评审过程、中标结果提出质疑的，采购人、采购代理机构可以组织原评标委员会协助答复质疑。</w:t>
      </w:r>
    </w:p>
    <w:p w14:paraId="14E02AAA">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bookmarkStart w:id="401" w:name="_Toc163492869"/>
      <w:bookmarkStart w:id="402" w:name="_Toc140132802"/>
      <w:r>
        <w:rPr>
          <w:rFonts w:hint="eastAsia" w:eastAsia="宋体"/>
          <w:color w:val="auto"/>
          <w:sz w:val="24"/>
          <w:highlight w:val="none"/>
          <w:lang w:val="zh-CN" w:eastAsia="zh-CN"/>
        </w:rPr>
        <w:t>质疑答复应当包括下列内容：</w:t>
      </w:r>
    </w:p>
    <w:p w14:paraId="457CAA68">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1</w:t>
      </w:r>
      <w:r>
        <w:rPr>
          <w:rFonts w:hint="eastAsia" w:eastAsia="宋体"/>
          <w:color w:val="auto"/>
          <w:sz w:val="24"/>
          <w:highlight w:val="none"/>
          <w:lang w:val="zh-CN" w:eastAsia="zh-CN"/>
        </w:rPr>
        <w:t>）质疑供应商的姓名或者名称；</w:t>
      </w:r>
    </w:p>
    <w:p w14:paraId="462FCFC0">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）收到质疑函的日期、质疑项目名称及</w:t>
      </w:r>
      <w:r>
        <w:rPr>
          <w:rFonts w:hint="eastAsia" w:eastAsia="宋体"/>
          <w:color w:val="auto"/>
          <w:sz w:val="24"/>
          <w:highlight w:val="none"/>
          <w:lang w:val="en-US" w:eastAsia="zh-CN"/>
        </w:rPr>
        <w:t>项目</w:t>
      </w:r>
      <w:r>
        <w:rPr>
          <w:rFonts w:hint="eastAsia" w:eastAsia="宋体"/>
          <w:color w:val="auto"/>
          <w:sz w:val="24"/>
          <w:highlight w:val="none"/>
          <w:lang w:val="zh-CN" w:eastAsia="zh-CN"/>
        </w:rPr>
        <w:t>编号/包号；</w:t>
      </w:r>
    </w:p>
    <w:p w14:paraId="18D72157">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3</w:t>
      </w:r>
      <w:r>
        <w:rPr>
          <w:rFonts w:hint="eastAsia" w:eastAsia="宋体"/>
          <w:color w:val="auto"/>
          <w:sz w:val="24"/>
          <w:highlight w:val="none"/>
          <w:lang w:val="zh-CN" w:eastAsia="zh-CN"/>
        </w:rPr>
        <w:t>）质疑事项、质疑答复的具体内容、事实依据和法律依据；</w:t>
      </w:r>
    </w:p>
    <w:p w14:paraId="416368F5">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4</w:t>
      </w:r>
      <w:r>
        <w:rPr>
          <w:rFonts w:hint="eastAsia" w:eastAsia="宋体"/>
          <w:color w:val="auto"/>
          <w:sz w:val="24"/>
          <w:highlight w:val="none"/>
          <w:lang w:val="zh-CN" w:eastAsia="zh-CN"/>
        </w:rPr>
        <w:t>）告知质疑供应商依法投诉的权利；</w:t>
      </w:r>
    </w:p>
    <w:p w14:paraId="36EE7969">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5</w:t>
      </w:r>
      <w:r>
        <w:rPr>
          <w:rFonts w:hint="eastAsia" w:eastAsia="宋体"/>
          <w:color w:val="auto"/>
          <w:sz w:val="24"/>
          <w:highlight w:val="none"/>
          <w:lang w:val="zh-CN" w:eastAsia="zh-CN"/>
        </w:rPr>
        <w:t>）质疑答复人名称；</w:t>
      </w:r>
    </w:p>
    <w:p w14:paraId="7E632C0C">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6</w:t>
      </w:r>
      <w:r>
        <w:rPr>
          <w:rFonts w:hint="eastAsia" w:eastAsia="宋体"/>
          <w:color w:val="auto"/>
          <w:sz w:val="24"/>
          <w:highlight w:val="none"/>
          <w:lang w:val="zh-CN" w:eastAsia="zh-CN"/>
        </w:rPr>
        <w:t>）答复质疑的日期。</w:t>
      </w:r>
    </w:p>
    <w:p w14:paraId="56A5E1E9">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质疑答复的内容不得涉及商业秘密。</w:t>
      </w:r>
    </w:p>
    <w:p w14:paraId="6D6B407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03" w:name="_Toc32007"/>
      <w:bookmarkStart w:id="404" w:name="_Toc11920"/>
      <w:bookmarkStart w:id="405" w:name="_Toc13357"/>
      <w:bookmarkStart w:id="406" w:name="_Toc32321"/>
      <w:r>
        <w:rPr>
          <w:rFonts w:hint="eastAsia" w:ascii="宋体" w:hAnsi="宋体" w:eastAsia="宋体" w:cs="宋体"/>
          <w:b/>
          <w:bCs/>
          <w:color w:val="auto"/>
          <w:kern w:val="2"/>
          <w:sz w:val="24"/>
          <w:szCs w:val="28"/>
          <w:highlight w:val="none"/>
          <w:lang w:val="en-US" w:eastAsia="zh-CN" w:bidi="ar-SA"/>
        </w:rPr>
        <w:t>37.投诉</w:t>
      </w:r>
      <w:bookmarkEnd w:id="401"/>
      <w:bookmarkEnd w:id="402"/>
      <w:bookmarkEnd w:id="403"/>
      <w:bookmarkEnd w:id="404"/>
      <w:bookmarkEnd w:id="405"/>
      <w:bookmarkEnd w:id="406"/>
    </w:p>
    <w:p w14:paraId="5BD0CD3B">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37.1</w:t>
      </w:r>
      <w:r>
        <w:rPr>
          <w:rFonts w:hint="eastAsia" w:eastAsia="宋体"/>
          <w:color w:val="auto"/>
          <w:sz w:val="24"/>
          <w:highlight w:val="none"/>
        </w:rPr>
        <w:t>质疑供应商对采购人、采购代理机构的答复不满意，或者采购人、采购代理机构未在规定时间内作出答复的，可以在答复期满后15个工作日内向</w:t>
      </w:r>
      <w:r>
        <w:rPr>
          <w:rFonts w:hint="eastAsia" w:eastAsia="宋体"/>
          <w:color w:val="auto"/>
          <w:sz w:val="24"/>
          <w:highlight w:val="none"/>
          <w:lang w:val="en-US" w:eastAsia="zh-CN"/>
        </w:rPr>
        <w:t>同级政府采购监督管理部门</w:t>
      </w:r>
      <w:r>
        <w:rPr>
          <w:rFonts w:hint="eastAsia" w:eastAsia="宋体"/>
          <w:color w:val="auto"/>
          <w:sz w:val="24"/>
          <w:highlight w:val="none"/>
        </w:rPr>
        <w:t>提起投诉。</w:t>
      </w:r>
    </w:p>
    <w:p w14:paraId="348027D2">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37.2</w:t>
      </w:r>
      <w:r>
        <w:rPr>
          <w:rFonts w:hint="eastAsia" w:eastAsia="宋体"/>
          <w:color w:val="auto"/>
          <w:sz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057A5A91">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1</w:t>
      </w:r>
      <w:r>
        <w:rPr>
          <w:rFonts w:hint="eastAsia" w:eastAsia="宋体"/>
          <w:color w:val="auto"/>
          <w:sz w:val="24"/>
          <w:highlight w:val="none"/>
        </w:rPr>
        <w:t>）投诉人和被投诉人的姓名或者名称、通讯地址、邮编、联系人及联系电话；</w:t>
      </w:r>
    </w:p>
    <w:p w14:paraId="4B753851">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）质疑和质疑答复情况说明及相关证明材料；</w:t>
      </w:r>
    </w:p>
    <w:p w14:paraId="086B0607">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）具体、明确的投诉事项和与投诉事项相关的投诉请求；</w:t>
      </w:r>
    </w:p>
    <w:p w14:paraId="78BC80FD">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4</w:t>
      </w:r>
      <w:r>
        <w:rPr>
          <w:rFonts w:hint="eastAsia" w:eastAsia="宋体"/>
          <w:color w:val="auto"/>
          <w:sz w:val="24"/>
          <w:highlight w:val="none"/>
        </w:rPr>
        <w:t>）事实依据；</w:t>
      </w:r>
    </w:p>
    <w:p w14:paraId="2AD666C0">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5</w:t>
      </w:r>
      <w:r>
        <w:rPr>
          <w:rFonts w:hint="eastAsia" w:eastAsia="宋体"/>
          <w:color w:val="auto"/>
          <w:sz w:val="24"/>
          <w:highlight w:val="none"/>
        </w:rPr>
        <w:t>）法律依据；</w:t>
      </w:r>
    </w:p>
    <w:p w14:paraId="28B1919B">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）提起投诉的日期。</w:t>
      </w:r>
    </w:p>
    <w:p w14:paraId="29B1C185">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投诉人为自然人的，应当由本人签字；投诉人为法人或者其他组织的，应当由法定代表人、主要负责人，或者其授权代表签字或者盖章，并加盖公章。</w:t>
      </w:r>
    </w:p>
    <w:p w14:paraId="2A3BCE0B">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37.3</w:t>
      </w:r>
      <w:r>
        <w:rPr>
          <w:rFonts w:hint="eastAsia" w:eastAsia="宋体"/>
          <w:color w:val="auto"/>
          <w:sz w:val="24"/>
          <w:highlight w:val="none"/>
        </w:rPr>
        <w:t>供应商</w:t>
      </w:r>
      <w:r>
        <w:rPr>
          <w:rFonts w:hint="eastAsia" w:eastAsia="宋体"/>
          <w:color w:val="auto"/>
          <w:sz w:val="24"/>
          <w:highlight w:val="none"/>
          <w:lang w:val="en-US" w:eastAsia="zh-CN"/>
        </w:rPr>
        <w:t>质疑、</w:t>
      </w:r>
      <w:r>
        <w:rPr>
          <w:rFonts w:hint="eastAsia" w:eastAsia="宋体"/>
          <w:color w:val="auto"/>
          <w:sz w:val="24"/>
          <w:highlight w:val="none"/>
        </w:rPr>
        <w:t>投诉</w:t>
      </w:r>
      <w:r>
        <w:rPr>
          <w:rFonts w:hint="eastAsia" w:eastAsia="宋体"/>
          <w:color w:val="auto"/>
          <w:sz w:val="24"/>
          <w:highlight w:val="none"/>
          <w:lang w:val="en-US" w:eastAsia="zh-CN"/>
        </w:rPr>
        <w:t>应当有明确的请求和必要的证明材料</w:t>
      </w:r>
      <w:r>
        <w:rPr>
          <w:rFonts w:hint="eastAsia" w:eastAsia="宋体"/>
          <w:color w:val="auto"/>
          <w:sz w:val="24"/>
          <w:highlight w:val="none"/>
          <w:lang w:eastAsia="zh-CN"/>
        </w:rPr>
        <w:t>。</w:t>
      </w:r>
      <w:r>
        <w:rPr>
          <w:rFonts w:hint="eastAsia" w:eastAsia="宋体"/>
          <w:color w:val="auto"/>
          <w:sz w:val="24"/>
          <w:highlight w:val="none"/>
        </w:rPr>
        <w:t>供应商投诉的事项不得超出</w:t>
      </w:r>
      <w:r>
        <w:rPr>
          <w:rFonts w:hint="eastAsia" w:eastAsia="宋体"/>
          <w:color w:val="auto"/>
          <w:sz w:val="24"/>
          <w:highlight w:val="none"/>
          <w:lang w:val="en-US" w:eastAsia="zh-CN"/>
        </w:rPr>
        <w:t>已</w:t>
      </w:r>
      <w:r>
        <w:rPr>
          <w:rFonts w:hint="eastAsia" w:eastAsia="宋体"/>
          <w:color w:val="auto"/>
          <w:sz w:val="24"/>
          <w:highlight w:val="none"/>
        </w:rPr>
        <w:t>质疑事项的范围，但基于质疑答复内容提出的投诉事项除外。</w:t>
      </w:r>
    </w:p>
    <w:p w14:paraId="4A2CC2E9">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snapToGrid w:val="0"/>
          <w:color w:val="auto"/>
          <w:sz w:val="24"/>
          <w:highlight w:val="none"/>
          <w:lang w:val="en-US" w:eastAsia="zh-CN"/>
        </w:rPr>
        <w:t>37.4</w:t>
      </w:r>
      <w:r>
        <w:rPr>
          <w:rFonts w:hint="eastAsia" w:eastAsia="宋体"/>
          <w:color w:val="auto"/>
          <w:sz w:val="24"/>
          <w:highlight w:val="none"/>
          <w:lang w:val="en-US" w:eastAsia="zh-CN"/>
        </w:rPr>
        <w:t>投诉书应当使用中文，并采用财政部门制定的范本。</w:t>
      </w:r>
    </w:p>
    <w:p w14:paraId="076E00EB">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07" w:name="_Toc3580"/>
      <w:bookmarkStart w:id="408" w:name="_Toc30549"/>
      <w:bookmarkStart w:id="409" w:name="_Toc155185882"/>
      <w:bookmarkStart w:id="410" w:name="_Toc18525"/>
      <w:bookmarkStart w:id="411" w:name="_Toc140132803"/>
      <w:bookmarkStart w:id="412" w:name="_Toc13943"/>
      <w:bookmarkStart w:id="413" w:name="_Toc163492870"/>
      <w:r>
        <w:rPr>
          <w:rFonts w:hint="eastAsia" w:ascii="宋体" w:hAnsi="宋体" w:eastAsia="宋体" w:cstheme="minorBidi"/>
          <w:b/>
          <w:bCs/>
          <w:color w:val="auto"/>
          <w:kern w:val="2"/>
          <w:sz w:val="24"/>
          <w:szCs w:val="32"/>
          <w:highlight w:val="none"/>
          <w:lang w:val="en-US" w:eastAsia="zh-CN" w:bidi="ar-SA"/>
        </w:rPr>
        <w:t>（十一）采购代理服务费</w:t>
      </w:r>
      <w:bookmarkEnd w:id="407"/>
      <w:bookmarkEnd w:id="408"/>
      <w:bookmarkEnd w:id="409"/>
      <w:bookmarkEnd w:id="410"/>
      <w:bookmarkEnd w:id="411"/>
      <w:bookmarkEnd w:id="412"/>
      <w:bookmarkEnd w:id="413"/>
    </w:p>
    <w:p w14:paraId="3EF5B76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14" w:name="_Toc6328"/>
      <w:bookmarkStart w:id="415" w:name="_Toc163492871"/>
      <w:bookmarkStart w:id="416" w:name="_Toc30395"/>
      <w:bookmarkStart w:id="417" w:name="_Toc13299"/>
      <w:bookmarkStart w:id="418" w:name="_Toc17649"/>
      <w:bookmarkStart w:id="419" w:name="_Toc140132804"/>
      <w:r>
        <w:rPr>
          <w:rFonts w:hint="eastAsia" w:ascii="宋体" w:hAnsi="宋体" w:eastAsia="宋体" w:cs="宋体"/>
          <w:b/>
          <w:bCs/>
          <w:color w:val="auto"/>
          <w:kern w:val="2"/>
          <w:sz w:val="24"/>
          <w:szCs w:val="28"/>
          <w:highlight w:val="none"/>
          <w:lang w:val="en-US" w:eastAsia="zh-CN" w:bidi="ar-SA"/>
        </w:rPr>
        <w:t>38.收取方式和标准</w:t>
      </w:r>
      <w:bookmarkEnd w:id="414"/>
      <w:bookmarkEnd w:id="415"/>
      <w:bookmarkEnd w:id="416"/>
      <w:bookmarkEnd w:id="417"/>
      <w:bookmarkEnd w:id="418"/>
      <w:bookmarkEnd w:id="419"/>
    </w:p>
    <w:p w14:paraId="0FDD9E25">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8</w:t>
      </w:r>
      <w:r>
        <w:rPr>
          <w:rFonts w:hint="eastAsia" w:eastAsia="宋体"/>
          <w:color w:val="auto"/>
          <w:sz w:val="24"/>
          <w:highlight w:val="none"/>
        </w:rPr>
        <w:t>.1采购代理机构按“投标人须知前附表”规定的方式和标准收取采购代理服务费。</w:t>
      </w:r>
    </w:p>
    <w:p w14:paraId="3ED844E1">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20" w:name="_Toc8195"/>
      <w:bookmarkStart w:id="421" w:name="_Toc4233"/>
      <w:bookmarkStart w:id="422" w:name="_Toc155185883"/>
      <w:bookmarkStart w:id="423" w:name="_Toc12331"/>
      <w:bookmarkStart w:id="424" w:name="_Toc140132805"/>
      <w:bookmarkStart w:id="425" w:name="_Toc163492872"/>
      <w:bookmarkStart w:id="426" w:name="_Toc21208"/>
      <w:r>
        <w:rPr>
          <w:rFonts w:hint="eastAsia" w:ascii="宋体" w:hAnsi="宋体" w:eastAsia="宋体" w:cstheme="minorBidi"/>
          <w:b/>
          <w:bCs/>
          <w:color w:val="auto"/>
          <w:kern w:val="2"/>
          <w:sz w:val="24"/>
          <w:szCs w:val="32"/>
          <w:highlight w:val="none"/>
          <w:lang w:val="en-US" w:eastAsia="zh-CN" w:bidi="ar-SA"/>
        </w:rPr>
        <w:t>（十二）无效投标和废标</w:t>
      </w:r>
      <w:bookmarkEnd w:id="420"/>
      <w:bookmarkEnd w:id="421"/>
      <w:bookmarkEnd w:id="422"/>
      <w:bookmarkEnd w:id="423"/>
      <w:bookmarkEnd w:id="424"/>
      <w:bookmarkEnd w:id="425"/>
      <w:bookmarkEnd w:id="426"/>
    </w:p>
    <w:p w14:paraId="2586923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27" w:name="_Toc6212"/>
      <w:bookmarkStart w:id="428" w:name="_Toc8456"/>
      <w:bookmarkStart w:id="429" w:name="_Toc140132806"/>
      <w:bookmarkStart w:id="430" w:name="_Toc27690"/>
      <w:bookmarkStart w:id="431" w:name="_Toc163492873"/>
      <w:bookmarkStart w:id="432" w:name="_Toc4746"/>
      <w:r>
        <w:rPr>
          <w:rFonts w:hint="eastAsia" w:ascii="宋体" w:hAnsi="宋体" w:eastAsia="宋体" w:cs="宋体"/>
          <w:b/>
          <w:bCs/>
          <w:color w:val="auto"/>
          <w:kern w:val="2"/>
          <w:sz w:val="24"/>
          <w:szCs w:val="28"/>
          <w:highlight w:val="none"/>
          <w:lang w:val="en-US" w:eastAsia="zh-CN" w:bidi="ar-SA"/>
        </w:rPr>
        <w:t>39.无效投标</w:t>
      </w:r>
      <w:bookmarkEnd w:id="427"/>
      <w:bookmarkEnd w:id="428"/>
      <w:bookmarkEnd w:id="429"/>
      <w:bookmarkEnd w:id="430"/>
      <w:bookmarkEnd w:id="431"/>
      <w:bookmarkEnd w:id="432"/>
    </w:p>
    <w:p w14:paraId="0EBD1306">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lang w:val="en-US" w:eastAsia="zh-CN"/>
        </w:rPr>
        <w:t>39</w:t>
      </w:r>
      <w:r>
        <w:rPr>
          <w:rFonts w:hint="eastAsia" w:eastAsia="宋体"/>
          <w:color w:val="auto"/>
          <w:sz w:val="24"/>
          <w:highlight w:val="none"/>
        </w:rPr>
        <w:t>.1投标文件存在“第四章</w:t>
      </w:r>
      <w:r>
        <w:rPr>
          <w:rFonts w:hint="eastAsia" w:eastAsia="宋体"/>
          <w:color w:val="auto"/>
          <w:sz w:val="24"/>
          <w:highlight w:val="none"/>
          <w:lang w:val="en-US" w:eastAsia="zh-CN"/>
        </w:rPr>
        <w:t xml:space="preserve"> </w:t>
      </w:r>
      <w:r>
        <w:rPr>
          <w:rFonts w:hint="eastAsia" w:eastAsia="宋体"/>
          <w:color w:val="auto"/>
          <w:sz w:val="24"/>
          <w:highlight w:val="none"/>
        </w:rPr>
        <w:t>资格审查”、“第五章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及本招标文件</w:t>
      </w:r>
      <w:r>
        <w:rPr>
          <w:rFonts w:hint="eastAsia" w:eastAsia="宋体"/>
          <w:color w:val="auto"/>
          <w:sz w:val="24"/>
          <w:highlight w:val="none"/>
        </w:rPr>
        <w:t>规定的投标无效情形的，其</w:t>
      </w:r>
      <w:r>
        <w:rPr>
          <w:rFonts w:hint="eastAsia" w:eastAsia="宋体"/>
          <w:b/>
          <w:bCs/>
          <w:color w:val="auto"/>
          <w:sz w:val="24"/>
          <w:highlight w:val="none"/>
        </w:rPr>
        <w:t>投标无效</w:t>
      </w:r>
      <w:r>
        <w:rPr>
          <w:rFonts w:hint="eastAsia" w:eastAsia="宋体"/>
          <w:color w:val="auto"/>
          <w:sz w:val="24"/>
          <w:highlight w:val="none"/>
        </w:rPr>
        <w:t>。</w:t>
      </w:r>
    </w:p>
    <w:p w14:paraId="7306E47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33" w:name="_Toc22537"/>
      <w:bookmarkStart w:id="434" w:name="_Toc15530"/>
      <w:bookmarkStart w:id="435" w:name="_Toc31376"/>
      <w:bookmarkStart w:id="436" w:name="_Toc31646"/>
      <w:bookmarkStart w:id="437" w:name="_Toc140132807"/>
      <w:bookmarkStart w:id="438" w:name="_Toc163492874"/>
      <w:r>
        <w:rPr>
          <w:rFonts w:hint="eastAsia" w:ascii="宋体" w:hAnsi="宋体" w:eastAsia="宋体" w:cs="宋体"/>
          <w:b/>
          <w:bCs/>
          <w:color w:val="auto"/>
          <w:kern w:val="2"/>
          <w:sz w:val="24"/>
          <w:szCs w:val="28"/>
          <w:highlight w:val="none"/>
          <w:lang w:val="en-US" w:eastAsia="zh-CN" w:bidi="ar-SA"/>
        </w:rPr>
        <w:t>40.废标</w:t>
      </w:r>
      <w:bookmarkEnd w:id="433"/>
      <w:bookmarkEnd w:id="434"/>
      <w:bookmarkEnd w:id="435"/>
      <w:bookmarkEnd w:id="436"/>
      <w:bookmarkEnd w:id="437"/>
      <w:bookmarkEnd w:id="438"/>
    </w:p>
    <w:p w14:paraId="5BFCDD79">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eastAsia="zh-CN"/>
        </w:rPr>
      </w:pPr>
      <w:r>
        <w:rPr>
          <w:rFonts w:eastAsia="宋体"/>
          <w:color w:val="auto"/>
          <w:sz w:val="24"/>
          <w:highlight w:val="none"/>
        </w:rPr>
        <w:t>4</w:t>
      </w:r>
      <w:r>
        <w:rPr>
          <w:rFonts w:hint="eastAsia" w:eastAsia="宋体"/>
          <w:color w:val="auto"/>
          <w:sz w:val="24"/>
          <w:highlight w:val="none"/>
          <w:lang w:val="en-US" w:eastAsia="zh-CN"/>
        </w:rPr>
        <w:t>0</w:t>
      </w:r>
      <w:r>
        <w:rPr>
          <w:rFonts w:hint="eastAsia" w:eastAsia="宋体"/>
          <w:color w:val="auto"/>
          <w:sz w:val="24"/>
          <w:highlight w:val="none"/>
        </w:rPr>
        <w:t>.1在招标采购中出现有“第五章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及本招标文件</w:t>
      </w:r>
      <w:r>
        <w:rPr>
          <w:rFonts w:hint="eastAsia" w:eastAsia="宋体"/>
          <w:color w:val="auto"/>
          <w:sz w:val="24"/>
          <w:highlight w:val="none"/>
        </w:rPr>
        <w:t>规定的废标情形的，应予以</w:t>
      </w:r>
      <w:r>
        <w:rPr>
          <w:rFonts w:hint="eastAsia" w:eastAsia="宋体"/>
          <w:b/>
          <w:bCs/>
          <w:color w:val="auto"/>
          <w:sz w:val="24"/>
          <w:highlight w:val="none"/>
        </w:rPr>
        <w:t>废标</w:t>
      </w:r>
      <w:r>
        <w:rPr>
          <w:rFonts w:hint="eastAsia" w:eastAsia="宋体"/>
          <w:color w:val="auto"/>
          <w:sz w:val="24"/>
          <w:highlight w:val="none"/>
          <w:lang w:eastAsia="zh-CN"/>
        </w:rPr>
        <w:t>。</w:t>
      </w:r>
    </w:p>
    <w:p w14:paraId="0C4DEC92">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39" w:name="_Toc140132766"/>
      <w:bookmarkStart w:id="440" w:name="_Toc163492875"/>
      <w:bookmarkStart w:id="441" w:name="_Toc23246"/>
      <w:bookmarkStart w:id="442" w:name="_Toc21776"/>
      <w:bookmarkStart w:id="443" w:name="_Toc8342"/>
      <w:bookmarkStart w:id="444" w:name="_Toc7834"/>
      <w:bookmarkStart w:id="445" w:name="_Toc140132808"/>
      <w:bookmarkStart w:id="446" w:name="_Toc155185884"/>
      <w:r>
        <w:rPr>
          <w:rFonts w:hint="eastAsia" w:ascii="宋体" w:hAnsi="宋体" w:eastAsia="宋体" w:cstheme="minorBidi"/>
          <w:b/>
          <w:bCs/>
          <w:color w:val="auto"/>
          <w:kern w:val="2"/>
          <w:sz w:val="24"/>
          <w:szCs w:val="32"/>
          <w:highlight w:val="none"/>
          <w:lang w:val="en-US" w:eastAsia="zh-CN" w:bidi="ar-SA"/>
        </w:rPr>
        <w:t>（十三）落实政府采购政策</w:t>
      </w:r>
      <w:bookmarkEnd w:id="439"/>
      <w:bookmarkEnd w:id="440"/>
      <w:r>
        <w:rPr>
          <w:rFonts w:hint="eastAsia" w:ascii="宋体" w:hAnsi="宋体" w:eastAsia="宋体" w:cstheme="minorBidi"/>
          <w:b/>
          <w:bCs/>
          <w:color w:val="auto"/>
          <w:kern w:val="2"/>
          <w:sz w:val="24"/>
          <w:szCs w:val="32"/>
          <w:highlight w:val="none"/>
          <w:lang w:val="en-US" w:eastAsia="zh-CN" w:bidi="ar-SA"/>
        </w:rPr>
        <w:t>（包括但不限于下列具体政策要求）</w:t>
      </w:r>
      <w:bookmarkEnd w:id="441"/>
      <w:bookmarkEnd w:id="442"/>
      <w:bookmarkEnd w:id="443"/>
      <w:bookmarkEnd w:id="444"/>
    </w:p>
    <w:p w14:paraId="5800BCE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47" w:name="_Toc27084"/>
      <w:bookmarkStart w:id="448" w:name="_Toc163492876"/>
      <w:bookmarkStart w:id="449" w:name="_Toc20299"/>
      <w:bookmarkStart w:id="450" w:name="_Toc30437"/>
      <w:bookmarkStart w:id="451" w:name="_Toc3043"/>
      <w:r>
        <w:rPr>
          <w:rFonts w:hint="eastAsia" w:ascii="宋体" w:hAnsi="宋体" w:eastAsia="宋体" w:cs="宋体"/>
          <w:b/>
          <w:bCs/>
          <w:color w:val="auto"/>
          <w:kern w:val="2"/>
          <w:sz w:val="24"/>
          <w:szCs w:val="28"/>
          <w:highlight w:val="none"/>
          <w:lang w:val="en-US" w:eastAsia="zh-CN" w:bidi="ar-SA"/>
        </w:rPr>
        <w:t>41.支持国产和进口产品审批</w:t>
      </w:r>
      <w:bookmarkEnd w:id="447"/>
      <w:bookmarkEnd w:id="448"/>
      <w:bookmarkEnd w:id="449"/>
      <w:bookmarkEnd w:id="450"/>
      <w:bookmarkEnd w:id="451"/>
    </w:p>
    <w:p w14:paraId="26D924DD">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eastAsia="宋体"/>
          <w:snapToGrid w:val="0"/>
          <w:color w:val="auto"/>
          <w:sz w:val="24"/>
          <w:highlight w:val="none"/>
        </w:rPr>
        <w:t>4</w:t>
      </w:r>
      <w:r>
        <w:rPr>
          <w:rFonts w:hint="eastAsia" w:eastAsia="宋体"/>
          <w:snapToGrid w:val="0"/>
          <w:color w:val="auto"/>
          <w:sz w:val="24"/>
          <w:highlight w:val="none"/>
          <w:lang w:val="en-US" w:eastAsia="zh-CN"/>
        </w:rPr>
        <w:t>1</w:t>
      </w:r>
      <w:r>
        <w:rPr>
          <w:rFonts w:hint="eastAsia" w:eastAsia="宋体"/>
          <w:snapToGrid w:val="0"/>
          <w:color w:val="auto"/>
          <w:sz w:val="24"/>
          <w:highlight w:val="none"/>
        </w:rPr>
        <w:t>.1除“投标人须知前附表”另有规定外，政府采购应当采购本国</w:t>
      </w:r>
      <w:r>
        <w:rPr>
          <w:rFonts w:hint="eastAsia" w:eastAsia="宋体"/>
          <w:snapToGrid w:val="0"/>
          <w:color w:val="auto"/>
          <w:sz w:val="24"/>
          <w:highlight w:val="none"/>
          <w:lang w:val="en-US" w:eastAsia="zh-CN"/>
        </w:rPr>
        <w:t>货物、工程和服务</w:t>
      </w:r>
      <w:r>
        <w:rPr>
          <w:rFonts w:hint="eastAsia" w:eastAsia="宋体"/>
          <w:snapToGrid w:val="0"/>
          <w:color w:val="auto"/>
          <w:sz w:val="24"/>
          <w:highlight w:val="none"/>
        </w:rPr>
        <w:t>，确需采购进口产品的，采购人应当按照</w:t>
      </w:r>
      <w:r>
        <w:rPr>
          <w:rFonts w:hint="eastAsia" w:eastAsia="宋体"/>
          <w:snapToGrid w:val="0"/>
          <w:color w:val="auto"/>
          <w:sz w:val="24"/>
          <w:highlight w:val="none"/>
          <w:lang w:val="en-US" w:eastAsia="zh-CN"/>
        </w:rPr>
        <w:t>《政府采购进口产品管理办法》（财库〔2007〕119 号文）、</w:t>
      </w:r>
      <w:r>
        <w:rPr>
          <w:rFonts w:hint="eastAsia" w:eastAsia="宋体"/>
          <w:snapToGrid w:val="0"/>
          <w:color w:val="auto"/>
          <w:sz w:val="24"/>
          <w:highlight w:val="none"/>
        </w:rPr>
        <w:t>《关于政府采购进口产品管理有关问题的通知》（财办库〔</w:t>
      </w:r>
      <w:r>
        <w:rPr>
          <w:rFonts w:eastAsia="宋体"/>
          <w:snapToGrid w:val="0"/>
          <w:color w:val="auto"/>
          <w:sz w:val="24"/>
          <w:highlight w:val="none"/>
        </w:rPr>
        <w:t>2008〕248号）规定执行（进口产品审批制，科研院所监管部门另有规定的从其规定）。</w:t>
      </w:r>
      <w:r>
        <w:rPr>
          <w:rFonts w:hint="eastAsia" w:eastAsia="宋体"/>
          <w:snapToGrid w:val="0"/>
          <w:color w:val="auto"/>
          <w:sz w:val="24"/>
          <w:highlight w:val="none"/>
        </w:rPr>
        <w:t>项目若涉及采购进口产品的，具体要求详见“第三章</w:t>
      </w:r>
      <w:r>
        <w:rPr>
          <w:rFonts w:eastAsia="宋体"/>
          <w:snapToGrid w:val="0"/>
          <w:color w:val="auto"/>
          <w:sz w:val="24"/>
          <w:highlight w:val="none"/>
        </w:rPr>
        <w:t xml:space="preserve"> 采购需求”</w:t>
      </w:r>
      <w:r>
        <w:rPr>
          <w:rFonts w:hint="eastAsia" w:eastAsia="宋体"/>
          <w:snapToGrid w:val="0"/>
          <w:color w:val="auto"/>
          <w:sz w:val="24"/>
          <w:highlight w:val="none"/>
        </w:rPr>
        <w:t>。</w:t>
      </w:r>
    </w:p>
    <w:p w14:paraId="201F13F9">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41.2进口产品指通过中国海关报关验放进入中国境内且产自关境外的产品，包括已经进入中国境内的进口产品。 </w:t>
      </w:r>
    </w:p>
    <w:p w14:paraId="0C404CE2">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41.3若采购需求中写明允许采购进口产品，投标人应保证所投产品可履行合法报通关手续进入中国关境内。</w:t>
      </w:r>
    </w:p>
    <w:p w14:paraId="50A8DE9A">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41.4若采购需求中未写明允许采购进口产品，如投标人所投产品为进口产品，其投标将被认定为</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w:t>
      </w:r>
    </w:p>
    <w:p w14:paraId="6764F88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52" w:name="_Toc6934"/>
      <w:bookmarkStart w:id="453" w:name="_Toc9595"/>
      <w:bookmarkStart w:id="454" w:name="_Toc18106"/>
      <w:bookmarkStart w:id="455" w:name="_Toc6874"/>
      <w:bookmarkStart w:id="456" w:name="_Toc163492877"/>
      <w:r>
        <w:rPr>
          <w:rFonts w:hint="eastAsia" w:ascii="宋体" w:hAnsi="宋体" w:eastAsia="宋体" w:cs="宋体"/>
          <w:b/>
          <w:bCs/>
          <w:color w:val="auto"/>
          <w:kern w:val="2"/>
          <w:sz w:val="24"/>
          <w:szCs w:val="28"/>
          <w:highlight w:val="none"/>
          <w:lang w:val="en-US" w:eastAsia="zh-CN" w:bidi="ar-SA"/>
        </w:rPr>
        <w:t>42.中小企业、监狱企业及残疾人福利性单位</w:t>
      </w:r>
      <w:bookmarkEnd w:id="452"/>
      <w:bookmarkEnd w:id="453"/>
      <w:bookmarkEnd w:id="454"/>
      <w:bookmarkEnd w:id="455"/>
      <w:bookmarkEnd w:id="456"/>
    </w:p>
    <w:p w14:paraId="6CF3C244">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eastAsia" w:eastAsia="宋体"/>
          <w:snapToGrid w:val="0"/>
          <w:color w:val="auto"/>
          <w:sz w:val="24"/>
          <w:highlight w:val="none"/>
        </w:rPr>
        <w:t>.</w:t>
      </w:r>
      <w:r>
        <w:rPr>
          <w:rFonts w:hint="eastAsia" w:eastAsia="宋体"/>
          <w:snapToGrid w:val="0"/>
          <w:color w:val="auto"/>
          <w:sz w:val="24"/>
          <w:highlight w:val="none"/>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default" w:eastAsia="宋体"/>
          <w:snapToGrid w:val="0"/>
          <w:color w:val="auto"/>
          <w:sz w:val="24"/>
          <w:highlight w:val="none"/>
          <w:lang w:val="en-US" w:eastAsia="zh-CN"/>
        </w:rPr>
        <w:t>2022</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19 </w:t>
      </w:r>
      <w:r>
        <w:rPr>
          <w:rFonts w:hint="eastAsia" w:eastAsia="宋体"/>
          <w:snapToGrid w:val="0"/>
          <w:color w:val="auto"/>
          <w:sz w:val="24"/>
          <w:highlight w:val="none"/>
          <w:lang w:val="en-US" w:eastAsia="zh-CN"/>
        </w:rPr>
        <w:t>号）、《政府采购促进中小企业发展管理办法》（财库〔</w:t>
      </w:r>
      <w:r>
        <w:rPr>
          <w:rFonts w:hint="default" w:eastAsia="宋体"/>
          <w:snapToGrid w:val="0"/>
          <w:color w:val="auto"/>
          <w:sz w:val="24"/>
          <w:highlight w:val="none"/>
          <w:lang w:val="en-US" w:eastAsia="zh-CN"/>
        </w:rPr>
        <w:t>2020</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46 </w:t>
      </w:r>
      <w:r>
        <w:rPr>
          <w:rFonts w:hint="eastAsia" w:eastAsia="宋体"/>
          <w:snapToGrid w:val="0"/>
          <w:color w:val="auto"/>
          <w:sz w:val="24"/>
          <w:highlight w:val="none"/>
          <w:lang w:val="en-US" w:eastAsia="zh-CN"/>
        </w:rPr>
        <w:t>号）、《关于印发中小企业划型标准规定的通知》（工信部联企业〔</w:t>
      </w:r>
      <w:r>
        <w:rPr>
          <w:rFonts w:hint="default" w:eastAsia="宋体"/>
          <w:snapToGrid w:val="0"/>
          <w:color w:val="auto"/>
          <w:sz w:val="24"/>
          <w:highlight w:val="none"/>
          <w:lang w:val="en-US" w:eastAsia="zh-CN"/>
        </w:rPr>
        <w:t>2011</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300 </w:t>
      </w:r>
      <w:r>
        <w:rPr>
          <w:rFonts w:hint="eastAsia" w:eastAsia="宋体"/>
          <w:snapToGrid w:val="0"/>
          <w:color w:val="auto"/>
          <w:sz w:val="24"/>
          <w:highlight w:val="none"/>
          <w:lang w:val="en-US" w:eastAsia="zh-CN"/>
        </w:rPr>
        <w:t xml:space="preserve">号）、《金融业企业划型标准规定》（〔2015〕309 号）等国务院批准的中小企业划分标准执行。 </w:t>
      </w:r>
    </w:p>
    <w:p w14:paraId="775C3158">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eastAsia" w:eastAsia="宋体"/>
          <w:snapToGrid w:val="0"/>
          <w:color w:val="auto"/>
          <w:sz w:val="24"/>
          <w:highlight w:val="none"/>
        </w:rPr>
        <w:t>.</w:t>
      </w:r>
      <w:r>
        <w:rPr>
          <w:rFonts w:hint="eastAsia" w:eastAsia="宋体"/>
          <w:snapToGrid w:val="0"/>
          <w:color w:val="auto"/>
          <w:sz w:val="24"/>
          <w:highlight w:val="none"/>
          <w:lang w:val="en-US" w:eastAsia="zh-CN"/>
        </w:rPr>
        <w:t>2</w:t>
      </w:r>
      <w:r>
        <w:rPr>
          <w:rFonts w:hint="eastAsia" w:eastAsia="宋体"/>
          <w:snapToGrid w:val="0"/>
          <w:color w:val="auto"/>
          <w:sz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eastAsia="宋体"/>
          <w:snapToGrid w:val="0"/>
          <w:color w:val="auto"/>
          <w:sz w:val="24"/>
          <w:highlight w:val="none"/>
          <w:lang w:eastAsia="zh-CN"/>
        </w:rPr>
        <w:t>需享受中小企业相关政策的，且</w:t>
      </w:r>
      <w:r>
        <w:rPr>
          <w:rFonts w:hint="eastAsia" w:eastAsia="宋体"/>
          <w:snapToGrid w:val="0"/>
          <w:color w:val="auto"/>
          <w:sz w:val="24"/>
          <w:highlight w:val="none"/>
        </w:rPr>
        <w:t>符合上述文件规定的，</w:t>
      </w:r>
      <w:r>
        <w:rPr>
          <w:rFonts w:hint="eastAsia" w:eastAsia="宋体"/>
          <w:snapToGrid w:val="0"/>
          <w:color w:val="auto"/>
          <w:sz w:val="24"/>
          <w:highlight w:val="none"/>
          <w:lang w:eastAsia="zh-CN"/>
        </w:rPr>
        <w:t>应按本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文件规定格式</w:t>
      </w:r>
      <w:r>
        <w:rPr>
          <w:rFonts w:hint="eastAsia" w:eastAsia="宋体"/>
          <w:snapToGrid w:val="0"/>
          <w:color w:val="auto"/>
          <w:sz w:val="24"/>
          <w:highlight w:val="none"/>
        </w:rPr>
        <w:t>提供</w:t>
      </w:r>
      <w:r>
        <w:rPr>
          <w:rFonts w:hint="eastAsia" w:eastAsia="宋体"/>
          <w:snapToGrid w:val="0"/>
          <w:color w:val="auto"/>
          <w:sz w:val="24"/>
          <w:highlight w:val="none"/>
          <w:lang w:eastAsia="zh-CN"/>
        </w:rPr>
        <w:t>“</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rPr>
        <w:t>监狱企业证明文件</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lang w:eastAsia="zh-CN"/>
        </w:rPr>
        <w:t>“</w:t>
      </w:r>
      <w:r>
        <w:rPr>
          <w:rFonts w:hint="eastAsia" w:eastAsia="宋体"/>
          <w:snapToGrid w:val="0"/>
          <w:color w:val="auto"/>
          <w:sz w:val="24"/>
          <w:highlight w:val="none"/>
        </w:rPr>
        <w:t>残疾人福利性单位声明函</w:t>
      </w:r>
      <w:r>
        <w:rPr>
          <w:rFonts w:hint="eastAsia" w:eastAsia="宋体"/>
          <w:snapToGrid w:val="0"/>
          <w:color w:val="auto"/>
          <w:sz w:val="24"/>
          <w:highlight w:val="none"/>
          <w:lang w:eastAsia="zh-CN"/>
        </w:rPr>
        <w:t>”</w:t>
      </w:r>
      <w:r>
        <w:rPr>
          <w:rFonts w:hint="eastAsia" w:eastAsia="宋体"/>
          <w:snapToGrid w:val="0"/>
          <w:color w:val="auto"/>
          <w:sz w:val="24"/>
          <w:highlight w:val="none"/>
        </w:rPr>
        <w:t>，评审时，</w:t>
      </w:r>
      <w:r>
        <w:rPr>
          <w:rFonts w:hint="eastAsia" w:eastAsia="宋体"/>
          <w:snapToGrid w:val="0"/>
          <w:color w:val="auto"/>
          <w:sz w:val="24"/>
          <w:highlight w:val="none"/>
          <w:lang w:val="en-US" w:eastAsia="zh-CN"/>
        </w:rPr>
        <w:t>评标委员会</w:t>
      </w:r>
      <w:r>
        <w:rPr>
          <w:rFonts w:hint="eastAsia" w:eastAsia="宋体"/>
          <w:snapToGrid w:val="0"/>
          <w:color w:val="auto"/>
          <w:sz w:val="24"/>
          <w:highlight w:val="none"/>
        </w:rPr>
        <w:t>将依据</w:t>
      </w:r>
      <w:r>
        <w:rPr>
          <w:rFonts w:hint="eastAsia" w:eastAsia="宋体"/>
          <w:snapToGrid w:val="0"/>
          <w:color w:val="auto"/>
          <w:sz w:val="24"/>
          <w:highlight w:val="none"/>
          <w:lang w:eastAsia="zh-CN"/>
        </w:rPr>
        <w:t>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w:t>
      </w:r>
      <w:r>
        <w:rPr>
          <w:rFonts w:hint="eastAsia" w:eastAsia="宋体"/>
          <w:snapToGrid w:val="0"/>
          <w:color w:val="auto"/>
          <w:sz w:val="24"/>
          <w:highlight w:val="none"/>
        </w:rPr>
        <w:t>“</w:t>
      </w:r>
      <w:r>
        <w:rPr>
          <w:rFonts w:hint="eastAsia" w:eastAsia="宋体"/>
          <w:snapToGrid w:val="0"/>
          <w:color w:val="auto"/>
          <w:sz w:val="24"/>
          <w:highlight w:val="none"/>
          <w:lang w:val="en-US" w:eastAsia="zh-CN"/>
        </w:rPr>
        <w:t>投标人</w:t>
      </w:r>
      <w:r>
        <w:rPr>
          <w:rFonts w:hint="eastAsia" w:eastAsia="宋体"/>
          <w:snapToGrid w:val="0"/>
          <w:color w:val="auto"/>
          <w:sz w:val="24"/>
          <w:highlight w:val="none"/>
        </w:rPr>
        <w:t>须知前附表”规定的报价扣除比例，对供应商报价进行价格扣除，用扣除后的价格参与评审</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公告中明确项目专门面向中小企业采购的，“</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”为资格要求文件，</w:t>
      </w:r>
      <w:r>
        <w:rPr>
          <w:rFonts w:hint="eastAsia" w:eastAsia="宋体"/>
          <w:snapToGrid w:val="0"/>
          <w:color w:val="auto"/>
          <w:sz w:val="24"/>
          <w:highlight w:val="none"/>
        </w:rPr>
        <w:t>供应商</w:t>
      </w:r>
      <w:r>
        <w:rPr>
          <w:rFonts w:hint="eastAsia" w:eastAsia="宋体"/>
          <w:snapToGrid w:val="0"/>
          <w:color w:val="auto"/>
          <w:sz w:val="24"/>
          <w:highlight w:val="none"/>
          <w:lang w:eastAsia="zh-CN"/>
        </w:rPr>
        <w:t>参与</w:t>
      </w:r>
      <w:r>
        <w:rPr>
          <w:rFonts w:hint="eastAsia" w:eastAsia="宋体"/>
          <w:snapToGrid w:val="0"/>
          <w:color w:val="auto"/>
          <w:sz w:val="24"/>
          <w:highlight w:val="none"/>
          <w:lang w:val="en-US" w:eastAsia="zh-CN"/>
        </w:rPr>
        <w:t>投标</w:t>
      </w:r>
      <w:r>
        <w:rPr>
          <w:rFonts w:hint="eastAsia" w:eastAsia="宋体"/>
          <w:snapToGrid w:val="0"/>
          <w:color w:val="auto"/>
          <w:sz w:val="24"/>
          <w:highlight w:val="none"/>
          <w:lang w:eastAsia="zh-CN"/>
        </w:rPr>
        <w:t>须按本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文件规定格式</w:t>
      </w:r>
      <w:r>
        <w:rPr>
          <w:rFonts w:hint="eastAsia" w:eastAsia="宋体"/>
          <w:snapToGrid w:val="0"/>
          <w:color w:val="auto"/>
          <w:sz w:val="24"/>
          <w:highlight w:val="none"/>
        </w:rPr>
        <w:t>提供</w:t>
      </w:r>
      <w:r>
        <w:rPr>
          <w:rFonts w:hint="eastAsia" w:eastAsia="宋体"/>
          <w:snapToGrid w:val="0"/>
          <w:color w:val="auto"/>
          <w:sz w:val="24"/>
          <w:highlight w:val="none"/>
          <w:lang w:eastAsia="zh-CN"/>
        </w:rPr>
        <w:t>“</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rPr>
        <w:t>监狱企业证明文件</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lang w:eastAsia="zh-CN"/>
        </w:rPr>
        <w:t>“</w:t>
      </w:r>
      <w:r>
        <w:rPr>
          <w:rFonts w:hint="eastAsia" w:eastAsia="宋体"/>
          <w:snapToGrid w:val="0"/>
          <w:color w:val="auto"/>
          <w:sz w:val="24"/>
          <w:highlight w:val="none"/>
        </w:rPr>
        <w:t>残疾人福利性单位声明函</w:t>
      </w:r>
      <w:r>
        <w:rPr>
          <w:rFonts w:hint="eastAsia" w:eastAsia="宋体"/>
          <w:snapToGrid w:val="0"/>
          <w:color w:val="auto"/>
          <w:sz w:val="24"/>
          <w:highlight w:val="none"/>
          <w:lang w:eastAsia="zh-CN"/>
        </w:rPr>
        <w:t>”等作为资格证明文件。</w:t>
      </w:r>
      <w:r>
        <w:rPr>
          <w:rFonts w:hint="eastAsia" w:eastAsia="宋体"/>
          <w:snapToGrid w:val="0"/>
          <w:color w:val="auto"/>
          <w:sz w:val="24"/>
          <w:highlight w:val="none"/>
          <w:lang w:val="en-US" w:eastAsia="zh-CN"/>
        </w:rPr>
        <w:t xml:space="preserve"> </w:t>
      </w:r>
    </w:p>
    <w:p w14:paraId="743E5E0E">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3</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投标人提供的货物、工程或者服务符合下列情形的，享受中小企业扶持政策： </w:t>
      </w:r>
    </w:p>
    <w:p w14:paraId="07E7A00A">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1</w:t>
      </w:r>
      <w:r>
        <w:rPr>
          <w:rFonts w:hint="eastAsia" w:eastAsia="宋体"/>
          <w:snapToGrid w:val="0"/>
          <w:color w:val="auto"/>
          <w:sz w:val="24"/>
          <w:highlight w:val="none"/>
          <w:lang w:val="en-US" w:eastAsia="zh-CN"/>
        </w:rPr>
        <w:t xml:space="preserve">）在货物采购项目中，货物由中小企业制造，即货物由中小企业生产且使用该中小企业商号或者注册商标； </w:t>
      </w:r>
    </w:p>
    <w:p w14:paraId="128FB5A1">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2</w:t>
      </w:r>
      <w:r>
        <w:rPr>
          <w:rFonts w:hint="eastAsia" w:eastAsia="宋体"/>
          <w:snapToGrid w:val="0"/>
          <w:color w:val="auto"/>
          <w:sz w:val="24"/>
          <w:highlight w:val="none"/>
          <w:lang w:val="en-US" w:eastAsia="zh-CN"/>
        </w:rPr>
        <w:t xml:space="preserve">）在工程采购项目中，工程由中小企业承建，即工程施工单位为中小企业； </w:t>
      </w:r>
    </w:p>
    <w:p w14:paraId="4557B965">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3</w:t>
      </w:r>
      <w:r>
        <w:rPr>
          <w:rFonts w:hint="eastAsia" w:eastAsia="宋体"/>
          <w:snapToGrid w:val="0"/>
          <w:color w:val="auto"/>
          <w:sz w:val="24"/>
          <w:highlight w:val="none"/>
          <w:lang w:val="en-US" w:eastAsia="zh-CN"/>
        </w:rPr>
        <w:t>）在服务采购项目中，服务由中小企业承接，即提供服务的人员为中小企业依照《中华人民共和国劳动合同法》订立劳动合同的从业人员。</w:t>
      </w:r>
    </w:p>
    <w:p w14:paraId="5C38B69F">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eastAsia="宋体"/>
          <w:snapToGrid w:val="0"/>
          <w:color w:val="auto"/>
          <w:sz w:val="24"/>
          <w:highlight w:val="none"/>
          <w:lang w:val="en-US" w:eastAsia="zh-CN"/>
        </w:rPr>
        <w:t>.</w:t>
      </w:r>
      <w:r>
        <w:rPr>
          <w:rFonts w:hint="eastAsia" w:eastAsia="宋体"/>
          <w:snapToGrid w:val="0"/>
          <w:color w:val="auto"/>
          <w:sz w:val="24"/>
          <w:highlight w:val="none"/>
          <w:lang w:val="en-US" w:eastAsia="zh-CN"/>
        </w:rPr>
        <w:t>4</w:t>
      </w:r>
      <w:r>
        <w:rPr>
          <w:rFonts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在货物采购项目中，投标人提供的货物既有中小企业制造货物，也有大型企业制造货物的，不享受中小企业扶持政策。 </w:t>
      </w:r>
    </w:p>
    <w:p w14:paraId="0B6C9A16">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5</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以联合体形式参加政府采购活动，联合体各方均为中小企业的，联合体视同中小企业。其中，联合体各方均为小微企业的，联合体视同小微企业。  </w:t>
      </w:r>
    </w:p>
    <w:p w14:paraId="589A89E3">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6</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EF9D90B">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2EADF7DB">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 xml:space="preserve">安置的残疾人占本单位在职职工人数的比例不低于 </w:t>
      </w:r>
      <w:r>
        <w:rPr>
          <w:rFonts w:hint="default" w:eastAsia="宋体"/>
          <w:snapToGrid w:val="0"/>
          <w:color w:val="auto"/>
          <w:sz w:val="24"/>
          <w:highlight w:val="none"/>
          <w:lang w:val="en-US" w:eastAsia="zh-CN"/>
        </w:rPr>
        <w:t xml:space="preserve">25% </w:t>
      </w:r>
      <w:r>
        <w:rPr>
          <w:rFonts w:hint="eastAsia" w:eastAsia="宋体"/>
          <w:snapToGrid w:val="0"/>
          <w:color w:val="auto"/>
          <w:sz w:val="24"/>
          <w:highlight w:val="none"/>
          <w:lang w:val="en-US" w:eastAsia="zh-CN"/>
        </w:rPr>
        <w:t xml:space="preserve">（含 </w:t>
      </w:r>
      <w:r>
        <w:rPr>
          <w:rFonts w:hint="default" w:eastAsia="宋体"/>
          <w:snapToGrid w:val="0"/>
          <w:color w:val="auto"/>
          <w:sz w:val="24"/>
          <w:highlight w:val="none"/>
          <w:lang w:val="en-US" w:eastAsia="zh-CN"/>
        </w:rPr>
        <w:t>25%</w:t>
      </w:r>
      <w:r>
        <w:rPr>
          <w:rFonts w:hint="eastAsia" w:eastAsia="宋体"/>
          <w:snapToGrid w:val="0"/>
          <w:color w:val="auto"/>
          <w:sz w:val="24"/>
          <w:highlight w:val="none"/>
          <w:lang w:val="en-US" w:eastAsia="zh-CN"/>
        </w:rPr>
        <w:t xml:space="preserve">），并且安置的残疾人人数不少于 </w:t>
      </w:r>
      <w:r>
        <w:rPr>
          <w:rFonts w:hint="default" w:eastAsia="宋体"/>
          <w:snapToGrid w:val="0"/>
          <w:color w:val="auto"/>
          <w:sz w:val="24"/>
          <w:highlight w:val="none"/>
          <w:lang w:val="en-US" w:eastAsia="zh-CN"/>
        </w:rPr>
        <w:t xml:space="preserve">10 </w:t>
      </w:r>
      <w:r>
        <w:rPr>
          <w:rFonts w:hint="eastAsia" w:eastAsia="宋体"/>
          <w:snapToGrid w:val="0"/>
          <w:color w:val="auto"/>
          <w:sz w:val="24"/>
          <w:highlight w:val="none"/>
          <w:lang w:val="en-US" w:eastAsia="zh-CN"/>
        </w:rPr>
        <w:t xml:space="preserve">人（含 </w:t>
      </w:r>
      <w:r>
        <w:rPr>
          <w:rFonts w:hint="default" w:eastAsia="宋体"/>
          <w:snapToGrid w:val="0"/>
          <w:color w:val="auto"/>
          <w:sz w:val="24"/>
          <w:highlight w:val="none"/>
          <w:lang w:val="en-US" w:eastAsia="zh-CN"/>
        </w:rPr>
        <w:t>10</w:t>
      </w:r>
      <w:r>
        <w:rPr>
          <w:rFonts w:hint="eastAsia" w:eastAsia="宋体"/>
          <w:snapToGrid w:val="0"/>
          <w:color w:val="auto"/>
          <w:sz w:val="24"/>
          <w:highlight w:val="none"/>
          <w:lang w:val="en-US" w:eastAsia="zh-CN"/>
        </w:rPr>
        <w:t xml:space="preserve">人）； </w:t>
      </w:r>
    </w:p>
    <w:p w14:paraId="5B128E6C">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.2 </w:t>
      </w:r>
      <w:r>
        <w:rPr>
          <w:rFonts w:hint="eastAsia" w:eastAsia="宋体"/>
          <w:snapToGrid w:val="0"/>
          <w:color w:val="auto"/>
          <w:sz w:val="24"/>
          <w:highlight w:val="none"/>
          <w:lang w:val="en-US" w:eastAsia="zh-CN"/>
        </w:rPr>
        <w:t xml:space="preserve">依法与安置的每位残疾人签订了1年以上（含1年）的劳动合同或服务协议； </w:t>
      </w:r>
    </w:p>
    <w:p w14:paraId="750299D4">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.3 </w:t>
      </w:r>
      <w:r>
        <w:rPr>
          <w:rFonts w:hint="eastAsia" w:eastAsia="宋体"/>
          <w:snapToGrid w:val="0"/>
          <w:color w:val="auto"/>
          <w:sz w:val="24"/>
          <w:highlight w:val="none"/>
          <w:lang w:val="en-US" w:eastAsia="zh-CN"/>
        </w:rPr>
        <w:t xml:space="preserve">为安置的每位残疾人按月足额缴纳了基本养老保险、基本医疗保险、失业保险、工伤保险和生育保险等社会保险费； </w:t>
      </w:r>
    </w:p>
    <w:p w14:paraId="5494926D">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.4 </w:t>
      </w:r>
      <w:r>
        <w:rPr>
          <w:rFonts w:hint="eastAsia" w:eastAsia="宋体"/>
          <w:snapToGrid w:val="0"/>
          <w:color w:val="auto"/>
          <w:sz w:val="24"/>
          <w:highlight w:val="none"/>
          <w:lang w:val="en-US" w:eastAsia="zh-CN"/>
        </w:rPr>
        <w:t xml:space="preserve">通过银行等金融机构向安置的每位残疾人，按月支付了不低于单位所在区县适用的经省级人民政府批准的月最低工资标准的工资； </w:t>
      </w:r>
    </w:p>
    <w:p w14:paraId="6AD696D2">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.5 </w:t>
      </w:r>
      <w:r>
        <w:rPr>
          <w:rFonts w:hint="eastAsia" w:eastAsia="宋体"/>
          <w:snapToGrid w:val="0"/>
          <w:color w:val="auto"/>
          <w:sz w:val="24"/>
          <w:highlight w:val="none"/>
          <w:lang w:val="en-US" w:eastAsia="zh-CN"/>
        </w:rPr>
        <w:t xml:space="preserve">提供本单位制造的货物、承担的工程或者服务（以下简称产品），或者提供其他残疾人福利性单位制造的货物（不包括使用非残疾人福利性单位注册商标的货物）； </w:t>
      </w:r>
    </w:p>
    <w:p w14:paraId="6F6930A8">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.6 </w:t>
      </w:r>
      <w:r>
        <w:rPr>
          <w:rFonts w:hint="eastAsia" w:eastAsia="宋体"/>
          <w:snapToGrid w:val="0"/>
          <w:color w:val="auto"/>
          <w:sz w:val="24"/>
          <w:highlight w:val="none"/>
          <w:lang w:val="en-US" w:eastAsia="zh-CN"/>
        </w:rPr>
        <w:t>前款所称残疾人是指法定劳动年龄内，持有《中华人民共和国残疾人证》或者《中华人民共和国残疾军人证（</w:t>
      </w:r>
      <w:r>
        <w:rPr>
          <w:rFonts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 xml:space="preserve">至 </w:t>
      </w:r>
      <w:r>
        <w:rPr>
          <w:rFonts w:hint="default" w:eastAsia="宋体"/>
          <w:snapToGrid w:val="0"/>
          <w:color w:val="auto"/>
          <w:sz w:val="24"/>
          <w:highlight w:val="none"/>
          <w:lang w:val="en-US" w:eastAsia="zh-CN"/>
        </w:rPr>
        <w:t xml:space="preserve">8 </w:t>
      </w:r>
      <w:r>
        <w:rPr>
          <w:rFonts w:hint="eastAsia" w:eastAsia="宋体"/>
          <w:snapToGrid w:val="0"/>
          <w:color w:val="auto"/>
          <w:sz w:val="24"/>
          <w:highlight w:val="none"/>
          <w:lang w:val="en-US" w:eastAsia="zh-CN"/>
        </w:rPr>
        <w:t xml:space="preserve">级）》的自然人，包括具有劳动条件和劳动意愿的精神残疾人。在职职工人数是指与残疾人福利性单位建立劳动关系并依法签订劳动合同或服务协议的雇员人数。 </w:t>
      </w:r>
    </w:p>
    <w:p w14:paraId="50A69BFA">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8</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本项目是否专门面向中小企业预留采购份额见“第一章 招标公告”。    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9</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采购标的对应的中小企业划分标准所属行业见“投标人须知前附表”。    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10</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小微企业价格评审优惠的政策调整：见“投标人须知前附表”及“第五章 评标方法及标准”。</w:t>
      </w:r>
    </w:p>
    <w:p w14:paraId="17DD5FF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57" w:name="_Toc9255"/>
      <w:bookmarkStart w:id="458" w:name="_Toc5822"/>
      <w:bookmarkStart w:id="459" w:name="_Toc1808"/>
      <w:bookmarkStart w:id="460" w:name="_Toc163492878"/>
      <w:bookmarkStart w:id="461" w:name="_Toc7407"/>
      <w:r>
        <w:rPr>
          <w:rFonts w:hint="eastAsia" w:ascii="宋体" w:hAnsi="宋体" w:eastAsia="宋体" w:cs="宋体"/>
          <w:b/>
          <w:bCs/>
          <w:color w:val="auto"/>
          <w:kern w:val="2"/>
          <w:sz w:val="24"/>
          <w:szCs w:val="28"/>
          <w:highlight w:val="none"/>
          <w:lang w:val="en-US" w:eastAsia="zh-CN" w:bidi="ar-SA"/>
        </w:rPr>
        <w:t>43.政府采购节能产品、环境标志产品</w:t>
      </w:r>
      <w:bookmarkEnd w:id="457"/>
      <w:bookmarkEnd w:id="458"/>
      <w:bookmarkEnd w:id="459"/>
      <w:bookmarkEnd w:id="460"/>
      <w:bookmarkEnd w:id="461"/>
    </w:p>
    <w:p w14:paraId="741E7E7A">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w:t>
      </w:r>
      <w:r>
        <w:rPr>
          <w:rFonts w:hint="default" w:eastAsia="宋体"/>
          <w:snapToGrid w:val="0"/>
          <w:color w:val="auto"/>
          <w:sz w:val="24"/>
          <w:highlight w:val="none"/>
          <w:lang w:val="en-US" w:eastAsia="zh-CN"/>
        </w:rPr>
        <w:t>2019</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9 </w:t>
      </w:r>
      <w:r>
        <w:rPr>
          <w:rFonts w:hint="eastAsia" w:eastAsia="宋体"/>
          <w:snapToGrid w:val="0"/>
          <w:color w:val="auto"/>
          <w:sz w:val="24"/>
          <w:highlight w:val="none"/>
          <w:lang w:val="en-US" w:eastAsia="zh-CN"/>
        </w:rPr>
        <w:t>号）、《关于印发环境标志产品政府采购品目清单的通知》（财库〔2019〕18号）、《关于印发节能产品政府采购品目清单的通知》（财库〔2019〕19号）的规定。</w:t>
      </w:r>
    </w:p>
    <w:p w14:paraId="2EC4C51A">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.2 </w:t>
      </w:r>
      <w:r>
        <w:rPr>
          <w:rFonts w:hint="eastAsia" w:eastAsia="宋体"/>
          <w:snapToGrid w:val="0"/>
          <w:color w:val="auto"/>
          <w:sz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25CFE0EE">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.3 </w:t>
      </w:r>
      <w:r>
        <w:rPr>
          <w:rFonts w:hint="eastAsia" w:eastAsia="宋体"/>
          <w:snapToGrid w:val="0"/>
          <w:color w:val="auto"/>
          <w:sz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 xml:space="preserve">。 </w:t>
      </w:r>
    </w:p>
    <w:p w14:paraId="04E599F1">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.4 </w:t>
      </w:r>
      <w:r>
        <w:rPr>
          <w:rFonts w:hint="eastAsia" w:eastAsia="宋体"/>
          <w:snapToGrid w:val="0"/>
          <w:color w:val="auto"/>
          <w:sz w:val="24"/>
          <w:highlight w:val="none"/>
          <w:lang w:val="en-US" w:eastAsia="zh-CN"/>
        </w:rPr>
        <w:t>非政府强制采购的节能产品或环境标志产品，依据品目清单和认证证书实施政府优先采购。优先采购的具体规定见“第五章 评标方法及标准”（如涉及）。</w:t>
      </w:r>
    </w:p>
    <w:p w14:paraId="51B3D928">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snapToGrid w:val="0"/>
          <w:color w:val="auto"/>
          <w:sz w:val="24"/>
          <w:highlight w:val="none"/>
          <w:lang w:val="en-US" w:eastAsia="zh-CN"/>
        </w:rPr>
        <w:t xml:space="preserve">43.5 </w:t>
      </w:r>
      <w:r>
        <w:rPr>
          <w:rFonts w:hint="eastAsia" w:eastAsia="宋体"/>
          <w:snapToGrid w:val="0"/>
          <w:color w:val="auto"/>
          <w:sz w:val="24"/>
          <w:highlight w:val="none"/>
        </w:rPr>
        <w:t>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w:t>
      </w:r>
      <w:r>
        <w:rPr>
          <w:rFonts w:eastAsia="宋体"/>
          <w:snapToGrid w:val="0"/>
          <w:color w:val="auto"/>
          <w:sz w:val="24"/>
          <w:highlight w:val="none"/>
        </w:rPr>
        <w:t>已作为投标时强制性要求不再给予</w:t>
      </w:r>
      <w:r>
        <w:rPr>
          <w:rFonts w:hint="eastAsia" w:eastAsia="宋体"/>
          <w:snapToGrid w:val="0"/>
          <w:color w:val="auto"/>
          <w:sz w:val="24"/>
          <w:highlight w:val="none"/>
          <w:lang w:val="en-US" w:eastAsia="zh-CN"/>
        </w:rPr>
        <w:t>价格评审优惠</w:t>
      </w:r>
      <w:r>
        <w:rPr>
          <w:rFonts w:hint="eastAsia" w:eastAsia="宋体"/>
          <w:snapToGrid w:val="0"/>
          <w:color w:val="auto"/>
          <w:sz w:val="24"/>
          <w:highlight w:val="none"/>
        </w:rPr>
        <w:t>，未提供认证证书的视为</w:t>
      </w:r>
      <w:r>
        <w:rPr>
          <w:rFonts w:hint="eastAsia" w:eastAsia="宋体"/>
          <w:b/>
          <w:bCs/>
          <w:snapToGrid w:val="0"/>
          <w:color w:val="auto"/>
          <w:sz w:val="24"/>
          <w:highlight w:val="none"/>
          <w:lang w:val="en-US" w:eastAsia="zh-CN"/>
        </w:rPr>
        <w:t>投标</w:t>
      </w:r>
      <w:r>
        <w:rPr>
          <w:rFonts w:hint="eastAsia" w:eastAsia="宋体"/>
          <w:b/>
          <w:bCs/>
          <w:snapToGrid w:val="0"/>
          <w:color w:val="auto"/>
          <w:sz w:val="24"/>
          <w:highlight w:val="none"/>
        </w:rPr>
        <w:t>无效</w:t>
      </w:r>
      <w:r>
        <w:rPr>
          <w:rFonts w:hint="eastAsia" w:eastAsia="宋体"/>
          <w:snapToGrid w:val="0"/>
          <w:color w:val="auto"/>
          <w:sz w:val="24"/>
          <w:highlight w:val="none"/>
        </w:rPr>
        <w:t>。属于</w:t>
      </w:r>
      <w:r>
        <w:rPr>
          <w:rFonts w:hint="eastAsia" w:eastAsia="宋体"/>
          <w:snapToGrid w:val="0"/>
          <w:color w:val="auto"/>
          <w:sz w:val="24"/>
          <w:highlight w:val="none"/>
          <w:lang w:val="en-US" w:eastAsia="zh-CN"/>
        </w:rPr>
        <w:t>优先采购</w:t>
      </w:r>
      <w:r>
        <w:rPr>
          <w:rFonts w:hint="eastAsia" w:eastAsia="宋体"/>
          <w:snapToGrid w:val="0"/>
          <w:color w:val="auto"/>
          <w:sz w:val="24"/>
          <w:highlight w:val="none"/>
        </w:rPr>
        <w:t>节能产品政府采购品目清单、环境标志产品政府采购品目清单</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创新产品</w:t>
      </w:r>
      <w:r>
        <w:rPr>
          <w:rFonts w:hint="eastAsia" w:eastAsia="宋体"/>
          <w:snapToGrid w:val="0"/>
          <w:color w:val="auto"/>
          <w:sz w:val="24"/>
          <w:highlight w:val="none"/>
        </w:rPr>
        <w:t>范围的，按照“</w:t>
      </w:r>
      <w:r>
        <w:rPr>
          <w:rFonts w:hint="eastAsia" w:eastAsia="宋体"/>
          <w:color w:val="auto"/>
          <w:sz w:val="24"/>
          <w:highlight w:val="none"/>
          <w:lang w:val="en-US" w:eastAsia="zh-CN"/>
        </w:rPr>
        <w:t>第五章 评标方法及标准</w:t>
      </w:r>
      <w:r>
        <w:rPr>
          <w:rFonts w:hint="eastAsia" w:eastAsia="宋体"/>
          <w:snapToGrid w:val="0"/>
          <w:color w:val="auto"/>
          <w:sz w:val="24"/>
          <w:highlight w:val="none"/>
        </w:rPr>
        <w:t>”中相关规定</w:t>
      </w:r>
      <w:r>
        <w:rPr>
          <w:rFonts w:hint="eastAsia" w:eastAsia="宋体"/>
          <w:color w:val="auto"/>
          <w:sz w:val="24"/>
          <w:highlight w:val="none"/>
          <w:lang w:val="en-US" w:eastAsia="zh-CN"/>
        </w:rPr>
        <w:t>在评审时给予价格评审优惠，具体详见</w:t>
      </w:r>
      <w:r>
        <w:rPr>
          <w:rFonts w:hint="eastAsia" w:eastAsia="宋体"/>
          <w:snapToGrid w:val="0"/>
          <w:color w:val="auto"/>
          <w:sz w:val="24"/>
          <w:highlight w:val="none"/>
          <w:lang w:val="en-US" w:eastAsia="zh-CN"/>
        </w:rPr>
        <w:t>“投标人须知前附表”及</w:t>
      </w:r>
      <w:r>
        <w:rPr>
          <w:rFonts w:hint="eastAsia" w:eastAsia="宋体"/>
          <w:color w:val="auto"/>
          <w:sz w:val="24"/>
          <w:highlight w:val="none"/>
          <w:lang w:val="en-US" w:eastAsia="zh-CN"/>
        </w:rPr>
        <w:t>“第五章 评标方法及标准”</w:t>
      </w:r>
      <w:r>
        <w:rPr>
          <w:rFonts w:hint="eastAsia" w:eastAsia="宋体"/>
          <w:color w:val="auto"/>
          <w:sz w:val="24"/>
          <w:highlight w:val="none"/>
        </w:rPr>
        <w:t>。</w:t>
      </w:r>
    </w:p>
    <w:p w14:paraId="5F04C72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462" w:name="_Toc14967"/>
      <w:bookmarkStart w:id="463" w:name="_Toc27639"/>
      <w:bookmarkStart w:id="464" w:name="_Toc18587"/>
      <w:bookmarkStart w:id="465" w:name="_Toc27051"/>
      <w:bookmarkStart w:id="466" w:name="_Toc163492879"/>
      <w:r>
        <w:rPr>
          <w:rFonts w:hint="eastAsia" w:ascii="宋体" w:hAnsi="宋体" w:eastAsia="宋体" w:cs="宋体"/>
          <w:b/>
          <w:bCs/>
          <w:color w:val="auto"/>
          <w:kern w:val="2"/>
          <w:sz w:val="24"/>
          <w:szCs w:val="28"/>
          <w:highlight w:val="none"/>
          <w:lang w:val="en-US" w:eastAsia="zh-CN" w:bidi="ar-SA"/>
        </w:rPr>
        <w:t>44.正版软件</w:t>
      </w:r>
      <w:bookmarkEnd w:id="462"/>
      <w:bookmarkEnd w:id="463"/>
      <w:bookmarkEnd w:id="464"/>
      <w:bookmarkEnd w:id="465"/>
      <w:r>
        <w:rPr>
          <w:rFonts w:hint="eastAsia" w:ascii="宋体" w:hAnsi="宋体" w:eastAsia="宋体" w:cs="宋体"/>
          <w:b/>
          <w:bCs/>
          <w:color w:val="auto"/>
          <w:kern w:val="2"/>
          <w:sz w:val="24"/>
          <w:szCs w:val="28"/>
          <w:highlight w:val="none"/>
          <w:lang w:val="en-US" w:eastAsia="zh-CN" w:bidi="ar-SA"/>
        </w:rPr>
        <w:t xml:space="preserve">  </w:t>
      </w:r>
    </w:p>
    <w:p w14:paraId="415973C1">
      <w:pPr>
        <w:pStyle w:val="37"/>
        <w:keepNext w:val="0"/>
        <w:keepLines w:val="0"/>
        <w:pageBreakBefore w:val="0"/>
        <w:widowControl w:val="0"/>
        <w:kinsoku/>
        <w:overflowPunct/>
        <w:topLinePunct w:val="0"/>
        <w:autoSpaceDE/>
        <w:autoSpaceDN/>
        <w:bidi w:val="0"/>
        <w:adjustRightInd/>
        <w:snapToGri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44.1 依据《财政部 国家发展改革委 信息产业部关于印发无线局域网产品政府采购实施意见的通知》（财库〔</w:t>
      </w:r>
      <w:r>
        <w:rPr>
          <w:rFonts w:hint="default" w:eastAsia="宋体"/>
          <w:snapToGrid w:val="0"/>
          <w:color w:val="auto"/>
          <w:sz w:val="24"/>
          <w:highlight w:val="none"/>
          <w:lang w:val="en-US" w:eastAsia="zh-CN"/>
        </w:rPr>
        <w:t>2005</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366 </w:t>
      </w:r>
      <w:r>
        <w:rPr>
          <w:rFonts w:hint="eastAsia" w:eastAsia="宋体"/>
          <w:snapToGrid w:val="0"/>
          <w:color w:val="auto"/>
          <w:sz w:val="24"/>
          <w:highlight w:val="none"/>
          <w:lang w:val="en-US" w:eastAsia="zh-CN"/>
        </w:rPr>
        <w:t>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7504E407">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号）、《国务院办公厅关于印发政府机关使用正版软件管理办法的通知》国办发〔2013〕88号。</w:t>
      </w:r>
    </w:p>
    <w:p w14:paraId="139B1CB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467" w:name="_Toc9349"/>
      <w:bookmarkStart w:id="468" w:name="_Toc5754"/>
      <w:bookmarkStart w:id="469" w:name="_Toc23823"/>
      <w:bookmarkStart w:id="470" w:name="_Toc18124"/>
      <w:r>
        <w:rPr>
          <w:rFonts w:hint="eastAsia" w:ascii="宋体" w:hAnsi="宋体" w:eastAsia="宋体" w:cs="宋体"/>
          <w:b/>
          <w:bCs/>
          <w:color w:val="auto"/>
          <w:kern w:val="2"/>
          <w:sz w:val="24"/>
          <w:szCs w:val="28"/>
          <w:highlight w:val="none"/>
          <w:lang w:val="en-US" w:eastAsia="zh-CN" w:bidi="ar-SA"/>
        </w:rPr>
        <w:t>45.网络安全专用产品</w:t>
      </w:r>
      <w:bookmarkEnd w:id="467"/>
      <w:bookmarkEnd w:id="468"/>
      <w:bookmarkEnd w:id="469"/>
      <w:bookmarkEnd w:id="470"/>
      <w:r>
        <w:rPr>
          <w:rFonts w:hint="eastAsia" w:ascii="宋体" w:hAnsi="宋体" w:eastAsia="宋体" w:cs="宋体"/>
          <w:b/>
          <w:bCs/>
          <w:color w:val="auto"/>
          <w:kern w:val="2"/>
          <w:sz w:val="24"/>
          <w:szCs w:val="28"/>
          <w:highlight w:val="none"/>
          <w:lang w:val="en-US" w:eastAsia="zh-CN" w:bidi="ar-SA"/>
        </w:rPr>
        <w:t xml:space="preserve">   </w:t>
      </w:r>
    </w:p>
    <w:p w14:paraId="13C08773">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575DAF11">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 </w:t>
      </w:r>
    </w:p>
    <w:p w14:paraId="567E703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471" w:name="_Toc4141"/>
      <w:bookmarkStart w:id="472" w:name="_Toc30358"/>
      <w:bookmarkStart w:id="473" w:name="_Toc26826"/>
      <w:bookmarkStart w:id="474" w:name="_Toc30425"/>
      <w:r>
        <w:rPr>
          <w:rFonts w:hint="eastAsia" w:ascii="宋体" w:hAnsi="宋体" w:eastAsia="宋体" w:cs="宋体"/>
          <w:b/>
          <w:bCs/>
          <w:color w:val="auto"/>
          <w:kern w:val="2"/>
          <w:sz w:val="24"/>
          <w:szCs w:val="28"/>
          <w:highlight w:val="none"/>
          <w:lang w:val="en-US" w:eastAsia="zh-CN" w:bidi="ar-SA"/>
        </w:rPr>
        <w:t>46.采购需求标准</w:t>
      </w:r>
      <w:bookmarkEnd w:id="471"/>
      <w:bookmarkEnd w:id="472"/>
      <w:bookmarkEnd w:id="473"/>
      <w:bookmarkEnd w:id="474"/>
      <w:r>
        <w:rPr>
          <w:rFonts w:hint="eastAsia" w:ascii="宋体" w:hAnsi="宋体" w:eastAsia="宋体" w:cs="宋体"/>
          <w:b/>
          <w:bCs/>
          <w:color w:val="auto"/>
          <w:kern w:val="2"/>
          <w:sz w:val="24"/>
          <w:szCs w:val="28"/>
          <w:highlight w:val="none"/>
          <w:lang w:val="en-US" w:eastAsia="zh-CN" w:bidi="ar-SA"/>
        </w:rPr>
        <w:t xml:space="preserve">   </w:t>
      </w:r>
    </w:p>
    <w:p w14:paraId="77C63652">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46.1 商品包装、快递包装政府采购需求标准（试行） </w:t>
      </w:r>
    </w:p>
    <w:p w14:paraId="3DA94789">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号），本项目如涉及商品包装和快递包装的，则其具体要求见第三章《采购需求》。 </w:t>
      </w:r>
    </w:p>
    <w:p w14:paraId="27B020C7">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46.2 绿色数据中心政府采购需求标准（试行） </w:t>
      </w:r>
    </w:p>
    <w:p w14:paraId="16173830">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号），本项目如涉及绿色数据中心，则具体要求见第三章《采购需求》。 </w:t>
      </w:r>
    </w:p>
    <w:p w14:paraId="752FA939">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46.3台式计算机政府采购需求标准</w:t>
      </w:r>
    </w:p>
    <w:p w14:paraId="3830872B">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工业和信息化部关于印发《台式计算机政府采购需求标准（2023年版）》的通知（财库〔2023〕29号），本项目如涉及台式计算机采购，则具体要求见第三章《采购需求》。</w:t>
      </w:r>
    </w:p>
    <w:p w14:paraId="3E8B3153">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46.4便携式计算机政府采购需求标准</w:t>
      </w:r>
    </w:p>
    <w:p w14:paraId="2DDABA79">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工业和信息化部关于印发《便携式计算机政府采购需求标准（2023年版）》的通知（财库〔2023〕30号），本项目如涉及便携式计算机采购，则具体要求见第三章《采购需求》。</w:t>
      </w:r>
    </w:p>
    <w:p w14:paraId="385FE90A">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46.5一体式计算机政府采购需求标准</w:t>
      </w:r>
    </w:p>
    <w:p w14:paraId="30E81396">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工业和信息化部关于印发《一体式计算机政府采购需求标准（2023年版）》的通知（财库〔2023〕31号），本项目如涉及一体式计算机采购，则具体要求见第三章《采购需求》。</w:t>
      </w:r>
    </w:p>
    <w:p w14:paraId="07FD3B31">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46.6工作站政府采购需求标准</w:t>
      </w:r>
    </w:p>
    <w:p w14:paraId="23F8A15A">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工业和信息化部关于印发《工作站政府采购需求标准（2023年版）》的通知（财库〔2023〕32号），本项目如涉及工作站采购，则具体要求见第三章《采购需求》。</w:t>
      </w:r>
    </w:p>
    <w:p w14:paraId="6FE6E6D6">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46.7通用服务器政府采购需求标准</w:t>
      </w:r>
    </w:p>
    <w:p w14:paraId="2DC5EFFC">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工业和信息化部关于印发《通用服务器政府采购需求标准（2023年版）》的通知（财库〔2023〕33号），本项目如涉及通用服务器采购，则具体要求见第三章《采购需求》。</w:t>
      </w:r>
    </w:p>
    <w:p w14:paraId="5822E475">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46.8操作系统政府采购需求标准</w:t>
      </w:r>
    </w:p>
    <w:p w14:paraId="0C0F87EE">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工业和信息化部关于印发《操作系统政府采购需求标准（2023年版）》的通知（财库〔2023〕34号），本项目如涉及操作系统采购，则具体要求见第三章《采购需求》。</w:t>
      </w:r>
    </w:p>
    <w:p w14:paraId="1177BDB0">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46.9数据库政府采购需求标准</w:t>
      </w:r>
    </w:p>
    <w:p w14:paraId="45BE4E61">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工业和信息化部关于印发《数据库政府采购需求标准（2023年版）》的通知（财库〔2023〕35号），本项目如涉及数据库采购，则具体要求见第三章《采购需求》。</w:t>
      </w:r>
    </w:p>
    <w:p w14:paraId="116745F5">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46.10物业管理服务政府采购需求标准（办公场所类）（试行）</w:t>
      </w:r>
    </w:p>
    <w:p w14:paraId="0169F247">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采购需求》。</w:t>
      </w:r>
    </w:p>
    <w:p w14:paraId="07C1DA2C">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75" w:name="_Toc7189"/>
      <w:bookmarkStart w:id="476" w:name="_Toc13631"/>
      <w:bookmarkStart w:id="477" w:name="_Toc6544"/>
      <w:bookmarkStart w:id="478" w:name="_Toc14503"/>
      <w:r>
        <w:rPr>
          <w:rFonts w:hint="eastAsia" w:ascii="宋体" w:hAnsi="宋体" w:eastAsia="宋体" w:cstheme="minorBidi"/>
          <w:b/>
          <w:bCs/>
          <w:color w:val="auto"/>
          <w:kern w:val="2"/>
          <w:sz w:val="24"/>
          <w:szCs w:val="32"/>
          <w:highlight w:val="none"/>
          <w:lang w:val="en-US" w:eastAsia="zh-CN" w:bidi="ar-SA"/>
        </w:rPr>
        <w:t>（十四）政府采购合同融资政策</w:t>
      </w:r>
      <w:bookmarkEnd w:id="445"/>
      <w:bookmarkEnd w:id="446"/>
      <w:bookmarkEnd w:id="466"/>
      <w:bookmarkEnd w:id="475"/>
      <w:bookmarkEnd w:id="476"/>
      <w:bookmarkEnd w:id="477"/>
      <w:bookmarkEnd w:id="478"/>
    </w:p>
    <w:p w14:paraId="7CF3274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79" w:name="_Toc19607"/>
      <w:bookmarkStart w:id="480" w:name="_Toc6885"/>
      <w:bookmarkStart w:id="481" w:name="_Toc10536"/>
      <w:bookmarkStart w:id="482" w:name="_Toc31455"/>
      <w:bookmarkStart w:id="483" w:name="_Toc163492880"/>
      <w:r>
        <w:rPr>
          <w:rFonts w:hint="eastAsia" w:ascii="宋体" w:hAnsi="宋体" w:eastAsia="宋体" w:cs="宋体"/>
          <w:b/>
          <w:bCs/>
          <w:color w:val="auto"/>
          <w:kern w:val="2"/>
          <w:sz w:val="24"/>
          <w:szCs w:val="28"/>
          <w:highlight w:val="none"/>
          <w:lang w:val="en-US" w:eastAsia="zh-CN" w:bidi="ar-SA"/>
        </w:rPr>
        <w:t>47.政府采购合同融资政策</w:t>
      </w:r>
      <w:bookmarkEnd w:id="479"/>
      <w:bookmarkEnd w:id="480"/>
      <w:bookmarkEnd w:id="481"/>
      <w:bookmarkEnd w:id="482"/>
      <w:bookmarkEnd w:id="483"/>
    </w:p>
    <w:p w14:paraId="2F908697">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4</w:t>
      </w:r>
      <w:r>
        <w:rPr>
          <w:rFonts w:hint="eastAsia" w:eastAsia="宋体"/>
          <w:color w:val="auto"/>
          <w:sz w:val="24"/>
          <w:highlight w:val="none"/>
          <w:lang w:val="en-US" w:eastAsia="zh-CN"/>
        </w:rPr>
        <w:t>7</w:t>
      </w:r>
      <w:r>
        <w:rPr>
          <w:rFonts w:eastAsia="宋体"/>
          <w:color w:val="auto"/>
          <w:sz w:val="24"/>
          <w:highlight w:val="none"/>
        </w:rPr>
        <w:t>.</w:t>
      </w:r>
      <w:r>
        <w:rPr>
          <w:rFonts w:hint="eastAsia" w:eastAsia="宋体"/>
          <w:color w:val="auto"/>
          <w:sz w:val="24"/>
          <w:highlight w:val="none"/>
        </w:rPr>
        <w:t>1政府采购合同融资政策：见投标人须知前附表。</w:t>
      </w:r>
    </w:p>
    <w:p w14:paraId="198FC626">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84" w:name="_Toc14730"/>
      <w:bookmarkStart w:id="485" w:name="_Toc2385"/>
      <w:bookmarkStart w:id="486" w:name="_Toc163492881"/>
      <w:bookmarkStart w:id="487" w:name="_Toc29894"/>
      <w:bookmarkStart w:id="488" w:name="_Toc28029"/>
      <w:r>
        <w:rPr>
          <w:rFonts w:hint="eastAsia" w:ascii="宋体" w:hAnsi="宋体" w:eastAsia="宋体" w:cstheme="minorBidi"/>
          <w:b/>
          <w:bCs/>
          <w:color w:val="auto"/>
          <w:kern w:val="2"/>
          <w:sz w:val="24"/>
          <w:szCs w:val="32"/>
          <w:highlight w:val="none"/>
          <w:lang w:val="en-US" w:eastAsia="zh-CN" w:bidi="ar-SA"/>
        </w:rPr>
        <w:t>（十五）其他</w:t>
      </w:r>
      <w:bookmarkEnd w:id="484"/>
      <w:bookmarkEnd w:id="485"/>
      <w:bookmarkEnd w:id="486"/>
      <w:bookmarkEnd w:id="487"/>
      <w:bookmarkEnd w:id="488"/>
    </w:p>
    <w:p w14:paraId="370F802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89" w:name="_Toc25907"/>
      <w:bookmarkStart w:id="490" w:name="_Toc4822"/>
      <w:bookmarkStart w:id="491" w:name="_Toc7838"/>
      <w:bookmarkStart w:id="492" w:name="_Toc163492882"/>
      <w:bookmarkStart w:id="493" w:name="_Toc15832"/>
      <w:r>
        <w:rPr>
          <w:rFonts w:hint="eastAsia" w:ascii="宋体" w:hAnsi="宋体" w:eastAsia="宋体" w:cs="宋体"/>
          <w:b/>
          <w:bCs/>
          <w:color w:val="auto"/>
          <w:kern w:val="2"/>
          <w:sz w:val="24"/>
          <w:szCs w:val="28"/>
          <w:highlight w:val="none"/>
          <w:lang w:val="en-US" w:eastAsia="zh-CN" w:bidi="ar-SA"/>
        </w:rPr>
        <w:t>48.需要补充的其他内容</w:t>
      </w:r>
      <w:bookmarkEnd w:id="489"/>
      <w:bookmarkEnd w:id="490"/>
      <w:bookmarkEnd w:id="491"/>
      <w:bookmarkEnd w:id="492"/>
      <w:bookmarkEnd w:id="493"/>
    </w:p>
    <w:p w14:paraId="32516407">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4</w:t>
      </w:r>
      <w:r>
        <w:rPr>
          <w:rFonts w:hint="eastAsia" w:eastAsia="宋体"/>
          <w:color w:val="auto"/>
          <w:sz w:val="24"/>
          <w:highlight w:val="none"/>
          <w:lang w:val="en-US" w:eastAsia="zh-CN"/>
        </w:rPr>
        <w:t>8</w:t>
      </w:r>
      <w:r>
        <w:rPr>
          <w:rFonts w:eastAsia="宋体"/>
          <w:color w:val="auto"/>
          <w:sz w:val="24"/>
          <w:highlight w:val="none"/>
        </w:rPr>
        <w:t>.1</w:t>
      </w:r>
      <w:r>
        <w:rPr>
          <w:rFonts w:hint="eastAsia" w:eastAsia="宋体"/>
          <w:color w:val="auto"/>
          <w:sz w:val="24"/>
          <w:highlight w:val="none"/>
        </w:rPr>
        <w:t>需要补充的其他内容：见投标人须知前附表。</w:t>
      </w:r>
    </w:p>
    <w:p w14:paraId="1BD29CB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94" w:name="_Toc155185886"/>
      <w:bookmarkStart w:id="495" w:name="_Toc140132810"/>
      <w:bookmarkStart w:id="496" w:name="_Toc163492883"/>
      <w:bookmarkStart w:id="497" w:name="_Toc5587"/>
      <w:bookmarkStart w:id="498" w:name="_Toc4492"/>
      <w:bookmarkStart w:id="499" w:name="_Toc5942"/>
      <w:bookmarkStart w:id="500" w:name="_Toc16633"/>
      <w:r>
        <w:rPr>
          <w:rFonts w:hint="eastAsia" w:ascii="宋体" w:hAnsi="宋体" w:eastAsia="宋体" w:cs="宋体"/>
          <w:b/>
          <w:bCs/>
          <w:color w:val="auto"/>
          <w:kern w:val="2"/>
          <w:sz w:val="24"/>
          <w:szCs w:val="28"/>
          <w:highlight w:val="none"/>
          <w:lang w:val="en-US" w:eastAsia="zh-CN" w:bidi="ar-SA"/>
        </w:rPr>
        <w:t>49.适用法律</w:t>
      </w:r>
      <w:bookmarkEnd w:id="494"/>
      <w:bookmarkEnd w:id="495"/>
      <w:bookmarkEnd w:id="496"/>
      <w:bookmarkEnd w:id="497"/>
      <w:bookmarkEnd w:id="498"/>
      <w:bookmarkEnd w:id="499"/>
      <w:bookmarkEnd w:id="500"/>
    </w:p>
    <w:p w14:paraId="0953B8AD">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49</w:t>
      </w:r>
      <w:r>
        <w:rPr>
          <w:rFonts w:eastAsia="宋体"/>
          <w:snapToGrid w:val="0"/>
          <w:color w:val="auto"/>
          <w:sz w:val="24"/>
          <w:highlight w:val="none"/>
        </w:rPr>
        <w:t>.1</w:t>
      </w:r>
      <w:r>
        <w:rPr>
          <w:rFonts w:hint="eastAsia" w:eastAsia="宋体"/>
          <w:snapToGrid w:val="0"/>
          <w:color w:val="auto"/>
          <w:sz w:val="24"/>
          <w:highlight w:val="none"/>
        </w:rPr>
        <w:t>采购人、采购代理机构及投标人的一切采购活动均适用《中华人民共和国政府采购法》、《中华人民共和国政府采购法实施条例》、《政府采购货物和服务招标投标管理办法》（财政部令第87号）及相关法律法规。</w:t>
      </w:r>
    </w:p>
    <w:p w14:paraId="6AD32247">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snapToGrid w:val="0"/>
          <w:color w:val="auto"/>
          <w:sz w:val="24"/>
          <w:highlight w:val="none"/>
          <w:lang w:val="en-US" w:eastAsia="zh-CN"/>
        </w:rPr>
        <w:t>49</w:t>
      </w:r>
      <w:r>
        <w:rPr>
          <w:rFonts w:eastAsia="宋体"/>
          <w:snapToGrid w:val="0"/>
          <w:color w:val="auto"/>
          <w:sz w:val="24"/>
          <w:highlight w:val="none"/>
        </w:rPr>
        <w:t>.2</w:t>
      </w:r>
      <w:r>
        <w:rPr>
          <w:rFonts w:hint="eastAsia" w:eastAsia="宋体"/>
          <w:snapToGrid w:val="0"/>
          <w:color w:val="auto"/>
          <w:sz w:val="24"/>
          <w:highlight w:val="none"/>
        </w:rPr>
        <w:t>政府采购合同的履行、违约责任和解决争议的方法等适用《中华人民共和国民法典》。</w:t>
      </w:r>
    </w:p>
    <w:p w14:paraId="468836B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01" w:name="_Toc155185887"/>
      <w:bookmarkStart w:id="502" w:name="_Toc26457"/>
      <w:bookmarkStart w:id="503" w:name="_Toc18236"/>
      <w:bookmarkStart w:id="504" w:name="_Toc12709"/>
      <w:bookmarkStart w:id="505" w:name="_Toc26968"/>
      <w:bookmarkStart w:id="506" w:name="_Toc163492884"/>
      <w:r>
        <w:rPr>
          <w:rFonts w:hint="eastAsia" w:ascii="宋体" w:hAnsi="宋体" w:eastAsia="宋体" w:cs="宋体"/>
          <w:b/>
          <w:bCs/>
          <w:color w:val="auto"/>
          <w:kern w:val="2"/>
          <w:sz w:val="24"/>
          <w:szCs w:val="28"/>
          <w:highlight w:val="none"/>
          <w:lang w:val="en-US" w:eastAsia="zh-CN" w:bidi="ar-SA"/>
        </w:rPr>
        <w:t>50.解释权</w:t>
      </w:r>
      <w:bookmarkEnd w:id="501"/>
      <w:bookmarkEnd w:id="502"/>
      <w:bookmarkEnd w:id="503"/>
      <w:bookmarkEnd w:id="504"/>
      <w:bookmarkEnd w:id="505"/>
      <w:bookmarkEnd w:id="506"/>
    </w:p>
    <w:p w14:paraId="5C6D27F8">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hint="eastAsia" w:eastAsia="宋体"/>
          <w:snapToGrid w:val="0"/>
          <w:color w:val="auto"/>
          <w:sz w:val="24"/>
          <w:highlight w:val="none"/>
          <w:lang w:val="en-US" w:eastAsia="zh-CN"/>
        </w:rPr>
        <w:t>50</w:t>
      </w:r>
      <w:r>
        <w:rPr>
          <w:rFonts w:eastAsia="宋体"/>
          <w:snapToGrid w:val="0"/>
          <w:color w:val="auto"/>
          <w:sz w:val="24"/>
          <w:highlight w:val="none"/>
        </w:rPr>
        <w:t>.</w:t>
      </w:r>
      <w:r>
        <w:rPr>
          <w:rFonts w:hint="eastAsia" w:eastAsia="宋体"/>
          <w:snapToGrid w:val="0"/>
          <w:color w:val="auto"/>
          <w:sz w:val="24"/>
          <w:highlight w:val="none"/>
        </w:rPr>
        <w:t>1本招标文件最终解释权归采购人或采购代理机构所有。</w:t>
      </w:r>
    </w:p>
    <w:p w14:paraId="7F359ACB">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507" w:name="_Toc155185888"/>
      <w:bookmarkStart w:id="508" w:name="_Toc18413"/>
    </w:p>
    <w:p w14:paraId="14A14278">
      <w:pPr>
        <w:rPr>
          <w:rFonts w:hint="eastAsia" w:ascii="宋体" w:hAnsi="宋体" w:eastAsia="宋体" w:cs="宋体"/>
          <w:b/>
          <w:bCs/>
          <w:color w:val="auto"/>
          <w:kern w:val="44"/>
          <w:sz w:val="36"/>
          <w:szCs w:val="36"/>
          <w:highlight w:val="none"/>
          <w:lang w:val="en-US" w:eastAsia="zh-CN" w:bidi="ar-SA"/>
        </w:rPr>
      </w:pPr>
    </w:p>
    <w:p w14:paraId="40129A4F">
      <w:pPr>
        <w:rPr>
          <w:rFonts w:hint="eastAsia" w:ascii="宋体" w:hAnsi="宋体" w:eastAsia="宋体" w:cs="宋体"/>
          <w:b/>
          <w:bCs/>
          <w:color w:val="auto"/>
          <w:kern w:val="44"/>
          <w:sz w:val="36"/>
          <w:szCs w:val="36"/>
          <w:highlight w:val="none"/>
          <w:lang w:val="en-US" w:eastAsia="zh-CN" w:bidi="ar-SA"/>
        </w:rPr>
      </w:pPr>
    </w:p>
    <w:p w14:paraId="70704BD1">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r>
        <w:rPr>
          <w:rFonts w:hint="eastAsia" w:ascii="宋体" w:hAnsi="宋体" w:eastAsia="宋体" w:cs="宋体"/>
          <w:b/>
          <w:bCs/>
          <w:color w:val="auto"/>
          <w:kern w:val="44"/>
          <w:sz w:val="36"/>
          <w:szCs w:val="36"/>
          <w:highlight w:val="none"/>
          <w:lang w:val="en-US" w:eastAsia="zh-CN" w:bidi="ar-SA"/>
        </w:rPr>
        <w:t>第三章 采购需求</w:t>
      </w:r>
      <w:bookmarkEnd w:id="507"/>
      <w:bookmarkEnd w:id="508"/>
    </w:p>
    <w:p w14:paraId="74BCECBF">
      <w:pPr>
        <w:pStyle w:val="3"/>
        <w:bidi w:val="0"/>
        <w:spacing w:before="0" w:after="0" w:line="360" w:lineRule="auto"/>
        <w:rPr>
          <w:rFonts w:hint="eastAsia"/>
          <w:sz w:val="28"/>
          <w:szCs w:val="28"/>
          <w:lang w:val="en-US" w:eastAsia="zh-CN"/>
        </w:rPr>
      </w:pPr>
      <w:bookmarkStart w:id="509" w:name="_Toc2251"/>
      <w:bookmarkStart w:id="510" w:name="_Toc155185889"/>
      <w:bookmarkStart w:id="511" w:name="_Toc140132812"/>
      <w:r>
        <w:rPr>
          <w:rFonts w:hint="eastAsia"/>
          <w:sz w:val="28"/>
          <w:szCs w:val="28"/>
          <w:lang w:val="en-US" w:eastAsia="zh-CN"/>
        </w:rPr>
        <w:t>一、采购标的</w:t>
      </w:r>
      <w:bookmarkEnd w:id="509"/>
      <w:r>
        <w:rPr>
          <w:rFonts w:hint="eastAsia"/>
          <w:sz w:val="28"/>
          <w:szCs w:val="28"/>
          <w:lang w:val="en-US" w:eastAsia="zh-CN"/>
        </w:rPr>
        <w:t xml:space="preserve"> </w:t>
      </w:r>
    </w:p>
    <w:tbl>
      <w:tblPr>
        <w:tblStyle w:val="30"/>
        <w:tblW w:w="8993" w:type="dxa"/>
        <w:jc w:val="center"/>
        <w:tblLayout w:type="fixed"/>
        <w:tblCellMar>
          <w:top w:w="0" w:type="dxa"/>
          <w:left w:w="108" w:type="dxa"/>
          <w:bottom w:w="0" w:type="dxa"/>
          <w:right w:w="108" w:type="dxa"/>
        </w:tblCellMar>
      </w:tblPr>
      <w:tblGrid>
        <w:gridCol w:w="536"/>
        <w:gridCol w:w="2626"/>
        <w:gridCol w:w="930"/>
        <w:gridCol w:w="927"/>
        <w:gridCol w:w="832"/>
        <w:gridCol w:w="1742"/>
        <w:gridCol w:w="1400"/>
      </w:tblGrid>
      <w:tr w14:paraId="6BF35637">
        <w:tblPrEx>
          <w:tblCellMar>
            <w:top w:w="0" w:type="dxa"/>
            <w:left w:w="108" w:type="dxa"/>
            <w:bottom w:w="0" w:type="dxa"/>
            <w:right w:w="108" w:type="dxa"/>
          </w:tblCellMar>
        </w:tblPrEx>
        <w:trPr>
          <w:trHeight w:val="465" w:hRule="atLeast"/>
          <w:jc w:val="center"/>
        </w:trPr>
        <w:tc>
          <w:tcPr>
            <w:tcW w:w="536" w:type="dxa"/>
            <w:tcBorders>
              <w:top w:val="single" w:color="auto" w:sz="4" w:space="0"/>
              <w:left w:val="single" w:color="auto" w:sz="4" w:space="0"/>
              <w:bottom w:val="single" w:color="000000" w:sz="4" w:space="0"/>
              <w:right w:val="single" w:color="000000" w:sz="4" w:space="0"/>
            </w:tcBorders>
            <w:noWrap w:val="0"/>
            <w:vAlign w:val="center"/>
          </w:tcPr>
          <w:p w14:paraId="225B21B4">
            <w:pPr>
              <w:widowControl/>
              <w:spacing w:line="360" w:lineRule="auto"/>
              <w:jc w:val="center"/>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lang w:val="en-US" w:eastAsia="zh-CN" w:bidi="ar"/>
              </w:rPr>
              <w:t>标项</w:t>
            </w:r>
          </w:p>
        </w:tc>
        <w:tc>
          <w:tcPr>
            <w:tcW w:w="2626" w:type="dxa"/>
            <w:tcBorders>
              <w:top w:val="single" w:color="auto" w:sz="4" w:space="0"/>
              <w:left w:val="single" w:color="000000" w:sz="4" w:space="0"/>
              <w:bottom w:val="single" w:color="000000" w:sz="4" w:space="0"/>
              <w:right w:val="single" w:color="000000" w:sz="4" w:space="0"/>
            </w:tcBorders>
            <w:noWrap w:val="0"/>
            <w:vAlign w:val="center"/>
          </w:tcPr>
          <w:p w14:paraId="4E06E72E">
            <w:pPr>
              <w:widowControl/>
              <w:spacing w:line="36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bidi="ar"/>
              </w:rPr>
              <w:t>★</w:t>
            </w:r>
            <w:r>
              <w:rPr>
                <w:rFonts w:hint="eastAsia" w:ascii="宋体" w:hAnsi="宋体" w:eastAsia="宋体" w:cs="宋体"/>
                <w:b w:val="0"/>
                <w:bCs w:val="0"/>
                <w:color w:val="auto"/>
                <w:kern w:val="0"/>
                <w:sz w:val="24"/>
                <w:szCs w:val="24"/>
                <w:lang w:bidi="ar"/>
              </w:rPr>
              <w:t>标的名称</w:t>
            </w:r>
          </w:p>
        </w:tc>
        <w:tc>
          <w:tcPr>
            <w:tcW w:w="930" w:type="dxa"/>
            <w:tcBorders>
              <w:top w:val="single" w:color="auto" w:sz="4" w:space="0"/>
              <w:left w:val="single" w:color="000000" w:sz="4" w:space="0"/>
              <w:bottom w:val="single" w:color="000000" w:sz="4" w:space="0"/>
              <w:right w:val="single" w:color="000000" w:sz="4" w:space="0"/>
            </w:tcBorders>
            <w:noWrap w:val="0"/>
            <w:vAlign w:val="center"/>
          </w:tcPr>
          <w:p w14:paraId="6A023440">
            <w:pPr>
              <w:widowControl/>
              <w:spacing w:line="360" w:lineRule="auto"/>
              <w:jc w:val="center"/>
              <w:textAlignment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kern w:val="0"/>
                <w:sz w:val="24"/>
                <w:szCs w:val="24"/>
                <w:lang w:bidi="ar"/>
              </w:rPr>
              <w:t>计量</w:t>
            </w:r>
          </w:p>
          <w:p w14:paraId="150270E9">
            <w:pPr>
              <w:widowControl/>
              <w:spacing w:line="36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单位</w:t>
            </w:r>
          </w:p>
        </w:tc>
        <w:tc>
          <w:tcPr>
            <w:tcW w:w="927" w:type="dxa"/>
            <w:tcBorders>
              <w:top w:val="single" w:color="auto" w:sz="4" w:space="0"/>
              <w:left w:val="single" w:color="000000" w:sz="4" w:space="0"/>
              <w:bottom w:val="single" w:color="000000" w:sz="4" w:space="0"/>
              <w:right w:val="single" w:color="000000" w:sz="4" w:space="0"/>
            </w:tcBorders>
            <w:noWrap w:val="0"/>
            <w:vAlign w:val="center"/>
          </w:tcPr>
          <w:p w14:paraId="1960C6AD">
            <w:pPr>
              <w:widowControl/>
              <w:spacing w:line="36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bidi="ar"/>
              </w:rPr>
              <w:t>★</w:t>
            </w:r>
            <w:r>
              <w:rPr>
                <w:rFonts w:hint="eastAsia" w:ascii="宋体" w:hAnsi="宋体" w:eastAsia="宋体" w:cs="宋体"/>
                <w:b w:val="0"/>
                <w:bCs w:val="0"/>
                <w:color w:val="auto"/>
                <w:kern w:val="0"/>
                <w:sz w:val="24"/>
                <w:szCs w:val="24"/>
                <w:lang w:bidi="ar"/>
              </w:rPr>
              <w:t>数量</w:t>
            </w:r>
          </w:p>
        </w:tc>
        <w:tc>
          <w:tcPr>
            <w:tcW w:w="832" w:type="dxa"/>
            <w:tcBorders>
              <w:top w:val="single" w:color="auto" w:sz="4" w:space="0"/>
              <w:left w:val="single" w:color="000000" w:sz="4" w:space="0"/>
              <w:bottom w:val="nil"/>
              <w:right w:val="single" w:color="000000" w:sz="4" w:space="0"/>
            </w:tcBorders>
            <w:noWrap w:val="0"/>
            <w:vAlign w:val="center"/>
          </w:tcPr>
          <w:p w14:paraId="5B8E517F">
            <w:pPr>
              <w:widowControl/>
              <w:spacing w:line="360" w:lineRule="auto"/>
              <w:jc w:val="center"/>
              <w:textAlignment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kern w:val="0"/>
                <w:sz w:val="24"/>
                <w:szCs w:val="24"/>
                <w:lang w:bidi="ar"/>
              </w:rPr>
              <w:t>是否</w:t>
            </w:r>
          </w:p>
          <w:p w14:paraId="6C711B13">
            <w:pPr>
              <w:widowControl/>
              <w:spacing w:line="36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进口</w:t>
            </w:r>
          </w:p>
        </w:tc>
        <w:tc>
          <w:tcPr>
            <w:tcW w:w="1742" w:type="dxa"/>
            <w:tcBorders>
              <w:top w:val="single" w:color="auto" w:sz="4" w:space="0"/>
              <w:left w:val="single" w:color="000000" w:sz="4" w:space="0"/>
              <w:bottom w:val="single" w:color="000000" w:sz="4" w:space="0"/>
              <w:right w:val="single" w:color="000000" w:sz="4" w:space="0"/>
            </w:tcBorders>
            <w:noWrap w:val="0"/>
            <w:vAlign w:val="center"/>
          </w:tcPr>
          <w:p w14:paraId="30704248">
            <w:pPr>
              <w:widowControl/>
              <w:spacing w:line="36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政府采购品目分类</w:t>
            </w:r>
          </w:p>
        </w:tc>
        <w:tc>
          <w:tcPr>
            <w:tcW w:w="1400" w:type="dxa"/>
            <w:tcBorders>
              <w:top w:val="single" w:color="auto" w:sz="4" w:space="0"/>
              <w:left w:val="single" w:color="000000" w:sz="4" w:space="0"/>
              <w:bottom w:val="single" w:color="000000" w:sz="4" w:space="0"/>
              <w:right w:val="single" w:color="auto" w:sz="4" w:space="0"/>
            </w:tcBorders>
            <w:noWrap w:val="0"/>
            <w:vAlign w:val="center"/>
          </w:tcPr>
          <w:p w14:paraId="1434E2AA">
            <w:pPr>
              <w:widowControl/>
              <w:spacing w:line="360" w:lineRule="auto"/>
              <w:jc w:val="center"/>
              <w:textAlignment w:val="center"/>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kern w:val="0"/>
                <w:sz w:val="24"/>
                <w:szCs w:val="24"/>
                <w:lang w:bidi="ar"/>
              </w:rPr>
              <w:t>品目分</w:t>
            </w:r>
          </w:p>
          <w:p w14:paraId="00E8AC6D">
            <w:pPr>
              <w:widowControl/>
              <w:spacing w:line="360" w:lineRule="auto"/>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bidi="ar"/>
              </w:rPr>
              <w:t>类编号</w:t>
            </w:r>
          </w:p>
        </w:tc>
      </w:tr>
      <w:tr w14:paraId="4C9E2238">
        <w:tblPrEx>
          <w:tblCellMar>
            <w:top w:w="0" w:type="dxa"/>
            <w:left w:w="108" w:type="dxa"/>
            <w:bottom w:w="0" w:type="dxa"/>
            <w:right w:w="108" w:type="dxa"/>
          </w:tblCellMar>
        </w:tblPrEx>
        <w:trPr>
          <w:trHeight w:val="766" w:hRule="atLeast"/>
          <w:jc w:val="center"/>
        </w:trPr>
        <w:tc>
          <w:tcPr>
            <w:tcW w:w="536" w:type="dxa"/>
            <w:tcBorders>
              <w:top w:val="single" w:color="000000" w:sz="4" w:space="0"/>
              <w:left w:val="single" w:color="auto" w:sz="4" w:space="0"/>
              <w:bottom w:val="single" w:color="000000" w:sz="4" w:space="0"/>
              <w:right w:val="single" w:color="000000" w:sz="4" w:space="0"/>
            </w:tcBorders>
            <w:noWrap w:val="0"/>
            <w:vAlign w:val="center"/>
          </w:tcPr>
          <w:p w14:paraId="4015193F">
            <w:pPr>
              <w:widowControl/>
              <w:spacing w:line="360" w:lineRule="auto"/>
              <w:jc w:val="center"/>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w:t>
            </w:r>
          </w:p>
        </w:tc>
        <w:tc>
          <w:tcPr>
            <w:tcW w:w="2626" w:type="dxa"/>
            <w:tcBorders>
              <w:top w:val="single" w:color="000000" w:sz="4" w:space="0"/>
              <w:left w:val="single" w:color="000000" w:sz="4" w:space="0"/>
              <w:bottom w:val="single" w:color="000000" w:sz="4" w:space="0"/>
              <w:right w:val="single" w:color="000000" w:sz="4" w:space="0"/>
            </w:tcBorders>
            <w:noWrap w:val="0"/>
            <w:vAlign w:val="center"/>
          </w:tcPr>
          <w:p w14:paraId="47BDA5DA">
            <w:pPr>
              <w:widowControl/>
              <w:spacing w:line="360" w:lineRule="auto"/>
              <w:jc w:val="center"/>
              <w:textAlignment w:val="center"/>
              <w:rPr>
                <w:rFonts w:hint="eastAsia" w:ascii="宋体" w:hAnsi="宋体" w:eastAsia="宋体" w:cs="宋体"/>
                <w:b w:val="0"/>
                <w:bCs w:val="0"/>
                <w:color w:val="auto"/>
                <w:kern w:val="0"/>
                <w:sz w:val="24"/>
                <w:szCs w:val="24"/>
                <w:lang w:val="en-US" w:eastAsia="zh-CN" w:bidi="ar"/>
              </w:rPr>
            </w:pPr>
            <w:r>
              <w:rPr>
                <w:rFonts w:hint="eastAsia" w:cs="宋体"/>
                <w:b w:val="0"/>
                <w:bCs w:val="0"/>
                <w:color w:val="auto"/>
                <w:kern w:val="0"/>
                <w:sz w:val="24"/>
                <w:szCs w:val="24"/>
                <w:lang w:val="en-US" w:eastAsia="zh-CN" w:bidi="ar"/>
              </w:rPr>
              <w:t>新能源商务</w:t>
            </w:r>
            <w:r>
              <w:rPr>
                <w:rFonts w:hint="eastAsia" w:ascii="宋体" w:hAnsi="宋体" w:eastAsia="宋体" w:cs="宋体"/>
                <w:b w:val="0"/>
                <w:bCs w:val="0"/>
                <w:color w:val="auto"/>
                <w:kern w:val="0"/>
                <w:sz w:val="24"/>
                <w:szCs w:val="24"/>
                <w:lang w:val="en-US" w:eastAsia="zh-CN" w:bidi="ar"/>
              </w:rPr>
              <w:t>车</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7CE7F00">
            <w:pPr>
              <w:widowControl/>
              <w:spacing w:line="360" w:lineRule="auto"/>
              <w:jc w:val="center"/>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AFEE645">
            <w:pPr>
              <w:widowControl/>
              <w:spacing w:line="360" w:lineRule="auto"/>
              <w:jc w:val="center"/>
              <w:textAlignment w:val="center"/>
              <w:rPr>
                <w:rFonts w:hint="default" w:ascii="宋体" w:hAnsi="宋体" w:eastAsia="宋体" w:cs="宋体"/>
                <w:b w:val="0"/>
                <w:bCs w:val="0"/>
                <w:color w:val="auto"/>
                <w:kern w:val="0"/>
                <w:sz w:val="24"/>
                <w:szCs w:val="24"/>
                <w:lang w:val="en-US" w:eastAsia="zh-CN" w:bidi="ar"/>
              </w:rPr>
            </w:pPr>
            <w:r>
              <w:rPr>
                <w:rFonts w:hint="eastAsia" w:cs="宋体"/>
                <w:b w:val="0"/>
                <w:bCs w:val="0"/>
                <w:color w:val="auto"/>
                <w:kern w:val="0"/>
                <w:sz w:val="24"/>
                <w:szCs w:val="24"/>
                <w:lang w:val="en-US" w:eastAsia="zh-CN" w:bidi="ar"/>
              </w:rPr>
              <w:t>2</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2C07F0D4">
            <w:pPr>
              <w:widowControl/>
              <w:spacing w:line="360" w:lineRule="auto"/>
              <w:jc w:val="center"/>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否</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14:paraId="7EB1DD0F">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其他乘用车</w:t>
            </w:r>
          </w:p>
        </w:tc>
        <w:tc>
          <w:tcPr>
            <w:tcW w:w="1400" w:type="dxa"/>
            <w:tcBorders>
              <w:top w:val="single" w:color="000000" w:sz="4" w:space="0"/>
              <w:left w:val="single" w:color="000000" w:sz="4" w:space="0"/>
              <w:bottom w:val="single" w:color="000000" w:sz="4" w:space="0"/>
              <w:right w:val="single" w:color="auto" w:sz="4" w:space="0"/>
            </w:tcBorders>
            <w:noWrap w:val="0"/>
            <w:vAlign w:val="center"/>
          </w:tcPr>
          <w:p w14:paraId="675FAD54">
            <w:pPr>
              <w:widowControl/>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A02030599</w:t>
            </w:r>
          </w:p>
        </w:tc>
      </w:tr>
    </w:tbl>
    <w:p w14:paraId="6D523F8D">
      <w:pPr>
        <w:pStyle w:val="3"/>
        <w:bidi w:val="0"/>
        <w:spacing w:before="0" w:after="0" w:line="360" w:lineRule="auto"/>
        <w:rPr>
          <w:rFonts w:hint="eastAsia"/>
          <w:sz w:val="24"/>
          <w:szCs w:val="24"/>
          <w:lang w:val="en-US" w:eastAsia="zh-CN"/>
        </w:rPr>
      </w:pPr>
      <w:bookmarkStart w:id="512" w:name="_Toc17598"/>
      <w:r>
        <w:rPr>
          <w:rFonts w:hint="eastAsia"/>
          <w:sz w:val="28"/>
          <w:szCs w:val="28"/>
          <w:lang w:val="en-US" w:eastAsia="zh-CN"/>
        </w:rPr>
        <w:t>二、商务要求</w:t>
      </w:r>
      <w:bookmarkEnd w:id="512"/>
    </w:p>
    <w:p w14:paraId="47526CCC">
      <w:pPr>
        <w:spacing w:line="360" w:lineRule="auto"/>
        <w:ind w:firstLine="482" w:firstLineChars="200"/>
        <w:jc w:val="left"/>
        <w:rPr>
          <w:rFonts w:hint="default" w:ascii="Times New Roman" w:hAnsi="Times New Roman" w:eastAsia="宋体" w:cs="Times New Roman"/>
          <w:iCs/>
          <w:color w:val="auto"/>
          <w:sz w:val="24"/>
          <w:szCs w:val="24"/>
        </w:rPr>
      </w:pPr>
      <w:bookmarkStart w:id="513" w:name="_Toc14386"/>
      <w:r>
        <w:rPr>
          <w:rFonts w:hint="default" w:ascii="Times New Roman" w:hAnsi="Times New Roman" w:eastAsia="宋体" w:cs="Times New Roman"/>
          <w:b/>
          <w:bCs/>
          <w:color w:val="auto"/>
          <w:sz w:val="24"/>
          <w:szCs w:val="24"/>
        </w:rPr>
        <w:t>1.</w:t>
      </w:r>
      <w:r>
        <w:rPr>
          <w:rFonts w:hint="default" w:ascii="Times New Roman" w:hAnsi="Times New Roman" w:eastAsia="宋体" w:cs="Times New Roman"/>
          <w:b/>
          <w:bCs/>
          <w:iCs/>
          <w:color w:val="auto"/>
          <w:sz w:val="24"/>
          <w:szCs w:val="24"/>
        </w:rPr>
        <w:t>交付（实施）的时间（期限）</w:t>
      </w:r>
      <w:r>
        <w:rPr>
          <w:rFonts w:hint="default" w:ascii="Times New Roman" w:hAnsi="Times New Roman" w:eastAsia="宋体" w:cs="Times New Roman"/>
          <w:b/>
          <w:bCs/>
          <w:color w:val="auto"/>
          <w:sz w:val="24"/>
          <w:szCs w:val="24"/>
        </w:rPr>
        <w:t>：</w:t>
      </w:r>
      <w:r>
        <w:rPr>
          <w:rStyle w:val="83"/>
          <w:rFonts w:hint="eastAsia" w:ascii="Times New Roman" w:hAnsi="Times New Roman" w:eastAsia="宋体" w:cs="Times New Roman"/>
          <w:color w:val="auto"/>
          <w:sz w:val="24"/>
          <w:szCs w:val="24"/>
          <w:u w:val="single"/>
          <w:lang w:eastAsia="zh-CN"/>
        </w:rPr>
        <w:t>自中标（成交）结果之日起</w:t>
      </w:r>
      <w:r>
        <w:rPr>
          <w:rStyle w:val="83"/>
          <w:rFonts w:hint="eastAsia" w:ascii="Times New Roman" w:hAnsi="Times New Roman" w:eastAsia="宋体" w:cs="Times New Roman"/>
          <w:color w:val="auto"/>
          <w:sz w:val="24"/>
          <w:szCs w:val="24"/>
          <w:highlight w:val="none"/>
          <w:u w:val="single"/>
          <w:lang w:eastAsia="zh-CN"/>
        </w:rPr>
        <w:t>15</w:t>
      </w:r>
      <w:r>
        <w:rPr>
          <w:rStyle w:val="83"/>
          <w:rFonts w:hint="eastAsia" w:ascii="Times New Roman" w:hAnsi="Times New Roman" w:eastAsia="宋体" w:cs="Times New Roman"/>
          <w:color w:val="auto"/>
          <w:sz w:val="24"/>
          <w:szCs w:val="24"/>
          <w:u w:val="single"/>
          <w:lang w:eastAsia="zh-CN"/>
        </w:rPr>
        <w:t>个</w:t>
      </w:r>
      <w:r>
        <w:rPr>
          <w:rStyle w:val="83"/>
          <w:rFonts w:hint="eastAsia" w:ascii="Times New Roman" w:hAnsi="Times New Roman" w:cs="Times New Roman"/>
          <w:color w:val="auto"/>
          <w:sz w:val="24"/>
          <w:szCs w:val="24"/>
          <w:u w:val="single"/>
          <w:lang w:val="en-US" w:eastAsia="zh-CN"/>
        </w:rPr>
        <w:t>工作</w:t>
      </w:r>
      <w:r>
        <w:rPr>
          <w:rStyle w:val="83"/>
          <w:rFonts w:hint="eastAsia" w:ascii="Times New Roman" w:hAnsi="Times New Roman" w:eastAsia="宋体" w:cs="Times New Roman"/>
          <w:color w:val="auto"/>
          <w:sz w:val="24"/>
          <w:szCs w:val="24"/>
          <w:u w:val="single"/>
          <w:lang w:eastAsia="zh-CN"/>
        </w:rPr>
        <w:t>日内交付完毕</w:t>
      </w:r>
      <w:r>
        <w:rPr>
          <w:rStyle w:val="83"/>
          <w:rFonts w:hint="default" w:ascii="Times New Roman" w:hAnsi="Times New Roman" w:eastAsia="宋体" w:cs="Times New Roman"/>
          <w:color w:val="auto"/>
          <w:sz w:val="24"/>
          <w:szCs w:val="24"/>
          <w:u w:val="none"/>
          <w:lang w:eastAsia="zh-CN"/>
        </w:rPr>
        <w:t>。</w:t>
      </w:r>
    </w:p>
    <w:p w14:paraId="5FAA6F5B">
      <w:pPr>
        <w:spacing w:line="360" w:lineRule="auto"/>
        <w:ind w:firstLine="482" w:firstLineChars="200"/>
        <w:jc w:val="left"/>
        <w:rPr>
          <w:rFonts w:hint="default" w:ascii="Times New Roman" w:hAnsi="Times New Roman" w:eastAsia="宋体" w:cs="Times New Roman"/>
          <w:iCs/>
          <w:color w:val="auto"/>
          <w:sz w:val="24"/>
          <w:szCs w:val="24"/>
        </w:rPr>
      </w:pPr>
      <w:r>
        <w:rPr>
          <w:rFonts w:hint="default" w:ascii="Times New Roman" w:hAnsi="Times New Roman" w:eastAsia="宋体" w:cs="Times New Roman"/>
          <w:b/>
          <w:bCs/>
          <w:color w:val="auto"/>
          <w:sz w:val="24"/>
          <w:lang w:bidi="ar"/>
        </w:rPr>
        <w:t>★</w:t>
      </w:r>
      <w:r>
        <w:rPr>
          <w:rFonts w:hint="default" w:ascii="Times New Roman" w:hAnsi="Times New Roman" w:eastAsia="宋体" w:cs="Times New Roman"/>
          <w:b/>
          <w:bCs/>
          <w:iCs/>
          <w:color w:val="auto"/>
          <w:sz w:val="24"/>
          <w:szCs w:val="24"/>
        </w:rPr>
        <w:t>2.交付（实施）的地点（范围）：</w:t>
      </w:r>
      <w:r>
        <w:rPr>
          <w:rFonts w:hint="eastAsia" w:ascii="Times New Roman" w:hAnsi="Times New Roman" w:cs="Times New Roman"/>
          <w:iCs/>
          <w:color w:val="auto"/>
          <w:sz w:val="24"/>
          <w:szCs w:val="24"/>
          <w:u w:val="single"/>
          <w:lang w:val="en-US" w:eastAsia="zh-CN"/>
        </w:rPr>
        <w:t>新疆维吾尔自治区喀什地区疏勒县草湖镇</w:t>
      </w:r>
    </w:p>
    <w:p w14:paraId="3EF98424">
      <w:pPr>
        <w:spacing w:line="360" w:lineRule="auto"/>
        <w:ind w:firstLine="482" w:firstLineChars="200"/>
        <w:jc w:val="left"/>
        <w:rPr>
          <w:rFonts w:hint="default" w:ascii="Times New Roman" w:hAnsi="Times New Roman" w:eastAsia="宋体" w:cs="Times New Roman"/>
          <w:color w:val="auto"/>
          <w:sz w:val="24"/>
          <w:szCs w:val="24"/>
          <w:highlight w:val="none"/>
          <w:u w:val="single"/>
          <w:lang w:eastAsia="zh-CN"/>
        </w:rPr>
      </w:pPr>
      <w:r>
        <w:rPr>
          <w:rFonts w:hint="default" w:ascii="Times New Roman" w:hAnsi="Times New Roman" w:eastAsia="宋体" w:cs="Times New Roman"/>
          <w:b/>
          <w:bCs/>
          <w:color w:val="auto"/>
          <w:sz w:val="24"/>
          <w:lang w:bidi="ar"/>
        </w:rPr>
        <w:t>★</w:t>
      </w:r>
      <w:r>
        <w:rPr>
          <w:rFonts w:hint="default" w:ascii="Times New Roman" w:hAnsi="Times New Roman" w:eastAsia="宋体" w:cs="Times New Roman"/>
          <w:b/>
          <w:bCs/>
          <w:iCs/>
          <w:color w:val="auto"/>
          <w:sz w:val="24"/>
          <w:szCs w:val="24"/>
        </w:rPr>
        <w:t>3.付款条件（进度和方式）：</w:t>
      </w:r>
      <w:r>
        <w:rPr>
          <w:rFonts w:hint="default" w:ascii="Times New Roman" w:hAnsi="Times New Roman" w:eastAsia="宋体" w:cs="Times New Roman"/>
          <w:color w:val="auto"/>
          <w:sz w:val="24"/>
          <w:szCs w:val="24"/>
          <w:highlight w:val="none"/>
          <w:u w:val="single"/>
          <w:lang w:eastAsia="zh-CN"/>
        </w:rPr>
        <w:t>经</w:t>
      </w:r>
      <w:r>
        <w:rPr>
          <w:rFonts w:hint="eastAsia" w:ascii="Times New Roman" w:hAnsi="Times New Roman" w:cs="Times New Roman"/>
          <w:color w:val="auto"/>
          <w:sz w:val="24"/>
          <w:szCs w:val="24"/>
          <w:highlight w:val="none"/>
          <w:u w:val="single"/>
          <w:lang w:val="en-US" w:eastAsia="zh-CN"/>
        </w:rPr>
        <w:t>采购</w:t>
      </w:r>
      <w:r>
        <w:rPr>
          <w:rFonts w:hint="default" w:ascii="Times New Roman" w:hAnsi="Times New Roman" w:eastAsia="宋体" w:cs="Times New Roman"/>
          <w:color w:val="auto"/>
          <w:sz w:val="24"/>
          <w:szCs w:val="24"/>
          <w:highlight w:val="none"/>
          <w:u w:val="single"/>
          <w:lang w:eastAsia="zh-CN"/>
        </w:rPr>
        <w:t>人（使用单位）将中标人提供的所有设施设备的安装、调试、验收及配套服务验收合格后</w:t>
      </w:r>
      <w:r>
        <w:rPr>
          <w:rFonts w:hint="eastAsia" w:ascii="Times New Roman" w:hAnsi="Times New Roman" w:cs="Times New Roman"/>
          <w:color w:val="auto"/>
          <w:sz w:val="24"/>
          <w:szCs w:val="24"/>
          <w:highlight w:val="none"/>
          <w:u w:val="single"/>
          <w:lang w:val="en-US" w:eastAsia="zh-CN"/>
        </w:rPr>
        <w:t>向</w:t>
      </w:r>
      <w:r>
        <w:rPr>
          <w:rFonts w:hint="default" w:ascii="Times New Roman" w:hAnsi="Times New Roman" w:eastAsia="宋体" w:cs="Times New Roman"/>
          <w:color w:val="auto"/>
          <w:sz w:val="24"/>
          <w:szCs w:val="24"/>
          <w:highlight w:val="none"/>
          <w:u w:val="single"/>
          <w:lang w:eastAsia="zh-CN"/>
        </w:rPr>
        <w:t>中标供应商</w:t>
      </w:r>
      <w:r>
        <w:rPr>
          <w:rFonts w:hint="eastAsia" w:ascii="Times New Roman" w:hAnsi="Times New Roman" w:cs="Times New Roman"/>
          <w:color w:val="auto"/>
          <w:sz w:val="24"/>
          <w:szCs w:val="24"/>
          <w:highlight w:val="none"/>
          <w:u w:val="single"/>
          <w:lang w:val="en-US" w:eastAsia="zh-CN"/>
        </w:rPr>
        <w:t>一次性付清</w:t>
      </w:r>
      <w:r>
        <w:rPr>
          <w:rFonts w:hint="default" w:ascii="Times New Roman" w:hAnsi="Times New Roman" w:eastAsia="宋体" w:cs="Times New Roman"/>
          <w:color w:val="auto"/>
          <w:sz w:val="24"/>
          <w:szCs w:val="24"/>
          <w:highlight w:val="none"/>
          <w:u w:val="single"/>
          <w:lang w:eastAsia="zh-CN"/>
        </w:rPr>
        <w:t>；</w:t>
      </w:r>
    </w:p>
    <w:p w14:paraId="3AC37576">
      <w:pPr>
        <w:spacing w:line="360" w:lineRule="auto"/>
        <w:ind w:firstLine="482" w:firstLineChars="200"/>
        <w:jc w:val="left"/>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b/>
          <w:bCs/>
          <w:color w:val="auto"/>
          <w:sz w:val="24"/>
          <w:lang w:bidi="ar"/>
        </w:rPr>
        <w:t>★</w:t>
      </w:r>
      <w:r>
        <w:rPr>
          <w:rFonts w:hint="default" w:ascii="Times New Roman" w:hAnsi="Times New Roman" w:eastAsia="宋体" w:cs="Times New Roman"/>
          <w:b/>
          <w:bCs/>
          <w:color w:val="auto"/>
          <w:sz w:val="24"/>
          <w:szCs w:val="24"/>
        </w:rPr>
        <w:t>4.</w:t>
      </w:r>
      <w:r>
        <w:rPr>
          <w:rFonts w:hint="default" w:ascii="Times New Roman" w:hAnsi="Times New Roman" w:eastAsia="宋体" w:cs="Times New Roman"/>
          <w:b/>
          <w:bCs/>
          <w:color w:val="auto"/>
          <w:sz w:val="24"/>
          <w:szCs w:val="24"/>
          <w:lang w:val="en-US" w:eastAsia="zh-CN"/>
        </w:rPr>
        <w:t>质保期</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rPr>
        <w:t>3年或10万公里（10万公里指：车辆行驶公里数）。</w:t>
      </w:r>
    </w:p>
    <w:p w14:paraId="13269C3F">
      <w:pPr>
        <w:pStyle w:val="62"/>
        <w:numPr>
          <w:ilvl w:val="0"/>
          <w:numId w:val="0"/>
        </w:numPr>
        <w:spacing w:line="360" w:lineRule="auto"/>
        <w:ind w:firstLine="482" w:firstLineChars="200"/>
        <w:rPr>
          <w:rFonts w:hint="default" w:ascii="Times New Roman" w:hAnsi="Times New Roman" w:eastAsia="宋体" w:cs="Times New Roman"/>
          <w:color w:val="auto"/>
          <w:sz w:val="24"/>
          <w:szCs w:val="28"/>
          <w:lang w:val="en-US" w:eastAsia="zh-CN"/>
        </w:rPr>
      </w:pPr>
      <w:r>
        <w:rPr>
          <w:rFonts w:hint="default" w:ascii="Times New Roman" w:hAnsi="Times New Roman" w:eastAsia="宋体" w:cs="Times New Roman"/>
          <w:b/>
          <w:bCs/>
          <w:color w:val="auto"/>
          <w:sz w:val="24"/>
          <w:lang w:bidi="ar"/>
        </w:rPr>
        <w:t>★</w:t>
      </w:r>
      <w:r>
        <w:rPr>
          <w:rFonts w:hint="default" w:ascii="Times New Roman" w:hAnsi="Times New Roman" w:eastAsia="宋体" w:cs="Times New Roman"/>
          <w:b/>
          <w:bCs/>
          <w:color w:val="auto"/>
          <w:sz w:val="24"/>
          <w:szCs w:val="24"/>
        </w:rPr>
        <w:t>5.</w:t>
      </w:r>
      <w:r>
        <w:rPr>
          <w:rFonts w:hint="default" w:ascii="Times New Roman" w:hAnsi="Times New Roman" w:eastAsia="宋体" w:cs="Times New Roman"/>
          <w:b/>
          <w:bCs/>
          <w:color w:val="auto"/>
          <w:kern w:val="2"/>
          <w:sz w:val="24"/>
          <w:szCs w:val="28"/>
          <w:highlight w:val="none"/>
          <w:lang w:val="en-US" w:eastAsia="zh-CN" w:bidi="ar-SA"/>
        </w:rPr>
        <w:t>售后服务：</w:t>
      </w:r>
    </w:p>
    <w:p w14:paraId="14E3B93F">
      <w:pPr>
        <w:pStyle w:val="85"/>
        <w:numPr>
          <w:ilvl w:val="0"/>
          <w:numId w:val="0"/>
        </w:numPr>
        <w:spacing w:line="360" w:lineRule="auto"/>
        <w:ind w:firstLine="480" w:firstLineChars="200"/>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电话咨询：中标人应当为招标人提供技术援助电话及技术服务人员，解答招标人在使用中遇到的问题，及时为招标人提出解决问题的建议。2）现场响应招标人遇到技术问题，电话咨询不能解决的，应在1小时内响应，中标人应2小时内到达现场进行处理，确保车辆正常工作；无法在4小时内解决的，应有紧急措施，但不得超过24小时，不可抗力情况除外（注：须提供承诺，格式自拟）。</w:t>
      </w:r>
    </w:p>
    <w:p w14:paraId="72F62B5B">
      <w:pPr>
        <w:pStyle w:val="85"/>
        <w:numPr>
          <w:ilvl w:val="0"/>
          <w:numId w:val="0"/>
        </w:numPr>
        <w:spacing w:line="360" w:lineRule="auto"/>
        <w:ind w:firstLine="480" w:firstLineChars="200"/>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kern w:val="2"/>
          <w:sz w:val="24"/>
          <w:szCs w:val="24"/>
          <w:highlight w:val="none"/>
          <w:lang w:val="en-US" w:eastAsia="zh-CN" w:bidi="ar-SA"/>
        </w:rPr>
        <w:t>2）交付条件:交付车辆的同时提供购车发票、合格证等汽车挂牌所需资料。</w:t>
      </w:r>
    </w:p>
    <w:p w14:paraId="263F4204">
      <w:pPr>
        <w:pStyle w:val="62"/>
        <w:numPr>
          <w:ilvl w:val="0"/>
          <w:numId w:val="0"/>
        </w:numPr>
        <w:spacing w:line="360" w:lineRule="auto"/>
        <w:ind w:firstLine="482" w:firstLineChars="200"/>
        <w:rPr>
          <w:rFonts w:hint="default" w:ascii="Times New Roman" w:hAnsi="Times New Roman" w:eastAsia="宋体" w:cs="Times New Roman"/>
          <w:b/>
          <w:bCs/>
          <w:color w:val="auto"/>
          <w:sz w:val="24"/>
          <w:lang w:bidi="ar"/>
        </w:rPr>
      </w:pPr>
      <w:r>
        <w:rPr>
          <w:rFonts w:hint="default" w:ascii="Times New Roman" w:hAnsi="Times New Roman" w:eastAsia="宋体" w:cs="Times New Roman"/>
          <w:b/>
          <w:bCs/>
          <w:color w:val="auto"/>
          <w:sz w:val="24"/>
          <w:lang w:bidi="ar"/>
        </w:rPr>
        <w:t>★</w:t>
      </w:r>
      <w:r>
        <w:rPr>
          <w:rFonts w:hint="default" w:ascii="Times New Roman" w:hAnsi="Times New Roman" w:eastAsia="宋体" w:cs="Times New Roman"/>
          <w:b/>
          <w:bCs/>
          <w:color w:val="auto"/>
          <w:sz w:val="24"/>
          <w:lang w:val="en-US" w:eastAsia="zh-CN" w:bidi="ar"/>
        </w:rPr>
        <w:t>6</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其他商务要求</w:t>
      </w:r>
      <w:r>
        <w:rPr>
          <w:rFonts w:hint="default" w:ascii="Times New Roman" w:hAnsi="Times New Roman" w:eastAsia="宋体" w:cs="Times New Roman"/>
          <w:b/>
          <w:bCs/>
          <w:color w:val="auto"/>
          <w:kern w:val="2"/>
          <w:sz w:val="24"/>
          <w:szCs w:val="28"/>
          <w:highlight w:val="none"/>
          <w:lang w:val="en-US" w:eastAsia="zh-CN" w:bidi="ar-SA"/>
        </w:rPr>
        <w:t>：</w:t>
      </w:r>
    </w:p>
    <w:p w14:paraId="31022EE4">
      <w:pPr>
        <w:spacing w:line="360" w:lineRule="auto"/>
        <w:ind w:firstLine="482" w:firstLineChars="200"/>
        <w:jc w:val="lef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highlight w:val="none"/>
          <w:lang w:eastAsia="zh-CN" w:bidi="ar"/>
        </w:rPr>
        <w:t>（</w:t>
      </w:r>
      <w:r>
        <w:rPr>
          <w:rFonts w:hint="default" w:ascii="Times New Roman" w:hAnsi="Times New Roman" w:eastAsia="宋体" w:cs="Times New Roman"/>
          <w:b/>
          <w:bCs/>
          <w:color w:val="auto"/>
          <w:sz w:val="24"/>
          <w:highlight w:val="none"/>
          <w:lang w:val="en-US" w:eastAsia="zh-CN" w:bidi="ar"/>
        </w:rPr>
        <w:t>1</w:t>
      </w:r>
      <w:r>
        <w:rPr>
          <w:rFonts w:hint="default" w:ascii="Times New Roman" w:hAnsi="Times New Roman" w:eastAsia="宋体" w:cs="Times New Roman"/>
          <w:b/>
          <w:bCs/>
          <w:color w:val="auto"/>
          <w:sz w:val="24"/>
          <w:highlight w:val="none"/>
          <w:lang w:eastAsia="zh-CN" w:bidi="ar"/>
        </w:rPr>
        <w:t>）</w:t>
      </w:r>
      <w:r>
        <w:rPr>
          <w:rFonts w:hint="default" w:ascii="Times New Roman" w:hAnsi="Times New Roman" w:eastAsia="宋体" w:cs="Times New Roman"/>
          <w:b/>
          <w:bCs/>
          <w:color w:val="auto"/>
          <w:sz w:val="24"/>
          <w:szCs w:val="24"/>
          <w:highlight w:val="none"/>
        </w:rPr>
        <w:t>违约责任：</w:t>
      </w:r>
      <w:r>
        <w:rPr>
          <w:rFonts w:hint="default" w:ascii="Times New Roman" w:hAnsi="Times New Roman" w:eastAsia="宋体" w:cs="Times New Roman"/>
          <w:color w:val="auto"/>
          <w:sz w:val="24"/>
          <w:szCs w:val="24"/>
          <w:highlight w:val="none"/>
        </w:rPr>
        <w:t>①如中标人未按照投标文件中承诺的时间交货或提供服务，</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应承担延期交货和延期服务的违约责任，并赔偿</w:t>
      </w:r>
      <w:r>
        <w:rPr>
          <w:rFonts w:hint="default" w:ascii="Times New Roman" w:hAnsi="Times New Roman" w:eastAsia="宋体" w:cs="Times New Roman"/>
          <w:color w:val="auto"/>
          <w:sz w:val="24"/>
          <w:szCs w:val="24"/>
          <w:highlight w:val="none"/>
          <w:lang w:eastAsia="zh-CN"/>
        </w:rPr>
        <w:t>招标人</w:t>
      </w:r>
      <w:r>
        <w:rPr>
          <w:rFonts w:hint="default" w:ascii="Times New Roman" w:hAnsi="Times New Roman" w:eastAsia="宋体" w:cs="Times New Roman"/>
          <w:color w:val="auto"/>
          <w:sz w:val="24"/>
          <w:szCs w:val="24"/>
          <w:highlight w:val="none"/>
        </w:rPr>
        <w:t>因此造成的实际经济损失。②中标人所交设备的品种、型号、规格、质量、功能、技术参数等方面不能实质性满足招标文件要约的，</w:t>
      </w:r>
      <w:r>
        <w:rPr>
          <w:rFonts w:hint="default" w:ascii="Times New Roman" w:hAnsi="Times New Roman" w:eastAsia="宋体" w:cs="Times New Roman"/>
          <w:color w:val="auto"/>
          <w:sz w:val="24"/>
          <w:szCs w:val="24"/>
          <w:highlight w:val="none"/>
          <w:lang w:eastAsia="zh-CN"/>
        </w:rPr>
        <w:t>招标人</w:t>
      </w:r>
      <w:r>
        <w:rPr>
          <w:rFonts w:hint="default" w:ascii="Times New Roman" w:hAnsi="Times New Roman" w:eastAsia="宋体" w:cs="Times New Roman"/>
          <w:color w:val="auto"/>
          <w:sz w:val="24"/>
          <w:szCs w:val="24"/>
          <w:highlight w:val="none"/>
        </w:rPr>
        <w:t>有权拒绝收货，</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向</w:t>
      </w:r>
      <w:r>
        <w:rPr>
          <w:rFonts w:hint="default" w:ascii="Times New Roman" w:hAnsi="Times New Roman" w:eastAsia="宋体" w:cs="Times New Roman"/>
          <w:color w:val="auto"/>
          <w:sz w:val="24"/>
          <w:szCs w:val="24"/>
          <w:highlight w:val="none"/>
          <w:lang w:eastAsia="zh-CN"/>
        </w:rPr>
        <w:t>招标人</w:t>
      </w:r>
      <w:r>
        <w:rPr>
          <w:rFonts w:hint="default" w:ascii="Times New Roman" w:hAnsi="Times New Roman" w:eastAsia="宋体" w:cs="Times New Roman"/>
          <w:color w:val="auto"/>
          <w:sz w:val="24"/>
          <w:szCs w:val="24"/>
          <w:highlight w:val="none"/>
        </w:rPr>
        <w:t>偿付项目采购金额千分之10的违约金；造成严重后果的，根据相关规定，提交主管部门对中标人进行处罚。③</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逾期未交设备的，</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向</w:t>
      </w:r>
      <w:r>
        <w:rPr>
          <w:rFonts w:hint="default" w:ascii="Times New Roman" w:hAnsi="Times New Roman" w:eastAsia="宋体" w:cs="Times New Roman"/>
          <w:color w:val="auto"/>
          <w:sz w:val="24"/>
          <w:szCs w:val="24"/>
          <w:highlight w:val="none"/>
          <w:lang w:eastAsia="zh-CN"/>
        </w:rPr>
        <w:t>招标人</w:t>
      </w:r>
      <w:r>
        <w:rPr>
          <w:rFonts w:hint="default" w:ascii="Times New Roman" w:hAnsi="Times New Roman" w:eastAsia="宋体" w:cs="Times New Roman"/>
          <w:color w:val="auto"/>
          <w:sz w:val="24"/>
          <w:szCs w:val="24"/>
          <w:highlight w:val="none"/>
        </w:rPr>
        <w:t>每日偿付设备款千分之10的违约金。</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超过交货期限10个日历日仍未交货，</w:t>
      </w:r>
      <w:r>
        <w:rPr>
          <w:rFonts w:hint="default" w:ascii="Times New Roman" w:hAnsi="Times New Roman" w:eastAsia="宋体" w:cs="Times New Roman"/>
          <w:color w:val="auto"/>
          <w:sz w:val="24"/>
          <w:szCs w:val="24"/>
          <w:highlight w:val="none"/>
          <w:lang w:eastAsia="zh-CN"/>
        </w:rPr>
        <w:t>招标人</w:t>
      </w:r>
      <w:r>
        <w:rPr>
          <w:rFonts w:hint="default" w:ascii="Times New Roman" w:hAnsi="Times New Roman" w:eastAsia="宋体" w:cs="Times New Roman"/>
          <w:color w:val="auto"/>
          <w:sz w:val="24"/>
          <w:szCs w:val="24"/>
          <w:highlight w:val="none"/>
        </w:rPr>
        <w:t>有权解除合同。</w:t>
      </w:r>
      <w:r>
        <w:rPr>
          <w:rFonts w:hint="default" w:ascii="Times New Roman" w:hAnsi="Times New Roman" w:eastAsia="宋体" w:cs="Times New Roman"/>
          <w:color w:val="auto"/>
          <w:sz w:val="24"/>
          <w:szCs w:val="24"/>
          <w:highlight w:val="none"/>
          <w:lang w:eastAsia="zh-Hans"/>
        </w:rPr>
        <w:t>④</w:t>
      </w:r>
      <w:r>
        <w:rPr>
          <w:rFonts w:hint="default" w:ascii="Times New Roman" w:hAnsi="Times New Roman" w:eastAsia="宋体" w:cs="Times New Roman"/>
          <w:color w:val="auto"/>
          <w:sz w:val="24"/>
          <w:szCs w:val="24"/>
          <w:highlight w:val="none"/>
        </w:rPr>
        <w:t>争议的解决办法：通过友好协商解决。其次向</w:t>
      </w:r>
      <w:r>
        <w:rPr>
          <w:rFonts w:hint="default" w:ascii="Times New Roman" w:hAnsi="Times New Roman" w:eastAsia="宋体" w:cs="Times New Roman"/>
          <w:color w:val="auto"/>
          <w:sz w:val="24"/>
          <w:szCs w:val="24"/>
          <w:highlight w:val="none"/>
          <w:lang w:eastAsia="zh-CN"/>
        </w:rPr>
        <w:t>招标人</w:t>
      </w:r>
      <w:r>
        <w:rPr>
          <w:rFonts w:hint="default" w:ascii="Times New Roman" w:hAnsi="Times New Roman" w:eastAsia="宋体" w:cs="Times New Roman"/>
          <w:color w:val="auto"/>
          <w:sz w:val="24"/>
          <w:szCs w:val="24"/>
          <w:highlight w:val="none"/>
        </w:rPr>
        <w:t>所在地人民法院起诉。</w:t>
      </w:r>
    </w:p>
    <w:p w14:paraId="472E220F">
      <w:pPr>
        <w:spacing w:line="360" w:lineRule="auto"/>
        <w:ind w:firstLine="482"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）保密约定：</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在领取采购文件后默认同意将本项目采购数据按保密处理，不得将保密信息披露给第三方，在实施货物供货期间，也不得将供货的实际数量及供货地点泄露给第三方。</w:t>
      </w:r>
    </w:p>
    <w:p w14:paraId="26CAD35A">
      <w:pPr>
        <w:spacing w:line="360" w:lineRule="auto"/>
        <w:ind w:firstLine="482" w:firstLineChars="200"/>
        <w:jc w:val="left"/>
        <w:rPr>
          <w:rFonts w:hint="default" w:ascii="Times New Roman" w:hAnsi="Times New Roman" w:eastAsia="宋体" w:cs="Times New Roman"/>
          <w:color w:val="auto"/>
          <w:sz w:val="24"/>
          <w:szCs w:val="24"/>
          <w:highlight w:val="none"/>
          <w:lang w:eastAsia="zh-Hans"/>
        </w:rPr>
      </w:pPr>
      <w:r>
        <w:rPr>
          <w:rFonts w:hint="default" w:ascii="Times New Roman" w:hAnsi="Times New Roman" w:eastAsia="宋体" w:cs="Times New Roman"/>
          <w:b/>
          <w:bCs/>
          <w:color w:val="auto"/>
          <w:sz w:val="24"/>
          <w:szCs w:val="24"/>
          <w:highlight w:val="none"/>
          <w:lang w:eastAsia="zh-Hans"/>
        </w:rPr>
        <w:t>（</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eastAsia="zh-Hans"/>
        </w:rPr>
        <w:t>）</w:t>
      </w:r>
      <w:r>
        <w:rPr>
          <w:rFonts w:hint="default" w:ascii="Times New Roman" w:hAnsi="Times New Roman" w:eastAsia="宋体" w:cs="Times New Roman"/>
          <w:color w:val="auto"/>
          <w:sz w:val="24"/>
          <w:szCs w:val="24"/>
          <w:highlight w:val="none"/>
          <w:lang w:eastAsia="zh-Hans"/>
        </w:rPr>
        <w:t>为合理节约政府采购评审成本，提倡诚实信用的投标行为，特别要求</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lang w:eastAsia="zh-Hans"/>
        </w:rPr>
        <w:t>应本着诚信精神，在本次投标文件的偏离表中（</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lang w:eastAsia="zh-Hans"/>
        </w:rPr>
        <w:t>偏离表内容不得直接复制采购需求参数内容，投标参数偏离表中内容需与产品详细的参数资料和彩页（产品手册）一致），均以审慎的态度明确、清楚地披露各项偏离。任何情况下，对于</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lang w:eastAsia="zh-Hans"/>
        </w:rPr>
        <w:t>没有在偏离表中明确、清楚地披露的事项，包括可能属于被</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lang w:eastAsia="zh-Hans"/>
        </w:rPr>
        <w:t>在偏离表中遗漏披露的事项，一旦在评审中被发现存在偏离或被认定为属于偏离，则评标委员会有权视具体情形评审时予以处理，乃至对该投标予以拒绝。</w:t>
      </w:r>
    </w:p>
    <w:p w14:paraId="741BC4D6">
      <w:pPr>
        <w:pStyle w:val="61"/>
        <w:tabs>
          <w:tab w:val="left" w:pos="356"/>
        </w:tabs>
        <w:spacing w:line="360" w:lineRule="auto"/>
        <w:ind w:firstLine="480" w:firstLineChars="200"/>
        <w:jc w:val="left"/>
        <w:rPr>
          <w:rFonts w:hint="default" w:ascii="Times New Roman" w:hAnsi="Times New Roman" w:eastAsia="宋体" w:cs="Times New Roman"/>
          <w:b w:val="0"/>
          <w:bCs w:val="0"/>
          <w:color w:val="auto"/>
          <w:sz w:val="24"/>
          <w:highlight w:val="none"/>
          <w:lang w:bidi="ar"/>
        </w:rPr>
        <w:sectPr>
          <w:pgSz w:w="11905" w:h="16838"/>
          <w:pgMar w:top="1440" w:right="1701" w:bottom="1440" w:left="1701" w:header="850" w:footer="992"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default" w:ascii="Times New Roman" w:hAnsi="Times New Roman" w:eastAsia="宋体" w:cs="Times New Roman"/>
          <w:b w:val="0"/>
          <w:bCs w:val="0"/>
          <w:color w:val="auto"/>
          <w:sz w:val="24"/>
          <w:highlight w:val="none"/>
          <w:lang w:bidi="ar"/>
        </w:rPr>
        <w:t>注：</w:t>
      </w:r>
      <w:r>
        <w:rPr>
          <w:rFonts w:hint="default" w:ascii="Times New Roman" w:hAnsi="Times New Roman" w:eastAsia="宋体" w:cs="Times New Roman"/>
          <w:b w:val="0"/>
          <w:bCs w:val="0"/>
          <w:color w:val="auto"/>
          <w:sz w:val="24"/>
          <w:highlight w:val="none"/>
          <w:lang w:val="en-US" w:eastAsia="zh-CN" w:bidi="ar"/>
        </w:rPr>
        <w:t>根据《中华人民共和国民法典》第四百七十八条 有下列情形之一的，要约失效:(一)要约被拒绝；(二)要约被依法撤销;(三)承诺期限届满，受要约人未作出承诺;(四)受要约人对要约的内容作出实质性变更。第四百八十八条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采购需求中标注“★”项为实质性条款，负偏离将导致响应被否决</w:t>
      </w:r>
      <w:r>
        <w:rPr>
          <w:rFonts w:hint="default" w:ascii="Times New Roman" w:hAnsi="Times New Roman" w:eastAsia="宋体" w:cs="Times New Roman"/>
          <w:b w:val="0"/>
          <w:bCs w:val="0"/>
          <w:color w:val="auto"/>
          <w:sz w:val="24"/>
          <w:highlight w:val="none"/>
          <w:lang w:bidi="ar"/>
        </w:rPr>
        <w:t>。（</w:t>
      </w:r>
      <w:r>
        <w:rPr>
          <w:rFonts w:hint="default" w:ascii="Times New Roman" w:hAnsi="Times New Roman" w:eastAsia="宋体" w:cs="Times New Roman"/>
          <w:b w:val="0"/>
          <w:bCs w:val="0"/>
          <w:color w:val="auto"/>
          <w:sz w:val="24"/>
          <w:highlight w:val="none"/>
          <w:lang w:eastAsia="zh-CN" w:bidi="ar"/>
        </w:rPr>
        <w:t>供应商</w:t>
      </w:r>
      <w:r>
        <w:rPr>
          <w:rFonts w:hint="default" w:ascii="Times New Roman" w:hAnsi="Times New Roman" w:eastAsia="宋体" w:cs="Times New Roman"/>
          <w:b w:val="0"/>
          <w:bCs w:val="0"/>
          <w:color w:val="auto"/>
          <w:sz w:val="24"/>
          <w:highlight w:val="none"/>
          <w:lang w:bidi="ar"/>
        </w:rPr>
        <w:t>须对第三部分采购需求点对点</w:t>
      </w:r>
      <w:r>
        <w:rPr>
          <w:rFonts w:hint="default" w:ascii="Times New Roman" w:hAnsi="Times New Roman" w:eastAsia="宋体" w:cs="Times New Roman"/>
          <w:b w:val="0"/>
          <w:bCs w:val="0"/>
          <w:color w:val="auto"/>
          <w:sz w:val="24"/>
          <w:highlight w:val="none"/>
          <w:lang w:val="en-US" w:eastAsia="zh-CN" w:bidi="ar"/>
        </w:rPr>
        <w:t>响应</w:t>
      </w:r>
      <w:r>
        <w:rPr>
          <w:rFonts w:hint="default" w:ascii="Times New Roman" w:hAnsi="Times New Roman" w:eastAsia="宋体" w:cs="Times New Roman"/>
          <w:b w:val="0"/>
          <w:bCs w:val="0"/>
          <w:color w:val="auto"/>
          <w:sz w:val="24"/>
          <w:highlight w:val="none"/>
          <w:lang w:bidi="ar"/>
        </w:rPr>
        <w:t>）</w:t>
      </w:r>
    </w:p>
    <w:p w14:paraId="3F90EB44">
      <w:pPr>
        <w:pStyle w:val="37"/>
        <w:keepNext w:val="0"/>
        <w:keepLines w:val="0"/>
        <w:pageBreakBefore w:val="0"/>
        <w:widowControl w:val="0"/>
        <w:kinsoku/>
        <w:wordWrap w:val="0"/>
        <w:overflowPunct/>
        <w:topLinePunct w:val="0"/>
        <w:autoSpaceDE/>
        <w:autoSpaceDN/>
        <w:bidi w:val="0"/>
        <w:adjustRightInd/>
        <w:snapToGrid/>
        <w:spacing w:before="157" w:beforeLines="50" w:after="157" w:afterLines="50"/>
        <w:textAlignment w:val="auto"/>
        <w:rPr>
          <w:rFonts w:hint="eastAsia"/>
          <w:b/>
          <w:bCs/>
          <w:snapToGrid w:val="0"/>
          <w:color w:val="auto"/>
          <w:sz w:val="24"/>
          <w:szCs w:val="24"/>
          <w:highlight w:val="none"/>
          <w:lang w:val="en-US" w:eastAsia="zh-CN"/>
        </w:rPr>
      </w:pPr>
      <w:r>
        <w:rPr>
          <w:rStyle w:val="42"/>
          <w:rFonts w:hint="eastAsia"/>
          <w:lang w:val="en-US" w:eastAsia="zh-CN"/>
        </w:rPr>
        <w:t>三、技术要求</w:t>
      </w:r>
      <w:bookmarkEnd w:id="513"/>
    </w:p>
    <w:p w14:paraId="4F83BD09">
      <w:pPr>
        <w:pStyle w:val="37"/>
        <w:keepNext w:val="0"/>
        <w:keepLines w:val="0"/>
        <w:pageBreakBefore w:val="0"/>
        <w:widowControl w:val="0"/>
        <w:kinsoku/>
        <w:overflowPunct/>
        <w:topLinePunct w:val="0"/>
        <w:autoSpaceDE/>
        <w:autoSpaceDN/>
        <w:bidi w:val="0"/>
        <w:adjustRightInd/>
        <w:textAlignment w:val="auto"/>
        <w:rPr>
          <w:rFonts w:hint="eastAsia"/>
          <w:snapToGrid w:val="0"/>
          <w:color w:val="auto"/>
          <w:sz w:val="24"/>
          <w:szCs w:val="24"/>
          <w:highlight w:val="none"/>
          <w:lang w:val="en-US" w:eastAsia="zh-CN"/>
        </w:rPr>
      </w:pPr>
      <w:r>
        <w:rPr>
          <w:rFonts w:hint="default"/>
          <w:snapToGrid w:val="0"/>
          <w:color w:val="auto"/>
          <w:sz w:val="24"/>
          <w:szCs w:val="24"/>
          <w:highlight w:val="none"/>
          <w:lang w:val="en-US" w:eastAsia="zh-CN"/>
        </w:rPr>
        <w:t xml:space="preserve">1. </w:t>
      </w:r>
      <w:r>
        <w:rPr>
          <w:rFonts w:hint="eastAsia"/>
          <w:snapToGrid w:val="0"/>
          <w:color w:val="auto"/>
          <w:sz w:val="24"/>
          <w:szCs w:val="24"/>
          <w:highlight w:val="none"/>
          <w:lang w:val="en-US" w:eastAsia="zh-CN"/>
        </w:rPr>
        <w:t>基本要求</w:t>
      </w:r>
    </w:p>
    <w:tbl>
      <w:tblPr>
        <w:tblStyle w:val="30"/>
        <w:tblW w:w="77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53"/>
        <w:gridCol w:w="4259"/>
      </w:tblGrid>
      <w:tr w14:paraId="0473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A2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车辆基础参数</w:t>
            </w:r>
          </w:p>
        </w:tc>
      </w:tr>
      <w:tr w14:paraId="089C1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3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级别</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0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中大型MPV</w:t>
            </w:r>
          </w:p>
        </w:tc>
      </w:tr>
      <w:tr w14:paraId="676C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8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能源类型</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F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插电式混合动力</w:t>
            </w:r>
          </w:p>
        </w:tc>
      </w:tr>
      <w:tr w14:paraId="5F21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C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环保标准</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D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国VI</w:t>
            </w:r>
          </w:p>
        </w:tc>
      </w:tr>
      <w:tr w14:paraId="3AE4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A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WLTC纯电续航里程(km)</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F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14:paraId="1BFAE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1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CLTC纯电续航里程(km)</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8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r>
      <w:tr w14:paraId="7D19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1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电池快充时间(小时)</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6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r>
      <w:tr w14:paraId="2EB6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0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电池慢充时间(小时)</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1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75615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C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最大扭矩(N·m)</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2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r>
      <w:tr w14:paraId="4B9F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7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变速箱</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6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2挡DHT或6AT</w:t>
            </w:r>
          </w:p>
        </w:tc>
      </w:tr>
      <w:tr w14:paraId="15D9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4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车身结构</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F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5门7座MPV</w:t>
            </w:r>
          </w:p>
        </w:tc>
      </w:tr>
      <w:tr w14:paraId="6E337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A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官方0-100km/h加速(s)</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0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177D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C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最高车速(km/h)</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A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r>
      <w:tr w14:paraId="3B699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F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WLTC综合油耗(L/100km)</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2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133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9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最低荷电状态油耗(L/100km)</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A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r>
      <w:tr w14:paraId="0600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3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电能当量燃料消耗量(L/100km)</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4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r>
      <w:tr w14:paraId="14B5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D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整车质保</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E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三年或10万公里</w:t>
            </w:r>
          </w:p>
        </w:tc>
      </w:tr>
      <w:tr w14:paraId="13FE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0A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车身</w:t>
            </w:r>
          </w:p>
        </w:tc>
      </w:tr>
      <w:tr w14:paraId="03EB7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3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车门开启方式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1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平开门+侧滑门</w:t>
            </w:r>
          </w:p>
        </w:tc>
      </w:tr>
      <w:tr w14:paraId="106DB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D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油箱容积(L)</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F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14:paraId="3654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E0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发动机</w:t>
            </w:r>
          </w:p>
        </w:tc>
      </w:tr>
      <w:tr w14:paraId="6EDE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F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排量(mL)</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4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7675C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7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排量(L)</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3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2T</w:t>
            </w:r>
          </w:p>
        </w:tc>
      </w:tr>
      <w:tr w14:paraId="3B818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5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进气形式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D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涡轮增压</w:t>
            </w:r>
          </w:p>
        </w:tc>
      </w:tr>
      <w:tr w14:paraId="5642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E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发动机布局</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6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横置</w:t>
            </w:r>
          </w:p>
        </w:tc>
      </w:tr>
      <w:tr w14:paraId="091A1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8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气缸排列形式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A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w:t>
            </w:r>
          </w:p>
        </w:tc>
      </w:tr>
      <w:tr w14:paraId="4E72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9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气缸数(个)</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F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2E71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0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每缸气门数(个)</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6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745A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5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最大马力(Ps)</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2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14:paraId="78BA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A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最大功率(kW)</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6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r>
      <w:tr w14:paraId="559B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D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最大扭矩(N·m)</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A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r>
      <w:tr w14:paraId="7F3D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E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燃油标号</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3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14:paraId="59CAE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8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供油方式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6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直喷</w:t>
            </w:r>
          </w:p>
        </w:tc>
      </w:tr>
      <w:tr w14:paraId="406D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6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缸盖材料</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4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w:t>
            </w:r>
          </w:p>
        </w:tc>
      </w:tr>
      <w:tr w14:paraId="47A4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E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缸体材料</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3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w:t>
            </w:r>
          </w:p>
        </w:tc>
      </w:tr>
      <w:tr w14:paraId="606B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F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环保标准</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2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国VI</w:t>
            </w:r>
          </w:p>
        </w:tc>
      </w:tr>
      <w:tr w14:paraId="1807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0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电动机</w:t>
            </w:r>
          </w:p>
        </w:tc>
      </w:tr>
      <w:tr w14:paraId="09B1B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3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电机类型</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A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永磁/同步</w:t>
            </w:r>
          </w:p>
        </w:tc>
      </w:tr>
      <w:tr w14:paraId="0C95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4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系统综合功率(kW)</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C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r>
      <w:tr w14:paraId="0CCD3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6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系统综合功率(Ps)</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2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r>
      <w:tr w14:paraId="066D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D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系统综合扭矩(N·m)</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D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r>
      <w:tr w14:paraId="53CE8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9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驱动电机数</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0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单电机</w:t>
            </w:r>
          </w:p>
        </w:tc>
      </w:tr>
      <w:tr w14:paraId="62B6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6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电机布局</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A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前置</w:t>
            </w:r>
          </w:p>
        </w:tc>
      </w:tr>
      <w:tr w14:paraId="5A88F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02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电池/充电</w:t>
            </w:r>
          </w:p>
        </w:tc>
      </w:tr>
      <w:tr w14:paraId="6351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E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电池冷却方式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2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液冷</w:t>
            </w:r>
          </w:p>
        </w:tc>
      </w:tr>
      <w:tr w14:paraId="77ABD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5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WLTC纯电续航里程(km)</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6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14:paraId="56BF4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0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CLTC纯电续航里程(km)</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4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r>
      <w:tr w14:paraId="0D632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A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WLTC综合续航(km)</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1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w:t>
            </w:r>
          </w:p>
        </w:tc>
      </w:tr>
      <w:tr w14:paraId="7B634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A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电池能量(kWh)</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F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≥25.50</w:t>
            </w:r>
          </w:p>
        </w:tc>
      </w:tr>
      <w:tr w14:paraId="634C8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D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百公里耗电量(kWh/100km)</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A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14:paraId="66141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D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快充功能</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0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w:t>
            </w:r>
          </w:p>
        </w:tc>
      </w:tr>
      <w:tr w14:paraId="3C52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D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底盘转向</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8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驱动方式</w:t>
            </w:r>
          </w:p>
        </w:tc>
      </w:tr>
      <w:tr w14:paraId="25E19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2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前悬架类型</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A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麦弗逊式独立悬架</w:t>
            </w:r>
          </w:p>
        </w:tc>
      </w:tr>
      <w:tr w14:paraId="3B8A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C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后悬架类型</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B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多连杆式独立悬架</w:t>
            </w:r>
          </w:p>
        </w:tc>
      </w:tr>
      <w:tr w14:paraId="4D84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7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助力类型</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7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电动助力</w:t>
            </w:r>
          </w:p>
        </w:tc>
      </w:tr>
      <w:tr w14:paraId="364B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5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车体结构</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D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承载式</w:t>
            </w:r>
          </w:p>
        </w:tc>
      </w:tr>
      <w:tr w14:paraId="3641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8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前制动器类型</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C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通风盘式</w:t>
            </w:r>
          </w:p>
        </w:tc>
      </w:tr>
      <w:tr w14:paraId="7E3A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B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后制动器类型</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6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通风盘式</w:t>
            </w:r>
          </w:p>
        </w:tc>
      </w:tr>
      <w:tr w14:paraId="34D6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7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驻车制动类型</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1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电子驻车</w:t>
            </w:r>
          </w:p>
        </w:tc>
      </w:tr>
      <w:tr w14:paraId="5214D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2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前轮胎规格</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A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225/60 R18</w:t>
            </w:r>
          </w:p>
        </w:tc>
      </w:tr>
      <w:tr w14:paraId="4743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A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后轮胎规格</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2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225/60 R18</w:t>
            </w:r>
          </w:p>
        </w:tc>
      </w:tr>
      <w:tr w14:paraId="03483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48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被动安全</w:t>
            </w:r>
          </w:p>
        </w:tc>
      </w:tr>
      <w:tr w14:paraId="5A3A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2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主/副驾驶座安全气囊</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F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 副</w:t>
            </w:r>
          </w:p>
        </w:tc>
      </w:tr>
      <w:tr w14:paraId="52A2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0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前/后排侧气囊</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9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 后-</w:t>
            </w:r>
          </w:p>
        </w:tc>
      </w:tr>
      <w:tr w14:paraId="31DD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1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前/后排头部气囊(气帘)</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9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 后</w:t>
            </w:r>
          </w:p>
        </w:tc>
      </w:tr>
      <w:tr w14:paraId="4C262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A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后风挡安全气囊</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1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75CD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68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主动安全</w:t>
            </w:r>
          </w:p>
        </w:tc>
      </w:tr>
      <w:tr w14:paraId="62F6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B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ABS防抱死</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D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3013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3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制动力分配(EBD/CBC等)</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3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01F1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3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刹车辅助(EBA/BAS/BA等)</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7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0904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F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牵引力控制(ASR/TCS/TRC等)</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9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2404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9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车身稳定控制(ESC/ESP/DSC等)</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B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5764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1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胎压监测功能</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1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胎压显示</w:t>
            </w:r>
          </w:p>
        </w:tc>
      </w:tr>
      <w:tr w14:paraId="02B3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D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安全带未系提醒</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5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前排</w:t>
            </w:r>
          </w:p>
        </w:tc>
      </w:tr>
      <w:tr w14:paraId="0397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F875">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7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第二排</w:t>
            </w:r>
          </w:p>
        </w:tc>
      </w:tr>
      <w:tr w14:paraId="2B190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D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ISOFIX儿童座椅接口</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8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31A8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C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车道偏离预警系统</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0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5C12E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5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主动刹车/主动安全系统</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B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14AD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C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前方碰撞预警</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C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297E5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9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低速行车警告</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3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5602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5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道路救援呼叫</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2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5196E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75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驾驶操控</w:t>
            </w:r>
          </w:p>
        </w:tc>
      </w:tr>
      <w:tr w14:paraId="1E34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2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驾驶模式切换</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C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w:t>
            </w:r>
          </w:p>
        </w:tc>
      </w:tr>
      <w:tr w14:paraId="2DCA6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8A95">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0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w:t>
            </w:r>
          </w:p>
        </w:tc>
      </w:tr>
      <w:tr w14:paraId="66DA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8372">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B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标准/舒适</w:t>
            </w:r>
          </w:p>
        </w:tc>
      </w:tr>
      <w:tr w14:paraId="04FF3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F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能量回收系统</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D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3D7A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0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自动驻车</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0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4B92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1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上坡辅助</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E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7AE6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5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陡坡缓降</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4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323F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E3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驾驶硬件</w:t>
            </w:r>
          </w:p>
        </w:tc>
      </w:tr>
      <w:tr w14:paraId="105C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D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前/后驻车雷达</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9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 后</w:t>
            </w:r>
          </w:p>
        </w:tc>
      </w:tr>
      <w:tr w14:paraId="24C2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9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驾驶辅助影像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C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360度全景影像</w:t>
            </w:r>
          </w:p>
        </w:tc>
      </w:tr>
      <w:tr w14:paraId="37B37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D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透明底盘/540度影像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6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7BCD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E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前方感知摄像头</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C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单目</w:t>
            </w:r>
          </w:p>
        </w:tc>
      </w:tr>
      <w:tr w14:paraId="2E4B7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5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摄像头数量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3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w:t>
            </w:r>
          </w:p>
        </w:tc>
      </w:tr>
      <w:tr w14:paraId="77FC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D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超声波雷达数量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9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≥6个</w:t>
            </w:r>
          </w:p>
        </w:tc>
      </w:tr>
      <w:tr w14:paraId="5F98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B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毫米波雷达数量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6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r>
      <w:tr w14:paraId="2BAA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DE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驾驶功能</w:t>
            </w:r>
          </w:p>
        </w:tc>
      </w:tr>
      <w:tr w14:paraId="0EE50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8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巡航系统</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8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全速自适应巡航</w:t>
            </w:r>
          </w:p>
        </w:tc>
      </w:tr>
      <w:tr w14:paraId="653FC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8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辅助驾驶等级</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D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w:t>
            </w:r>
          </w:p>
        </w:tc>
      </w:tr>
      <w:tr w14:paraId="6D9E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7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卫星导航系统</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0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1C9312A3">
        <w:tblPrEx>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9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导航路况信息显示</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8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3F67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C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地图品牌</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C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高德或百度</w:t>
            </w:r>
          </w:p>
        </w:tc>
      </w:tr>
      <w:tr w14:paraId="2156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0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车道保持辅助系统</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5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57DA5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8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道路交通标识识别</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D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44F0B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95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外观/防盗</w:t>
            </w:r>
          </w:p>
        </w:tc>
      </w:tr>
      <w:tr w14:paraId="5521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F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轮圈材质</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1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w:t>
            </w:r>
          </w:p>
        </w:tc>
      </w:tr>
      <w:tr w14:paraId="56234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3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侧滑门形式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9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双侧电动</w:t>
            </w:r>
          </w:p>
        </w:tc>
      </w:tr>
      <w:tr w14:paraId="386D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7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电动后备厢</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0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63C65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2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感应后备厢</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7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7CBA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6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电动后备厢位置记忆</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E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2871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4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发动机电子防盗</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9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7DA9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D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车内中控锁</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4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144D0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2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钥匙类型</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3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遥控钥匙</w:t>
            </w:r>
          </w:p>
        </w:tc>
      </w:tr>
      <w:tr w14:paraId="49FE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7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无钥匙启动系统</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B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3BA4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B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无钥匙进入功能</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C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全车</w:t>
            </w:r>
          </w:p>
        </w:tc>
      </w:tr>
      <w:tr w14:paraId="3967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0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远程启动功能</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9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52FF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9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电池预加热</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6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5832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8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对外放电</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4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5AFBC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34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车外灯光</w:t>
            </w:r>
          </w:p>
        </w:tc>
      </w:tr>
      <w:tr w14:paraId="383E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6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近光灯光源</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F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w:t>
            </w:r>
          </w:p>
        </w:tc>
      </w:tr>
      <w:tr w14:paraId="416F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4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远光灯光源</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8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w:t>
            </w:r>
          </w:p>
        </w:tc>
      </w:tr>
      <w:tr w14:paraId="5CCE7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C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LED日间行车灯</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E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6DFDB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7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自适应远近光</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3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67C3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9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自动头灯</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2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3F3B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6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大灯高度可调</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B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6CC1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4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大灯延时关闭</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2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5AE8E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A6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天窗/玻璃</w:t>
            </w:r>
          </w:p>
        </w:tc>
      </w:tr>
      <w:tr w14:paraId="2296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5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车窗一键升降功能</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D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全车</w:t>
            </w:r>
          </w:p>
        </w:tc>
      </w:tr>
      <w:tr w14:paraId="07270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D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车窗防夹手功能</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6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253A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3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侧窗多层隔音玻璃</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B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前排</w:t>
            </w:r>
          </w:p>
        </w:tc>
      </w:tr>
      <w:tr w14:paraId="774E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C8C3">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1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后排</w:t>
            </w:r>
          </w:p>
        </w:tc>
      </w:tr>
      <w:tr w14:paraId="7D5A9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0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后排侧隐私玻璃</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D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57B3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6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车内化妆镜</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3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主驾驶+照明灯</w:t>
            </w:r>
          </w:p>
        </w:tc>
      </w:tr>
      <w:tr w14:paraId="2529D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6E93">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9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副驾驶+照明灯</w:t>
            </w:r>
          </w:p>
        </w:tc>
      </w:tr>
      <w:tr w14:paraId="4289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0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后雨刷</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5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288E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C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感应雨刷功能</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9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雨量感应式</w:t>
            </w:r>
          </w:p>
        </w:tc>
      </w:tr>
      <w:tr w14:paraId="3011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8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外后视镜</w:t>
            </w:r>
          </w:p>
        </w:tc>
      </w:tr>
      <w:tr w14:paraId="583E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0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外后视镜功能</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D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电动调节</w:t>
            </w:r>
          </w:p>
        </w:tc>
      </w:tr>
      <w:tr w14:paraId="3105F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597F">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6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电动折叠</w:t>
            </w:r>
          </w:p>
        </w:tc>
      </w:tr>
      <w:tr w14:paraId="3D44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D3E5">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2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后视镜加热</w:t>
            </w:r>
          </w:p>
        </w:tc>
      </w:tr>
      <w:tr w14:paraId="4181C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9E15">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0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锁车自动折叠</w:t>
            </w:r>
          </w:p>
        </w:tc>
      </w:tr>
      <w:tr w14:paraId="54DD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53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屏幕/系统</w:t>
            </w:r>
          </w:p>
        </w:tc>
      </w:tr>
      <w:tr w14:paraId="6B74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F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中控彩色屏幕</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8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触控液晶屏</w:t>
            </w:r>
          </w:p>
        </w:tc>
      </w:tr>
      <w:tr w14:paraId="1738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5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中控屏幕尺寸</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C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≥14.5英寸</w:t>
            </w:r>
          </w:p>
        </w:tc>
      </w:tr>
      <w:tr w14:paraId="7F9B4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2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蓝牙/车载电话</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8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4A8D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C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语音识别控制系统</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D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多媒体系统</w:t>
            </w:r>
          </w:p>
        </w:tc>
      </w:tr>
      <w:tr w14:paraId="4CB3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D683">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8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导航</w:t>
            </w:r>
          </w:p>
        </w:tc>
      </w:tr>
      <w:tr w14:paraId="1A49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6610">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4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w:t>
            </w:r>
          </w:p>
        </w:tc>
      </w:tr>
      <w:tr w14:paraId="7C2EF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CA3F">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1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w:t>
            </w:r>
          </w:p>
        </w:tc>
      </w:tr>
      <w:tr w14:paraId="51B0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DB6B">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4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天窗</w:t>
            </w:r>
          </w:p>
        </w:tc>
      </w:tr>
      <w:tr w14:paraId="7D41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0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语音分区域唤醒识别</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D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四区域</w:t>
            </w:r>
          </w:p>
        </w:tc>
      </w:tr>
      <w:tr w14:paraId="7C52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3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语音连续识别</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F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6B57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D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应用商店</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F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47AB9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6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后排控制多媒体</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2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36897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FE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智能化配置</w:t>
            </w:r>
          </w:p>
        </w:tc>
      </w:tr>
      <w:tr w14:paraId="7D57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D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车联网</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3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75CE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2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4G/5G网络</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2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4G/5G</w:t>
            </w:r>
          </w:p>
        </w:tc>
      </w:tr>
      <w:tr w14:paraId="46851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5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OTA升级</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B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18A30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7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Wi-Fi热点</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5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07F7B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1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手机APP远程功能</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E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车门控制</w:t>
            </w:r>
          </w:p>
        </w:tc>
      </w:tr>
      <w:tr w14:paraId="5C6F0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1275">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F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车窗控制</w:t>
            </w:r>
          </w:p>
        </w:tc>
      </w:tr>
      <w:tr w14:paraId="04EB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0D4B">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4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车辆启动</w:t>
            </w:r>
          </w:p>
        </w:tc>
      </w:tr>
      <w:tr w14:paraId="7C859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8820">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6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充电管理</w:t>
            </w:r>
          </w:p>
        </w:tc>
      </w:tr>
      <w:tr w14:paraId="09519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E6F5">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B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空调控制</w:t>
            </w:r>
          </w:p>
        </w:tc>
      </w:tr>
      <w:tr w14:paraId="56010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8243">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4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车况查询/诊断</w:t>
            </w:r>
          </w:p>
        </w:tc>
      </w:tr>
      <w:tr w14:paraId="36625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E8FF">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8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车辆定位/寻车</w:t>
            </w:r>
          </w:p>
        </w:tc>
      </w:tr>
      <w:tr w14:paraId="05098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AA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方向盘/内后视镜</w:t>
            </w:r>
          </w:p>
        </w:tc>
      </w:tr>
      <w:tr w14:paraId="1BE8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9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方向盘材质</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D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真皮</w:t>
            </w:r>
          </w:p>
        </w:tc>
      </w:tr>
      <w:tr w14:paraId="3B7F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5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方向盘位置调节</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4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手动上下+前后调节</w:t>
            </w:r>
          </w:p>
        </w:tc>
      </w:tr>
      <w:tr w14:paraId="5FC6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0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换挡形式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3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电子挡把换挡</w:t>
            </w:r>
          </w:p>
        </w:tc>
      </w:tr>
      <w:tr w14:paraId="1C39A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2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多功能方向盘</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9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5343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4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行车电脑显示屏幕</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2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w:t>
            </w:r>
          </w:p>
        </w:tc>
      </w:tr>
      <w:tr w14:paraId="2BDA1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8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全液晶仪表盘</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A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130EC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F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液晶仪表尺寸</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A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≥12英寸</w:t>
            </w:r>
          </w:p>
        </w:tc>
      </w:tr>
      <w:tr w14:paraId="2545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3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内后视镜功能</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F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自动防眩目</w:t>
            </w:r>
          </w:p>
        </w:tc>
      </w:tr>
      <w:tr w14:paraId="4097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13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车内充电</w:t>
            </w:r>
          </w:p>
        </w:tc>
      </w:tr>
      <w:tr w14:paraId="1D5F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B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多媒体/充电接口</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9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w:t>
            </w:r>
          </w:p>
        </w:tc>
      </w:tr>
      <w:tr w14:paraId="7F36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80DB">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4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Type-C</w:t>
            </w:r>
          </w:p>
        </w:tc>
      </w:tr>
      <w:tr w14:paraId="5427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0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USB/Type-C接口数量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0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前排后排均有</w:t>
            </w:r>
          </w:p>
        </w:tc>
      </w:tr>
      <w:tr w14:paraId="00C2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D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手机无线充电功能</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E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前排</w:t>
            </w:r>
          </w:p>
        </w:tc>
      </w:tr>
      <w:tr w14:paraId="336C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7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行李厢12V电源接口</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A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498D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A6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座椅配置</w:t>
            </w:r>
          </w:p>
        </w:tc>
      </w:tr>
      <w:tr w14:paraId="5D1C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2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座椅材质</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2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真皮</w:t>
            </w:r>
          </w:p>
        </w:tc>
      </w:tr>
      <w:tr w14:paraId="0B91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E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主座椅调节方式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E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前后调节</w:t>
            </w:r>
          </w:p>
        </w:tc>
      </w:tr>
      <w:tr w14:paraId="44F84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6EE8">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A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靠背调节</w:t>
            </w:r>
          </w:p>
        </w:tc>
      </w:tr>
      <w:tr w14:paraId="6234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CD35">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5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高低调节(4向)</w:t>
            </w:r>
          </w:p>
        </w:tc>
      </w:tr>
      <w:tr w14:paraId="2F587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6B6F">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F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腰部支撑(4向)</w:t>
            </w:r>
          </w:p>
        </w:tc>
      </w:tr>
      <w:tr w14:paraId="71F2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8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副座椅调节方式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E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前后调节</w:t>
            </w:r>
          </w:p>
        </w:tc>
      </w:tr>
      <w:tr w14:paraId="7E4CA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FD8D">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1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靠背调节</w:t>
            </w:r>
          </w:p>
        </w:tc>
      </w:tr>
      <w:tr w14:paraId="4FDE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C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主/副驾驶座电动调节</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1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 副</w:t>
            </w:r>
          </w:p>
        </w:tc>
      </w:tr>
      <w:tr w14:paraId="2A15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B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前排座椅功能</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6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加热</w:t>
            </w:r>
          </w:p>
        </w:tc>
      </w:tr>
      <w:tr w14:paraId="3B40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A342">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0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通风</w:t>
            </w:r>
          </w:p>
        </w:tc>
      </w:tr>
      <w:tr w14:paraId="4EBE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B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第二排座椅调节</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8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前后调节</w:t>
            </w:r>
          </w:p>
        </w:tc>
      </w:tr>
      <w:tr w14:paraId="61E3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D6CB">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1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靠背调节</w:t>
            </w:r>
          </w:p>
        </w:tc>
      </w:tr>
      <w:tr w14:paraId="5F14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BC22">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4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腿托调节</w:t>
            </w:r>
          </w:p>
        </w:tc>
      </w:tr>
      <w:tr w14:paraId="4633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5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第二排座椅功能</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9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加热</w:t>
            </w:r>
          </w:p>
        </w:tc>
      </w:tr>
      <w:tr w14:paraId="78FA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7B49">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E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通风</w:t>
            </w:r>
          </w:p>
        </w:tc>
      </w:tr>
      <w:tr w14:paraId="2016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730E">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F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按摩</w:t>
            </w:r>
          </w:p>
        </w:tc>
      </w:tr>
      <w:tr w14:paraId="4216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3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第二排独立座椅</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E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2E52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2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第三排座椅调节</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9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前后调节</w:t>
            </w:r>
          </w:p>
        </w:tc>
      </w:tr>
      <w:tr w14:paraId="2DE8F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6518">
            <w:pPr>
              <w:jc w:val="center"/>
              <w:rPr>
                <w:rFonts w:hint="eastAsia" w:ascii="宋体" w:hAnsi="宋体" w:eastAsia="宋体" w:cs="宋体"/>
                <w:i w:val="0"/>
                <w:iCs w:val="0"/>
                <w:color w:val="000000"/>
                <w:sz w:val="22"/>
                <w:szCs w:val="22"/>
                <w:u w:val="none"/>
              </w:rPr>
            </w:pP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D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靠背调节</w:t>
            </w:r>
          </w:p>
        </w:tc>
      </w:tr>
      <w:tr w14:paraId="7A546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3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座椅布局</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6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r>
      <w:tr w14:paraId="7BC4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9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后排座椅放倒形式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8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比例放倒</w:t>
            </w:r>
          </w:p>
        </w:tc>
      </w:tr>
      <w:tr w14:paraId="1340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9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前/后中央扶手</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4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 后</w:t>
            </w:r>
          </w:p>
        </w:tc>
      </w:tr>
      <w:tr w14:paraId="24ED0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BE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音响</w:t>
            </w:r>
          </w:p>
        </w:tc>
      </w:tr>
      <w:tr w14:paraId="1020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5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扬声器数量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C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3B210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EE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空调/冰箱</w:t>
            </w:r>
          </w:p>
        </w:tc>
      </w:tr>
      <w:tr w14:paraId="70B13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7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空调温度控制方式</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4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自动空调</w:t>
            </w:r>
          </w:p>
        </w:tc>
      </w:tr>
      <w:tr w14:paraId="5B96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6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后排独立空调</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1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0DCF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4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后座出风口</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4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6487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B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温度分区控制</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F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0993E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3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车内PM2.5过滤装置</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A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w:t>
            </w:r>
          </w:p>
        </w:tc>
      </w:tr>
      <w:tr w14:paraId="1AC4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F2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颜色</w:t>
            </w:r>
          </w:p>
        </w:tc>
      </w:tr>
      <w:tr w14:paraId="0859D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A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外观颜色</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B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w:t>
            </w:r>
          </w:p>
        </w:tc>
      </w:tr>
      <w:tr w14:paraId="5B909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B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内饰颜色</w:t>
            </w:r>
          </w:p>
        </w:tc>
        <w:tc>
          <w:tcPr>
            <w:tcW w:w="3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7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黑色/棕色</w:t>
            </w:r>
          </w:p>
        </w:tc>
      </w:tr>
    </w:tbl>
    <w:p w14:paraId="614E1A0D">
      <w:pPr>
        <w:pStyle w:val="37"/>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snapToGrid w:val="0"/>
          <w:color w:val="auto"/>
          <w:sz w:val="24"/>
          <w:szCs w:val="24"/>
          <w:highlight w:val="none"/>
          <w:lang w:val="en-US" w:eastAsia="zh-CN"/>
        </w:rPr>
      </w:pPr>
      <w:r>
        <w:rPr>
          <w:rFonts w:hint="eastAsia"/>
          <w:snapToGrid w:val="0"/>
          <w:color w:val="auto"/>
          <w:sz w:val="24"/>
          <w:szCs w:val="24"/>
          <w:highlight w:val="none"/>
          <w:lang w:val="en-US" w:eastAsia="zh-CN"/>
        </w:rPr>
        <w:t xml:space="preserve"> </w:t>
      </w:r>
    </w:p>
    <w:p w14:paraId="2506906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bCs/>
          <w:color w:val="auto"/>
          <w:sz w:val="24"/>
          <w:szCs w:val="24"/>
        </w:rPr>
      </w:pPr>
      <w:bookmarkStart w:id="514" w:name="_Toc12760"/>
      <w:r>
        <w:rPr>
          <w:rFonts w:hint="default" w:ascii="Times New Roman" w:hAnsi="Times New Roman" w:eastAsia="宋体" w:cs="Times New Roman"/>
          <w:b/>
          <w:bCs/>
          <w:color w:val="auto"/>
          <w:sz w:val="24"/>
          <w:szCs w:val="24"/>
        </w:rPr>
        <w:t>四、需落实的政府采购政策功能</w:t>
      </w:r>
      <w:bookmarkEnd w:id="514"/>
    </w:p>
    <w:p w14:paraId="4706622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default" w:ascii="Times New Roman" w:hAnsi="Times New Roman" w:eastAsia="宋体" w:cs="Times New Roman"/>
          <w:b/>
          <w:bCs/>
          <w:color w:val="auto"/>
          <w:sz w:val="24"/>
          <w:szCs w:val="24"/>
        </w:rPr>
      </w:pPr>
      <w:bookmarkStart w:id="515" w:name="_Toc5558"/>
      <w:bookmarkStart w:id="516" w:name="_Toc17448"/>
      <w:r>
        <w:rPr>
          <w:rFonts w:hint="default" w:ascii="Times New Roman" w:hAnsi="Times New Roman" w:eastAsia="宋体" w:cs="Times New Roman"/>
          <w:b/>
          <w:bCs/>
          <w:color w:val="auto"/>
          <w:sz w:val="24"/>
          <w:szCs w:val="24"/>
        </w:rPr>
        <w:t>（一）支持绿色发展</w:t>
      </w:r>
      <w:bookmarkEnd w:id="515"/>
      <w:bookmarkEnd w:id="516"/>
    </w:p>
    <w:p w14:paraId="0D9546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1.支持绿色发展</w:t>
      </w:r>
    </w:p>
    <w:p w14:paraId="10C2F8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（1）本次采购内容中所包含的节能产品政府采购品目清单:无。</w:t>
      </w:r>
    </w:p>
    <w:p w14:paraId="06A26F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（2）本次采购内容中所包含的环境标志产品:无。</w:t>
      </w:r>
    </w:p>
    <w:p w14:paraId="56B995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color w:val="auto"/>
          <w:sz w:val="24"/>
          <w:szCs w:val="24"/>
          <w:lang w:val="en-US" w:eastAsia="zh-CN"/>
        </w:rPr>
        <w:t>（3）根据《商品包装政府采购需求标准（试行）》、《快递包装政府采购需求标准（试行）》（财办库〔2020〕123号文）商品包装、快递包装的要求。</w:t>
      </w:r>
      <w:r>
        <w:rPr>
          <w:rFonts w:hint="default" w:ascii="Times New Roman" w:hAnsi="Times New Roman" w:eastAsia="宋体" w:cs="Times New Roman"/>
          <w:iCs/>
          <w:color w:val="auto"/>
          <w:sz w:val="24"/>
          <w:szCs w:val="24"/>
          <w:lang w:eastAsia="zh-Hans"/>
        </w:rPr>
        <w:t>政府采购货物、工程和服务项目中涉及商品包装和快递包装的，要参考包装需求标准，本项目</w:t>
      </w:r>
      <w:r>
        <w:rPr>
          <w:rFonts w:hint="default" w:ascii="Times New Roman" w:hAnsi="Times New Roman" w:eastAsia="宋体" w:cs="Times New Roman"/>
          <w:iCs/>
          <w:color w:val="auto"/>
          <w:sz w:val="24"/>
          <w:szCs w:val="24"/>
          <w:lang w:eastAsia="zh-CN"/>
        </w:rPr>
        <w:t>供应商</w:t>
      </w:r>
      <w:r>
        <w:rPr>
          <w:rFonts w:hint="default" w:ascii="Times New Roman" w:hAnsi="Times New Roman" w:eastAsia="宋体" w:cs="Times New Roman"/>
          <w:iCs/>
          <w:color w:val="auto"/>
          <w:sz w:val="24"/>
          <w:szCs w:val="24"/>
          <w:lang w:eastAsia="zh-Hans"/>
        </w:rPr>
        <w:t>提供产品及相关快递服务的，具体包装要求参照上述文件标准</w:t>
      </w:r>
      <w:r>
        <w:rPr>
          <w:rFonts w:hint="default" w:ascii="Times New Roman" w:hAnsi="Times New Roman" w:eastAsia="宋体" w:cs="Times New Roman"/>
          <w:iCs/>
          <w:color w:val="auto"/>
          <w:sz w:val="24"/>
          <w:szCs w:val="24"/>
          <w:lang w:eastAsia="zh-CN"/>
        </w:rPr>
        <w:t>，</w:t>
      </w:r>
      <w:r>
        <w:rPr>
          <w:rFonts w:hint="default" w:ascii="Times New Roman" w:hAnsi="Times New Roman" w:eastAsia="宋体" w:cs="Times New Roman"/>
          <w:iCs/>
          <w:color w:val="auto"/>
          <w:sz w:val="24"/>
          <w:szCs w:val="24"/>
          <w:lang w:val="en-US" w:eastAsia="zh-CN"/>
        </w:rPr>
        <w:t>要求如下：</w:t>
      </w:r>
    </w:p>
    <w:p w14:paraId="401A57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①商品包装环保要求：</w:t>
      </w:r>
    </w:p>
    <w:p w14:paraId="31E066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1)商品包装层数不得超过3层，空隙率不大于 40%；</w:t>
      </w:r>
    </w:p>
    <w:p w14:paraId="1E28FB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2)商品包装尽可能使用单一材质的包装材料，如因功能需求必需使用不同材质，不同材质间应便于分离；</w:t>
      </w:r>
    </w:p>
    <w:p w14:paraId="0E3006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3)商品包装中铅、汞、镉、六价铬的总含量应不大于100mg/kg；</w:t>
      </w:r>
    </w:p>
    <w:p w14:paraId="55BAED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4)商品包装印刷使用的油墨中挥发性有机化合物(VOCs)含量应不大于 5%（以重量计）；</w:t>
      </w:r>
    </w:p>
    <w:p w14:paraId="15C3FB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5)塑料材质商品包装上呈现的印刷颜色不得超过 6 色；</w:t>
      </w:r>
    </w:p>
    <w:p w14:paraId="6C0E27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6)纸质商品包装应使用75%以上的可再生纤维原料生产；</w:t>
      </w:r>
    </w:p>
    <w:p w14:paraId="4671A5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7)木质商品包装的原料应来源于可持续性森林。</w:t>
      </w:r>
    </w:p>
    <w:p w14:paraId="2EBF81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②快递包装环保要求：</w:t>
      </w:r>
    </w:p>
    <w:p w14:paraId="1E337E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1)快递包装中重金属（铅、汞、镉、六价铬）总量应不大于 100mg/kg；</w:t>
      </w:r>
    </w:p>
    <w:p w14:paraId="458279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2)快递包装印刷使用的油墨中不应添加邻苯二甲酸酯，其挥发性有机化合物(VOCs)含量应不大于 5%（以重量计）；</w:t>
      </w:r>
    </w:p>
    <w:p w14:paraId="121C8A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3)快递包装中使用纸基材的包装材料，纸基材中的有机氯的含量应不大于 150 mg/kg；</w:t>
      </w:r>
    </w:p>
    <w:p w14:paraId="3CA5F1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4)快递包装中使用塑料基材的包装材料不得使用邻苯二甲酸二异壬酯、邻苯二甲酸二正辛酯、邻苯二甲酸二(2- 乙基)己酯、邻苯二甲酸二异癸酯、邻苯二甲酸丁基苄基酯、邻苯二甲酸二丁酯等作为增塑剂；</w:t>
      </w:r>
    </w:p>
    <w:p w14:paraId="10EBD6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5)快递中使用的塑料包装袋不得使用聚氯乙烯作为原料，且原料应为单一材质制成，生物分解率大于 60%；</w:t>
      </w:r>
    </w:p>
    <w:p w14:paraId="107813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6)快递中使用的充气类填充物不得使用聚氯乙烯作为原料，且原料为单一材质制成，生物分解率大于 60%；</w:t>
      </w:r>
    </w:p>
    <w:p w14:paraId="4DAFA5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7)快递中使用的集装袋应为单一材质制成，其重复使用次数应不小于 80 次；</w:t>
      </w:r>
    </w:p>
    <w:p w14:paraId="3F62B1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8)快递中应使用幅宽不大于 45mm 的生物降解胶带；</w:t>
      </w:r>
    </w:p>
    <w:p w14:paraId="1DA58A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9)快递包装中不得使用溶剂型胶粘剂；</w:t>
      </w:r>
    </w:p>
    <w:p w14:paraId="1FA94B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10)快递应使用电子面单；</w:t>
      </w:r>
    </w:p>
    <w:p w14:paraId="71F499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11)直接使用商品包装作为快递包装的商品，其商品包装满足《商品包装政府采购需求标准（试行）》即可；</w:t>
      </w:r>
    </w:p>
    <w:p w14:paraId="6A7C6B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Hans"/>
        </w:rPr>
      </w:pPr>
      <w:r>
        <w:rPr>
          <w:rFonts w:hint="default" w:ascii="Times New Roman" w:hAnsi="Times New Roman" w:eastAsia="宋体" w:cs="Times New Roman"/>
          <w:iCs/>
          <w:color w:val="auto"/>
          <w:sz w:val="24"/>
          <w:szCs w:val="24"/>
          <w:lang w:val="en-US" w:eastAsia="zh-Hans"/>
        </w:rPr>
        <w:t>12)快递包装产品质量和封装方式应符合相关国家或行业标准技术指标要求。</w:t>
      </w:r>
    </w:p>
    <w:p w14:paraId="754DF90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default" w:ascii="Times New Roman" w:hAnsi="Times New Roman" w:eastAsia="宋体" w:cs="Times New Roman"/>
          <w:b/>
          <w:bCs/>
          <w:color w:val="auto"/>
          <w:sz w:val="24"/>
          <w:szCs w:val="24"/>
        </w:rPr>
      </w:pPr>
      <w:bookmarkStart w:id="517" w:name="_Toc16777"/>
      <w:bookmarkStart w:id="518" w:name="_Toc29984"/>
      <w:r>
        <w:rPr>
          <w:rFonts w:hint="default" w:ascii="Times New Roman" w:hAnsi="Times New Roman" w:eastAsia="宋体" w:cs="Times New Roman"/>
          <w:b/>
          <w:bCs/>
          <w:color w:val="auto"/>
          <w:sz w:val="24"/>
          <w:szCs w:val="24"/>
        </w:rPr>
        <w:t>（二）支持中小企业发展</w:t>
      </w:r>
      <w:bookmarkEnd w:id="517"/>
      <w:bookmarkEnd w:id="518"/>
    </w:p>
    <w:p w14:paraId="1495E4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CN"/>
        </w:rPr>
      </w:pPr>
      <w:r>
        <w:rPr>
          <w:rFonts w:hint="default" w:ascii="Times New Roman" w:hAnsi="Times New Roman" w:eastAsia="宋体" w:cs="Times New Roman"/>
          <w:iCs/>
          <w:color w:val="auto"/>
          <w:sz w:val="24"/>
          <w:szCs w:val="24"/>
          <w:lang w:val="en-US" w:eastAsia="zh-CN"/>
        </w:rPr>
        <w:t>1.根据关于印发《政府采购促进中小企业发展管理办法》的通知（财库[2020]46号）、关于进一步加大政府采购支持中小企业力度的通知（财库〔2022〕19号）及关于印发《中小企业划型标准规定》的通知（工信部联企业[2011]300号）规定，给予小型和微型企业产品或服务的价格给予10%-20%的扣除，用扣除后的价格参与评审（监狱企业、残疾人福利性质单位视同为小微企业）；</w:t>
      </w:r>
    </w:p>
    <w:p w14:paraId="661C87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CN"/>
        </w:rPr>
      </w:pPr>
      <w:r>
        <w:rPr>
          <w:rFonts w:hint="default" w:ascii="Times New Roman" w:hAnsi="Times New Roman" w:eastAsia="宋体" w:cs="Times New Roman"/>
          <w:iCs/>
          <w:color w:val="auto"/>
          <w:sz w:val="24"/>
          <w:szCs w:val="24"/>
          <w:lang w:val="en-US" w:eastAsia="zh-CN"/>
        </w:rPr>
        <w:t>2.本项目为非专门面向中小企业采购的项目。</w:t>
      </w:r>
    </w:p>
    <w:p w14:paraId="67F70F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CN"/>
        </w:rPr>
      </w:pPr>
      <w:r>
        <w:rPr>
          <w:rFonts w:hint="default" w:ascii="Times New Roman" w:hAnsi="Times New Roman" w:eastAsia="宋体" w:cs="Times New Roman"/>
          <w:iCs/>
          <w:color w:val="auto"/>
          <w:sz w:val="24"/>
          <w:szCs w:val="24"/>
          <w:lang w:val="en-US" w:eastAsia="zh-CN"/>
        </w:rPr>
        <w:t>3.本次采购小型和微型企业产品的价格扣除幅度：价格给予</w:t>
      </w:r>
      <w:r>
        <w:rPr>
          <w:rFonts w:hint="default" w:ascii="Times New Roman" w:hAnsi="Times New Roman" w:eastAsia="宋体" w:cs="Times New Roman"/>
          <w:b/>
          <w:bCs/>
          <w:iCs/>
          <w:color w:val="auto"/>
          <w:sz w:val="24"/>
          <w:szCs w:val="24"/>
          <w:u w:val="single"/>
          <w:lang w:val="en-US" w:eastAsia="zh-CN"/>
        </w:rPr>
        <w:t>1</w:t>
      </w:r>
      <w:r>
        <w:rPr>
          <w:rFonts w:hint="eastAsia" w:ascii="Times New Roman" w:hAnsi="Times New Roman" w:cs="Times New Roman"/>
          <w:b/>
          <w:bCs/>
          <w:iCs/>
          <w:color w:val="auto"/>
          <w:sz w:val="24"/>
          <w:szCs w:val="24"/>
          <w:u w:val="single"/>
          <w:lang w:val="en-US" w:eastAsia="zh-CN"/>
        </w:rPr>
        <w:t>0</w:t>
      </w:r>
      <w:r>
        <w:rPr>
          <w:rFonts w:hint="default" w:ascii="Times New Roman" w:hAnsi="Times New Roman" w:eastAsia="宋体" w:cs="Times New Roman"/>
          <w:b/>
          <w:bCs/>
          <w:iCs/>
          <w:color w:val="auto"/>
          <w:sz w:val="24"/>
          <w:szCs w:val="24"/>
          <w:u w:val="single"/>
          <w:lang w:val="en-US" w:eastAsia="zh-CN"/>
        </w:rPr>
        <w:t>%</w:t>
      </w:r>
      <w:r>
        <w:rPr>
          <w:rFonts w:hint="default" w:ascii="Times New Roman" w:hAnsi="Times New Roman" w:eastAsia="宋体" w:cs="Times New Roman"/>
          <w:iCs/>
          <w:color w:val="auto"/>
          <w:sz w:val="24"/>
          <w:szCs w:val="24"/>
          <w:lang w:val="en-US" w:eastAsia="zh-CN"/>
        </w:rPr>
        <w:t>的扣除，供应商应出具采购文件中要求的有效的《中小企业声明函》，否则评审时不予认可；同时，根据《关于开展政府采购合同信用融资工作的通知》，参与政府采购项目的中小企业可以选择采用合同信用融资（参与政府采购的中小微企业（以下简称供应商），凭借中标（成交）通知书或政府采购合同向金融机构申请融资，金融机构以供应商信用审查和政府采购信誉为基础，按便捷贷款程序和优惠利率，为其发放无财产抵押贷款的一种融资模式），相关金融产品、金融机构联系方式可通过“兵团政府采购信用融资服务平台”查询。</w:t>
      </w:r>
    </w:p>
    <w:p w14:paraId="399476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CN"/>
        </w:rPr>
      </w:pPr>
      <w:r>
        <w:rPr>
          <w:rFonts w:hint="default" w:ascii="Times New Roman" w:hAnsi="Times New Roman" w:eastAsia="宋体" w:cs="Times New Roman"/>
          <w:iCs/>
          <w:color w:val="auto"/>
          <w:sz w:val="24"/>
          <w:szCs w:val="24"/>
          <w:lang w:val="en-US" w:eastAsia="zh-CN"/>
        </w:rPr>
        <w:t>4.本次采购标的为：</w:t>
      </w:r>
      <w:r>
        <w:rPr>
          <w:rFonts w:hint="default" w:ascii="Times New Roman" w:hAnsi="Times New Roman" w:eastAsia="宋体" w:cs="Times New Roman"/>
          <w:b/>
          <w:bCs/>
          <w:iCs/>
          <w:color w:val="auto"/>
          <w:sz w:val="24"/>
          <w:szCs w:val="24"/>
          <w:lang w:val="en-US" w:eastAsia="zh-CN"/>
        </w:rPr>
        <w:t>（</w:t>
      </w:r>
      <w:r>
        <w:rPr>
          <w:rFonts w:hint="eastAsia" w:eastAsia="宋体" w:cs="Times New Roman"/>
          <w:b/>
          <w:bCs/>
          <w:iCs/>
          <w:color w:val="auto"/>
          <w:sz w:val="24"/>
          <w:szCs w:val="24"/>
          <w:u w:val="single"/>
          <w:lang w:val="en-US" w:eastAsia="zh-CN"/>
        </w:rPr>
        <w:t>新能源</w:t>
      </w:r>
      <w:r>
        <w:rPr>
          <w:rFonts w:hint="eastAsia" w:cs="Times New Roman"/>
          <w:b/>
          <w:bCs/>
          <w:iCs/>
          <w:color w:val="auto"/>
          <w:sz w:val="24"/>
          <w:szCs w:val="24"/>
          <w:u w:val="single"/>
          <w:lang w:val="en-US" w:eastAsia="zh-CN"/>
        </w:rPr>
        <w:t>商务</w:t>
      </w:r>
      <w:r>
        <w:rPr>
          <w:rFonts w:hint="default" w:ascii="Times New Roman" w:hAnsi="Times New Roman" w:eastAsia="宋体" w:cs="Times New Roman"/>
          <w:b/>
          <w:bCs/>
          <w:iCs/>
          <w:color w:val="auto"/>
          <w:sz w:val="24"/>
          <w:szCs w:val="24"/>
          <w:u w:val="single"/>
          <w:lang w:val="en-US" w:eastAsia="zh-CN"/>
        </w:rPr>
        <w:t>车</w:t>
      </w:r>
      <w:r>
        <w:rPr>
          <w:rFonts w:hint="default" w:ascii="Times New Roman" w:hAnsi="Times New Roman" w:eastAsia="宋体" w:cs="Times New Roman"/>
          <w:b/>
          <w:bCs/>
          <w:iCs/>
          <w:color w:val="auto"/>
          <w:sz w:val="24"/>
          <w:szCs w:val="24"/>
          <w:lang w:val="en-US" w:eastAsia="zh-CN"/>
        </w:rPr>
        <w:t>）</w:t>
      </w:r>
      <w:r>
        <w:rPr>
          <w:rFonts w:hint="default" w:ascii="Times New Roman" w:hAnsi="Times New Roman" w:eastAsia="宋体" w:cs="Times New Roman"/>
          <w:b w:val="0"/>
          <w:bCs w:val="0"/>
          <w:iCs/>
          <w:color w:val="auto"/>
          <w:sz w:val="24"/>
          <w:szCs w:val="24"/>
          <w:lang w:val="en-US" w:eastAsia="zh-CN"/>
        </w:rPr>
        <w:t>，</w:t>
      </w:r>
      <w:r>
        <w:rPr>
          <w:rFonts w:hint="default" w:ascii="Times New Roman" w:hAnsi="Times New Roman" w:eastAsia="宋体" w:cs="Times New Roman"/>
          <w:iCs/>
          <w:color w:val="auto"/>
          <w:sz w:val="24"/>
          <w:szCs w:val="24"/>
          <w:lang w:val="en-US" w:eastAsia="zh-CN"/>
        </w:rPr>
        <w:t>对应的所属行业为：</w:t>
      </w:r>
      <w:r>
        <w:rPr>
          <w:rFonts w:hint="default" w:ascii="Times New Roman" w:hAnsi="Times New Roman" w:eastAsia="宋体" w:cs="Times New Roman"/>
          <w:b/>
          <w:bCs/>
          <w:iCs/>
          <w:color w:val="auto"/>
          <w:sz w:val="24"/>
          <w:szCs w:val="24"/>
          <w:u w:val="single"/>
          <w:lang w:val="en-US" w:eastAsia="zh-CN"/>
        </w:rPr>
        <w:t>工业</w:t>
      </w:r>
      <w:r>
        <w:rPr>
          <w:rFonts w:hint="default" w:ascii="Times New Roman" w:hAnsi="Times New Roman" w:eastAsia="宋体" w:cs="Times New Roman"/>
          <w:iCs/>
          <w:color w:val="auto"/>
          <w:sz w:val="24"/>
          <w:szCs w:val="24"/>
          <w:lang w:val="en-US" w:eastAsia="zh-CN"/>
        </w:rPr>
        <w:t>；</w:t>
      </w:r>
    </w:p>
    <w:p w14:paraId="5045A1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val="en-US" w:eastAsia="zh-CN"/>
        </w:rPr>
      </w:pPr>
      <w:r>
        <w:rPr>
          <w:rFonts w:hint="default" w:ascii="Times New Roman" w:hAnsi="Times New Roman" w:eastAsia="宋体" w:cs="Times New Roman"/>
          <w:iCs/>
          <w:color w:val="auto"/>
          <w:sz w:val="24"/>
          <w:szCs w:val="24"/>
          <w:lang w:val="en-US" w:eastAsia="zh-CN"/>
        </w:rPr>
        <w:t>5.项目属性为“</w:t>
      </w:r>
      <w:r>
        <w:rPr>
          <w:rFonts w:hint="default" w:ascii="Times New Roman" w:hAnsi="Times New Roman" w:eastAsia="宋体" w:cs="Times New Roman"/>
          <w:b/>
          <w:bCs/>
          <w:iCs/>
          <w:color w:val="auto"/>
          <w:sz w:val="24"/>
          <w:szCs w:val="24"/>
          <w:u w:val="single"/>
          <w:lang w:val="en-US" w:eastAsia="zh-CN"/>
        </w:rPr>
        <w:t>货物</w:t>
      </w:r>
      <w:r>
        <w:rPr>
          <w:rFonts w:hint="default" w:ascii="Times New Roman" w:hAnsi="Times New Roman" w:eastAsia="宋体" w:cs="Times New Roman"/>
          <w:iCs/>
          <w:color w:val="auto"/>
          <w:sz w:val="24"/>
          <w:szCs w:val="24"/>
          <w:lang w:val="en-US" w:eastAsia="zh-CN"/>
        </w:rPr>
        <w:t>”</w:t>
      </w:r>
    </w:p>
    <w:p w14:paraId="07DCE7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iCs/>
          <w:color w:val="auto"/>
          <w:sz w:val="24"/>
          <w:szCs w:val="24"/>
          <w:lang w:eastAsia="zh-CN"/>
        </w:rPr>
      </w:pPr>
      <w:r>
        <w:rPr>
          <w:rFonts w:hint="default" w:ascii="Times New Roman" w:hAnsi="Times New Roman" w:eastAsia="宋体" w:cs="Times New Roman"/>
          <w:iCs/>
          <w:color w:val="auto"/>
          <w:sz w:val="24"/>
          <w:szCs w:val="24"/>
          <w:lang w:val="en-US" w:eastAsia="zh-CN"/>
        </w:rPr>
        <w:t>说明：</w:t>
      </w:r>
      <w:r>
        <w:rPr>
          <w:rFonts w:hint="default" w:ascii="Times New Roman" w:hAnsi="Times New Roman" w:eastAsia="宋体" w:cs="Times New Roman"/>
          <w:b/>
          <w:bCs/>
          <w:iCs/>
          <w:color w:val="auto"/>
          <w:sz w:val="24"/>
          <w:szCs w:val="24"/>
          <w:u w:val="none"/>
          <w:lang w:val="en-US" w:eastAsia="zh-CN"/>
        </w:rPr>
        <w:t>（1）在货物采购项目中，供应商提供的货物既有中小企业制造货物，也有大型企业制造货物的，不享受本办法规定的中小企业扶持政策。</w:t>
      </w:r>
      <w:r>
        <w:rPr>
          <w:rFonts w:hint="default" w:ascii="Times New Roman" w:hAnsi="Times New Roman" w:eastAsia="宋体" w:cs="Times New Roman"/>
          <w:iCs/>
          <w:color w:val="auto"/>
          <w:sz w:val="24"/>
          <w:szCs w:val="24"/>
          <w:lang w:val="en-US" w:eastAsia="zh-CN"/>
        </w:rPr>
        <w:t>（2）供应商应当按照采购标的及采购标的对应的所属行业制作《中小企业声明函》，否则视为无效《中小企业声明函》。（3）供应商须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AB0C977">
      <w:pPr>
        <w:rPr>
          <w:rFonts w:hint="eastAsia" w:ascii="宋体" w:hAnsi="宋体" w:eastAsia="宋体"/>
          <w:b/>
          <w:bCs/>
          <w:snapToGrid w:val="0"/>
          <w:color w:val="auto"/>
          <w:sz w:val="24"/>
          <w:szCs w:val="24"/>
          <w:highlight w:val="none"/>
          <w:lang w:val="en-US" w:eastAsia="zh-CN"/>
        </w:rPr>
      </w:pPr>
      <w:r>
        <w:rPr>
          <w:rFonts w:hint="eastAsia" w:ascii="宋体" w:hAnsi="宋体" w:eastAsia="宋体"/>
          <w:b/>
          <w:bCs/>
          <w:snapToGrid w:val="0"/>
          <w:color w:val="auto"/>
          <w:sz w:val="24"/>
          <w:szCs w:val="24"/>
          <w:highlight w:val="none"/>
          <w:lang w:val="en-US" w:eastAsia="zh-CN"/>
        </w:rPr>
        <w:br w:type="page"/>
      </w:r>
    </w:p>
    <w:bookmarkEnd w:id="510"/>
    <w:bookmarkEnd w:id="511"/>
    <w:p w14:paraId="11B227F7">
      <w:pPr>
        <w:pStyle w:val="2"/>
        <w:keepNext/>
        <w:keepLines/>
        <w:pageBreakBefore w:val="0"/>
        <w:widowControl w:val="0"/>
        <w:numPr>
          <w:ilvl w:val="0"/>
          <w:numId w:val="0"/>
        </w:numPr>
        <w:kinsoku/>
        <w:wordWrap/>
        <w:overflowPunct/>
        <w:topLinePunct w:val="0"/>
        <w:autoSpaceDE/>
        <w:autoSpaceDN/>
        <w:bidi w:val="0"/>
        <w:adjustRightInd/>
        <w:snapToGrid/>
        <w:spacing w:before="100" w:after="10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519" w:name="_Toc16160"/>
      <w:bookmarkStart w:id="520" w:name="_Toc155185895"/>
      <w:r>
        <w:rPr>
          <w:rFonts w:hint="eastAsia" w:ascii="宋体" w:hAnsi="宋体" w:eastAsia="宋体" w:cs="宋体"/>
          <w:b/>
          <w:bCs/>
          <w:color w:val="auto"/>
          <w:kern w:val="44"/>
          <w:sz w:val="36"/>
          <w:szCs w:val="36"/>
          <w:highlight w:val="none"/>
          <w:lang w:val="en-US" w:eastAsia="zh-CN" w:bidi="ar-SA"/>
        </w:rPr>
        <w:t>第四章 资格审查</w:t>
      </w:r>
      <w:bookmarkEnd w:id="519"/>
      <w:bookmarkEnd w:id="520"/>
    </w:p>
    <w:p w14:paraId="2133133E">
      <w:pPr>
        <w:pStyle w:val="3"/>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zh-CN" w:eastAsia="zh-CN"/>
        </w:rPr>
      </w:pPr>
      <w:bookmarkStart w:id="521" w:name="_Toc16612"/>
      <w:r>
        <w:rPr>
          <w:rFonts w:hint="eastAsia"/>
          <w:color w:val="auto"/>
          <w:sz w:val="28"/>
          <w:szCs w:val="28"/>
          <w:highlight w:val="none"/>
          <w:lang w:val="en-US" w:eastAsia="zh-CN"/>
        </w:rPr>
        <w:t>一、资格审查程序</w:t>
      </w:r>
      <w:bookmarkEnd w:id="521"/>
      <w:r>
        <w:rPr>
          <w:rFonts w:hint="eastAsia"/>
          <w:color w:val="auto"/>
          <w:sz w:val="28"/>
          <w:szCs w:val="28"/>
          <w:highlight w:val="none"/>
          <w:lang w:val="en-US" w:eastAsia="zh-CN"/>
        </w:rPr>
        <w:t xml:space="preserve"> </w:t>
      </w:r>
    </w:p>
    <w:p w14:paraId="4E4090D3">
      <w:pPr>
        <w:pStyle w:val="37"/>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 开标结束后，采购人或者采购代理机构将根据《资格审查要求》中的规定，对投标人进行资格审查，并形成资格审查结果。 </w:t>
      </w:r>
    </w:p>
    <w:p w14:paraId="62799CDE">
      <w:pPr>
        <w:pStyle w:val="37"/>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 投标人《资格证明文件》有任何一项不符合《资格审查要求》的，资格审查不合格，其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 xml:space="preserve">。 </w:t>
      </w:r>
    </w:p>
    <w:p w14:paraId="37E914D8">
      <w:pPr>
        <w:pStyle w:val="37"/>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 资格审查合格的投标人不足 3 家的，不进行评标。 </w:t>
      </w:r>
    </w:p>
    <w:p w14:paraId="1720E868">
      <w:pPr>
        <w:pStyle w:val="3"/>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en-US" w:eastAsia="zh-CN"/>
        </w:rPr>
      </w:pPr>
      <w:bookmarkStart w:id="522" w:name="_Toc2211"/>
      <w:r>
        <w:rPr>
          <w:rFonts w:hint="eastAsia"/>
          <w:color w:val="auto"/>
          <w:sz w:val="28"/>
          <w:szCs w:val="28"/>
          <w:highlight w:val="none"/>
          <w:lang w:val="en-US" w:eastAsia="zh-CN"/>
        </w:rPr>
        <w:t>二、资格审查要求</w:t>
      </w:r>
      <w:bookmarkEnd w:id="522"/>
      <w:r>
        <w:rPr>
          <w:rFonts w:hint="eastAsia"/>
          <w:color w:val="auto"/>
          <w:sz w:val="28"/>
          <w:szCs w:val="28"/>
          <w:highlight w:val="none"/>
          <w:lang w:val="en-US" w:eastAsia="zh-CN"/>
        </w:rPr>
        <w:t xml:space="preserve"> </w:t>
      </w:r>
    </w:p>
    <w:tbl>
      <w:tblPr>
        <w:tblStyle w:val="30"/>
        <w:tblW w:w="54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20"/>
        <w:gridCol w:w="1866"/>
        <w:gridCol w:w="5155"/>
        <w:gridCol w:w="1496"/>
      </w:tblGrid>
      <w:tr w14:paraId="4C40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8" w:hRule="atLeast"/>
          <w:jc w:val="center"/>
        </w:trPr>
        <w:tc>
          <w:tcPr>
            <w:tcW w:w="439" w:type="pct"/>
            <w:shd w:val="clear" w:color="auto" w:fill="D8D8D8" w:themeFill="background1" w:themeFillShade="D9"/>
            <w:vAlign w:val="center"/>
          </w:tcPr>
          <w:p w14:paraId="31F150F3">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99" w:type="pct"/>
            <w:shd w:val="clear" w:color="auto" w:fill="D8D8D8" w:themeFill="background1" w:themeFillShade="D9"/>
            <w:vAlign w:val="center"/>
          </w:tcPr>
          <w:p w14:paraId="29694278">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审查因素</w:t>
            </w:r>
          </w:p>
        </w:tc>
        <w:tc>
          <w:tcPr>
            <w:tcW w:w="2760" w:type="pct"/>
            <w:shd w:val="clear" w:color="auto" w:fill="D8D8D8" w:themeFill="background1" w:themeFillShade="D9"/>
            <w:vAlign w:val="center"/>
          </w:tcPr>
          <w:p w14:paraId="635BC09B">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801" w:type="pct"/>
            <w:shd w:val="clear" w:color="auto" w:fill="D8D8D8" w:themeFill="background1" w:themeFillShade="D9"/>
            <w:vAlign w:val="center"/>
          </w:tcPr>
          <w:p w14:paraId="6075A15A">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格式要求</w:t>
            </w:r>
          </w:p>
        </w:tc>
      </w:tr>
      <w:tr w14:paraId="6969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636EB3B4">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999" w:type="pct"/>
            <w:shd w:val="clear" w:color="auto" w:fill="FFFFFF" w:themeFill="background1"/>
            <w:vAlign w:val="center"/>
          </w:tcPr>
          <w:p w14:paraId="267C1675">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满足《政府采购 </w:t>
            </w:r>
          </w:p>
          <w:p w14:paraId="58A237A7">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法》第二十二条 </w:t>
            </w:r>
          </w:p>
          <w:p w14:paraId="4DBD5590">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规定</w:t>
            </w:r>
          </w:p>
        </w:tc>
        <w:tc>
          <w:tcPr>
            <w:tcW w:w="2760" w:type="pct"/>
            <w:shd w:val="clear" w:color="auto" w:fill="FFFFFF" w:themeFill="background1"/>
            <w:vAlign w:val="center"/>
          </w:tcPr>
          <w:p w14:paraId="215E0855">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具体规定见“第一章 招标公告”</w:t>
            </w:r>
          </w:p>
        </w:tc>
        <w:tc>
          <w:tcPr>
            <w:tcW w:w="801" w:type="pct"/>
            <w:shd w:val="clear" w:color="auto" w:fill="FFFFFF" w:themeFill="background1"/>
            <w:vAlign w:val="center"/>
          </w:tcPr>
          <w:p w14:paraId="24AF5599">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p>
        </w:tc>
      </w:tr>
      <w:tr w14:paraId="26E7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77" w:hRule="atLeast"/>
          <w:jc w:val="center"/>
        </w:trPr>
        <w:tc>
          <w:tcPr>
            <w:tcW w:w="439" w:type="pct"/>
            <w:shd w:val="clear" w:color="auto" w:fill="FFFFFF" w:themeFill="background1"/>
            <w:vAlign w:val="center"/>
          </w:tcPr>
          <w:p w14:paraId="1AF8CF7F">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w:t>
            </w:r>
          </w:p>
        </w:tc>
        <w:tc>
          <w:tcPr>
            <w:tcW w:w="999" w:type="pct"/>
            <w:shd w:val="clear" w:color="auto" w:fill="FFFFFF" w:themeFill="background1"/>
            <w:vAlign w:val="center"/>
          </w:tcPr>
          <w:p w14:paraId="055CD5DC">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营业执照等证明文件</w:t>
            </w:r>
          </w:p>
        </w:tc>
        <w:tc>
          <w:tcPr>
            <w:tcW w:w="2760" w:type="pct"/>
            <w:shd w:val="clear" w:color="auto" w:fill="FFFFFF" w:themeFill="background1"/>
            <w:vAlign w:val="center"/>
          </w:tcPr>
          <w:p w14:paraId="7DB1C26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投标人为企业（包括合伙企业）的，应提供有效的“营业执照”； </w:t>
            </w:r>
          </w:p>
          <w:p w14:paraId="693E34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投标人为事业单位的，应提供有效的“事业单位法人证书” ； </w:t>
            </w:r>
          </w:p>
          <w:p w14:paraId="0BB3751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投标人是非企业机构的，应提供有效的“执业许可证”、“登记证书”等证明文件； </w:t>
            </w:r>
          </w:p>
          <w:p w14:paraId="0667B6C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投标人是个体工商户的，应提供有效的“个体工商户营业执照”； </w:t>
            </w:r>
          </w:p>
          <w:p w14:paraId="3CB603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bidi="ar"/>
              </w:rPr>
              <w:t>投标人是自然人的，应提供有效的自然人身份证明。</w:t>
            </w:r>
          </w:p>
        </w:tc>
        <w:tc>
          <w:tcPr>
            <w:tcW w:w="801" w:type="pct"/>
            <w:shd w:val="clear" w:color="auto" w:fill="FFFFFF" w:themeFill="background1"/>
            <w:vAlign w:val="center"/>
          </w:tcPr>
          <w:p w14:paraId="60CD4B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提供证明文件的电子件或电子证照</w:t>
            </w:r>
          </w:p>
        </w:tc>
      </w:tr>
      <w:tr w14:paraId="5486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1B6B10C6">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w:t>
            </w:r>
          </w:p>
        </w:tc>
        <w:tc>
          <w:tcPr>
            <w:tcW w:w="999" w:type="pct"/>
            <w:shd w:val="clear" w:color="auto" w:fill="FFFFFF" w:themeFill="background1"/>
            <w:vAlign w:val="center"/>
          </w:tcPr>
          <w:p w14:paraId="1BD0E12D">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投标人信用承诺函</w:t>
            </w:r>
          </w:p>
        </w:tc>
        <w:tc>
          <w:tcPr>
            <w:tcW w:w="2760" w:type="pct"/>
            <w:shd w:val="clear" w:color="auto" w:fill="FFFFFF" w:themeFill="background1"/>
            <w:vAlign w:val="center"/>
          </w:tcPr>
          <w:p w14:paraId="041E784F">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提供了符合招标文件要求的《兵团政府采购供应商信用承诺函》。</w:t>
            </w:r>
          </w:p>
        </w:tc>
        <w:tc>
          <w:tcPr>
            <w:tcW w:w="801" w:type="pct"/>
            <w:shd w:val="clear" w:color="auto" w:fill="FFFFFF" w:themeFill="background1"/>
            <w:vAlign w:val="center"/>
          </w:tcPr>
          <w:p w14:paraId="1422A2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格式见《第七章 投标文件格式》</w:t>
            </w:r>
          </w:p>
        </w:tc>
      </w:tr>
      <w:tr w14:paraId="0881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28" w:hRule="atLeast"/>
          <w:jc w:val="center"/>
        </w:trPr>
        <w:tc>
          <w:tcPr>
            <w:tcW w:w="439" w:type="pct"/>
            <w:shd w:val="clear" w:color="auto" w:fill="FFFFFF" w:themeFill="background1"/>
            <w:vAlign w:val="center"/>
          </w:tcPr>
          <w:p w14:paraId="0A4E48AD">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w:t>
            </w:r>
          </w:p>
        </w:tc>
        <w:tc>
          <w:tcPr>
            <w:tcW w:w="999" w:type="pct"/>
            <w:shd w:val="clear" w:color="auto" w:fill="FFFFFF" w:themeFill="background1"/>
            <w:vAlign w:val="center"/>
          </w:tcPr>
          <w:p w14:paraId="6F347850">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投标人信用记录</w:t>
            </w:r>
          </w:p>
        </w:tc>
        <w:tc>
          <w:tcPr>
            <w:tcW w:w="2760" w:type="pct"/>
            <w:shd w:val="clear" w:color="auto" w:fill="FFFFFF" w:themeFill="background1"/>
            <w:vAlign w:val="center"/>
          </w:tcPr>
          <w:p w14:paraId="747BCCCD">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 xml:space="preserve">查询渠道：信用中国网站和中国政府采购网（ </w:t>
            </w:r>
          </w:p>
          <w:p w14:paraId="4D80C076">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www.creditchina.gov.cn 、www.ccgp.gov.cn）；</w:t>
            </w:r>
            <w:r>
              <w:rPr>
                <w:rFonts w:hint="eastAsia" w:ascii="宋体" w:hAnsi="宋体" w:eastAsia="宋体" w:cs="宋体"/>
                <w:color w:val="auto"/>
                <w:sz w:val="24"/>
                <w:szCs w:val="24"/>
                <w:highlight w:val="none"/>
                <w:lang w:val="en-US" w:eastAsia="zh-CN"/>
              </w:rPr>
              <w:t xml:space="preserve"> </w:t>
            </w:r>
          </w:p>
          <w:p w14:paraId="496D1252">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截止时点：投标截止时间以后、资格审查阶段采购人或采购代理机构的实际查询时间； </w:t>
            </w:r>
          </w:p>
          <w:p w14:paraId="2F28F46E">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信用信息查询记录和证据留存具体方式：查询结果网页打印页作为查询记录和证据，与其他采购文件一并保存； </w:t>
            </w:r>
          </w:p>
          <w:p w14:paraId="1A0058F5">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信用信息的使用原则：经认定的被列入失信被执行人、重大税收违法失信主体、政府采购严重违法失信行为记录名单的投标人，其</w:t>
            </w:r>
            <w:r>
              <w:rPr>
                <w:rFonts w:hint="eastAsia" w:ascii="宋体" w:hAnsi="宋体" w:eastAsia="宋体" w:cs="宋体"/>
                <w:b/>
                <w:bCs/>
                <w:color w:val="auto"/>
                <w:spacing w:val="-6"/>
                <w:sz w:val="24"/>
                <w:szCs w:val="24"/>
                <w:highlight w:val="none"/>
                <w:lang w:val="en-US" w:eastAsia="zh-CN"/>
              </w:rPr>
              <w:t>投标无效</w:t>
            </w:r>
            <w:r>
              <w:rPr>
                <w:rFonts w:hint="eastAsia" w:ascii="宋体" w:hAnsi="宋体" w:eastAsia="宋体" w:cs="宋体"/>
                <w:color w:val="auto"/>
                <w:spacing w:val="-6"/>
                <w:sz w:val="24"/>
                <w:szCs w:val="24"/>
                <w:highlight w:val="none"/>
                <w:lang w:val="en-US" w:eastAsia="zh-CN"/>
              </w:rPr>
              <w:t>。联合体形式投标的，联合体成员存在不良信用记录，视同联合体存在不良信用记录。</w:t>
            </w:r>
          </w:p>
        </w:tc>
        <w:tc>
          <w:tcPr>
            <w:tcW w:w="801" w:type="pct"/>
            <w:shd w:val="clear" w:color="auto" w:fill="FFFFFF" w:themeFill="background1"/>
            <w:vAlign w:val="center"/>
          </w:tcPr>
          <w:p w14:paraId="41CEE0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无须投标人提供，由采购人或采购代理机构查询。</w:t>
            </w:r>
          </w:p>
          <w:p w14:paraId="0D14032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p>
        </w:tc>
      </w:tr>
      <w:tr w14:paraId="7DDB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330FEA22">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w:t>
            </w:r>
          </w:p>
        </w:tc>
        <w:tc>
          <w:tcPr>
            <w:tcW w:w="999" w:type="pct"/>
            <w:shd w:val="clear" w:color="auto" w:fill="FFFFFF" w:themeFill="background1"/>
            <w:vAlign w:val="center"/>
          </w:tcPr>
          <w:p w14:paraId="60F45FA7">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法律、行政法规规定的其他条件</w:t>
            </w:r>
          </w:p>
        </w:tc>
        <w:tc>
          <w:tcPr>
            <w:tcW w:w="2760" w:type="pct"/>
            <w:shd w:val="clear" w:color="auto" w:fill="FFFFFF" w:themeFill="background1"/>
            <w:vAlign w:val="center"/>
          </w:tcPr>
          <w:p w14:paraId="2B64265B">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法律、行政法规规定的其他条件</w:t>
            </w:r>
          </w:p>
        </w:tc>
        <w:tc>
          <w:tcPr>
            <w:tcW w:w="801" w:type="pct"/>
            <w:shd w:val="clear" w:color="auto" w:fill="FFFFFF" w:themeFill="background1"/>
            <w:vAlign w:val="center"/>
          </w:tcPr>
          <w:p w14:paraId="0ACC3285">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p>
        </w:tc>
      </w:tr>
      <w:tr w14:paraId="5B37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45F0574F">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999" w:type="pct"/>
            <w:shd w:val="clear" w:color="auto" w:fill="FFFFFF" w:themeFill="background1"/>
            <w:vAlign w:val="center"/>
          </w:tcPr>
          <w:p w14:paraId="004158CF">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落实政府采购政策需满足的资格要求</w:t>
            </w:r>
          </w:p>
        </w:tc>
        <w:tc>
          <w:tcPr>
            <w:tcW w:w="2760" w:type="pct"/>
            <w:shd w:val="clear" w:color="auto" w:fill="FFFFFF" w:themeFill="background1"/>
            <w:vAlign w:val="center"/>
          </w:tcPr>
          <w:p w14:paraId="3E10D772">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具体要求见“第一章 招标公告”</w:t>
            </w:r>
          </w:p>
        </w:tc>
        <w:tc>
          <w:tcPr>
            <w:tcW w:w="801" w:type="pct"/>
            <w:shd w:val="clear" w:color="auto" w:fill="FFFFFF" w:themeFill="background1"/>
            <w:vAlign w:val="center"/>
          </w:tcPr>
          <w:p w14:paraId="0BFAF045">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p>
        </w:tc>
      </w:tr>
      <w:tr w14:paraId="7D71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43" w:hRule="atLeast"/>
          <w:jc w:val="center"/>
        </w:trPr>
        <w:tc>
          <w:tcPr>
            <w:tcW w:w="439" w:type="pct"/>
            <w:shd w:val="clear" w:color="auto" w:fill="FFFFFF" w:themeFill="background1"/>
            <w:vAlign w:val="center"/>
          </w:tcPr>
          <w:p w14:paraId="1D042B53">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999" w:type="pct"/>
            <w:shd w:val="clear" w:color="auto" w:fill="FFFFFF" w:themeFill="background1"/>
            <w:vAlign w:val="center"/>
          </w:tcPr>
          <w:p w14:paraId="193A54A9">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其他资格要求</w:t>
            </w:r>
          </w:p>
        </w:tc>
        <w:tc>
          <w:tcPr>
            <w:tcW w:w="2760" w:type="pct"/>
            <w:shd w:val="clear" w:color="auto" w:fill="FFFFFF" w:themeFill="background1"/>
            <w:vAlign w:val="center"/>
          </w:tcPr>
          <w:p w14:paraId="33E32190">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具体要求</w:t>
            </w:r>
            <w:r>
              <w:rPr>
                <w:rFonts w:hint="eastAsia" w:ascii="宋体" w:hAnsi="宋体" w:eastAsia="宋体" w:cs="宋体"/>
                <w:color w:val="auto"/>
                <w:kern w:val="0"/>
                <w:sz w:val="24"/>
                <w:szCs w:val="24"/>
                <w:highlight w:val="none"/>
                <w:lang w:val="en-US" w:eastAsia="zh-CN" w:bidi="ar"/>
              </w:rPr>
              <w:t>见</w:t>
            </w:r>
            <w:r>
              <w:rPr>
                <w:rFonts w:hint="eastAsia" w:ascii="宋体" w:hAnsi="宋体" w:eastAsia="宋体" w:cs="宋体"/>
                <w:color w:val="auto"/>
                <w:sz w:val="24"/>
                <w:szCs w:val="24"/>
                <w:highlight w:val="none"/>
                <w:lang w:val="en-US" w:eastAsia="zh-CN"/>
              </w:rPr>
              <w:t>“第一章 招标公告”</w:t>
            </w:r>
          </w:p>
        </w:tc>
        <w:tc>
          <w:tcPr>
            <w:tcW w:w="801" w:type="pct"/>
            <w:shd w:val="clear" w:color="auto" w:fill="FFFFFF" w:themeFill="background1"/>
            <w:vAlign w:val="center"/>
          </w:tcPr>
          <w:p w14:paraId="73C95705">
            <w:pPr>
              <w:pStyle w:val="49"/>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w:t>
            </w:r>
            <w:r>
              <w:rPr>
                <w:rFonts w:hint="eastAsia" w:cs="宋体"/>
                <w:color w:val="auto"/>
                <w:kern w:val="0"/>
                <w:sz w:val="24"/>
                <w:szCs w:val="24"/>
                <w:highlight w:val="none"/>
                <w:lang w:val="en-US" w:eastAsia="zh-CN" w:bidi="ar"/>
              </w:rPr>
              <w:t>承诺书</w:t>
            </w:r>
          </w:p>
        </w:tc>
      </w:tr>
    </w:tbl>
    <w:p w14:paraId="0C949B74">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523" w:name="_Toc155185903"/>
      <w:bookmarkStart w:id="524" w:name="_Toc22582"/>
    </w:p>
    <w:p w14:paraId="5ADA462F">
      <w:pPr>
        <w:rPr>
          <w:rFonts w:hint="eastAsia" w:ascii="宋体" w:hAnsi="宋体" w:eastAsia="宋体" w:cs="宋体"/>
          <w:b/>
          <w:bCs/>
          <w:color w:val="auto"/>
          <w:kern w:val="44"/>
          <w:sz w:val="36"/>
          <w:szCs w:val="36"/>
          <w:highlight w:val="none"/>
          <w:lang w:val="en-US" w:eastAsia="zh-CN" w:bidi="ar-SA"/>
        </w:rPr>
      </w:pPr>
    </w:p>
    <w:p w14:paraId="067A00A2">
      <w:pPr>
        <w:rPr>
          <w:rFonts w:hint="eastAsia" w:ascii="宋体" w:hAnsi="宋体" w:eastAsia="宋体" w:cs="宋体"/>
          <w:b/>
          <w:bCs/>
          <w:color w:val="auto"/>
          <w:kern w:val="44"/>
          <w:sz w:val="36"/>
          <w:szCs w:val="36"/>
          <w:highlight w:val="none"/>
          <w:lang w:val="en-US" w:eastAsia="zh-CN" w:bidi="ar-SA"/>
        </w:rPr>
      </w:pPr>
    </w:p>
    <w:p w14:paraId="069A410A">
      <w:pPr>
        <w:rPr>
          <w:rFonts w:hint="eastAsia" w:ascii="宋体" w:hAnsi="宋体" w:eastAsia="宋体" w:cs="宋体"/>
          <w:b/>
          <w:bCs/>
          <w:color w:val="auto"/>
          <w:kern w:val="44"/>
          <w:sz w:val="36"/>
          <w:szCs w:val="36"/>
          <w:highlight w:val="none"/>
          <w:lang w:val="en-US" w:eastAsia="zh-CN" w:bidi="ar-SA"/>
        </w:rPr>
      </w:pPr>
    </w:p>
    <w:p w14:paraId="7AC06F0A">
      <w:pPr>
        <w:rPr>
          <w:rFonts w:hint="eastAsia" w:ascii="宋体" w:hAnsi="宋体" w:eastAsia="宋体" w:cs="宋体"/>
          <w:b/>
          <w:bCs/>
          <w:color w:val="auto"/>
          <w:kern w:val="44"/>
          <w:sz w:val="36"/>
          <w:szCs w:val="36"/>
          <w:highlight w:val="none"/>
          <w:lang w:val="en-US" w:eastAsia="zh-CN" w:bidi="ar-SA"/>
        </w:rPr>
      </w:pPr>
    </w:p>
    <w:p w14:paraId="288F01BA">
      <w:pPr>
        <w:rPr>
          <w:rFonts w:hint="eastAsia" w:ascii="宋体" w:hAnsi="宋体" w:eastAsia="宋体" w:cs="宋体"/>
          <w:b/>
          <w:bCs/>
          <w:color w:val="auto"/>
          <w:kern w:val="44"/>
          <w:sz w:val="36"/>
          <w:szCs w:val="36"/>
          <w:highlight w:val="none"/>
          <w:lang w:val="en-US" w:eastAsia="zh-CN" w:bidi="ar-SA"/>
        </w:rPr>
      </w:pPr>
    </w:p>
    <w:p w14:paraId="21B53EAD">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r>
        <w:rPr>
          <w:rFonts w:hint="eastAsia" w:ascii="宋体" w:hAnsi="宋体" w:eastAsia="宋体" w:cs="宋体"/>
          <w:b/>
          <w:bCs/>
          <w:color w:val="auto"/>
          <w:kern w:val="44"/>
          <w:sz w:val="36"/>
          <w:szCs w:val="36"/>
          <w:highlight w:val="none"/>
          <w:lang w:val="en-US" w:eastAsia="zh-CN" w:bidi="ar-SA"/>
        </w:rPr>
        <w:t>第五章 评标方法</w:t>
      </w:r>
      <w:bookmarkEnd w:id="523"/>
      <w:r>
        <w:rPr>
          <w:rFonts w:hint="eastAsia" w:ascii="宋体" w:hAnsi="宋体" w:eastAsia="宋体" w:cs="宋体"/>
          <w:b/>
          <w:bCs/>
          <w:color w:val="auto"/>
          <w:kern w:val="44"/>
          <w:sz w:val="36"/>
          <w:szCs w:val="36"/>
          <w:highlight w:val="none"/>
          <w:lang w:val="en-US" w:eastAsia="zh-CN" w:bidi="ar-SA"/>
        </w:rPr>
        <w:t>及标准(综合评分法)</w:t>
      </w:r>
      <w:bookmarkEnd w:id="524"/>
    </w:p>
    <w:p w14:paraId="2BB6F8A4">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根据《中华人民共和国政府采购法》及其实施条例、《政府采购货物和服务招标投标管理办法》</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相关法律法规确定以下评标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040C2DF7">
      <w:pPr>
        <w:pStyle w:val="3"/>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525" w:name="_Toc2878"/>
      <w:bookmarkStart w:id="526" w:name="_Toc511894518"/>
      <w:bookmarkStart w:id="527" w:name="_Toc278891606"/>
      <w:bookmarkStart w:id="528" w:name="_Toc140132826"/>
      <w:bookmarkStart w:id="529" w:name="_Toc109900322"/>
      <w:bookmarkStart w:id="530" w:name="_Toc272247709"/>
      <w:bookmarkStart w:id="531" w:name="_Toc155185905"/>
      <w:bookmarkStart w:id="532" w:name="_Toc61280402"/>
      <w:bookmarkStart w:id="533" w:name="_Toc494561962"/>
      <w:bookmarkStart w:id="534" w:name="_Toc109899484"/>
      <w:bookmarkStart w:id="535" w:name="_Toc109899903"/>
      <w:r>
        <w:rPr>
          <w:rFonts w:hint="eastAsia" w:ascii="宋体" w:hAnsi="宋体" w:eastAsia="宋体" w:cs="宋体"/>
          <w:color w:val="auto"/>
          <w:sz w:val="28"/>
          <w:szCs w:val="28"/>
          <w:highlight w:val="none"/>
          <w:lang w:val="zh-CN" w:eastAsia="zh-CN"/>
        </w:rPr>
        <w:t>一、评标</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lang w:val="zh-CN" w:eastAsia="zh-CN"/>
        </w:rPr>
        <w:t>法</w:t>
      </w:r>
      <w:bookmarkEnd w:id="525"/>
    </w:p>
    <w:p w14:paraId="40F9AE81">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本项目采用综合评分法</w:t>
      </w:r>
      <w:r>
        <w:rPr>
          <w:rFonts w:hint="eastAsia" w:ascii="宋体" w:hAnsi="宋体" w:eastAsia="宋体" w:cs="宋体"/>
          <w:color w:val="auto"/>
          <w:sz w:val="24"/>
          <w:szCs w:val="24"/>
          <w:highlight w:val="none"/>
        </w:rPr>
        <w:t>。综合评分法，是指投标文件满足招标文件全部实质性要求，且按照评审因素的量化指标评审得分最高的投标人为中标候选人的评标方法。</w:t>
      </w:r>
    </w:p>
    <w:p w14:paraId="5EC2DCA1">
      <w:pPr>
        <w:pStyle w:val="3"/>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536" w:name="_Toc2644"/>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val="zh-CN" w:eastAsia="zh-CN"/>
        </w:rPr>
        <w:t>、评标程序</w:t>
      </w:r>
      <w:bookmarkEnd w:id="536"/>
    </w:p>
    <w:p w14:paraId="2CEA851A">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37" w:name="_Toc3127"/>
      <w:bookmarkStart w:id="538" w:name="_Toc9847"/>
      <w:r>
        <w:rPr>
          <w:rFonts w:hint="eastAsia" w:ascii="宋体" w:hAnsi="宋体" w:eastAsia="宋体" w:cs="宋体"/>
          <w:b/>
          <w:bCs/>
          <w:color w:val="auto"/>
          <w:kern w:val="2"/>
          <w:sz w:val="24"/>
          <w:szCs w:val="24"/>
          <w:highlight w:val="none"/>
          <w:lang w:val="zh-CN" w:eastAsia="zh-CN" w:bidi="ar-SA"/>
        </w:rPr>
        <w:t>（一）符合性审查</w:t>
      </w:r>
      <w:bookmarkEnd w:id="537"/>
      <w:bookmarkEnd w:id="538"/>
    </w:p>
    <w:p w14:paraId="0D55CFD2">
      <w:pPr>
        <w:pStyle w:val="37"/>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评标委员会应当对</w:t>
      </w: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的投标人的投标文件进行符合性审查，以确定其是否满足招标文件的实质性要求。投标人必须通过符合性审查的全部评审指标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不满足招标文件的实质性要求的，</w:t>
      </w:r>
      <w:r>
        <w:rPr>
          <w:rFonts w:hint="eastAsia" w:ascii="宋体" w:hAnsi="宋体" w:eastAsia="宋体" w:cs="宋体"/>
          <w:color w:val="auto"/>
          <w:sz w:val="24"/>
          <w:szCs w:val="24"/>
          <w:highlight w:val="none"/>
          <w:lang w:val="en-US" w:eastAsia="zh-CN"/>
        </w:rPr>
        <w:t>其</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具体内容详</w:t>
      </w:r>
      <w:r>
        <w:rPr>
          <w:rFonts w:hint="eastAsia" w:ascii="宋体" w:hAnsi="宋体" w:eastAsia="宋体" w:cs="宋体"/>
          <w:color w:val="auto"/>
          <w:sz w:val="24"/>
          <w:szCs w:val="24"/>
          <w:highlight w:val="none"/>
          <w:lang w:val="zh-CN"/>
        </w:rPr>
        <w:t>本章“</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rPr>
        <w:t>、评标标准”中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rPr>
        <w:t>“（一）符合性审查”。</w:t>
      </w:r>
    </w:p>
    <w:p w14:paraId="4E726315">
      <w:pPr>
        <w:pStyle w:val="37"/>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符合性审查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不足3家的应当终止采购活动，发布项目终止公告并说明原因，重新开展采购活动。</w:t>
      </w:r>
    </w:p>
    <w:p w14:paraId="34580356">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39" w:name="_Toc102057744"/>
      <w:bookmarkStart w:id="540" w:name="_Toc102056244"/>
      <w:bookmarkStart w:id="541" w:name="_Toc102119879"/>
      <w:bookmarkStart w:id="542" w:name="_Toc102116178"/>
      <w:bookmarkStart w:id="543" w:name="_Toc155185907"/>
      <w:bookmarkStart w:id="544" w:name="_Toc102116048"/>
      <w:bookmarkStart w:id="545" w:name="_Toc102114946"/>
      <w:bookmarkStart w:id="546" w:name="_Toc29198"/>
      <w:bookmarkStart w:id="547" w:name="_Toc14312"/>
      <w:bookmarkStart w:id="548" w:name="_Toc163492903"/>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）投标文件澄清</w:t>
      </w:r>
      <w:bookmarkEnd w:id="539"/>
      <w:bookmarkEnd w:id="540"/>
      <w:bookmarkEnd w:id="541"/>
      <w:bookmarkEnd w:id="542"/>
      <w:bookmarkEnd w:id="543"/>
      <w:bookmarkEnd w:id="544"/>
      <w:bookmarkEnd w:id="545"/>
      <w:r>
        <w:rPr>
          <w:rFonts w:hint="eastAsia" w:ascii="宋体" w:hAnsi="宋体" w:eastAsia="宋体" w:cs="宋体"/>
          <w:b/>
          <w:bCs/>
          <w:color w:val="auto"/>
          <w:kern w:val="2"/>
          <w:sz w:val="24"/>
          <w:szCs w:val="24"/>
          <w:highlight w:val="none"/>
          <w:lang w:val="zh-CN" w:eastAsia="zh-CN" w:bidi="ar-SA"/>
        </w:rPr>
        <w:t>及修正</w:t>
      </w:r>
      <w:bookmarkEnd w:id="546"/>
      <w:bookmarkEnd w:id="547"/>
      <w:bookmarkEnd w:id="548"/>
    </w:p>
    <w:p w14:paraId="0EC9197C">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.评标期间，对于投标文件中含义不明确、同类问题表述不一致或者有明显文字和计算错误的内容需要投标人作出必要的澄清、说明或者补正的，评标委员会应当在</w:t>
      </w:r>
      <w:r>
        <w:rPr>
          <w:rFonts w:hint="eastAsia" w:ascii="宋体" w:hAnsi="宋体" w:eastAsia="宋体" w:cs="宋体"/>
          <w:color w:val="auto"/>
          <w:sz w:val="24"/>
          <w:szCs w:val="24"/>
          <w:highlight w:val="none"/>
          <w:lang w:val="en-US" w:eastAsia="zh-CN"/>
        </w:rPr>
        <w:t>政采云平台评标</w:t>
      </w:r>
      <w:r>
        <w:rPr>
          <w:rFonts w:hint="eastAsia" w:ascii="宋体" w:hAnsi="宋体" w:eastAsia="宋体" w:cs="宋体"/>
          <w:color w:val="auto"/>
          <w:sz w:val="24"/>
          <w:szCs w:val="24"/>
          <w:highlight w:val="none"/>
        </w:rPr>
        <w:t>系统中以书面形式要求投标人作出必要的澄清、说明或者补正。</w:t>
      </w:r>
    </w:p>
    <w:p w14:paraId="079329DA">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.投标人应按照评标委员会要求在规定时间内作出澄清、说明或者补正，澄清、说明或者补正不得超出投标文件的范围或者改变投标文件的实质性内容。</w:t>
      </w:r>
    </w:p>
    <w:p w14:paraId="591A6455">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.投标人的澄清、说明或者补正是其投标文件的有效组成部分，澄清、说明或者补正应当在</w:t>
      </w:r>
      <w:r>
        <w:rPr>
          <w:rFonts w:hint="eastAsia" w:ascii="宋体" w:hAnsi="宋体" w:eastAsia="宋体" w:cs="宋体"/>
          <w:color w:val="auto"/>
          <w:sz w:val="24"/>
          <w:szCs w:val="24"/>
          <w:highlight w:val="none"/>
          <w:lang w:val="en-US" w:eastAsia="zh-CN"/>
        </w:rPr>
        <w:t>政采云平台评标</w:t>
      </w:r>
      <w:r>
        <w:rPr>
          <w:rFonts w:hint="eastAsia" w:ascii="宋体" w:hAnsi="宋体" w:eastAsia="宋体" w:cs="宋体"/>
          <w:color w:val="auto"/>
          <w:sz w:val="24"/>
          <w:szCs w:val="24"/>
          <w:highlight w:val="none"/>
        </w:rPr>
        <w:t>系统中加盖电子印章后提交。</w:t>
      </w:r>
    </w:p>
    <w:p w14:paraId="3B466024">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.报价合理性说明：评标委员会认为投标人的报价明显低于其他通过符合性审查投标人的报价，有可能影响</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质量或者不能诚信履约的，</w:t>
      </w:r>
      <w:r>
        <w:rPr>
          <w:rFonts w:hint="eastAsia" w:ascii="宋体" w:hAnsi="宋体" w:eastAsia="宋体" w:cs="宋体"/>
          <w:color w:val="auto"/>
          <w:sz w:val="24"/>
          <w:szCs w:val="24"/>
          <w:highlight w:val="none"/>
          <w:lang w:val="en-US" w:eastAsia="zh-CN"/>
        </w:rPr>
        <w:t>应当</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该投标人</w:t>
      </w:r>
      <w:r>
        <w:rPr>
          <w:rFonts w:hint="eastAsia" w:ascii="宋体" w:hAnsi="宋体" w:eastAsia="宋体" w:cs="宋体"/>
          <w:color w:val="auto"/>
          <w:sz w:val="24"/>
          <w:szCs w:val="24"/>
          <w:highlight w:val="none"/>
        </w:rPr>
        <w:t>在合理的时间内提供说明，必要时提交相关证明材料；</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投标人不能证明其报价合理性的，评标委员</w:t>
      </w:r>
      <w:r>
        <w:rPr>
          <w:rFonts w:hint="eastAsia" w:ascii="宋体" w:hAnsi="宋体" w:eastAsia="宋体" w:cs="宋体"/>
          <w:color w:val="auto"/>
          <w:sz w:val="24"/>
          <w:szCs w:val="24"/>
          <w:highlight w:val="none"/>
          <w:lang w:val="en-US" w:eastAsia="zh-CN"/>
        </w:rPr>
        <w:t>会应当</w:t>
      </w:r>
      <w:r>
        <w:rPr>
          <w:rFonts w:hint="eastAsia" w:ascii="宋体" w:hAnsi="宋体" w:eastAsia="宋体" w:cs="宋体"/>
          <w:color w:val="auto"/>
          <w:sz w:val="24"/>
          <w:szCs w:val="24"/>
          <w:highlight w:val="none"/>
        </w:rPr>
        <w:t>将其作</w:t>
      </w:r>
      <w:r>
        <w:rPr>
          <w:rFonts w:hint="eastAsia" w:ascii="宋体" w:hAnsi="宋体" w:eastAsia="宋体" w:cs="宋体"/>
          <w:b/>
          <w:bCs/>
          <w:color w:val="auto"/>
          <w:sz w:val="24"/>
          <w:szCs w:val="24"/>
          <w:highlight w:val="none"/>
        </w:rPr>
        <w:t>无效投标</w:t>
      </w:r>
      <w:r>
        <w:rPr>
          <w:rFonts w:hint="eastAsia" w:ascii="宋体" w:hAnsi="宋体" w:eastAsia="宋体" w:cs="宋体"/>
          <w:color w:val="auto"/>
          <w:sz w:val="24"/>
          <w:szCs w:val="24"/>
          <w:highlight w:val="none"/>
        </w:rPr>
        <w:t>处理。</w:t>
      </w:r>
    </w:p>
    <w:p w14:paraId="4FD6345C">
      <w:pPr>
        <w:pStyle w:val="37"/>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015D7E7F">
      <w:pPr>
        <w:pStyle w:val="37"/>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8.投标文件报价出现前后不一致的，除招标文件另有规定外，按照下列规定修正：</w:t>
      </w:r>
    </w:p>
    <w:p w14:paraId="4D967018">
      <w:pPr>
        <w:pStyle w:val="37"/>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8.1投标文件中开标一览表（报价表）内容与投标文件中相应内容不一致的，以开标一览表（报价表）为准；</w:t>
      </w:r>
    </w:p>
    <w:p w14:paraId="657B9F51">
      <w:pPr>
        <w:pStyle w:val="37"/>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8.2大写金额和小写金额不一致的，以大写金额为准；</w:t>
      </w:r>
    </w:p>
    <w:p w14:paraId="628E9D79">
      <w:pPr>
        <w:pStyle w:val="37"/>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8.3单价金额小数点或者百分比有明显错位的，以开标一览表的总价为准，并修改单价；</w:t>
      </w:r>
    </w:p>
    <w:p w14:paraId="3D45997F">
      <w:pPr>
        <w:pStyle w:val="37"/>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8.4总价金额与按单价汇总金额不一致的，以单价金额计算结果为准。</w:t>
      </w:r>
    </w:p>
    <w:p w14:paraId="4E5FFFFF">
      <w:pPr>
        <w:pStyle w:val="37"/>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同时出现两种以上不一致的，按照8.1—8.4的顺序修正。修正后的报价采用书面形式，并加盖公章，或者由法定代表人或其授权的代表签字，经投标人确认后产生约束力，投标人不确认的，其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33748C4F">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49" w:name="_Toc26244"/>
      <w:bookmarkStart w:id="550" w:name="_Toc826"/>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）比较与评价</w:t>
      </w:r>
      <w:bookmarkEnd w:id="549"/>
      <w:bookmarkEnd w:id="550"/>
    </w:p>
    <w:p w14:paraId="2BE6ECB2">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评标委员会应当按照招标文件中规定的评标方法和标准，对符合性审查合格的投标文件进行商务和技术评</w:t>
      </w:r>
      <w:r>
        <w:rPr>
          <w:rFonts w:hint="eastAsia" w:ascii="宋体" w:hAnsi="宋体" w:eastAsia="宋体" w:cs="宋体"/>
          <w:color w:val="auto"/>
          <w:sz w:val="24"/>
          <w:szCs w:val="24"/>
          <w:highlight w:val="none"/>
          <w:lang w:val="en-US" w:eastAsia="zh-CN"/>
        </w:rPr>
        <w:t>估</w:t>
      </w:r>
      <w:r>
        <w:rPr>
          <w:rFonts w:hint="eastAsia" w:ascii="宋体" w:hAnsi="宋体" w:eastAsia="宋体" w:cs="宋体"/>
          <w:color w:val="auto"/>
          <w:sz w:val="24"/>
          <w:szCs w:val="24"/>
          <w:highlight w:val="none"/>
        </w:rPr>
        <w:t>，综合比较与评价</w:t>
      </w:r>
      <w:r>
        <w:rPr>
          <w:rFonts w:hint="eastAsia" w:ascii="宋体" w:hAnsi="宋体" w:eastAsia="宋体" w:cs="宋体"/>
          <w:color w:val="auto"/>
          <w:sz w:val="24"/>
          <w:szCs w:val="24"/>
          <w:highlight w:val="none"/>
          <w:lang w:val="en-US" w:eastAsia="zh-CN"/>
        </w:rPr>
        <w:t>；未通过符合性审查的投标文件不得进入比较与评价</w:t>
      </w:r>
      <w:r>
        <w:rPr>
          <w:rFonts w:hint="eastAsia" w:ascii="宋体" w:hAnsi="宋体" w:eastAsia="宋体" w:cs="宋体"/>
          <w:color w:val="auto"/>
          <w:sz w:val="24"/>
          <w:szCs w:val="24"/>
          <w:highlight w:val="none"/>
        </w:rPr>
        <w:t>。评审因素包括投标报价、商务技术以及落实政府采购政策。评审因素及标准见本章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35A5086">
      <w:pPr>
        <w:pStyle w:val="3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10.相同品牌处理原则</w:t>
      </w:r>
    </w:p>
    <w:p w14:paraId="7EDACD8A">
      <w:pPr>
        <w:pStyle w:val="37"/>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.1单一产品采购（或非单一产品采购中的核心产品），提供相同品牌产品且通过资格审查、符合性审查的不同投标人参加同一合同项下投标的，按一家投标人计算。</w:t>
      </w:r>
    </w:p>
    <w:p w14:paraId="6B4B1667">
      <w:pPr>
        <w:pStyle w:val="37"/>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.2非单一产品采购项目，采购人应当根据采购项目技术构成、产品价格比重等合理确定</w:t>
      </w:r>
      <w:r>
        <w:rPr>
          <w:rFonts w:hint="eastAsia" w:ascii="宋体" w:hAnsi="宋体" w:eastAsia="宋体" w:cs="宋体"/>
          <w:color w:val="auto"/>
          <w:sz w:val="24"/>
          <w:szCs w:val="24"/>
          <w:highlight w:val="none"/>
          <w:lang w:eastAsia="zh-CN"/>
        </w:rPr>
        <w:t>核心产品</w:t>
      </w:r>
      <w:r>
        <w:rPr>
          <w:rFonts w:hint="eastAsia" w:ascii="宋体" w:hAnsi="宋体" w:eastAsia="宋体" w:cs="宋体"/>
          <w:color w:val="auto"/>
          <w:sz w:val="24"/>
          <w:szCs w:val="24"/>
          <w:highlight w:val="none"/>
        </w:rPr>
        <w:t>（采购清单中作“与核心产品相同〈或同一〉品牌”实质性要求的产品，视为</w:t>
      </w:r>
      <w:r>
        <w:rPr>
          <w:rFonts w:hint="eastAsia" w:ascii="宋体" w:hAnsi="宋体" w:eastAsia="宋体" w:cs="宋体"/>
          <w:color w:val="auto"/>
          <w:sz w:val="24"/>
          <w:szCs w:val="24"/>
          <w:highlight w:val="none"/>
          <w:lang w:eastAsia="zh-CN"/>
        </w:rPr>
        <w:t>核心产品</w:t>
      </w:r>
      <w:r>
        <w:rPr>
          <w:rFonts w:hint="eastAsia" w:ascii="宋体" w:hAnsi="宋体" w:eastAsia="宋体" w:cs="宋体"/>
          <w:color w:val="auto"/>
          <w:sz w:val="24"/>
          <w:szCs w:val="24"/>
          <w:highlight w:val="none"/>
        </w:rPr>
        <w:t>），并以“核心产品”在“投标人须知前附表”中载明，评审时按前款规定处理。</w:t>
      </w:r>
    </w:p>
    <w:p w14:paraId="384D833B">
      <w:pPr>
        <w:pStyle w:val="37"/>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.3有效投标品牌不足3家的应按</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处理。</w:t>
      </w:r>
    </w:p>
    <w:p w14:paraId="7C54BD9F">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51" w:name="_Toc22424"/>
      <w:bookmarkStart w:id="552" w:name="_Toc14352"/>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zh-CN" w:eastAsia="zh-CN" w:bidi="ar-SA"/>
        </w:rPr>
        <w:t>）报价评审</w:t>
      </w:r>
      <w:bookmarkEnd w:id="551"/>
      <w:bookmarkEnd w:id="552"/>
    </w:p>
    <w:p w14:paraId="21874171">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投标报价评审</w:t>
      </w:r>
    </w:p>
    <w:p w14:paraId="266BD854">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货物项目的价格分值占总分值的比重不得低于30%。执行国家统一定价标准和采用固定价格采购的项目，其价格不列为评审因素。</w:t>
      </w:r>
      <w:r>
        <w:rPr>
          <w:rFonts w:hint="eastAsia" w:ascii="宋体" w:hAnsi="宋体" w:eastAsia="宋体" w:cs="宋体"/>
          <w:color w:val="auto"/>
          <w:sz w:val="24"/>
          <w:szCs w:val="24"/>
          <w:highlight w:val="none"/>
        </w:rPr>
        <w:t>价格分应当采用低价优先法计算，即满足招标文件要求且投标价格最低的投标报价为评标基准价，其价格分为满分。其他投标人的价格分统一按照下列公式计算：</w:t>
      </w:r>
    </w:p>
    <w:p w14:paraId="2D86B7AD">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投标报价得分=(评标基准价／投标报价)×价格分值</w:t>
      </w:r>
    </w:p>
    <w:p w14:paraId="0CCB2E48">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14E623B0">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iCs/>
          <w:color w:val="auto"/>
          <w:spacing w:val="-6"/>
          <w:sz w:val="24"/>
          <w:szCs w:val="24"/>
          <w:highlight w:val="none"/>
        </w:rPr>
        <w:t>除算术修正和落实政府采购政策的价格扣除外，不对投标报价进行调整；</w:t>
      </w:r>
    </w:p>
    <w:p w14:paraId="6DDDADCE">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3价格</w:t>
      </w:r>
      <w:r>
        <w:rPr>
          <w:rFonts w:hint="eastAsia" w:ascii="宋体" w:hAnsi="宋体" w:eastAsia="宋体" w:cs="宋体"/>
          <w:color w:val="auto"/>
          <w:sz w:val="24"/>
          <w:szCs w:val="24"/>
          <w:highlight w:val="none"/>
          <w:lang w:eastAsia="zh-CN"/>
        </w:rPr>
        <w:t>分值</w:t>
      </w:r>
      <w:r>
        <w:rPr>
          <w:rFonts w:hint="eastAsia" w:ascii="宋体" w:hAnsi="宋体" w:eastAsia="宋体" w:cs="宋体"/>
          <w:color w:val="auto"/>
          <w:sz w:val="24"/>
          <w:szCs w:val="24"/>
          <w:highlight w:val="none"/>
        </w:rPr>
        <w:t>见本章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0866637">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.政府采购政策评审</w:t>
      </w:r>
    </w:p>
    <w:p w14:paraId="7D57744F">
      <w:pPr>
        <w:pStyle w:val="37"/>
        <w:numPr>
          <w:ilvl w:val="0"/>
          <w:numId w:val="0"/>
        </w:num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.1非专门面向中小企业的采购项目或采购包，对符合规定的小微企业（</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rPr>
        <w:t>监狱企业、残疾人福利性单位、联合体各方均为小微企业的联合体、符合小微企业划分标准的个体工商户视同小微企业）报价按照本招标文件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投标人须知前附表”中的规定扣除，对小微企业中的监狱企业、残疾人福利性单位、采购产品纳入创新产品应用示范推荐目录内企业、采购产品获得节能产品或环境标志产品认证证书的企业报价按照本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须知前附表”中的规定扣除，用扣除后的价格计算评审基准价</w:t>
      </w:r>
      <w:r>
        <w:rPr>
          <w:rFonts w:hint="eastAsia" w:ascii="宋体" w:hAnsi="宋体" w:eastAsia="宋体" w:cs="宋体"/>
          <w:color w:val="auto"/>
          <w:sz w:val="24"/>
          <w:szCs w:val="24"/>
          <w:highlight w:val="none"/>
          <w:lang w:eastAsia="zh-CN"/>
        </w:rPr>
        <w:t>。</w:t>
      </w:r>
    </w:p>
    <w:p w14:paraId="1E5F4E03">
      <w:pPr>
        <w:pStyle w:val="3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r>
        <w:rPr>
          <w:rFonts w:hint="eastAsia" w:ascii="宋体" w:hAnsi="宋体" w:eastAsia="宋体" w:cs="宋体"/>
          <w:color w:val="auto"/>
          <w:sz w:val="24"/>
          <w:szCs w:val="24"/>
          <w:highlight w:val="none"/>
          <w:lang w:val="en-US" w:eastAsia="zh-CN"/>
        </w:rPr>
        <w:t>若供应商同时属于小型或微型企业、监狱企业、残疾人福利性单位 中的两种及以上，将不重复享受小微企业价格扣减的优惠政策。</w:t>
      </w:r>
    </w:p>
    <w:p w14:paraId="1A495953">
      <w:pPr>
        <w:pStyle w:val="37"/>
        <w:numPr>
          <w:ilvl w:val="0"/>
          <w:numId w:val="0"/>
        </w:numPr>
        <w:shd w:val="clear" w:color="auto" w:fill="FFFFFF" w:themeFill="background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组成联合体或者接受分包的小微企业与联合体内其他企业、分包企业之间存在直接控股、管理关系的，不享受价格扣除优惠政策。</w:t>
      </w:r>
    </w:p>
    <w:p w14:paraId="74F2F1A2">
      <w:pPr>
        <w:pStyle w:val="3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价格扣除比例对小型企业和微型企业同等对待，不作区分。</w:t>
      </w:r>
    </w:p>
    <w:p w14:paraId="71DD10A8">
      <w:pPr>
        <w:pStyle w:val="37"/>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12.</w:t>
      </w:r>
      <w:r>
        <w:rPr>
          <w:rFonts w:hint="eastAsia" w:ascii="宋体" w:hAnsi="宋体" w:eastAsia="宋体" w:cs="宋体"/>
          <w:iCs/>
          <w:color w:val="auto"/>
          <w:kern w:val="2"/>
          <w:sz w:val="24"/>
          <w:szCs w:val="24"/>
          <w:highlight w:val="none"/>
          <w:shd w:val="clear" w:fill="FFFFFF" w:themeFill="background1"/>
          <w:lang w:val="zh-CN" w:eastAsia="zh-CN" w:bidi="ar-SA"/>
        </w:rPr>
        <w:t>3</w:t>
      </w:r>
      <w:r>
        <w:rPr>
          <w:rFonts w:hint="eastAsia" w:ascii="宋体" w:hAnsi="宋体" w:eastAsia="宋体" w:cs="宋体"/>
          <w:color w:val="auto"/>
          <w:sz w:val="24"/>
          <w:szCs w:val="24"/>
          <w:highlight w:val="none"/>
        </w:rPr>
        <w:t>专门面向中小企业、预留部分采购份额面向中小企业采购的项目或采购包，评审时不再进行价格扣除。</w:t>
      </w:r>
    </w:p>
    <w:p w14:paraId="3874ED83">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12.4</w:t>
      </w:r>
      <w:r>
        <w:rPr>
          <w:rFonts w:hint="eastAsia" w:ascii="宋体" w:hAnsi="宋体" w:eastAsia="宋体" w:cs="宋体"/>
          <w:color w:val="auto"/>
          <w:sz w:val="24"/>
          <w:szCs w:val="24"/>
          <w:highlight w:val="none"/>
        </w:rPr>
        <w:t>对于未预留份额专门面向中小企业的政府采购项目，以及预留份额政府采购项目中的非预留部分标项，对小型和微型企业的投标报价给予10%-20%的扣除，用扣除后的价格参与评审。接受大中型企业与小微企业组成联合体或者允许大中型企业向一家或者多家小微企业分包的政府采购项目，对于联合</w:t>
      </w:r>
      <w:r>
        <w:rPr>
          <w:rFonts w:hint="eastAsia" w:ascii="宋体" w:hAnsi="宋体" w:eastAsia="宋体" w:cs="宋体"/>
          <w:color w:val="auto"/>
          <w:sz w:val="24"/>
          <w:szCs w:val="24"/>
          <w:highlight w:val="none"/>
          <w:lang w:val="en-US" w:eastAsia="zh-CN"/>
        </w:rPr>
        <w:t>体</w:t>
      </w:r>
      <w:r>
        <w:rPr>
          <w:rFonts w:hint="eastAsia" w:ascii="宋体" w:hAnsi="宋体" w:eastAsia="宋体" w:cs="宋体"/>
          <w:color w:val="auto"/>
          <w:sz w:val="24"/>
          <w:szCs w:val="24"/>
          <w:highlight w:val="none"/>
        </w:rPr>
        <w:t>协议</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或者分包意向协议</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48FFFDB">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53" w:name="_Toc3883"/>
      <w:bookmarkStart w:id="554" w:name="_Toc23703"/>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zh-CN" w:eastAsia="zh-CN" w:bidi="ar-SA"/>
        </w:rPr>
        <w:t>）评标得分及复核</w:t>
      </w:r>
      <w:bookmarkEnd w:id="553"/>
      <w:bookmarkEnd w:id="554"/>
    </w:p>
    <w:p w14:paraId="073A56A5">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评标过程中，各项分值一般精确到小数点后两位，评标得分应为商务评分、技术评分、报价评分之和。评标委员会各成员应汇总每个投标人的得分。</w:t>
      </w:r>
    </w:p>
    <w:p w14:paraId="0BE80DC7">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iCs/>
          <w:color w:val="auto"/>
          <w:spacing w:val="-6"/>
          <w:sz w:val="24"/>
          <w:szCs w:val="24"/>
          <w:highlight w:val="none"/>
        </w:rPr>
        <w:t>评标结果汇总完成后，采购代理机构应对评标结果进行复核。经复核发现存在以下情形之一的，评标委员会应当当场修改评标结果，并在评标报告中记载：</w:t>
      </w:r>
    </w:p>
    <w:p w14:paraId="427128F3">
      <w:pPr>
        <w:pStyle w:val="37"/>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14.1</w:t>
      </w:r>
      <w:r>
        <w:rPr>
          <w:rFonts w:hint="eastAsia" w:ascii="宋体" w:hAnsi="宋体" w:eastAsia="宋体" w:cs="宋体"/>
          <w:color w:val="auto"/>
          <w:sz w:val="24"/>
          <w:szCs w:val="24"/>
          <w:highlight w:val="none"/>
        </w:rPr>
        <w:t>分值汇总计算错误的；</w:t>
      </w:r>
    </w:p>
    <w:p w14:paraId="4404F7B4">
      <w:pPr>
        <w:pStyle w:val="37"/>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14.2</w:t>
      </w:r>
      <w:r>
        <w:rPr>
          <w:rFonts w:hint="eastAsia" w:ascii="宋体" w:hAnsi="宋体" w:eastAsia="宋体" w:cs="宋体"/>
          <w:color w:val="auto"/>
          <w:sz w:val="24"/>
          <w:szCs w:val="24"/>
          <w:highlight w:val="none"/>
        </w:rPr>
        <w:t>分项评分超出评分标准范围的；</w:t>
      </w:r>
    </w:p>
    <w:p w14:paraId="18150CA8">
      <w:pPr>
        <w:pStyle w:val="37"/>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14.3</w:t>
      </w:r>
      <w:r>
        <w:rPr>
          <w:rFonts w:hint="eastAsia" w:ascii="宋体" w:hAnsi="宋体" w:eastAsia="宋体" w:cs="宋体"/>
          <w:color w:val="auto"/>
          <w:sz w:val="24"/>
          <w:szCs w:val="24"/>
          <w:highlight w:val="none"/>
        </w:rPr>
        <w:t>评标委员会成员对客观评审因素评分不一致的；</w:t>
      </w:r>
    </w:p>
    <w:p w14:paraId="6BFAB3DA">
      <w:pPr>
        <w:pStyle w:val="37"/>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14.4</w:t>
      </w:r>
      <w:r>
        <w:rPr>
          <w:rFonts w:hint="eastAsia" w:ascii="宋体" w:hAnsi="宋体" w:eastAsia="宋体" w:cs="宋体"/>
          <w:color w:val="auto"/>
          <w:sz w:val="24"/>
          <w:szCs w:val="24"/>
          <w:highlight w:val="none"/>
        </w:rPr>
        <w:t>经评标委员会认定评分畸高、畸低的。</w:t>
      </w:r>
    </w:p>
    <w:p w14:paraId="0FD26D1C">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各投标人的最终得分为评标委员会所有成员对各投标人评标得分汇总后的算术平均值。</w:t>
      </w:r>
    </w:p>
    <w:p w14:paraId="1FD846A7">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125C5D08">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15.2采购人或者采购代理机构不得通过对样品进行检测、对投标人进行考察等方式改变评审结果。</w:t>
      </w:r>
    </w:p>
    <w:p w14:paraId="5AB9E04E">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55" w:name="_Toc6168"/>
      <w:bookmarkStart w:id="556" w:name="_Toc23798"/>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zh-CN" w:eastAsia="zh-CN" w:bidi="ar-SA"/>
        </w:rPr>
        <w:t>）排序与推荐</w:t>
      </w:r>
      <w:bookmarkEnd w:id="555"/>
      <w:bookmarkEnd w:id="556"/>
    </w:p>
    <w:p w14:paraId="514ADBD8">
      <w:pPr>
        <w:pStyle w:val="37"/>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按技术指标优劣顺序排列。</w:t>
      </w:r>
    </w:p>
    <w:p w14:paraId="7B12FA4F">
      <w:pPr>
        <w:pStyle w:val="37"/>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招标文件未规定的采取随机抽取方式确定，其他同品牌投标人不作为中标候选人。</w:t>
      </w:r>
    </w:p>
    <w:p w14:paraId="3B1F6C1A">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18.中标候选人推荐家数详见“投标人须知前附表”。</w:t>
      </w:r>
    </w:p>
    <w:p w14:paraId="1F98E10E">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57" w:name="_Toc7794"/>
      <w:bookmarkStart w:id="558" w:name="_Toc1959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zh-CN" w:eastAsia="zh-CN" w:bidi="ar-SA"/>
        </w:rPr>
        <w:t>）编写评标报告</w:t>
      </w:r>
      <w:bookmarkEnd w:id="557"/>
      <w:bookmarkEnd w:id="558"/>
    </w:p>
    <w:p w14:paraId="3576CABA">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29512443">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59" w:name="_Toc102114919"/>
      <w:bookmarkStart w:id="560" w:name="_Toc102116021"/>
      <w:bookmarkStart w:id="561" w:name="_Toc11477"/>
      <w:bookmarkStart w:id="562" w:name="_Toc163492906"/>
      <w:bookmarkStart w:id="563" w:name="_Toc102056217"/>
      <w:bookmarkStart w:id="564" w:name="_Toc102116151"/>
      <w:bookmarkStart w:id="565" w:name="_Toc26377"/>
      <w:bookmarkStart w:id="566" w:name="_Toc155185913"/>
      <w:bookmarkStart w:id="567" w:name="_Toc102057717"/>
      <w:bookmarkStart w:id="568" w:name="_Toc102119852"/>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投标无效及</w:t>
      </w:r>
      <w:r>
        <w:rPr>
          <w:rFonts w:hint="eastAsia" w:ascii="宋体" w:hAnsi="宋体" w:eastAsia="宋体" w:cs="宋体"/>
          <w:b/>
          <w:bCs/>
          <w:color w:val="auto"/>
          <w:kern w:val="2"/>
          <w:sz w:val="24"/>
          <w:szCs w:val="24"/>
          <w:highlight w:val="none"/>
          <w:lang w:val="zh-CN" w:eastAsia="zh-CN" w:bidi="ar-SA"/>
        </w:rPr>
        <w:t>应予废标的情形</w:t>
      </w:r>
      <w:bookmarkEnd w:id="559"/>
      <w:bookmarkEnd w:id="560"/>
      <w:bookmarkEnd w:id="561"/>
      <w:bookmarkEnd w:id="562"/>
      <w:bookmarkEnd w:id="563"/>
      <w:bookmarkEnd w:id="564"/>
      <w:bookmarkEnd w:id="565"/>
      <w:bookmarkEnd w:id="566"/>
      <w:bookmarkEnd w:id="567"/>
      <w:bookmarkEnd w:id="568"/>
    </w:p>
    <w:p w14:paraId="38B935D1">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20.投标人存在下列情形之一的，</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5C1B2C98">
      <w:pPr>
        <w:pStyle w:val="3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不具备《中华人民共和国政府采购法》第二十二条规定条件</w:t>
      </w:r>
      <w:r>
        <w:rPr>
          <w:rFonts w:hint="eastAsia" w:ascii="宋体" w:hAnsi="宋体" w:eastAsia="宋体" w:cs="宋体"/>
          <w:color w:val="auto"/>
          <w:sz w:val="24"/>
          <w:szCs w:val="24"/>
          <w:highlight w:val="none"/>
          <w:lang w:val="en-US" w:eastAsia="zh-CN"/>
        </w:rPr>
        <w:t>；</w:t>
      </w:r>
    </w:p>
    <w:p w14:paraId="15C939E8">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rPr>
        <w:t>投标文件未按招标文件要求签署、盖章的</w:t>
      </w:r>
      <w:r>
        <w:rPr>
          <w:rFonts w:hint="eastAsia" w:ascii="宋体" w:hAnsi="宋体" w:eastAsia="宋体" w:cs="宋体"/>
          <w:color w:val="auto"/>
          <w:sz w:val="24"/>
          <w:szCs w:val="24"/>
          <w:highlight w:val="none"/>
          <w:lang w:val="en-US" w:eastAsia="zh-CN"/>
        </w:rPr>
        <w:t>；</w:t>
      </w:r>
    </w:p>
    <w:p w14:paraId="0A936FC6">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en-US" w:eastAsia="zh-CN"/>
        </w:rPr>
        <w:t>不具备招标文件中规定的资格要求的（投标人未提供有效资格文件的，视为投标人不具备招标文件中规定的资格要求）；</w:t>
      </w:r>
    </w:p>
    <w:p w14:paraId="0C68E355">
      <w:pPr>
        <w:pStyle w:val="3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4</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文件提供虚假材料的</w:t>
      </w:r>
      <w:r>
        <w:rPr>
          <w:rFonts w:hint="eastAsia" w:ascii="宋体" w:hAnsi="宋体" w:eastAsia="宋体" w:cs="宋体"/>
          <w:color w:val="auto"/>
          <w:sz w:val="24"/>
          <w:szCs w:val="24"/>
          <w:highlight w:val="none"/>
          <w:lang w:val="en-US" w:eastAsia="zh-CN"/>
        </w:rPr>
        <w:t>；</w:t>
      </w:r>
    </w:p>
    <w:p w14:paraId="3FDAE166">
      <w:pPr>
        <w:pStyle w:val="3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文件不满足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文件中标注“★”号的实质性条款（或指标）要求的</w:t>
      </w:r>
      <w:r>
        <w:rPr>
          <w:rFonts w:hint="eastAsia" w:ascii="宋体" w:hAnsi="宋体" w:eastAsia="宋体" w:cs="宋体"/>
          <w:color w:val="auto"/>
          <w:sz w:val="24"/>
          <w:szCs w:val="24"/>
          <w:highlight w:val="none"/>
          <w:lang w:val="en-US" w:eastAsia="zh-CN"/>
        </w:rPr>
        <w:t>；</w:t>
      </w:r>
    </w:p>
    <w:p w14:paraId="2C5FC304">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6</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报价超过招标文件中规定的最高限价或者预算金额的</w:t>
      </w:r>
      <w:r>
        <w:rPr>
          <w:rFonts w:hint="eastAsia" w:ascii="宋体" w:hAnsi="宋体" w:eastAsia="宋体" w:cs="宋体"/>
          <w:color w:val="auto"/>
          <w:sz w:val="24"/>
          <w:szCs w:val="24"/>
          <w:highlight w:val="none"/>
          <w:lang w:val="en-US" w:eastAsia="zh-CN"/>
        </w:rPr>
        <w:t>；</w:t>
      </w:r>
    </w:p>
    <w:p w14:paraId="6FC2A54F">
      <w:pPr>
        <w:pStyle w:val="3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7联合体的供应商未提交各方共同签署的</w:t>
      </w:r>
      <w:r>
        <w:rPr>
          <w:rFonts w:hint="eastAsia" w:ascii="宋体" w:hAnsi="宋体" w:eastAsia="宋体" w:cs="宋体"/>
          <w:color w:val="auto"/>
          <w:sz w:val="24"/>
          <w:szCs w:val="24"/>
          <w:highlight w:val="none"/>
          <w:lang w:val="en-US" w:eastAsia="zh-CN"/>
        </w:rPr>
        <w:t>联合体</w:t>
      </w:r>
      <w:r>
        <w:rPr>
          <w:rFonts w:hint="eastAsia" w:ascii="宋体" w:hAnsi="宋体" w:eastAsia="宋体" w:cs="宋体"/>
          <w:color w:val="auto"/>
          <w:sz w:val="24"/>
          <w:szCs w:val="24"/>
          <w:highlight w:val="none"/>
          <w:lang w:val="zh-CN" w:eastAsia="zh-CN"/>
        </w:rPr>
        <w:t>协议</w:t>
      </w:r>
      <w:r>
        <w:rPr>
          <w:rFonts w:hint="eastAsia" w:ascii="宋体" w:hAnsi="宋体" w:eastAsia="宋体" w:cs="宋体"/>
          <w:color w:val="auto"/>
          <w:sz w:val="24"/>
          <w:szCs w:val="24"/>
          <w:highlight w:val="none"/>
          <w:lang w:val="en-US" w:eastAsia="zh-CN"/>
        </w:rPr>
        <w:t>的；</w:t>
      </w:r>
    </w:p>
    <w:p w14:paraId="4D1E7850">
      <w:pPr>
        <w:pStyle w:val="3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8</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未按</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w:t>
      </w:r>
      <w:r>
        <w:rPr>
          <w:rFonts w:hint="eastAsia" w:ascii="宋体" w:hAnsi="宋体" w:eastAsia="宋体" w:cs="宋体"/>
          <w:color w:val="auto"/>
          <w:sz w:val="24"/>
          <w:szCs w:val="24"/>
          <w:highlight w:val="none"/>
          <w:lang w:val="en-US" w:eastAsia="zh-CN"/>
        </w:rPr>
        <w:t>的规定</w:t>
      </w:r>
      <w:r>
        <w:rPr>
          <w:rFonts w:hint="eastAsia" w:ascii="宋体" w:hAnsi="宋体" w:eastAsia="宋体" w:cs="宋体"/>
          <w:color w:val="auto"/>
          <w:sz w:val="24"/>
          <w:szCs w:val="24"/>
          <w:highlight w:val="none"/>
          <w:lang w:val="zh-CN" w:eastAsia="zh-CN"/>
        </w:rPr>
        <w:t>交纳投标保证金</w:t>
      </w:r>
      <w:r>
        <w:rPr>
          <w:rFonts w:hint="eastAsia" w:ascii="宋体" w:hAnsi="宋体" w:eastAsia="宋体" w:cs="宋体"/>
          <w:color w:val="auto"/>
          <w:sz w:val="24"/>
          <w:szCs w:val="24"/>
          <w:highlight w:val="none"/>
          <w:lang w:val="en-US" w:eastAsia="zh-CN"/>
        </w:rPr>
        <w:t>的；</w:t>
      </w:r>
    </w:p>
    <w:p w14:paraId="149A35CB">
      <w:pPr>
        <w:pStyle w:val="3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9评审期间,</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没有按评标委员会的要求提交经授权代表签字的澄清、说明、补正或改变了</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文件的实质性内容</w:t>
      </w:r>
      <w:r>
        <w:rPr>
          <w:rFonts w:hint="eastAsia" w:ascii="宋体" w:hAnsi="宋体" w:eastAsia="宋体" w:cs="宋体"/>
          <w:color w:val="auto"/>
          <w:sz w:val="24"/>
          <w:szCs w:val="24"/>
          <w:highlight w:val="none"/>
          <w:lang w:val="en-US" w:eastAsia="zh-CN"/>
        </w:rPr>
        <w:t>的；</w:t>
      </w:r>
    </w:p>
    <w:p w14:paraId="19EFB935">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10</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对采购人、采购代理机构、评标委员会及其工作人员施加影响,有碍公平、公正</w:t>
      </w:r>
      <w:r>
        <w:rPr>
          <w:rFonts w:hint="eastAsia" w:ascii="宋体" w:hAnsi="宋体" w:eastAsia="宋体" w:cs="宋体"/>
          <w:color w:val="auto"/>
          <w:sz w:val="24"/>
          <w:szCs w:val="24"/>
          <w:highlight w:val="none"/>
          <w:lang w:val="en-US" w:eastAsia="zh-CN"/>
        </w:rPr>
        <w:t>的；</w:t>
      </w:r>
    </w:p>
    <w:p w14:paraId="3A6B2386">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20.11投标文件含有采购人不能接受的附加条件的；</w:t>
      </w:r>
    </w:p>
    <w:p w14:paraId="3764E979">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法律、法规、规章规定属于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无效的其他情形。</w:t>
      </w:r>
    </w:p>
    <w:p w14:paraId="601D7976">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21.有下列情形之一的，视为投标人串通投标，其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0BD50610">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21.1不同投标人的投标文件由同一单位或者个人编制；</w:t>
      </w:r>
    </w:p>
    <w:p w14:paraId="31815558">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21.2不同投标人委托同一单位或者个人办理投标事宜；</w:t>
      </w:r>
    </w:p>
    <w:p w14:paraId="3AD20378">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21.3不同投标人的投标文件载明的项目管理成员或者联系人员为同一人；</w:t>
      </w:r>
    </w:p>
    <w:p w14:paraId="3F168EA2">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21.4不同投标人的投标文件异常一致或者投标报价呈规律性差异；</w:t>
      </w:r>
    </w:p>
    <w:p w14:paraId="634E7939">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21.5不同投标人的投标文件相互混装；</w:t>
      </w:r>
    </w:p>
    <w:p w14:paraId="3B078CE3">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21.6不同投标人的投标保证金从同一单位或者个人的账户转出；</w:t>
      </w:r>
    </w:p>
    <w:p w14:paraId="749F838F">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w:t>
      </w:r>
      <w:r>
        <w:rPr>
          <w:rFonts w:hint="eastAsia" w:ascii="宋体" w:hAnsi="宋体" w:eastAsia="宋体" w:cs="宋体"/>
          <w:color w:val="auto"/>
          <w:sz w:val="24"/>
          <w:szCs w:val="24"/>
          <w:highlight w:val="none"/>
          <w:lang w:val="zh-CN" w:eastAsia="zh-CN"/>
        </w:rPr>
        <w:t>不同投标人使用同一电脑（机器特征值一致：如MAC地址等）或使用同一电子密钥，编制或上传电子投标文件</w:t>
      </w:r>
      <w:r>
        <w:rPr>
          <w:rFonts w:hint="eastAsia" w:ascii="宋体" w:hAnsi="宋体" w:eastAsia="宋体" w:cs="宋体"/>
          <w:color w:val="auto"/>
          <w:sz w:val="24"/>
          <w:szCs w:val="24"/>
          <w:highlight w:val="none"/>
          <w:lang w:val="en-US" w:eastAsia="zh-CN"/>
        </w:rPr>
        <w:t>；</w:t>
      </w:r>
    </w:p>
    <w:p w14:paraId="2A1BC50E">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21.8法律、法规、规章规定属于投标人串通投标的其他情形</w:t>
      </w:r>
      <w:r>
        <w:rPr>
          <w:rFonts w:hint="eastAsia" w:ascii="宋体" w:hAnsi="宋体" w:eastAsia="宋体" w:cs="宋体"/>
          <w:color w:val="auto"/>
          <w:sz w:val="24"/>
          <w:szCs w:val="24"/>
          <w:highlight w:val="none"/>
          <w:lang w:val="zh-CN" w:eastAsia="zh-CN"/>
        </w:rPr>
        <w:t>。</w:t>
      </w:r>
    </w:p>
    <w:p w14:paraId="737FAF06">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.根据《中华人民共和国政府采购法》第三十六条之规定，在招标采购过程中，出现下列情形之一的，应予</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w:t>
      </w:r>
    </w:p>
    <w:p w14:paraId="2C92042A">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.1符合专业条件的供应商或者对招标文件作实质响应的供应商不足3家的；</w:t>
      </w:r>
    </w:p>
    <w:p w14:paraId="34ECD7A2">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.2出现影响采购公正的违法、违规行为的；</w:t>
      </w:r>
    </w:p>
    <w:p w14:paraId="55223AA1">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.3投标人的报价均超过了采购预算，采购人不能支付的；</w:t>
      </w:r>
    </w:p>
    <w:p w14:paraId="7E486B60">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.4因重大变故，采购任务取消的</w:t>
      </w:r>
      <w:r>
        <w:rPr>
          <w:rFonts w:hint="eastAsia" w:ascii="宋体" w:hAnsi="宋体" w:eastAsia="宋体" w:cs="宋体"/>
          <w:color w:val="auto"/>
          <w:sz w:val="24"/>
          <w:szCs w:val="24"/>
          <w:highlight w:val="none"/>
          <w:lang w:val="en-US" w:eastAsia="zh-CN"/>
        </w:rPr>
        <w:t>；</w:t>
      </w:r>
    </w:p>
    <w:p w14:paraId="42948BC7">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22.5 </w:t>
      </w:r>
      <w:r>
        <w:rPr>
          <w:rFonts w:hint="eastAsia" w:ascii="宋体" w:hAnsi="宋体" w:eastAsia="宋体" w:cs="宋体"/>
          <w:color w:val="auto"/>
          <w:sz w:val="24"/>
          <w:szCs w:val="24"/>
          <w:highlight w:val="none"/>
        </w:rPr>
        <w:t>法律、法规、规章规定属于</w:t>
      </w:r>
      <w:r>
        <w:rPr>
          <w:rFonts w:hint="eastAsia" w:ascii="宋体" w:hAnsi="宋体" w:eastAsia="宋体" w:cs="宋体"/>
          <w:color w:val="auto"/>
          <w:sz w:val="24"/>
          <w:szCs w:val="24"/>
          <w:highlight w:val="none"/>
          <w:lang w:val="en-US" w:eastAsia="zh-CN"/>
        </w:rPr>
        <w:t>废标</w:t>
      </w:r>
      <w:r>
        <w:rPr>
          <w:rFonts w:hint="eastAsia" w:ascii="宋体" w:hAnsi="宋体" w:eastAsia="宋体" w:cs="宋体"/>
          <w:color w:val="auto"/>
          <w:sz w:val="24"/>
          <w:szCs w:val="24"/>
          <w:highlight w:val="none"/>
        </w:rPr>
        <w:t>的其他情形。</w:t>
      </w:r>
    </w:p>
    <w:p w14:paraId="3EE39131">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废标后，采购人应当将废标理由通知所有投标人。</w:t>
      </w:r>
    </w:p>
    <w:p w14:paraId="05AB6DCD">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69" w:name="_Toc155185914"/>
      <w:bookmarkStart w:id="570" w:name="_Toc102116022"/>
      <w:bookmarkStart w:id="571" w:name="_Toc102119853"/>
      <w:bookmarkStart w:id="572" w:name="_Toc27130"/>
      <w:bookmarkStart w:id="573" w:name="_Toc102057718"/>
      <w:bookmarkStart w:id="574" w:name="_Toc102114920"/>
      <w:bookmarkStart w:id="575" w:name="_Toc102116152"/>
      <w:bookmarkStart w:id="576" w:name="_Toc102056218"/>
      <w:bookmarkStart w:id="577" w:name="_Toc163492907"/>
      <w:bookmarkStart w:id="578" w:name="_Toc20186"/>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zh-CN" w:eastAsia="zh-CN" w:bidi="ar-SA"/>
        </w:rPr>
        <w:t>）停止评标的情形</w:t>
      </w:r>
      <w:bookmarkEnd w:id="569"/>
      <w:bookmarkEnd w:id="570"/>
      <w:bookmarkEnd w:id="571"/>
      <w:bookmarkEnd w:id="572"/>
      <w:bookmarkEnd w:id="573"/>
      <w:bookmarkEnd w:id="574"/>
      <w:bookmarkEnd w:id="575"/>
      <w:bookmarkEnd w:id="576"/>
      <w:bookmarkEnd w:id="577"/>
      <w:bookmarkEnd w:id="578"/>
    </w:p>
    <w:p w14:paraId="190044DE">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CDB1955">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79" w:name="_Toc15371"/>
      <w:bookmarkStart w:id="580" w:name="_Toc28717"/>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十</w:t>
      </w:r>
      <w:r>
        <w:rPr>
          <w:rFonts w:hint="eastAsia" w:ascii="宋体" w:hAnsi="宋体" w:eastAsia="宋体" w:cs="宋体"/>
          <w:b/>
          <w:bCs/>
          <w:color w:val="auto"/>
          <w:kern w:val="2"/>
          <w:sz w:val="24"/>
          <w:szCs w:val="24"/>
          <w:highlight w:val="none"/>
          <w:lang w:val="zh-CN" w:eastAsia="zh-CN" w:bidi="ar-SA"/>
        </w:rPr>
        <w:t>）重新开展采购</w:t>
      </w:r>
      <w:bookmarkEnd w:id="579"/>
      <w:bookmarkEnd w:id="580"/>
    </w:p>
    <w:p w14:paraId="461B653A">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第七十一条、第七十二条规定的违法行为之一，影响或者可能影响中标结果的，依照下列规定处理：</w:t>
      </w:r>
    </w:p>
    <w:p w14:paraId="7AA5C7C3">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.1未确定中标供应商的，终止本次政府采购活动，重新开展政府采购活动。</w:t>
      </w:r>
    </w:p>
    <w:p w14:paraId="3A794890">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.2已确定中标供应商但尚未签订政府采购合同的，中标结果无效，从合格的中标候选人中另行确定中标供应商；没有合格的中标候选人的，重新开展政府采购活动。</w:t>
      </w:r>
    </w:p>
    <w:p w14:paraId="595100CC">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.3政府采购合同已签订但尚未履行的，撤销合同，从合格的中标候选人中另行确定中标供应商；没有合格的中标候选人的，重新开展政府采购活动。</w:t>
      </w:r>
    </w:p>
    <w:p w14:paraId="45E078B1">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.4政府采购合同已经履行，给采购人、供应商造成损失的，由责任人承担赔偿责任。</w:t>
      </w:r>
    </w:p>
    <w:p w14:paraId="43A428E9">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.5政府采购当事人有其他违反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等法律法规规定的行为，经改正后仍然影响或者可能影响中标结果或者依法被认定为中标无效的，依照</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.4规定处理。</w:t>
      </w:r>
    </w:p>
    <w:bookmarkEnd w:id="526"/>
    <w:bookmarkEnd w:id="527"/>
    <w:bookmarkEnd w:id="528"/>
    <w:bookmarkEnd w:id="529"/>
    <w:bookmarkEnd w:id="530"/>
    <w:bookmarkEnd w:id="531"/>
    <w:bookmarkEnd w:id="532"/>
    <w:bookmarkEnd w:id="533"/>
    <w:bookmarkEnd w:id="534"/>
    <w:bookmarkEnd w:id="535"/>
    <w:p w14:paraId="0EA4DBB5">
      <w:pPr>
        <w:pStyle w:val="3"/>
        <w:keepNext/>
        <w:keepLines/>
        <w:pageBreakBefore w:val="0"/>
        <w:widowControl w:val="0"/>
        <w:numPr>
          <w:ilvl w:val="0"/>
          <w:numId w:val="4"/>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bookmarkStart w:id="581" w:name="_Toc26940"/>
      <w:r>
        <w:rPr>
          <w:rFonts w:hint="eastAsia" w:ascii="宋体" w:hAnsi="宋体" w:eastAsia="宋体" w:cs="宋体"/>
          <w:color w:val="auto"/>
          <w:sz w:val="28"/>
          <w:szCs w:val="28"/>
          <w:highlight w:val="none"/>
          <w:lang w:val="zh-CN" w:eastAsia="zh-CN"/>
        </w:rPr>
        <w:t>评标</w:t>
      </w:r>
      <w:r>
        <w:rPr>
          <w:rFonts w:hint="eastAsia" w:ascii="宋体" w:hAnsi="宋体" w:eastAsia="宋体" w:cs="宋体"/>
          <w:color w:val="auto"/>
          <w:sz w:val="28"/>
          <w:szCs w:val="28"/>
          <w:highlight w:val="none"/>
          <w:lang w:val="en-US" w:eastAsia="zh-CN"/>
        </w:rPr>
        <w:t>其他要求</w:t>
      </w:r>
      <w:bookmarkEnd w:id="581"/>
      <w:bookmarkStart w:id="582" w:name="_Toc155185915"/>
    </w:p>
    <w:p w14:paraId="47C28CE5">
      <w:pPr>
        <w:numPr>
          <w:ilvl w:val="0"/>
          <w:numId w:val="0"/>
        </w:numPr>
        <w:rPr>
          <w:rFonts w:hint="default"/>
          <w:lang w:val="en-US" w:eastAsia="zh-CN"/>
        </w:rPr>
      </w:pPr>
      <w:r>
        <w:rPr>
          <w:rFonts w:hint="eastAsia"/>
          <w:lang w:val="en-US" w:eastAsia="zh-CN"/>
        </w:rPr>
        <w:t>无</w:t>
      </w:r>
    </w:p>
    <w:p w14:paraId="4D3415E5">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583" w:name="_Toc19817"/>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val="zh-CN" w:eastAsia="zh-CN"/>
        </w:rPr>
        <w:t>、评标标准</w:t>
      </w:r>
      <w:bookmarkEnd w:id="582"/>
      <w:bookmarkEnd w:id="583"/>
    </w:p>
    <w:p w14:paraId="6FC1DEBE">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84" w:name="_Toc16256"/>
      <w:bookmarkStart w:id="585" w:name="_Toc163492909"/>
      <w:bookmarkStart w:id="586" w:name="_Toc1043"/>
      <w:r>
        <w:rPr>
          <w:rFonts w:hint="eastAsia" w:ascii="宋体" w:hAnsi="宋体" w:eastAsia="宋体" w:cs="宋体"/>
          <w:b/>
          <w:bCs/>
          <w:color w:val="auto"/>
          <w:kern w:val="2"/>
          <w:sz w:val="24"/>
          <w:szCs w:val="24"/>
          <w:highlight w:val="none"/>
          <w:lang w:val="zh-CN" w:eastAsia="zh-CN" w:bidi="ar-SA"/>
        </w:rPr>
        <w:t>（一）符合性审查表</w:t>
      </w:r>
      <w:bookmarkEnd w:id="584"/>
      <w:bookmarkEnd w:id="585"/>
      <w:bookmarkEnd w:id="586"/>
    </w:p>
    <w:tbl>
      <w:tblPr>
        <w:tblStyle w:val="30"/>
        <w:tblW w:w="5512"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0"/>
        <w:gridCol w:w="1579"/>
        <w:gridCol w:w="5681"/>
        <w:gridCol w:w="726"/>
        <w:gridCol w:w="919"/>
      </w:tblGrid>
      <w:tr w14:paraId="686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261" w:type="pct"/>
            <w:vMerge w:val="restart"/>
            <w:shd w:val="clear" w:color="auto" w:fill="D8D8D8" w:themeFill="background1" w:themeFillShade="D9"/>
            <w:vAlign w:val="center"/>
          </w:tcPr>
          <w:p w14:paraId="3B188FC3">
            <w:pPr>
              <w:pStyle w:val="49"/>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序号</w:t>
            </w:r>
          </w:p>
        </w:tc>
        <w:tc>
          <w:tcPr>
            <w:tcW w:w="840" w:type="pct"/>
            <w:vMerge w:val="restart"/>
            <w:shd w:val="clear" w:color="auto" w:fill="D8D8D8" w:themeFill="background1" w:themeFillShade="D9"/>
            <w:vAlign w:val="center"/>
          </w:tcPr>
          <w:p w14:paraId="316B5F87">
            <w:pPr>
              <w:pStyle w:val="49"/>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审查项名称</w:t>
            </w:r>
          </w:p>
        </w:tc>
        <w:tc>
          <w:tcPr>
            <w:tcW w:w="3022" w:type="pct"/>
            <w:vMerge w:val="restart"/>
            <w:shd w:val="clear" w:color="auto" w:fill="D8D8D8" w:themeFill="background1" w:themeFillShade="D9"/>
            <w:vAlign w:val="center"/>
          </w:tcPr>
          <w:p w14:paraId="44B32FDC">
            <w:pPr>
              <w:pStyle w:val="49"/>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审查内容</w:t>
            </w:r>
          </w:p>
        </w:tc>
        <w:tc>
          <w:tcPr>
            <w:tcW w:w="875" w:type="pct"/>
            <w:gridSpan w:val="2"/>
            <w:shd w:val="clear" w:color="auto" w:fill="D8D8D8" w:themeFill="background1" w:themeFillShade="D9"/>
            <w:vAlign w:val="center"/>
          </w:tcPr>
          <w:p w14:paraId="2724C461">
            <w:pPr>
              <w:pStyle w:val="49"/>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审查结果</w:t>
            </w:r>
          </w:p>
        </w:tc>
      </w:tr>
      <w:tr w14:paraId="6963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61" w:type="pct"/>
            <w:vMerge w:val="continue"/>
            <w:shd w:val="clear" w:color="auto" w:fill="D8D8D8" w:themeFill="background1" w:themeFillShade="D9"/>
            <w:vAlign w:val="center"/>
          </w:tcPr>
          <w:p w14:paraId="1859AA86">
            <w:pPr>
              <w:pStyle w:val="49"/>
              <w:jc w:val="center"/>
              <w:rPr>
                <w:rFonts w:hint="eastAsia" w:ascii="宋体" w:hAnsi="宋体" w:eastAsia="宋体" w:cs="宋体"/>
                <w:b/>
                <w:bCs/>
                <w:color w:val="auto"/>
                <w:sz w:val="21"/>
                <w:szCs w:val="21"/>
                <w:highlight w:val="none"/>
                <w:lang w:val="zh-CN"/>
              </w:rPr>
            </w:pPr>
          </w:p>
        </w:tc>
        <w:tc>
          <w:tcPr>
            <w:tcW w:w="840" w:type="pct"/>
            <w:vMerge w:val="continue"/>
            <w:shd w:val="clear" w:color="auto" w:fill="D8D8D8" w:themeFill="background1" w:themeFillShade="D9"/>
            <w:vAlign w:val="center"/>
          </w:tcPr>
          <w:p w14:paraId="51EF0565">
            <w:pPr>
              <w:pStyle w:val="49"/>
              <w:jc w:val="center"/>
              <w:rPr>
                <w:rFonts w:hint="eastAsia" w:ascii="宋体" w:hAnsi="宋体" w:eastAsia="宋体" w:cs="宋体"/>
                <w:b/>
                <w:bCs/>
                <w:color w:val="auto"/>
                <w:sz w:val="21"/>
                <w:szCs w:val="21"/>
                <w:highlight w:val="none"/>
                <w:lang w:val="zh-CN"/>
              </w:rPr>
            </w:pPr>
          </w:p>
        </w:tc>
        <w:tc>
          <w:tcPr>
            <w:tcW w:w="3022" w:type="pct"/>
            <w:vMerge w:val="continue"/>
            <w:shd w:val="clear" w:color="auto" w:fill="D8D8D8" w:themeFill="background1" w:themeFillShade="D9"/>
            <w:vAlign w:val="center"/>
          </w:tcPr>
          <w:p w14:paraId="2128C077">
            <w:pPr>
              <w:pStyle w:val="49"/>
              <w:jc w:val="center"/>
              <w:rPr>
                <w:rFonts w:hint="eastAsia" w:ascii="宋体" w:hAnsi="宋体" w:eastAsia="宋体" w:cs="宋体"/>
                <w:b/>
                <w:bCs/>
                <w:color w:val="auto"/>
                <w:sz w:val="21"/>
                <w:szCs w:val="21"/>
                <w:highlight w:val="none"/>
                <w:lang w:val="zh-CN"/>
              </w:rPr>
            </w:pPr>
          </w:p>
        </w:tc>
        <w:tc>
          <w:tcPr>
            <w:tcW w:w="386" w:type="pct"/>
            <w:shd w:val="clear" w:color="auto" w:fill="D8D8D8" w:themeFill="background1" w:themeFillShade="D9"/>
            <w:vAlign w:val="center"/>
          </w:tcPr>
          <w:p w14:paraId="0CAA21D7">
            <w:pPr>
              <w:pStyle w:val="49"/>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符合</w:t>
            </w:r>
          </w:p>
        </w:tc>
        <w:tc>
          <w:tcPr>
            <w:tcW w:w="489" w:type="pct"/>
            <w:shd w:val="clear" w:color="auto" w:fill="D8D8D8" w:themeFill="background1" w:themeFillShade="D9"/>
            <w:vAlign w:val="center"/>
          </w:tcPr>
          <w:p w14:paraId="15D1F439">
            <w:pPr>
              <w:pStyle w:val="49"/>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不符合</w:t>
            </w:r>
          </w:p>
        </w:tc>
      </w:tr>
      <w:tr w14:paraId="233A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61" w:type="pct"/>
            <w:shd w:val="clear" w:color="auto" w:fill="auto"/>
            <w:vAlign w:val="center"/>
          </w:tcPr>
          <w:p w14:paraId="4A515C07">
            <w:pPr>
              <w:pStyle w:val="49"/>
              <w:numPr>
                <w:ilvl w:val="0"/>
                <w:numId w:val="0"/>
              </w:numPr>
              <w:ind w:left="420" w:leftChars="0" w:hanging="42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eastAsia="zh-CN" w:bidi="ar-SA"/>
              </w:rPr>
              <w:t>1</w:t>
            </w:r>
          </w:p>
        </w:tc>
        <w:tc>
          <w:tcPr>
            <w:tcW w:w="840" w:type="pct"/>
            <w:vAlign w:val="center"/>
          </w:tcPr>
          <w:p w14:paraId="5E0E3062">
            <w:pPr>
              <w:pStyle w:val="4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投标文件</w:t>
            </w:r>
            <w:r>
              <w:rPr>
                <w:rFonts w:hint="eastAsia" w:ascii="宋体" w:hAnsi="宋体" w:eastAsia="宋体" w:cs="宋体"/>
                <w:color w:val="auto"/>
                <w:sz w:val="21"/>
                <w:szCs w:val="21"/>
                <w:highlight w:val="none"/>
              </w:rPr>
              <w:t>签署</w:t>
            </w:r>
          </w:p>
        </w:tc>
        <w:tc>
          <w:tcPr>
            <w:tcW w:w="3022" w:type="pct"/>
            <w:shd w:val="clear" w:color="auto" w:fill="auto"/>
            <w:vAlign w:val="center"/>
          </w:tcPr>
          <w:p w14:paraId="0FA4ED80">
            <w:pPr>
              <w:pStyle w:val="4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投标文件按招标文件要求签署、盖章的</w:t>
            </w:r>
          </w:p>
        </w:tc>
        <w:tc>
          <w:tcPr>
            <w:tcW w:w="386" w:type="pct"/>
            <w:shd w:val="clear" w:color="auto" w:fill="auto"/>
            <w:vAlign w:val="center"/>
          </w:tcPr>
          <w:p w14:paraId="1E1F1EB1">
            <w:pPr>
              <w:pStyle w:val="49"/>
              <w:rPr>
                <w:rFonts w:hint="eastAsia" w:ascii="宋体" w:hAnsi="宋体" w:eastAsia="宋体" w:cs="宋体"/>
                <w:color w:val="auto"/>
                <w:sz w:val="21"/>
                <w:szCs w:val="21"/>
                <w:highlight w:val="none"/>
                <w:lang w:val="zh-CN"/>
              </w:rPr>
            </w:pPr>
          </w:p>
        </w:tc>
        <w:tc>
          <w:tcPr>
            <w:tcW w:w="489" w:type="pct"/>
            <w:shd w:val="clear" w:color="auto" w:fill="auto"/>
            <w:vAlign w:val="center"/>
          </w:tcPr>
          <w:p w14:paraId="35325BAA">
            <w:pPr>
              <w:pStyle w:val="49"/>
              <w:rPr>
                <w:rFonts w:hint="eastAsia" w:ascii="宋体" w:hAnsi="宋体" w:eastAsia="宋体" w:cs="宋体"/>
                <w:color w:val="auto"/>
                <w:sz w:val="21"/>
                <w:szCs w:val="21"/>
                <w:highlight w:val="none"/>
                <w:lang w:val="zh-CN"/>
              </w:rPr>
            </w:pPr>
          </w:p>
        </w:tc>
      </w:tr>
      <w:tr w14:paraId="3F170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261" w:type="pct"/>
            <w:shd w:val="clear" w:color="auto" w:fill="auto"/>
            <w:vAlign w:val="center"/>
          </w:tcPr>
          <w:p w14:paraId="5B53A43D">
            <w:pPr>
              <w:pStyle w:val="49"/>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2</w:t>
            </w:r>
          </w:p>
        </w:tc>
        <w:tc>
          <w:tcPr>
            <w:tcW w:w="840" w:type="pct"/>
            <w:shd w:val="clear" w:color="auto" w:fill="auto"/>
            <w:vAlign w:val="center"/>
          </w:tcPr>
          <w:p w14:paraId="54DD2E09">
            <w:pPr>
              <w:pStyle w:val="4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实质性要求</w:t>
            </w:r>
          </w:p>
        </w:tc>
        <w:tc>
          <w:tcPr>
            <w:tcW w:w="3022" w:type="pct"/>
            <w:shd w:val="clear" w:color="auto" w:fill="auto"/>
            <w:vAlign w:val="center"/>
          </w:tcPr>
          <w:p w14:paraId="3A663F07">
            <w:pPr>
              <w:pStyle w:val="4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eastAsia="zh-CN"/>
              </w:rPr>
              <w:t>文件中标注“★”号的实质性条款（或指标）要求的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具体详见</w:t>
            </w:r>
            <w:r>
              <w:rPr>
                <w:rFonts w:hint="eastAsia" w:ascii="宋体" w:hAnsi="宋体" w:eastAsia="宋体" w:cs="宋体"/>
                <w:color w:val="auto"/>
                <w:sz w:val="21"/>
                <w:szCs w:val="21"/>
                <w:highlight w:val="none"/>
                <w:lang w:val="zh-CN"/>
              </w:rPr>
              <w:t>“实质性响应一览表”</w:t>
            </w:r>
          </w:p>
        </w:tc>
        <w:tc>
          <w:tcPr>
            <w:tcW w:w="386" w:type="pct"/>
            <w:shd w:val="clear" w:color="auto" w:fill="auto"/>
            <w:vAlign w:val="center"/>
          </w:tcPr>
          <w:p w14:paraId="3F83CD9C">
            <w:pPr>
              <w:pStyle w:val="49"/>
              <w:rPr>
                <w:rFonts w:hint="eastAsia" w:ascii="宋体" w:hAnsi="宋体" w:eastAsia="宋体" w:cs="宋体"/>
                <w:color w:val="auto"/>
                <w:sz w:val="21"/>
                <w:szCs w:val="21"/>
                <w:highlight w:val="none"/>
                <w:lang w:val="zh-CN"/>
              </w:rPr>
            </w:pPr>
          </w:p>
        </w:tc>
        <w:tc>
          <w:tcPr>
            <w:tcW w:w="489" w:type="pct"/>
            <w:shd w:val="clear" w:color="auto" w:fill="auto"/>
            <w:vAlign w:val="center"/>
          </w:tcPr>
          <w:p w14:paraId="53C654A1">
            <w:pPr>
              <w:pStyle w:val="49"/>
              <w:rPr>
                <w:rFonts w:hint="eastAsia" w:ascii="宋体" w:hAnsi="宋体" w:eastAsia="宋体" w:cs="宋体"/>
                <w:color w:val="auto"/>
                <w:sz w:val="21"/>
                <w:szCs w:val="21"/>
                <w:highlight w:val="none"/>
                <w:lang w:val="zh-CN"/>
              </w:rPr>
            </w:pPr>
          </w:p>
        </w:tc>
      </w:tr>
      <w:tr w14:paraId="49890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261" w:type="pct"/>
            <w:shd w:val="clear" w:color="auto" w:fill="auto"/>
            <w:vAlign w:val="center"/>
          </w:tcPr>
          <w:p w14:paraId="122BA4D1">
            <w:pPr>
              <w:pStyle w:val="49"/>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3</w:t>
            </w:r>
          </w:p>
        </w:tc>
        <w:tc>
          <w:tcPr>
            <w:tcW w:w="840" w:type="pct"/>
            <w:vAlign w:val="center"/>
          </w:tcPr>
          <w:p w14:paraId="0ABAB0FD">
            <w:pPr>
              <w:pStyle w:val="4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w:t>
            </w:r>
          </w:p>
        </w:tc>
        <w:tc>
          <w:tcPr>
            <w:tcW w:w="3022" w:type="pct"/>
            <w:shd w:val="clear" w:color="auto" w:fill="auto"/>
            <w:vAlign w:val="center"/>
          </w:tcPr>
          <w:p w14:paraId="3039222D">
            <w:pPr>
              <w:pStyle w:val="4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投标人报价未超过招标文件中规定的最高限价或者预算金额的</w:t>
            </w:r>
          </w:p>
        </w:tc>
        <w:tc>
          <w:tcPr>
            <w:tcW w:w="386" w:type="pct"/>
            <w:shd w:val="clear" w:color="auto" w:fill="auto"/>
            <w:vAlign w:val="center"/>
          </w:tcPr>
          <w:p w14:paraId="45596CE1">
            <w:pPr>
              <w:pStyle w:val="49"/>
              <w:rPr>
                <w:rFonts w:hint="eastAsia" w:ascii="宋体" w:hAnsi="宋体" w:eastAsia="宋体" w:cs="宋体"/>
                <w:color w:val="auto"/>
                <w:sz w:val="21"/>
                <w:szCs w:val="21"/>
                <w:highlight w:val="none"/>
                <w:lang w:val="zh-CN"/>
              </w:rPr>
            </w:pPr>
          </w:p>
        </w:tc>
        <w:tc>
          <w:tcPr>
            <w:tcW w:w="489" w:type="pct"/>
            <w:shd w:val="clear" w:color="auto" w:fill="auto"/>
            <w:vAlign w:val="center"/>
          </w:tcPr>
          <w:p w14:paraId="11E76B6F">
            <w:pPr>
              <w:pStyle w:val="49"/>
              <w:rPr>
                <w:rFonts w:hint="eastAsia" w:ascii="宋体" w:hAnsi="宋体" w:eastAsia="宋体" w:cs="宋体"/>
                <w:color w:val="auto"/>
                <w:sz w:val="21"/>
                <w:szCs w:val="21"/>
                <w:highlight w:val="none"/>
                <w:lang w:val="zh-CN"/>
              </w:rPr>
            </w:pPr>
          </w:p>
        </w:tc>
      </w:tr>
      <w:tr w14:paraId="63842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261" w:type="pct"/>
            <w:shd w:val="clear" w:color="auto" w:fill="auto"/>
            <w:vAlign w:val="center"/>
          </w:tcPr>
          <w:p w14:paraId="1C0BF26C">
            <w:pPr>
              <w:pStyle w:val="49"/>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4</w:t>
            </w:r>
          </w:p>
        </w:tc>
        <w:tc>
          <w:tcPr>
            <w:tcW w:w="840" w:type="pct"/>
            <w:vAlign w:val="center"/>
          </w:tcPr>
          <w:p w14:paraId="49C30112">
            <w:pPr>
              <w:pStyle w:val="4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虚假材料</w:t>
            </w:r>
          </w:p>
        </w:tc>
        <w:tc>
          <w:tcPr>
            <w:tcW w:w="3022" w:type="pct"/>
            <w:shd w:val="clear" w:color="auto" w:fill="auto"/>
            <w:vAlign w:val="center"/>
          </w:tcPr>
          <w:p w14:paraId="150A9DA0">
            <w:pPr>
              <w:pStyle w:val="4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提供虚假材料的</w:t>
            </w:r>
          </w:p>
        </w:tc>
        <w:tc>
          <w:tcPr>
            <w:tcW w:w="386" w:type="pct"/>
            <w:shd w:val="clear" w:color="auto" w:fill="auto"/>
            <w:vAlign w:val="center"/>
          </w:tcPr>
          <w:p w14:paraId="36B10A12">
            <w:pPr>
              <w:pStyle w:val="49"/>
              <w:rPr>
                <w:rFonts w:hint="eastAsia" w:ascii="宋体" w:hAnsi="宋体" w:eastAsia="宋体" w:cs="宋体"/>
                <w:color w:val="auto"/>
                <w:sz w:val="21"/>
                <w:szCs w:val="21"/>
                <w:highlight w:val="none"/>
                <w:lang w:val="zh-CN"/>
              </w:rPr>
            </w:pPr>
          </w:p>
        </w:tc>
        <w:tc>
          <w:tcPr>
            <w:tcW w:w="489" w:type="pct"/>
            <w:shd w:val="clear" w:color="auto" w:fill="auto"/>
            <w:vAlign w:val="center"/>
          </w:tcPr>
          <w:p w14:paraId="5008BBC1">
            <w:pPr>
              <w:pStyle w:val="49"/>
              <w:rPr>
                <w:rFonts w:hint="eastAsia" w:ascii="宋体" w:hAnsi="宋体" w:eastAsia="宋体" w:cs="宋体"/>
                <w:color w:val="auto"/>
                <w:sz w:val="21"/>
                <w:szCs w:val="21"/>
                <w:highlight w:val="none"/>
                <w:lang w:val="zh-CN"/>
              </w:rPr>
            </w:pPr>
          </w:p>
        </w:tc>
      </w:tr>
      <w:tr w14:paraId="7044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261" w:type="pct"/>
            <w:shd w:val="clear" w:color="auto" w:fill="auto"/>
            <w:vAlign w:val="center"/>
          </w:tcPr>
          <w:p w14:paraId="115CB80E">
            <w:pPr>
              <w:pStyle w:val="49"/>
              <w:numPr>
                <w:ilvl w:val="0"/>
                <w:numId w:val="0"/>
              </w:numPr>
              <w:ind w:left="0" w:leftChars="0" w:firstLine="0" w:firstLineChars="0"/>
              <w:jc w:val="center"/>
              <w:rPr>
                <w:rFonts w:hint="eastAsia" w:ascii="宋体" w:hAnsi="宋体" w:eastAsia="宋体" w:cs="宋体"/>
                <w:color w:val="auto"/>
                <w:kern w:val="2"/>
                <w:sz w:val="21"/>
                <w:szCs w:val="21"/>
                <w:highlight w:val="none"/>
                <w:lang w:val="zh-CN" w:eastAsia="zh-CN" w:bidi="ar-SA"/>
              </w:rPr>
            </w:pPr>
            <w:r>
              <w:rPr>
                <w:rFonts w:hint="eastAsia" w:cs="宋体"/>
                <w:color w:val="auto"/>
                <w:sz w:val="21"/>
                <w:szCs w:val="21"/>
                <w:highlight w:val="none"/>
                <w:lang w:val="en-US" w:eastAsia="zh-CN"/>
              </w:rPr>
              <w:t>5</w:t>
            </w:r>
          </w:p>
        </w:tc>
        <w:tc>
          <w:tcPr>
            <w:tcW w:w="840" w:type="pct"/>
            <w:vAlign w:val="center"/>
          </w:tcPr>
          <w:p w14:paraId="5E0526C0">
            <w:pPr>
              <w:pStyle w:val="4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投标文件的澄清、说明、补正</w:t>
            </w:r>
          </w:p>
        </w:tc>
        <w:tc>
          <w:tcPr>
            <w:tcW w:w="3022" w:type="pct"/>
            <w:shd w:val="clear" w:color="auto" w:fill="auto"/>
            <w:vAlign w:val="center"/>
          </w:tcPr>
          <w:p w14:paraId="69951688">
            <w:pPr>
              <w:pStyle w:val="4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eastAsia="zh-CN"/>
              </w:rPr>
              <w:t>评审期间,</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按评标委员会的要求提交经授权代表签字的澄清、说明、补正或</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改变</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文件的实质性内容</w:t>
            </w:r>
          </w:p>
        </w:tc>
        <w:tc>
          <w:tcPr>
            <w:tcW w:w="386" w:type="pct"/>
            <w:shd w:val="clear" w:color="auto" w:fill="auto"/>
            <w:vAlign w:val="center"/>
          </w:tcPr>
          <w:p w14:paraId="17DF499B">
            <w:pPr>
              <w:pStyle w:val="49"/>
              <w:rPr>
                <w:rFonts w:hint="eastAsia" w:ascii="宋体" w:hAnsi="宋体" w:eastAsia="宋体" w:cs="宋体"/>
                <w:color w:val="auto"/>
                <w:sz w:val="21"/>
                <w:szCs w:val="21"/>
                <w:highlight w:val="none"/>
                <w:lang w:val="zh-CN"/>
              </w:rPr>
            </w:pPr>
          </w:p>
        </w:tc>
        <w:tc>
          <w:tcPr>
            <w:tcW w:w="489" w:type="pct"/>
            <w:shd w:val="clear" w:color="auto" w:fill="auto"/>
            <w:vAlign w:val="center"/>
          </w:tcPr>
          <w:p w14:paraId="7B15EF49">
            <w:pPr>
              <w:pStyle w:val="49"/>
              <w:rPr>
                <w:rFonts w:hint="eastAsia" w:ascii="宋体" w:hAnsi="宋体" w:eastAsia="宋体" w:cs="宋体"/>
                <w:color w:val="auto"/>
                <w:sz w:val="21"/>
                <w:szCs w:val="21"/>
                <w:highlight w:val="none"/>
                <w:lang w:val="zh-CN"/>
              </w:rPr>
            </w:pPr>
          </w:p>
        </w:tc>
      </w:tr>
      <w:tr w14:paraId="5AEED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261" w:type="pct"/>
            <w:shd w:val="clear" w:color="auto" w:fill="auto"/>
            <w:vAlign w:val="center"/>
          </w:tcPr>
          <w:p w14:paraId="54575570">
            <w:pPr>
              <w:pStyle w:val="49"/>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cs="宋体"/>
                <w:color w:val="auto"/>
                <w:kern w:val="2"/>
                <w:sz w:val="21"/>
                <w:szCs w:val="21"/>
                <w:highlight w:val="none"/>
                <w:lang w:val="en-US" w:eastAsia="zh-CN" w:bidi="ar-SA"/>
              </w:rPr>
              <w:t>6</w:t>
            </w:r>
          </w:p>
        </w:tc>
        <w:tc>
          <w:tcPr>
            <w:tcW w:w="840" w:type="pct"/>
            <w:vAlign w:val="center"/>
          </w:tcPr>
          <w:p w14:paraId="7CFE2454">
            <w:pPr>
              <w:pStyle w:val="4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投标人影响评标</w:t>
            </w:r>
          </w:p>
        </w:tc>
        <w:tc>
          <w:tcPr>
            <w:tcW w:w="3022" w:type="pct"/>
            <w:shd w:val="clear" w:color="auto" w:fill="auto"/>
            <w:vAlign w:val="center"/>
          </w:tcPr>
          <w:p w14:paraId="1AFF6E69">
            <w:pPr>
              <w:pStyle w:val="4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对采购人、采购代理机构、评标委员会及其工作人员</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施加影响,</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zh-CN" w:eastAsia="zh-CN"/>
              </w:rPr>
              <w:t>有碍公平、公正</w:t>
            </w:r>
            <w:r>
              <w:rPr>
                <w:rFonts w:hint="eastAsia" w:ascii="宋体" w:hAnsi="宋体" w:eastAsia="宋体" w:cs="宋体"/>
                <w:color w:val="auto"/>
                <w:sz w:val="21"/>
                <w:szCs w:val="21"/>
                <w:highlight w:val="none"/>
                <w:lang w:val="en-US" w:eastAsia="zh-CN"/>
              </w:rPr>
              <w:t>的</w:t>
            </w:r>
          </w:p>
        </w:tc>
        <w:tc>
          <w:tcPr>
            <w:tcW w:w="386" w:type="pct"/>
            <w:shd w:val="clear" w:color="auto" w:fill="auto"/>
            <w:vAlign w:val="center"/>
          </w:tcPr>
          <w:p w14:paraId="6E7B9E6F">
            <w:pPr>
              <w:pStyle w:val="49"/>
              <w:rPr>
                <w:rFonts w:hint="eastAsia" w:ascii="宋体" w:hAnsi="宋体" w:eastAsia="宋体" w:cs="宋体"/>
                <w:color w:val="auto"/>
                <w:sz w:val="21"/>
                <w:szCs w:val="21"/>
                <w:highlight w:val="none"/>
                <w:lang w:val="zh-CN"/>
              </w:rPr>
            </w:pPr>
          </w:p>
        </w:tc>
        <w:tc>
          <w:tcPr>
            <w:tcW w:w="489" w:type="pct"/>
            <w:shd w:val="clear" w:color="auto" w:fill="auto"/>
            <w:vAlign w:val="center"/>
          </w:tcPr>
          <w:p w14:paraId="5E9FCB3A">
            <w:pPr>
              <w:pStyle w:val="49"/>
              <w:rPr>
                <w:rFonts w:hint="eastAsia" w:ascii="宋体" w:hAnsi="宋体" w:eastAsia="宋体" w:cs="宋体"/>
                <w:color w:val="auto"/>
                <w:sz w:val="21"/>
                <w:szCs w:val="21"/>
                <w:highlight w:val="none"/>
                <w:lang w:val="zh-CN"/>
              </w:rPr>
            </w:pPr>
          </w:p>
        </w:tc>
      </w:tr>
      <w:tr w14:paraId="0F96D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261" w:type="pct"/>
            <w:shd w:val="clear" w:color="auto" w:fill="auto"/>
            <w:vAlign w:val="center"/>
          </w:tcPr>
          <w:p w14:paraId="6F2212DB">
            <w:pPr>
              <w:pStyle w:val="49"/>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7</w:t>
            </w:r>
          </w:p>
        </w:tc>
        <w:tc>
          <w:tcPr>
            <w:tcW w:w="840" w:type="pct"/>
            <w:vAlign w:val="center"/>
          </w:tcPr>
          <w:p w14:paraId="5065E06D">
            <w:pPr>
              <w:pStyle w:val="4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围标串标情形</w:t>
            </w:r>
          </w:p>
        </w:tc>
        <w:tc>
          <w:tcPr>
            <w:tcW w:w="3022" w:type="pct"/>
            <w:shd w:val="clear" w:color="auto" w:fill="auto"/>
            <w:vAlign w:val="center"/>
          </w:tcPr>
          <w:p w14:paraId="77FBE461">
            <w:pPr>
              <w:pStyle w:val="4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val="zh-CN" w:eastAsia="zh-CN"/>
              </w:rPr>
              <w:t>“第五章 评标方法及标准”</w:t>
            </w:r>
            <w:r>
              <w:rPr>
                <w:rFonts w:hint="eastAsia" w:ascii="宋体" w:hAnsi="宋体" w:eastAsia="宋体" w:cs="宋体"/>
                <w:color w:val="auto"/>
                <w:sz w:val="21"/>
                <w:szCs w:val="21"/>
                <w:highlight w:val="none"/>
                <w:lang w:val="en-US" w:eastAsia="zh-CN"/>
              </w:rPr>
              <w:t>第21条情形之一的</w:t>
            </w:r>
          </w:p>
        </w:tc>
        <w:tc>
          <w:tcPr>
            <w:tcW w:w="386" w:type="pct"/>
            <w:shd w:val="clear" w:color="auto" w:fill="auto"/>
            <w:vAlign w:val="center"/>
          </w:tcPr>
          <w:p w14:paraId="79393C8F">
            <w:pPr>
              <w:pStyle w:val="49"/>
              <w:rPr>
                <w:rFonts w:hint="eastAsia" w:ascii="宋体" w:hAnsi="宋体" w:eastAsia="宋体" w:cs="宋体"/>
                <w:color w:val="auto"/>
                <w:sz w:val="21"/>
                <w:szCs w:val="21"/>
                <w:highlight w:val="none"/>
                <w:lang w:val="zh-CN"/>
              </w:rPr>
            </w:pPr>
          </w:p>
        </w:tc>
        <w:tc>
          <w:tcPr>
            <w:tcW w:w="489" w:type="pct"/>
            <w:shd w:val="clear" w:color="auto" w:fill="auto"/>
            <w:vAlign w:val="center"/>
          </w:tcPr>
          <w:p w14:paraId="77FEE600">
            <w:pPr>
              <w:pStyle w:val="49"/>
              <w:rPr>
                <w:rFonts w:hint="eastAsia" w:ascii="宋体" w:hAnsi="宋体" w:eastAsia="宋体" w:cs="宋体"/>
                <w:color w:val="auto"/>
                <w:sz w:val="21"/>
                <w:szCs w:val="21"/>
                <w:highlight w:val="none"/>
                <w:lang w:val="zh-CN"/>
              </w:rPr>
            </w:pPr>
          </w:p>
        </w:tc>
      </w:tr>
      <w:tr w14:paraId="35AA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61" w:type="pct"/>
            <w:shd w:val="clear" w:color="auto" w:fill="auto"/>
            <w:vAlign w:val="center"/>
          </w:tcPr>
          <w:p w14:paraId="332BD4A6">
            <w:pPr>
              <w:pStyle w:val="49"/>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8</w:t>
            </w:r>
          </w:p>
        </w:tc>
        <w:tc>
          <w:tcPr>
            <w:tcW w:w="840" w:type="pct"/>
            <w:vAlign w:val="center"/>
          </w:tcPr>
          <w:p w14:paraId="56EEFE7E">
            <w:pPr>
              <w:pStyle w:val="4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附加条件</w:t>
            </w:r>
          </w:p>
        </w:tc>
        <w:tc>
          <w:tcPr>
            <w:tcW w:w="3022" w:type="pct"/>
            <w:shd w:val="clear" w:color="auto" w:fill="auto"/>
            <w:vAlign w:val="center"/>
          </w:tcPr>
          <w:p w14:paraId="618DB2FB">
            <w:pPr>
              <w:pStyle w:val="4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投标文件没有采购人不能接受的附加条件的</w:t>
            </w:r>
          </w:p>
        </w:tc>
        <w:tc>
          <w:tcPr>
            <w:tcW w:w="386" w:type="pct"/>
            <w:shd w:val="clear" w:color="auto" w:fill="auto"/>
            <w:vAlign w:val="center"/>
          </w:tcPr>
          <w:p w14:paraId="36C2A679">
            <w:pPr>
              <w:pStyle w:val="49"/>
              <w:rPr>
                <w:rFonts w:hint="eastAsia" w:ascii="宋体" w:hAnsi="宋体" w:eastAsia="宋体" w:cs="宋体"/>
                <w:color w:val="auto"/>
                <w:sz w:val="21"/>
                <w:szCs w:val="21"/>
                <w:highlight w:val="none"/>
                <w:lang w:val="zh-CN"/>
              </w:rPr>
            </w:pPr>
          </w:p>
        </w:tc>
        <w:tc>
          <w:tcPr>
            <w:tcW w:w="489" w:type="pct"/>
            <w:shd w:val="clear" w:color="auto" w:fill="auto"/>
            <w:vAlign w:val="center"/>
          </w:tcPr>
          <w:p w14:paraId="73E4201A">
            <w:pPr>
              <w:pStyle w:val="49"/>
              <w:rPr>
                <w:rFonts w:hint="eastAsia" w:ascii="宋体" w:hAnsi="宋体" w:eastAsia="宋体" w:cs="宋体"/>
                <w:color w:val="auto"/>
                <w:sz w:val="21"/>
                <w:szCs w:val="21"/>
                <w:highlight w:val="none"/>
                <w:lang w:val="zh-CN"/>
              </w:rPr>
            </w:pPr>
          </w:p>
        </w:tc>
      </w:tr>
      <w:tr w14:paraId="1667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261" w:type="pct"/>
            <w:shd w:val="clear" w:color="auto" w:fill="auto"/>
            <w:vAlign w:val="center"/>
          </w:tcPr>
          <w:p w14:paraId="33CCA145">
            <w:pPr>
              <w:pStyle w:val="49"/>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9</w:t>
            </w:r>
          </w:p>
        </w:tc>
        <w:tc>
          <w:tcPr>
            <w:tcW w:w="840" w:type="pct"/>
            <w:vAlign w:val="center"/>
          </w:tcPr>
          <w:p w14:paraId="56857957">
            <w:pPr>
              <w:pStyle w:val="4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其他无效情形</w:t>
            </w:r>
          </w:p>
        </w:tc>
        <w:tc>
          <w:tcPr>
            <w:tcW w:w="3022" w:type="pct"/>
            <w:shd w:val="clear" w:color="auto" w:fill="auto"/>
            <w:vAlign w:val="center"/>
          </w:tcPr>
          <w:p w14:paraId="2D4FAC27">
            <w:pPr>
              <w:pStyle w:val="4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val="zh-CN" w:eastAsia="zh-CN"/>
              </w:rPr>
              <w:t>法律、法规、规章规定属于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无效的其他情形。</w:t>
            </w:r>
          </w:p>
        </w:tc>
        <w:tc>
          <w:tcPr>
            <w:tcW w:w="386" w:type="pct"/>
            <w:shd w:val="clear" w:color="auto" w:fill="auto"/>
            <w:vAlign w:val="center"/>
          </w:tcPr>
          <w:p w14:paraId="1AF34C22">
            <w:pPr>
              <w:pStyle w:val="49"/>
              <w:rPr>
                <w:rFonts w:hint="eastAsia" w:ascii="宋体" w:hAnsi="宋体" w:eastAsia="宋体" w:cs="宋体"/>
                <w:color w:val="auto"/>
                <w:sz w:val="21"/>
                <w:szCs w:val="21"/>
                <w:highlight w:val="none"/>
                <w:lang w:val="zh-CN"/>
              </w:rPr>
            </w:pPr>
          </w:p>
        </w:tc>
        <w:tc>
          <w:tcPr>
            <w:tcW w:w="489" w:type="pct"/>
            <w:shd w:val="clear" w:color="auto" w:fill="auto"/>
            <w:vAlign w:val="center"/>
          </w:tcPr>
          <w:p w14:paraId="1DBF61E6">
            <w:pPr>
              <w:pStyle w:val="49"/>
              <w:rPr>
                <w:rFonts w:hint="eastAsia" w:ascii="宋体" w:hAnsi="宋体" w:eastAsia="宋体" w:cs="宋体"/>
                <w:color w:val="auto"/>
                <w:sz w:val="21"/>
                <w:szCs w:val="21"/>
                <w:highlight w:val="none"/>
                <w:lang w:val="zh-CN"/>
              </w:rPr>
            </w:pPr>
          </w:p>
        </w:tc>
      </w:tr>
    </w:tbl>
    <w:p w14:paraId="1E0763ED">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01436FB4">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229FF1AF">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565A14AF">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szCs w:val="24"/>
          <w:highlight w:val="none"/>
        </w:rPr>
      </w:pPr>
    </w:p>
    <w:p w14:paraId="3DB6FBF5">
      <w:pPr>
        <w:shd w:val="clear" w:color="auto" w:fill="FFFFFF"/>
        <w:tabs>
          <w:tab w:val="left" w:pos="3045"/>
        </w:tabs>
        <w:autoSpaceDE w:val="0"/>
        <w:autoSpaceDN w:val="0"/>
        <w:adjustRightInd w:val="0"/>
        <w:snapToGrid w:val="0"/>
        <w:spacing w:line="360" w:lineRule="exact"/>
        <w:rPr>
          <w:rFonts w:hint="eastAsia"/>
          <w:color w:val="auto"/>
          <w:sz w:val="24"/>
          <w:szCs w:val="24"/>
          <w:highlight w:val="none"/>
        </w:rPr>
      </w:pPr>
      <w:r>
        <w:rPr>
          <w:rFonts w:hint="eastAsia" w:ascii="宋体" w:hAnsi="宋体" w:cs="宋体"/>
          <w:b/>
          <w:color w:val="auto"/>
          <w:sz w:val="24"/>
          <w:szCs w:val="24"/>
          <w:highlight w:val="none"/>
        </w:rPr>
        <w:t>符合</w:t>
      </w:r>
      <w:r>
        <w:rPr>
          <w:rFonts w:hint="eastAsia" w:ascii="宋体" w:hAnsi="宋体" w:cs="宋体"/>
          <w:b/>
          <w:color w:val="auto"/>
          <w:sz w:val="24"/>
          <w:szCs w:val="24"/>
          <w:highlight w:val="none"/>
          <w:lang w:eastAsia="zh-CN"/>
        </w:rPr>
        <w:t>性</w:t>
      </w:r>
      <w:r>
        <w:rPr>
          <w:rFonts w:hint="eastAsia" w:cs="宋体"/>
          <w:b/>
          <w:color w:val="auto"/>
          <w:sz w:val="24"/>
          <w:szCs w:val="24"/>
          <w:highlight w:val="none"/>
          <w:lang w:val="en-US" w:eastAsia="zh-CN"/>
        </w:rPr>
        <w:t>审查表-</w:t>
      </w:r>
      <w:r>
        <w:rPr>
          <w:rFonts w:hint="eastAsia" w:ascii="宋体" w:hAnsi="宋体" w:cs="宋体"/>
          <w:b/>
          <w:color w:val="auto"/>
          <w:sz w:val="24"/>
          <w:szCs w:val="24"/>
          <w:highlight w:val="none"/>
        </w:rPr>
        <w:t>附表</w:t>
      </w:r>
    </w:p>
    <w:p w14:paraId="70584E38">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8"/>
          <w:szCs w:val="28"/>
          <w:highlight w:val="none"/>
          <w:lang w:val="zh-CN" w:eastAsia="zh-CN" w:bidi="ar-SA"/>
        </w:rPr>
      </w:pPr>
      <w:bookmarkStart w:id="587" w:name="_Toc3959"/>
      <w:bookmarkStart w:id="588" w:name="_Toc10068"/>
      <w:r>
        <w:rPr>
          <w:rFonts w:hint="eastAsia" w:ascii="宋体" w:hAnsi="宋体" w:eastAsia="宋体" w:cstheme="minorBidi"/>
          <w:b/>
          <w:bCs/>
          <w:color w:val="auto"/>
          <w:kern w:val="2"/>
          <w:sz w:val="28"/>
          <w:szCs w:val="28"/>
          <w:highlight w:val="none"/>
          <w:lang w:val="zh-CN" w:eastAsia="zh-CN" w:bidi="ar-SA"/>
        </w:rPr>
        <w:t>实质性响应一览表</w:t>
      </w:r>
      <w:bookmarkEnd w:id="587"/>
      <w:bookmarkEnd w:id="588"/>
    </w:p>
    <w:p w14:paraId="7DFD9111">
      <w:pPr>
        <w:shd w:val="clear" w:color="auto" w:fill="FFFFFF"/>
        <w:tabs>
          <w:tab w:val="left" w:pos="3045"/>
        </w:tabs>
        <w:autoSpaceDE w:val="0"/>
        <w:autoSpaceDN w:val="0"/>
        <w:adjustRightInd w:val="0"/>
        <w:snapToGrid w:val="0"/>
        <w:spacing w:line="360" w:lineRule="exact"/>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w:t>
      </w:r>
      <w:r>
        <w:rPr>
          <w:rFonts w:hint="eastAsia" w:cs="宋体"/>
          <w:b w:val="0"/>
          <w:bCs/>
          <w:color w:val="auto"/>
          <w:sz w:val="24"/>
          <w:szCs w:val="24"/>
          <w:highlight w:val="none"/>
          <w:lang w:val="en-US" w:eastAsia="zh-CN"/>
        </w:rPr>
        <w:t>投标人</w:t>
      </w:r>
      <w:r>
        <w:rPr>
          <w:rFonts w:hint="eastAsia" w:ascii="宋体" w:hAnsi="宋体" w:cs="宋体"/>
          <w:b w:val="0"/>
          <w:bCs/>
          <w:color w:val="auto"/>
          <w:sz w:val="24"/>
          <w:szCs w:val="24"/>
          <w:highlight w:val="none"/>
        </w:rPr>
        <w:t>须对本附表所有内容逐条响应且无负偏离，否则</w:t>
      </w:r>
      <w:r>
        <w:rPr>
          <w:rFonts w:hint="eastAsia" w:cs="宋体"/>
          <w:b w:val="0"/>
          <w:bCs/>
          <w:color w:val="auto"/>
          <w:sz w:val="24"/>
          <w:szCs w:val="24"/>
          <w:highlight w:val="none"/>
          <w:lang w:val="en-US" w:eastAsia="zh-CN"/>
        </w:rPr>
        <w:t>其</w:t>
      </w:r>
      <w:r>
        <w:rPr>
          <w:rFonts w:hint="eastAsia" w:ascii="宋体" w:hAnsi="宋体" w:cs="宋体"/>
          <w:b/>
          <w:bCs w:val="0"/>
          <w:color w:val="auto"/>
          <w:sz w:val="24"/>
          <w:szCs w:val="24"/>
          <w:highlight w:val="none"/>
        </w:rPr>
        <w:t>投标无效</w:t>
      </w:r>
      <w:r>
        <w:rPr>
          <w:rFonts w:hint="eastAsia" w:ascii="宋体" w:hAnsi="宋体" w:cs="宋体"/>
          <w:b w:val="0"/>
          <w:bCs/>
          <w:color w:val="auto"/>
          <w:sz w:val="24"/>
          <w:szCs w:val="24"/>
          <w:highlight w:val="none"/>
        </w:rPr>
        <w:t>）</w:t>
      </w:r>
    </w:p>
    <w:p w14:paraId="212CF784">
      <w:pPr>
        <w:pStyle w:val="23"/>
        <w:rPr>
          <w:rFonts w:hint="eastAsia" w:ascii="宋体" w:hAnsi="宋体" w:cs="宋体"/>
          <w:color w:val="auto"/>
          <w:sz w:val="24"/>
          <w:szCs w:val="24"/>
          <w:highlight w:val="none"/>
        </w:rPr>
      </w:pPr>
    </w:p>
    <w:tbl>
      <w:tblPr>
        <w:tblStyle w:val="30"/>
        <w:tblW w:w="5435"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2"/>
        <w:gridCol w:w="4259"/>
        <w:gridCol w:w="1873"/>
        <w:gridCol w:w="732"/>
      </w:tblGrid>
      <w:tr w14:paraId="098C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0" w:type="pct"/>
            <w:vMerge w:val="restart"/>
            <w:noWrap w:val="0"/>
            <w:vAlign w:val="center"/>
          </w:tcPr>
          <w:p w14:paraId="7CE32AA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373" w:type="pct"/>
            <w:gridSpan w:val="2"/>
            <w:noWrap w:val="0"/>
            <w:vAlign w:val="center"/>
          </w:tcPr>
          <w:p w14:paraId="01AF850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招标文件要求的实质性响应内容</w:t>
            </w:r>
          </w:p>
        </w:tc>
        <w:tc>
          <w:tcPr>
            <w:tcW w:w="1010" w:type="pct"/>
            <w:vMerge w:val="restart"/>
            <w:noWrap w:val="0"/>
            <w:vAlign w:val="center"/>
          </w:tcPr>
          <w:p w14:paraId="2428BDF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投标文件响应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具体内容</w:t>
            </w:r>
          </w:p>
        </w:tc>
        <w:tc>
          <w:tcPr>
            <w:tcW w:w="395" w:type="pct"/>
            <w:vMerge w:val="restart"/>
            <w:noWrap w:val="0"/>
            <w:vAlign w:val="center"/>
          </w:tcPr>
          <w:p w14:paraId="2BD3180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F6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0" w:type="pct"/>
            <w:vMerge w:val="continue"/>
            <w:noWrap w:val="0"/>
            <w:vAlign w:val="center"/>
          </w:tcPr>
          <w:p w14:paraId="03EF406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075" w:type="pct"/>
            <w:shd w:val="clear" w:color="auto" w:fill="auto"/>
            <w:noWrap w:val="0"/>
            <w:vAlign w:val="center"/>
          </w:tcPr>
          <w:p w14:paraId="5FC570A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实质性要求</w:t>
            </w:r>
          </w:p>
        </w:tc>
        <w:tc>
          <w:tcPr>
            <w:tcW w:w="2298" w:type="pct"/>
            <w:shd w:val="clear" w:color="auto" w:fill="auto"/>
            <w:noWrap w:val="0"/>
            <w:vAlign w:val="center"/>
          </w:tcPr>
          <w:p w14:paraId="19DBCA5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招标文件中的规定</w:t>
            </w:r>
          </w:p>
        </w:tc>
        <w:tc>
          <w:tcPr>
            <w:tcW w:w="1010" w:type="pct"/>
            <w:vMerge w:val="continue"/>
            <w:noWrap w:val="0"/>
            <w:vAlign w:val="center"/>
          </w:tcPr>
          <w:p w14:paraId="6263BFD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395" w:type="pct"/>
            <w:vMerge w:val="continue"/>
            <w:noWrap w:val="0"/>
            <w:vAlign w:val="center"/>
          </w:tcPr>
          <w:p w14:paraId="1B79935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r>
      <w:tr w14:paraId="0E72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20" w:type="pct"/>
            <w:noWrap w:val="0"/>
            <w:vAlign w:val="center"/>
          </w:tcPr>
          <w:p w14:paraId="7ECA803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75" w:type="pct"/>
            <w:shd w:val="clear" w:color="auto" w:fill="auto"/>
            <w:noWrap w:val="0"/>
            <w:vAlign w:val="center"/>
          </w:tcPr>
          <w:p w14:paraId="6264251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投标有效期</w:t>
            </w:r>
          </w:p>
        </w:tc>
        <w:tc>
          <w:tcPr>
            <w:tcW w:w="2298" w:type="pct"/>
            <w:shd w:val="clear" w:color="auto" w:fill="auto"/>
            <w:noWrap w:val="0"/>
            <w:vAlign w:val="center"/>
          </w:tcPr>
          <w:p w14:paraId="3517C392">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招标文件“第二章投标须知”关于投标有效期的规定</w:t>
            </w:r>
          </w:p>
        </w:tc>
        <w:tc>
          <w:tcPr>
            <w:tcW w:w="1010" w:type="pct"/>
            <w:noWrap w:val="0"/>
            <w:vAlign w:val="center"/>
          </w:tcPr>
          <w:p w14:paraId="3F7DA8E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投标人在</w:t>
            </w:r>
            <w:r>
              <w:rPr>
                <w:rFonts w:hint="eastAsia" w:ascii="宋体" w:hAnsi="宋体" w:eastAsia="宋体" w:cs="宋体"/>
                <w:color w:val="auto"/>
                <w:sz w:val="21"/>
                <w:szCs w:val="21"/>
                <w:highlight w:val="none"/>
              </w:rPr>
              <w:t>此处填写</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文件的相关内容</w:t>
            </w:r>
            <w:r>
              <w:rPr>
                <w:rFonts w:hint="eastAsia" w:ascii="宋体" w:hAnsi="宋体" w:eastAsia="宋体" w:cs="宋体"/>
                <w:color w:val="auto"/>
                <w:sz w:val="21"/>
                <w:szCs w:val="21"/>
                <w:highlight w:val="none"/>
                <w:lang w:eastAsia="zh-CN"/>
              </w:rPr>
              <w:t>】</w:t>
            </w:r>
          </w:p>
        </w:tc>
        <w:tc>
          <w:tcPr>
            <w:tcW w:w="395" w:type="pct"/>
            <w:noWrap w:val="0"/>
            <w:vAlign w:val="center"/>
          </w:tcPr>
          <w:p w14:paraId="729A312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671C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20" w:type="pct"/>
            <w:noWrap w:val="0"/>
            <w:vAlign w:val="center"/>
          </w:tcPr>
          <w:p w14:paraId="7956169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75" w:type="pct"/>
            <w:shd w:val="clear" w:color="auto" w:fill="auto"/>
            <w:noWrap w:val="0"/>
            <w:vAlign w:val="center"/>
          </w:tcPr>
          <w:p w14:paraId="7FB35A2D">
            <w:pPr>
              <w:keepNext w:val="0"/>
              <w:keepLines w:val="0"/>
              <w:pageBreakBefore w:val="0"/>
              <w:widowControl w:val="0"/>
              <w:kinsoku/>
              <w:wordWrap/>
              <w:overflowPunct/>
              <w:topLinePunct w:val="0"/>
              <w:bidi w:val="0"/>
              <w:adjustRightInd/>
              <w:snapToGrid/>
              <w:spacing w:line="360" w:lineRule="exact"/>
              <w:textAlignment w:val="auto"/>
              <w:rPr>
                <w:rFonts w:hint="default" w:ascii="宋体" w:hAnsi="宋体" w:eastAsia="宋体" w:cs="宋体"/>
                <w:i w:val="0"/>
                <w:iCs w:val="0"/>
                <w:color w:val="auto"/>
                <w:kern w:val="2"/>
                <w:sz w:val="21"/>
                <w:szCs w:val="21"/>
                <w:highlight w:val="none"/>
                <w:lang w:val="en-US" w:eastAsia="zh-CN" w:bidi="ar-SA"/>
              </w:rPr>
            </w:pPr>
            <w:r>
              <w:rPr>
                <w:rFonts w:hint="eastAsia" w:cs="宋体"/>
                <w:i w:val="0"/>
                <w:iCs w:val="0"/>
                <w:color w:val="auto"/>
                <w:kern w:val="2"/>
                <w:sz w:val="21"/>
                <w:szCs w:val="21"/>
                <w:highlight w:val="none"/>
                <w:lang w:val="en-US" w:eastAsia="zh-CN" w:bidi="ar-SA"/>
              </w:rPr>
              <w:t>交付（实施）的时间（期限)</w:t>
            </w:r>
          </w:p>
        </w:tc>
        <w:tc>
          <w:tcPr>
            <w:tcW w:w="2298" w:type="pct"/>
            <w:shd w:val="clear" w:color="auto" w:fill="auto"/>
            <w:noWrap w:val="0"/>
            <w:vAlign w:val="center"/>
          </w:tcPr>
          <w:p w14:paraId="119C002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招标文件“第</w:t>
            </w:r>
            <w:r>
              <w:rPr>
                <w:rFonts w:hint="eastAsia" w:cs="宋体"/>
                <w:color w:val="auto"/>
                <w:kern w:val="2"/>
                <w:sz w:val="21"/>
                <w:szCs w:val="21"/>
                <w:highlight w:val="none"/>
                <w:lang w:val="en-US" w:eastAsia="zh-CN" w:bidi="ar-SA"/>
              </w:rPr>
              <w:t>三</w:t>
            </w:r>
            <w:r>
              <w:rPr>
                <w:rFonts w:hint="eastAsia" w:ascii="宋体" w:hAnsi="宋体" w:eastAsia="宋体" w:cs="宋体"/>
                <w:color w:val="auto"/>
                <w:kern w:val="2"/>
                <w:sz w:val="21"/>
                <w:szCs w:val="21"/>
                <w:highlight w:val="none"/>
                <w:lang w:val="en-US" w:eastAsia="zh-CN" w:bidi="ar-SA"/>
              </w:rPr>
              <w:t>章</w:t>
            </w:r>
            <w:r>
              <w:rPr>
                <w:rFonts w:hint="eastAsia" w:cs="宋体"/>
                <w:color w:val="auto"/>
                <w:kern w:val="2"/>
                <w:sz w:val="21"/>
                <w:szCs w:val="21"/>
                <w:highlight w:val="none"/>
                <w:lang w:val="en-US" w:eastAsia="zh-CN" w:bidi="ar-SA"/>
              </w:rPr>
              <w:t xml:space="preserve"> 采购需求</w:t>
            </w:r>
            <w:r>
              <w:rPr>
                <w:rFonts w:hint="eastAsia" w:ascii="宋体" w:hAnsi="宋体" w:eastAsia="宋体" w:cs="宋体"/>
                <w:color w:val="auto"/>
                <w:kern w:val="2"/>
                <w:sz w:val="21"/>
                <w:szCs w:val="21"/>
                <w:highlight w:val="none"/>
                <w:lang w:val="en-US" w:eastAsia="zh-CN" w:bidi="ar-SA"/>
              </w:rPr>
              <w:t>”关于</w:t>
            </w:r>
            <w:r>
              <w:rPr>
                <w:rFonts w:hint="eastAsia" w:cs="宋体"/>
                <w:i w:val="0"/>
                <w:iCs w:val="0"/>
                <w:color w:val="auto"/>
                <w:kern w:val="2"/>
                <w:sz w:val="21"/>
                <w:szCs w:val="21"/>
                <w:highlight w:val="none"/>
                <w:lang w:val="en-US" w:eastAsia="zh-CN" w:bidi="ar-SA"/>
              </w:rPr>
              <w:t>交付（实施）的时间（期限)</w:t>
            </w:r>
            <w:r>
              <w:rPr>
                <w:rFonts w:hint="eastAsia" w:ascii="宋体" w:hAnsi="宋体" w:eastAsia="宋体" w:cs="宋体"/>
                <w:color w:val="auto"/>
                <w:kern w:val="2"/>
                <w:sz w:val="21"/>
                <w:szCs w:val="21"/>
                <w:highlight w:val="none"/>
                <w:lang w:val="en-US" w:eastAsia="zh-CN" w:bidi="ar-SA"/>
              </w:rPr>
              <w:t>的规定</w:t>
            </w:r>
          </w:p>
        </w:tc>
        <w:tc>
          <w:tcPr>
            <w:tcW w:w="1010" w:type="pct"/>
            <w:noWrap w:val="0"/>
            <w:vAlign w:val="center"/>
          </w:tcPr>
          <w:p w14:paraId="5BB89004">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c>
          <w:tcPr>
            <w:tcW w:w="395" w:type="pct"/>
            <w:noWrap w:val="0"/>
            <w:vAlign w:val="center"/>
          </w:tcPr>
          <w:p w14:paraId="0E4E117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3505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20" w:type="pct"/>
            <w:shd w:val="clear" w:color="auto" w:fill="auto"/>
            <w:noWrap w:val="0"/>
            <w:vAlign w:val="center"/>
          </w:tcPr>
          <w:p w14:paraId="7D5DC93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075" w:type="pct"/>
            <w:shd w:val="clear" w:color="auto" w:fill="auto"/>
            <w:noWrap w:val="0"/>
            <w:vAlign w:val="center"/>
          </w:tcPr>
          <w:p w14:paraId="505EE26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交付（实施）的地点（范围）</w:t>
            </w:r>
          </w:p>
        </w:tc>
        <w:tc>
          <w:tcPr>
            <w:tcW w:w="2298" w:type="pct"/>
            <w:shd w:val="clear" w:color="auto" w:fill="auto"/>
            <w:noWrap w:val="0"/>
            <w:vAlign w:val="center"/>
          </w:tcPr>
          <w:p w14:paraId="324EF1FF">
            <w:pPr>
              <w:pStyle w:val="4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招标文件“第</w:t>
            </w:r>
            <w:r>
              <w:rPr>
                <w:rFonts w:hint="eastAsia" w:cs="宋体"/>
                <w:color w:val="auto"/>
                <w:kern w:val="2"/>
                <w:sz w:val="21"/>
                <w:szCs w:val="21"/>
                <w:highlight w:val="none"/>
                <w:lang w:val="en-US" w:eastAsia="zh-CN" w:bidi="ar-SA"/>
              </w:rPr>
              <w:t>三</w:t>
            </w:r>
            <w:r>
              <w:rPr>
                <w:rFonts w:hint="eastAsia" w:ascii="宋体" w:hAnsi="宋体" w:eastAsia="宋体" w:cs="宋体"/>
                <w:color w:val="auto"/>
                <w:kern w:val="2"/>
                <w:sz w:val="21"/>
                <w:szCs w:val="21"/>
                <w:highlight w:val="none"/>
                <w:lang w:val="en-US" w:eastAsia="zh-CN" w:bidi="ar-SA"/>
              </w:rPr>
              <w:t>章</w:t>
            </w:r>
            <w:r>
              <w:rPr>
                <w:rFonts w:hint="eastAsia" w:cs="宋体"/>
                <w:color w:val="auto"/>
                <w:kern w:val="2"/>
                <w:sz w:val="21"/>
                <w:szCs w:val="21"/>
                <w:highlight w:val="none"/>
                <w:lang w:val="en-US" w:eastAsia="zh-CN" w:bidi="ar-SA"/>
              </w:rPr>
              <w:t xml:space="preserve"> 采购需求</w:t>
            </w:r>
            <w:r>
              <w:rPr>
                <w:rFonts w:hint="eastAsia" w:ascii="宋体" w:hAnsi="宋体" w:eastAsia="宋体" w:cs="宋体"/>
                <w:color w:val="auto"/>
                <w:kern w:val="2"/>
                <w:sz w:val="21"/>
                <w:szCs w:val="21"/>
                <w:highlight w:val="none"/>
                <w:lang w:val="en-US" w:eastAsia="zh-CN" w:bidi="ar-SA"/>
              </w:rPr>
              <w:t>”关于交付（实施）的地点（范围）的规定</w:t>
            </w:r>
          </w:p>
        </w:tc>
        <w:tc>
          <w:tcPr>
            <w:tcW w:w="1010" w:type="pct"/>
            <w:noWrap w:val="0"/>
            <w:vAlign w:val="center"/>
          </w:tcPr>
          <w:p w14:paraId="042BD64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c>
          <w:tcPr>
            <w:tcW w:w="395" w:type="pct"/>
            <w:noWrap w:val="0"/>
            <w:vAlign w:val="center"/>
          </w:tcPr>
          <w:p w14:paraId="458E18A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0126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0" w:type="pct"/>
            <w:shd w:val="clear" w:color="auto" w:fill="auto"/>
            <w:noWrap w:val="0"/>
            <w:vAlign w:val="center"/>
          </w:tcPr>
          <w:p w14:paraId="24A010C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075" w:type="pct"/>
            <w:shd w:val="clear" w:color="auto" w:fill="auto"/>
            <w:noWrap w:val="0"/>
            <w:vAlign w:val="center"/>
          </w:tcPr>
          <w:p w14:paraId="127FA67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sz w:val="24"/>
                <w:szCs w:val="24"/>
                <w:highlight w:val="none"/>
                <w:lang w:val="en-US" w:eastAsia="zh-CN"/>
              </w:rPr>
              <w:t>数量</w:t>
            </w:r>
          </w:p>
        </w:tc>
        <w:tc>
          <w:tcPr>
            <w:tcW w:w="2298" w:type="pct"/>
            <w:shd w:val="clear" w:color="auto" w:fill="auto"/>
            <w:noWrap w:val="0"/>
            <w:vAlign w:val="center"/>
          </w:tcPr>
          <w:p w14:paraId="5C7A4502">
            <w:pPr>
              <w:pStyle w:val="49"/>
              <w:rPr>
                <w:rFonts w:hint="eastAsia" w:ascii="宋体" w:hAnsi="宋体" w:eastAsia="宋体" w:cs="宋体"/>
                <w:color w:val="auto"/>
                <w:kern w:val="2"/>
                <w:sz w:val="21"/>
                <w:szCs w:val="21"/>
                <w:highlight w:val="none"/>
                <w:lang w:val="en-US" w:eastAsia="zh-CN" w:bidi="ar-SA"/>
              </w:rPr>
            </w:pPr>
            <w:r>
              <w:rPr>
                <w:rFonts w:hint="default" w:cs="宋体"/>
                <w:color w:val="auto"/>
                <w:sz w:val="21"/>
                <w:szCs w:val="21"/>
              </w:rPr>
              <w:t>招标文件“第三章 采购需求”关于</w:t>
            </w:r>
            <w:r>
              <w:rPr>
                <w:rFonts w:hint="eastAsia" w:cs="宋体"/>
                <w:color w:val="auto"/>
                <w:sz w:val="24"/>
                <w:szCs w:val="24"/>
                <w:highlight w:val="none"/>
                <w:lang w:val="en-US" w:eastAsia="zh-CN"/>
              </w:rPr>
              <w:t>数量</w:t>
            </w:r>
            <w:r>
              <w:rPr>
                <w:rFonts w:hint="default" w:cs="宋体"/>
                <w:color w:val="auto"/>
                <w:sz w:val="21"/>
                <w:szCs w:val="21"/>
              </w:rPr>
              <w:t>的规定</w:t>
            </w:r>
          </w:p>
        </w:tc>
        <w:tc>
          <w:tcPr>
            <w:tcW w:w="1010" w:type="pct"/>
            <w:noWrap w:val="0"/>
            <w:vAlign w:val="center"/>
          </w:tcPr>
          <w:p w14:paraId="6E29F27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c>
          <w:tcPr>
            <w:tcW w:w="395" w:type="pct"/>
            <w:noWrap w:val="0"/>
            <w:vAlign w:val="center"/>
          </w:tcPr>
          <w:p w14:paraId="63A4B6F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188F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0" w:type="pct"/>
            <w:shd w:val="clear" w:color="auto" w:fill="auto"/>
            <w:noWrap w:val="0"/>
            <w:vAlign w:val="center"/>
          </w:tcPr>
          <w:p w14:paraId="7D889D6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075" w:type="pct"/>
            <w:noWrap w:val="0"/>
            <w:vAlign w:val="center"/>
          </w:tcPr>
          <w:p w14:paraId="1BACABE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付款条件（进度和方式）</w:t>
            </w:r>
          </w:p>
        </w:tc>
        <w:tc>
          <w:tcPr>
            <w:tcW w:w="2298" w:type="pct"/>
            <w:noWrap w:val="0"/>
            <w:vAlign w:val="center"/>
          </w:tcPr>
          <w:p w14:paraId="6AF4E488">
            <w:pPr>
              <w:pStyle w:val="82"/>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招标文件“第</w:t>
            </w:r>
            <w:r>
              <w:rPr>
                <w:rFonts w:hint="eastAsia" w:cs="宋体"/>
                <w:color w:val="auto"/>
                <w:kern w:val="2"/>
                <w:sz w:val="21"/>
                <w:szCs w:val="21"/>
                <w:highlight w:val="none"/>
                <w:lang w:val="en-US" w:eastAsia="zh-CN" w:bidi="ar-SA"/>
              </w:rPr>
              <w:t>三</w:t>
            </w:r>
            <w:r>
              <w:rPr>
                <w:rFonts w:hint="eastAsia" w:ascii="宋体" w:hAnsi="宋体" w:eastAsia="宋体" w:cs="宋体"/>
                <w:color w:val="auto"/>
                <w:kern w:val="2"/>
                <w:sz w:val="21"/>
                <w:szCs w:val="21"/>
                <w:highlight w:val="none"/>
                <w:lang w:val="en-US" w:eastAsia="zh-CN" w:bidi="ar-SA"/>
              </w:rPr>
              <w:t>章</w:t>
            </w:r>
            <w:r>
              <w:rPr>
                <w:rFonts w:hint="eastAsia" w:cs="宋体"/>
                <w:color w:val="auto"/>
                <w:kern w:val="2"/>
                <w:sz w:val="21"/>
                <w:szCs w:val="21"/>
                <w:highlight w:val="none"/>
                <w:lang w:val="en-US" w:eastAsia="zh-CN" w:bidi="ar-SA"/>
              </w:rPr>
              <w:t xml:space="preserve"> 采购需求</w:t>
            </w:r>
            <w:r>
              <w:rPr>
                <w:rFonts w:hint="eastAsia" w:ascii="宋体" w:hAnsi="宋体" w:eastAsia="宋体" w:cs="宋体"/>
                <w:color w:val="auto"/>
                <w:kern w:val="2"/>
                <w:sz w:val="21"/>
                <w:szCs w:val="21"/>
                <w:highlight w:val="none"/>
                <w:lang w:val="en-US" w:eastAsia="zh-CN" w:bidi="ar-SA"/>
              </w:rPr>
              <w:t>”关于</w:t>
            </w:r>
            <w:r>
              <w:rPr>
                <w:rFonts w:hint="eastAsia" w:ascii="宋体" w:hAnsi="宋体" w:eastAsia="宋体" w:cs="宋体"/>
                <w:color w:val="auto"/>
                <w:sz w:val="21"/>
                <w:szCs w:val="21"/>
                <w:highlight w:val="none"/>
                <w:lang w:val="zh-CN"/>
              </w:rPr>
              <w:t>付款条件（进度和方式）</w:t>
            </w:r>
            <w:r>
              <w:rPr>
                <w:rFonts w:hint="eastAsia" w:ascii="宋体" w:hAnsi="宋体" w:eastAsia="宋体" w:cs="宋体"/>
                <w:color w:val="auto"/>
                <w:kern w:val="2"/>
                <w:sz w:val="21"/>
                <w:szCs w:val="21"/>
                <w:highlight w:val="none"/>
                <w:lang w:val="en-US" w:eastAsia="zh-CN" w:bidi="ar-SA"/>
              </w:rPr>
              <w:t>的规定</w:t>
            </w:r>
          </w:p>
        </w:tc>
        <w:tc>
          <w:tcPr>
            <w:tcW w:w="1010" w:type="pct"/>
            <w:noWrap w:val="0"/>
            <w:vAlign w:val="center"/>
          </w:tcPr>
          <w:p w14:paraId="5791DDF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c>
          <w:tcPr>
            <w:tcW w:w="395" w:type="pct"/>
            <w:noWrap w:val="0"/>
            <w:vAlign w:val="center"/>
          </w:tcPr>
          <w:p w14:paraId="4FAB139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7D82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0" w:type="pct"/>
            <w:shd w:val="clear" w:color="auto" w:fill="auto"/>
            <w:noWrap w:val="0"/>
            <w:vAlign w:val="center"/>
          </w:tcPr>
          <w:p w14:paraId="1D658F7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1075" w:type="pct"/>
            <w:noWrap w:val="0"/>
            <w:vAlign w:val="center"/>
          </w:tcPr>
          <w:p w14:paraId="76B2B25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质保期</w:t>
            </w:r>
          </w:p>
        </w:tc>
        <w:tc>
          <w:tcPr>
            <w:tcW w:w="2298" w:type="pct"/>
            <w:noWrap w:val="0"/>
            <w:vAlign w:val="center"/>
          </w:tcPr>
          <w:p w14:paraId="080CF7F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招标文件“第</w:t>
            </w:r>
            <w:r>
              <w:rPr>
                <w:rFonts w:hint="eastAsia" w:cs="宋体"/>
                <w:color w:val="auto"/>
                <w:kern w:val="2"/>
                <w:sz w:val="21"/>
                <w:szCs w:val="21"/>
                <w:highlight w:val="none"/>
                <w:lang w:val="en-US" w:eastAsia="zh-CN" w:bidi="ar-SA"/>
              </w:rPr>
              <w:t>三</w:t>
            </w:r>
            <w:r>
              <w:rPr>
                <w:rFonts w:hint="eastAsia" w:ascii="宋体" w:hAnsi="宋体" w:eastAsia="宋体" w:cs="宋体"/>
                <w:color w:val="auto"/>
                <w:kern w:val="2"/>
                <w:sz w:val="21"/>
                <w:szCs w:val="21"/>
                <w:highlight w:val="none"/>
                <w:lang w:val="en-US" w:eastAsia="zh-CN" w:bidi="ar-SA"/>
              </w:rPr>
              <w:t>章</w:t>
            </w:r>
            <w:r>
              <w:rPr>
                <w:rFonts w:hint="eastAsia" w:cs="宋体"/>
                <w:color w:val="auto"/>
                <w:kern w:val="2"/>
                <w:sz w:val="21"/>
                <w:szCs w:val="21"/>
                <w:highlight w:val="none"/>
                <w:lang w:val="en-US" w:eastAsia="zh-CN" w:bidi="ar-SA"/>
              </w:rPr>
              <w:t xml:space="preserve"> 采购需求</w:t>
            </w:r>
            <w:r>
              <w:rPr>
                <w:rFonts w:hint="eastAsia" w:ascii="宋体" w:hAnsi="宋体" w:eastAsia="宋体" w:cs="宋体"/>
                <w:color w:val="auto"/>
                <w:kern w:val="2"/>
                <w:sz w:val="21"/>
                <w:szCs w:val="21"/>
                <w:highlight w:val="none"/>
                <w:lang w:val="en-US" w:eastAsia="zh-CN" w:bidi="ar-SA"/>
              </w:rPr>
              <w:t>”关于</w:t>
            </w:r>
            <w:r>
              <w:rPr>
                <w:rFonts w:hint="eastAsia" w:ascii="宋体" w:hAnsi="宋体" w:eastAsia="宋体" w:cs="宋体"/>
                <w:color w:val="auto"/>
                <w:sz w:val="21"/>
                <w:szCs w:val="21"/>
                <w:highlight w:val="none"/>
                <w:lang w:val="zh-CN"/>
              </w:rPr>
              <w:t>质保期</w:t>
            </w:r>
            <w:r>
              <w:rPr>
                <w:rFonts w:hint="eastAsia" w:ascii="宋体" w:hAnsi="宋体" w:eastAsia="宋体" w:cs="宋体"/>
                <w:color w:val="auto"/>
                <w:kern w:val="2"/>
                <w:sz w:val="21"/>
                <w:szCs w:val="21"/>
                <w:highlight w:val="none"/>
                <w:lang w:val="en-US" w:eastAsia="zh-CN" w:bidi="ar-SA"/>
              </w:rPr>
              <w:t>的规定</w:t>
            </w:r>
          </w:p>
        </w:tc>
        <w:tc>
          <w:tcPr>
            <w:tcW w:w="1010" w:type="pct"/>
            <w:noWrap w:val="0"/>
            <w:vAlign w:val="center"/>
          </w:tcPr>
          <w:p w14:paraId="404E91E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c>
          <w:tcPr>
            <w:tcW w:w="395" w:type="pct"/>
            <w:noWrap w:val="0"/>
            <w:vAlign w:val="center"/>
          </w:tcPr>
          <w:p w14:paraId="4B03ECB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581E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0" w:type="pct"/>
            <w:shd w:val="clear" w:color="auto" w:fill="auto"/>
            <w:noWrap w:val="0"/>
            <w:vAlign w:val="center"/>
          </w:tcPr>
          <w:p w14:paraId="2A12EC9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1075" w:type="pct"/>
            <w:noWrap w:val="0"/>
            <w:vAlign w:val="center"/>
          </w:tcPr>
          <w:p w14:paraId="0BFE6DF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其他商务要求</w:t>
            </w:r>
          </w:p>
        </w:tc>
        <w:tc>
          <w:tcPr>
            <w:tcW w:w="2298" w:type="pct"/>
            <w:noWrap w:val="0"/>
            <w:vAlign w:val="center"/>
          </w:tcPr>
          <w:p w14:paraId="70263471">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招标文件“第三章 采购需求”关于其他商务要求的规定</w:t>
            </w:r>
          </w:p>
        </w:tc>
        <w:tc>
          <w:tcPr>
            <w:tcW w:w="1010" w:type="pct"/>
            <w:noWrap w:val="0"/>
            <w:vAlign w:val="center"/>
          </w:tcPr>
          <w:p w14:paraId="7D8F15D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c>
          <w:tcPr>
            <w:tcW w:w="395" w:type="pct"/>
            <w:noWrap w:val="0"/>
            <w:vAlign w:val="center"/>
          </w:tcPr>
          <w:p w14:paraId="4F0FDAA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409E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20" w:type="pct"/>
            <w:noWrap w:val="0"/>
            <w:vAlign w:val="center"/>
          </w:tcPr>
          <w:p w14:paraId="225EEE9F">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075" w:type="pct"/>
            <w:shd w:val="clear" w:color="auto" w:fill="auto"/>
            <w:noWrap w:val="0"/>
            <w:vAlign w:val="center"/>
          </w:tcPr>
          <w:p w14:paraId="4AA8125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标的名称</w:t>
            </w:r>
          </w:p>
        </w:tc>
        <w:tc>
          <w:tcPr>
            <w:tcW w:w="2298" w:type="pct"/>
            <w:noWrap w:val="0"/>
            <w:vAlign w:val="center"/>
          </w:tcPr>
          <w:p w14:paraId="5D3B3A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招标文件“第三章 采购需求”关于标的名称的规定</w:t>
            </w:r>
          </w:p>
        </w:tc>
        <w:tc>
          <w:tcPr>
            <w:tcW w:w="1010" w:type="pct"/>
            <w:noWrap w:val="0"/>
            <w:vAlign w:val="center"/>
          </w:tcPr>
          <w:p w14:paraId="22A79CB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c>
          <w:tcPr>
            <w:tcW w:w="395" w:type="pct"/>
            <w:noWrap w:val="0"/>
            <w:vAlign w:val="center"/>
          </w:tcPr>
          <w:p w14:paraId="1D5F24C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bl>
    <w:p w14:paraId="6F75215A">
      <w:pPr>
        <w:rPr>
          <w:rFonts w:hint="eastAsia"/>
          <w:b/>
          <w:bCs/>
          <w:color w:val="auto"/>
          <w:highlight w:val="none"/>
          <w:lang w:val="en-US" w:eastAsia="zh-CN"/>
        </w:rPr>
      </w:pPr>
    </w:p>
    <w:p w14:paraId="48517D6B">
      <w:pPr>
        <w:shd w:val="clear" w:color="auto" w:fill="FFFFFF"/>
        <w:tabs>
          <w:tab w:val="left" w:pos="3045"/>
        </w:tabs>
        <w:autoSpaceDE w:val="0"/>
        <w:autoSpaceDN w:val="0"/>
        <w:adjustRightInd w:val="0"/>
        <w:snapToGrid w:val="0"/>
        <w:spacing w:line="360" w:lineRule="exact"/>
        <w:rPr>
          <w:rFonts w:hint="eastAsia" w:ascii="宋体" w:hAnsi="宋体" w:eastAsia="宋体" w:cstheme="minorBidi"/>
          <w:b/>
          <w:bCs/>
          <w:color w:val="auto"/>
          <w:kern w:val="2"/>
          <w:sz w:val="30"/>
          <w:szCs w:val="32"/>
          <w:highlight w:val="none"/>
          <w:lang w:val="zh-CN" w:eastAsia="zh-CN" w:bidi="ar-SA"/>
        </w:rPr>
      </w:pPr>
      <w:bookmarkStart w:id="589" w:name="_Toc163492910"/>
      <w:bookmarkStart w:id="590" w:name="_Toc155185917"/>
      <w:r>
        <w:rPr>
          <w:rFonts w:hint="eastAsia" w:ascii="宋体" w:hAnsi="宋体" w:eastAsia="宋体" w:cstheme="minorBidi"/>
          <w:b/>
          <w:bCs/>
          <w:color w:val="auto"/>
          <w:kern w:val="2"/>
          <w:sz w:val="30"/>
          <w:szCs w:val="32"/>
          <w:highlight w:val="none"/>
          <w:lang w:val="zh-CN" w:eastAsia="zh-CN" w:bidi="ar-SA"/>
        </w:rPr>
        <w:br w:type="page"/>
      </w:r>
    </w:p>
    <w:p w14:paraId="3FE0903E">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91" w:name="_Toc10178"/>
      <w:bookmarkStart w:id="592" w:name="_Toc21870"/>
      <w:r>
        <w:rPr>
          <w:rFonts w:hint="eastAsia" w:ascii="宋体" w:hAnsi="宋体" w:eastAsia="宋体" w:cs="宋体"/>
          <w:b/>
          <w:bCs/>
          <w:color w:val="auto"/>
          <w:kern w:val="2"/>
          <w:sz w:val="24"/>
          <w:szCs w:val="24"/>
          <w:highlight w:val="none"/>
          <w:lang w:val="zh-CN" w:eastAsia="zh-CN" w:bidi="ar-SA"/>
        </w:rPr>
        <w:t>（二）评分标准</w:t>
      </w:r>
      <w:bookmarkEnd w:id="589"/>
      <w:bookmarkEnd w:id="590"/>
      <w:bookmarkEnd w:id="591"/>
      <w:bookmarkEnd w:id="592"/>
    </w:p>
    <w:p w14:paraId="0DEE66CB">
      <w:pPr>
        <w:pStyle w:val="37"/>
        <w:ind w:left="0" w:leftChars="0" w:firstLine="0" w:firstLineChars="0"/>
        <w:rPr>
          <w:rFonts w:hint="eastAsia"/>
          <w:color w:val="auto"/>
          <w:highlight w:val="none"/>
        </w:rPr>
      </w:pPr>
    </w:p>
    <w:tbl>
      <w:tblPr>
        <w:tblStyle w:val="30"/>
        <w:tblW w:w="5312" w:type="pct"/>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7"/>
        <w:gridCol w:w="1186"/>
        <w:gridCol w:w="6932"/>
      </w:tblGrid>
      <w:tr w14:paraId="1A7C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06" w:type="pct"/>
            <w:noWrap w:val="0"/>
            <w:vAlign w:val="center"/>
          </w:tcPr>
          <w:p w14:paraId="486588B4">
            <w:pPr>
              <w:autoSpaceDE w:val="0"/>
              <w:spacing w:line="360" w:lineRule="auto"/>
              <w:jc w:val="center"/>
              <w:rPr>
                <w:rFonts w:hint="default" w:ascii="Times New Roman" w:hAnsi="Times New Roman" w:eastAsia="宋体" w:cs="Times New Roman"/>
                <w:b/>
                <w:bCs/>
                <w:color w:val="auto"/>
                <w:sz w:val="24"/>
                <w:szCs w:val="24"/>
                <w:highlight w:val="none"/>
                <w:lang w:bidi="ar"/>
              </w:rPr>
            </w:pPr>
            <w:bookmarkStart w:id="593" w:name="_Hlk75780037"/>
            <w:r>
              <w:rPr>
                <w:rFonts w:hint="default" w:ascii="Times New Roman" w:hAnsi="Times New Roman" w:eastAsia="宋体" w:cs="Times New Roman"/>
                <w:b/>
                <w:bCs/>
                <w:color w:val="auto"/>
                <w:sz w:val="24"/>
                <w:szCs w:val="24"/>
                <w:highlight w:val="none"/>
                <w:lang w:bidi="ar"/>
              </w:rPr>
              <w:t>评分</w:t>
            </w:r>
          </w:p>
          <w:p w14:paraId="1542BFDA">
            <w:pPr>
              <w:autoSpaceDE w:val="0"/>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bidi="ar"/>
              </w:rPr>
              <w:t>因素</w:t>
            </w:r>
            <w:bookmarkEnd w:id="593"/>
          </w:p>
        </w:tc>
        <w:tc>
          <w:tcPr>
            <w:tcW w:w="670" w:type="pct"/>
            <w:noWrap w:val="0"/>
            <w:vAlign w:val="center"/>
          </w:tcPr>
          <w:p w14:paraId="76A8A1BF">
            <w:pPr>
              <w:autoSpaceDE w:val="0"/>
              <w:spacing w:line="360" w:lineRule="auto"/>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bidi="ar"/>
              </w:rPr>
              <w:t>评分点</w:t>
            </w:r>
          </w:p>
        </w:tc>
        <w:tc>
          <w:tcPr>
            <w:tcW w:w="3922" w:type="pct"/>
            <w:noWrap w:val="0"/>
            <w:vAlign w:val="center"/>
          </w:tcPr>
          <w:p w14:paraId="4DE18A60">
            <w:pPr>
              <w:autoSpaceDE w:val="0"/>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bidi="ar"/>
              </w:rPr>
              <w:t>评分标准</w:t>
            </w:r>
          </w:p>
        </w:tc>
      </w:tr>
      <w:tr w14:paraId="7A85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6" w:hRule="atLeast"/>
        </w:trPr>
        <w:tc>
          <w:tcPr>
            <w:tcW w:w="406" w:type="pct"/>
            <w:noWrap w:val="0"/>
            <w:vAlign w:val="center"/>
          </w:tcPr>
          <w:p w14:paraId="4F8C86AA">
            <w:pPr>
              <w:autoSpaceDE w:val="0"/>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价格评审（30分）</w:t>
            </w:r>
          </w:p>
        </w:tc>
        <w:tc>
          <w:tcPr>
            <w:tcW w:w="670" w:type="pct"/>
            <w:noWrap w:val="0"/>
            <w:vAlign w:val="center"/>
          </w:tcPr>
          <w:p w14:paraId="73A19BD5">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投标报价</w:t>
            </w:r>
          </w:p>
          <w:p w14:paraId="5FB915CF">
            <w:pPr>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（30分）</w:t>
            </w:r>
          </w:p>
        </w:tc>
        <w:tc>
          <w:tcPr>
            <w:tcW w:w="3922" w:type="pct"/>
            <w:noWrap w:val="0"/>
            <w:vAlign w:val="center"/>
          </w:tcPr>
          <w:p w14:paraId="1F4EAD7A">
            <w:pPr>
              <w:adjustRightInd w:val="0"/>
              <w:snapToGrid w:val="0"/>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标基准价=有效投标报价的最低值，有效投标报价等于基准值的得满分，投标报价得分=（评标基准价/投标报价）×30%×100。（分值出现小数时，按四舍五入，保留小数点后两位）。有效投标报价为通过初步审查的</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报价。</w:t>
            </w:r>
          </w:p>
          <w:p w14:paraId="7D762C42">
            <w:pPr>
              <w:adjustRightInd w:val="0"/>
              <w:snapToGrid w:val="0"/>
              <w:spacing w:line="360" w:lineRule="auto"/>
              <w:jc w:val="left"/>
              <w:rPr>
                <w:rFonts w:hint="default" w:ascii="Times New Roman" w:hAnsi="Times New Roman" w:eastAsia="宋体" w:cs="Times New Roman"/>
                <w:color w:val="auto"/>
                <w:sz w:val="24"/>
                <w:szCs w:val="24"/>
                <w:highlight w:val="none"/>
                <w:lang w:eastAsia="zh-Hans"/>
              </w:rPr>
            </w:pPr>
            <w:r>
              <w:rPr>
                <w:rFonts w:hint="default" w:ascii="Times New Roman" w:hAnsi="Times New Roman" w:eastAsia="宋体" w:cs="Times New Roman"/>
                <w:color w:val="auto"/>
                <w:sz w:val="24"/>
                <w:szCs w:val="24"/>
                <w:highlight w:val="none"/>
              </w:rPr>
              <w:t>注：1.本次采购小型和微型企业产品的价格扣除幅度：价格给予</w:t>
            </w:r>
            <w:r>
              <w:rPr>
                <w:rFonts w:hint="default" w:ascii="Times New Roman" w:hAnsi="Times New Roman" w:eastAsia="宋体" w:cs="Times New Roman"/>
                <w:b/>
                <w:bCs/>
                <w:color w:val="auto"/>
                <w:sz w:val="24"/>
                <w:szCs w:val="24"/>
                <w:highlight w:val="none"/>
                <w:u w:val="single"/>
              </w:rPr>
              <w:t>1</w:t>
            </w:r>
            <w:r>
              <w:rPr>
                <w:rFonts w:hint="eastAsia" w:ascii="Times New Roman" w:hAnsi="Times New Roman" w:cs="Times New Roman"/>
                <w:b/>
                <w:bCs/>
                <w:color w:val="auto"/>
                <w:sz w:val="24"/>
                <w:szCs w:val="24"/>
                <w:highlight w:val="none"/>
                <w:u w:val="single"/>
                <w:lang w:val="en-US" w:eastAsia="zh-CN"/>
              </w:rPr>
              <w:t>0</w:t>
            </w:r>
            <w:r>
              <w:rPr>
                <w:rFonts w:hint="default" w:ascii="Times New Roman" w:hAnsi="Times New Roman" w:eastAsia="宋体" w:cs="Times New Roman"/>
                <w:b/>
                <w:bCs/>
                <w:color w:val="auto"/>
                <w:sz w:val="24"/>
                <w:szCs w:val="24"/>
                <w:highlight w:val="none"/>
                <w:u w:val="single"/>
              </w:rPr>
              <w:t>%</w:t>
            </w:r>
            <w:r>
              <w:rPr>
                <w:rFonts w:hint="default" w:ascii="Times New Roman" w:hAnsi="Times New Roman" w:eastAsia="宋体" w:cs="Times New Roman"/>
                <w:color w:val="auto"/>
                <w:sz w:val="24"/>
                <w:szCs w:val="24"/>
                <w:highlight w:val="none"/>
              </w:rPr>
              <w:t>的扣除，</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应出具采购文件中要求的</w:t>
            </w:r>
            <w:r>
              <w:rPr>
                <w:rFonts w:hint="default" w:ascii="Times New Roman" w:hAnsi="Times New Roman" w:eastAsia="宋体" w:cs="Times New Roman"/>
                <w:color w:val="auto"/>
                <w:sz w:val="24"/>
                <w:szCs w:val="24"/>
                <w:highlight w:val="none"/>
                <w:lang w:eastAsia="zh-Hans"/>
              </w:rPr>
              <w:t>有效的</w:t>
            </w:r>
            <w:r>
              <w:rPr>
                <w:rFonts w:hint="default" w:ascii="Times New Roman" w:hAnsi="Times New Roman" w:eastAsia="宋体" w:cs="Times New Roman"/>
                <w:color w:val="auto"/>
                <w:sz w:val="24"/>
                <w:szCs w:val="24"/>
                <w:highlight w:val="none"/>
              </w:rPr>
              <w:t>《中小企业声明函》，否则评审时不予认可</w:t>
            </w:r>
            <w:r>
              <w:rPr>
                <w:rFonts w:hint="default" w:ascii="Times New Roman" w:hAnsi="Times New Roman" w:eastAsia="宋体" w:cs="Times New Roman"/>
                <w:color w:val="auto"/>
                <w:sz w:val="24"/>
                <w:szCs w:val="24"/>
                <w:highlight w:val="none"/>
                <w:lang w:eastAsia="zh-Hans"/>
              </w:rPr>
              <w:t>。</w:t>
            </w:r>
          </w:p>
          <w:p w14:paraId="17A0F0D4">
            <w:pPr>
              <w:adjustRightInd w:val="0"/>
              <w:snapToGrid w:val="0"/>
              <w:spacing w:line="360" w:lineRule="auto"/>
              <w:jc w:val="left"/>
              <w:rPr>
                <w:rFonts w:hint="default" w:ascii="Times New Roman" w:hAnsi="Times New Roman" w:eastAsia="宋体" w:cs="Times New Roman"/>
                <w:color w:val="auto"/>
                <w:sz w:val="24"/>
                <w:szCs w:val="24"/>
                <w:highlight w:val="none"/>
                <w:lang w:eastAsia="zh-Hans"/>
              </w:rPr>
            </w:pPr>
            <w:r>
              <w:rPr>
                <w:rFonts w:hint="default" w:ascii="Times New Roman" w:hAnsi="Times New Roman" w:eastAsia="宋体" w:cs="Times New Roman"/>
                <w:color w:val="auto"/>
                <w:sz w:val="24"/>
                <w:szCs w:val="24"/>
                <w:highlight w:val="none"/>
              </w:rPr>
              <w:t>2.本次采购</w:t>
            </w:r>
            <w:r>
              <w:rPr>
                <w:rFonts w:hint="default" w:ascii="Times New Roman" w:hAnsi="Times New Roman" w:eastAsia="宋体" w:cs="Times New Roman"/>
                <w:color w:val="auto"/>
                <w:sz w:val="24"/>
                <w:szCs w:val="24"/>
                <w:highlight w:val="none"/>
                <w:lang w:eastAsia="zh-Hans"/>
              </w:rPr>
              <w:t>标</w:t>
            </w:r>
            <w:r>
              <w:rPr>
                <w:rFonts w:hint="default" w:ascii="Times New Roman" w:hAnsi="Times New Roman" w:eastAsia="宋体" w:cs="Times New Roman"/>
                <w:color w:val="auto"/>
                <w:sz w:val="24"/>
                <w:szCs w:val="24"/>
                <w:highlight w:val="none"/>
              </w:rPr>
              <w:t>的</w:t>
            </w:r>
            <w:r>
              <w:rPr>
                <w:rFonts w:hint="eastAsia" w:ascii="Times New Roman" w:hAnsi="Times New Roman" w:cs="Times New Roman"/>
                <w:color w:val="auto"/>
                <w:sz w:val="24"/>
                <w:szCs w:val="24"/>
                <w:highlight w:val="none"/>
                <w:lang w:eastAsia="zh-CN"/>
              </w:rPr>
              <w:t>是</w:t>
            </w:r>
            <w:r>
              <w:rPr>
                <w:rFonts w:hint="eastAsia" w:ascii="Times New Roman" w:hAnsi="Times New Roman" w:eastAsia="宋体"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 xml:space="preserve"> </w:t>
            </w:r>
            <w:r>
              <w:rPr>
                <w:rFonts w:hint="eastAsia" w:eastAsia="宋体" w:cs="Times New Roman"/>
                <w:b/>
                <w:bCs/>
                <w:color w:val="auto"/>
                <w:sz w:val="24"/>
                <w:szCs w:val="24"/>
                <w:highlight w:val="none"/>
                <w:u w:val="single"/>
                <w:lang w:val="en-US" w:eastAsia="zh-CN"/>
              </w:rPr>
              <w:t>新能源</w:t>
            </w:r>
            <w:r>
              <w:rPr>
                <w:rFonts w:hint="eastAsia" w:eastAsia="宋体" w:cs="Times New Roman"/>
                <w:b/>
                <w:bCs/>
                <w:i w:val="0"/>
                <w:iCs w:val="0"/>
                <w:color w:val="auto"/>
                <w:sz w:val="24"/>
                <w:szCs w:val="24"/>
                <w:highlight w:val="none"/>
                <w:u w:val="single"/>
                <w:lang w:val="en-US" w:eastAsia="zh-CN"/>
              </w:rPr>
              <w:t>商务</w:t>
            </w:r>
            <w:r>
              <w:rPr>
                <w:rFonts w:hint="eastAsia" w:ascii="Times New Roman" w:hAnsi="Times New Roman" w:eastAsia="宋体" w:cs="Times New Roman"/>
                <w:b/>
                <w:bCs/>
                <w:i w:val="0"/>
                <w:iCs w:val="0"/>
                <w:color w:val="auto"/>
                <w:sz w:val="24"/>
                <w:szCs w:val="24"/>
                <w:highlight w:val="none"/>
                <w:u w:val="single"/>
                <w:lang w:val="en-US" w:eastAsia="zh-CN"/>
              </w:rPr>
              <w:t>车</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对应的所属行业为：</w:t>
            </w:r>
            <w:r>
              <w:rPr>
                <w:rFonts w:hint="default" w:ascii="Times New Roman" w:hAnsi="Times New Roman" w:eastAsia="宋体" w:cs="Times New Roman"/>
                <w:b/>
                <w:bCs/>
                <w:color w:val="auto"/>
                <w:sz w:val="24"/>
                <w:szCs w:val="24"/>
                <w:highlight w:val="none"/>
                <w:u w:val="single"/>
              </w:rPr>
              <w:t>工业</w:t>
            </w:r>
            <w:r>
              <w:rPr>
                <w:rFonts w:hint="default" w:ascii="Times New Roman" w:hAnsi="Times New Roman" w:eastAsia="宋体" w:cs="Times New Roman"/>
                <w:color w:val="auto"/>
                <w:sz w:val="24"/>
                <w:szCs w:val="24"/>
                <w:highlight w:val="none"/>
                <w:lang w:eastAsia="zh-Hans"/>
              </w:rPr>
              <w:t>。</w:t>
            </w:r>
          </w:p>
          <w:p w14:paraId="28EE8FAB">
            <w:pPr>
              <w:adjustRightInd w:val="0"/>
              <w:snapToGrid w:val="0"/>
              <w:spacing w:line="360" w:lineRule="auto"/>
              <w:jc w:val="left"/>
              <w:rPr>
                <w:rFonts w:hint="default" w:ascii="Times New Roman" w:hAnsi="Times New Roman" w:eastAsia="宋体" w:cs="Times New Roman"/>
                <w:color w:val="auto"/>
                <w:sz w:val="24"/>
                <w:szCs w:val="24"/>
                <w:highlight w:val="none"/>
                <w:lang w:eastAsia="zh-Hans"/>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val="en-US" w:eastAsia="zh-CN"/>
              </w:rPr>
              <w:t>在本采购项目中，货物由中小企业制造，即货物由中小企业生产且使用该中小企业商号或者注册商标。供应商提供的货物既有中小企业制造货物，也有大型企业制造货物的，不享受本办法规定的中小企业扶持政策。</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不得低于成本或市场价恶意竞标，评标委员会认为</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的报价明显低于其他通过符合性审查</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的报价，有可能影响项目正常实施或者不能诚信履约的，应当要求其在投标现场合理的时间内提供书面说明，必要时提交相关证明材料；</w:t>
            </w:r>
            <w:r>
              <w:rPr>
                <w:rFonts w:hint="default" w:ascii="Times New Roman" w:hAnsi="Times New Roman" w:eastAsia="宋体"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不能证明其报价合理性的，评标委员会应当将其作为无效投标</w:t>
            </w:r>
            <w:r>
              <w:rPr>
                <w:rFonts w:hint="default" w:ascii="Times New Roman" w:hAnsi="Times New Roman" w:eastAsia="宋体" w:cs="Times New Roman"/>
                <w:color w:val="auto"/>
                <w:sz w:val="24"/>
                <w:szCs w:val="24"/>
                <w:highlight w:val="none"/>
                <w:lang w:eastAsia="zh-Hans"/>
              </w:rPr>
              <w:t>。</w:t>
            </w:r>
          </w:p>
          <w:p w14:paraId="37D00F27">
            <w:pPr>
              <w:adjustRightInd w:val="0"/>
              <w:snapToGrid w:val="0"/>
              <w:spacing w:line="360" w:lineRule="auto"/>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24"/>
                <w:szCs w:val="24"/>
                <w:highlight w:val="none"/>
                <w:lang w:val="en-US" w:eastAsia="zh-CN"/>
              </w:rPr>
              <w:t>4.供应商的报价明显低于其他通过符合性审查供应商的报价，有可能影响产品质量或者不能诚信履约的，供应商应在评审现场合理的时间内提供书面说明，必要时提交相关证明材料；供应商不能证明其报价合理性的，响应无效。</w:t>
            </w:r>
          </w:p>
        </w:tc>
      </w:tr>
      <w:tr w14:paraId="5980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06" w:type="pct"/>
            <w:vMerge w:val="restart"/>
            <w:noWrap w:val="0"/>
            <w:vAlign w:val="center"/>
          </w:tcPr>
          <w:p w14:paraId="79EBD688">
            <w:pPr>
              <w:autoSpaceDE w:val="0"/>
              <w:spacing w:line="360" w:lineRule="auto"/>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商务标</w:t>
            </w:r>
          </w:p>
          <w:p w14:paraId="2640BF89">
            <w:pPr>
              <w:autoSpaceDE w:val="0"/>
              <w:spacing w:line="360" w:lineRule="auto"/>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评审</w:t>
            </w:r>
          </w:p>
          <w:p w14:paraId="1523B781">
            <w:pPr>
              <w:autoSpaceDE w:val="0"/>
              <w:spacing w:line="360" w:lineRule="auto"/>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15</w:t>
            </w:r>
            <w:r>
              <w:rPr>
                <w:rFonts w:hint="default" w:ascii="Times New Roman" w:hAnsi="Times New Roman" w:eastAsia="宋体" w:cs="Times New Roman"/>
                <w:b/>
                <w:bCs/>
                <w:color w:val="auto"/>
                <w:sz w:val="24"/>
                <w:szCs w:val="24"/>
                <w:highlight w:val="none"/>
              </w:rPr>
              <w:t>分)</w:t>
            </w:r>
          </w:p>
        </w:tc>
        <w:tc>
          <w:tcPr>
            <w:tcW w:w="670" w:type="pct"/>
            <w:noWrap w:val="0"/>
            <w:vAlign w:val="center"/>
          </w:tcPr>
          <w:p w14:paraId="6B6DB111">
            <w:pPr>
              <w:autoSpaceDE w:val="0"/>
              <w:spacing w:line="360" w:lineRule="auto"/>
              <w:jc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企业业绩</w:t>
            </w:r>
          </w:p>
          <w:p w14:paraId="436C6E27">
            <w:pPr>
              <w:autoSpaceDE w:val="0"/>
              <w:spacing w:line="360" w:lineRule="auto"/>
              <w:jc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bidi="ar"/>
              </w:rPr>
              <w:t>3</w:t>
            </w:r>
            <w:r>
              <w:rPr>
                <w:rFonts w:hint="default" w:ascii="Times New Roman" w:hAnsi="Times New Roman" w:eastAsia="宋体" w:cs="Times New Roman"/>
                <w:color w:val="auto"/>
                <w:sz w:val="24"/>
                <w:szCs w:val="24"/>
                <w:highlight w:val="none"/>
                <w:lang w:bidi="ar"/>
              </w:rPr>
              <w:t>分）</w:t>
            </w:r>
          </w:p>
        </w:tc>
        <w:tc>
          <w:tcPr>
            <w:tcW w:w="3922" w:type="pct"/>
            <w:noWrap w:val="0"/>
            <w:vAlign w:val="center"/>
          </w:tcPr>
          <w:p w14:paraId="0CFCD337">
            <w:pPr>
              <w:autoSpaceDE w:val="0"/>
              <w:spacing w:line="360" w:lineRule="auto"/>
              <w:jc w:val="left"/>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eastAsia="zh-CN" w:bidi="ar"/>
              </w:rPr>
              <w:t>供应商</w:t>
            </w:r>
            <w:r>
              <w:rPr>
                <w:rFonts w:hint="default" w:ascii="Times New Roman" w:hAnsi="Times New Roman" w:eastAsia="宋体" w:cs="Times New Roman"/>
                <w:color w:val="auto"/>
                <w:sz w:val="24"/>
                <w:szCs w:val="24"/>
                <w:highlight w:val="none"/>
                <w:lang w:eastAsia="zh-Hans" w:bidi="ar"/>
              </w:rPr>
              <w:t>提供202</w:t>
            </w:r>
            <w:r>
              <w:rPr>
                <w:rFonts w:hint="eastAsia" w:ascii="Times New Roman" w:hAnsi="Times New Roman" w:eastAsia="宋体" w:cs="Times New Roman"/>
                <w:color w:val="auto"/>
                <w:sz w:val="24"/>
                <w:szCs w:val="24"/>
                <w:highlight w:val="none"/>
                <w:lang w:val="en-US" w:eastAsia="zh-CN" w:bidi="ar"/>
              </w:rPr>
              <w:t>2</w:t>
            </w:r>
            <w:r>
              <w:rPr>
                <w:rFonts w:hint="default" w:ascii="Times New Roman" w:hAnsi="Times New Roman" w:eastAsia="宋体" w:cs="Times New Roman"/>
                <w:color w:val="auto"/>
                <w:sz w:val="24"/>
                <w:szCs w:val="24"/>
                <w:highlight w:val="none"/>
                <w:lang w:eastAsia="zh-Hans" w:bidi="ar"/>
              </w:rPr>
              <w:t>年</w:t>
            </w:r>
            <w:r>
              <w:rPr>
                <w:rFonts w:hint="default" w:ascii="Times New Roman" w:hAnsi="Times New Roman" w:eastAsia="宋体" w:cs="Times New Roman"/>
                <w:color w:val="auto"/>
                <w:sz w:val="24"/>
                <w:szCs w:val="24"/>
                <w:highlight w:val="none"/>
                <w:lang w:val="en-US" w:eastAsia="zh-CN" w:bidi="ar"/>
              </w:rPr>
              <w:t>01</w:t>
            </w:r>
            <w:r>
              <w:rPr>
                <w:rFonts w:hint="default" w:ascii="Times New Roman" w:hAnsi="Times New Roman" w:eastAsia="宋体" w:cs="Times New Roman"/>
                <w:color w:val="auto"/>
                <w:sz w:val="24"/>
                <w:szCs w:val="24"/>
                <w:highlight w:val="none"/>
                <w:lang w:eastAsia="zh-Hans" w:bidi="ar"/>
              </w:rPr>
              <w:t>月</w:t>
            </w:r>
            <w:r>
              <w:rPr>
                <w:rFonts w:hint="default" w:ascii="Times New Roman" w:hAnsi="Times New Roman" w:eastAsia="宋体" w:cs="Times New Roman"/>
                <w:color w:val="auto"/>
                <w:sz w:val="24"/>
                <w:szCs w:val="24"/>
                <w:highlight w:val="none"/>
                <w:lang w:val="en-US" w:eastAsia="zh-CN" w:bidi="ar"/>
              </w:rPr>
              <w:t>0</w:t>
            </w:r>
            <w:r>
              <w:rPr>
                <w:rFonts w:hint="default" w:ascii="Times New Roman" w:hAnsi="Times New Roman" w:eastAsia="宋体" w:cs="Times New Roman"/>
                <w:color w:val="auto"/>
                <w:sz w:val="24"/>
                <w:szCs w:val="24"/>
                <w:highlight w:val="none"/>
                <w:lang w:eastAsia="zh-Hans" w:bidi="ar"/>
              </w:rPr>
              <w:t>1日至今类似</w:t>
            </w:r>
            <w:r>
              <w:rPr>
                <w:rFonts w:hint="default" w:ascii="Times New Roman" w:hAnsi="Times New Roman" w:eastAsia="宋体" w:cs="Times New Roman"/>
                <w:color w:val="auto"/>
                <w:sz w:val="24"/>
                <w:szCs w:val="24"/>
                <w:highlight w:val="none"/>
                <w:lang w:val="en-US" w:eastAsia="zh-CN" w:bidi="ar"/>
              </w:rPr>
              <w:t>有效</w:t>
            </w:r>
            <w:r>
              <w:rPr>
                <w:rFonts w:hint="default" w:ascii="Times New Roman" w:hAnsi="Times New Roman" w:eastAsia="宋体" w:cs="Times New Roman"/>
                <w:color w:val="auto"/>
                <w:sz w:val="24"/>
                <w:szCs w:val="24"/>
                <w:highlight w:val="none"/>
                <w:lang w:eastAsia="zh-Hans" w:bidi="ar"/>
              </w:rPr>
              <w:t>项目业绩，每提供1份得1分，满分</w:t>
            </w:r>
            <w:r>
              <w:rPr>
                <w:rFonts w:hint="default" w:ascii="Times New Roman" w:hAnsi="Times New Roman" w:eastAsia="宋体" w:cs="Times New Roman"/>
                <w:color w:val="auto"/>
                <w:sz w:val="24"/>
                <w:szCs w:val="24"/>
                <w:highlight w:val="none"/>
                <w:lang w:val="en-US" w:eastAsia="zh-CN" w:bidi="ar"/>
              </w:rPr>
              <w:t>3</w:t>
            </w:r>
            <w:r>
              <w:rPr>
                <w:rFonts w:hint="default" w:ascii="Times New Roman" w:hAnsi="Times New Roman" w:eastAsia="宋体" w:cs="Times New Roman"/>
                <w:color w:val="auto"/>
                <w:sz w:val="24"/>
                <w:szCs w:val="24"/>
                <w:highlight w:val="none"/>
                <w:lang w:eastAsia="zh-Hans" w:bidi="ar"/>
              </w:rPr>
              <w:t>分。有效业绩为中标</w:t>
            </w:r>
            <w:r>
              <w:rPr>
                <w:rFonts w:hint="default" w:ascii="Times New Roman" w:hAnsi="Times New Roman" w:eastAsia="宋体" w:cs="Times New Roman"/>
                <w:color w:val="auto"/>
                <w:sz w:val="24"/>
                <w:szCs w:val="24"/>
                <w:highlight w:val="none"/>
                <w:lang w:val="zh-CN" w:eastAsia="zh-Hans" w:bidi="ar"/>
              </w:rPr>
              <w:t>或成交</w:t>
            </w:r>
            <w:r>
              <w:rPr>
                <w:rFonts w:hint="default" w:ascii="Times New Roman" w:hAnsi="Times New Roman" w:eastAsia="宋体" w:cs="Times New Roman"/>
                <w:color w:val="auto"/>
                <w:sz w:val="24"/>
                <w:szCs w:val="24"/>
                <w:highlight w:val="none"/>
                <w:lang w:eastAsia="zh-Hans" w:bidi="ar"/>
              </w:rPr>
              <w:t>通知书或合同（均为原件扫描件），应清晰反映项目名称、</w:t>
            </w:r>
            <w:r>
              <w:rPr>
                <w:rFonts w:hint="default" w:ascii="Times New Roman" w:hAnsi="Times New Roman" w:eastAsia="宋体" w:cs="Times New Roman"/>
                <w:color w:val="auto"/>
                <w:sz w:val="24"/>
                <w:szCs w:val="24"/>
                <w:highlight w:val="none"/>
                <w:lang w:val="en-US" w:eastAsia="zh-CN" w:bidi="ar"/>
              </w:rPr>
              <w:t>标的信息</w:t>
            </w:r>
            <w:r>
              <w:rPr>
                <w:rFonts w:hint="default" w:ascii="Times New Roman" w:hAnsi="Times New Roman" w:eastAsia="宋体" w:cs="Times New Roman"/>
                <w:color w:val="auto"/>
                <w:sz w:val="24"/>
                <w:szCs w:val="24"/>
                <w:highlight w:val="none"/>
                <w:lang w:eastAsia="zh-Hans" w:bidi="ar"/>
              </w:rPr>
              <w:t>、日期等），未提供有效业绩的不计分，有效业绩日期以中标或成交通知书上载明的日期、或合同签订日期为准。</w:t>
            </w:r>
          </w:p>
        </w:tc>
      </w:tr>
      <w:tr w14:paraId="16CC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1" w:hRule="atLeast"/>
        </w:trPr>
        <w:tc>
          <w:tcPr>
            <w:tcW w:w="406" w:type="pct"/>
            <w:vMerge w:val="continue"/>
            <w:noWrap w:val="0"/>
            <w:vAlign w:val="center"/>
          </w:tcPr>
          <w:p w14:paraId="68490968">
            <w:pPr>
              <w:autoSpaceDE w:val="0"/>
              <w:spacing w:line="360" w:lineRule="auto"/>
              <w:jc w:val="center"/>
              <w:rPr>
                <w:rFonts w:hint="default" w:ascii="Times New Roman" w:hAnsi="Times New Roman" w:eastAsia="宋体" w:cs="Times New Roman"/>
                <w:b/>
                <w:bCs/>
                <w:color w:val="auto"/>
                <w:sz w:val="24"/>
                <w:szCs w:val="24"/>
                <w:highlight w:val="none"/>
              </w:rPr>
            </w:pPr>
          </w:p>
        </w:tc>
        <w:tc>
          <w:tcPr>
            <w:tcW w:w="670" w:type="pct"/>
            <w:noWrap w:val="0"/>
            <w:vAlign w:val="center"/>
          </w:tcPr>
          <w:p w14:paraId="048C99A1">
            <w:pPr>
              <w:autoSpaceDE w:val="0"/>
              <w:spacing w:line="360" w:lineRule="auto"/>
              <w:jc w:val="center"/>
              <w:rPr>
                <w:rFonts w:hint="default" w:ascii="Times New Roman" w:hAnsi="Times New Roman" w:eastAsia="宋体" w:cs="Times New Roman"/>
                <w:color w:val="auto"/>
                <w:sz w:val="24"/>
                <w:szCs w:val="24"/>
                <w:highlight w:val="none"/>
                <w:lang w:eastAsia="zh-Hans" w:bidi="ar"/>
              </w:rPr>
            </w:pPr>
            <w:r>
              <w:rPr>
                <w:rFonts w:hint="default" w:ascii="Times New Roman" w:hAnsi="Times New Roman" w:eastAsia="宋体" w:cs="Times New Roman"/>
                <w:color w:val="auto"/>
                <w:sz w:val="24"/>
                <w:szCs w:val="24"/>
                <w:highlight w:val="none"/>
                <w:lang w:eastAsia="zh-Hans" w:bidi="ar"/>
              </w:rPr>
              <w:t>履约能力</w:t>
            </w:r>
          </w:p>
          <w:p w14:paraId="49C9C5EA">
            <w:pPr>
              <w:autoSpaceDE w:val="0"/>
              <w:spacing w:line="360" w:lineRule="auto"/>
              <w:jc w:val="center"/>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eastAsia="zh-Hans" w:bidi="ar"/>
              </w:rPr>
              <w:t>（</w:t>
            </w:r>
            <w:r>
              <w:rPr>
                <w:rFonts w:hint="default" w:ascii="Times New Roman" w:hAnsi="Times New Roman" w:eastAsia="宋体" w:cs="Times New Roman"/>
                <w:color w:val="auto"/>
                <w:sz w:val="24"/>
                <w:szCs w:val="24"/>
                <w:highlight w:val="none"/>
                <w:lang w:val="en-US" w:eastAsia="zh-Hans" w:bidi="ar"/>
              </w:rPr>
              <w:t>12</w:t>
            </w:r>
            <w:r>
              <w:rPr>
                <w:rFonts w:hint="default" w:ascii="Times New Roman" w:hAnsi="Times New Roman" w:eastAsia="宋体" w:cs="Times New Roman"/>
                <w:color w:val="auto"/>
                <w:sz w:val="24"/>
                <w:szCs w:val="24"/>
                <w:highlight w:val="none"/>
                <w:lang w:eastAsia="zh-Hans" w:bidi="ar"/>
              </w:rPr>
              <w:t>分）</w:t>
            </w:r>
          </w:p>
          <w:p w14:paraId="3493828C">
            <w:pPr>
              <w:pStyle w:val="10"/>
              <w:spacing w:line="360" w:lineRule="auto"/>
              <w:ind w:firstLine="0" w:firstLineChars="0"/>
              <w:jc w:val="center"/>
              <w:rPr>
                <w:rFonts w:hint="default" w:ascii="Times New Roman" w:hAnsi="Times New Roman" w:eastAsia="宋体" w:cs="Times New Roman"/>
                <w:color w:val="auto"/>
                <w:kern w:val="0"/>
                <w:sz w:val="24"/>
                <w:szCs w:val="24"/>
                <w:highlight w:val="none"/>
                <w:lang w:eastAsia="zh-Hans"/>
              </w:rPr>
            </w:pPr>
          </w:p>
        </w:tc>
        <w:tc>
          <w:tcPr>
            <w:tcW w:w="3922" w:type="pct"/>
            <w:noWrap w:val="0"/>
            <w:vAlign w:val="center"/>
          </w:tcPr>
          <w:p w14:paraId="31D70BA5">
            <w:pPr>
              <w:spacing w:line="360" w:lineRule="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针对本项目成立专门的项目组负责供货、运输、方案及措施；在人员、在各个环节保障措施完全符合本项目要求条理清晰得12分。经专家评审出现上述内容每有一处内容不完整或有缺陷扣</w:t>
            </w:r>
            <w:r>
              <w:rPr>
                <w:rFonts w:hint="eastAsia" w:ascii="Times New Roman" w:hAnsi="Times New Roman" w:eastAsia="宋体" w:cs="Times New Roman"/>
                <w:color w:val="auto"/>
                <w:kern w:val="0"/>
                <w:sz w:val="24"/>
                <w:szCs w:val="24"/>
                <w:highlight w:val="none"/>
                <w:lang w:val="en-US" w:eastAsia="zh-CN" w:bidi="ar-SA"/>
              </w:rPr>
              <w:t>2</w:t>
            </w:r>
            <w:r>
              <w:rPr>
                <w:rFonts w:hint="default" w:ascii="Times New Roman" w:hAnsi="Times New Roman" w:eastAsia="宋体" w:cs="Times New Roman"/>
                <w:color w:val="auto"/>
                <w:kern w:val="0"/>
                <w:sz w:val="24"/>
                <w:szCs w:val="24"/>
                <w:highlight w:val="none"/>
                <w:lang w:val="en-US" w:eastAsia="zh-CN" w:bidi="ar-SA"/>
              </w:rPr>
              <w:t>分，扣完为止。</w:t>
            </w:r>
          </w:p>
        </w:tc>
      </w:tr>
      <w:tr w14:paraId="74BD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0" w:hRule="atLeast"/>
        </w:trPr>
        <w:tc>
          <w:tcPr>
            <w:tcW w:w="406" w:type="pct"/>
            <w:vMerge w:val="restart"/>
            <w:noWrap w:val="0"/>
            <w:vAlign w:val="center"/>
          </w:tcPr>
          <w:p w14:paraId="5A42FF6C">
            <w:pPr>
              <w:spacing w:line="360" w:lineRule="auto"/>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技术标</w:t>
            </w:r>
          </w:p>
          <w:p w14:paraId="55A8A072">
            <w:pPr>
              <w:spacing w:line="360" w:lineRule="auto"/>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评审</w:t>
            </w:r>
          </w:p>
          <w:p w14:paraId="52773E47">
            <w:pPr>
              <w:spacing w:line="360" w:lineRule="auto"/>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(5</w:t>
            </w:r>
            <w:r>
              <w:rPr>
                <w:rFonts w:hint="default"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rPr>
              <w:t>分)</w:t>
            </w:r>
          </w:p>
        </w:tc>
        <w:tc>
          <w:tcPr>
            <w:tcW w:w="670" w:type="pct"/>
            <w:noWrap w:val="0"/>
            <w:vAlign w:val="center"/>
          </w:tcPr>
          <w:p w14:paraId="0D82B199">
            <w:pPr>
              <w:autoSpaceDE w:val="0"/>
              <w:spacing w:line="360" w:lineRule="auto"/>
              <w:jc w:val="center"/>
              <w:rPr>
                <w:rFonts w:hint="default" w:ascii="Times New Roman" w:hAnsi="Times New Roman" w:eastAsia="宋体" w:cs="Times New Roman"/>
                <w:color w:val="auto"/>
                <w:sz w:val="24"/>
                <w:szCs w:val="24"/>
                <w:highlight w:val="none"/>
                <w:lang w:eastAsia="zh-Hans" w:bidi="ar"/>
              </w:rPr>
            </w:pPr>
            <w:r>
              <w:rPr>
                <w:rFonts w:hint="default" w:ascii="Times New Roman" w:hAnsi="Times New Roman" w:eastAsia="宋体" w:cs="Times New Roman"/>
                <w:color w:val="auto"/>
                <w:sz w:val="24"/>
                <w:szCs w:val="24"/>
                <w:highlight w:val="none"/>
                <w:lang w:eastAsia="zh-Hans" w:bidi="ar"/>
              </w:rPr>
              <w:t>技术参数的响应</w:t>
            </w:r>
          </w:p>
          <w:p w14:paraId="21433F65">
            <w:pPr>
              <w:autoSpaceDE w:val="0"/>
              <w:spacing w:line="360" w:lineRule="auto"/>
              <w:jc w:val="center"/>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olor w:val="auto"/>
                <w:sz w:val="24"/>
                <w:szCs w:val="24"/>
                <w:highlight w:val="none"/>
                <w:lang w:eastAsia="zh-Hans" w:bidi="ar"/>
              </w:rPr>
              <w:t>（</w:t>
            </w:r>
            <w:r>
              <w:rPr>
                <w:rFonts w:hint="eastAsia" w:ascii="Times New Roman" w:hAnsi="Times New Roman" w:cs="Times New Roman"/>
                <w:color w:val="auto"/>
                <w:sz w:val="24"/>
                <w:szCs w:val="24"/>
                <w:highlight w:val="none"/>
                <w:lang w:val="en-US" w:eastAsia="zh-CN" w:bidi="ar"/>
              </w:rPr>
              <w:t>32</w:t>
            </w:r>
            <w:r>
              <w:rPr>
                <w:rFonts w:hint="default" w:ascii="Times New Roman" w:hAnsi="Times New Roman" w:eastAsia="宋体" w:cs="Times New Roman"/>
                <w:color w:val="auto"/>
                <w:sz w:val="24"/>
                <w:szCs w:val="24"/>
                <w:highlight w:val="none"/>
                <w:lang w:eastAsia="zh-Hans" w:bidi="ar"/>
              </w:rPr>
              <w:t>分）</w:t>
            </w:r>
          </w:p>
        </w:tc>
        <w:tc>
          <w:tcPr>
            <w:tcW w:w="3922" w:type="pct"/>
            <w:noWrap w:val="0"/>
            <w:vAlign w:val="center"/>
          </w:tcPr>
          <w:p w14:paraId="7A07500C">
            <w:pPr>
              <w:pStyle w:val="89"/>
              <w:spacing w:line="360" w:lineRule="auto"/>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eastAsia="宋体" w:cs="Times New Roman"/>
                <w:b w:val="0"/>
                <w:color w:val="auto"/>
                <w:kern w:val="0"/>
                <w:sz w:val="24"/>
                <w:szCs w:val="24"/>
                <w:highlight w:val="none"/>
                <w:lang w:val="en-US" w:eastAsia="zh-CN" w:bidi="ar-SA"/>
              </w:rPr>
              <w:t>1.全部满足招标文件要求的得基础分</w:t>
            </w:r>
            <w:r>
              <w:rPr>
                <w:rFonts w:hint="eastAsia" w:ascii="Times New Roman" w:hAnsi="Times New Roman" w:eastAsia="宋体" w:cs="Times New Roman"/>
                <w:b w:val="0"/>
                <w:color w:val="auto"/>
                <w:kern w:val="0"/>
                <w:sz w:val="24"/>
                <w:szCs w:val="24"/>
                <w:highlight w:val="none"/>
                <w:lang w:val="en-US" w:eastAsia="zh-CN" w:bidi="ar-SA"/>
              </w:rPr>
              <w:t>30</w:t>
            </w:r>
            <w:r>
              <w:rPr>
                <w:rFonts w:hint="default" w:ascii="Times New Roman" w:hAnsi="Times New Roman" w:eastAsia="宋体" w:cs="Times New Roman"/>
                <w:b w:val="0"/>
                <w:color w:val="auto"/>
                <w:kern w:val="0"/>
                <w:sz w:val="24"/>
                <w:szCs w:val="24"/>
                <w:highlight w:val="none"/>
                <w:lang w:val="en-US" w:eastAsia="zh-CN" w:bidi="ar-SA"/>
              </w:rPr>
              <w:t>分；</w:t>
            </w:r>
          </w:p>
          <w:p w14:paraId="3E373E74">
            <w:pPr>
              <w:pStyle w:val="89"/>
              <w:spacing w:line="360" w:lineRule="auto"/>
              <w:rPr>
                <w:rFonts w:hint="default" w:ascii="Times New Roman" w:hAnsi="Times New Roman" w:eastAsia="宋体" w:cs="Times New Roman"/>
                <w:b w:val="0"/>
                <w:color w:val="auto"/>
                <w:kern w:val="0"/>
                <w:sz w:val="24"/>
                <w:szCs w:val="24"/>
                <w:highlight w:val="yellow"/>
                <w:lang w:val="en-US" w:eastAsia="zh-CN" w:bidi="ar-SA"/>
              </w:rPr>
            </w:pPr>
            <w:r>
              <w:rPr>
                <w:rFonts w:hint="default" w:ascii="Times New Roman" w:hAnsi="Times New Roman" w:eastAsia="宋体" w:cs="Times New Roman"/>
                <w:b w:val="0"/>
                <w:color w:val="auto"/>
                <w:kern w:val="0"/>
                <w:sz w:val="24"/>
                <w:szCs w:val="24"/>
                <w:highlight w:val="none"/>
                <w:lang w:val="en-US" w:eastAsia="zh-CN" w:bidi="ar-SA"/>
              </w:rPr>
              <w:t>2.技术指标，每有一项不满足（或负偏离）在</w:t>
            </w:r>
            <w:r>
              <w:rPr>
                <w:rFonts w:hint="eastAsia" w:ascii="Times New Roman" w:hAnsi="Times New Roman" w:eastAsia="宋体" w:cs="Times New Roman"/>
                <w:b w:val="0"/>
                <w:color w:val="auto"/>
                <w:kern w:val="0"/>
                <w:sz w:val="24"/>
                <w:szCs w:val="24"/>
                <w:highlight w:val="none"/>
                <w:lang w:val="en-US" w:eastAsia="zh-CN" w:bidi="ar-SA"/>
              </w:rPr>
              <w:t>30</w:t>
            </w:r>
            <w:r>
              <w:rPr>
                <w:rFonts w:hint="default" w:ascii="Times New Roman" w:hAnsi="Times New Roman" w:eastAsia="宋体" w:cs="Times New Roman"/>
                <w:b w:val="0"/>
                <w:color w:val="auto"/>
                <w:kern w:val="0"/>
                <w:sz w:val="24"/>
                <w:szCs w:val="24"/>
                <w:highlight w:val="none"/>
                <w:lang w:val="en-US" w:eastAsia="zh-CN" w:bidi="ar-SA"/>
              </w:rPr>
              <w:t>分基础上扣</w:t>
            </w:r>
            <w:r>
              <w:rPr>
                <w:rFonts w:hint="eastAsia" w:ascii="Times New Roman" w:hAnsi="Times New Roman" w:eastAsia="宋体" w:cs="Times New Roman"/>
                <w:b w:val="0"/>
                <w:color w:val="auto"/>
                <w:kern w:val="0"/>
                <w:sz w:val="24"/>
                <w:szCs w:val="24"/>
                <w:highlight w:val="none"/>
                <w:lang w:val="en-US" w:eastAsia="zh-CN" w:bidi="ar-SA"/>
              </w:rPr>
              <w:t>0.2</w:t>
            </w:r>
            <w:r>
              <w:rPr>
                <w:rFonts w:hint="default" w:ascii="Times New Roman" w:hAnsi="Times New Roman" w:eastAsia="宋体" w:cs="Times New Roman"/>
                <w:b w:val="0"/>
                <w:color w:val="auto"/>
                <w:kern w:val="0"/>
                <w:sz w:val="24"/>
                <w:szCs w:val="24"/>
                <w:highlight w:val="none"/>
                <w:lang w:val="en-US" w:eastAsia="zh-CN" w:bidi="ar-SA"/>
              </w:rPr>
              <w:t>分</w:t>
            </w:r>
            <w:r>
              <w:rPr>
                <w:rFonts w:hint="eastAsia" w:ascii="Times New Roman" w:hAnsi="Times New Roman" w:eastAsia="宋体" w:cs="Times New Roman"/>
                <w:b w:val="0"/>
                <w:color w:val="auto"/>
                <w:kern w:val="0"/>
                <w:sz w:val="24"/>
                <w:szCs w:val="24"/>
                <w:highlight w:val="none"/>
                <w:lang w:val="en-US" w:eastAsia="zh-CN" w:bidi="ar-SA"/>
              </w:rPr>
              <w:t>，扣完为止</w:t>
            </w:r>
            <w:r>
              <w:rPr>
                <w:rFonts w:hint="default" w:ascii="Times New Roman" w:hAnsi="Times New Roman" w:eastAsia="宋体" w:cs="Times New Roman"/>
                <w:b w:val="0"/>
                <w:color w:val="auto"/>
                <w:kern w:val="0"/>
                <w:sz w:val="24"/>
                <w:szCs w:val="24"/>
                <w:highlight w:val="none"/>
                <w:lang w:val="en-US" w:eastAsia="zh-CN" w:bidi="ar-SA"/>
              </w:rPr>
              <w:t>；</w:t>
            </w:r>
          </w:p>
          <w:p w14:paraId="3C5C53F0">
            <w:pPr>
              <w:pStyle w:val="77"/>
              <w:spacing w:line="360" w:lineRule="auto"/>
              <w:ind w:left="0" w:leftChars="0" w:firstLine="0" w:firstLineChars="0"/>
              <w:rPr>
                <w:rFonts w:hint="default" w:ascii="Times New Roman" w:hAnsi="Times New Roman" w:eastAsia="宋体" w:cs="Times New Roman"/>
                <w:b w:val="0"/>
                <w:color w:val="auto"/>
                <w:kern w:val="0"/>
                <w:sz w:val="24"/>
                <w:szCs w:val="24"/>
                <w:highlight w:val="none"/>
                <w:lang w:val="en-US" w:eastAsia="zh-CN" w:bidi="ar-SA"/>
              </w:rPr>
            </w:pPr>
            <w:r>
              <w:rPr>
                <w:rFonts w:hint="eastAsia" w:ascii="Times New Roman" w:hAnsi="Times New Roman" w:cs="Times New Roman"/>
                <w:b w:val="0"/>
                <w:color w:val="auto"/>
                <w:kern w:val="0"/>
                <w:sz w:val="24"/>
                <w:szCs w:val="24"/>
                <w:highlight w:val="none"/>
                <w:lang w:val="en-US" w:eastAsia="zh-CN" w:bidi="ar-SA"/>
              </w:rPr>
              <w:t>3</w:t>
            </w:r>
            <w:r>
              <w:rPr>
                <w:rFonts w:hint="default" w:ascii="Times New Roman" w:hAnsi="Times New Roman" w:eastAsia="宋体" w:cs="Times New Roman"/>
                <w:b w:val="0"/>
                <w:color w:val="auto"/>
                <w:kern w:val="0"/>
                <w:sz w:val="24"/>
                <w:szCs w:val="24"/>
                <w:highlight w:val="none"/>
                <w:lang w:val="en-US" w:eastAsia="zh-CN" w:bidi="ar-SA"/>
              </w:rPr>
              <w:t>.根据投标人所提供的技术偏差表等综合因素进行分档打分，综合因素优良得</w:t>
            </w:r>
            <w:r>
              <w:rPr>
                <w:rFonts w:hint="eastAsia" w:ascii="Times New Roman" w:hAnsi="Times New Roman" w:cs="Times New Roman"/>
                <w:b w:val="0"/>
                <w:color w:val="auto"/>
                <w:kern w:val="0"/>
                <w:sz w:val="24"/>
                <w:szCs w:val="24"/>
                <w:highlight w:val="none"/>
                <w:lang w:val="en-US" w:eastAsia="zh-CN" w:bidi="ar-SA"/>
              </w:rPr>
              <w:t>2</w:t>
            </w:r>
            <w:r>
              <w:rPr>
                <w:rFonts w:hint="default" w:ascii="Times New Roman" w:hAnsi="Times New Roman" w:eastAsia="宋体" w:cs="Times New Roman"/>
                <w:b w:val="0"/>
                <w:color w:val="auto"/>
                <w:kern w:val="0"/>
                <w:sz w:val="24"/>
                <w:szCs w:val="24"/>
                <w:highlight w:val="none"/>
                <w:lang w:val="en-US" w:eastAsia="zh-CN" w:bidi="ar-SA"/>
              </w:rPr>
              <w:t>分，综合因素一般的得1分，其它的得0分。</w:t>
            </w:r>
          </w:p>
        </w:tc>
      </w:tr>
      <w:tr w14:paraId="616B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06" w:type="pct"/>
            <w:vMerge w:val="continue"/>
            <w:noWrap w:val="0"/>
            <w:vAlign w:val="center"/>
          </w:tcPr>
          <w:p w14:paraId="63E25E81">
            <w:pPr>
              <w:spacing w:line="360" w:lineRule="auto"/>
              <w:jc w:val="center"/>
              <w:rPr>
                <w:rFonts w:hint="default" w:ascii="Times New Roman" w:hAnsi="Times New Roman" w:eastAsia="宋体" w:cs="Times New Roman"/>
                <w:b/>
                <w:bCs/>
                <w:color w:val="auto"/>
                <w:sz w:val="24"/>
                <w:szCs w:val="24"/>
                <w:highlight w:val="none"/>
              </w:rPr>
            </w:pPr>
          </w:p>
        </w:tc>
        <w:tc>
          <w:tcPr>
            <w:tcW w:w="670" w:type="pct"/>
            <w:noWrap w:val="0"/>
            <w:vAlign w:val="center"/>
          </w:tcPr>
          <w:p w14:paraId="7EE2F616">
            <w:pPr>
              <w:snapToGrid w:val="0"/>
              <w:spacing w:line="360" w:lineRule="auto"/>
              <w:jc w:val="center"/>
              <w:rPr>
                <w:rFonts w:hint="default" w:ascii="Times New Roman" w:hAnsi="Times New Roman" w:eastAsia="宋体" w:cs="Times New Roman"/>
                <w:b w:val="0"/>
                <w:color w:val="auto"/>
                <w:sz w:val="24"/>
                <w:szCs w:val="24"/>
                <w:highlight w:val="none"/>
                <w:lang w:val="en-US" w:eastAsia="zh-Hans" w:bidi="ar"/>
              </w:rPr>
            </w:pPr>
            <w:r>
              <w:rPr>
                <w:rFonts w:hint="default" w:ascii="Times New Roman" w:hAnsi="Times New Roman" w:eastAsia="宋体" w:cs="Times New Roman"/>
                <w:b w:val="0"/>
                <w:color w:val="auto"/>
                <w:sz w:val="24"/>
                <w:szCs w:val="24"/>
                <w:highlight w:val="none"/>
                <w:lang w:val="en-US" w:eastAsia="zh-CN" w:bidi="ar"/>
              </w:rPr>
              <w:t>项目组织实施方案（10分）</w:t>
            </w:r>
          </w:p>
        </w:tc>
        <w:tc>
          <w:tcPr>
            <w:tcW w:w="3922" w:type="pct"/>
            <w:noWrap w:val="0"/>
            <w:vAlign w:val="center"/>
          </w:tcPr>
          <w:p w14:paraId="7359B32F">
            <w:pPr>
              <w:pStyle w:val="77"/>
              <w:spacing w:line="360" w:lineRule="auto"/>
              <w:ind w:left="0" w:leftChars="0" w:firstLine="0" w:firstLineChars="0"/>
              <w:rPr>
                <w:rFonts w:hint="default" w:ascii="Times New Roman" w:hAnsi="Times New Roman" w:eastAsia="宋体" w:cs="Times New Roman"/>
                <w:b w:val="0"/>
                <w:color w:val="auto"/>
                <w:sz w:val="24"/>
                <w:szCs w:val="24"/>
                <w:highlight w:val="none"/>
                <w:lang w:val="en-US" w:eastAsia="zh-CN" w:bidi="ar"/>
              </w:rPr>
            </w:pPr>
            <w:r>
              <w:rPr>
                <w:rFonts w:hint="default" w:ascii="Times New Roman" w:hAnsi="Times New Roman" w:eastAsia="宋体" w:cs="Times New Roman"/>
                <w:b w:val="0"/>
                <w:color w:val="auto"/>
                <w:sz w:val="24"/>
                <w:szCs w:val="24"/>
                <w:highlight w:val="none"/>
                <w:lang w:val="en-US" w:eastAsia="zh-CN" w:bidi="ar"/>
              </w:rPr>
              <w:t>投标人有现行成熟的供货、运输、方案及措施，设备运输装卸方案、随车资料种类及移交方案等；综合对比各投标文件的完善性、特点针对性等，方案完整合理、可行性强，具有较强的实施方案保证得10分；方案完整、可行，得7分；安全方案基本完整、具有一定可行性得4分；方案不完整、可行性差得1分；无方案不得分。</w:t>
            </w:r>
          </w:p>
        </w:tc>
      </w:tr>
      <w:tr w14:paraId="22F5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06" w:type="pct"/>
            <w:vMerge w:val="continue"/>
            <w:noWrap w:val="0"/>
            <w:vAlign w:val="center"/>
          </w:tcPr>
          <w:p w14:paraId="3B75C666">
            <w:pPr>
              <w:spacing w:line="360" w:lineRule="auto"/>
              <w:jc w:val="center"/>
              <w:rPr>
                <w:rFonts w:hint="default" w:ascii="Times New Roman" w:hAnsi="Times New Roman" w:eastAsia="宋体" w:cs="Times New Roman"/>
                <w:b/>
                <w:bCs/>
                <w:color w:val="auto"/>
                <w:sz w:val="24"/>
                <w:szCs w:val="24"/>
                <w:highlight w:val="none"/>
              </w:rPr>
            </w:pPr>
          </w:p>
        </w:tc>
        <w:tc>
          <w:tcPr>
            <w:tcW w:w="670" w:type="pct"/>
            <w:noWrap w:val="0"/>
            <w:vAlign w:val="center"/>
          </w:tcPr>
          <w:p w14:paraId="2CB00E02">
            <w:pPr>
              <w:snapToGrid w:val="0"/>
              <w:spacing w:line="360" w:lineRule="auto"/>
              <w:jc w:val="center"/>
              <w:rPr>
                <w:rFonts w:hint="default" w:ascii="Times New Roman" w:hAnsi="Times New Roman" w:eastAsia="宋体" w:cs="Times New Roman"/>
                <w:b w:val="0"/>
                <w:color w:val="auto"/>
                <w:sz w:val="24"/>
                <w:szCs w:val="24"/>
                <w:highlight w:val="none"/>
                <w:lang w:val="en-US" w:eastAsia="zh-CN" w:bidi="ar"/>
              </w:rPr>
            </w:pPr>
            <w:r>
              <w:rPr>
                <w:rFonts w:hint="default" w:ascii="Times New Roman" w:hAnsi="Times New Roman" w:eastAsia="宋体" w:cs="Times New Roman"/>
                <w:b w:val="0"/>
                <w:color w:val="auto"/>
                <w:sz w:val="24"/>
                <w:szCs w:val="24"/>
                <w:highlight w:val="none"/>
                <w:lang w:val="en-US" w:eastAsia="zh-CN" w:bidi="ar"/>
              </w:rPr>
              <w:t>应急方案</w:t>
            </w:r>
          </w:p>
          <w:p w14:paraId="0A18D0A5">
            <w:pPr>
              <w:snapToGrid w:val="0"/>
              <w:spacing w:line="360" w:lineRule="auto"/>
              <w:jc w:val="center"/>
              <w:rPr>
                <w:rFonts w:hint="default" w:ascii="Times New Roman" w:hAnsi="Times New Roman" w:eastAsia="宋体" w:cs="Times New Roman"/>
                <w:b w:val="0"/>
                <w:color w:val="auto"/>
                <w:sz w:val="24"/>
                <w:szCs w:val="24"/>
                <w:highlight w:val="none"/>
                <w:lang w:val="en-US" w:eastAsia="zh-Hans" w:bidi="ar"/>
              </w:rPr>
            </w:pPr>
            <w:r>
              <w:rPr>
                <w:rFonts w:hint="default" w:ascii="Times New Roman" w:hAnsi="Times New Roman" w:eastAsia="宋体" w:cs="Times New Roman"/>
                <w:b w:val="0"/>
                <w:color w:val="auto"/>
                <w:sz w:val="24"/>
                <w:szCs w:val="24"/>
                <w:highlight w:val="none"/>
                <w:lang w:val="en-US" w:eastAsia="zh-CN" w:bidi="ar"/>
              </w:rPr>
              <w:t>（3分）</w:t>
            </w:r>
          </w:p>
        </w:tc>
        <w:tc>
          <w:tcPr>
            <w:tcW w:w="3922" w:type="pct"/>
            <w:noWrap w:val="0"/>
            <w:vAlign w:val="center"/>
          </w:tcPr>
          <w:p w14:paraId="1524D2F8">
            <w:pPr>
              <w:spacing w:line="360" w:lineRule="auto"/>
              <w:rPr>
                <w:rFonts w:hint="default" w:ascii="Times New Roman" w:hAnsi="Times New Roman" w:eastAsia="宋体" w:cs="Times New Roman"/>
                <w:b w:val="0"/>
                <w:color w:val="auto"/>
                <w:sz w:val="24"/>
                <w:szCs w:val="24"/>
                <w:highlight w:val="none"/>
                <w:lang w:val="en-US" w:eastAsia="zh-CN" w:bidi="ar"/>
              </w:rPr>
            </w:pPr>
            <w:r>
              <w:rPr>
                <w:rFonts w:hint="default" w:ascii="Times New Roman" w:hAnsi="Times New Roman" w:eastAsia="宋体" w:cs="Times New Roman"/>
                <w:b w:val="0"/>
                <w:color w:val="auto"/>
                <w:sz w:val="24"/>
                <w:szCs w:val="24"/>
                <w:highlight w:val="none"/>
                <w:lang w:val="en-US" w:eastAsia="zh-CN" w:bidi="ar"/>
              </w:rPr>
              <w:t>根据投标人提供的应急处置方案进行综合评审：应急处置方案科学、详尽，人员和设备调配科学到位、责任分工明确，得3分； 应急处置方案简单，人员和设备调配基本科学到位、责任分工较明确，得2分；应急处置方案不完善，传达机制不够完善、人员和设备调配简单、责任分工模糊的，得1分；无方案不得分。</w:t>
            </w:r>
          </w:p>
        </w:tc>
      </w:tr>
      <w:tr w14:paraId="4C27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 w:hRule="atLeast"/>
        </w:trPr>
        <w:tc>
          <w:tcPr>
            <w:tcW w:w="406" w:type="pct"/>
            <w:vMerge w:val="continue"/>
            <w:noWrap w:val="0"/>
            <w:vAlign w:val="center"/>
          </w:tcPr>
          <w:p w14:paraId="0C4B003A">
            <w:pPr>
              <w:spacing w:line="360" w:lineRule="auto"/>
              <w:jc w:val="center"/>
              <w:rPr>
                <w:rFonts w:hint="default" w:ascii="Times New Roman" w:hAnsi="Times New Roman" w:eastAsia="宋体" w:cs="Times New Roman"/>
                <w:b/>
                <w:bCs/>
                <w:color w:val="auto"/>
                <w:sz w:val="24"/>
                <w:szCs w:val="24"/>
                <w:highlight w:val="none"/>
              </w:rPr>
            </w:pPr>
          </w:p>
        </w:tc>
        <w:tc>
          <w:tcPr>
            <w:tcW w:w="670" w:type="pct"/>
            <w:noWrap w:val="0"/>
            <w:vAlign w:val="center"/>
          </w:tcPr>
          <w:p w14:paraId="55531D28">
            <w:pPr>
              <w:snapToGrid w:val="0"/>
              <w:spacing w:line="240" w:lineRule="auto"/>
              <w:jc w:val="center"/>
              <w:rPr>
                <w:rFonts w:hint="default" w:ascii="Times New Roman" w:hAnsi="Times New Roman" w:eastAsia="宋体" w:cs="Times New Roman"/>
                <w:b w:val="0"/>
                <w:color w:val="auto"/>
                <w:sz w:val="24"/>
                <w:szCs w:val="24"/>
                <w:highlight w:val="none"/>
                <w:lang w:val="en-US" w:eastAsia="zh-CN" w:bidi="ar"/>
              </w:rPr>
            </w:pPr>
            <w:r>
              <w:rPr>
                <w:rFonts w:hint="default" w:ascii="Times New Roman" w:hAnsi="Times New Roman" w:eastAsia="宋体" w:cs="Times New Roman"/>
                <w:b w:val="0"/>
                <w:color w:val="auto"/>
                <w:sz w:val="24"/>
                <w:szCs w:val="24"/>
                <w:highlight w:val="none"/>
                <w:lang w:val="en-US" w:eastAsia="zh-CN" w:bidi="ar"/>
              </w:rPr>
              <w:t>售后服务方案</w:t>
            </w:r>
          </w:p>
          <w:p w14:paraId="391F4AE0">
            <w:pPr>
              <w:snapToGrid w:val="0"/>
              <w:spacing w:line="240" w:lineRule="auto"/>
              <w:jc w:val="center"/>
              <w:rPr>
                <w:rFonts w:hint="default" w:ascii="Times New Roman" w:hAnsi="Times New Roman" w:eastAsia="宋体" w:cs="Times New Roman"/>
                <w:b w:val="0"/>
                <w:color w:val="auto"/>
                <w:sz w:val="24"/>
                <w:szCs w:val="24"/>
                <w:highlight w:val="none"/>
                <w:lang w:val="en-US" w:eastAsia="zh-CN" w:bidi="ar"/>
              </w:rPr>
            </w:pPr>
            <w:r>
              <w:rPr>
                <w:rFonts w:hint="default" w:ascii="Times New Roman" w:hAnsi="Times New Roman" w:eastAsia="宋体" w:cs="Times New Roman"/>
                <w:b w:val="0"/>
                <w:color w:val="auto"/>
                <w:sz w:val="24"/>
                <w:szCs w:val="24"/>
                <w:highlight w:val="none"/>
                <w:lang w:val="en-US" w:eastAsia="zh-CN" w:bidi="ar"/>
              </w:rPr>
              <w:t>（10分）</w:t>
            </w:r>
          </w:p>
        </w:tc>
        <w:tc>
          <w:tcPr>
            <w:tcW w:w="3922" w:type="pct"/>
            <w:noWrap w:val="0"/>
            <w:vAlign w:val="center"/>
          </w:tcPr>
          <w:p w14:paraId="394EADA0">
            <w:pPr>
              <w:pStyle w:val="77"/>
              <w:spacing w:line="360" w:lineRule="auto"/>
              <w:ind w:left="0" w:leftChars="0" w:firstLine="0" w:firstLineChars="0"/>
              <w:rPr>
                <w:rFonts w:hint="default" w:ascii="Times New Roman" w:hAnsi="Times New Roman" w:eastAsia="宋体" w:cs="Times New Roman"/>
                <w:b w:val="0"/>
                <w:color w:val="auto"/>
                <w:sz w:val="24"/>
                <w:szCs w:val="24"/>
                <w:highlight w:val="none"/>
                <w:lang w:val="en-US" w:eastAsia="zh-CN" w:bidi="ar"/>
              </w:rPr>
            </w:pPr>
            <w:r>
              <w:rPr>
                <w:rFonts w:hint="default" w:ascii="Times New Roman" w:hAnsi="Times New Roman" w:eastAsia="宋体" w:cs="Times New Roman"/>
                <w:b w:val="0"/>
                <w:color w:val="auto"/>
                <w:sz w:val="24"/>
                <w:szCs w:val="24"/>
                <w:highlight w:val="none"/>
                <w:lang w:val="en-US" w:eastAsia="zh-CN" w:bidi="ar"/>
              </w:rPr>
              <w:t>供应商在满足招标文件要求的投标人针对本项目售后服务措施和方案（包括质保年限，服务措施、更换设备的响应时间，产品质量保证，回访等）具体服务内容及措施，即:对工作进度、运输过程及产品交接过程、售前售后服务、紧急情况﹑特殊情况有切实的服务保证措施及伴随服务；以上进行综合评价：标准严格、承诺详尽且完善、保障措施服务方案描述完整者，每有一项得2分，满分得10分。</w:t>
            </w:r>
          </w:p>
          <w:p w14:paraId="064799D3">
            <w:pPr>
              <w:pStyle w:val="77"/>
              <w:spacing w:line="360" w:lineRule="auto"/>
              <w:ind w:left="0" w:leftChars="0" w:firstLine="0" w:firstLineChars="0"/>
              <w:rPr>
                <w:rFonts w:hint="default" w:ascii="Times New Roman" w:hAnsi="Times New Roman" w:eastAsia="宋体" w:cs="Times New Roman"/>
                <w:b w:val="0"/>
                <w:color w:val="auto"/>
                <w:sz w:val="24"/>
                <w:szCs w:val="24"/>
                <w:highlight w:val="none"/>
                <w:lang w:val="en-US" w:eastAsia="zh-CN" w:bidi="ar"/>
              </w:rPr>
            </w:pPr>
            <w:r>
              <w:rPr>
                <w:rFonts w:hint="default" w:ascii="Times New Roman" w:hAnsi="Times New Roman" w:eastAsia="宋体" w:cs="Times New Roman"/>
                <w:b w:val="0"/>
                <w:color w:val="auto"/>
                <w:sz w:val="24"/>
                <w:szCs w:val="24"/>
                <w:highlight w:val="none"/>
                <w:lang w:val="en-US" w:eastAsia="zh-CN" w:bidi="ar"/>
              </w:rPr>
              <w:t>注：经专家评审所提供方案缺项漏项或不满足项目需求的扣1分，扣完为止；未提供不得分。</w:t>
            </w:r>
          </w:p>
        </w:tc>
      </w:tr>
      <w:tr w14:paraId="0405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06" w:type="pct"/>
            <w:vMerge w:val="restart"/>
            <w:noWrap w:val="0"/>
            <w:vAlign w:val="center"/>
          </w:tcPr>
          <w:p w14:paraId="3836BE43">
            <w:pPr>
              <w:autoSpaceDE w:val="0"/>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汇总</w:t>
            </w:r>
          </w:p>
        </w:tc>
        <w:tc>
          <w:tcPr>
            <w:tcW w:w="670" w:type="pct"/>
            <w:noWrap w:val="0"/>
            <w:vAlign w:val="center"/>
          </w:tcPr>
          <w:p w14:paraId="6AD1691C">
            <w:pPr>
              <w:autoSpaceDE w:val="0"/>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合计</w:t>
            </w:r>
          </w:p>
        </w:tc>
        <w:tc>
          <w:tcPr>
            <w:tcW w:w="3922" w:type="pct"/>
            <w:noWrap w:val="0"/>
            <w:vAlign w:val="center"/>
          </w:tcPr>
          <w:p w14:paraId="31BE8679">
            <w:pPr>
              <w:autoSpaceDE w:val="0"/>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100分</w:t>
            </w:r>
          </w:p>
        </w:tc>
      </w:tr>
      <w:tr w14:paraId="18B9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06" w:type="pct"/>
            <w:vMerge w:val="continue"/>
            <w:noWrap w:val="0"/>
            <w:vAlign w:val="center"/>
          </w:tcPr>
          <w:p w14:paraId="1EA947A0">
            <w:pPr>
              <w:spacing w:line="360" w:lineRule="auto"/>
              <w:rPr>
                <w:rFonts w:hint="default" w:ascii="Times New Roman" w:hAnsi="Times New Roman" w:eastAsia="宋体" w:cs="Times New Roman"/>
                <w:color w:val="auto"/>
                <w:sz w:val="24"/>
                <w:szCs w:val="24"/>
                <w:highlight w:val="none"/>
              </w:rPr>
            </w:pPr>
          </w:p>
        </w:tc>
        <w:tc>
          <w:tcPr>
            <w:tcW w:w="4593" w:type="pct"/>
            <w:gridSpan w:val="2"/>
            <w:noWrap w:val="0"/>
            <w:vAlign w:val="center"/>
          </w:tcPr>
          <w:p w14:paraId="15D3FAE7">
            <w:pPr>
              <w:autoSpaceDE w:val="0"/>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注：评分分值计算保留小数点后两位，小数点后第三位“四舍五入”</w:t>
            </w:r>
          </w:p>
        </w:tc>
      </w:tr>
      <w:tr w14:paraId="4B7D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77" w:type="pct"/>
            <w:gridSpan w:val="2"/>
            <w:noWrap w:val="0"/>
            <w:vAlign w:val="center"/>
          </w:tcPr>
          <w:p w14:paraId="250869AB">
            <w:pPr>
              <w:autoSpaceDE w:val="0"/>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废标条款</w:t>
            </w:r>
          </w:p>
        </w:tc>
        <w:tc>
          <w:tcPr>
            <w:tcW w:w="3922" w:type="pct"/>
            <w:noWrap w:val="0"/>
            <w:vAlign w:val="center"/>
          </w:tcPr>
          <w:p w14:paraId="2CF738CB">
            <w:pPr>
              <w:autoSpaceDE w:val="0"/>
              <w:spacing w:line="360" w:lineRule="auto"/>
              <w:jc w:val="left"/>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以资格性内容、符合性内容和法律法规规定的其他废标条款：</w:t>
            </w:r>
          </w:p>
          <w:p w14:paraId="66780EDA">
            <w:pPr>
              <w:autoSpaceDE w:val="0"/>
              <w:spacing w:line="360" w:lineRule="auto"/>
              <w:jc w:val="left"/>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(一)符合专业条件的</w:t>
            </w:r>
            <w:r>
              <w:rPr>
                <w:rFonts w:hint="default" w:ascii="Times New Roman" w:hAnsi="Times New Roman" w:eastAsia="宋体" w:cs="Times New Roman"/>
                <w:color w:val="auto"/>
                <w:sz w:val="24"/>
                <w:szCs w:val="24"/>
                <w:highlight w:val="none"/>
                <w:lang w:eastAsia="zh-CN" w:bidi="ar"/>
              </w:rPr>
              <w:t>供应商</w:t>
            </w:r>
            <w:r>
              <w:rPr>
                <w:rFonts w:hint="default" w:ascii="Times New Roman" w:hAnsi="Times New Roman" w:eastAsia="宋体" w:cs="Times New Roman"/>
                <w:color w:val="auto"/>
                <w:sz w:val="24"/>
                <w:szCs w:val="24"/>
                <w:highlight w:val="none"/>
                <w:lang w:bidi="ar"/>
              </w:rPr>
              <w:t>或者对采购文件作实质投标的</w:t>
            </w:r>
            <w:r>
              <w:rPr>
                <w:rFonts w:hint="default" w:ascii="Times New Roman" w:hAnsi="Times New Roman" w:eastAsia="宋体" w:cs="Times New Roman"/>
                <w:color w:val="auto"/>
                <w:sz w:val="24"/>
                <w:szCs w:val="24"/>
                <w:highlight w:val="none"/>
                <w:lang w:eastAsia="zh-CN" w:bidi="ar"/>
              </w:rPr>
              <w:t>供应商</w:t>
            </w:r>
            <w:r>
              <w:rPr>
                <w:rFonts w:hint="default" w:ascii="Times New Roman" w:hAnsi="Times New Roman" w:eastAsia="宋体" w:cs="Times New Roman"/>
                <w:color w:val="auto"/>
                <w:sz w:val="24"/>
                <w:szCs w:val="24"/>
                <w:highlight w:val="none"/>
                <w:lang w:bidi="ar"/>
              </w:rPr>
              <w:t>不足三家的</w:t>
            </w:r>
            <w:r>
              <w:rPr>
                <w:rFonts w:hint="default" w:ascii="Times New Roman" w:hAnsi="Times New Roman" w:eastAsia="宋体" w:cs="Times New Roman"/>
                <w:b/>
                <w:bCs/>
                <w:color w:val="auto"/>
                <w:sz w:val="24"/>
                <w:szCs w:val="24"/>
                <w:highlight w:val="none"/>
                <w:lang w:eastAsia="zh-Hans" w:bidi="ar"/>
              </w:rPr>
              <w:t>（核心产品提供相同品牌产品且通过资格审查、符合性审查的不同</w:t>
            </w:r>
            <w:r>
              <w:rPr>
                <w:rFonts w:hint="default" w:ascii="Times New Roman" w:hAnsi="Times New Roman" w:eastAsia="宋体" w:cs="Times New Roman"/>
                <w:b/>
                <w:bCs/>
                <w:color w:val="auto"/>
                <w:sz w:val="24"/>
                <w:szCs w:val="24"/>
                <w:highlight w:val="none"/>
                <w:lang w:eastAsia="zh-CN" w:bidi="ar"/>
              </w:rPr>
              <w:t>供应商</w:t>
            </w:r>
            <w:r>
              <w:rPr>
                <w:rFonts w:hint="default" w:ascii="Times New Roman" w:hAnsi="Times New Roman" w:eastAsia="宋体" w:cs="Times New Roman"/>
                <w:b/>
                <w:bCs/>
                <w:color w:val="auto"/>
                <w:sz w:val="24"/>
                <w:szCs w:val="24"/>
                <w:highlight w:val="none"/>
                <w:lang w:eastAsia="zh-Hans" w:bidi="ar"/>
              </w:rPr>
              <w:t>按一家</w:t>
            </w:r>
            <w:r>
              <w:rPr>
                <w:rFonts w:hint="default" w:ascii="Times New Roman" w:hAnsi="Times New Roman" w:eastAsia="宋体" w:cs="Times New Roman"/>
                <w:b/>
                <w:bCs/>
                <w:color w:val="auto"/>
                <w:sz w:val="24"/>
                <w:szCs w:val="24"/>
                <w:highlight w:val="none"/>
                <w:lang w:eastAsia="zh-CN" w:bidi="ar"/>
              </w:rPr>
              <w:t>供应商</w:t>
            </w:r>
            <w:r>
              <w:rPr>
                <w:rFonts w:hint="default" w:ascii="Times New Roman" w:hAnsi="Times New Roman" w:eastAsia="宋体" w:cs="Times New Roman"/>
                <w:b/>
                <w:bCs/>
                <w:color w:val="auto"/>
                <w:sz w:val="24"/>
                <w:szCs w:val="24"/>
                <w:highlight w:val="none"/>
                <w:lang w:eastAsia="zh-Hans" w:bidi="ar"/>
              </w:rPr>
              <w:t>计算后不足3家的，应予废标）</w:t>
            </w:r>
            <w:r>
              <w:rPr>
                <w:rFonts w:hint="default" w:ascii="Times New Roman" w:hAnsi="Times New Roman" w:eastAsia="宋体" w:cs="Times New Roman"/>
                <w:b/>
                <w:bCs/>
                <w:color w:val="auto"/>
                <w:sz w:val="24"/>
                <w:szCs w:val="24"/>
                <w:highlight w:val="none"/>
                <w:lang w:bidi="ar"/>
              </w:rPr>
              <w:t>；</w:t>
            </w:r>
          </w:p>
          <w:p w14:paraId="18CF78F2">
            <w:pPr>
              <w:autoSpaceDE w:val="0"/>
              <w:spacing w:line="360" w:lineRule="auto"/>
              <w:jc w:val="left"/>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(二)出现影响采购公正的违法、违规行为的；</w:t>
            </w:r>
          </w:p>
          <w:p w14:paraId="5843EC3F">
            <w:pPr>
              <w:autoSpaceDE w:val="0"/>
              <w:spacing w:line="360" w:lineRule="auto"/>
              <w:jc w:val="left"/>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(三)</w:t>
            </w:r>
            <w:r>
              <w:rPr>
                <w:rFonts w:hint="default" w:ascii="Times New Roman" w:hAnsi="Times New Roman" w:eastAsia="宋体" w:cs="Times New Roman"/>
                <w:color w:val="auto"/>
                <w:sz w:val="24"/>
                <w:szCs w:val="24"/>
                <w:highlight w:val="none"/>
                <w:lang w:eastAsia="zh-CN" w:bidi="ar"/>
              </w:rPr>
              <w:t>供应商</w:t>
            </w:r>
            <w:r>
              <w:rPr>
                <w:rFonts w:hint="default" w:ascii="Times New Roman" w:hAnsi="Times New Roman" w:eastAsia="宋体" w:cs="Times New Roman"/>
                <w:color w:val="auto"/>
                <w:sz w:val="24"/>
                <w:szCs w:val="24"/>
                <w:highlight w:val="none"/>
                <w:lang w:bidi="ar"/>
              </w:rPr>
              <w:t>的报价均超过了采购预算，</w:t>
            </w:r>
            <w:r>
              <w:rPr>
                <w:rFonts w:hint="default" w:ascii="Times New Roman" w:hAnsi="Times New Roman" w:eastAsia="宋体" w:cs="Times New Roman"/>
                <w:color w:val="auto"/>
                <w:sz w:val="24"/>
                <w:szCs w:val="24"/>
                <w:highlight w:val="none"/>
                <w:lang w:eastAsia="zh-CN" w:bidi="ar"/>
              </w:rPr>
              <w:t>招标人</w:t>
            </w:r>
            <w:r>
              <w:rPr>
                <w:rFonts w:hint="default" w:ascii="Times New Roman" w:hAnsi="Times New Roman" w:eastAsia="宋体" w:cs="Times New Roman"/>
                <w:color w:val="auto"/>
                <w:sz w:val="24"/>
                <w:szCs w:val="24"/>
                <w:highlight w:val="none"/>
                <w:lang w:bidi="ar"/>
              </w:rPr>
              <w:t>不能支付的；</w:t>
            </w:r>
          </w:p>
          <w:p w14:paraId="18991229">
            <w:pPr>
              <w:autoSpaceDE w:val="0"/>
              <w:spacing w:line="360" w:lineRule="auto"/>
              <w:jc w:val="left"/>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(四)因重大变故，采购任务取消的。</w:t>
            </w:r>
          </w:p>
          <w:p w14:paraId="29A7E209">
            <w:pPr>
              <w:autoSpaceDE w:val="0"/>
              <w:spacing w:line="360" w:lineRule="auto"/>
              <w:jc w:val="left"/>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废标后，</w:t>
            </w:r>
            <w:r>
              <w:rPr>
                <w:rFonts w:hint="default" w:ascii="Times New Roman" w:hAnsi="Times New Roman" w:eastAsia="宋体" w:cs="Times New Roman"/>
                <w:color w:val="auto"/>
                <w:sz w:val="24"/>
                <w:szCs w:val="24"/>
                <w:highlight w:val="none"/>
                <w:lang w:eastAsia="zh-CN" w:bidi="ar"/>
              </w:rPr>
              <w:t>招标人</w:t>
            </w:r>
            <w:r>
              <w:rPr>
                <w:rFonts w:hint="default" w:ascii="Times New Roman" w:hAnsi="Times New Roman" w:eastAsia="宋体" w:cs="Times New Roman"/>
                <w:color w:val="auto"/>
                <w:sz w:val="24"/>
                <w:szCs w:val="24"/>
                <w:highlight w:val="none"/>
                <w:lang w:bidi="ar"/>
              </w:rPr>
              <w:t>应当将废标理由通知所有</w:t>
            </w:r>
            <w:r>
              <w:rPr>
                <w:rFonts w:hint="default" w:ascii="Times New Roman" w:hAnsi="Times New Roman" w:eastAsia="宋体" w:cs="Times New Roman"/>
                <w:color w:val="auto"/>
                <w:sz w:val="24"/>
                <w:szCs w:val="24"/>
                <w:highlight w:val="none"/>
                <w:lang w:eastAsia="zh-CN" w:bidi="ar"/>
              </w:rPr>
              <w:t>供应商</w:t>
            </w:r>
            <w:r>
              <w:rPr>
                <w:rFonts w:hint="default" w:ascii="Times New Roman" w:hAnsi="Times New Roman" w:eastAsia="宋体" w:cs="Times New Roman"/>
                <w:color w:val="auto"/>
                <w:sz w:val="24"/>
                <w:szCs w:val="24"/>
                <w:highlight w:val="none"/>
                <w:lang w:bidi="ar"/>
              </w:rPr>
              <w:t>。</w:t>
            </w:r>
          </w:p>
        </w:tc>
      </w:tr>
    </w:tbl>
    <w:p w14:paraId="068081C0">
      <w:pPr>
        <w:rPr>
          <w:color w:val="auto"/>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4C87150">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zh-CN" w:eastAsia="zh-CN" w:bidi="ar-SA"/>
        </w:rPr>
      </w:pPr>
      <w:bookmarkStart w:id="594" w:name="_Toc155185918"/>
      <w:bookmarkStart w:id="595" w:name="_Toc24636"/>
      <w:r>
        <w:rPr>
          <w:rFonts w:hint="eastAsia" w:ascii="宋体" w:hAnsi="宋体" w:eastAsia="宋体" w:cs="宋体"/>
          <w:b/>
          <w:bCs/>
          <w:color w:val="auto"/>
          <w:kern w:val="44"/>
          <w:sz w:val="36"/>
          <w:szCs w:val="36"/>
          <w:highlight w:val="none"/>
          <w:lang w:val="zh-CN" w:eastAsia="zh-CN" w:bidi="ar-SA"/>
        </w:rPr>
        <w:t>第六章 合同</w:t>
      </w:r>
      <w:bookmarkEnd w:id="594"/>
      <w:r>
        <w:rPr>
          <w:rFonts w:hint="eastAsia" w:ascii="宋体" w:hAnsi="宋体" w:eastAsia="宋体" w:cs="宋体"/>
          <w:b/>
          <w:bCs/>
          <w:color w:val="auto"/>
          <w:kern w:val="44"/>
          <w:sz w:val="36"/>
          <w:szCs w:val="36"/>
          <w:highlight w:val="none"/>
          <w:lang w:val="zh-CN" w:eastAsia="zh-CN" w:bidi="ar-SA"/>
        </w:rPr>
        <w:t>草案</w:t>
      </w:r>
      <w:bookmarkEnd w:id="595"/>
    </w:p>
    <w:p w14:paraId="290EAE22">
      <w:pPr>
        <w:rPr>
          <w:color w:val="auto"/>
          <w:highlight w:val="none"/>
          <w:lang w:val="zh-CN"/>
        </w:rPr>
      </w:pPr>
    </w:p>
    <w:p w14:paraId="0F73DEB3">
      <w:pPr>
        <w:wordWrap w:val="0"/>
        <w:jc w:val="center"/>
        <w:rPr>
          <w:rFonts w:hint="eastAsia" w:eastAsia="宋体"/>
          <w:bCs/>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rPr>
        <w:t>此合同书仅作为签订正式合同时的参考，正式合同书应包括本参考格式的内容</w:t>
      </w:r>
      <w:r>
        <w:rPr>
          <w:rFonts w:hint="eastAsia"/>
          <w:color w:val="auto"/>
          <w:sz w:val="24"/>
          <w:szCs w:val="24"/>
          <w:highlight w:val="none"/>
          <w:lang w:eastAsia="zh-CN"/>
        </w:rPr>
        <w:t>】</w:t>
      </w:r>
    </w:p>
    <w:p w14:paraId="51E629DD">
      <w:pPr>
        <w:wordWrap w:val="0"/>
        <w:rPr>
          <w:bCs/>
          <w:color w:val="auto"/>
          <w:sz w:val="24"/>
          <w:szCs w:val="24"/>
          <w:highlight w:val="none"/>
        </w:rPr>
      </w:pPr>
      <w:r>
        <w:rPr>
          <w:rFonts w:hint="eastAsia" w:cs="Helvetica"/>
          <w:bCs/>
          <w:color w:val="auto"/>
          <w:sz w:val="24"/>
          <w:szCs w:val="24"/>
          <w:highlight w:val="none"/>
          <w:lang w:val="zh-CN"/>
        </w:rPr>
        <w:t>合同编号：</w:t>
      </w:r>
      <w:r>
        <w:rPr>
          <w:rFonts w:hint="eastAsia" w:cs="Helvetica"/>
          <w:bCs/>
          <w:color w:val="auto"/>
          <w:sz w:val="24"/>
          <w:szCs w:val="24"/>
          <w:highlight w:val="none"/>
          <w:u w:val="single"/>
        </w:rPr>
        <w:t xml:space="preserve">              </w:t>
      </w:r>
    </w:p>
    <w:p w14:paraId="453FD5DE">
      <w:pPr>
        <w:pStyle w:val="13"/>
        <w:spacing w:after="0"/>
        <w:jc w:val="center"/>
        <w:rPr>
          <w:rFonts w:ascii="宋体" w:hAnsi="宋体" w:cs="宋体"/>
          <w:b/>
          <w:bCs/>
          <w:color w:val="auto"/>
          <w:spacing w:val="-20"/>
          <w:kern w:val="44"/>
          <w:sz w:val="48"/>
          <w:szCs w:val="48"/>
          <w:highlight w:val="none"/>
        </w:rPr>
      </w:pPr>
      <w:bookmarkStart w:id="596" w:name="_Toc3995"/>
    </w:p>
    <w:p w14:paraId="4DD54709">
      <w:pPr>
        <w:pStyle w:val="13"/>
        <w:spacing w:after="0"/>
        <w:jc w:val="center"/>
        <w:rPr>
          <w:rFonts w:ascii="宋体" w:hAnsi="宋体" w:cs="宋体"/>
          <w:b/>
          <w:bCs/>
          <w:color w:val="auto"/>
          <w:spacing w:val="-20"/>
          <w:kern w:val="44"/>
          <w:sz w:val="48"/>
          <w:szCs w:val="48"/>
          <w:highlight w:val="none"/>
        </w:rPr>
      </w:pPr>
    </w:p>
    <w:p w14:paraId="1471AFF4">
      <w:pPr>
        <w:pStyle w:val="13"/>
        <w:spacing w:after="0"/>
        <w:jc w:val="center"/>
        <w:rPr>
          <w:rFonts w:ascii="宋体" w:hAnsi="宋体" w:cs="宋体"/>
          <w:b/>
          <w:bCs/>
          <w:color w:val="auto"/>
          <w:spacing w:val="-20"/>
          <w:kern w:val="44"/>
          <w:sz w:val="48"/>
          <w:szCs w:val="48"/>
          <w:highlight w:val="none"/>
        </w:rPr>
      </w:pPr>
    </w:p>
    <w:p w14:paraId="71BEC943">
      <w:pPr>
        <w:pStyle w:val="13"/>
        <w:spacing w:after="0"/>
        <w:jc w:val="center"/>
        <w:rPr>
          <w:rFonts w:hint="eastAsia" w:ascii="宋体" w:hAnsi="宋体" w:eastAsia="宋体" w:cs="宋体"/>
          <w:b/>
          <w:bCs/>
          <w:color w:val="auto"/>
          <w:spacing w:val="-20"/>
          <w:kern w:val="44"/>
          <w:sz w:val="44"/>
          <w:szCs w:val="44"/>
          <w:highlight w:val="none"/>
        </w:rPr>
      </w:pPr>
      <w:r>
        <w:rPr>
          <w:rFonts w:hint="eastAsia" w:ascii="宋体" w:hAnsi="宋体" w:eastAsia="宋体" w:cs="宋体"/>
          <w:b/>
          <w:bCs/>
          <w:color w:val="auto"/>
          <w:spacing w:val="-20"/>
          <w:kern w:val="44"/>
          <w:sz w:val="44"/>
          <w:szCs w:val="44"/>
          <w:highlight w:val="none"/>
        </w:rPr>
        <w:t>政府采购</w:t>
      </w:r>
      <w:r>
        <w:rPr>
          <w:rFonts w:hint="eastAsia" w:ascii="宋体" w:hAnsi="宋体" w:eastAsia="宋体" w:cs="宋体"/>
          <w:b/>
          <w:bCs/>
          <w:color w:val="auto"/>
          <w:spacing w:val="-20"/>
          <w:kern w:val="44"/>
          <w:sz w:val="44"/>
          <w:szCs w:val="44"/>
          <w:highlight w:val="none"/>
          <w:lang w:eastAsia="zh-CN"/>
        </w:rPr>
        <w:t>货物买卖</w:t>
      </w:r>
      <w:r>
        <w:rPr>
          <w:rFonts w:hint="eastAsia" w:ascii="宋体" w:hAnsi="宋体" w:eastAsia="宋体" w:cs="宋体"/>
          <w:b/>
          <w:bCs/>
          <w:color w:val="auto"/>
          <w:spacing w:val="-20"/>
          <w:kern w:val="44"/>
          <w:sz w:val="44"/>
          <w:szCs w:val="44"/>
          <w:highlight w:val="none"/>
        </w:rPr>
        <w:t>合同</w:t>
      </w:r>
    </w:p>
    <w:p w14:paraId="2D8DEEA6">
      <w:pPr>
        <w:pStyle w:val="13"/>
        <w:spacing w:after="0"/>
        <w:jc w:val="center"/>
        <w:rPr>
          <w:rFonts w:hint="eastAsia" w:ascii="宋体" w:hAnsi="宋体" w:eastAsia="宋体" w:cs="宋体"/>
          <w:b/>
          <w:bCs/>
          <w:color w:val="auto"/>
          <w:spacing w:val="-20"/>
          <w:kern w:val="44"/>
          <w:sz w:val="44"/>
          <w:szCs w:val="44"/>
          <w:highlight w:val="none"/>
          <w:lang w:eastAsia="zh-CN"/>
        </w:rPr>
      </w:pPr>
      <w:r>
        <w:rPr>
          <w:rFonts w:hint="eastAsia" w:ascii="宋体" w:hAnsi="宋体" w:eastAsia="宋体" w:cs="宋体"/>
          <w:b/>
          <w:bCs/>
          <w:color w:val="auto"/>
          <w:spacing w:val="-20"/>
          <w:kern w:val="44"/>
          <w:sz w:val="44"/>
          <w:szCs w:val="44"/>
          <w:highlight w:val="none"/>
          <w:lang w:eastAsia="zh-CN"/>
        </w:rPr>
        <w:t>（试行）</w:t>
      </w:r>
    </w:p>
    <w:p w14:paraId="6894012D">
      <w:pPr>
        <w:rPr>
          <w:rFonts w:ascii="宋体" w:hAnsi="宋体" w:cs="宋体"/>
          <w:b/>
          <w:bCs/>
          <w:color w:val="auto"/>
          <w:spacing w:val="-20"/>
          <w:kern w:val="44"/>
          <w:sz w:val="40"/>
          <w:szCs w:val="40"/>
          <w:highlight w:val="none"/>
        </w:rPr>
      </w:pPr>
    </w:p>
    <w:p w14:paraId="1F202B9E">
      <w:pPr>
        <w:rPr>
          <w:rFonts w:ascii="宋体" w:hAnsi="宋体" w:cs="宋体"/>
          <w:b/>
          <w:bCs/>
          <w:color w:val="auto"/>
          <w:spacing w:val="-20"/>
          <w:kern w:val="44"/>
          <w:sz w:val="40"/>
          <w:szCs w:val="40"/>
          <w:highlight w:val="none"/>
        </w:rPr>
      </w:pPr>
    </w:p>
    <w:p w14:paraId="081AFCCE">
      <w:pPr>
        <w:rPr>
          <w:rFonts w:ascii="宋体" w:hAnsi="宋体" w:cs="宋体"/>
          <w:b/>
          <w:bCs/>
          <w:color w:val="auto"/>
          <w:spacing w:val="-20"/>
          <w:kern w:val="44"/>
          <w:sz w:val="40"/>
          <w:szCs w:val="40"/>
          <w:highlight w:val="none"/>
        </w:rPr>
      </w:pPr>
    </w:p>
    <w:p w14:paraId="6673C93A">
      <w:pPr>
        <w:spacing w:line="360" w:lineRule="auto"/>
        <w:ind w:left="400" w:leftChars="200"/>
        <w:rPr>
          <w:color w:val="auto"/>
          <w:sz w:val="36"/>
          <w:szCs w:val="36"/>
          <w:highlight w:val="none"/>
        </w:rPr>
      </w:pPr>
      <w:r>
        <w:rPr>
          <w:rFonts w:hint="eastAsia" w:ascii="宋体" w:hAnsi="宋体" w:cs="宋体"/>
          <w:color w:val="auto"/>
          <w:kern w:val="0"/>
          <w:sz w:val="36"/>
          <w:szCs w:val="36"/>
          <w:highlight w:val="none"/>
        </w:rPr>
        <w:t>项目名称：</w:t>
      </w:r>
      <w:r>
        <w:rPr>
          <w:rFonts w:hint="eastAsia"/>
          <w:color w:val="auto"/>
          <w:sz w:val="36"/>
          <w:szCs w:val="36"/>
          <w:highlight w:val="none"/>
          <w:u w:val="single"/>
        </w:rPr>
        <w:t xml:space="preserve">                             </w:t>
      </w:r>
    </w:p>
    <w:p w14:paraId="3AA2BFC4">
      <w:pPr>
        <w:spacing w:line="360" w:lineRule="auto"/>
        <w:ind w:left="400" w:leftChars="200"/>
        <w:rPr>
          <w:color w:val="auto"/>
          <w:sz w:val="36"/>
          <w:szCs w:val="36"/>
          <w:highlight w:val="none"/>
          <w:u w:val="single"/>
        </w:rPr>
      </w:pPr>
      <w:r>
        <w:rPr>
          <w:rFonts w:hint="eastAsia"/>
          <w:color w:val="auto"/>
          <w:sz w:val="36"/>
          <w:szCs w:val="36"/>
          <w:highlight w:val="none"/>
        </w:rPr>
        <w:t>合同编号：</w:t>
      </w:r>
      <w:r>
        <w:rPr>
          <w:rFonts w:hint="eastAsia"/>
          <w:color w:val="auto"/>
          <w:sz w:val="36"/>
          <w:szCs w:val="36"/>
          <w:highlight w:val="none"/>
          <w:u w:val="single"/>
        </w:rPr>
        <w:t xml:space="preserve">                             </w:t>
      </w:r>
    </w:p>
    <w:p w14:paraId="17A8F806">
      <w:pPr>
        <w:spacing w:line="360" w:lineRule="auto"/>
        <w:ind w:left="400" w:leftChars="200"/>
        <w:rPr>
          <w:color w:val="auto"/>
          <w:sz w:val="36"/>
          <w:szCs w:val="36"/>
          <w:highlight w:val="none"/>
        </w:rPr>
      </w:pPr>
      <w:r>
        <w:rPr>
          <w:rFonts w:hint="eastAsia"/>
          <w:color w:val="auto"/>
          <w:sz w:val="36"/>
          <w:szCs w:val="36"/>
          <w:highlight w:val="none"/>
        </w:rPr>
        <w:t>甲    方：</w:t>
      </w:r>
      <w:r>
        <w:rPr>
          <w:rFonts w:hint="eastAsia"/>
          <w:color w:val="auto"/>
          <w:sz w:val="36"/>
          <w:szCs w:val="36"/>
          <w:highlight w:val="none"/>
          <w:u w:val="single"/>
        </w:rPr>
        <w:t xml:space="preserve">                             </w:t>
      </w:r>
    </w:p>
    <w:p w14:paraId="5A1FCD07">
      <w:pPr>
        <w:spacing w:line="360" w:lineRule="auto"/>
        <w:ind w:left="400" w:leftChars="200"/>
        <w:rPr>
          <w:color w:val="auto"/>
          <w:sz w:val="36"/>
          <w:szCs w:val="36"/>
          <w:highlight w:val="none"/>
          <w:u w:val="single"/>
        </w:rPr>
      </w:pPr>
      <w:r>
        <w:rPr>
          <w:rFonts w:hint="eastAsia"/>
          <w:color w:val="auto"/>
          <w:sz w:val="36"/>
          <w:szCs w:val="36"/>
          <w:highlight w:val="none"/>
        </w:rPr>
        <w:t>乙    方：</w:t>
      </w:r>
      <w:r>
        <w:rPr>
          <w:rFonts w:hint="eastAsia"/>
          <w:color w:val="auto"/>
          <w:sz w:val="36"/>
          <w:szCs w:val="36"/>
          <w:highlight w:val="none"/>
          <w:u w:val="single"/>
        </w:rPr>
        <w:t xml:space="preserve">                             </w:t>
      </w:r>
    </w:p>
    <w:p w14:paraId="772DCE52">
      <w:pPr>
        <w:spacing w:line="360" w:lineRule="auto"/>
        <w:ind w:left="400" w:leftChars="200"/>
        <w:rPr>
          <w:color w:val="auto"/>
          <w:sz w:val="36"/>
          <w:szCs w:val="36"/>
          <w:highlight w:val="none"/>
        </w:rPr>
      </w:pPr>
      <w:r>
        <w:rPr>
          <w:rFonts w:hint="eastAsia"/>
          <w:color w:val="auto"/>
          <w:sz w:val="36"/>
          <w:szCs w:val="36"/>
          <w:highlight w:val="none"/>
        </w:rPr>
        <w:t>签订时间：</w:t>
      </w:r>
      <w:r>
        <w:rPr>
          <w:rFonts w:hint="eastAsia"/>
          <w:color w:val="auto"/>
          <w:sz w:val="36"/>
          <w:szCs w:val="36"/>
          <w:highlight w:val="none"/>
          <w:u w:val="single"/>
        </w:rPr>
        <w:t xml:space="preserve">      </w:t>
      </w:r>
      <w:r>
        <w:rPr>
          <w:color w:val="auto"/>
          <w:sz w:val="36"/>
          <w:szCs w:val="36"/>
          <w:highlight w:val="none"/>
          <w:u w:val="single"/>
        </w:rPr>
        <w:t xml:space="preserve">           </w:t>
      </w:r>
      <w:r>
        <w:rPr>
          <w:rFonts w:hint="eastAsia"/>
          <w:color w:val="auto"/>
          <w:sz w:val="36"/>
          <w:szCs w:val="36"/>
          <w:highlight w:val="none"/>
          <w:u w:val="single"/>
        </w:rPr>
        <w:t xml:space="preserve">            </w:t>
      </w:r>
    </w:p>
    <w:p w14:paraId="15CE477A">
      <w:pPr>
        <w:rPr>
          <w:color w:val="auto"/>
          <w:highlight w:val="none"/>
        </w:rPr>
      </w:pPr>
    </w:p>
    <w:p w14:paraId="6DC7E545">
      <w:pPr>
        <w:rPr>
          <w:rFonts w:eastAsia="黑体"/>
          <w:color w:val="auto"/>
          <w:sz w:val="44"/>
          <w:szCs w:val="44"/>
          <w:highlight w:val="none"/>
        </w:rPr>
      </w:pPr>
      <w:r>
        <w:rPr>
          <w:rFonts w:eastAsia="黑体"/>
          <w:color w:val="auto"/>
          <w:sz w:val="44"/>
          <w:szCs w:val="44"/>
          <w:highlight w:val="none"/>
        </w:rPr>
        <w:br w:type="page"/>
      </w:r>
    </w:p>
    <w:p w14:paraId="248E6903">
      <w:pPr>
        <w:rPr>
          <w:rFonts w:eastAsia="黑体"/>
          <w:color w:val="auto"/>
          <w:sz w:val="44"/>
          <w:szCs w:val="44"/>
          <w:highlight w:val="none"/>
        </w:rPr>
      </w:pPr>
    </w:p>
    <w:p w14:paraId="4A7C638C">
      <w:pPr>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使</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用</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说</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明</w:t>
      </w:r>
    </w:p>
    <w:p w14:paraId="6B592E2F">
      <w:pPr>
        <w:ind w:firstLine="640" w:firstLineChars="200"/>
        <w:rPr>
          <w:rFonts w:hint="eastAsia" w:ascii="仿宋_GB2312" w:hAnsi="仿宋_GB2312" w:eastAsia="仿宋_GB2312" w:cs="仿宋_GB2312"/>
          <w:color w:val="auto"/>
          <w:sz w:val="32"/>
          <w:szCs w:val="32"/>
          <w:highlight w:val="none"/>
          <w:lang w:val="en-US" w:eastAsia="zh-CN"/>
        </w:rPr>
      </w:pPr>
    </w:p>
    <w:p w14:paraId="3CAECAF9">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1.本合同标准文本适用于购买现成货物的采购项目，不包括需要供应商定制开发、创新研发的货物采购项目。</w:t>
      </w:r>
    </w:p>
    <w:p w14:paraId="2627C031">
      <w:pPr>
        <w:ind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2.本合同标准文本为政府采购货物买卖合同编制提供参考，可以结合采购项目具体情况，对文本作必要的调整修订后使用。</w:t>
      </w:r>
    </w:p>
    <w:p w14:paraId="1C280F5C">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3.本合同标准文本各条款中，如涉及填写多家供应商、制造商，多种采购标的、分包主要内容等信息的，可根据采购项目具体情况添加信息项。</w:t>
      </w:r>
    </w:p>
    <w:p w14:paraId="794B3A8B">
      <w:pPr>
        <w:ind w:firstLine="560" w:firstLineChars="200"/>
        <w:jc w:val="both"/>
        <w:rPr>
          <w:rFonts w:hint="eastAsia" w:ascii="宋体" w:hAnsi="宋体" w:eastAsia="宋体" w:cs="宋体"/>
          <w:color w:val="auto"/>
          <w:sz w:val="28"/>
          <w:szCs w:val="28"/>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bookmarkEnd w:id="596"/>
    <w:p w14:paraId="3276BAC0">
      <w:pPr>
        <w:pStyle w:val="3"/>
        <w:adjustRightInd w:val="0"/>
        <w:snapToGrid w:val="0"/>
        <w:spacing w:beforeLines="0" w:line="400" w:lineRule="exact"/>
        <w:jc w:val="center"/>
        <w:rPr>
          <w:rFonts w:hint="eastAsia" w:ascii="宋体" w:hAnsi="宋体" w:eastAsia="宋体" w:cs="宋体"/>
          <w:b/>
          <w:bCs/>
          <w:color w:val="auto"/>
          <w:sz w:val="36"/>
          <w:szCs w:val="36"/>
          <w:highlight w:val="none"/>
        </w:rPr>
      </w:pPr>
      <w:bookmarkStart w:id="597" w:name="_Toc22209"/>
      <w:bookmarkStart w:id="598" w:name="_Toc31308"/>
      <w:r>
        <w:rPr>
          <w:rFonts w:hint="eastAsia" w:ascii="宋体" w:hAnsi="宋体" w:eastAsia="宋体" w:cs="宋体"/>
          <w:b/>
          <w:bCs/>
          <w:color w:val="auto"/>
          <w:sz w:val="36"/>
          <w:szCs w:val="36"/>
          <w:highlight w:val="none"/>
        </w:rPr>
        <w:t>第一节 政府采购合同协议书</w:t>
      </w:r>
      <w:bookmarkEnd w:id="597"/>
      <w:bookmarkEnd w:id="598"/>
    </w:p>
    <w:p w14:paraId="65911421">
      <w:pPr>
        <w:pStyle w:val="3"/>
        <w:keepNext/>
        <w:keepLines/>
        <w:pageBreakBefore w:val="0"/>
        <w:widowControl w:val="0"/>
        <w:kinsoku/>
        <w:wordWrap/>
        <w:overflowPunct/>
        <w:topLinePunct w:val="0"/>
        <w:autoSpaceDE/>
        <w:autoSpaceDN/>
        <w:bidi w:val="0"/>
        <w:adjustRightInd w:val="0"/>
        <w:snapToGrid w:val="0"/>
        <w:spacing w:before="140" w:beforeLines="0" w:after="140" w:line="400" w:lineRule="exact"/>
        <w:jc w:val="center"/>
        <w:textAlignment w:val="auto"/>
        <w:rPr>
          <w:rFonts w:hint="eastAsia" w:ascii="黑体" w:hAnsi="华文中宋" w:eastAsia="黑体"/>
          <w:b w:val="0"/>
          <w:bCs w:val="0"/>
          <w:color w:val="auto"/>
          <w:sz w:val="28"/>
          <w:szCs w:val="28"/>
          <w:highlight w:val="none"/>
        </w:rPr>
      </w:pPr>
    </w:p>
    <w:p w14:paraId="7749E471">
      <w:pPr>
        <w:adjustRightInd w:val="0"/>
        <w:snapToGrid w:val="0"/>
        <w:spacing w:before="0" w:beforeLines="0" w:line="400" w:lineRule="exact"/>
        <w:ind w:left="4800" w:hanging="4200" w:hangingChars="2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p w14:paraId="5F8C6ADE">
      <w:pPr>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w:t>
      </w:r>
    </w:p>
    <w:p w14:paraId="294172C4">
      <w:pPr>
        <w:adjustRightInd w:val="0"/>
        <w:snapToGrid w:val="0"/>
        <w:spacing w:before="0" w:beforeLines="0" w:line="400" w:lineRule="exact"/>
        <w:ind w:left="5040" w:hanging="4410" w:hanging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乙方2（全称）：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（联合体成员供应商或其他合同主体）（如有）</w:t>
      </w:r>
    </w:p>
    <w:p w14:paraId="5F8DC28B">
      <w:pPr>
        <w:adjustRightInd w:val="0"/>
        <w:snapToGrid w:val="0"/>
        <w:spacing w:before="0" w:beforeLines="0" w:line="400" w:lineRule="exact"/>
        <w:ind w:left="5040" w:hanging="4410" w:hanging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3（全称）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（联合体成员供应商或其他合同主体）（如有）</w:t>
      </w:r>
    </w:p>
    <w:p w14:paraId="7295A8B9">
      <w:pPr>
        <w:spacing w:beforeLines="0" w:line="400" w:lineRule="exact"/>
        <w:rPr>
          <w:rFonts w:hint="eastAsia" w:ascii="宋体" w:hAnsi="宋体" w:eastAsia="宋体" w:cs="宋体"/>
          <w:color w:val="auto"/>
          <w:sz w:val="21"/>
          <w:szCs w:val="21"/>
          <w:highlight w:val="none"/>
          <w:lang w:val="en-US" w:eastAsia="zh-CN"/>
        </w:rPr>
      </w:pPr>
    </w:p>
    <w:p w14:paraId="73AFFB38">
      <w:pPr>
        <w:pStyle w:val="14"/>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依据《中华人民共和国民法典》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《中华人民共和国政府采购法》等有关的法律法规，以及</w:t>
      </w:r>
      <w:r>
        <w:rPr>
          <w:rFonts w:hint="eastAsia" w:ascii="宋体" w:hAnsi="宋体" w:eastAsia="宋体" w:cs="宋体"/>
          <w:i w:val="0"/>
          <w:iCs w:val="0"/>
          <w:color w:val="auto"/>
          <w:sz w:val="21"/>
          <w:szCs w:val="21"/>
          <w:highlight w:val="none"/>
          <w:u w:val="none"/>
          <w:lang w:eastAsia="zh-CN"/>
        </w:rPr>
        <w:t>本采购项目</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文件等</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乙方的《投标（响应）文件》及《中标（成交）通知书》，甲乙双方同意签订本合同。具体情况及要求如下：     </w:t>
      </w:r>
    </w:p>
    <w:p w14:paraId="2B03533E">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项目信息</w:t>
      </w:r>
    </w:p>
    <w:p w14:paraId="60DDE6F7">
      <w:pPr>
        <w:pStyle w:val="14"/>
        <w:numPr>
          <w:ilvl w:val="0"/>
          <w:numId w:val="6"/>
        </w:numPr>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71185B53">
      <w:pPr>
        <w:pStyle w:val="14"/>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采购项目（包）编号：</w:t>
      </w:r>
      <w:r>
        <w:rPr>
          <w:rFonts w:hint="eastAsia" w:ascii="宋体" w:hAnsi="宋体" w:eastAsia="宋体" w:cs="宋体"/>
          <w:color w:val="auto"/>
          <w:sz w:val="21"/>
          <w:szCs w:val="21"/>
          <w:highlight w:val="none"/>
          <w:u w:val="single"/>
        </w:rPr>
        <w:t xml:space="preserve">                                    </w:t>
      </w:r>
    </w:p>
    <w:p w14:paraId="29C2DF94">
      <w:pPr>
        <w:pStyle w:val="14"/>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（2）采购计划编号：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1F91617">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（3）项目内容：</w:t>
      </w:r>
    </w:p>
    <w:p w14:paraId="19BD6A2B">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采购标的及数量</w:t>
      </w:r>
      <w:r>
        <w:rPr>
          <w:rFonts w:hint="eastAsia" w:ascii="宋体" w:hAnsi="宋体" w:eastAsia="宋体" w:cs="宋体"/>
          <w:color w:val="auto"/>
          <w:sz w:val="21"/>
          <w:szCs w:val="21"/>
          <w:highlight w:val="none"/>
          <w:lang w:val="en-US" w:eastAsia="zh-CN"/>
        </w:rPr>
        <w:t>（台/套</w:t>
      </w:r>
      <w:r>
        <w:rPr>
          <w:rFonts w:hint="eastAsia" w:ascii="宋体" w:hAnsi="宋体" w:eastAsia="宋体" w:cs="宋体"/>
          <w:color w:val="auto"/>
          <w:sz w:val="21"/>
          <w:szCs w:val="21"/>
          <w:highlight w:val="none"/>
          <w:lang w:val="en" w:eastAsia="zh-CN"/>
        </w:rPr>
        <w:t>/个/架/组等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2D253C95">
      <w:pPr>
        <w:numPr>
          <w:ilvl w:val="-1"/>
          <w:numId w:val="0"/>
        </w:num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 w:eastAsia="zh-CN"/>
        </w:rPr>
        <w:t xml:space="preserve">     </w:t>
      </w:r>
      <w:r>
        <w:rPr>
          <w:rFonts w:hint="eastAsia" w:ascii="宋体" w:hAnsi="宋体" w:eastAsia="宋体" w:cs="宋体"/>
          <w:color w:val="auto"/>
          <w:sz w:val="21"/>
          <w:szCs w:val="21"/>
          <w:highlight w:val="none"/>
          <w:lang w:val="en-US" w:eastAsia="zh-CN"/>
        </w:rPr>
        <w:t>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p>
    <w:p w14:paraId="0A19BCBE">
      <w:pPr>
        <w:adjustRightInd w:val="0"/>
        <w:snapToGrid w:val="0"/>
        <w:spacing w:before="0" w:beforeLines="0" w:line="400" w:lineRule="exact"/>
        <w:ind w:firstLine="945" w:firstLineChars="4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采购标的的技术要求、商务要求具体见附件。</w:t>
      </w:r>
    </w:p>
    <w:p w14:paraId="1EE9A6FC">
      <w:pPr>
        <w:numPr>
          <w:ilvl w:val="-1"/>
          <w:numId w:val="0"/>
        </w:numPr>
        <w:adjustRightInd w:val="0"/>
        <w:snapToGrid w:val="0"/>
        <w:spacing w:before="0" w:beforeLines="0" w:line="400" w:lineRule="exact"/>
        <w:ind w:firstLine="945" w:firstLineChars="4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①涉及信息类产品，请填写该产品关键部件的品牌、型号：</w:t>
      </w:r>
    </w:p>
    <w:p w14:paraId="105F1076">
      <w:pPr>
        <w:numPr>
          <w:ilvl w:val="-1"/>
          <w:numId w:val="0"/>
        </w:numPr>
        <w:adjustRightInd w:val="0"/>
        <w:snapToGrid w:val="0"/>
        <w:spacing w:before="0" w:beforeLines="0" w:line="400" w:lineRule="exact"/>
        <w:ind w:firstLine="420" w:firstLineChars="200"/>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     标的名称：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 w:eastAsia="zh-CN"/>
        </w:rPr>
        <w:t xml:space="preserve">               </w:t>
      </w:r>
      <w:r>
        <w:rPr>
          <w:rFonts w:hint="eastAsia" w:ascii="宋体" w:hAnsi="宋体" w:eastAsia="宋体" w:cs="宋体"/>
          <w:color w:val="auto"/>
          <w:kern w:val="0"/>
          <w:sz w:val="21"/>
          <w:szCs w:val="21"/>
          <w:highlight w:val="none"/>
          <w:u w:val="single"/>
          <w:lang w:val="en-US" w:eastAsia="zh-CN"/>
        </w:rPr>
        <w:t xml:space="preserve">    </w:t>
      </w:r>
    </w:p>
    <w:p w14:paraId="36CCB7D0">
      <w:pPr>
        <w:numPr>
          <w:ilvl w:val="-1"/>
          <w:numId w:val="0"/>
        </w:num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7FD83092">
      <w:pPr>
        <w:pStyle w:val="36"/>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0349841B">
      <w:pPr>
        <w:pStyle w:val="36"/>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35222B95">
      <w:pPr>
        <w:pStyle w:val="36"/>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535AD96">
      <w:pPr>
        <w:pStyle w:val="36"/>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27BCD974">
      <w:pPr>
        <w:pStyle w:val="36"/>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58C18C71">
      <w:pPr>
        <w:pStyle w:val="36"/>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3301B3DD">
      <w:pPr>
        <w:pStyle w:val="36"/>
        <w:numPr>
          <w:ilvl w:val="-1"/>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51033CAD">
      <w:pPr>
        <w:pStyle w:val="36"/>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7B1D1C5B">
      <w:pPr>
        <w:pStyle w:val="36"/>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556B6728">
      <w:pPr>
        <w:pStyle w:val="36"/>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1636898B">
      <w:pPr>
        <w:pStyle w:val="36"/>
        <w:numPr>
          <w:ilvl w:val="-1"/>
          <w:numId w:val="0"/>
        </w:numPr>
        <w:adjustRightInd w:val="0"/>
        <w:snapToGrid w:val="0"/>
        <w:spacing w:before="0" w:beforeLines="0" w:line="400" w:lineRule="exact"/>
        <w:ind w:firstLine="21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61FB4A07">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w w:val="100"/>
          <w:sz w:val="21"/>
          <w:szCs w:val="21"/>
          <w:highlight w:val="none"/>
          <w:lang w:val="en-US" w:eastAsia="zh-CN"/>
        </w:rPr>
        <w:t xml:space="preserve">         本合同</w:t>
      </w:r>
      <w:r>
        <w:rPr>
          <w:rFonts w:hint="eastAsia" w:ascii="宋体" w:hAnsi="宋体" w:eastAsia="宋体" w:cs="宋体"/>
          <w:color w:val="auto"/>
          <w:w w:val="100"/>
          <w:sz w:val="21"/>
          <w:szCs w:val="21"/>
          <w:highlight w:val="none"/>
        </w:rPr>
        <w:t>是否</w:t>
      </w:r>
      <w:r>
        <w:rPr>
          <w:rFonts w:hint="eastAsia" w:ascii="宋体" w:hAnsi="宋体" w:eastAsia="宋体" w:cs="宋体"/>
          <w:color w:val="auto"/>
          <w:w w:val="100"/>
          <w:sz w:val="21"/>
          <w:szCs w:val="21"/>
          <w:highlight w:val="none"/>
          <w:lang w:eastAsia="zh-CN"/>
        </w:rPr>
        <w:t>为专门面向</w:t>
      </w:r>
      <w:r>
        <w:rPr>
          <w:rFonts w:hint="eastAsia" w:ascii="宋体" w:hAnsi="宋体" w:eastAsia="宋体" w:cs="宋体"/>
          <w:color w:val="auto"/>
          <w:w w:val="100"/>
          <w:sz w:val="21"/>
          <w:szCs w:val="21"/>
          <w:highlight w:val="none"/>
        </w:rPr>
        <w:t>中小企业</w:t>
      </w:r>
      <w:r>
        <w:rPr>
          <w:rFonts w:hint="eastAsia" w:ascii="宋体" w:hAnsi="宋体" w:eastAsia="宋体" w:cs="宋体"/>
          <w:color w:val="auto"/>
          <w:w w:val="100"/>
          <w:sz w:val="21"/>
          <w:szCs w:val="21"/>
          <w:highlight w:val="none"/>
          <w:lang w:eastAsia="zh-CN"/>
        </w:rPr>
        <w:t>的采</w:t>
      </w:r>
      <w:r>
        <w:rPr>
          <w:rFonts w:hint="eastAsia" w:ascii="宋体" w:hAnsi="宋体" w:eastAsia="宋体" w:cs="宋体"/>
          <w:color w:val="auto"/>
          <w:w w:val="100"/>
          <w:sz w:val="21"/>
          <w:szCs w:val="21"/>
          <w:highlight w:val="none"/>
          <w:shd w:val="clear"/>
          <w:lang w:eastAsia="zh-CN"/>
        </w:rPr>
        <w:t>购</w:t>
      </w:r>
      <w:r>
        <w:rPr>
          <w:rFonts w:hint="eastAsia" w:ascii="宋体" w:hAnsi="宋体" w:eastAsia="宋体" w:cs="宋体"/>
          <w:color w:val="auto"/>
          <w:w w:val="100"/>
          <w:sz w:val="21"/>
          <w:szCs w:val="21"/>
          <w:highlight w:val="none"/>
          <w:shd w:val="clear"/>
        </w:rPr>
        <w:t>合同</w:t>
      </w:r>
      <w:r>
        <w:rPr>
          <w:rFonts w:hint="eastAsia" w:ascii="宋体" w:hAnsi="宋体" w:eastAsia="宋体" w:cs="宋体"/>
          <w:color w:val="auto"/>
          <w:w w:val="100"/>
          <w:sz w:val="21"/>
          <w:szCs w:val="21"/>
          <w:highlight w:val="none"/>
          <w:shd w:val="clear"/>
          <w:lang w:eastAsia="zh-CN"/>
        </w:rPr>
        <w:t>（中小企业预留合同）</w:t>
      </w:r>
      <w:r>
        <w:rPr>
          <w:rFonts w:hint="eastAsia" w:ascii="宋体" w:hAnsi="宋体" w:eastAsia="宋体" w:cs="宋体"/>
          <w:color w:val="auto"/>
          <w:sz w:val="21"/>
          <w:szCs w:val="21"/>
          <w:highlight w:val="none"/>
          <w:shd w:val="clear"/>
        </w:rPr>
        <w:t>：</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636EFF63">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若本项目不专门面向中小企业采购，是否给予小微企业评审优惠：</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29E43A75">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中标（成交）采购标的制造商是否为残疾人福利性单位：</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0B497E98">
      <w:pPr>
        <w:numPr>
          <w:ilvl w:val="0"/>
          <w:numId w:val="0"/>
        </w:numPr>
        <w:snapToGrid w:val="0"/>
        <w:spacing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中标（成交）采购标的制造商是否为监狱企业：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3BCD1D71">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eastAsia="zh-CN"/>
        </w:rPr>
        <w:t>7</w:t>
      </w:r>
      <w:r>
        <w:rPr>
          <w:rFonts w:hint="eastAsia" w:ascii="宋体" w:hAnsi="宋体" w:eastAsia="宋体" w:cs="宋体"/>
          <w:color w:val="auto"/>
          <w:sz w:val="21"/>
          <w:szCs w:val="21"/>
          <w:highlight w:val="none"/>
        </w:rPr>
        <w:t>）合同是否分包：</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6C603DBA">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分包主要内容：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42AEBBC">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（如供应商和制造商不同，请分别填写）</w:t>
      </w:r>
      <w:r>
        <w:rPr>
          <w:rFonts w:hint="eastAsia" w:ascii="宋体" w:hAnsi="宋体" w:eastAsia="宋体" w:cs="宋体"/>
          <w:color w:val="auto"/>
          <w:sz w:val="21"/>
          <w:szCs w:val="21"/>
          <w:highlight w:val="none"/>
        </w:rPr>
        <w:t>：</w:t>
      </w:r>
    </w:p>
    <w:p w14:paraId="7FA5EA47">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1F1D2B04">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lang w:eastAsia="zh-CN"/>
        </w:rPr>
        <w:t>（如果供应商和制造商不同，只填写制造商类型）</w:t>
      </w:r>
      <w:r>
        <w:rPr>
          <w:rFonts w:hint="eastAsia" w:ascii="宋体" w:hAnsi="宋体" w:eastAsia="宋体" w:cs="宋体"/>
          <w:color w:val="auto"/>
          <w:sz w:val="21"/>
          <w:szCs w:val="21"/>
          <w:highlight w:val="none"/>
        </w:rPr>
        <w:t>：</w:t>
      </w:r>
    </w:p>
    <w:p w14:paraId="180ED0E3">
      <w:pPr>
        <w:adjustRightInd w:val="0"/>
        <w:snapToGrid w:val="0"/>
        <w:spacing w:beforeLines="0" w:line="400" w:lineRule="exact"/>
        <w:ind w:firstLine="840" w:firstLineChars="40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大型企业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中型企业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小微型企业</w:t>
      </w:r>
      <w:r>
        <w:rPr>
          <w:rFonts w:hint="eastAsia" w:ascii="宋体" w:hAnsi="宋体" w:eastAsia="宋体" w:cs="宋体"/>
          <w:iCs/>
          <w:color w:val="auto"/>
          <w:sz w:val="21"/>
          <w:szCs w:val="21"/>
          <w:highlight w:val="none"/>
          <w:lang w:val="en-US" w:eastAsia="zh-CN"/>
        </w:rPr>
        <w:t xml:space="preserve">  </w:t>
      </w:r>
    </w:p>
    <w:p w14:paraId="18BF3496">
      <w:pPr>
        <w:adjustRightInd w:val="0"/>
        <w:snapToGrid w:val="0"/>
        <w:spacing w:beforeLines="0" w:line="400" w:lineRule="exact"/>
        <w:ind w:firstLine="840" w:firstLineChars="400"/>
        <w:rPr>
          <w:rFonts w:hint="eastAsia" w:ascii="宋体" w:hAnsi="宋体" w:eastAsia="宋体" w:cs="宋体"/>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残疾人福利性单位</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监狱</w:t>
      </w:r>
      <w:r>
        <w:rPr>
          <w:rFonts w:hint="eastAsia" w:ascii="宋体" w:hAnsi="宋体" w:eastAsia="宋体" w:cs="宋体"/>
          <w:iCs/>
          <w:color w:val="auto"/>
          <w:sz w:val="21"/>
          <w:szCs w:val="21"/>
          <w:highlight w:val="none"/>
        </w:rPr>
        <w:t>企业</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p>
    <w:p w14:paraId="7F2E0B02">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 w:eastAsia="zh-CN"/>
        </w:rPr>
        <w:t>8</w:t>
      </w:r>
      <w:r>
        <w:rPr>
          <w:rFonts w:hint="eastAsia" w:ascii="宋体" w:hAnsi="宋体" w:eastAsia="宋体" w:cs="宋体"/>
          <w:color w:val="auto"/>
          <w:sz w:val="21"/>
          <w:szCs w:val="21"/>
          <w:highlight w:val="none"/>
          <w:u w:val="none"/>
          <w:lang w:val="en-US" w:eastAsia="zh-CN"/>
        </w:rPr>
        <w:t>）中标（成交）供应商是否为外商投资企业：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4ADA4F13">
      <w:pPr>
        <w:pStyle w:val="36"/>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3678F9F3">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158ED47C">
      <w:pPr>
        <w:numPr>
          <w:ilvl w:val="-1"/>
          <w:numId w:val="0"/>
        </w:num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p>
    <w:p w14:paraId="3333668C">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 w:val="21"/>
          <w:szCs w:val="21"/>
          <w:highlight w:val="none"/>
        </w:rPr>
      </w:pPr>
      <w:r>
        <w:rPr>
          <w:rFonts w:hint="eastAsia" w:ascii="宋体" w:hAnsi="宋体" w:eastAsia="宋体" w:cs="宋体"/>
          <w:color w:val="auto"/>
          <w:sz w:val="21"/>
          <w:szCs w:val="21"/>
          <w:highlight w:val="none"/>
          <w:lang w:val="en-US" w:eastAsia="zh-CN"/>
        </w:rPr>
        <w:t xml:space="preserve">        国别：</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rPr>
        <w:t xml:space="preserve">      </w:t>
      </w:r>
    </w:p>
    <w:p w14:paraId="2F868BE1">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29B3041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17BB281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，《节能产品政府采购品目清单》的底级品目名称：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49DC4FC8">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7165AD9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614F1EF5">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09E05CB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，《环境标志产品政府采购品目清单》的底级品目名称：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522F082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26D9199E">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76BB6FA7">
      <w:pPr>
        <w:pStyle w:val="36"/>
        <w:numPr>
          <w:ilvl w:val="-1"/>
          <w:numId w:val="0"/>
        </w:numPr>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1965CB32">
      <w:pPr>
        <w:pStyle w:val="36"/>
        <w:spacing w:beforeLines="0"/>
        <w:ind w:firstLine="420" w:firstLineChars="0"/>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 w:val="21"/>
          <w:szCs w:val="21"/>
          <w:highlight w:val="none"/>
          <w:u w:val="single"/>
          <w:lang w:val="en-US" w:eastAsia="zh-CN"/>
        </w:rPr>
        <w:t xml:space="preserve">         </w:t>
      </w:r>
    </w:p>
    <w:p w14:paraId="01D2B2B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57F0C3BA">
      <w:pPr>
        <w:pStyle w:val="36"/>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469A8CCD">
      <w:pPr>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lang w:val="en-US" w:eastAsia="zh-CN"/>
        </w:rPr>
        <w:t>）涉及商品包装和快递包装的，是否参考</w:t>
      </w:r>
      <w:r>
        <w:rPr>
          <w:rFonts w:hint="eastAsia" w:ascii="宋体" w:hAnsi="宋体" w:eastAsia="宋体" w:cs="宋体"/>
          <w:color w:val="auto"/>
          <w:sz w:val="21"/>
          <w:szCs w:val="21"/>
          <w:highlight w:val="none"/>
        </w:rPr>
        <w:t>《商品包装政府采购需求标准（试行）》、《快递包装政府采购需求标准（试行）》</w:t>
      </w:r>
      <w:r>
        <w:rPr>
          <w:rFonts w:hint="eastAsia" w:ascii="宋体" w:hAnsi="宋体" w:eastAsia="宋体" w:cs="宋体"/>
          <w:color w:val="auto"/>
          <w:sz w:val="21"/>
          <w:szCs w:val="21"/>
          <w:highlight w:val="none"/>
          <w:lang w:eastAsia="zh-CN"/>
        </w:rPr>
        <w:t>明确产品及相关快递服务的具体包装要求：</w:t>
      </w:r>
    </w:p>
    <w:p w14:paraId="31637B1F">
      <w:pPr>
        <w:numPr>
          <w:ilvl w:val="-1"/>
          <w:numId w:val="0"/>
        </w:numPr>
        <w:adjustRightInd w:val="0"/>
        <w:snapToGrid w:val="0"/>
        <w:spacing w:before="0" w:beforeLines="0" w:line="400" w:lineRule="exact"/>
        <w:ind w:firstLine="1050" w:firstLineChars="50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 xml:space="preserve">是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不涉及</w:t>
      </w:r>
    </w:p>
    <w:p w14:paraId="3F1BC9E3">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w:t>
      </w:r>
    </w:p>
    <w:p w14:paraId="3AE20D27">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（1）合同金额小写：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D6FDFA">
      <w:pPr>
        <w:adjustRightInd w:val="0"/>
        <w:snapToGrid w:val="0"/>
        <w:spacing w:before="0" w:beforeLines="0" w:line="400" w:lineRule="exact"/>
        <w:ind w:left="0"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466BEAA">
      <w:pPr>
        <w:adjustRightInd w:val="0"/>
        <w:snapToGrid w:val="0"/>
        <w:spacing w:before="0" w:beforeLines="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分包金额</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p w14:paraId="0C7CE46D">
      <w:pPr>
        <w:adjustRightInd w:val="0"/>
        <w:snapToGrid w:val="0"/>
        <w:spacing w:before="0" w:beforeLines="0" w:line="400" w:lineRule="exact"/>
        <w:ind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F7459D6">
      <w:p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（注：固定单价合同应填写单价和最高限价）</w:t>
      </w:r>
    </w:p>
    <w:p w14:paraId="0CD632B1">
      <w:pPr>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合同定价方式</w:t>
      </w:r>
      <w:r>
        <w:rPr>
          <w:rFonts w:hint="eastAsia" w:ascii="宋体" w:hAnsi="宋体" w:eastAsia="宋体" w:cs="宋体"/>
          <w:color w:val="auto"/>
          <w:sz w:val="21"/>
          <w:szCs w:val="21"/>
          <w:highlight w:val="none"/>
          <w:lang w:eastAsia="zh-CN"/>
        </w:rPr>
        <w:t>（采用组合定价方式的，可以勾选多项）</w:t>
      </w:r>
      <w:r>
        <w:rPr>
          <w:rFonts w:hint="eastAsia" w:ascii="宋体" w:hAnsi="宋体" w:eastAsia="宋体" w:cs="宋体"/>
          <w:color w:val="auto"/>
          <w:sz w:val="21"/>
          <w:szCs w:val="21"/>
          <w:highlight w:val="none"/>
        </w:rPr>
        <w:t>：</w:t>
      </w:r>
    </w:p>
    <w:p w14:paraId="1CCE239E">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固定总价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固定单价</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固定费率</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成本补偿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绩效激励</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r>
        <w:rPr>
          <w:rFonts w:hint="eastAsia" w:ascii="宋体" w:hAnsi="宋体" w:eastAsia="宋体" w:cs="宋体"/>
          <w:color w:val="auto"/>
          <w:sz w:val="21"/>
          <w:szCs w:val="21"/>
          <w:highlight w:val="none"/>
          <w:u w:val="single"/>
        </w:rPr>
        <w:t xml:space="preserve">       </w:t>
      </w:r>
    </w:p>
    <w:p w14:paraId="0F51C916">
      <w:pPr>
        <w:pStyle w:val="78"/>
        <w:spacing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）付款方式（按项目实际勾选填写）：</w:t>
      </w:r>
    </w:p>
    <w:p w14:paraId="684DBB0F">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全额付款：</w:t>
      </w:r>
      <w:r>
        <w:rPr>
          <w:rFonts w:hint="eastAsia" w:ascii="宋体" w:hAnsi="宋体" w:eastAsia="宋体" w:cs="宋体"/>
          <w:color w:val="auto"/>
          <w:sz w:val="21"/>
          <w:szCs w:val="21"/>
          <w:highlight w:val="none"/>
          <w:u w:val="single"/>
        </w:rPr>
        <w:t xml:space="preserve">     （应</w:t>
      </w:r>
      <w:r>
        <w:rPr>
          <w:rFonts w:hint="eastAsia" w:ascii="宋体" w:hAnsi="宋体" w:eastAsia="宋体" w:cs="宋体"/>
          <w:color w:val="auto"/>
          <w:sz w:val="21"/>
          <w:szCs w:val="21"/>
          <w:highlight w:val="none"/>
          <w:u w:val="single"/>
          <w:lang w:eastAsia="zh-CN"/>
        </w:rPr>
        <w:t>明确</w:t>
      </w:r>
      <w:r>
        <w:rPr>
          <w:rFonts w:hint="eastAsia" w:ascii="宋体" w:hAnsi="宋体" w:eastAsia="宋体" w:cs="宋体"/>
          <w:color w:val="auto"/>
          <w:sz w:val="21"/>
          <w:szCs w:val="21"/>
          <w:highlight w:val="none"/>
          <w:u w:val="single"/>
        </w:rPr>
        <w:t>一次性支付合同款项</w:t>
      </w:r>
      <w:r>
        <w:rPr>
          <w:rFonts w:hint="eastAsia" w:ascii="宋体" w:hAnsi="宋体" w:eastAsia="宋体" w:cs="宋体"/>
          <w:color w:val="auto"/>
          <w:sz w:val="21"/>
          <w:szCs w:val="21"/>
          <w:highlight w:val="none"/>
          <w:u w:val="single"/>
          <w:lang w:eastAsia="zh-CN"/>
        </w:rPr>
        <w:t>的条件</w:t>
      </w:r>
      <w:r>
        <w:rPr>
          <w:rFonts w:hint="eastAsia" w:ascii="宋体" w:hAnsi="宋体" w:eastAsia="宋体" w:cs="宋体"/>
          <w:color w:val="auto"/>
          <w:sz w:val="21"/>
          <w:szCs w:val="21"/>
          <w:highlight w:val="none"/>
          <w:u w:val="single"/>
        </w:rPr>
        <w:t xml:space="preserve">）                    </w:t>
      </w:r>
    </w:p>
    <w:p w14:paraId="07D32B87">
      <w:pPr>
        <w:snapToGrid w:val="0"/>
        <w:spacing w:beforeLines="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分期付款：</w:t>
      </w:r>
      <w:r>
        <w:rPr>
          <w:rFonts w:hint="eastAsia" w:ascii="宋体" w:hAnsi="宋体" w:eastAsia="宋体" w:cs="宋体"/>
          <w:color w:val="auto"/>
          <w:sz w:val="21"/>
          <w:szCs w:val="21"/>
          <w:highlight w:val="none"/>
          <w:u w:val="single"/>
        </w:rPr>
        <w:t xml:space="preserve">  （应明确分期支付合同款项的各期比例和支付条件</w:t>
      </w:r>
      <w:r>
        <w:rPr>
          <w:rFonts w:hint="eastAsia" w:ascii="宋体" w:hAnsi="宋体" w:eastAsia="宋体" w:cs="宋体"/>
          <w:color w:val="auto"/>
          <w:sz w:val="21"/>
          <w:szCs w:val="21"/>
          <w:highlight w:val="none"/>
          <w:u w:val="single"/>
          <w:lang w:eastAsia="zh-CN"/>
        </w:rPr>
        <w:t>，各期支付条件应与分期履约验收情况挂钩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eastAsia="zh-CN"/>
        </w:rPr>
        <w:t>其中涉及预付款的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（应明确预付款的支付比例和支付条件） </w:t>
      </w:r>
    </w:p>
    <w:p w14:paraId="0A1A7CCC">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成本补偿：</w:t>
      </w:r>
      <w:r>
        <w:rPr>
          <w:rFonts w:hint="eastAsia" w:ascii="宋体" w:hAnsi="宋体" w:eastAsia="宋体" w:cs="宋体"/>
          <w:color w:val="auto"/>
          <w:sz w:val="21"/>
          <w:szCs w:val="21"/>
          <w:highlight w:val="none"/>
          <w:u w:val="single"/>
        </w:rPr>
        <w:t xml:space="preserve">      （应明确按照成本补偿方式的支付方式和支付条件）   </w:t>
      </w:r>
    </w:p>
    <w:p w14:paraId="70461483">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绩效激励：</w:t>
      </w:r>
      <w:r>
        <w:rPr>
          <w:rFonts w:hint="eastAsia" w:ascii="宋体" w:hAnsi="宋体" w:eastAsia="宋体" w:cs="宋体"/>
          <w:color w:val="auto"/>
          <w:sz w:val="21"/>
          <w:szCs w:val="21"/>
          <w:highlight w:val="none"/>
          <w:u w:val="single"/>
        </w:rPr>
        <w:t xml:space="preserve">      （应明确按照绩效激励方式的支付方式和支付条件）   </w:t>
      </w:r>
    </w:p>
    <w:p w14:paraId="6A27CDEB">
      <w:pPr>
        <w:numPr>
          <w:ilvl w:val="0"/>
          <w:numId w:val="5"/>
        </w:numPr>
        <w:adjustRightInd w:val="0"/>
        <w:snapToGrid w:val="0"/>
        <w:spacing w:before="0" w:beforeLines="0" w:line="400" w:lineRule="exact"/>
        <w:ind w:firstLine="422" w:firstLineChars="200"/>
        <w:rPr>
          <w:rFonts w:hint="eastAsia" w:ascii="宋体" w:hAnsi="宋体" w:eastAsia="宋体" w:cs="宋体"/>
          <w:b/>
          <w:bCs w:val="0"/>
          <w:color w:val="auto"/>
          <w:sz w:val="21"/>
          <w:szCs w:val="21"/>
          <w:highlight w:val="none"/>
          <w:u w:val="single"/>
        </w:rPr>
      </w:pPr>
      <w:r>
        <w:rPr>
          <w:rFonts w:hint="eastAsia" w:ascii="宋体" w:hAnsi="宋体" w:eastAsia="宋体" w:cs="宋体"/>
          <w:b/>
          <w:bCs w:val="0"/>
          <w:color w:val="auto"/>
          <w:sz w:val="21"/>
          <w:szCs w:val="21"/>
          <w:highlight w:val="none"/>
        </w:rPr>
        <w:t>合同履行</w:t>
      </w:r>
    </w:p>
    <w:p w14:paraId="7BB86A0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（1）起始日期：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日，完成日期：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E8AF94E">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履约</w:t>
      </w:r>
      <w:r>
        <w:rPr>
          <w:rFonts w:hint="eastAsia" w:ascii="宋体" w:hAnsi="宋体" w:eastAsia="宋体" w:cs="宋体"/>
          <w:color w:val="auto"/>
          <w:sz w:val="21"/>
          <w:szCs w:val="21"/>
          <w:highlight w:val="none"/>
        </w:rPr>
        <w:t>地点</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6037687B">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（3）履约担保：</w:t>
      </w:r>
      <w:r>
        <w:rPr>
          <w:rFonts w:hint="eastAsia" w:ascii="宋体" w:hAnsi="宋体" w:eastAsia="宋体" w:cs="宋体"/>
          <w:color w:val="auto"/>
          <w:sz w:val="21"/>
          <w:szCs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2F96A3FA">
      <w:pPr>
        <w:pStyle w:val="36"/>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765CCFFC">
      <w:pPr>
        <w:pStyle w:val="36"/>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54E6FED6">
      <w:pPr>
        <w:snapToGrid w:val="0"/>
        <w:spacing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履约担保期限</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1D28DC4A">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（4）分期履行要求：</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67696B2E">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eastAsia="zh-CN"/>
        </w:rPr>
        <w:t>风险处置措施和替代方案</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08A769C1">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合同验收</w:t>
      </w:r>
    </w:p>
    <w:p w14:paraId="06898485">
      <w:pPr>
        <w:numPr>
          <w:ilvl w:val="0"/>
          <w:numId w:val="7"/>
        </w:num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委托第三方组织</w:t>
      </w:r>
    </w:p>
    <w:p w14:paraId="12679905">
      <w:pPr>
        <w:numPr>
          <w:ilvl w:val="0"/>
          <w:numId w:val="0"/>
        </w:numPr>
        <w:adjustRightInd w:val="0"/>
        <w:snapToGrid w:val="0"/>
        <w:spacing w:before="0" w:before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验收主体：</w:t>
      </w:r>
      <w:r>
        <w:rPr>
          <w:rFonts w:hint="eastAsia" w:ascii="宋体" w:hAnsi="宋体" w:eastAsia="宋体" w:cs="宋体"/>
          <w:bCs/>
          <w:color w:val="auto"/>
          <w:sz w:val="21"/>
          <w:szCs w:val="21"/>
          <w:highlight w:val="none"/>
          <w:u w:val="single"/>
        </w:rPr>
        <w:t xml:space="preserve">                  </w:t>
      </w:r>
    </w:p>
    <w:p w14:paraId="0E278AF1">
      <w:pPr>
        <w:adjustRightInd w:val="0"/>
        <w:snapToGrid w:val="0"/>
        <w:spacing w:before="0" w:beforeLines="0" w:line="40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是否邀请本项目的其他供应商</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B8CF6DF">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是否邀请专家</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53FE791D">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是否邀请服务对象</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12F90D6">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是否邀请第三方检测机构</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11CB732">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，抽查比例：</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51EC1EF">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（应明确对被破坏的检测产品的处理方式）</w:t>
      </w:r>
    </w:p>
    <w:p w14:paraId="6F575199">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13A6911">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验收组织的其他事项：</w:t>
      </w:r>
      <w:r>
        <w:rPr>
          <w:rFonts w:hint="eastAsia" w:ascii="宋体" w:hAnsi="宋体" w:eastAsia="宋体" w:cs="宋体"/>
          <w:bCs/>
          <w:color w:val="auto"/>
          <w:sz w:val="21"/>
          <w:szCs w:val="21"/>
          <w:highlight w:val="none"/>
          <w:u w:val="single"/>
        </w:rPr>
        <w:t xml:space="preserve">                </w:t>
      </w:r>
    </w:p>
    <w:p w14:paraId="34F035FE">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（2）履约验收时间：</w:t>
      </w:r>
      <w:r>
        <w:rPr>
          <w:rFonts w:hint="eastAsia" w:ascii="宋体" w:hAnsi="宋体" w:eastAsia="宋体" w:cs="宋体"/>
          <w:bCs/>
          <w:color w:val="auto"/>
          <w:sz w:val="21"/>
          <w:szCs w:val="21"/>
          <w:highlight w:val="none"/>
          <w:u w:val="single"/>
        </w:rPr>
        <w:t>（计划于何时验收/供应商提出验收申请之日起   日内组织验收）</w:t>
      </w:r>
      <w:r>
        <w:rPr>
          <w:rFonts w:hint="eastAsia" w:ascii="宋体" w:hAnsi="宋体" w:eastAsia="宋体" w:cs="宋体"/>
          <w:bCs/>
          <w:color w:val="auto"/>
          <w:sz w:val="21"/>
          <w:szCs w:val="21"/>
          <w:highlight w:val="none"/>
          <w:u w:val="single"/>
          <w:lang w:val="en-US" w:eastAsia="zh-CN"/>
        </w:rPr>
        <w:t xml:space="preserve"> </w:t>
      </w:r>
    </w:p>
    <w:p w14:paraId="7AAAB0FB">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一次性验收         </w:t>
      </w:r>
    </w:p>
    <w:p w14:paraId="730E481A">
      <w:pPr>
        <w:adjustRightInd w:val="0"/>
        <w:snapToGrid w:val="0"/>
        <w:spacing w:before="0" w:beforeLines="0" w:line="400" w:lineRule="exact"/>
        <w:ind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分期/分项验收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（应明确分期</w:t>
      </w:r>
      <w:r>
        <w:rPr>
          <w:rFonts w:hint="eastAsia" w:ascii="宋体" w:hAnsi="宋体" w:eastAsia="宋体" w:cs="宋体"/>
          <w:bCs/>
          <w:color w:val="auto"/>
          <w:sz w:val="21"/>
          <w:szCs w:val="21"/>
          <w:highlight w:val="none"/>
          <w:u w:val="single"/>
          <w:lang w:val="en" w:eastAsia="zh-CN"/>
        </w:rPr>
        <w:t>/分项验收的工作安排</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p>
    <w:p w14:paraId="5FED00E5">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（4）履约验收程序：</w:t>
      </w:r>
      <w:r>
        <w:rPr>
          <w:rFonts w:hint="eastAsia" w:ascii="宋体" w:hAnsi="宋体" w:eastAsia="宋体" w:cs="宋体"/>
          <w:bCs/>
          <w:color w:val="auto"/>
          <w:sz w:val="21"/>
          <w:szCs w:val="21"/>
          <w:highlight w:val="none"/>
          <w:u w:val="single"/>
        </w:rPr>
        <w:t xml:space="preserve">                                         </w:t>
      </w:r>
    </w:p>
    <w:p w14:paraId="1036A9B1">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（5）履约验收的内容：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1"/>
          <w:szCs w:val="21"/>
          <w:highlight w:val="none"/>
          <w:u w:val="single"/>
        </w:rPr>
        <w:t xml:space="preserve">                                      </w:t>
      </w:r>
    </w:p>
    <w:p w14:paraId="004A39AB">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（6）履约验收标准：</w:t>
      </w:r>
      <w:r>
        <w:rPr>
          <w:rFonts w:hint="eastAsia" w:ascii="宋体" w:hAnsi="宋体" w:eastAsia="宋体" w:cs="宋体"/>
          <w:bCs/>
          <w:color w:val="auto"/>
          <w:sz w:val="21"/>
          <w:szCs w:val="21"/>
          <w:highlight w:val="none"/>
          <w:u w:val="single"/>
        </w:rPr>
        <w:t xml:space="preserve">                                         </w:t>
      </w:r>
    </w:p>
    <w:p w14:paraId="09FF201C">
      <w:pPr>
        <w:pStyle w:val="36"/>
        <w:spacing w:beforeLines="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6B31070E">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（8）履约验收其他事项：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rPr>
        <w:t>（产权过户登记等）</w:t>
      </w:r>
      <w:r>
        <w:rPr>
          <w:rFonts w:hint="eastAsia" w:ascii="宋体" w:hAnsi="宋体" w:eastAsia="宋体" w:cs="宋体"/>
          <w:bCs/>
          <w:color w:val="auto"/>
          <w:sz w:val="21"/>
          <w:szCs w:val="21"/>
          <w:highlight w:val="none"/>
          <w:u w:val="single"/>
        </w:rPr>
        <w:t xml:space="preserve">          </w:t>
      </w:r>
    </w:p>
    <w:p w14:paraId="12D12B78">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组成合同的文件</w:t>
      </w:r>
    </w:p>
    <w:p w14:paraId="64351A2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本协议书与下列文件一起构成合同文件，如下述文件之间有任何抵触、矛盾或歧义，应按以下顺序解释：</w:t>
      </w:r>
    </w:p>
    <w:p w14:paraId="68D4877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p>
    <w:p w14:paraId="44E38EF1">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）政府采购合同专用条款</w:t>
      </w:r>
    </w:p>
    <w:p w14:paraId="7E1D83EA">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）政府采购合同通用条款</w:t>
      </w:r>
    </w:p>
    <w:p w14:paraId="7FF12C1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7A560505">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）投标（响应）文件</w:t>
      </w:r>
    </w:p>
    <w:p w14:paraId="04975BDA">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（6）采购文件</w:t>
      </w:r>
    </w:p>
    <w:p w14:paraId="7372A09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（7）有关技术文件，图纸</w:t>
      </w:r>
    </w:p>
    <w:p w14:paraId="6712BEBD">
      <w:pPr>
        <w:pStyle w:val="36"/>
        <w:spacing w:beforeLine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6F77EB9">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合同生效</w:t>
      </w:r>
    </w:p>
    <w:p w14:paraId="488CA610">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生效。</w:t>
      </w:r>
    </w:p>
    <w:p w14:paraId="15F85FF4">
      <w:pPr>
        <w:numPr>
          <w:ilvl w:val="0"/>
          <w:numId w:val="5"/>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合同份数</w:t>
      </w:r>
    </w:p>
    <w:p w14:paraId="18997E31">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w:t>
      </w:r>
    </w:p>
    <w:p w14:paraId="0629D407">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DF0FD02">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合同订立地点：</w:t>
      </w:r>
      <w:r>
        <w:rPr>
          <w:rFonts w:hint="eastAsia" w:ascii="宋体" w:hAnsi="宋体" w:eastAsia="宋体" w:cs="宋体"/>
          <w:color w:val="auto"/>
          <w:sz w:val="21"/>
          <w:szCs w:val="21"/>
          <w:highlight w:val="none"/>
          <w:u w:val="single"/>
        </w:rPr>
        <w:t xml:space="preserve">                           </w:t>
      </w:r>
    </w:p>
    <w:p w14:paraId="7CA56739">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附件：具体标</w:t>
      </w:r>
      <w:r>
        <w:rPr>
          <w:rFonts w:hint="eastAsia" w:ascii="宋体" w:hAnsi="宋体" w:eastAsia="宋体" w:cs="宋体"/>
          <w:color w:val="auto"/>
          <w:sz w:val="21"/>
          <w:szCs w:val="21"/>
          <w:highlight w:val="none"/>
          <w:lang w:eastAsia="zh-CN"/>
        </w:rPr>
        <w:t>的及其</w:t>
      </w:r>
      <w:r>
        <w:rPr>
          <w:rFonts w:hint="eastAsia" w:ascii="宋体" w:hAnsi="宋体" w:eastAsia="宋体" w:cs="宋体"/>
          <w:color w:val="auto"/>
          <w:sz w:val="21"/>
          <w:szCs w:val="21"/>
          <w:highlight w:val="none"/>
          <w:u w:val="none"/>
          <w:lang w:val="en-US" w:eastAsia="zh-CN"/>
        </w:rPr>
        <w:t>技术要求和商务要求</w:t>
      </w:r>
      <w:r>
        <w:rPr>
          <w:rFonts w:hint="eastAsia" w:ascii="宋体" w:hAnsi="宋体" w:eastAsia="宋体" w:cs="宋体"/>
          <w:color w:val="auto"/>
          <w:sz w:val="21"/>
          <w:szCs w:val="21"/>
          <w:highlight w:val="none"/>
        </w:rPr>
        <w:t>、联合</w:t>
      </w:r>
      <w:r>
        <w:rPr>
          <w:rFonts w:hint="eastAsia" w:cs="宋体"/>
          <w:color w:val="auto"/>
          <w:sz w:val="21"/>
          <w:szCs w:val="21"/>
          <w:highlight w:val="none"/>
          <w:lang w:val="en-US" w:eastAsia="zh-CN"/>
        </w:rPr>
        <w:t>体</w:t>
      </w:r>
      <w:r>
        <w:rPr>
          <w:rFonts w:hint="eastAsia" w:ascii="宋体" w:hAnsi="宋体" w:eastAsia="宋体" w:cs="宋体"/>
          <w:color w:val="auto"/>
          <w:sz w:val="21"/>
          <w:szCs w:val="21"/>
          <w:highlight w:val="none"/>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等。</w:t>
      </w:r>
    </w:p>
    <w:p w14:paraId="0D129071">
      <w:pPr>
        <w:pStyle w:val="78"/>
        <w:rPr>
          <w:rFonts w:hint="eastAsia" w:ascii="宋体" w:hAnsi="宋体" w:eastAsia="宋体" w:cs="宋体"/>
          <w:color w:val="auto"/>
          <w:sz w:val="21"/>
          <w:szCs w:val="21"/>
          <w:highlight w:val="none"/>
        </w:rPr>
      </w:pPr>
    </w:p>
    <w:p w14:paraId="5CEC79C0">
      <w:pPr>
        <w:pStyle w:val="78"/>
        <w:rPr>
          <w:rFonts w:hint="eastAsia" w:ascii="宋体" w:hAnsi="宋体" w:eastAsia="宋体" w:cs="宋体"/>
          <w:color w:val="auto"/>
          <w:sz w:val="21"/>
          <w:szCs w:val="21"/>
          <w:highlight w:val="none"/>
        </w:rPr>
      </w:pPr>
    </w:p>
    <w:p w14:paraId="4FAD25FD">
      <w:pPr>
        <w:pStyle w:val="78"/>
        <w:rPr>
          <w:rFonts w:hint="eastAsia" w:ascii="宋体" w:hAnsi="宋体" w:eastAsia="宋体" w:cs="宋体"/>
          <w:color w:val="auto"/>
          <w:sz w:val="21"/>
          <w:szCs w:val="21"/>
          <w:highlight w:val="none"/>
        </w:rPr>
      </w:pPr>
    </w:p>
    <w:p w14:paraId="10A85BCA">
      <w:pPr>
        <w:pStyle w:val="78"/>
        <w:rPr>
          <w:rFonts w:hint="eastAsia" w:ascii="宋体" w:hAnsi="宋体" w:eastAsia="宋体" w:cs="宋体"/>
          <w:color w:val="auto"/>
          <w:sz w:val="21"/>
          <w:szCs w:val="21"/>
          <w:highlight w:val="none"/>
        </w:rPr>
      </w:pPr>
    </w:p>
    <w:p w14:paraId="75233267">
      <w:pPr>
        <w:pStyle w:val="78"/>
        <w:rPr>
          <w:rFonts w:hint="eastAsia" w:ascii="宋体" w:hAnsi="宋体" w:eastAsia="宋体" w:cs="宋体"/>
          <w:color w:val="auto"/>
          <w:sz w:val="21"/>
          <w:szCs w:val="21"/>
          <w:highlight w:val="none"/>
        </w:rPr>
      </w:pPr>
    </w:p>
    <w:p w14:paraId="5409D989">
      <w:pPr>
        <w:pStyle w:val="78"/>
        <w:rPr>
          <w:rFonts w:hint="eastAsia" w:ascii="宋体" w:hAnsi="宋体" w:eastAsia="宋体" w:cs="宋体"/>
          <w:color w:val="auto"/>
          <w:sz w:val="21"/>
          <w:szCs w:val="21"/>
          <w:highlight w:val="none"/>
        </w:rPr>
      </w:pPr>
    </w:p>
    <w:p w14:paraId="15B355E6">
      <w:pPr>
        <w:pStyle w:val="78"/>
        <w:rPr>
          <w:rFonts w:hint="eastAsia" w:ascii="宋体" w:hAnsi="宋体" w:eastAsia="宋体" w:cs="宋体"/>
          <w:color w:val="auto"/>
          <w:sz w:val="21"/>
          <w:szCs w:val="21"/>
          <w:highlight w:val="none"/>
        </w:rPr>
      </w:pPr>
    </w:p>
    <w:p w14:paraId="1BDFDC59">
      <w:pPr>
        <w:pStyle w:val="78"/>
        <w:rPr>
          <w:rFonts w:hint="eastAsia" w:ascii="宋体" w:hAnsi="宋体" w:eastAsia="宋体" w:cs="宋体"/>
          <w:color w:val="auto"/>
          <w:sz w:val="21"/>
          <w:szCs w:val="21"/>
          <w:highlight w:val="none"/>
        </w:rPr>
      </w:pPr>
    </w:p>
    <w:tbl>
      <w:tblPr>
        <w:tblStyle w:val="30"/>
        <w:tblW w:w="4868" w:type="pct"/>
        <w:tblInd w:w="10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45"/>
        <w:gridCol w:w="2053"/>
        <w:gridCol w:w="1978"/>
        <w:gridCol w:w="2121"/>
      </w:tblGrid>
      <w:tr w14:paraId="30EEA2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30" w:type="pct"/>
            <w:gridSpan w:val="2"/>
            <w:tcBorders>
              <w:bottom w:val="single" w:color="auto" w:sz="2" w:space="0"/>
              <w:right w:val="single" w:color="auto" w:sz="2" w:space="0"/>
            </w:tcBorders>
            <w:vAlign w:val="center"/>
          </w:tcPr>
          <w:p w14:paraId="122EEEC5">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tc>
        <w:tc>
          <w:tcPr>
            <w:tcW w:w="2469" w:type="pct"/>
            <w:gridSpan w:val="2"/>
            <w:tcBorders>
              <w:left w:val="single" w:color="auto" w:sz="2" w:space="0"/>
              <w:bottom w:val="single" w:color="auto" w:sz="2" w:space="0"/>
            </w:tcBorders>
            <w:vAlign w:val="center"/>
          </w:tcPr>
          <w:p w14:paraId="1ADB6644">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乙方（供应商）</w:t>
            </w:r>
          </w:p>
        </w:tc>
      </w:tr>
      <w:tr w14:paraId="73D34E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293" w:type="pct"/>
            <w:tcBorders>
              <w:top w:val="single" w:color="auto" w:sz="2" w:space="0"/>
              <w:bottom w:val="single" w:color="auto" w:sz="2" w:space="0"/>
              <w:right w:val="single" w:color="auto" w:sz="2" w:space="0"/>
            </w:tcBorders>
            <w:vAlign w:val="center"/>
          </w:tcPr>
          <w:p w14:paraId="2893D5B0">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236" w:type="pct"/>
            <w:tcBorders>
              <w:top w:val="single" w:color="auto" w:sz="2" w:space="0"/>
              <w:left w:val="single" w:color="auto" w:sz="2" w:space="0"/>
              <w:bottom w:val="single" w:color="auto" w:sz="2" w:space="0"/>
              <w:right w:val="single" w:color="auto" w:sz="2" w:space="0"/>
            </w:tcBorders>
            <w:vAlign w:val="center"/>
          </w:tcPr>
          <w:p w14:paraId="55E33E36">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0CD156FD">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277" w:type="pct"/>
            <w:tcBorders>
              <w:top w:val="single" w:color="auto" w:sz="2" w:space="0"/>
              <w:left w:val="single" w:color="auto" w:sz="2" w:space="0"/>
              <w:bottom w:val="single" w:color="auto" w:sz="2" w:space="0"/>
            </w:tcBorders>
            <w:vAlign w:val="center"/>
          </w:tcPr>
          <w:p w14:paraId="33BA3691">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1AF345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293" w:type="pct"/>
            <w:vMerge w:val="restart"/>
            <w:tcBorders>
              <w:top w:val="single" w:color="auto" w:sz="2" w:space="0"/>
              <w:right w:val="single" w:color="auto" w:sz="2" w:space="0"/>
            </w:tcBorders>
            <w:vAlign w:val="center"/>
          </w:tcPr>
          <w:p w14:paraId="36476D95">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13B8614E">
            <w:pPr>
              <w:adjustRightInd w:val="0"/>
              <w:snapToGrid w:val="0"/>
              <w:spacing w:line="300" w:lineRule="exact"/>
              <w:ind w:firstLine="100" w:firstLineChars="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236" w:type="pct"/>
            <w:vMerge w:val="restart"/>
            <w:tcBorders>
              <w:top w:val="single" w:color="auto" w:sz="2" w:space="0"/>
              <w:left w:val="single" w:color="auto" w:sz="2" w:space="0"/>
              <w:right w:val="single" w:color="auto" w:sz="2" w:space="0"/>
            </w:tcBorders>
            <w:vAlign w:val="center"/>
          </w:tcPr>
          <w:p w14:paraId="1898CF89">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right w:val="single" w:color="auto" w:sz="2" w:space="0"/>
            </w:tcBorders>
            <w:vAlign w:val="center"/>
          </w:tcPr>
          <w:p w14:paraId="5838F6CE">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7DCF0669">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277" w:type="pct"/>
            <w:tcBorders>
              <w:top w:val="single" w:color="auto" w:sz="2" w:space="0"/>
              <w:left w:val="single" w:color="auto" w:sz="2" w:space="0"/>
              <w:bottom w:val="single" w:color="auto" w:sz="2" w:space="0"/>
            </w:tcBorders>
            <w:vAlign w:val="center"/>
          </w:tcPr>
          <w:p w14:paraId="28DBBD99">
            <w:pPr>
              <w:adjustRightInd w:val="0"/>
              <w:snapToGrid w:val="0"/>
              <w:spacing w:line="300" w:lineRule="exact"/>
              <w:jc w:val="center"/>
              <w:rPr>
                <w:rFonts w:hint="eastAsia" w:ascii="宋体" w:hAnsi="宋体" w:eastAsia="宋体" w:cs="宋体"/>
                <w:color w:val="auto"/>
                <w:sz w:val="21"/>
                <w:szCs w:val="21"/>
                <w:highlight w:val="none"/>
              </w:rPr>
            </w:pPr>
          </w:p>
        </w:tc>
      </w:tr>
      <w:tr w14:paraId="73DF28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vMerge w:val="continue"/>
            <w:tcBorders>
              <w:bottom w:val="single" w:color="auto" w:sz="2" w:space="0"/>
              <w:right w:val="single" w:color="auto" w:sz="2" w:space="0"/>
            </w:tcBorders>
            <w:vAlign w:val="center"/>
          </w:tcPr>
          <w:p w14:paraId="79741DED">
            <w:pPr>
              <w:adjustRightInd w:val="0"/>
              <w:snapToGrid w:val="0"/>
              <w:spacing w:line="300" w:lineRule="exact"/>
              <w:jc w:val="center"/>
              <w:rPr>
                <w:rFonts w:hint="eastAsia" w:ascii="宋体" w:hAnsi="宋体" w:eastAsia="宋体" w:cs="宋体"/>
                <w:color w:val="auto"/>
                <w:sz w:val="21"/>
                <w:szCs w:val="21"/>
                <w:highlight w:val="none"/>
              </w:rPr>
            </w:pPr>
          </w:p>
        </w:tc>
        <w:tc>
          <w:tcPr>
            <w:tcW w:w="1236" w:type="pct"/>
            <w:vMerge w:val="continue"/>
            <w:tcBorders>
              <w:left w:val="single" w:color="auto" w:sz="2" w:space="0"/>
              <w:bottom w:val="single" w:color="auto" w:sz="2" w:space="0"/>
              <w:right w:val="single" w:color="auto" w:sz="2" w:space="0"/>
            </w:tcBorders>
            <w:vAlign w:val="center"/>
          </w:tcPr>
          <w:p w14:paraId="109C2527">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5999D7D6">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拥有者性别</w:t>
            </w:r>
          </w:p>
        </w:tc>
        <w:tc>
          <w:tcPr>
            <w:tcW w:w="1277" w:type="pct"/>
            <w:tcBorders>
              <w:top w:val="single" w:color="auto" w:sz="2" w:space="0"/>
              <w:left w:val="single" w:color="auto" w:sz="2" w:space="0"/>
              <w:bottom w:val="single" w:color="auto" w:sz="2" w:space="0"/>
            </w:tcBorders>
            <w:vAlign w:val="center"/>
          </w:tcPr>
          <w:p w14:paraId="4D49D8D4">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06DB70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4C781B48">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236" w:type="pct"/>
            <w:tcBorders>
              <w:top w:val="single" w:color="auto" w:sz="2" w:space="0"/>
              <w:left w:val="single" w:color="auto" w:sz="2" w:space="0"/>
              <w:bottom w:val="single" w:color="auto" w:sz="2" w:space="0"/>
              <w:right w:val="single" w:color="auto" w:sz="2" w:space="0"/>
            </w:tcBorders>
            <w:vAlign w:val="center"/>
          </w:tcPr>
          <w:p w14:paraId="2944E6ED">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7286588E">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277" w:type="pct"/>
            <w:tcBorders>
              <w:top w:val="single" w:color="auto" w:sz="2" w:space="0"/>
              <w:left w:val="single" w:color="auto" w:sz="2" w:space="0"/>
              <w:bottom w:val="single" w:color="auto" w:sz="2" w:space="0"/>
            </w:tcBorders>
            <w:vAlign w:val="center"/>
          </w:tcPr>
          <w:p w14:paraId="099028D8">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4298F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3BF37A91">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236" w:type="pct"/>
            <w:tcBorders>
              <w:top w:val="single" w:color="auto" w:sz="2" w:space="0"/>
              <w:left w:val="single" w:color="auto" w:sz="2" w:space="0"/>
              <w:bottom w:val="single" w:color="auto" w:sz="2" w:space="0"/>
              <w:right w:val="single" w:color="auto" w:sz="2" w:space="0"/>
            </w:tcBorders>
            <w:vAlign w:val="center"/>
          </w:tcPr>
          <w:p w14:paraId="21E566CF">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1D2D0DC3">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277" w:type="pct"/>
            <w:tcBorders>
              <w:top w:val="single" w:color="auto" w:sz="2" w:space="0"/>
              <w:left w:val="single" w:color="auto" w:sz="2" w:space="0"/>
              <w:bottom w:val="single" w:color="auto" w:sz="2" w:space="0"/>
            </w:tcBorders>
            <w:vAlign w:val="center"/>
          </w:tcPr>
          <w:p w14:paraId="1D856A85">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77E098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024CB895">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236" w:type="pct"/>
            <w:tcBorders>
              <w:top w:val="single" w:color="auto" w:sz="2" w:space="0"/>
              <w:left w:val="single" w:color="auto" w:sz="2" w:space="0"/>
              <w:bottom w:val="single" w:color="auto" w:sz="2" w:space="0"/>
              <w:right w:val="single" w:color="auto" w:sz="2" w:space="0"/>
            </w:tcBorders>
            <w:vAlign w:val="center"/>
          </w:tcPr>
          <w:p w14:paraId="4C498000">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7B4134DE">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277" w:type="pct"/>
            <w:tcBorders>
              <w:top w:val="single" w:color="auto" w:sz="2" w:space="0"/>
              <w:left w:val="single" w:color="auto" w:sz="2" w:space="0"/>
              <w:bottom w:val="single" w:color="auto" w:sz="2" w:space="0"/>
            </w:tcBorders>
            <w:vAlign w:val="center"/>
          </w:tcPr>
          <w:p w14:paraId="701C890C">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1179D0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6410AC1E">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通信地址</w:t>
            </w:r>
          </w:p>
        </w:tc>
        <w:tc>
          <w:tcPr>
            <w:tcW w:w="1236" w:type="pct"/>
            <w:tcBorders>
              <w:top w:val="single" w:color="auto" w:sz="2" w:space="0"/>
              <w:left w:val="single" w:color="auto" w:sz="2" w:space="0"/>
              <w:bottom w:val="single" w:color="auto" w:sz="2" w:space="0"/>
              <w:right w:val="single" w:color="auto" w:sz="2" w:space="0"/>
            </w:tcBorders>
            <w:vAlign w:val="center"/>
          </w:tcPr>
          <w:p w14:paraId="4A52DBDF">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161E99B8">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1277" w:type="pct"/>
            <w:tcBorders>
              <w:top w:val="single" w:color="auto" w:sz="2" w:space="0"/>
              <w:left w:val="single" w:color="auto" w:sz="2" w:space="0"/>
              <w:bottom w:val="single" w:color="auto" w:sz="2" w:space="0"/>
            </w:tcBorders>
            <w:vAlign w:val="center"/>
          </w:tcPr>
          <w:p w14:paraId="7733D880">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18397F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359FB791">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236" w:type="pct"/>
            <w:tcBorders>
              <w:top w:val="single" w:color="auto" w:sz="2" w:space="0"/>
              <w:left w:val="single" w:color="auto" w:sz="2" w:space="0"/>
              <w:bottom w:val="single" w:color="auto" w:sz="2" w:space="0"/>
              <w:right w:val="single" w:color="auto" w:sz="2" w:space="0"/>
            </w:tcBorders>
            <w:vAlign w:val="center"/>
          </w:tcPr>
          <w:p w14:paraId="694C6AF3">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00FEBFA1">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277" w:type="pct"/>
            <w:tcBorders>
              <w:top w:val="single" w:color="auto" w:sz="2" w:space="0"/>
              <w:left w:val="single" w:color="auto" w:sz="2" w:space="0"/>
              <w:bottom w:val="single" w:color="auto" w:sz="2" w:space="0"/>
            </w:tcBorders>
            <w:vAlign w:val="center"/>
          </w:tcPr>
          <w:p w14:paraId="70981218">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550E39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437B108A">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236" w:type="pct"/>
            <w:tcBorders>
              <w:top w:val="single" w:color="auto" w:sz="2" w:space="0"/>
              <w:left w:val="single" w:color="auto" w:sz="2" w:space="0"/>
              <w:bottom w:val="single" w:color="auto" w:sz="2" w:space="0"/>
              <w:right w:val="single" w:color="auto" w:sz="2" w:space="0"/>
            </w:tcBorders>
            <w:vAlign w:val="center"/>
          </w:tcPr>
          <w:p w14:paraId="1C96C6AF">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55B991CE">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277" w:type="pct"/>
            <w:tcBorders>
              <w:top w:val="single" w:color="auto" w:sz="2" w:space="0"/>
              <w:left w:val="single" w:color="auto" w:sz="2" w:space="0"/>
              <w:bottom w:val="single" w:color="auto" w:sz="2" w:space="0"/>
            </w:tcBorders>
            <w:vAlign w:val="center"/>
          </w:tcPr>
          <w:p w14:paraId="0DC85DC3">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0271A5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2F3AE2AD">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236" w:type="pct"/>
            <w:tcBorders>
              <w:top w:val="single" w:color="auto" w:sz="2" w:space="0"/>
              <w:left w:val="single" w:color="auto" w:sz="2" w:space="0"/>
              <w:bottom w:val="single" w:color="auto" w:sz="2" w:space="0"/>
              <w:right w:val="single" w:color="auto" w:sz="2" w:space="0"/>
            </w:tcBorders>
            <w:vAlign w:val="center"/>
          </w:tcPr>
          <w:p w14:paraId="179974F2">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0EBD6FBE">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277" w:type="pct"/>
            <w:tcBorders>
              <w:top w:val="single" w:color="auto" w:sz="2" w:space="0"/>
              <w:left w:val="single" w:color="auto" w:sz="2" w:space="0"/>
              <w:bottom w:val="single" w:color="auto" w:sz="2" w:space="0"/>
            </w:tcBorders>
            <w:vAlign w:val="center"/>
          </w:tcPr>
          <w:p w14:paraId="3663A1A2">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1E315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33AB1682">
            <w:pPr>
              <w:adjustRightInd w:val="0"/>
              <w:snapToGrid w:val="0"/>
              <w:spacing w:line="300" w:lineRule="exact"/>
              <w:jc w:val="center"/>
              <w:rPr>
                <w:rFonts w:hint="eastAsia" w:ascii="宋体" w:hAnsi="宋体" w:eastAsia="宋体" w:cs="宋体"/>
                <w:color w:val="auto"/>
                <w:sz w:val="21"/>
                <w:szCs w:val="21"/>
                <w:highlight w:val="none"/>
              </w:rPr>
            </w:pPr>
          </w:p>
        </w:tc>
        <w:tc>
          <w:tcPr>
            <w:tcW w:w="1236" w:type="pct"/>
            <w:tcBorders>
              <w:top w:val="single" w:color="auto" w:sz="2" w:space="0"/>
              <w:left w:val="single" w:color="auto" w:sz="2" w:space="0"/>
              <w:bottom w:val="single" w:color="auto" w:sz="2" w:space="0"/>
              <w:right w:val="single" w:color="auto" w:sz="2" w:space="0"/>
            </w:tcBorders>
            <w:vAlign w:val="center"/>
          </w:tcPr>
          <w:p w14:paraId="704563A5">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3E23BC3A">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1277" w:type="pct"/>
            <w:tcBorders>
              <w:top w:val="single" w:color="auto" w:sz="2" w:space="0"/>
              <w:left w:val="single" w:color="auto" w:sz="2" w:space="0"/>
              <w:bottom w:val="single" w:color="auto" w:sz="2" w:space="0"/>
            </w:tcBorders>
            <w:vAlign w:val="center"/>
          </w:tcPr>
          <w:p w14:paraId="6E184549">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3F5912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7EDA1AFE">
            <w:pPr>
              <w:adjustRightInd w:val="0"/>
              <w:snapToGrid w:val="0"/>
              <w:spacing w:line="300" w:lineRule="exact"/>
              <w:jc w:val="center"/>
              <w:rPr>
                <w:rFonts w:hint="eastAsia" w:ascii="宋体" w:hAnsi="宋体" w:eastAsia="宋体" w:cs="宋体"/>
                <w:color w:val="auto"/>
                <w:sz w:val="21"/>
                <w:szCs w:val="21"/>
                <w:highlight w:val="none"/>
              </w:rPr>
            </w:pPr>
          </w:p>
        </w:tc>
        <w:tc>
          <w:tcPr>
            <w:tcW w:w="1236" w:type="pct"/>
            <w:tcBorders>
              <w:top w:val="single" w:color="auto" w:sz="2" w:space="0"/>
              <w:left w:val="single" w:color="auto" w:sz="2" w:space="0"/>
              <w:bottom w:val="single" w:color="auto" w:sz="2" w:space="0"/>
              <w:right w:val="single" w:color="auto" w:sz="2" w:space="0"/>
            </w:tcBorders>
            <w:vAlign w:val="center"/>
          </w:tcPr>
          <w:p w14:paraId="7ABB2AC7">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35806D87">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277" w:type="pct"/>
            <w:tcBorders>
              <w:top w:val="single" w:color="auto" w:sz="2" w:space="0"/>
              <w:left w:val="single" w:color="auto" w:sz="2" w:space="0"/>
              <w:bottom w:val="single" w:color="auto" w:sz="2" w:space="0"/>
            </w:tcBorders>
            <w:vAlign w:val="center"/>
          </w:tcPr>
          <w:p w14:paraId="740EC35E">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77429C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68178CC3">
            <w:pPr>
              <w:adjustRightInd w:val="0"/>
              <w:snapToGrid w:val="0"/>
              <w:spacing w:line="300" w:lineRule="exact"/>
              <w:jc w:val="center"/>
              <w:rPr>
                <w:rFonts w:hint="eastAsia" w:ascii="宋体" w:hAnsi="宋体" w:eastAsia="宋体" w:cs="宋体"/>
                <w:color w:val="auto"/>
                <w:sz w:val="21"/>
                <w:szCs w:val="21"/>
                <w:highlight w:val="none"/>
              </w:rPr>
            </w:pPr>
          </w:p>
        </w:tc>
        <w:tc>
          <w:tcPr>
            <w:tcW w:w="1236" w:type="pct"/>
            <w:tcBorders>
              <w:top w:val="single" w:color="auto" w:sz="2" w:space="0"/>
              <w:left w:val="single" w:color="auto" w:sz="2" w:space="0"/>
              <w:bottom w:val="single" w:color="auto" w:sz="2" w:space="0"/>
              <w:right w:val="single" w:color="auto" w:sz="2" w:space="0"/>
            </w:tcBorders>
            <w:vAlign w:val="center"/>
          </w:tcPr>
          <w:p w14:paraId="5607259C">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68B30708">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1277" w:type="pct"/>
            <w:tcBorders>
              <w:top w:val="single" w:color="auto" w:sz="2" w:space="0"/>
              <w:left w:val="single" w:color="auto" w:sz="2" w:space="0"/>
              <w:bottom w:val="single" w:color="auto" w:sz="2" w:space="0"/>
            </w:tcBorders>
            <w:vAlign w:val="center"/>
          </w:tcPr>
          <w:p w14:paraId="48E686BC">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94FCC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3BA60FE">
            <w:pPr>
              <w:pStyle w:val="14"/>
              <w:adjustRightInd w:val="0"/>
              <w:snapToGrid w:val="0"/>
              <w:spacing w:before="156" w:beforeLines="50" w:after="0" w:line="360" w:lineRule="auto"/>
              <w:ind w:left="0" w:leftChars="0"/>
              <w:jc w:val="left"/>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14:paraId="4938941A">
      <w:pPr>
        <w:pStyle w:val="3"/>
        <w:keepNext/>
        <w:keepLines/>
        <w:pageBreakBefore w:val="0"/>
        <w:widowControl w:val="0"/>
        <w:kinsoku/>
        <w:wordWrap/>
        <w:overflowPunct/>
        <w:topLinePunct w:val="0"/>
        <w:autoSpaceDE/>
        <w:autoSpaceDN/>
        <w:bidi w:val="0"/>
        <w:adjustRightInd w:val="0"/>
        <w:snapToGrid w:val="0"/>
        <w:spacing w:before="156" w:beforeLines="50" w:after="157" w:afterLines="5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color w:val="auto"/>
          <w:sz w:val="21"/>
          <w:szCs w:val="21"/>
          <w:highlight w:val="none"/>
          <w:u w:val="single"/>
        </w:rPr>
        <w:br w:type="page"/>
      </w:r>
      <w:bookmarkStart w:id="599" w:name="_Toc24273"/>
      <w:bookmarkStart w:id="600" w:name="_Toc27624"/>
      <w:r>
        <w:rPr>
          <w:rFonts w:hint="eastAsia" w:ascii="宋体" w:hAnsi="宋体" w:eastAsia="宋体" w:cs="宋体"/>
          <w:b/>
          <w:bCs/>
          <w:color w:val="auto"/>
          <w:sz w:val="36"/>
          <w:szCs w:val="36"/>
          <w:highlight w:val="none"/>
        </w:rPr>
        <w:t>第二节 政府采购合同通用条款</w:t>
      </w:r>
      <w:bookmarkEnd w:id="599"/>
      <w:bookmarkEnd w:id="600"/>
    </w:p>
    <w:p w14:paraId="04059302">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rPr>
        <w:t>定义</w:t>
      </w:r>
    </w:p>
    <w:p w14:paraId="1EA126D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1.1合同当事人</w:t>
      </w:r>
    </w:p>
    <w:p w14:paraId="1B278EF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4A104EE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方）是指参加政府采购活动并且中标（成交），向采购人提供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4087E70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auto"/>
          <w:sz w:val="21"/>
          <w:szCs w:val="21"/>
          <w:highlight w:val="none"/>
        </w:rPr>
        <w:t>依法参与合同缔结或履行，享有权利、承担义务的合同当事人</w:t>
      </w:r>
      <w:r>
        <w:rPr>
          <w:rFonts w:hint="eastAsia" w:ascii="宋体" w:hAnsi="宋体" w:eastAsia="宋体" w:cs="宋体"/>
          <w:color w:val="auto"/>
          <w:sz w:val="21"/>
          <w:szCs w:val="21"/>
          <w:highlight w:val="none"/>
        </w:rPr>
        <w:t>。</w:t>
      </w:r>
    </w:p>
    <w:p w14:paraId="0DBF17D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7A7C9AB5">
      <w:pPr>
        <w:adjustRightInd w:val="0"/>
        <w:snapToGrid w:val="0"/>
        <w:spacing w:before="0" w:before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auto"/>
          <w:sz w:val="21"/>
          <w:szCs w:val="21"/>
          <w:highlight w:val="none"/>
        </w:rPr>
        <w:t>合同当事人意思表示达成一致的任何协议，包括签署的</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政府采购合同专用条款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政府采购合同通用条款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有关技术文件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图纸</w:t>
      </w:r>
      <w:r>
        <w:rPr>
          <w:rFonts w:hint="eastAsia" w:ascii="宋体" w:hAnsi="宋体" w:eastAsia="宋体" w:cs="宋体"/>
          <w:color w:val="auto"/>
          <w:sz w:val="21"/>
          <w:szCs w:val="21"/>
          <w:highlight w:val="none"/>
          <w:lang w:eastAsia="zh-CN"/>
        </w:rPr>
        <w:t>，以及国家法律、行政法规和规章制度规定或合同约定的作为合同组成部分的其他文件</w:t>
      </w:r>
      <w:r>
        <w:rPr>
          <w:rFonts w:hint="eastAsia" w:ascii="宋体" w:hAnsi="宋体" w:eastAsia="宋体" w:cs="宋体"/>
          <w:color w:val="auto"/>
          <w:sz w:val="21"/>
          <w:szCs w:val="21"/>
          <w:highlight w:val="none"/>
        </w:rPr>
        <w:t>。</w:t>
      </w:r>
    </w:p>
    <w:p w14:paraId="6E703C0F">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09C60E06">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技术资料和材料</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p>
    <w:p w14:paraId="18749100">
      <w:pPr>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服务”系指根据合同规定，乙方应提供的</w:t>
      </w:r>
      <w:r>
        <w:rPr>
          <w:rFonts w:hint="eastAsia" w:ascii="宋体" w:hAnsi="宋体" w:eastAsia="宋体" w:cs="宋体"/>
          <w:color w:val="auto"/>
          <w:sz w:val="21"/>
          <w:szCs w:val="21"/>
          <w:highlight w:val="none"/>
          <w:lang w:val="en-US" w:eastAsia="zh-CN"/>
        </w:rPr>
        <w:t>与货物有关的</w:t>
      </w:r>
      <w:r>
        <w:rPr>
          <w:rFonts w:hint="eastAsia" w:ascii="宋体" w:hAnsi="宋体" w:eastAsia="宋体" w:cs="宋体"/>
          <w:color w:val="auto"/>
          <w:sz w:val="21"/>
          <w:szCs w:val="21"/>
          <w:highlight w:val="none"/>
        </w:rPr>
        <w:t>技术、管理和</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服务，包括但不限于：管理和质量保证、运输、保险、检验、现场准备、安装、集成、调试、培训、维修、</w:t>
      </w:r>
      <w:r>
        <w:rPr>
          <w:rFonts w:hint="eastAsia" w:ascii="宋体" w:hAnsi="宋体" w:eastAsia="宋体" w:cs="宋体"/>
          <w:color w:val="auto"/>
          <w:sz w:val="21"/>
          <w:szCs w:val="21"/>
          <w:highlight w:val="none"/>
          <w:lang w:eastAsia="zh-CN"/>
        </w:rPr>
        <w:t>废弃处置、</w:t>
      </w:r>
      <w:r>
        <w:rPr>
          <w:rFonts w:hint="eastAsia" w:ascii="宋体" w:hAnsi="宋体" w:eastAsia="宋体" w:cs="宋体"/>
          <w:color w:val="auto"/>
          <w:sz w:val="21"/>
          <w:szCs w:val="21"/>
          <w:highlight w:val="none"/>
        </w:rPr>
        <w:t>技术支持等以及合同中规定乙方应承担的</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义务。</w:t>
      </w:r>
    </w:p>
    <w:p w14:paraId="60403AB0">
      <w:pPr>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）“分包”系指中标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供应商按采购文件、投标（响应）文件的规定，根据分包意向协议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，将中标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项目中的部分履约内容，分给具有相应资质条件的供应商履行合同的行为。</w:t>
      </w:r>
    </w:p>
    <w:p w14:paraId="4287798A">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）“联合体”系指</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两个以上的自然人、法人或者</w:t>
      </w:r>
      <w:r>
        <w:rPr>
          <w:rFonts w:hint="eastAsia" w:ascii="宋体" w:hAnsi="宋体" w:eastAsia="宋体" w:cs="宋体"/>
          <w:color w:val="auto"/>
          <w:sz w:val="21"/>
          <w:szCs w:val="21"/>
          <w:highlight w:val="none"/>
          <w:lang w:val="en-US" w:eastAsia="zh-CN"/>
        </w:rPr>
        <w:t>非法人</w:t>
      </w:r>
      <w:r>
        <w:rPr>
          <w:rFonts w:hint="eastAsia" w:ascii="宋体" w:hAnsi="宋体" w:eastAsia="宋体" w:cs="宋体"/>
          <w:color w:val="auto"/>
          <w:sz w:val="21"/>
          <w:szCs w:val="21"/>
          <w:highlight w:val="none"/>
        </w:rPr>
        <w:t>组织组成，</w:t>
      </w:r>
      <w:r>
        <w:rPr>
          <w:rFonts w:hint="eastAsia" w:ascii="宋体" w:hAnsi="宋体" w:eastAsia="宋体" w:cs="宋体"/>
          <w:color w:val="auto"/>
          <w:sz w:val="21"/>
          <w:szCs w:val="21"/>
          <w:highlight w:val="none"/>
          <w:lang w:eastAsia="zh-CN"/>
        </w:rPr>
        <w:t>以一个供应商的身份共同参加政府采购的主体。</w:t>
      </w:r>
      <w:r>
        <w:rPr>
          <w:rFonts w:hint="eastAsia" w:ascii="宋体" w:hAnsi="宋体" w:eastAsia="宋体" w:cs="宋体"/>
          <w:color w:val="auto"/>
          <w:sz w:val="21"/>
          <w:szCs w:val="21"/>
          <w:highlight w:val="none"/>
        </w:rPr>
        <w:t>联合体各方应在签订合同协议书前向甲方提交联合</w:t>
      </w:r>
      <w:r>
        <w:rPr>
          <w:rFonts w:hint="eastAsia" w:cs="宋体"/>
          <w:color w:val="auto"/>
          <w:sz w:val="21"/>
          <w:szCs w:val="21"/>
          <w:highlight w:val="none"/>
          <w:lang w:val="en-US" w:eastAsia="zh-CN"/>
        </w:rPr>
        <w:t>体</w:t>
      </w:r>
      <w:r>
        <w:rPr>
          <w:rFonts w:hint="eastAsia" w:ascii="宋体" w:hAnsi="宋体" w:eastAsia="宋体" w:cs="宋体"/>
          <w:color w:val="auto"/>
          <w:sz w:val="21"/>
          <w:szCs w:val="21"/>
          <w:highlight w:val="none"/>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，且明确牵头人及各成员单位的工作分工、权利、义务、责任，联合体各方应共同与甲方签订合同，就合同约定的事项对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承担连带责任。联合体具体要求见【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100463E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）其他术语解释，见【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2671A925">
      <w:pPr>
        <w:numPr>
          <w:ilvl w:val="0"/>
          <w:numId w:val="8"/>
        </w:num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合同标的及金额</w:t>
      </w:r>
    </w:p>
    <w:p w14:paraId="518EE407">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.1 合同标的及金额应与中标（成交）结果一致。乙方为履行本合同而发生的所有费用均应包含在合同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中，甲方不再另行支付</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任何费用。</w:t>
      </w:r>
    </w:p>
    <w:p w14:paraId="49B81678">
      <w:pPr>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履行合同的时间、地点和方式</w:t>
      </w:r>
    </w:p>
    <w:p w14:paraId="41F3C04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乙方应当在约定的时间、地点</w:t>
      </w:r>
      <w:r>
        <w:rPr>
          <w:rFonts w:hint="eastAsia" w:ascii="宋体" w:hAnsi="宋体" w:eastAsia="宋体" w:cs="宋体"/>
          <w:color w:val="auto"/>
          <w:sz w:val="21"/>
          <w:szCs w:val="21"/>
          <w:highlight w:val="none"/>
          <w:lang w:eastAsia="zh-CN"/>
        </w:rPr>
        <w:t>，按照约定</w:t>
      </w:r>
      <w:r>
        <w:rPr>
          <w:rFonts w:hint="eastAsia" w:ascii="宋体" w:hAnsi="宋体" w:eastAsia="宋体" w:cs="宋体"/>
          <w:color w:val="auto"/>
          <w:sz w:val="21"/>
          <w:szCs w:val="21"/>
          <w:highlight w:val="none"/>
        </w:rPr>
        <w:t>方式履行合同。</w:t>
      </w:r>
    </w:p>
    <w:p w14:paraId="2BA5AAC4">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甲方的权利和义务</w:t>
      </w:r>
    </w:p>
    <w:p w14:paraId="5036A58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签署合同后，甲方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，负责与本合同有关的事务。甲方有权对乙方的履约行为进行检查，并及时确认乙方提交的事项。甲方应当配合乙方完成相关项目实施工作。</w:t>
      </w:r>
    </w:p>
    <w:p w14:paraId="2725626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.2 甲方有权要求乙方按时提交各阶段有关安排计划，并有权定期核对乙方提供货物数量、规格、质量等内容。甲方有权督促乙方工作并要求乙方更换不符合要求的货物。</w:t>
      </w:r>
    </w:p>
    <w:p w14:paraId="0A7B80A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.3 甲方有权要求乙方对缺陷部分予以修复，并按合同约定享有货物保修及其他合同约定的权利。</w:t>
      </w:r>
    </w:p>
    <w:p w14:paraId="1436C60C">
      <w:pPr>
        <w:snapToGrid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甲方应当按照合同约定及时对交付的货物进行验收，</w:t>
      </w:r>
      <w:r>
        <w:rPr>
          <w:rFonts w:hint="eastAsia" w:ascii="宋体" w:hAnsi="宋体" w:eastAsia="宋体" w:cs="宋体"/>
          <w:b w:val="0"/>
          <w:bCs w:val="0"/>
          <w:color w:val="auto"/>
          <w:sz w:val="21"/>
          <w:szCs w:val="21"/>
          <w:highlight w:val="none"/>
          <w:lang w:eastAsia="zh-CN"/>
        </w:rPr>
        <w:t>未</w:t>
      </w:r>
      <w:r>
        <w:rPr>
          <w:rFonts w:hint="eastAsia" w:ascii="宋体" w:hAnsi="宋体" w:eastAsia="宋体" w:cs="宋体"/>
          <w:color w:val="auto"/>
          <w:sz w:val="21"/>
          <w:szCs w:val="21"/>
          <w:highlight w:val="none"/>
          <w:lang w:val="en-US" w:eastAsia="zh-CN"/>
        </w:rPr>
        <w:t>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约定的期限内对乙方履约提出任何异议或者向乙方作出任何说明的，</w:t>
      </w:r>
      <w:r>
        <w:rPr>
          <w:rFonts w:hint="eastAsia" w:ascii="宋体" w:hAnsi="宋体" w:eastAsia="宋体" w:cs="宋体"/>
          <w:color w:val="auto"/>
          <w:sz w:val="21"/>
          <w:szCs w:val="21"/>
          <w:highlight w:val="none"/>
          <w:lang w:val="en-US" w:eastAsia="zh-CN"/>
        </w:rPr>
        <w:t>视为验收通过。</w:t>
      </w:r>
    </w:p>
    <w:p w14:paraId="5BD30BF8">
      <w:pPr>
        <w:autoSpaceDE w:val="0"/>
        <w:autoSpaceDN w:val="0"/>
        <w:adjustRightInd w:val="0"/>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甲方应当根据合同约定</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时向乙方支付</w:t>
      </w:r>
      <w:r>
        <w:rPr>
          <w:rFonts w:hint="eastAsia" w:ascii="宋体" w:hAnsi="宋体" w:eastAsia="宋体" w:cs="宋体"/>
          <w:color w:val="auto"/>
          <w:sz w:val="21"/>
          <w:szCs w:val="21"/>
          <w:highlight w:val="none"/>
          <w:lang w:eastAsia="zh-CN"/>
        </w:rPr>
        <w:t>合同价款，不得以内部人员变更、履行内部付款流程等为由，拒绝或迟延支付。</w:t>
      </w:r>
    </w:p>
    <w:p w14:paraId="00EFC63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约定应</w:t>
      </w:r>
      <w:r>
        <w:rPr>
          <w:rFonts w:hint="eastAsia" w:ascii="宋体" w:hAnsi="宋体" w:eastAsia="宋体" w:cs="宋体"/>
          <w:color w:val="auto"/>
          <w:sz w:val="21"/>
          <w:szCs w:val="21"/>
          <w:highlight w:val="none"/>
        </w:rPr>
        <w:t>由甲方承担的其他义务和责任。</w:t>
      </w:r>
    </w:p>
    <w:p w14:paraId="5FF83E7D">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乙方的权利和义务</w:t>
      </w:r>
    </w:p>
    <w:p w14:paraId="40807E9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.1 签署合同后，乙方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w:t>
      </w:r>
    </w:p>
    <w:p w14:paraId="5994D8F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.2 乙方应按照合同要求履约，充分合理安排，确保提供的货物</w:t>
      </w:r>
      <w:r>
        <w:rPr>
          <w:rFonts w:hint="eastAsia" w:ascii="宋体" w:hAnsi="宋体" w:eastAsia="宋体" w:cs="宋体"/>
          <w:color w:val="auto"/>
          <w:sz w:val="21"/>
          <w:szCs w:val="21"/>
          <w:highlight w:val="none"/>
          <w:lang w:eastAsia="zh-CN"/>
        </w:rPr>
        <w:t>及相关</w:t>
      </w:r>
      <w:r>
        <w:rPr>
          <w:rFonts w:hint="eastAsia" w:ascii="宋体" w:hAnsi="宋体" w:eastAsia="宋体" w:cs="宋体"/>
          <w:color w:val="auto"/>
          <w:sz w:val="21"/>
          <w:szCs w:val="21"/>
          <w:highlight w:val="none"/>
        </w:rPr>
        <w:t>服务符合合同</w:t>
      </w:r>
      <w:r>
        <w:rPr>
          <w:rFonts w:hint="eastAsia" w:ascii="宋体" w:hAnsi="宋体" w:eastAsia="宋体" w:cs="宋体"/>
          <w:color w:val="auto"/>
          <w:sz w:val="21"/>
          <w:szCs w:val="21"/>
          <w:highlight w:val="none"/>
          <w:lang w:eastAsia="zh-CN"/>
        </w:rPr>
        <w:t>有关</w:t>
      </w:r>
      <w:r>
        <w:rPr>
          <w:rFonts w:hint="eastAsia" w:ascii="宋体" w:hAnsi="宋体" w:eastAsia="宋体" w:cs="宋体"/>
          <w:color w:val="auto"/>
          <w:sz w:val="21"/>
          <w:szCs w:val="21"/>
          <w:highlight w:val="none"/>
        </w:rPr>
        <w:t>要求。接受项目行业管理部门及政府有关部门的指导，配合甲方的履约检查</w:t>
      </w:r>
      <w:r>
        <w:rPr>
          <w:rFonts w:hint="eastAsia" w:ascii="宋体" w:hAnsi="宋体" w:eastAsia="宋体" w:cs="宋体"/>
          <w:color w:val="auto"/>
          <w:sz w:val="21"/>
          <w:szCs w:val="21"/>
          <w:highlight w:val="none"/>
          <w:lang w:eastAsia="zh-CN"/>
        </w:rPr>
        <w:t>及验收</w:t>
      </w:r>
      <w:r>
        <w:rPr>
          <w:rFonts w:hint="eastAsia" w:ascii="宋体" w:hAnsi="宋体" w:eastAsia="宋体" w:cs="宋体"/>
          <w:color w:val="auto"/>
          <w:sz w:val="21"/>
          <w:szCs w:val="21"/>
          <w:highlight w:val="none"/>
        </w:rPr>
        <w:t>，并负责项目实施过程中的所有协调工作。</w:t>
      </w:r>
    </w:p>
    <w:p w14:paraId="5DEB800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5.3乙方有权根据合同约定向甲方收取合同价款。</w:t>
      </w:r>
    </w:p>
    <w:p w14:paraId="508BC06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5.4国家法律法规规定及</w:t>
      </w:r>
      <w:r>
        <w:rPr>
          <w:rFonts w:hint="eastAsia" w:ascii="宋体" w:hAnsi="宋体" w:eastAsia="宋体" w:cs="宋体"/>
          <w:b/>
          <w:bCs/>
          <w:color w:val="auto"/>
          <w:sz w:val="21"/>
          <w:szCs w:val="21"/>
          <w:highlight w:val="none"/>
          <w:lang w:eastAsia="zh-CN"/>
        </w:rPr>
        <w:t>【政府采购合同专用条款】</w:t>
      </w:r>
      <w:r>
        <w:rPr>
          <w:rFonts w:hint="eastAsia" w:ascii="宋体" w:hAnsi="宋体" w:eastAsia="宋体" w:cs="宋体"/>
          <w:color w:val="auto"/>
          <w:sz w:val="21"/>
          <w:szCs w:val="21"/>
          <w:highlight w:val="none"/>
          <w:lang w:eastAsia="zh-CN"/>
        </w:rPr>
        <w:t>约定应由乙方承担的其他义务和责任。</w:t>
      </w:r>
    </w:p>
    <w:p w14:paraId="2D4D98A1">
      <w:pPr>
        <w:numPr>
          <w:ilvl w:val="0"/>
          <w:numId w:val="9"/>
        </w:num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合同履</w:t>
      </w:r>
      <w:r>
        <w:rPr>
          <w:rFonts w:hint="eastAsia" w:ascii="宋体" w:hAnsi="宋体" w:eastAsia="宋体" w:cs="宋体"/>
          <w:b/>
          <w:bCs/>
          <w:color w:val="auto"/>
          <w:sz w:val="21"/>
          <w:szCs w:val="21"/>
          <w:highlight w:val="none"/>
          <w:lang w:val="en-US" w:eastAsia="zh-CN"/>
        </w:rPr>
        <w:t>行</w:t>
      </w:r>
    </w:p>
    <w:p w14:paraId="23888F1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.1 甲乙双方应当按照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约定顺序履行合同义务；如果没有先后顺序的，应当同时履行。</w:t>
      </w:r>
    </w:p>
    <w:p w14:paraId="3443A7A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6FDCDA6B">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货物包装、运输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保险</w:t>
      </w:r>
      <w:r>
        <w:rPr>
          <w:rFonts w:hint="eastAsia" w:ascii="宋体" w:hAnsi="宋体" w:eastAsia="宋体" w:cs="宋体"/>
          <w:b/>
          <w:bCs/>
          <w:color w:val="auto"/>
          <w:sz w:val="21"/>
          <w:szCs w:val="21"/>
          <w:highlight w:val="none"/>
          <w:lang w:eastAsia="zh-CN"/>
        </w:rPr>
        <w:t>和交付</w:t>
      </w:r>
      <w:r>
        <w:rPr>
          <w:rFonts w:hint="eastAsia" w:ascii="宋体" w:hAnsi="宋体" w:eastAsia="宋体" w:cs="宋体"/>
          <w:b/>
          <w:bCs/>
          <w:color w:val="auto"/>
          <w:sz w:val="21"/>
          <w:szCs w:val="21"/>
          <w:highlight w:val="none"/>
        </w:rPr>
        <w:t>要求</w:t>
      </w:r>
    </w:p>
    <w:p w14:paraId="64BDD4A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.1 本合同</w:t>
      </w:r>
      <w:r>
        <w:rPr>
          <w:rFonts w:hint="eastAsia" w:ascii="宋体" w:hAnsi="宋体" w:eastAsia="宋体" w:cs="宋体"/>
          <w:bCs/>
          <w:color w:val="auto"/>
          <w:sz w:val="21"/>
          <w:szCs w:val="21"/>
          <w:highlight w:val="none"/>
        </w:rPr>
        <w:t>涉及商品包装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快递包装的，</w:t>
      </w:r>
      <w:r>
        <w:rPr>
          <w:rFonts w:hint="eastAsia" w:ascii="宋体" w:hAnsi="宋体" w:eastAsia="宋体" w:cs="宋体"/>
          <w:color w:val="auto"/>
          <w:sz w:val="21"/>
          <w:szCs w:val="21"/>
          <w:highlight w:val="none"/>
        </w:rPr>
        <w:t>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包装应适应远距离运输、防潮、防震、防锈和防野蛮装卸等要求，确保货物安全无损地运抵</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约定的</w:t>
      </w:r>
      <w:r>
        <w:rPr>
          <w:rFonts w:hint="eastAsia" w:ascii="宋体" w:hAnsi="宋体" w:eastAsia="宋体" w:cs="宋体"/>
          <w:color w:val="auto"/>
          <w:sz w:val="21"/>
          <w:szCs w:val="21"/>
          <w:highlight w:val="none"/>
        </w:rPr>
        <w:t>指定现场。</w:t>
      </w:r>
    </w:p>
    <w:p w14:paraId="00DED015">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 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乙方负责办理将货物运抵本合同规定的交货地点</w:t>
      </w:r>
      <w:r>
        <w:rPr>
          <w:rFonts w:hint="eastAsia" w:ascii="宋体" w:hAnsi="宋体" w:eastAsia="宋体" w:cs="宋体"/>
          <w:color w:val="auto"/>
          <w:sz w:val="21"/>
          <w:szCs w:val="21"/>
          <w:highlight w:val="none"/>
          <w:lang w:eastAsia="zh-CN"/>
        </w:rPr>
        <w:t>，并装卸、交付至甲方</w:t>
      </w:r>
      <w:r>
        <w:rPr>
          <w:rFonts w:hint="eastAsia" w:ascii="宋体" w:hAnsi="宋体" w:eastAsia="宋体" w:cs="宋体"/>
          <w:color w:val="auto"/>
          <w:sz w:val="21"/>
          <w:szCs w:val="21"/>
          <w:highlight w:val="none"/>
        </w:rPr>
        <w:t>的一切运输事项，相关费用应</w:t>
      </w:r>
      <w:r>
        <w:rPr>
          <w:rFonts w:hint="eastAsia" w:ascii="宋体" w:hAnsi="宋体" w:eastAsia="宋体" w:cs="宋体"/>
          <w:color w:val="auto"/>
          <w:sz w:val="21"/>
          <w:szCs w:val="21"/>
          <w:highlight w:val="none"/>
          <w:lang w:eastAsia="zh-CN"/>
        </w:rPr>
        <w:t>包含</w:t>
      </w:r>
      <w:r>
        <w:rPr>
          <w:rFonts w:hint="eastAsia" w:ascii="宋体" w:hAnsi="宋体" w:eastAsia="宋体" w:cs="宋体"/>
          <w:color w:val="auto"/>
          <w:sz w:val="21"/>
          <w:szCs w:val="21"/>
          <w:highlight w:val="none"/>
        </w:rPr>
        <w:t>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w:t>
      </w:r>
    </w:p>
    <w:p w14:paraId="6EA7B5BC">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 货物保险要求按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规定执行</w:t>
      </w:r>
      <w:r>
        <w:rPr>
          <w:rFonts w:hint="eastAsia" w:ascii="宋体" w:hAnsi="宋体" w:eastAsia="宋体" w:cs="宋体"/>
          <w:color w:val="auto"/>
          <w:sz w:val="21"/>
          <w:szCs w:val="21"/>
          <w:highlight w:val="none"/>
        </w:rPr>
        <w:t>。</w:t>
      </w:r>
    </w:p>
    <w:p w14:paraId="648BE1C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val="en-US" w:eastAsia="zh-CN"/>
        </w:rPr>
        <w:t>除采购活动</w:t>
      </w:r>
      <w:r>
        <w:rPr>
          <w:rFonts w:hint="eastAsia" w:ascii="宋体" w:hAnsi="宋体" w:eastAsia="宋体" w:cs="宋体"/>
          <w:color w:val="auto"/>
          <w:sz w:val="21"/>
          <w:szCs w:val="21"/>
          <w:highlight w:val="none"/>
        </w:rPr>
        <w:t>对商品包装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w:t>
      </w:r>
      <w:r>
        <w:rPr>
          <w:rFonts w:hint="eastAsia" w:ascii="宋体" w:hAnsi="宋体" w:eastAsia="宋体" w:cs="宋体"/>
          <w:color w:val="auto"/>
          <w:sz w:val="21"/>
          <w:szCs w:val="21"/>
          <w:highlight w:val="none"/>
          <w:lang w:val="en-US" w:eastAsia="zh-CN"/>
        </w:rPr>
        <w:t>达成具体约定外</w:t>
      </w:r>
      <w:r>
        <w:rPr>
          <w:rFonts w:hint="eastAsia" w:ascii="宋体" w:hAnsi="宋体" w:eastAsia="宋体" w:cs="宋体"/>
          <w:color w:val="auto"/>
          <w:sz w:val="21"/>
          <w:szCs w:val="21"/>
          <w:highlight w:val="none"/>
        </w:rPr>
        <w:t>，乙方提供产品及相关快递服务</w:t>
      </w:r>
      <w:r>
        <w:rPr>
          <w:rFonts w:hint="eastAsia" w:ascii="宋体" w:hAnsi="宋体" w:eastAsia="宋体" w:cs="宋体"/>
          <w:color w:val="auto"/>
          <w:sz w:val="21"/>
          <w:szCs w:val="21"/>
          <w:highlight w:val="none"/>
          <w:lang w:val="en-US" w:eastAsia="zh-CN"/>
        </w:rPr>
        <w:t>涉及到</w:t>
      </w:r>
      <w:r>
        <w:rPr>
          <w:rFonts w:hint="eastAsia" w:ascii="宋体" w:hAnsi="宋体" w:eastAsia="宋体" w:cs="宋体"/>
          <w:color w:val="auto"/>
          <w:sz w:val="21"/>
          <w:szCs w:val="21"/>
          <w:highlight w:val="none"/>
        </w:rPr>
        <w:t>具体包装要求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，并作为履约验收的内容，必要时甲方可以要求乙方在履约验收环节出具检测报告。</w:t>
      </w:r>
    </w:p>
    <w:p w14:paraId="4515374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7.5 </w:t>
      </w:r>
      <w:r>
        <w:rPr>
          <w:rFonts w:hint="eastAsia" w:ascii="宋体" w:hAnsi="宋体" w:eastAsia="宋体" w:cs="宋体"/>
          <w:color w:val="auto"/>
          <w:sz w:val="21"/>
          <w:szCs w:val="21"/>
          <w:highlight w:val="none"/>
        </w:rPr>
        <w:t>乙方在运输到达之前</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提前通知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，并提示货物运输装卸的注意事项</w:t>
      </w:r>
      <w:r>
        <w:rPr>
          <w:rFonts w:hint="eastAsia" w:ascii="宋体" w:hAnsi="宋体" w:eastAsia="宋体" w:cs="宋体"/>
          <w:color w:val="auto"/>
          <w:sz w:val="21"/>
          <w:szCs w:val="21"/>
          <w:highlight w:val="none"/>
          <w:lang w:eastAsia="zh-CN"/>
        </w:rPr>
        <w:t>，甲方配合乙方做好货物的接收工作。</w:t>
      </w:r>
    </w:p>
    <w:p w14:paraId="0444A18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 如因包装、运输问题导致货物损毁、丢失或者品质下降，甲方有权要求降价、换货、拒收部分或整批货物，由此产生的费用和损失，均由乙方承担。</w:t>
      </w:r>
    </w:p>
    <w:p w14:paraId="34E309DD">
      <w:pPr>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8</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质量标准和保证</w:t>
      </w:r>
    </w:p>
    <w:p w14:paraId="7B1679E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 质量标准</w:t>
      </w:r>
    </w:p>
    <w:p w14:paraId="6738522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合同约</w:t>
      </w:r>
      <w:r>
        <w:rPr>
          <w:rFonts w:hint="eastAsia" w:ascii="宋体" w:hAnsi="宋体" w:eastAsia="宋体" w:cs="宋体"/>
          <w:color w:val="auto"/>
          <w:sz w:val="21"/>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08D66C60">
      <w:pPr>
        <w:pStyle w:val="17"/>
        <w:adjustRightInd w:val="0"/>
        <w:snapToGrid w:val="0"/>
        <w:spacing w:before="0"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（2）采用中华人民共和国法定计量单位。</w:t>
      </w:r>
    </w:p>
    <w:p w14:paraId="2960FA6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7D7DFC4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7CE2FA5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38428A1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1"/>
          <w:szCs w:val="21"/>
          <w:highlight w:val="none"/>
          <w:lang w:eastAsia="zh-CN"/>
        </w:rPr>
        <w:t>备合同约定</w:t>
      </w:r>
      <w:r>
        <w:rPr>
          <w:rFonts w:hint="eastAsia" w:ascii="宋体" w:hAnsi="宋体" w:eastAsia="宋体" w:cs="宋体"/>
          <w:color w:val="auto"/>
          <w:sz w:val="21"/>
          <w:szCs w:val="21"/>
          <w:highlight w:val="none"/>
        </w:rPr>
        <w:t>的性能。</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1C3269A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7003483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规定的响应时间内以合理的速度免费维修或更换有缺陷的货物或部件。</w:t>
      </w:r>
    </w:p>
    <w:p w14:paraId="7092578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auto"/>
          <w:sz w:val="21"/>
          <w:szCs w:val="21"/>
          <w:highlight w:val="none"/>
          <w:lang w:eastAsia="zh-CN"/>
        </w:rPr>
        <w:t>追究</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的违约责任</w:t>
      </w:r>
      <w:r>
        <w:rPr>
          <w:rFonts w:hint="eastAsia" w:ascii="宋体" w:hAnsi="宋体" w:eastAsia="宋体" w:cs="宋体"/>
          <w:color w:val="auto"/>
          <w:sz w:val="21"/>
          <w:szCs w:val="21"/>
          <w:highlight w:val="none"/>
        </w:rPr>
        <w:t>。</w:t>
      </w:r>
    </w:p>
    <w:p w14:paraId="47BD646C">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3ABE3F30">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权利瑕疵担保</w:t>
      </w:r>
    </w:p>
    <w:p w14:paraId="3AF250E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.1 乙方保证对其出售的货物享有合法的权利。</w:t>
      </w:r>
    </w:p>
    <w:p w14:paraId="3EF7082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.2 乙方保证在交付的货物上不存在抵押权等担保物权。</w:t>
      </w:r>
    </w:p>
    <w:p w14:paraId="523ED87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.3 如甲方使用</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rPr>
        <w:t>货物构成</w:t>
      </w:r>
      <w:r>
        <w:rPr>
          <w:rFonts w:hint="eastAsia" w:ascii="宋体" w:hAnsi="宋体" w:eastAsia="宋体" w:cs="宋体"/>
          <w:color w:val="auto"/>
          <w:sz w:val="21"/>
          <w:szCs w:val="21"/>
          <w:highlight w:val="none"/>
          <w:lang w:val="en-US" w:eastAsia="zh-CN"/>
        </w:rPr>
        <w:t>对第三人</w:t>
      </w:r>
      <w:r>
        <w:rPr>
          <w:rFonts w:hint="eastAsia" w:ascii="宋体" w:hAnsi="宋体" w:eastAsia="宋体" w:cs="宋体"/>
          <w:color w:val="auto"/>
          <w:sz w:val="21"/>
          <w:szCs w:val="21"/>
          <w:highlight w:val="none"/>
        </w:rPr>
        <w:t>侵权的，则由乙方承担全部责任。</w:t>
      </w:r>
    </w:p>
    <w:p w14:paraId="0B2C947F">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知识产权保护</w:t>
      </w:r>
    </w:p>
    <w:p w14:paraId="6BEBA90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.1 乙方对其所销售的货物应当享有知识产权或经权利人合法授权，保证没有侵犯任何第三人的知识产权等权利。</w:t>
      </w:r>
      <w:bookmarkStart w:id="601" w:name="_Hlk163047038"/>
      <w:r>
        <w:rPr>
          <w:rFonts w:hint="eastAsia" w:ascii="宋体" w:hAnsi="宋体" w:eastAsia="宋体" w:cs="宋体"/>
          <w:color w:val="auto"/>
          <w:sz w:val="21"/>
          <w:szCs w:val="21"/>
          <w:highlight w:val="none"/>
        </w:rPr>
        <w:t>因违反前述约定对第三人构成侵权的，应当由乙方向第三人承担法律责任；甲方依法向第三人赔偿后，有权向乙方追偿。甲方有其他损失的，乙方应当赔偿</w:t>
      </w:r>
      <w:bookmarkEnd w:id="601"/>
      <w:r>
        <w:rPr>
          <w:rFonts w:hint="eastAsia" w:ascii="宋体" w:hAnsi="宋体" w:eastAsia="宋体" w:cs="宋体"/>
          <w:color w:val="auto"/>
          <w:sz w:val="21"/>
          <w:szCs w:val="21"/>
          <w:highlight w:val="none"/>
        </w:rPr>
        <w:t>。</w:t>
      </w:r>
    </w:p>
    <w:p w14:paraId="285A4656">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p>
    <w:p w14:paraId="14983EC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 </w:t>
      </w:r>
      <w:r>
        <w:rPr>
          <w:rFonts w:hint="eastAsia" w:ascii="宋体" w:hAnsi="宋体" w:eastAsia="宋体" w:cs="宋体"/>
          <w:color w:val="auto"/>
          <w:sz w:val="21"/>
          <w:szCs w:val="21"/>
          <w:highlight w:val="none"/>
        </w:rPr>
        <w:t>甲、乙双方</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采购和合同履行过程中所获悉的</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商业秘密或者其他应当保密的信息，均有保密义务</w:t>
      </w:r>
      <w:r>
        <w:rPr>
          <w:rFonts w:hint="eastAsia" w:ascii="宋体" w:hAnsi="宋体" w:eastAsia="宋体" w:cs="宋体"/>
          <w:color w:val="auto"/>
          <w:sz w:val="21"/>
          <w:szCs w:val="21"/>
          <w:highlight w:val="none"/>
          <w:lang w:eastAsia="zh-CN"/>
        </w:rPr>
        <w:t>且不受合同有效期所限，直至该信息成为公开信息</w:t>
      </w:r>
      <w:r>
        <w:rPr>
          <w:rFonts w:hint="eastAsia" w:ascii="宋体" w:hAnsi="宋体" w:eastAsia="宋体" w:cs="宋体"/>
          <w:color w:val="auto"/>
          <w:sz w:val="21"/>
          <w:szCs w:val="21"/>
          <w:highlight w:val="none"/>
        </w:rPr>
        <w:t>。泄露、不正当地使用</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w:t>
      </w:r>
      <w:r>
        <w:rPr>
          <w:rFonts w:hint="eastAsia" w:ascii="宋体" w:hAnsi="宋体" w:eastAsia="宋体" w:cs="宋体"/>
          <w:color w:val="auto"/>
          <w:sz w:val="21"/>
          <w:szCs w:val="21"/>
          <w:highlight w:val="none"/>
          <w:lang w:eastAsia="zh-CN"/>
        </w:rPr>
        <w:t>其他应当保密的</w:t>
      </w:r>
      <w:r>
        <w:rPr>
          <w:rFonts w:hint="eastAsia" w:ascii="宋体" w:hAnsi="宋体" w:eastAsia="宋体" w:cs="宋体"/>
          <w:color w:val="auto"/>
          <w:sz w:val="21"/>
          <w:szCs w:val="21"/>
          <w:highlight w:val="none"/>
        </w:rPr>
        <w:t>信息，应当承担</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责任。其他应当保密的信息由双方在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中约定。</w:t>
      </w:r>
    </w:p>
    <w:p w14:paraId="4357F417">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p>
    <w:p w14:paraId="5F0D06E6">
      <w:pPr>
        <w:autoSpaceDE/>
        <w:autoSpaceDN/>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10A930D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12.2 对于满足合同约定支付条件的，甲方原则上应当自收到发票后10个工作日内将资</w:t>
      </w:r>
      <w:r>
        <w:rPr>
          <w:rFonts w:hint="eastAsia" w:ascii="宋体" w:hAnsi="宋体" w:eastAsia="宋体" w:cs="宋体"/>
          <w:color w:val="auto"/>
          <w:sz w:val="21"/>
          <w:szCs w:val="21"/>
          <w:highlight w:val="none"/>
        </w:rPr>
        <w:t>金支付到合同约定的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账户，不得以机构变动、人员更替、政策调整等为由迟延付款，不得将采购文件和合同中未规定的义务作为向</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付款的条件。具体合同价款支付时间在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rPr>
        <w:t>定。</w:t>
      </w:r>
    </w:p>
    <w:p w14:paraId="75F87D91">
      <w:pPr>
        <w:pStyle w:val="13"/>
        <w:spacing w:after="0"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p>
    <w:p w14:paraId="7A856DB3">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乙方应当以支票、汇票、本票或者金融机构、担保机构出具的保函等非现金形式提交。</w:t>
      </w:r>
    </w:p>
    <w:p w14:paraId="0AC21C23">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.2 如果乙方</w:t>
      </w:r>
      <w:r>
        <w:rPr>
          <w:rFonts w:hint="eastAsia" w:ascii="宋体" w:hAnsi="宋体" w:eastAsia="宋体" w:cs="宋体"/>
          <w:color w:val="auto"/>
          <w:sz w:val="21"/>
          <w:szCs w:val="21"/>
          <w:highlight w:val="none"/>
          <w:lang w:eastAsia="zh-CN"/>
        </w:rPr>
        <w:t>出现</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约定情形的</w:t>
      </w:r>
      <w:r>
        <w:rPr>
          <w:rFonts w:hint="eastAsia" w:ascii="宋体" w:hAnsi="宋体" w:eastAsia="宋体" w:cs="宋体"/>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不影响甲方要求乙方承担合同约定的超过履约保证金的违约责任的权利。</w:t>
      </w:r>
    </w:p>
    <w:p w14:paraId="3E3A5073">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.3 甲方在项目通过验收后按照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规定的时间内将履约保证金退还乙方；逾期退还的，乙方可要求甲方支付违约金，违约金按照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规定支付。</w:t>
      </w:r>
    </w:p>
    <w:p w14:paraId="5C52840D">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p>
    <w:p w14:paraId="0DBFA9B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32A34A3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4D1AC4A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7F66AE2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3C583C4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color w:val="auto"/>
          <w:sz w:val="21"/>
          <w:szCs w:val="21"/>
          <w:highlight w:val="none"/>
          <w:lang w:eastAsia="zh-CN"/>
        </w:rPr>
        <w:t>；</w:t>
      </w:r>
    </w:p>
    <w:p w14:paraId="3C45C3C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2B45129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5E62DA2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49E78840">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1BB91689">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45E147D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3B3A2F81">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4D6C303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590DD4E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3E573CC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3ED807C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7371855D">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152936FF">
      <w:pPr>
        <w:numPr>
          <w:ilvl w:val="0"/>
          <w:numId w:val="10"/>
        </w:num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p>
    <w:p w14:paraId="28C474DB">
      <w:pPr>
        <w:autoSpaceDE/>
        <w:autoSpaceDN/>
        <w:adjustRightInd w:val="0"/>
        <w:snapToGrid w:val="0"/>
        <w:spacing w:before="0"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019E611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23532E82">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合同的中止</w:t>
      </w:r>
    </w:p>
    <w:p w14:paraId="6730C3F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（1）合同履行过程中因供应商就采购文件、采购过程或结果提起投诉的，甲方认为有必要的，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706E465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以书面形式通知乙方中止合同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5CD80FD9">
      <w:pPr>
        <w:pStyle w:val="36"/>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3BCAED40">
      <w:pPr>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）甲方不得以行政区划调整、政府换届、机构或者职能调整以及相关责任人更替为由中止合同。</w:t>
      </w:r>
    </w:p>
    <w:p w14:paraId="56F1AC42">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3848BAD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2AF06312">
      <w:pPr>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并追究乙方的违约责</w:t>
      </w:r>
      <w:r>
        <w:rPr>
          <w:rFonts w:hint="eastAsia" w:ascii="宋体" w:hAnsi="宋体" w:eastAsia="宋体" w:cs="宋体"/>
          <w:color w:val="auto"/>
          <w:sz w:val="21"/>
          <w:szCs w:val="21"/>
          <w:highlight w:val="none"/>
          <w:lang w:val="en-US" w:eastAsia="zh-CN"/>
        </w:rPr>
        <w:t>任</w:t>
      </w:r>
      <w:r>
        <w:rPr>
          <w:rFonts w:hint="eastAsia" w:ascii="宋体" w:hAnsi="宋体" w:eastAsia="宋体" w:cs="宋体"/>
          <w:color w:val="auto"/>
          <w:sz w:val="21"/>
          <w:szCs w:val="21"/>
          <w:highlight w:val="none"/>
        </w:rPr>
        <w:t>。</w:t>
      </w:r>
    </w:p>
    <w:p w14:paraId="3F0ADFC8">
      <w:pPr>
        <w:pStyle w:val="36"/>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16.4 涉及国家利益、社会公共利益的情形</w:t>
      </w:r>
    </w:p>
    <w:p w14:paraId="15580053">
      <w:pPr>
        <w:pStyle w:val="36"/>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5C2AA675">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p>
    <w:p w14:paraId="4EF8423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根据采购文件和投标（响应）文件规定进行</w:t>
      </w:r>
      <w:r>
        <w:rPr>
          <w:rFonts w:hint="eastAsia" w:ascii="宋体" w:hAnsi="宋体" w:eastAsia="宋体" w:cs="宋体"/>
          <w:color w:val="auto"/>
          <w:sz w:val="21"/>
          <w:szCs w:val="21"/>
          <w:highlight w:val="none"/>
        </w:rPr>
        <w:t>合同分包。</w:t>
      </w:r>
    </w:p>
    <w:p w14:paraId="19F9856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乙方应当按采购文件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属于本合同组成部分。</w:t>
      </w:r>
    </w:p>
    <w:p w14:paraId="6E9E40FB">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p>
    <w:p w14:paraId="3A0D10E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7334AEE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5B43D4C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1ACB0169">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p>
    <w:p w14:paraId="4268DE9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.1 因本合同及合同有关事项发生的争议，由甲乙双方友好协商解决。协商不成时，可以向有关组织申请调解。合同一方或双方不愿调解或调解不成的，可以通过仲裁或诉讼的方式解决争议。</w:t>
      </w:r>
    </w:p>
    <w:p w14:paraId="414115B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19.2 选择仲裁的，应在</w:t>
      </w:r>
      <w:r>
        <w:rPr>
          <w:rFonts w:hint="eastAsia" w:ascii="宋体" w:hAnsi="宋体" w:eastAsia="宋体" w:cs="宋体"/>
          <w:b/>
          <w:bCs/>
          <w:color w:val="auto"/>
          <w:sz w:val="21"/>
          <w:szCs w:val="21"/>
          <w:highlight w:val="none"/>
          <w:lang w:val="en-US" w:eastAsia="zh-CN"/>
        </w:rPr>
        <w:t>【政府采购合同专用条款】</w:t>
      </w:r>
      <w:r>
        <w:rPr>
          <w:rFonts w:hint="eastAsia" w:ascii="宋体" w:hAnsi="宋体" w:eastAsia="宋体" w:cs="宋体"/>
          <w:color w:val="auto"/>
          <w:sz w:val="21"/>
          <w:szCs w:val="21"/>
          <w:highlight w:val="none"/>
          <w:lang w:val="en-US" w:eastAsia="zh-CN"/>
        </w:rPr>
        <w:t>中明确仲裁机构及仲裁地；通过诉讼方式解决的，可以在</w:t>
      </w:r>
      <w:r>
        <w:rPr>
          <w:rFonts w:hint="eastAsia" w:ascii="宋体" w:hAnsi="宋体" w:eastAsia="宋体" w:cs="宋体"/>
          <w:b/>
          <w:bCs/>
          <w:color w:val="auto"/>
          <w:sz w:val="21"/>
          <w:szCs w:val="21"/>
          <w:highlight w:val="none"/>
          <w:lang w:val="en-US" w:eastAsia="zh-CN"/>
        </w:rPr>
        <w:t>【政府采购合同专用条款】</w:t>
      </w:r>
      <w:r>
        <w:rPr>
          <w:rFonts w:hint="eastAsia" w:ascii="宋体" w:hAnsi="宋体" w:eastAsia="宋体" w:cs="宋体"/>
          <w:color w:val="auto"/>
          <w:sz w:val="21"/>
          <w:szCs w:val="21"/>
          <w:highlight w:val="none"/>
          <w:lang w:val="en-US" w:eastAsia="zh-CN"/>
        </w:rPr>
        <w:t>中进一步约定选择与争议有实际联系的地点的人民法院管辖，但管辖法院的约定不得违反级别管辖和专属管辖的规定。</w:t>
      </w:r>
    </w:p>
    <w:p w14:paraId="404A2EB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19.3 如甲乙双方有争议的事项不影响合同其他部分的履行，在争议解决期间，合同其他部分应当继续履行。</w:t>
      </w:r>
    </w:p>
    <w:p w14:paraId="1EE4C3A5">
      <w:pPr>
        <w:autoSpaceDE w:val="0"/>
        <w:autoSpaceDN w:val="0"/>
        <w:adjustRightInd w:val="0"/>
        <w:snapToGrid w:val="0"/>
        <w:spacing w:before="0" w:line="400" w:lineRule="exact"/>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p>
    <w:p w14:paraId="5E7E62B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color w:val="auto"/>
          <w:sz w:val="21"/>
          <w:szCs w:val="21"/>
          <w:highlight w:val="none"/>
          <w:lang w:val="en-GB"/>
        </w:rPr>
        <w:t>本合同应当按照规定执行政府采购政策。</w:t>
      </w:r>
    </w:p>
    <w:p w14:paraId="078691A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lang w:val="en-GB"/>
        </w:rPr>
        <w:t>未按规定要求执行政府采购政策造成损失的</w:t>
      </w:r>
      <w:r>
        <w:rPr>
          <w:rFonts w:hint="eastAsia" w:ascii="宋体" w:hAnsi="宋体" w:eastAsia="宋体" w:cs="宋体"/>
          <w:color w:val="auto"/>
          <w:sz w:val="21"/>
          <w:szCs w:val="21"/>
          <w:highlight w:val="none"/>
        </w:rPr>
        <w:t>，有过错的一方应当承</w:t>
      </w:r>
      <w:r>
        <w:rPr>
          <w:rFonts w:hint="eastAsia" w:ascii="宋体" w:hAnsi="宋体" w:eastAsia="宋体" w:cs="宋体"/>
          <w:color w:val="auto"/>
          <w:sz w:val="21"/>
          <w:szCs w:val="21"/>
          <w:highlight w:val="none"/>
          <w:lang w:val="en-US" w:eastAsia="zh-CN"/>
        </w:rPr>
        <w:t>担赔偿责任，双方都有过错的，各自承担相应的责任。</w:t>
      </w:r>
    </w:p>
    <w:p w14:paraId="15F6DED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w:t>
      </w:r>
      <w:r>
        <w:rPr>
          <w:rFonts w:hint="eastAsia" w:cs="宋体"/>
          <w:color w:val="auto"/>
          <w:sz w:val="21"/>
          <w:szCs w:val="21"/>
          <w:highlight w:val="none"/>
          <w:lang w:val="en-US" w:eastAsia="zh-CN"/>
        </w:rPr>
        <w:t>体</w:t>
      </w:r>
      <w:r>
        <w:rPr>
          <w:rFonts w:hint="eastAsia" w:ascii="宋体" w:hAnsi="宋体" w:eastAsia="宋体" w:cs="宋体"/>
          <w:color w:val="auto"/>
          <w:sz w:val="21"/>
          <w:szCs w:val="21"/>
          <w:highlight w:val="none"/>
          <w:lang w:val="en-US" w:eastAsia="zh-CN"/>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lang w:val="en-US" w:eastAsia="zh-CN"/>
        </w:rPr>
        <w:t>或者分包意向协议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lang w:val="en-US" w:eastAsia="zh-CN"/>
        </w:rPr>
        <w:t>作为采购合同的组成部分。</w:t>
      </w:r>
    </w:p>
    <w:p w14:paraId="4DDDC0EC">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p>
    <w:p w14:paraId="77D8A65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 本合同的订立、生效、解释、履行及与本合同有关的争议解决，均适用法律、行政法规。</w:t>
      </w:r>
    </w:p>
    <w:p w14:paraId="0781C6D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 本合同条款与法律、行政法规的强制性规定不一致的，双方当事人应按照法律、行政法规的强制性规定修改本合同的相关条款。</w:t>
      </w:r>
    </w:p>
    <w:p w14:paraId="4D96B473">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p>
    <w:p w14:paraId="02B583B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 本合同任何一方向对方发出的通知、信件、数据电文等，应当发送至本合同第一部分《政府采购合同协议书》所约定的通讯地址、联系人、联系电话或电子邮箱。</w:t>
      </w:r>
    </w:p>
    <w:p w14:paraId="62217161">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 一方当事人变更名称、住所、联系人、联系电话或电子邮箱等信息的，应当在变更后3日内及时书面通知对方，对方实际收到变更通知前的送达仍为有效送达。</w:t>
      </w:r>
    </w:p>
    <w:p w14:paraId="6F20297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22.3本合同一方给另一方的通知均应采用书面形式，传真或快递送到本合</w:t>
      </w:r>
      <w:r>
        <w:rPr>
          <w:rFonts w:hint="eastAsia" w:ascii="宋体" w:hAnsi="宋体" w:eastAsia="宋体" w:cs="宋体"/>
          <w:color w:val="auto"/>
          <w:sz w:val="21"/>
          <w:szCs w:val="21"/>
          <w:highlight w:val="none"/>
        </w:rPr>
        <w:t>同中规定的对方的地址和办理签收手续。</w:t>
      </w:r>
    </w:p>
    <w:p w14:paraId="4579FC6E">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4A5EC7F9">
      <w:pPr>
        <w:numPr>
          <w:ilvl w:val="0"/>
          <w:numId w:val="11"/>
        </w:num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合同未尽事项</w:t>
      </w:r>
    </w:p>
    <w:p w14:paraId="1776E49F">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332543E9">
      <w:pPr>
        <w:adjustRightInd w:val="0"/>
        <w:snapToGrid w:val="0"/>
        <w:spacing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 xml:space="preserve">    23.2 合同附件与合同正文具有同等的法律效力。</w:t>
      </w:r>
      <w:bookmarkStart w:id="602" w:name="_Toc20313"/>
    </w:p>
    <w:p w14:paraId="7C5346BC">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3F5074B6">
      <w:pPr>
        <w:pStyle w:val="3"/>
        <w:keepNext/>
        <w:keepLines/>
        <w:pageBreakBefore w:val="0"/>
        <w:widowControl w:val="0"/>
        <w:kinsoku/>
        <w:wordWrap/>
        <w:overflowPunct/>
        <w:topLinePunct w:val="0"/>
        <w:autoSpaceDE/>
        <w:autoSpaceDN/>
        <w:bidi w:val="0"/>
        <w:adjustRightInd w:val="0"/>
        <w:snapToGrid w:val="0"/>
        <w:spacing w:before="156" w:beforeLines="50" w:after="157" w:afterLines="50" w:line="240" w:lineRule="auto"/>
        <w:jc w:val="center"/>
        <w:textAlignment w:val="auto"/>
        <w:rPr>
          <w:rFonts w:hint="eastAsia" w:ascii="宋体" w:hAnsi="宋体" w:eastAsia="宋体" w:cs="宋体"/>
          <w:b/>
          <w:bCs/>
          <w:color w:val="auto"/>
          <w:sz w:val="36"/>
          <w:szCs w:val="36"/>
          <w:highlight w:val="none"/>
        </w:rPr>
      </w:pPr>
      <w:bookmarkStart w:id="603" w:name="_Toc17556"/>
      <w:r>
        <w:rPr>
          <w:rFonts w:hint="eastAsia" w:ascii="宋体" w:hAnsi="宋体" w:eastAsia="宋体" w:cs="宋体"/>
          <w:b/>
          <w:bCs/>
          <w:color w:val="auto"/>
          <w:sz w:val="36"/>
          <w:szCs w:val="36"/>
          <w:highlight w:val="none"/>
        </w:rPr>
        <w:t>第三节 政府采购合同专用条款</w:t>
      </w:r>
      <w:bookmarkEnd w:id="602"/>
      <w:bookmarkEnd w:id="603"/>
    </w:p>
    <w:tbl>
      <w:tblPr>
        <w:tblStyle w:val="30"/>
        <w:tblW w:w="8256" w:type="dxa"/>
        <w:tblInd w:w="27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7"/>
        <w:gridCol w:w="2233"/>
        <w:gridCol w:w="4316"/>
      </w:tblGrid>
      <w:tr w14:paraId="26750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2DB7081F">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0EADDA0F">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2233" w:type="dxa"/>
            <w:vAlign w:val="center"/>
          </w:tcPr>
          <w:p w14:paraId="5FE396F1">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4316" w:type="dxa"/>
            <w:vAlign w:val="center"/>
          </w:tcPr>
          <w:p w14:paraId="0CAEE7E4">
            <w:pPr>
              <w:adjustRightInd w:val="0"/>
              <w:snapToGrid w:val="0"/>
              <w:jc w:val="left"/>
              <w:rPr>
                <w:rFonts w:ascii="宋体" w:hAnsi="宋体"/>
                <w:color w:val="auto"/>
                <w:szCs w:val="21"/>
                <w:highlight w:val="none"/>
              </w:rPr>
            </w:pPr>
          </w:p>
        </w:tc>
      </w:tr>
      <w:tr w14:paraId="02A6B4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707" w:type="dxa"/>
            <w:vAlign w:val="center"/>
          </w:tcPr>
          <w:p w14:paraId="173F44F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4098608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2233" w:type="dxa"/>
            <w:vAlign w:val="center"/>
          </w:tcPr>
          <w:p w14:paraId="2ECD481F">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4316" w:type="dxa"/>
            <w:vAlign w:val="center"/>
          </w:tcPr>
          <w:p w14:paraId="0BD8D8FD">
            <w:pPr>
              <w:adjustRightInd w:val="0"/>
              <w:snapToGrid w:val="0"/>
              <w:jc w:val="left"/>
              <w:rPr>
                <w:rFonts w:ascii="宋体" w:hAnsi="宋体" w:eastAsia="宋体" w:cs="Times New Roman"/>
                <w:color w:val="auto"/>
                <w:kern w:val="2"/>
                <w:sz w:val="21"/>
                <w:szCs w:val="21"/>
                <w:highlight w:val="none"/>
                <w:lang w:val="en-US" w:eastAsia="zh-CN" w:bidi="ar-SA"/>
              </w:rPr>
            </w:pPr>
          </w:p>
        </w:tc>
      </w:tr>
      <w:tr w14:paraId="2FFA10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53AB415E">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1E31FC3E">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2233" w:type="dxa"/>
            <w:vAlign w:val="center"/>
          </w:tcPr>
          <w:p w14:paraId="4F86094C">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4316" w:type="dxa"/>
            <w:vAlign w:val="center"/>
          </w:tcPr>
          <w:p w14:paraId="237B690C">
            <w:pPr>
              <w:adjustRightInd w:val="0"/>
              <w:snapToGrid w:val="0"/>
              <w:jc w:val="left"/>
              <w:rPr>
                <w:rFonts w:ascii="宋体" w:hAnsi="宋体" w:eastAsia="宋体" w:cs="Times New Roman"/>
                <w:color w:val="auto"/>
                <w:kern w:val="2"/>
                <w:sz w:val="21"/>
                <w:szCs w:val="21"/>
                <w:highlight w:val="none"/>
                <w:lang w:val="en-US" w:eastAsia="zh-CN" w:bidi="ar-SA"/>
              </w:rPr>
            </w:pPr>
          </w:p>
        </w:tc>
      </w:tr>
      <w:tr w14:paraId="632152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7A9DB471">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675BCC2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2233" w:type="dxa"/>
            <w:vAlign w:val="center"/>
          </w:tcPr>
          <w:p w14:paraId="5DF6184D">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4316" w:type="dxa"/>
            <w:vAlign w:val="center"/>
          </w:tcPr>
          <w:p w14:paraId="5B558C36">
            <w:pPr>
              <w:adjustRightInd w:val="0"/>
              <w:snapToGrid w:val="0"/>
              <w:jc w:val="left"/>
              <w:rPr>
                <w:rFonts w:ascii="宋体" w:hAnsi="宋体" w:eastAsia="宋体" w:cs="Times New Roman"/>
                <w:color w:val="auto"/>
                <w:kern w:val="2"/>
                <w:sz w:val="21"/>
                <w:szCs w:val="21"/>
                <w:highlight w:val="none"/>
                <w:lang w:val="en-US" w:eastAsia="zh-CN" w:bidi="ar-SA"/>
              </w:rPr>
            </w:pPr>
          </w:p>
        </w:tc>
      </w:tr>
      <w:tr w14:paraId="58E922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1FC7872C">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0599EE97">
            <w:pPr>
              <w:keepNext w:val="0"/>
              <w:keepLines w:val="0"/>
              <w:pageBreakBefore w:val="0"/>
              <w:kinsoku/>
              <w:wordWrap/>
              <w:overflowPunct/>
              <w:topLinePunct w:val="0"/>
              <w:bidi w:val="0"/>
              <w:snapToGrid w:val="0"/>
              <w:spacing w:line="240" w:lineRule="auto"/>
              <w:jc w:val="center"/>
              <w:textAlignment w:val="auto"/>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2233" w:type="dxa"/>
            <w:vAlign w:val="center"/>
          </w:tcPr>
          <w:p w14:paraId="4D94B515">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4316" w:type="dxa"/>
            <w:vAlign w:val="center"/>
          </w:tcPr>
          <w:p w14:paraId="1EEA1A78">
            <w:pPr>
              <w:adjustRightInd w:val="0"/>
              <w:snapToGrid w:val="0"/>
              <w:jc w:val="left"/>
              <w:rPr>
                <w:rFonts w:ascii="宋体" w:hAnsi="宋体" w:eastAsia="宋体" w:cs="Times New Roman"/>
                <w:color w:val="auto"/>
                <w:kern w:val="2"/>
                <w:sz w:val="21"/>
                <w:szCs w:val="21"/>
                <w:highlight w:val="none"/>
                <w:lang w:val="en-US" w:eastAsia="zh-CN" w:bidi="ar-SA"/>
              </w:rPr>
            </w:pPr>
          </w:p>
        </w:tc>
      </w:tr>
      <w:tr w14:paraId="2B538E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532FAE6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17183B86">
            <w:pPr>
              <w:keepNext w:val="0"/>
              <w:keepLines w:val="0"/>
              <w:pageBreakBefore w:val="0"/>
              <w:kinsoku/>
              <w:wordWrap/>
              <w:overflowPunct/>
              <w:topLinePunct w:val="0"/>
              <w:bidi w:val="0"/>
              <w:snapToGrid w:val="0"/>
              <w:spacing w:line="240" w:lineRule="auto"/>
              <w:jc w:val="center"/>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2233" w:type="dxa"/>
            <w:vAlign w:val="center"/>
          </w:tcPr>
          <w:p w14:paraId="62601F39">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4316" w:type="dxa"/>
            <w:vAlign w:val="center"/>
          </w:tcPr>
          <w:p w14:paraId="7410CCA4">
            <w:pPr>
              <w:adjustRightInd w:val="0"/>
              <w:snapToGrid w:val="0"/>
              <w:jc w:val="left"/>
              <w:rPr>
                <w:rFonts w:ascii="宋体" w:hAnsi="宋体" w:eastAsia="宋体" w:cs="Times New Roman"/>
                <w:color w:val="auto"/>
                <w:kern w:val="2"/>
                <w:sz w:val="21"/>
                <w:szCs w:val="21"/>
                <w:highlight w:val="none"/>
                <w:lang w:val="en-US" w:eastAsia="zh-CN" w:bidi="ar-SA"/>
              </w:rPr>
            </w:pPr>
          </w:p>
        </w:tc>
      </w:tr>
      <w:tr w14:paraId="32A44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07" w:type="dxa"/>
            <w:vMerge w:val="restart"/>
            <w:vAlign w:val="center"/>
          </w:tcPr>
          <w:p w14:paraId="15DF615B">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6881C52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2233" w:type="dxa"/>
            <w:vAlign w:val="center"/>
          </w:tcPr>
          <w:p w14:paraId="00425EE9">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4316" w:type="dxa"/>
            <w:vAlign w:val="center"/>
          </w:tcPr>
          <w:p w14:paraId="3694B338">
            <w:pPr>
              <w:rPr>
                <w:color w:val="auto"/>
                <w:highlight w:val="none"/>
              </w:rPr>
            </w:pPr>
          </w:p>
        </w:tc>
      </w:tr>
      <w:tr w14:paraId="6A47A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07" w:type="dxa"/>
            <w:vMerge w:val="continue"/>
            <w:vAlign w:val="center"/>
          </w:tcPr>
          <w:p w14:paraId="7896138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p>
        </w:tc>
        <w:tc>
          <w:tcPr>
            <w:tcW w:w="2233" w:type="dxa"/>
            <w:vAlign w:val="center"/>
          </w:tcPr>
          <w:p w14:paraId="20626CAF">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4316" w:type="dxa"/>
            <w:vAlign w:val="center"/>
          </w:tcPr>
          <w:p w14:paraId="19BEE7A3">
            <w:pPr>
              <w:rPr>
                <w:rFonts w:hint="eastAsia"/>
                <w:color w:val="auto"/>
                <w:highlight w:val="none"/>
              </w:rPr>
            </w:pPr>
          </w:p>
        </w:tc>
      </w:tr>
      <w:tr w14:paraId="5A3F96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707" w:type="dxa"/>
            <w:vAlign w:val="center"/>
          </w:tcPr>
          <w:p w14:paraId="065C74F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5690E34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2233" w:type="dxa"/>
            <w:vAlign w:val="center"/>
          </w:tcPr>
          <w:p w14:paraId="04141831">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4316" w:type="dxa"/>
            <w:vAlign w:val="center"/>
          </w:tcPr>
          <w:p w14:paraId="353A3E17">
            <w:pPr>
              <w:rPr>
                <w:rFonts w:hint="eastAsia"/>
                <w:color w:val="auto"/>
                <w:highlight w:val="none"/>
              </w:rPr>
            </w:pPr>
          </w:p>
        </w:tc>
      </w:tr>
      <w:tr w14:paraId="2CF651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07" w:type="dxa"/>
            <w:vAlign w:val="center"/>
          </w:tcPr>
          <w:p w14:paraId="42E89B4D">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2D65CF60">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2233" w:type="dxa"/>
            <w:vAlign w:val="center"/>
          </w:tcPr>
          <w:p w14:paraId="75CDC4EC">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4316" w:type="dxa"/>
            <w:vAlign w:val="center"/>
          </w:tcPr>
          <w:p w14:paraId="0E9BEF29">
            <w:pPr>
              <w:rPr>
                <w:rFonts w:hint="eastAsia"/>
                <w:color w:val="auto"/>
                <w:highlight w:val="none"/>
              </w:rPr>
            </w:pPr>
          </w:p>
        </w:tc>
      </w:tr>
      <w:tr w14:paraId="1FBE24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0764B23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4A61154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2233" w:type="dxa"/>
            <w:vAlign w:val="center"/>
          </w:tcPr>
          <w:p w14:paraId="3392AF86">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质量保证期</w:t>
            </w:r>
          </w:p>
        </w:tc>
        <w:tc>
          <w:tcPr>
            <w:tcW w:w="4316" w:type="dxa"/>
            <w:vAlign w:val="center"/>
          </w:tcPr>
          <w:p w14:paraId="74113B72">
            <w:pPr>
              <w:autoSpaceDE w:val="0"/>
              <w:autoSpaceDN w:val="0"/>
              <w:adjustRightInd w:val="0"/>
              <w:snapToGrid w:val="0"/>
              <w:ind w:firstLine="400" w:firstLineChars="200"/>
              <w:jc w:val="left"/>
              <w:rPr>
                <w:rFonts w:ascii="宋体" w:hAnsi="宋体"/>
                <w:color w:val="auto"/>
                <w:szCs w:val="21"/>
                <w:highlight w:val="none"/>
              </w:rPr>
            </w:pPr>
          </w:p>
        </w:tc>
      </w:tr>
      <w:tr w14:paraId="4A7F95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4CD74A7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41064226">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2233" w:type="dxa"/>
            <w:vAlign w:val="center"/>
          </w:tcPr>
          <w:p w14:paraId="7A62DE3A">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EC14C95">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响应时间</w:t>
            </w:r>
          </w:p>
        </w:tc>
        <w:tc>
          <w:tcPr>
            <w:tcW w:w="4316" w:type="dxa"/>
            <w:vAlign w:val="center"/>
          </w:tcPr>
          <w:p w14:paraId="2A52495B">
            <w:pPr>
              <w:adjustRightInd w:val="0"/>
              <w:snapToGrid w:val="0"/>
              <w:jc w:val="left"/>
              <w:rPr>
                <w:rFonts w:ascii="宋体" w:hAnsi="宋体"/>
                <w:color w:val="auto"/>
                <w:szCs w:val="21"/>
                <w:highlight w:val="none"/>
              </w:rPr>
            </w:pPr>
          </w:p>
        </w:tc>
      </w:tr>
      <w:tr w14:paraId="59FF9C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35EA8AE2">
            <w:pPr>
              <w:keepNext w:val="0"/>
              <w:keepLines w:val="0"/>
              <w:pageBreakBefore w:val="0"/>
              <w:kinsoku/>
              <w:wordWrap/>
              <w:overflowPunct/>
              <w:topLinePunct w:val="0"/>
              <w:bidi w:val="0"/>
              <w:snapToGrid w:val="0"/>
              <w:spacing w:line="240" w:lineRule="auto"/>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668B64F8">
            <w:pPr>
              <w:pStyle w:val="36"/>
              <w:keepNext w:val="0"/>
              <w:keepLines w:val="0"/>
              <w:pageBreakBefore w:val="0"/>
              <w:kinsoku/>
              <w:wordWrap/>
              <w:overflowPunct/>
              <w:topLinePunct w:val="0"/>
              <w:bidi w:val="0"/>
              <w:spacing w:line="240" w:lineRule="auto"/>
              <w:ind w:firstLine="0" w:firstLineChars="0"/>
              <w:jc w:val="center"/>
              <w:textAlignment w:val="auto"/>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2233" w:type="dxa"/>
            <w:vAlign w:val="center"/>
          </w:tcPr>
          <w:p w14:paraId="21EDE87D">
            <w:pPr>
              <w:keepNext w:val="0"/>
              <w:keepLines w:val="0"/>
              <w:pageBreakBefore w:val="0"/>
              <w:kinsoku/>
              <w:wordWrap/>
              <w:overflowPunct/>
              <w:topLinePunct w:val="0"/>
              <w:bidi w:val="0"/>
              <w:adjustRightInd w:val="0"/>
              <w:snapToGrid w:val="0"/>
              <w:spacing w:line="240" w:lineRule="auto"/>
              <w:jc w:val="both"/>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4316" w:type="dxa"/>
            <w:vAlign w:val="center"/>
          </w:tcPr>
          <w:p w14:paraId="78E7A6D8">
            <w:pPr>
              <w:adjustRightInd w:val="0"/>
              <w:snapToGrid w:val="0"/>
              <w:jc w:val="left"/>
              <w:rPr>
                <w:rFonts w:ascii="宋体" w:hAnsi="宋体"/>
                <w:color w:val="auto"/>
                <w:szCs w:val="21"/>
                <w:highlight w:val="none"/>
              </w:rPr>
            </w:pPr>
          </w:p>
        </w:tc>
      </w:tr>
      <w:tr w14:paraId="3C1B3F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07" w:type="dxa"/>
            <w:vAlign w:val="center"/>
          </w:tcPr>
          <w:p w14:paraId="45EAA1D8">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3ED786D1">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2233" w:type="dxa"/>
            <w:vAlign w:val="center"/>
          </w:tcPr>
          <w:p w14:paraId="64A177C1">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4316" w:type="dxa"/>
            <w:vAlign w:val="center"/>
          </w:tcPr>
          <w:p w14:paraId="19ACE1AC">
            <w:pPr>
              <w:adjustRightInd w:val="0"/>
              <w:snapToGrid w:val="0"/>
              <w:jc w:val="left"/>
              <w:rPr>
                <w:rFonts w:ascii="宋体" w:hAnsi="宋体"/>
                <w:color w:val="auto"/>
                <w:szCs w:val="21"/>
                <w:highlight w:val="none"/>
              </w:rPr>
            </w:pPr>
          </w:p>
        </w:tc>
      </w:tr>
      <w:tr w14:paraId="7F0855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07" w:type="dxa"/>
            <w:vAlign w:val="center"/>
          </w:tcPr>
          <w:p w14:paraId="7E53221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第二节</w:t>
            </w:r>
          </w:p>
          <w:p w14:paraId="57A60EC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2233" w:type="dxa"/>
            <w:vAlign w:val="center"/>
          </w:tcPr>
          <w:p w14:paraId="55BFCEBB">
            <w:pPr>
              <w:keepNext w:val="0"/>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4316" w:type="dxa"/>
            <w:vAlign w:val="center"/>
          </w:tcPr>
          <w:p w14:paraId="3B059075">
            <w:pPr>
              <w:adjustRightInd w:val="0"/>
              <w:snapToGrid w:val="0"/>
              <w:jc w:val="left"/>
              <w:rPr>
                <w:rFonts w:ascii="宋体" w:hAnsi="宋体"/>
                <w:color w:val="auto"/>
                <w:szCs w:val="21"/>
                <w:highlight w:val="none"/>
              </w:rPr>
            </w:pPr>
          </w:p>
        </w:tc>
      </w:tr>
      <w:tr w14:paraId="2B3DCD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387699E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第二节</w:t>
            </w:r>
          </w:p>
          <w:p w14:paraId="4B03247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2233" w:type="dxa"/>
            <w:vAlign w:val="center"/>
          </w:tcPr>
          <w:p w14:paraId="54040FA1">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4316" w:type="dxa"/>
            <w:vAlign w:val="center"/>
          </w:tcPr>
          <w:p w14:paraId="347592D5">
            <w:pPr>
              <w:adjustRightInd w:val="0"/>
              <w:snapToGrid w:val="0"/>
              <w:jc w:val="left"/>
              <w:rPr>
                <w:rFonts w:ascii="宋体" w:hAnsi="宋体"/>
                <w:color w:val="auto"/>
                <w:szCs w:val="21"/>
                <w:highlight w:val="none"/>
              </w:rPr>
            </w:pPr>
          </w:p>
        </w:tc>
      </w:tr>
      <w:tr w14:paraId="5AAB91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07" w:type="dxa"/>
            <w:vAlign w:val="center"/>
          </w:tcPr>
          <w:p w14:paraId="72BEAD95">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71C710B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2233" w:type="dxa"/>
            <w:vAlign w:val="center"/>
          </w:tcPr>
          <w:p w14:paraId="6DA2DA84">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4316" w:type="dxa"/>
            <w:vAlign w:val="center"/>
          </w:tcPr>
          <w:p w14:paraId="50D906D6">
            <w:pPr>
              <w:adjustRightInd w:val="0"/>
              <w:snapToGrid w:val="0"/>
              <w:jc w:val="left"/>
              <w:rPr>
                <w:rFonts w:ascii="宋体" w:hAnsi="宋体"/>
                <w:color w:val="auto"/>
                <w:szCs w:val="21"/>
                <w:highlight w:val="none"/>
              </w:rPr>
            </w:pPr>
          </w:p>
        </w:tc>
      </w:tr>
      <w:tr w14:paraId="552EA0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07" w:type="dxa"/>
            <w:vAlign w:val="center"/>
          </w:tcPr>
          <w:p w14:paraId="3E35BD08">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1F30CB9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2233" w:type="dxa"/>
            <w:vAlign w:val="center"/>
          </w:tcPr>
          <w:p w14:paraId="3B13D05A">
            <w:pPr>
              <w:keepNext w:val="0"/>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4316" w:type="dxa"/>
            <w:vAlign w:val="center"/>
          </w:tcPr>
          <w:p w14:paraId="3F6BFC2D">
            <w:pPr>
              <w:adjustRightInd w:val="0"/>
              <w:snapToGrid w:val="0"/>
              <w:jc w:val="left"/>
              <w:rPr>
                <w:rFonts w:ascii="宋体" w:hAnsi="宋体"/>
                <w:color w:val="auto"/>
                <w:szCs w:val="21"/>
                <w:highlight w:val="none"/>
              </w:rPr>
            </w:pPr>
          </w:p>
        </w:tc>
      </w:tr>
      <w:tr w14:paraId="7599E6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41B304A7">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50C862B0">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2233" w:type="dxa"/>
            <w:vAlign w:val="center"/>
          </w:tcPr>
          <w:p w14:paraId="408D4E8A">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乙方提供的其他服务</w:t>
            </w:r>
          </w:p>
        </w:tc>
        <w:tc>
          <w:tcPr>
            <w:tcW w:w="4316" w:type="dxa"/>
            <w:vAlign w:val="center"/>
          </w:tcPr>
          <w:p w14:paraId="2C32E2AE">
            <w:pPr>
              <w:adjustRightInd w:val="0"/>
              <w:snapToGrid w:val="0"/>
              <w:jc w:val="left"/>
              <w:rPr>
                <w:rFonts w:ascii="宋体" w:hAnsi="宋体"/>
                <w:color w:val="auto"/>
                <w:szCs w:val="21"/>
                <w:highlight w:val="none"/>
              </w:rPr>
            </w:pPr>
          </w:p>
        </w:tc>
      </w:tr>
      <w:tr w14:paraId="690BEE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399DC64E">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6B2E6050">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2233" w:type="dxa"/>
            <w:vAlign w:val="center"/>
          </w:tcPr>
          <w:p w14:paraId="1C5461E0">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4316" w:type="dxa"/>
            <w:vAlign w:val="center"/>
          </w:tcPr>
          <w:p w14:paraId="27D2F587">
            <w:pPr>
              <w:adjustRightInd w:val="0"/>
              <w:snapToGrid w:val="0"/>
              <w:jc w:val="left"/>
              <w:rPr>
                <w:rFonts w:ascii="宋体" w:hAnsi="宋体"/>
                <w:color w:val="auto"/>
                <w:szCs w:val="21"/>
                <w:highlight w:val="none"/>
              </w:rPr>
            </w:pPr>
          </w:p>
        </w:tc>
      </w:tr>
      <w:tr w14:paraId="5A7799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67EA198D">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2FAA4F0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2233" w:type="dxa"/>
            <w:vAlign w:val="center"/>
          </w:tcPr>
          <w:p w14:paraId="6CCB9C34">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迟延交货赔偿费</w:t>
            </w:r>
          </w:p>
        </w:tc>
        <w:tc>
          <w:tcPr>
            <w:tcW w:w="4316" w:type="dxa"/>
            <w:vAlign w:val="center"/>
          </w:tcPr>
          <w:p w14:paraId="70280E71">
            <w:pPr>
              <w:adjustRightInd w:val="0"/>
              <w:snapToGrid w:val="0"/>
              <w:jc w:val="left"/>
              <w:rPr>
                <w:rFonts w:ascii="宋体" w:hAnsi="宋体"/>
                <w:color w:val="auto"/>
                <w:szCs w:val="21"/>
                <w:highlight w:val="none"/>
                <w:u w:val="single"/>
              </w:rPr>
            </w:pPr>
          </w:p>
        </w:tc>
      </w:tr>
      <w:tr w14:paraId="4A6404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724A673C">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0534525C">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2233" w:type="dxa"/>
            <w:vAlign w:val="center"/>
          </w:tcPr>
          <w:p w14:paraId="2C233818">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rPr>
              <w:t>逾期付款利息</w:t>
            </w:r>
          </w:p>
        </w:tc>
        <w:tc>
          <w:tcPr>
            <w:tcW w:w="4316" w:type="dxa"/>
            <w:vAlign w:val="center"/>
          </w:tcPr>
          <w:p w14:paraId="3A0C3F19">
            <w:pPr>
              <w:adjustRightInd w:val="0"/>
              <w:snapToGrid w:val="0"/>
              <w:jc w:val="left"/>
              <w:rPr>
                <w:rFonts w:ascii="宋体" w:hAnsi="宋体"/>
                <w:color w:val="auto"/>
                <w:szCs w:val="21"/>
                <w:highlight w:val="none"/>
                <w:u w:val="single"/>
              </w:rPr>
            </w:pPr>
          </w:p>
        </w:tc>
      </w:tr>
      <w:tr w14:paraId="348216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707" w:type="dxa"/>
            <w:tcBorders>
              <w:bottom w:val="single" w:color="auto" w:sz="2" w:space="0"/>
              <w:right w:val="single" w:color="auto" w:sz="2" w:space="0"/>
            </w:tcBorders>
            <w:vAlign w:val="center"/>
          </w:tcPr>
          <w:p w14:paraId="45AA05DB">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5D78F5E5">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2233" w:type="dxa"/>
            <w:tcBorders>
              <w:left w:val="single" w:color="auto" w:sz="2" w:space="0"/>
              <w:bottom w:val="single" w:color="auto" w:sz="2" w:space="0"/>
              <w:right w:val="single" w:color="auto" w:sz="2" w:space="0"/>
            </w:tcBorders>
            <w:vAlign w:val="center"/>
          </w:tcPr>
          <w:p w14:paraId="1138734C">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其他违约责任</w:t>
            </w:r>
          </w:p>
        </w:tc>
        <w:tc>
          <w:tcPr>
            <w:tcW w:w="4316" w:type="dxa"/>
            <w:tcBorders>
              <w:left w:val="single" w:color="auto" w:sz="2" w:space="0"/>
              <w:bottom w:val="single" w:color="auto" w:sz="2" w:space="0"/>
            </w:tcBorders>
            <w:vAlign w:val="center"/>
          </w:tcPr>
          <w:p w14:paraId="219760E1">
            <w:pPr>
              <w:adjustRightInd w:val="0"/>
              <w:snapToGrid w:val="0"/>
              <w:jc w:val="left"/>
              <w:rPr>
                <w:rFonts w:ascii="宋体" w:hAnsi="宋体"/>
                <w:color w:val="auto"/>
                <w:szCs w:val="21"/>
                <w:highlight w:val="none"/>
                <w:u w:val="single"/>
              </w:rPr>
            </w:pPr>
          </w:p>
        </w:tc>
      </w:tr>
      <w:tr w14:paraId="0A2090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07" w:type="dxa"/>
            <w:tcBorders>
              <w:top w:val="single" w:color="auto" w:sz="2" w:space="0"/>
              <w:right w:val="single" w:color="auto" w:sz="2" w:space="0"/>
            </w:tcBorders>
            <w:vAlign w:val="center"/>
          </w:tcPr>
          <w:p w14:paraId="177F4FBF">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5CFE048F">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2233" w:type="dxa"/>
            <w:tcBorders>
              <w:top w:val="single" w:color="auto" w:sz="2" w:space="0"/>
              <w:left w:val="single" w:color="auto" w:sz="2" w:space="0"/>
              <w:right w:val="single" w:color="auto" w:sz="2" w:space="0"/>
            </w:tcBorders>
            <w:vAlign w:val="center"/>
          </w:tcPr>
          <w:p w14:paraId="5351737D">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4316" w:type="dxa"/>
            <w:tcBorders>
              <w:top w:val="single" w:color="auto" w:sz="2" w:space="0"/>
              <w:left w:val="single" w:color="auto" w:sz="2" w:space="0"/>
            </w:tcBorders>
            <w:vAlign w:val="center"/>
          </w:tcPr>
          <w:p w14:paraId="0812CAF3">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66960E2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2A1D3AA7">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5C29C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707" w:type="dxa"/>
            <w:vAlign w:val="center"/>
          </w:tcPr>
          <w:p w14:paraId="464253B9">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6F24106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2233" w:type="dxa"/>
            <w:vAlign w:val="center"/>
          </w:tcPr>
          <w:p w14:paraId="6180F86D">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4316" w:type="dxa"/>
            <w:vAlign w:val="center"/>
          </w:tcPr>
          <w:p w14:paraId="08227F34">
            <w:pPr>
              <w:adjustRightInd w:val="0"/>
              <w:snapToGrid w:val="0"/>
              <w:jc w:val="left"/>
              <w:rPr>
                <w:rFonts w:hint="default" w:ascii="宋体" w:hAnsi="宋体" w:eastAsia="宋体"/>
                <w:color w:val="auto"/>
                <w:szCs w:val="21"/>
                <w:highlight w:val="none"/>
                <w:lang w:val="en-US" w:eastAsia="zh-CN"/>
              </w:rPr>
            </w:pPr>
          </w:p>
        </w:tc>
      </w:tr>
    </w:tbl>
    <w:p w14:paraId="273AC562">
      <w:pPr>
        <w:rPr>
          <w:color w:val="auto"/>
          <w:highlight w:val="none"/>
        </w:rPr>
      </w:pPr>
    </w:p>
    <w:p w14:paraId="7360A251">
      <w:pPr>
        <w:rPr>
          <w:color w:val="auto"/>
          <w:highlight w:val="none"/>
        </w:rPr>
      </w:pPr>
    </w:p>
    <w:p w14:paraId="59C8CB5D">
      <w:pPr>
        <w:rPr>
          <w:color w:val="auto"/>
          <w:highlight w:val="none"/>
          <w:lang w:val="zh-CN"/>
        </w:rPr>
      </w:pPr>
    </w:p>
    <w:p w14:paraId="19932A4E">
      <w:pPr>
        <w:rPr>
          <w:color w:val="auto"/>
          <w:highlight w:val="none"/>
          <w:lang w:val="zh-CN"/>
        </w:rPr>
      </w:pPr>
    </w:p>
    <w:p w14:paraId="427F84D2">
      <w:pPr>
        <w:pStyle w:val="3"/>
        <w:rPr>
          <w:color w:val="auto"/>
          <w:highlight w:val="none"/>
          <w:lang w:val="zh-CN"/>
        </w:rPr>
      </w:pPr>
    </w:p>
    <w:p w14:paraId="41F9F397">
      <w:pPr>
        <w:rPr>
          <w:color w:val="auto"/>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57A8F2F">
      <w:pPr>
        <w:pStyle w:val="2"/>
        <w:keepNext/>
        <w:keepLines/>
        <w:pageBreakBefore w:val="0"/>
        <w:widowControl w:val="0"/>
        <w:numPr>
          <w:ilvl w:val="0"/>
          <w:numId w:val="0"/>
        </w:numPr>
        <w:kinsoku/>
        <w:wordWrap/>
        <w:overflowPunct/>
        <w:topLinePunct w:val="0"/>
        <w:autoSpaceDE/>
        <w:autoSpaceDN/>
        <w:bidi w:val="0"/>
        <w:adjustRightInd/>
        <w:snapToGrid/>
        <w:spacing w:before="100" w:after="90" w:line="360" w:lineRule="auto"/>
        <w:ind w:left="420" w:leftChars="0" w:hanging="420" w:firstLineChars="0"/>
        <w:textAlignment w:val="auto"/>
        <w:rPr>
          <w:rFonts w:hint="eastAsia" w:ascii="宋体" w:hAnsi="宋体" w:eastAsia="黑体" w:cstheme="minorBidi"/>
          <w:b/>
          <w:bCs/>
          <w:color w:val="auto"/>
          <w:kern w:val="44"/>
          <w:sz w:val="44"/>
          <w:szCs w:val="44"/>
          <w:highlight w:val="none"/>
          <w:lang w:val="en-US" w:eastAsia="zh-CN" w:bidi="ar-SA"/>
        </w:rPr>
      </w:pPr>
      <w:bookmarkStart w:id="604" w:name="_Toc155185919"/>
    </w:p>
    <w:p w14:paraId="72D513E7">
      <w:pPr>
        <w:pStyle w:val="2"/>
        <w:keepNext/>
        <w:keepLines/>
        <w:pageBreakBefore w:val="0"/>
        <w:widowControl w:val="0"/>
        <w:numPr>
          <w:ilvl w:val="0"/>
          <w:numId w:val="0"/>
        </w:numPr>
        <w:kinsoku/>
        <w:wordWrap/>
        <w:overflowPunct/>
        <w:topLinePunct w:val="0"/>
        <w:autoSpaceDE/>
        <w:autoSpaceDN/>
        <w:bidi w:val="0"/>
        <w:adjustRightInd/>
        <w:snapToGrid/>
        <w:spacing w:before="100" w:after="90" w:line="360" w:lineRule="auto"/>
        <w:ind w:left="420" w:leftChars="0" w:hanging="420" w:firstLineChars="0"/>
        <w:textAlignment w:val="auto"/>
        <w:rPr>
          <w:rFonts w:hint="eastAsia" w:ascii="宋体" w:hAnsi="宋体" w:eastAsia="黑体" w:cstheme="minorBidi"/>
          <w:b/>
          <w:bCs/>
          <w:color w:val="auto"/>
          <w:kern w:val="44"/>
          <w:sz w:val="44"/>
          <w:szCs w:val="44"/>
          <w:highlight w:val="none"/>
          <w:lang w:val="en-US" w:eastAsia="zh-CN" w:bidi="ar-SA"/>
        </w:rPr>
      </w:pPr>
    </w:p>
    <w:p w14:paraId="5CAF3138">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605" w:name="_Toc5888"/>
      <w:r>
        <w:rPr>
          <w:rFonts w:hint="eastAsia" w:ascii="宋体" w:hAnsi="宋体" w:eastAsia="宋体" w:cs="宋体"/>
          <w:b/>
          <w:bCs/>
          <w:color w:val="auto"/>
          <w:kern w:val="44"/>
          <w:sz w:val="36"/>
          <w:szCs w:val="36"/>
          <w:highlight w:val="none"/>
          <w:lang w:val="en-US" w:eastAsia="zh-CN" w:bidi="ar-SA"/>
        </w:rPr>
        <w:t>第七章 投标文件格式</w:t>
      </w:r>
      <w:bookmarkEnd w:id="604"/>
      <w:bookmarkEnd w:id="605"/>
    </w:p>
    <w:p w14:paraId="20B1063D">
      <w:pPr>
        <w:ind w:left="200" w:leftChars="100" w:firstLine="400" w:firstLineChars="200"/>
        <w:rPr>
          <w:rFonts w:cs="仿宋_GB2312"/>
          <w:color w:val="auto"/>
          <w:szCs w:val="24"/>
          <w:highlight w:val="none"/>
        </w:rPr>
      </w:pPr>
    </w:p>
    <w:p w14:paraId="29D44C55">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44DD0F1">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9EDECB5">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5F9B001">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2E1D158">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E6822E5">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2CA045B">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893E9FD">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95452EF">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AA66CC1">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69FA17D">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72E3CAE">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565C3EB">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7DA079A">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E15166A">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3A9983C">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48F8DEC">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F52A8AF">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2FC05CF">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61F2B5A">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99474F0">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390F1A2">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A93A46C">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C290983">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55D68F1">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025489F">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08F138C">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CDCE37B">
      <w:pPr>
        <w:ind w:firstLine="400" w:firstLineChars="200"/>
        <w:rPr>
          <w:rFonts w:hint="eastAsia" w:cs="仿宋_GB2312"/>
          <w:color w:val="auto"/>
          <w:szCs w:val="24"/>
          <w:highlight w:val="none"/>
          <w:lang w:val="zh-CN"/>
        </w:rPr>
      </w:pPr>
    </w:p>
    <w:p w14:paraId="2D9E98AD">
      <w:pPr>
        <w:ind w:firstLine="400" w:firstLineChars="200"/>
        <w:rPr>
          <w:rFonts w:hint="eastAsia" w:cs="仿宋_GB2312"/>
          <w:color w:val="auto"/>
          <w:szCs w:val="24"/>
          <w:highlight w:val="none"/>
          <w:lang w:val="zh-CN"/>
        </w:rPr>
      </w:pPr>
    </w:p>
    <w:p w14:paraId="3D40132F">
      <w:pPr>
        <w:ind w:firstLine="400" w:firstLineChars="200"/>
        <w:rPr>
          <w:rFonts w:hint="eastAsia" w:cs="仿宋_GB2312"/>
          <w:color w:val="auto"/>
          <w:szCs w:val="24"/>
          <w:highlight w:val="none"/>
          <w:lang w:val="zh-CN"/>
        </w:rPr>
      </w:pPr>
    </w:p>
    <w:p w14:paraId="6DC90E3C">
      <w:pPr>
        <w:ind w:firstLine="400" w:firstLineChars="200"/>
        <w:rPr>
          <w:rFonts w:cs="仿宋_GB2312"/>
          <w:color w:val="auto"/>
          <w:szCs w:val="24"/>
          <w:highlight w:val="none"/>
          <w:lang w:val="zh-CN"/>
        </w:rPr>
      </w:pPr>
      <w:r>
        <w:rPr>
          <w:rFonts w:hint="eastAsia" w:cs="仿宋_GB2312"/>
          <w:color w:val="auto"/>
          <w:szCs w:val="24"/>
          <w:highlight w:val="none"/>
          <w:lang w:val="zh-CN"/>
        </w:rPr>
        <w:t>封面：</w:t>
      </w:r>
    </w:p>
    <w:p w14:paraId="202803F7">
      <w:pPr>
        <w:autoSpaceDE w:val="0"/>
        <w:autoSpaceDN w:val="0"/>
        <w:adjustRightInd w:val="0"/>
        <w:rPr>
          <w:color w:val="auto"/>
          <w:sz w:val="21"/>
          <w:szCs w:val="24"/>
          <w:highlight w:val="none"/>
        </w:rPr>
      </w:pPr>
    </w:p>
    <w:p w14:paraId="73B11C8A">
      <w:pPr>
        <w:autoSpaceDE w:val="0"/>
        <w:autoSpaceDN w:val="0"/>
        <w:adjustRightInd w:val="0"/>
        <w:rPr>
          <w:color w:val="auto"/>
          <w:sz w:val="21"/>
          <w:szCs w:val="24"/>
          <w:highlight w:val="none"/>
        </w:rPr>
      </w:pPr>
    </w:p>
    <w:p w14:paraId="36DF3F4E">
      <w:pPr>
        <w:autoSpaceDE w:val="0"/>
        <w:autoSpaceDN w:val="0"/>
        <w:adjustRightInd w:val="0"/>
        <w:jc w:val="center"/>
        <w:rPr>
          <w:color w:val="auto"/>
          <w:sz w:val="21"/>
          <w:szCs w:val="24"/>
          <w:highlight w:val="none"/>
        </w:rPr>
      </w:pPr>
    </w:p>
    <w:p w14:paraId="336E03FA">
      <w:pPr>
        <w:pStyle w:val="3"/>
        <w:bidi w:val="0"/>
        <w:jc w:val="center"/>
        <w:rPr>
          <w:sz w:val="84"/>
          <w:szCs w:val="84"/>
        </w:rPr>
      </w:pPr>
      <w:bookmarkStart w:id="606" w:name="_Toc7054"/>
      <w:r>
        <w:rPr>
          <w:rFonts w:hint="eastAsia"/>
          <w:sz w:val="84"/>
          <w:szCs w:val="84"/>
        </w:rPr>
        <w:t>投 标 文 件</w:t>
      </w:r>
      <w:bookmarkEnd w:id="606"/>
    </w:p>
    <w:p w14:paraId="0D217A8D">
      <w:pPr>
        <w:pStyle w:val="3"/>
        <w:bidi w:val="0"/>
        <w:jc w:val="center"/>
        <w:rPr>
          <w:sz w:val="52"/>
          <w:szCs w:val="52"/>
        </w:rPr>
      </w:pPr>
      <w:bookmarkStart w:id="607" w:name="_Toc17826"/>
      <w:r>
        <w:rPr>
          <w:rFonts w:hint="eastAsia"/>
          <w:sz w:val="52"/>
          <w:szCs w:val="52"/>
        </w:rPr>
        <w:t>资格证明文件</w:t>
      </w:r>
      <w:bookmarkEnd w:id="607"/>
    </w:p>
    <w:p w14:paraId="3713B9EF">
      <w:pPr>
        <w:autoSpaceDE w:val="0"/>
        <w:autoSpaceDN w:val="0"/>
        <w:adjustRightInd w:val="0"/>
        <w:rPr>
          <w:b/>
          <w:bCs/>
          <w:color w:val="auto"/>
          <w:sz w:val="22"/>
          <w:highlight w:val="none"/>
        </w:rPr>
      </w:pPr>
    </w:p>
    <w:p w14:paraId="3861A6F5">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4C95B1E8">
      <w:pPr>
        <w:autoSpaceDE w:val="0"/>
        <w:autoSpaceDN w:val="0"/>
        <w:adjustRightInd w:val="0"/>
        <w:rPr>
          <w:color w:val="auto"/>
          <w:sz w:val="21"/>
          <w:szCs w:val="21"/>
          <w:highlight w:val="none"/>
        </w:rPr>
      </w:pPr>
    </w:p>
    <w:p w14:paraId="4A15B7B6">
      <w:pPr>
        <w:pStyle w:val="3"/>
        <w:rPr>
          <w:color w:val="auto"/>
          <w:highlight w:val="none"/>
        </w:rPr>
      </w:pPr>
    </w:p>
    <w:p w14:paraId="6D2F1984">
      <w:pPr>
        <w:autoSpaceDE w:val="0"/>
        <w:autoSpaceDN w:val="0"/>
        <w:adjustRightInd w:val="0"/>
        <w:rPr>
          <w:color w:val="auto"/>
          <w:sz w:val="21"/>
          <w:szCs w:val="21"/>
          <w:highlight w:val="none"/>
        </w:rPr>
      </w:pPr>
    </w:p>
    <w:p w14:paraId="13936900">
      <w:pPr>
        <w:autoSpaceDE w:val="0"/>
        <w:autoSpaceDN w:val="0"/>
        <w:adjustRightInd w:val="0"/>
        <w:rPr>
          <w:color w:val="auto"/>
          <w:sz w:val="21"/>
          <w:szCs w:val="21"/>
          <w:highlight w:val="none"/>
        </w:rPr>
      </w:pPr>
    </w:p>
    <w:p w14:paraId="7F8AB2C1">
      <w:pPr>
        <w:ind w:left="35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24FB0392">
      <w:pPr>
        <w:ind w:left="35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B06112D">
      <w:pPr>
        <w:ind w:left="35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4720DE04">
      <w:pPr>
        <w:ind w:left="840" w:firstLine="420"/>
        <w:rPr>
          <w:b/>
          <w:bCs/>
          <w:color w:val="auto"/>
          <w:sz w:val="28"/>
          <w:szCs w:val="28"/>
          <w:highlight w:val="none"/>
        </w:rPr>
      </w:pPr>
    </w:p>
    <w:p w14:paraId="5D0DC607">
      <w:pPr>
        <w:ind w:left="840" w:firstLine="420"/>
        <w:rPr>
          <w:b/>
          <w:bCs/>
          <w:color w:val="auto"/>
          <w:sz w:val="28"/>
          <w:szCs w:val="28"/>
          <w:highlight w:val="none"/>
        </w:rPr>
      </w:pPr>
    </w:p>
    <w:p w14:paraId="306FCCBF">
      <w:pPr>
        <w:ind w:left="840" w:firstLine="420"/>
        <w:rPr>
          <w:b/>
          <w:bCs/>
          <w:color w:val="auto"/>
          <w:sz w:val="28"/>
          <w:szCs w:val="28"/>
          <w:highlight w:val="none"/>
        </w:rPr>
      </w:pPr>
    </w:p>
    <w:p w14:paraId="22CE1A9B">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447D651">
      <w:pPr>
        <w:rPr>
          <w:color w:val="auto"/>
          <w:highlight w:val="none"/>
          <w:lang w:val="zh-CN"/>
        </w:rPr>
      </w:pPr>
      <w:r>
        <w:rPr>
          <w:color w:val="auto"/>
          <w:highlight w:val="none"/>
          <w:lang w:val="zh-CN"/>
        </w:rPr>
        <w:br w:type="page"/>
      </w:r>
    </w:p>
    <w:p w14:paraId="6DBE2CDA">
      <w:pPr>
        <w:rPr>
          <w:color w:val="auto"/>
          <w:highlight w:val="none"/>
          <w:lang w:val="zh-CN"/>
        </w:rPr>
      </w:pPr>
    </w:p>
    <w:p w14:paraId="215FC2E3">
      <w:pPr>
        <w:pStyle w:val="3"/>
        <w:bidi w:val="0"/>
        <w:rPr>
          <w:rFonts w:hint="eastAsia"/>
          <w:lang w:val="en-US" w:eastAsia="zh-CN"/>
        </w:rPr>
      </w:pPr>
      <w:bookmarkStart w:id="608" w:name="_Toc24224"/>
      <w:bookmarkStart w:id="609" w:name="_Toc3692"/>
      <w:bookmarkStart w:id="610" w:name="_Toc155185927"/>
      <w:r>
        <w:rPr>
          <w:rFonts w:hint="eastAsia"/>
          <w:lang w:val="en-US" w:eastAsia="zh-CN"/>
        </w:rPr>
        <w:t>一、满足《中华人民共和国政府采购法》第二十二条规定</w:t>
      </w:r>
      <w:bookmarkEnd w:id="608"/>
      <w:bookmarkEnd w:id="609"/>
    </w:p>
    <w:bookmarkEnd w:id="610"/>
    <w:p w14:paraId="61960C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SA"/>
        </w:rPr>
      </w:pPr>
      <w:bookmarkStart w:id="611" w:name="_Toc163492922"/>
      <w:bookmarkStart w:id="612" w:name="_Toc155185928"/>
      <w:r>
        <w:rPr>
          <w:rFonts w:hint="eastAsia" w:ascii="宋体" w:hAnsi="宋体" w:eastAsia="宋体" w:cs="宋体"/>
          <w:b/>
          <w:bCs/>
          <w:color w:val="auto"/>
          <w:kern w:val="2"/>
          <w:sz w:val="24"/>
          <w:szCs w:val="24"/>
          <w:highlight w:val="none"/>
          <w:lang w:val="en-US" w:eastAsia="zh-CN" w:bidi="ar-SA"/>
        </w:rPr>
        <w:t>（一）法人、其他组织或者自然人的证明文件</w:t>
      </w:r>
    </w:p>
    <w:p w14:paraId="6E9D20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1、投标人</w:t>
      </w:r>
      <w:r>
        <w:rPr>
          <w:rFonts w:hint="eastAsia" w:ascii="宋体" w:hAnsi="宋体" w:eastAsia="宋体" w:cs="宋体"/>
          <w:b w:val="0"/>
          <w:bCs w:val="0"/>
          <w:color w:val="auto"/>
          <w:kern w:val="0"/>
          <w:sz w:val="24"/>
          <w:szCs w:val="24"/>
          <w:highlight w:val="none"/>
          <w:lang w:val="en-US" w:eastAsia="zh-CN"/>
        </w:rPr>
        <w:t>为企业（包括合伙企业）的，应提供有效的“营业执照”；</w:t>
      </w:r>
    </w:p>
    <w:p w14:paraId="420A9C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2、投标人</w:t>
      </w:r>
      <w:r>
        <w:rPr>
          <w:rFonts w:hint="eastAsia" w:ascii="宋体" w:hAnsi="宋体" w:eastAsia="宋体" w:cs="宋体"/>
          <w:b w:val="0"/>
          <w:bCs w:val="0"/>
          <w:color w:val="auto"/>
          <w:kern w:val="0"/>
          <w:sz w:val="24"/>
          <w:szCs w:val="24"/>
          <w:highlight w:val="none"/>
          <w:lang w:val="en-US" w:eastAsia="zh-CN"/>
        </w:rPr>
        <w:t>为事业单位的，应提供有效的“事业单位法人证书”；</w:t>
      </w:r>
    </w:p>
    <w:p w14:paraId="30B265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3、投标人</w:t>
      </w:r>
      <w:r>
        <w:rPr>
          <w:rFonts w:hint="eastAsia" w:ascii="宋体" w:hAnsi="宋体" w:eastAsia="宋体" w:cs="宋体"/>
          <w:b w:val="0"/>
          <w:bCs w:val="0"/>
          <w:color w:val="auto"/>
          <w:kern w:val="0"/>
          <w:sz w:val="24"/>
          <w:szCs w:val="24"/>
          <w:highlight w:val="none"/>
          <w:lang w:val="en-US" w:eastAsia="zh-CN"/>
        </w:rPr>
        <w:t>为非企业机构的，应提供有效的“执业许可证”、“登记证书”等证明文件；</w:t>
      </w:r>
    </w:p>
    <w:p w14:paraId="4FDE64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4、投标人</w:t>
      </w:r>
      <w:r>
        <w:rPr>
          <w:rFonts w:hint="eastAsia" w:ascii="宋体" w:hAnsi="宋体" w:eastAsia="宋体" w:cs="宋体"/>
          <w:b w:val="0"/>
          <w:bCs w:val="0"/>
          <w:color w:val="auto"/>
          <w:kern w:val="0"/>
          <w:sz w:val="24"/>
          <w:szCs w:val="24"/>
          <w:highlight w:val="none"/>
          <w:lang w:val="en-US" w:eastAsia="zh-CN"/>
        </w:rPr>
        <w:t>是个体工商户的，应提供有效的“个体工商户营业执照”；</w:t>
      </w:r>
    </w:p>
    <w:p w14:paraId="1DE16B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5、投标人</w:t>
      </w:r>
      <w:r>
        <w:rPr>
          <w:rFonts w:hint="eastAsia" w:ascii="宋体" w:hAnsi="宋体" w:eastAsia="宋体" w:cs="宋体"/>
          <w:b w:val="0"/>
          <w:bCs w:val="0"/>
          <w:color w:val="auto"/>
          <w:kern w:val="0"/>
          <w:sz w:val="24"/>
          <w:szCs w:val="24"/>
          <w:highlight w:val="none"/>
          <w:lang w:val="en-US" w:eastAsia="zh-CN"/>
        </w:rPr>
        <w:t>是自然人的，应提供有效的自然人身份证明。</w:t>
      </w:r>
    </w:p>
    <w:p w14:paraId="77687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p>
    <w:p w14:paraId="128F3677">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p>
    <w:bookmarkEnd w:id="611"/>
    <w:bookmarkEnd w:id="612"/>
    <w:p w14:paraId="69A95AD2">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eastAsia="宋体" w:cstheme="majorBidi"/>
          <w:b/>
          <w:bCs/>
          <w:color w:val="auto"/>
          <w:kern w:val="2"/>
          <w:sz w:val="24"/>
          <w:szCs w:val="24"/>
          <w:highlight w:val="none"/>
          <w:lang w:val="en-US" w:eastAsia="zh-CN" w:bidi="ar-SA"/>
        </w:rPr>
      </w:pPr>
      <w:bookmarkStart w:id="613" w:name="_Toc21161"/>
      <w:bookmarkStart w:id="614" w:name="_Toc143"/>
      <w:r>
        <w:rPr>
          <w:rFonts w:hint="eastAsia" w:eastAsia="宋体" w:cstheme="majorBidi"/>
          <w:b/>
          <w:bCs/>
          <w:color w:val="auto"/>
          <w:kern w:val="2"/>
          <w:sz w:val="24"/>
          <w:szCs w:val="24"/>
          <w:highlight w:val="none"/>
          <w:lang w:val="en-US" w:eastAsia="zh-CN" w:bidi="ar-SA"/>
        </w:rPr>
        <w:t>（二）兵团政府采购供应商信用承诺函</w:t>
      </w:r>
      <w:bookmarkEnd w:id="613"/>
      <w:bookmarkEnd w:id="614"/>
    </w:p>
    <w:p w14:paraId="149786FB">
      <w:pPr>
        <w:spacing w:line="56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单位名称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自然人姓名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48FFA3C0">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7DA4A26F">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负责人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2565F5FE">
      <w:pPr>
        <w:spacing w:line="560" w:lineRule="exact"/>
        <w:ind w:firstLine="480" w:firstLineChars="200"/>
        <w:rPr>
          <w:rFonts w:hint="eastAsia" w:ascii="宋体" w:hAnsi="宋体" w:eastAsia="宋体" w:cs="宋体"/>
          <w:color w:val="auto"/>
          <w:kern w:val="0"/>
          <w:sz w:val="24"/>
          <w:szCs w:val="24"/>
          <w:highlight w:val="none"/>
        </w:rPr>
      </w:pPr>
    </w:p>
    <w:p w14:paraId="39CDD6B5">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自愿参加本次政府采购活动，严格遵守《中华人民共和国政府采购法》及相关法律法规，坚守公开、公平、公正和诚实信用等原则，依法诚信经营，并郑重承诺：    </w:t>
      </w:r>
    </w:p>
    <w:p w14:paraId="15BD2674">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符合《中华人民共和国政府采购法》第二十二条规定：</w:t>
      </w:r>
    </w:p>
    <w:p w14:paraId="3218A359">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具有独立承担民事责任的能力;</w:t>
      </w:r>
    </w:p>
    <w:p w14:paraId="036C60EA">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具有良好的商业信誉和健全的财务会计制度;</w:t>
      </w:r>
    </w:p>
    <w:p w14:paraId="32BE9145">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具有履行合同所必需的设备和专业技术能力;</w:t>
      </w:r>
    </w:p>
    <w:p w14:paraId="5C988BD2">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有依法缴纳税收和社会保障资金的良好记录;</w:t>
      </w:r>
    </w:p>
    <w:p w14:paraId="64311F89">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参加政府采购活动前三年内，在经营活动中没有重大违法记录;</w:t>
      </w:r>
    </w:p>
    <w:p w14:paraId="09591AFC">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符合法律、行政法规规定的其他条件。</w:t>
      </w:r>
    </w:p>
    <w:p w14:paraId="1BA808C2">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未被列入严重违法失信名单、失信被执行人</w:t>
      </w:r>
      <w:r>
        <w:rPr>
          <w:rFonts w:hint="eastAsia" w:ascii="宋体" w:hAnsi="宋体" w:eastAsia="宋体" w:cs="宋体"/>
          <w:color w:val="auto"/>
          <w:kern w:val="0"/>
          <w:sz w:val="24"/>
          <w:szCs w:val="24"/>
          <w:highlight w:val="none"/>
          <w:lang w:eastAsia="zh-CN"/>
        </w:rPr>
        <w:t>名单</w:t>
      </w:r>
      <w:r>
        <w:rPr>
          <w:rFonts w:hint="eastAsia" w:ascii="宋体" w:hAnsi="宋体" w:eastAsia="宋体" w:cs="宋体"/>
          <w:color w:val="auto"/>
          <w:kern w:val="0"/>
          <w:sz w:val="24"/>
          <w:szCs w:val="24"/>
          <w:highlight w:val="none"/>
        </w:rPr>
        <w:t>、重大税收违法失信主体、政府采购严重违法失信行为记录名</w:t>
      </w:r>
      <w:r>
        <w:rPr>
          <w:rFonts w:hint="eastAsia" w:ascii="宋体" w:hAnsi="宋体" w:eastAsia="宋体" w:cs="宋体"/>
          <w:color w:val="auto"/>
          <w:kern w:val="0"/>
          <w:sz w:val="24"/>
          <w:szCs w:val="24"/>
          <w:highlight w:val="none"/>
          <w:lang w:eastAsia="zh-CN"/>
        </w:rPr>
        <w:t>单</w:t>
      </w:r>
      <w:r>
        <w:rPr>
          <w:rFonts w:hint="eastAsia" w:ascii="宋体" w:hAnsi="宋体" w:eastAsia="宋体" w:cs="宋体"/>
          <w:color w:val="auto"/>
          <w:kern w:val="0"/>
          <w:sz w:val="24"/>
          <w:szCs w:val="24"/>
          <w:highlight w:val="none"/>
        </w:rPr>
        <w:t>。</w:t>
      </w:r>
    </w:p>
    <w:p w14:paraId="70127B20">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三、如果本公司（本人）有幸中标（成交），在合同签订之前，采购单位有权要求本公司（本人）提供资格证明材料原件进行核验。</w:t>
      </w:r>
    </w:p>
    <w:p w14:paraId="32445A77">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四、我单位</w:t>
      </w:r>
      <w:r>
        <w:rPr>
          <w:rFonts w:hint="eastAsia" w:ascii="宋体" w:hAnsi="宋体" w:eastAsia="宋体" w:cs="宋体"/>
          <w:color w:val="auto"/>
          <w:kern w:val="0"/>
          <w:sz w:val="24"/>
          <w:szCs w:val="24"/>
          <w:highlight w:val="none"/>
          <w:lang w:eastAsia="zh-CN"/>
        </w:rPr>
        <w:t>（本人）</w:t>
      </w:r>
      <w:r>
        <w:rPr>
          <w:rFonts w:hint="eastAsia" w:ascii="宋体" w:hAnsi="宋体" w:eastAsia="宋体" w:cs="宋体"/>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w:t>
      </w:r>
      <w:r>
        <w:rPr>
          <w:rFonts w:hint="eastAsia"/>
          <w:color w:val="auto"/>
          <w:highlight w:val="none"/>
        </w:rPr>
        <w:t>中华人民共和国政府采购法</w:t>
      </w:r>
      <w:r>
        <w:rPr>
          <w:rFonts w:hint="eastAsia" w:ascii="宋体" w:hAnsi="宋体" w:eastAsia="宋体" w:cs="宋体"/>
          <w:color w:val="auto"/>
          <w:kern w:val="0"/>
          <w:sz w:val="24"/>
          <w:szCs w:val="24"/>
          <w:highlight w:val="none"/>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7CE52DB">
      <w:pPr>
        <w:spacing w:line="560" w:lineRule="exact"/>
        <w:rPr>
          <w:rFonts w:hint="eastAsia" w:ascii="宋体" w:hAnsi="宋体" w:eastAsia="宋体" w:cs="宋体"/>
          <w:color w:val="auto"/>
          <w:kern w:val="0"/>
          <w:sz w:val="24"/>
          <w:szCs w:val="24"/>
          <w:highlight w:val="none"/>
        </w:rPr>
      </w:pPr>
    </w:p>
    <w:p w14:paraId="5883D10C">
      <w:pPr>
        <w:spacing w:line="560" w:lineRule="exact"/>
        <w:rPr>
          <w:rFonts w:hint="eastAsia" w:ascii="宋体" w:hAnsi="宋体" w:eastAsia="宋体" w:cs="宋体"/>
          <w:color w:val="auto"/>
          <w:kern w:val="0"/>
          <w:sz w:val="24"/>
          <w:szCs w:val="24"/>
          <w:highlight w:val="none"/>
        </w:rPr>
      </w:pPr>
    </w:p>
    <w:p w14:paraId="02066849">
      <w:pPr>
        <w:spacing w:line="560" w:lineRule="exac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供应商名称</w:t>
      </w:r>
      <w:r>
        <w:rPr>
          <w:rFonts w:hint="eastAsia" w:ascii="宋体" w:hAnsi="宋体" w:eastAsia="宋体" w:cs="宋体"/>
          <w:color w:val="auto"/>
          <w:kern w:val="0"/>
          <w:sz w:val="24"/>
          <w:szCs w:val="24"/>
          <w:highlight w:val="none"/>
          <w:lang w:eastAsia="zh-CN"/>
        </w:rPr>
        <w:t>（</w:t>
      </w:r>
      <w:r>
        <w:rPr>
          <w:rFonts w:hint="eastAsia" w:cs="宋体"/>
          <w:color w:val="auto"/>
          <w:kern w:val="0"/>
          <w:sz w:val="24"/>
          <w:szCs w:val="24"/>
          <w:highlight w:val="none"/>
          <w:lang w:eastAsia="zh-CN"/>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3FCFFDCC">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510A1256">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1F4E790D">
      <w:pPr>
        <w:widowControl/>
        <w:spacing w:line="560" w:lineRule="exact"/>
        <w:ind w:firstLine="630"/>
        <w:jc w:val="left"/>
        <w:rPr>
          <w:rFonts w:hint="eastAsia" w:ascii="宋体" w:hAnsi="宋体" w:eastAsia="宋体" w:cs="宋体"/>
          <w:color w:val="auto"/>
          <w:kern w:val="0"/>
          <w:sz w:val="24"/>
          <w:szCs w:val="24"/>
          <w:highlight w:val="none"/>
        </w:rPr>
      </w:pPr>
    </w:p>
    <w:p w14:paraId="282D3BE6">
      <w:pPr>
        <w:rPr>
          <w:rFonts w:ascii="Arial" w:hAnsi="Arial" w:cs="Arial"/>
          <w:color w:val="auto"/>
          <w:szCs w:val="21"/>
          <w:highlight w:val="none"/>
        </w:rPr>
      </w:pPr>
      <w:r>
        <w:rPr>
          <w:rFonts w:ascii="Arial" w:hAnsi="Arial" w:cs="Arial"/>
          <w:color w:val="auto"/>
          <w:szCs w:val="21"/>
          <w:highlight w:val="none"/>
        </w:rPr>
        <w:br w:type="page"/>
      </w:r>
    </w:p>
    <w:p w14:paraId="674386CF">
      <w:pPr>
        <w:pStyle w:val="3"/>
        <w:bidi w:val="0"/>
        <w:rPr>
          <w:rFonts w:hint="eastAsia"/>
          <w:lang w:val="en-US" w:eastAsia="zh-CN"/>
        </w:rPr>
      </w:pPr>
      <w:bookmarkStart w:id="615" w:name="_Toc163492926"/>
      <w:bookmarkStart w:id="616" w:name="_Toc155185932"/>
      <w:bookmarkStart w:id="617" w:name="_Toc18617"/>
      <w:r>
        <w:rPr>
          <w:rFonts w:hint="eastAsia"/>
          <w:lang w:val="en-US" w:eastAsia="zh-CN"/>
        </w:rPr>
        <w:t>二、</w:t>
      </w:r>
      <w:bookmarkEnd w:id="615"/>
      <w:bookmarkEnd w:id="616"/>
      <w:r>
        <w:rPr>
          <w:rFonts w:hint="eastAsia"/>
          <w:lang w:val="en-US" w:eastAsia="zh-CN"/>
        </w:rPr>
        <w:t>落实政府采购政策相关证明文件</w:t>
      </w:r>
      <w:bookmarkEnd w:id="617"/>
    </w:p>
    <w:p w14:paraId="41716825">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618" w:name="_Toc163492938"/>
      <w:bookmarkStart w:id="619" w:name="_Toc26028"/>
      <w:r>
        <w:rPr>
          <w:rFonts w:hint="eastAsia" w:ascii="宋体" w:hAnsi="宋体" w:eastAsia="宋体" w:cs="宋体"/>
          <w:b/>
          <w:bCs/>
          <w:color w:val="auto"/>
          <w:kern w:val="2"/>
          <w:sz w:val="24"/>
          <w:szCs w:val="24"/>
          <w:highlight w:val="none"/>
          <w:lang w:val="en-US" w:eastAsia="zh-CN" w:bidi="ar-SA"/>
        </w:rPr>
        <w:t>（一）节能环保产品清单及证明材料</w:t>
      </w:r>
      <w:r>
        <w:rPr>
          <w:rFonts w:hint="eastAsia" w:ascii="宋体" w:hAnsi="宋体" w:eastAsia="宋体" w:cs="宋体"/>
          <w:b w:val="0"/>
          <w:bCs w:val="0"/>
          <w:color w:val="auto"/>
          <w:kern w:val="2"/>
          <w:sz w:val="24"/>
          <w:szCs w:val="24"/>
          <w:highlight w:val="none"/>
          <w:lang w:val="en-US" w:eastAsia="zh-CN" w:bidi="ar-SA"/>
        </w:rPr>
        <w:t>【如适用】</w:t>
      </w:r>
      <w:bookmarkEnd w:id="618"/>
      <w:bookmarkEnd w:id="619"/>
    </w:p>
    <w:p w14:paraId="641C9B9A">
      <w:pPr>
        <w:spacing w:line="30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/包号</w:t>
      </w:r>
      <w:r>
        <w:rPr>
          <w:rFonts w:hint="eastAsia" w:ascii="宋体" w:hAnsi="宋体" w:eastAsia="宋体" w:cs="宋体"/>
          <w:color w:val="auto"/>
          <w:sz w:val="24"/>
          <w:szCs w:val="24"/>
          <w:highlight w:val="none"/>
        </w:rPr>
        <w:t>：</w:t>
      </w:r>
    </w:p>
    <w:p w14:paraId="47803A74">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节能产品</w:t>
      </w:r>
    </w:p>
    <w:tbl>
      <w:tblPr>
        <w:tblStyle w:val="3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3291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272F949B">
            <w:pPr>
              <w:pStyle w:val="49"/>
              <w:jc w:val="center"/>
              <w:rPr>
                <w:color w:val="auto"/>
                <w:sz w:val="21"/>
                <w:szCs w:val="21"/>
                <w:highlight w:val="none"/>
              </w:rPr>
            </w:pPr>
            <w:r>
              <w:rPr>
                <w:rFonts w:hint="eastAsia"/>
                <w:color w:val="auto"/>
                <w:sz w:val="21"/>
                <w:szCs w:val="21"/>
                <w:highlight w:val="none"/>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40FC7763">
            <w:pPr>
              <w:pStyle w:val="49"/>
              <w:jc w:val="center"/>
              <w:rPr>
                <w:color w:val="auto"/>
                <w:sz w:val="21"/>
                <w:szCs w:val="21"/>
                <w:highlight w:val="none"/>
              </w:rPr>
            </w:pPr>
            <w:r>
              <w:rPr>
                <w:rFonts w:hint="eastAsia"/>
                <w:color w:val="auto"/>
                <w:sz w:val="21"/>
                <w:szCs w:val="21"/>
                <w:highlight w:val="none"/>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3633BCC6">
            <w:pPr>
              <w:pStyle w:val="49"/>
              <w:jc w:val="center"/>
              <w:rPr>
                <w:color w:val="auto"/>
                <w:sz w:val="21"/>
                <w:szCs w:val="21"/>
                <w:highlight w:val="none"/>
              </w:rPr>
            </w:pPr>
            <w:r>
              <w:rPr>
                <w:rFonts w:hint="eastAsia"/>
                <w:color w:val="auto"/>
                <w:sz w:val="21"/>
                <w:szCs w:val="21"/>
                <w:highlight w:val="none"/>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7E976350">
            <w:pPr>
              <w:pStyle w:val="49"/>
              <w:jc w:val="center"/>
              <w:rPr>
                <w:color w:val="auto"/>
                <w:sz w:val="21"/>
                <w:szCs w:val="21"/>
                <w:highlight w:val="none"/>
              </w:rPr>
            </w:pPr>
            <w:r>
              <w:rPr>
                <w:rFonts w:hint="eastAsia"/>
                <w:color w:val="auto"/>
                <w:sz w:val="21"/>
                <w:szCs w:val="21"/>
                <w:highlight w:val="none"/>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17DFEC52">
            <w:pPr>
              <w:pStyle w:val="49"/>
              <w:jc w:val="center"/>
              <w:rPr>
                <w:color w:val="auto"/>
                <w:sz w:val="21"/>
                <w:szCs w:val="21"/>
                <w:highlight w:val="none"/>
              </w:rPr>
            </w:pPr>
            <w:r>
              <w:rPr>
                <w:rFonts w:hint="eastAsia"/>
                <w:color w:val="auto"/>
                <w:sz w:val="21"/>
                <w:szCs w:val="21"/>
                <w:highlight w:val="none"/>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53A14857">
            <w:pPr>
              <w:pStyle w:val="49"/>
              <w:jc w:val="center"/>
              <w:rPr>
                <w:color w:val="auto"/>
                <w:sz w:val="21"/>
                <w:szCs w:val="21"/>
                <w:highlight w:val="none"/>
              </w:rPr>
            </w:pPr>
            <w:r>
              <w:rPr>
                <w:rFonts w:hint="eastAsia"/>
                <w:color w:val="auto"/>
                <w:sz w:val="21"/>
                <w:szCs w:val="21"/>
                <w:highlight w:val="none"/>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3D34C27C">
            <w:pPr>
              <w:pStyle w:val="49"/>
              <w:jc w:val="center"/>
              <w:rPr>
                <w:color w:val="auto"/>
                <w:sz w:val="21"/>
                <w:szCs w:val="21"/>
                <w:highlight w:val="none"/>
              </w:rPr>
            </w:pPr>
            <w:r>
              <w:rPr>
                <w:rFonts w:hint="eastAsia"/>
                <w:color w:val="auto"/>
                <w:sz w:val="21"/>
                <w:szCs w:val="21"/>
                <w:highlight w:val="none"/>
              </w:rPr>
              <w:t>单价</w:t>
            </w:r>
          </w:p>
          <w:p w14:paraId="13DCA98A">
            <w:pPr>
              <w:pStyle w:val="49"/>
              <w:jc w:val="center"/>
              <w:rPr>
                <w:color w:val="auto"/>
                <w:sz w:val="21"/>
                <w:szCs w:val="21"/>
                <w:highlight w:val="none"/>
              </w:rPr>
            </w:pPr>
            <w:r>
              <w:rPr>
                <w:rFonts w:hint="eastAsia"/>
                <w:color w:val="auto"/>
                <w:sz w:val="21"/>
                <w:szCs w:val="21"/>
                <w:highlight w:val="none"/>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7B58FD30">
            <w:pPr>
              <w:pStyle w:val="49"/>
              <w:jc w:val="center"/>
              <w:rPr>
                <w:color w:val="auto"/>
                <w:sz w:val="21"/>
                <w:szCs w:val="21"/>
                <w:highlight w:val="none"/>
              </w:rPr>
            </w:pPr>
            <w:r>
              <w:rPr>
                <w:rFonts w:hint="eastAsia"/>
                <w:color w:val="auto"/>
                <w:sz w:val="21"/>
                <w:szCs w:val="21"/>
                <w:highlight w:val="none"/>
              </w:rPr>
              <w:t>总价</w:t>
            </w:r>
          </w:p>
          <w:p w14:paraId="2B8D01D4">
            <w:pPr>
              <w:pStyle w:val="49"/>
              <w:jc w:val="center"/>
              <w:rPr>
                <w:color w:val="auto"/>
                <w:sz w:val="21"/>
                <w:szCs w:val="21"/>
                <w:highlight w:val="none"/>
              </w:rPr>
            </w:pPr>
            <w:r>
              <w:rPr>
                <w:rFonts w:hint="eastAsia"/>
                <w:color w:val="auto"/>
                <w:sz w:val="21"/>
                <w:szCs w:val="21"/>
                <w:highlight w:val="none"/>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04FBA906">
            <w:pPr>
              <w:pStyle w:val="49"/>
              <w:jc w:val="center"/>
              <w:rPr>
                <w:color w:val="auto"/>
                <w:sz w:val="21"/>
                <w:szCs w:val="21"/>
                <w:highlight w:val="none"/>
              </w:rPr>
            </w:pPr>
            <w:r>
              <w:rPr>
                <w:rFonts w:hint="eastAsia"/>
                <w:color w:val="auto"/>
                <w:sz w:val="21"/>
                <w:szCs w:val="21"/>
                <w:highlight w:val="none"/>
              </w:rPr>
              <w:t>属强制采购或优先采购</w:t>
            </w:r>
          </w:p>
        </w:tc>
      </w:tr>
      <w:tr w14:paraId="0B7A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062F6E4">
            <w:pPr>
              <w:pStyle w:val="49"/>
              <w:numPr>
                <w:ilvl w:val="0"/>
                <w:numId w:val="12"/>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40150CC3">
            <w:pPr>
              <w:pStyle w:val="49"/>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13B14BA8">
            <w:pPr>
              <w:pStyle w:val="49"/>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608F47C0">
            <w:pPr>
              <w:pStyle w:val="49"/>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24405E13">
            <w:pPr>
              <w:pStyle w:val="49"/>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13F13E44">
            <w:pPr>
              <w:pStyle w:val="49"/>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48B5DB96">
            <w:pPr>
              <w:pStyle w:val="49"/>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6B625590">
            <w:pPr>
              <w:pStyle w:val="49"/>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E92B067">
            <w:pPr>
              <w:pStyle w:val="49"/>
              <w:jc w:val="center"/>
              <w:rPr>
                <w:color w:val="auto"/>
                <w:sz w:val="21"/>
                <w:szCs w:val="21"/>
                <w:highlight w:val="none"/>
              </w:rPr>
            </w:pPr>
          </w:p>
        </w:tc>
      </w:tr>
      <w:tr w14:paraId="0E72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3194D91">
            <w:pPr>
              <w:pStyle w:val="49"/>
              <w:numPr>
                <w:ilvl w:val="0"/>
                <w:numId w:val="12"/>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9339E9C">
            <w:pPr>
              <w:pStyle w:val="49"/>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6588A5D6">
            <w:pPr>
              <w:pStyle w:val="49"/>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3487ED51">
            <w:pPr>
              <w:pStyle w:val="49"/>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BED723B">
            <w:pPr>
              <w:pStyle w:val="49"/>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29FD1D1D">
            <w:pPr>
              <w:pStyle w:val="49"/>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07077735">
            <w:pPr>
              <w:pStyle w:val="49"/>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5509E830">
            <w:pPr>
              <w:pStyle w:val="49"/>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3F870C5">
            <w:pPr>
              <w:pStyle w:val="49"/>
              <w:jc w:val="center"/>
              <w:rPr>
                <w:color w:val="auto"/>
                <w:sz w:val="21"/>
                <w:szCs w:val="21"/>
                <w:highlight w:val="none"/>
              </w:rPr>
            </w:pPr>
          </w:p>
        </w:tc>
      </w:tr>
      <w:tr w14:paraId="34C0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2D699565">
            <w:pPr>
              <w:pStyle w:val="49"/>
              <w:numPr>
                <w:ilvl w:val="0"/>
                <w:numId w:val="12"/>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597DB33">
            <w:pPr>
              <w:pStyle w:val="49"/>
              <w:jc w:val="center"/>
              <w:rPr>
                <w:color w:val="auto"/>
                <w:sz w:val="21"/>
                <w:szCs w:val="21"/>
                <w:highlight w:val="none"/>
              </w:rPr>
            </w:pPr>
            <w:r>
              <w:rPr>
                <w:color w:val="auto"/>
                <w:sz w:val="21"/>
                <w:szCs w:val="21"/>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05F43678">
            <w:pPr>
              <w:pStyle w:val="49"/>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16995ABF">
            <w:pPr>
              <w:pStyle w:val="49"/>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0FADCDC4">
            <w:pPr>
              <w:pStyle w:val="49"/>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076DB47F">
            <w:pPr>
              <w:pStyle w:val="49"/>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31B52845">
            <w:pPr>
              <w:pStyle w:val="49"/>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45544B80">
            <w:pPr>
              <w:pStyle w:val="49"/>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71E6D10A">
            <w:pPr>
              <w:pStyle w:val="49"/>
              <w:jc w:val="center"/>
              <w:rPr>
                <w:color w:val="auto"/>
                <w:sz w:val="21"/>
                <w:szCs w:val="21"/>
                <w:highlight w:val="none"/>
              </w:rPr>
            </w:pPr>
          </w:p>
        </w:tc>
      </w:tr>
    </w:tbl>
    <w:p w14:paraId="69FC8255">
      <w:pPr>
        <w:spacing w:line="300" w:lineRule="auto"/>
        <w:rPr>
          <w:rFonts w:ascii="Arial" w:hAnsi="Arial" w:cs="Arial"/>
          <w:color w:val="auto"/>
          <w:szCs w:val="21"/>
          <w:highlight w:val="none"/>
        </w:rPr>
      </w:pPr>
    </w:p>
    <w:p w14:paraId="690A0756">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环保产品</w:t>
      </w:r>
    </w:p>
    <w:tbl>
      <w:tblPr>
        <w:tblStyle w:val="3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2A8D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77E4A95E">
            <w:pPr>
              <w:pStyle w:val="49"/>
              <w:jc w:val="center"/>
              <w:rPr>
                <w:color w:val="auto"/>
                <w:sz w:val="21"/>
                <w:szCs w:val="21"/>
                <w:highlight w:val="none"/>
              </w:rPr>
            </w:pPr>
            <w:r>
              <w:rPr>
                <w:rFonts w:hint="eastAsia"/>
                <w:color w:val="auto"/>
                <w:sz w:val="21"/>
                <w:szCs w:val="21"/>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6AA91FB1">
            <w:pPr>
              <w:pStyle w:val="49"/>
              <w:jc w:val="center"/>
              <w:rPr>
                <w:color w:val="auto"/>
                <w:sz w:val="21"/>
                <w:szCs w:val="21"/>
                <w:highlight w:val="none"/>
              </w:rPr>
            </w:pPr>
            <w:r>
              <w:rPr>
                <w:rFonts w:hint="eastAsia"/>
                <w:color w:val="auto"/>
                <w:sz w:val="21"/>
                <w:szCs w:val="21"/>
                <w:highlight w:val="none"/>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67EAA52F">
            <w:pPr>
              <w:pStyle w:val="49"/>
              <w:jc w:val="center"/>
              <w:rPr>
                <w:color w:val="auto"/>
                <w:sz w:val="21"/>
                <w:szCs w:val="21"/>
                <w:highlight w:val="none"/>
              </w:rPr>
            </w:pPr>
            <w:r>
              <w:rPr>
                <w:rFonts w:hint="eastAsia"/>
                <w:color w:val="auto"/>
                <w:sz w:val="21"/>
                <w:szCs w:val="21"/>
                <w:highlight w:val="none"/>
              </w:rPr>
              <w:t>制造商</w:t>
            </w:r>
          </w:p>
          <w:p w14:paraId="5B3863C9">
            <w:pPr>
              <w:pStyle w:val="49"/>
              <w:jc w:val="center"/>
              <w:rPr>
                <w:color w:val="auto"/>
                <w:sz w:val="21"/>
                <w:szCs w:val="21"/>
                <w:highlight w:val="none"/>
              </w:rPr>
            </w:pPr>
            <w:r>
              <w:rPr>
                <w:rFonts w:hint="eastAsia"/>
                <w:color w:val="auto"/>
                <w:sz w:val="21"/>
                <w:szCs w:val="21"/>
                <w:highlight w:val="none"/>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2D914167">
            <w:pPr>
              <w:pStyle w:val="49"/>
              <w:jc w:val="center"/>
              <w:rPr>
                <w:color w:val="auto"/>
                <w:sz w:val="21"/>
                <w:szCs w:val="21"/>
                <w:highlight w:val="none"/>
              </w:rPr>
            </w:pPr>
            <w:r>
              <w:rPr>
                <w:rFonts w:hint="eastAsia"/>
                <w:color w:val="auto"/>
                <w:sz w:val="21"/>
                <w:szCs w:val="21"/>
                <w:highlight w:val="none"/>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17525B5A">
            <w:pPr>
              <w:pStyle w:val="49"/>
              <w:jc w:val="center"/>
              <w:rPr>
                <w:color w:val="auto"/>
                <w:sz w:val="21"/>
                <w:szCs w:val="21"/>
                <w:highlight w:val="none"/>
              </w:rPr>
            </w:pPr>
            <w:r>
              <w:rPr>
                <w:rFonts w:hint="eastAsia"/>
                <w:color w:val="auto"/>
                <w:sz w:val="21"/>
                <w:szCs w:val="21"/>
                <w:highlight w:val="none"/>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14090041">
            <w:pPr>
              <w:pStyle w:val="49"/>
              <w:jc w:val="center"/>
              <w:rPr>
                <w:color w:val="auto"/>
                <w:sz w:val="21"/>
                <w:szCs w:val="21"/>
                <w:highlight w:val="none"/>
              </w:rPr>
            </w:pPr>
            <w:r>
              <w:rPr>
                <w:rFonts w:hint="eastAsia"/>
                <w:color w:val="auto"/>
                <w:sz w:val="21"/>
                <w:szCs w:val="21"/>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2B9678EA">
            <w:pPr>
              <w:pStyle w:val="49"/>
              <w:jc w:val="center"/>
              <w:rPr>
                <w:color w:val="auto"/>
                <w:sz w:val="21"/>
                <w:szCs w:val="21"/>
                <w:highlight w:val="none"/>
              </w:rPr>
            </w:pPr>
            <w:r>
              <w:rPr>
                <w:rFonts w:hint="eastAsia"/>
                <w:color w:val="auto"/>
                <w:sz w:val="21"/>
                <w:szCs w:val="21"/>
                <w:highlight w:val="none"/>
              </w:rPr>
              <w:t>单价</w:t>
            </w:r>
          </w:p>
          <w:p w14:paraId="6E63CBD3">
            <w:pPr>
              <w:pStyle w:val="49"/>
              <w:jc w:val="center"/>
              <w:rPr>
                <w:color w:val="auto"/>
                <w:sz w:val="21"/>
                <w:szCs w:val="21"/>
                <w:highlight w:val="none"/>
              </w:rPr>
            </w:pPr>
            <w:r>
              <w:rPr>
                <w:rFonts w:hint="eastAsia"/>
                <w:color w:val="auto"/>
                <w:sz w:val="21"/>
                <w:szCs w:val="21"/>
                <w:highlight w:val="none"/>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26EF66A1">
            <w:pPr>
              <w:pStyle w:val="49"/>
              <w:jc w:val="center"/>
              <w:rPr>
                <w:color w:val="auto"/>
                <w:sz w:val="21"/>
                <w:szCs w:val="21"/>
                <w:highlight w:val="none"/>
              </w:rPr>
            </w:pPr>
            <w:r>
              <w:rPr>
                <w:rFonts w:hint="eastAsia"/>
                <w:color w:val="auto"/>
                <w:sz w:val="21"/>
                <w:szCs w:val="21"/>
                <w:highlight w:val="none"/>
              </w:rPr>
              <w:t>总价</w:t>
            </w:r>
          </w:p>
          <w:p w14:paraId="1881B9EC">
            <w:pPr>
              <w:pStyle w:val="49"/>
              <w:jc w:val="center"/>
              <w:rPr>
                <w:color w:val="auto"/>
                <w:sz w:val="21"/>
                <w:szCs w:val="21"/>
                <w:highlight w:val="none"/>
              </w:rPr>
            </w:pPr>
            <w:r>
              <w:rPr>
                <w:rFonts w:hint="eastAsia"/>
                <w:color w:val="auto"/>
                <w:sz w:val="21"/>
                <w:szCs w:val="21"/>
                <w:highlight w:val="none"/>
              </w:rPr>
              <w:t>（万元）</w:t>
            </w:r>
          </w:p>
        </w:tc>
      </w:tr>
      <w:tr w14:paraId="5F47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8E36FE7">
            <w:pPr>
              <w:pStyle w:val="49"/>
              <w:numPr>
                <w:ilvl w:val="0"/>
                <w:numId w:val="13"/>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1A20E62A">
            <w:pPr>
              <w:pStyle w:val="49"/>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22CDEC64">
            <w:pPr>
              <w:pStyle w:val="49"/>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38AE6B2">
            <w:pPr>
              <w:pStyle w:val="49"/>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0C76BF9">
            <w:pPr>
              <w:pStyle w:val="49"/>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B09EBD6">
            <w:pPr>
              <w:pStyle w:val="49"/>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3251BCE0">
            <w:pPr>
              <w:pStyle w:val="49"/>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05694893">
            <w:pPr>
              <w:pStyle w:val="49"/>
              <w:jc w:val="center"/>
              <w:rPr>
                <w:color w:val="auto"/>
                <w:sz w:val="21"/>
                <w:szCs w:val="21"/>
                <w:highlight w:val="none"/>
              </w:rPr>
            </w:pPr>
          </w:p>
        </w:tc>
      </w:tr>
      <w:tr w14:paraId="6A99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18EBBE11">
            <w:pPr>
              <w:pStyle w:val="49"/>
              <w:numPr>
                <w:ilvl w:val="0"/>
                <w:numId w:val="13"/>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A771DE4">
            <w:pPr>
              <w:pStyle w:val="49"/>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0F663DA6">
            <w:pPr>
              <w:pStyle w:val="49"/>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FCE4627">
            <w:pPr>
              <w:pStyle w:val="49"/>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E80F2A5">
            <w:pPr>
              <w:pStyle w:val="49"/>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493FC86">
            <w:pPr>
              <w:pStyle w:val="49"/>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3C2160F0">
            <w:pPr>
              <w:pStyle w:val="49"/>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7238DDC0">
            <w:pPr>
              <w:pStyle w:val="49"/>
              <w:jc w:val="center"/>
              <w:rPr>
                <w:color w:val="auto"/>
                <w:sz w:val="21"/>
                <w:szCs w:val="21"/>
                <w:highlight w:val="none"/>
              </w:rPr>
            </w:pPr>
          </w:p>
        </w:tc>
      </w:tr>
      <w:tr w14:paraId="24B6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C90CD05">
            <w:pPr>
              <w:pStyle w:val="49"/>
              <w:numPr>
                <w:ilvl w:val="0"/>
                <w:numId w:val="13"/>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28A1074">
            <w:pPr>
              <w:pStyle w:val="49"/>
              <w:jc w:val="center"/>
              <w:rPr>
                <w:color w:val="auto"/>
                <w:sz w:val="21"/>
                <w:szCs w:val="21"/>
                <w:highlight w:val="none"/>
              </w:rPr>
            </w:pPr>
            <w:r>
              <w:rPr>
                <w:color w:val="auto"/>
                <w:sz w:val="21"/>
                <w:szCs w:val="21"/>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14:paraId="47CBFD42">
            <w:pPr>
              <w:pStyle w:val="49"/>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2A3673E">
            <w:pPr>
              <w:pStyle w:val="49"/>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3112494">
            <w:pPr>
              <w:pStyle w:val="49"/>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FF974A1">
            <w:pPr>
              <w:pStyle w:val="49"/>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57425C45">
            <w:pPr>
              <w:pStyle w:val="49"/>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31F5DC44">
            <w:pPr>
              <w:pStyle w:val="49"/>
              <w:jc w:val="center"/>
              <w:rPr>
                <w:color w:val="auto"/>
                <w:sz w:val="21"/>
                <w:szCs w:val="21"/>
                <w:highlight w:val="none"/>
              </w:rPr>
            </w:pPr>
          </w:p>
        </w:tc>
      </w:tr>
    </w:tbl>
    <w:p w14:paraId="7D386FE8">
      <w:pPr>
        <w:spacing w:line="300" w:lineRule="auto"/>
        <w:rPr>
          <w:rFonts w:ascii="Arial" w:hAnsi="Arial" w:cs="Arial"/>
          <w:color w:val="auto"/>
          <w:szCs w:val="21"/>
          <w:highlight w:val="none"/>
        </w:rPr>
      </w:pPr>
    </w:p>
    <w:p w14:paraId="606E5A08">
      <w:pPr>
        <w:rPr>
          <w:rFonts w:ascii="Arial" w:hAnsi="Arial" w:cs="Arial"/>
          <w:b/>
          <w:color w:val="auto"/>
          <w:sz w:val="21"/>
          <w:szCs w:val="21"/>
          <w:highlight w:val="none"/>
        </w:rPr>
      </w:pPr>
      <w:r>
        <w:rPr>
          <w:rFonts w:hint="eastAsia" w:ascii="Arial" w:hAnsi="Arial" w:cs="Arial"/>
          <w:b/>
          <w:color w:val="auto"/>
          <w:sz w:val="21"/>
          <w:szCs w:val="21"/>
          <w:highlight w:val="none"/>
        </w:rPr>
        <w:t>特别说明：投标人应将所投产品中节能、环保产品分别列入上表中，并按本招标文件</w:t>
      </w:r>
      <w:r>
        <w:rPr>
          <w:rFonts w:hint="eastAsia" w:ascii="Arial" w:hAnsi="Arial" w:cs="Arial"/>
          <w:b/>
          <w:color w:val="auto"/>
          <w:sz w:val="21"/>
          <w:szCs w:val="21"/>
          <w:highlight w:val="none"/>
          <w:lang w:val="en-US" w:eastAsia="zh-CN"/>
        </w:rPr>
        <w:t>“</w:t>
      </w:r>
      <w:r>
        <w:rPr>
          <w:rFonts w:hint="eastAsia" w:ascii="Arial" w:hAnsi="Arial" w:cs="Arial"/>
          <w:b/>
          <w:color w:val="auto"/>
          <w:sz w:val="21"/>
          <w:szCs w:val="21"/>
          <w:highlight w:val="none"/>
        </w:rPr>
        <w:t>第二章</w:t>
      </w:r>
      <w:r>
        <w:rPr>
          <w:rFonts w:hint="eastAsia" w:ascii="Arial" w:hAnsi="Arial" w:cs="Arial"/>
          <w:b/>
          <w:color w:val="auto"/>
          <w:sz w:val="21"/>
          <w:szCs w:val="21"/>
          <w:highlight w:val="none"/>
          <w:lang w:val="en-US" w:eastAsia="zh-CN"/>
        </w:rPr>
        <w:t>投标人须知”</w:t>
      </w:r>
      <w:r>
        <w:rPr>
          <w:rFonts w:hint="eastAsia" w:ascii="Arial" w:hAnsi="Arial" w:cs="Arial"/>
          <w:b/>
          <w:color w:val="auto"/>
          <w:sz w:val="21"/>
          <w:szCs w:val="21"/>
          <w:highlight w:val="none"/>
        </w:rPr>
        <w:t>提供相关证明材料，未填写本表或未提供有效认证证书</w:t>
      </w:r>
      <w:r>
        <w:rPr>
          <w:rFonts w:ascii="Arial" w:hAnsi="Arial" w:cs="Arial"/>
          <w:b/>
          <w:color w:val="auto"/>
          <w:sz w:val="21"/>
          <w:szCs w:val="21"/>
          <w:highlight w:val="none"/>
        </w:rPr>
        <w:t>的</w:t>
      </w:r>
      <w:r>
        <w:rPr>
          <w:rFonts w:hint="eastAsia" w:ascii="Arial" w:hAnsi="Arial" w:cs="Arial"/>
          <w:b/>
          <w:color w:val="auto"/>
          <w:sz w:val="21"/>
          <w:szCs w:val="21"/>
          <w:highlight w:val="none"/>
        </w:rPr>
        <w:t>不给予</w:t>
      </w:r>
      <w:r>
        <w:rPr>
          <w:rFonts w:ascii="Arial" w:hAnsi="Arial" w:cs="Arial"/>
          <w:b/>
          <w:color w:val="auto"/>
          <w:sz w:val="21"/>
          <w:szCs w:val="21"/>
          <w:highlight w:val="none"/>
        </w:rPr>
        <w:t>价格扣除</w:t>
      </w:r>
      <w:r>
        <w:rPr>
          <w:rFonts w:hint="eastAsia" w:ascii="Arial" w:hAnsi="Arial" w:cs="Arial"/>
          <w:b/>
          <w:color w:val="auto"/>
          <w:sz w:val="21"/>
          <w:szCs w:val="21"/>
          <w:highlight w:val="none"/>
        </w:rPr>
        <w:t>。</w:t>
      </w:r>
    </w:p>
    <w:p w14:paraId="675C9164">
      <w:pPr>
        <w:spacing w:line="300" w:lineRule="auto"/>
        <w:rPr>
          <w:rFonts w:ascii="Arial" w:hAnsi="Arial" w:cs="Arial"/>
          <w:color w:val="auto"/>
          <w:szCs w:val="21"/>
          <w:highlight w:val="none"/>
        </w:rPr>
      </w:pPr>
    </w:p>
    <w:p w14:paraId="402F965E">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3068A70D">
      <w:pPr>
        <w:rPr>
          <w:rFonts w:ascii="Arial" w:hAnsi="Arial" w:cs="Arial"/>
          <w:color w:val="auto"/>
          <w:szCs w:val="21"/>
          <w:highlight w:val="none"/>
        </w:rPr>
      </w:pPr>
      <w:r>
        <w:rPr>
          <w:rFonts w:ascii="Arial" w:hAnsi="Arial" w:cs="Arial"/>
          <w:color w:val="auto"/>
          <w:szCs w:val="21"/>
          <w:highlight w:val="none"/>
        </w:rPr>
        <w:t>日期：</w:t>
      </w:r>
    </w:p>
    <w:p w14:paraId="70617D68">
      <w:pPr>
        <w:rPr>
          <w:rFonts w:ascii="Arial" w:hAnsi="Arial" w:cs="Arial"/>
          <w:color w:val="auto"/>
          <w:szCs w:val="21"/>
          <w:highlight w:val="none"/>
        </w:rPr>
      </w:pPr>
      <w:r>
        <w:rPr>
          <w:rFonts w:ascii="Arial" w:hAnsi="Arial" w:cs="Arial"/>
          <w:color w:val="auto"/>
          <w:szCs w:val="21"/>
          <w:highlight w:val="none"/>
        </w:rPr>
        <w:br w:type="page"/>
      </w:r>
    </w:p>
    <w:p w14:paraId="606B2EA5">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theme="minorBidi"/>
          <w:b/>
          <w:bCs/>
          <w:color w:val="auto"/>
          <w:kern w:val="2"/>
          <w:sz w:val="24"/>
          <w:szCs w:val="24"/>
          <w:highlight w:val="none"/>
          <w:lang w:val="en-US" w:eastAsia="zh-CN" w:bidi="ar-SA"/>
        </w:rPr>
      </w:pPr>
      <w:bookmarkStart w:id="620" w:name="_Toc8969"/>
      <w:bookmarkStart w:id="621" w:name="_Toc163492939"/>
      <w:r>
        <w:rPr>
          <w:rFonts w:hint="eastAsia" w:ascii="宋体" w:hAnsi="宋体" w:eastAsia="宋体" w:cstheme="minorBidi"/>
          <w:b/>
          <w:bCs/>
          <w:color w:val="auto"/>
          <w:kern w:val="2"/>
          <w:sz w:val="24"/>
          <w:szCs w:val="24"/>
          <w:highlight w:val="none"/>
          <w:lang w:val="en-US" w:eastAsia="zh-CN" w:bidi="ar-SA"/>
        </w:rPr>
        <w:t>（二）中小企业声明函</w:t>
      </w:r>
      <w:r>
        <w:rPr>
          <w:rFonts w:hint="eastAsia" w:ascii="宋体" w:hAnsi="宋体" w:eastAsia="宋体" w:cstheme="minorBidi"/>
          <w:b w:val="0"/>
          <w:bCs w:val="0"/>
          <w:color w:val="auto"/>
          <w:kern w:val="2"/>
          <w:sz w:val="24"/>
          <w:szCs w:val="24"/>
          <w:highlight w:val="none"/>
          <w:lang w:val="en-US" w:eastAsia="zh-CN" w:bidi="ar-SA"/>
        </w:rPr>
        <w:t>【</w:t>
      </w:r>
      <w:r>
        <w:rPr>
          <w:rFonts w:hint="eastAsia" w:cstheme="minorBidi"/>
          <w:b w:val="0"/>
          <w:bCs w:val="0"/>
          <w:i w:val="0"/>
          <w:iCs w:val="0"/>
          <w:color w:val="auto"/>
          <w:kern w:val="2"/>
          <w:sz w:val="24"/>
          <w:szCs w:val="24"/>
          <w:highlight w:val="none"/>
          <w:lang w:val="en-US" w:eastAsia="zh-CN" w:bidi="ar-SA"/>
        </w:rPr>
        <w:t>如专门面向中小企业采购的项目，此函可放于此处，否则，应后置于“其他资格证明文件”</w:t>
      </w:r>
      <w:r>
        <w:rPr>
          <w:rFonts w:hint="eastAsia" w:ascii="宋体" w:hAnsi="宋体" w:eastAsia="宋体" w:cstheme="minorBidi"/>
          <w:b w:val="0"/>
          <w:bCs w:val="0"/>
          <w:color w:val="auto"/>
          <w:kern w:val="2"/>
          <w:sz w:val="24"/>
          <w:szCs w:val="24"/>
          <w:highlight w:val="none"/>
          <w:lang w:val="en-US" w:eastAsia="zh-CN" w:bidi="ar-SA"/>
        </w:rPr>
        <w:t>】</w:t>
      </w:r>
      <w:bookmarkEnd w:id="620"/>
      <w:bookmarkEnd w:id="621"/>
    </w:p>
    <w:p w14:paraId="7A518507">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b/>
          <w:bCs/>
          <w:color w:val="auto"/>
          <w:sz w:val="32"/>
          <w:szCs w:val="32"/>
          <w:highlight w:val="none"/>
        </w:rPr>
      </w:pPr>
    </w:p>
    <w:p w14:paraId="760F43E1">
      <w:pPr>
        <w:pStyle w:val="39"/>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中小企业声明函</w:t>
      </w:r>
    </w:p>
    <w:p w14:paraId="78BC1CF1">
      <w:pPr>
        <w:ind w:firstLine="424" w:firstLineChars="200"/>
        <w:rPr>
          <w:rFonts w:cs="宋体"/>
          <w:color w:val="auto"/>
          <w:spacing w:val="6"/>
          <w:szCs w:val="24"/>
          <w:highlight w:val="none"/>
        </w:rPr>
      </w:pPr>
      <w:r>
        <w:rPr>
          <w:rFonts w:hint="eastAsia" w:cs="宋体"/>
          <w:color w:val="auto"/>
          <w:spacing w:val="6"/>
          <w:szCs w:val="24"/>
          <w:highlight w:val="none"/>
        </w:rPr>
        <w:t>本公司（联合体）郑重声明，根据《政府采购促进中小企业发展管理办法》（财库﹝2020﹞46 号）的规定，本公司（联合体）参加</w:t>
      </w:r>
      <w:r>
        <w:rPr>
          <w:rFonts w:hint="eastAsia" w:cs="宋体"/>
          <w:color w:val="auto"/>
          <w:spacing w:val="6"/>
          <w:szCs w:val="24"/>
          <w:highlight w:val="none"/>
          <w:u w:val="single"/>
        </w:rPr>
        <w:t xml:space="preserve"> （单位名称）</w:t>
      </w:r>
      <w:r>
        <w:rPr>
          <w:rFonts w:hint="eastAsia" w:cs="宋体"/>
          <w:color w:val="auto"/>
          <w:spacing w:val="6"/>
          <w:szCs w:val="24"/>
          <w:highlight w:val="none"/>
        </w:rPr>
        <w:t xml:space="preserve"> 的</w:t>
      </w:r>
      <w:r>
        <w:rPr>
          <w:rFonts w:hint="eastAsia" w:cs="宋体"/>
          <w:color w:val="auto"/>
          <w:spacing w:val="6"/>
          <w:szCs w:val="24"/>
          <w:highlight w:val="none"/>
          <w:u w:val="single"/>
        </w:rPr>
        <w:t xml:space="preserve"> （项目名称） </w:t>
      </w:r>
      <w:r>
        <w:rPr>
          <w:rFonts w:hint="eastAsia" w:cs="宋体"/>
          <w:color w:val="auto"/>
          <w:spacing w:val="6"/>
          <w:szCs w:val="24"/>
          <w:highlight w:val="none"/>
        </w:rPr>
        <w:t>采购活动，提供的货物全部由符合政策要求的中小企业制造。相关企业（含联合体中的中小企业、签订分包意向协议的中小企业）的具体情况如下：</w:t>
      </w:r>
    </w:p>
    <w:p w14:paraId="5FCC96F1">
      <w:pPr>
        <w:ind w:firstLine="424" w:firstLineChars="200"/>
        <w:rPr>
          <w:rFonts w:cs="宋体"/>
          <w:color w:val="auto"/>
          <w:spacing w:val="6"/>
          <w:szCs w:val="24"/>
          <w:highlight w:val="none"/>
        </w:rPr>
      </w:pPr>
      <w:r>
        <w:rPr>
          <w:rFonts w:hint="eastAsia" w:cs="宋体"/>
          <w:color w:val="auto"/>
          <w:spacing w:val="6"/>
          <w:szCs w:val="24"/>
          <w:highlight w:val="none"/>
        </w:rPr>
        <w:t>1.</w:t>
      </w:r>
      <w:r>
        <w:rPr>
          <w:rFonts w:hint="eastAsia" w:cs="宋体"/>
          <w:color w:val="auto"/>
          <w:spacing w:val="6"/>
          <w:szCs w:val="24"/>
          <w:highlight w:val="none"/>
          <w:u w:val="single"/>
        </w:rPr>
        <w:t xml:space="preserve"> （标的名称）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（采购文件中明确的所属行业）</w:t>
      </w:r>
      <w:r>
        <w:rPr>
          <w:rFonts w:hint="eastAsia" w:cs="宋体"/>
          <w:color w:val="auto"/>
          <w:spacing w:val="6"/>
          <w:szCs w:val="24"/>
          <w:highlight w:val="none"/>
        </w:rPr>
        <w:t>行业 ；制造商为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 xml:space="preserve"> （中型企业、小型企业、微型企业）</w:t>
      </w:r>
      <w:r>
        <w:rPr>
          <w:rFonts w:hint="eastAsia" w:cs="宋体"/>
          <w:color w:val="auto"/>
          <w:spacing w:val="6"/>
          <w:szCs w:val="24"/>
          <w:highlight w:val="none"/>
        </w:rPr>
        <w:t>；</w:t>
      </w:r>
    </w:p>
    <w:p w14:paraId="1D01E102">
      <w:pPr>
        <w:ind w:firstLine="424" w:firstLineChars="200"/>
        <w:rPr>
          <w:rFonts w:cs="宋体"/>
          <w:color w:val="auto"/>
          <w:spacing w:val="6"/>
          <w:szCs w:val="24"/>
          <w:highlight w:val="none"/>
        </w:rPr>
      </w:pPr>
      <w:r>
        <w:rPr>
          <w:rFonts w:hint="eastAsia" w:cs="宋体"/>
          <w:color w:val="auto"/>
          <w:spacing w:val="6"/>
          <w:szCs w:val="24"/>
          <w:highlight w:val="none"/>
        </w:rPr>
        <w:t>2.</w:t>
      </w:r>
      <w:r>
        <w:rPr>
          <w:rFonts w:hint="eastAsia" w:cs="宋体"/>
          <w:color w:val="auto"/>
          <w:spacing w:val="6"/>
          <w:szCs w:val="24"/>
          <w:highlight w:val="none"/>
          <w:u w:val="single"/>
        </w:rPr>
        <w:t xml:space="preserve"> （标的名称）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（采购文件中明确的所属行业）</w:t>
      </w:r>
      <w:r>
        <w:rPr>
          <w:rFonts w:hint="eastAsia" w:cs="宋体"/>
          <w:color w:val="auto"/>
          <w:spacing w:val="6"/>
          <w:szCs w:val="24"/>
          <w:highlight w:val="none"/>
        </w:rPr>
        <w:t>行业 ；制造商为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 xml:space="preserve"> （中型企业、小型企业、微型企业）</w:t>
      </w:r>
      <w:r>
        <w:rPr>
          <w:rFonts w:hint="eastAsia" w:cs="宋体"/>
          <w:color w:val="auto"/>
          <w:spacing w:val="6"/>
          <w:szCs w:val="24"/>
          <w:highlight w:val="none"/>
        </w:rPr>
        <w:t>；</w:t>
      </w:r>
    </w:p>
    <w:p w14:paraId="7CB1DD8C">
      <w:pPr>
        <w:ind w:firstLine="424" w:firstLineChars="200"/>
        <w:rPr>
          <w:rFonts w:cs="宋体"/>
          <w:color w:val="auto"/>
          <w:spacing w:val="6"/>
          <w:szCs w:val="24"/>
          <w:highlight w:val="none"/>
        </w:rPr>
      </w:pPr>
      <w:r>
        <w:rPr>
          <w:rFonts w:hint="eastAsia" w:cs="宋体"/>
          <w:color w:val="auto"/>
          <w:spacing w:val="6"/>
          <w:szCs w:val="24"/>
          <w:highlight w:val="none"/>
        </w:rPr>
        <w:t>……</w:t>
      </w:r>
    </w:p>
    <w:p w14:paraId="776FE44A">
      <w:pPr>
        <w:ind w:firstLine="424" w:firstLineChars="200"/>
        <w:rPr>
          <w:rFonts w:cs="宋体"/>
          <w:color w:val="auto"/>
          <w:spacing w:val="6"/>
          <w:szCs w:val="24"/>
          <w:highlight w:val="none"/>
        </w:rPr>
      </w:pPr>
      <w:r>
        <w:rPr>
          <w:rFonts w:hint="eastAsia" w:cs="宋体"/>
          <w:color w:val="auto"/>
          <w:spacing w:val="6"/>
          <w:szCs w:val="24"/>
          <w:highlight w:val="none"/>
        </w:rPr>
        <w:t>以上企业，不属于大企业的分支机构，不存在控股股东为大企业的情形，也不存在与大企业的负责人为同一人的情形。</w:t>
      </w:r>
    </w:p>
    <w:p w14:paraId="3A720EA2">
      <w:pPr>
        <w:ind w:firstLine="424" w:firstLineChars="200"/>
        <w:rPr>
          <w:rFonts w:cs="宋体"/>
          <w:color w:val="auto"/>
          <w:spacing w:val="6"/>
          <w:szCs w:val="24"/>
          <w:highlight w:val="none"/>
        </w:rPr>
      </w:pPr>
      <w:r>
        <w:rPr>
          <w:rFonts w:hint="eastAsia" w:cs="宋体"/>
          <w:color w:val="auto"/>
          <w:spacing w:val="6"/>
          <w:szCs w:val="24"/>
          <w:highlight w:val="none"/>
        </w:rPr>
        <w:t>本企业对上述声明内容的真实性负责。如有虚假，将依法承担相应责任。</w:t>
      </w:r>
    </w:p>
    <w:p w14:paraId="5A6D844B">
      <w:pPr>
        <w:ind w:right="1008" w:firstLine="4028" w:firstLineChars="1900"/>
        <w:rPr>
          <w:rFonts w:cs="宋体"/>
          <w:color w:val="auto"/>
          <w:spacing w:val="6"/>
          <w:szCs w:val="24"/>
          <w:highlight w:val="none"/>
        </w:rPr>
      </w:pPr>
    </w:p>
    <w:p w14:paraId="165AEE2D">
      <w:pPr>
        <w:ind w:right="1008" w:firstLine="3604" w:firstLineChars="1700"/>
        <w:rPr>
          <w:rFonts w:cs="宋体"/>
          <w:color w:val="auto"/>
          <w:spacing w:val="6"/>
          <w:szCs w:val="24"/>
          <w:highlight w:val="none"/>
        </w:rPr>
      </w:pPr>
      <w:r>
        <w:rPr>
          <w:rFonts w:hint="eastAsia" w:cs="宋体"/>
          <w:color w:val="auto"/>
          <w:spacing w:val="6"/>
          <w:szCs w:val="24"/>
          <w:highlight w:val="none"/>
          <w:lang w:val="en-US" w:eastAsia="zh-CN"/>
        </w:rPr>
        <w:t>投标人</w:t>
      </w:r>
      <w:r>
        <w:rPr>
          <w:rFonts w:hint="eastAsia" w:cs="宋体"/>
          <w:color w:val="auto"/>
          <w:spacing w:val="6"/>
          <w:szCs w:val="24"/>
          <w:highlight w:val="none"/>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宋体"/>
          <w:color w:val="auto"/>
          <w:spacing w:val="6"/>
          <w:szCs w:val="24"/>
          <w:highlight w:val="none"/>
        </w:rPr>
        <w:t>：</w:t>
      </w:r>
    </w:p>
    <w:p w14:paraId="5183E380">
      <w:pPr>
        <w:ind w:right="1008" w:firstLine="3604" w:firstLineChars="1700"/>
        <w:rPr>
          <w:rFonts w:hint="default" w:eastAsia="宋体" w:cs="宋体"/>
          <w:color w:val="auto"/>
          <w:spacing w:val="6"/>
          <w:szCs w:val="24"/>
          <w:highlight w:val="none"/>
          <w:lang w:val="en-US" w:eastAsia="zh-CN"/>
        </w:rPr>
      </w:pPr>
      <w:r>
        <w:rPr>
          <w:rFonts w:hint="eastAsia" w:cs="宋体"/>
          <w:color w:val="auto"/>
          <w:spacing w:val="6"/>
          <w:szCs w:val="24"/>
          <w:highlight w:val="none"/>
        </w:rPr>
        <w:t>日期：</w:t>
      </w:r>
      <w:r>
        <w:rPr>
          <w:rFonts w:hint="eastAsia" w:cs="宋体"/>
          <w:color w:val="auto"/>
          <w:spacing w:val="6"/>
          <w:szCs w:val="24"/>
          <w:highlight w:val="none"/>
          <w:lang w:val="en-US" w:eastAsia="zh-CN"/>
        </w:rPr>
        <w:t xml:space="preserve">   年  月  日</w:t>
      </w:r>
    </w:p>
    <w:p w14:paraId="7BA8C73B">
      <w:pPr>
        <w:ind w:firstLine="424" w:firstLineChars="200"/>
        <w:rPr>
          <w:rFonts w:cs="宋体"/>
          <w:color w:val="auto"/>
          <w:spacing w:val="6"/>
          <w:szCs w:val="24"/>
          <w:highlight w:val="none"/>
        </w:rPr>
      </w:pPr>
    </w:p>
    <w:p w14:paraId="748B4DD4">
      <w:pPr>
        <w:rPr>
          <w:rFonts w:hint="default" w:cs="宋体"/>
          <w:b/>
          <w:bCs/>
          <w:color w:val="auto"/>
          <w:spacing w:val="6"/>
          <w:sz w:val="21"/>
          <w:szCs w:val="21"/>
          <w:highlight w:val="none"/>
          <w:lang w:val="en-US" w:eastAsia="zh-CN"/>
        </w:rPr>
      </w:pPr>
      <w:r>
        <w:rPr>
          <w:rFonts w:hint="eastAsia" w:cs="宋体"/>
          <w:b/>
          <w:bCs/>
          <w:color w:val="auto"/>
          <w:spacing w:val="6"/>
          <w:sz w:val="21"/>
          <w:szCs w:val="21"/>
          <w:highlight w:val="none"/>
        </w:rPr>
        <w:t>说明：</w:t>
      </w:r>
      <w:r>
        <w:rPr>
          <w:rFonts w:hint="eastAsia" w:cs="宋体"/>
          <w:b/>
          <w:bCs/>
          <w:color w:val="auto"/>
          <w:spacing w:val="6"/>
          <w:sz w:val="21"/>
          <w:szCs w:val="21"/>
          <w:highlight w:val="none"/>
          <w:lang w:val="en-US" w:eastAsia="zh-CN"/>
        </w:rPr>
        <w:t>1.重要提示：供应商应仔细阅读本函附件1关于</w:t>
      </w:r>
      <w:r>
        <w:rPr>
          <w:rFonts w:hint="eastAsia" w:cs="宋体"/>
          <w:color w:val="auto"/>
          <w:spacing w:val="-6"/>
          <w:kern w:val="0"/>
          <w:sz w:val="21"/>
          <w:szCs w:val="21"/>
          <w:highlight w:val="none"/>
          <w:lang w:val="en-US" w:eastAsia="zh-CN" w:bidi="ar"/>
        </w:rPr>
        <w:t>“</w:t>
      </w:r>
      <w:r>
        <w:rPr>
          <w:rFonts w:hint="eastAsia" w:cs="宋体"/>
          <w:b/>
          <w:bCs/>
          <w:color w:val="auto"/>
          <w:spacing w:val="6"/>
          <w:sz w:val="21"/>
          <w:szCs w:val="21"/>
          <w:highlight w:val="none"/>
          <w:lang w:val="en-US" w:eastAsia="zh-CN"/>
        </w:rPr>
        <w:t>中小企业声明函”的填写要求及提交要求，否则，因填写或提交等产生的一切不利后果，须自行承担。</w:t>
      </w:r>
    </w:p>
    <w:p w14:paraId="126DF3AF">
      <w:pPr>
        <w:ind w:firstLine="666" w:firstLineChars="300"/>
        <w:rPr>
          <w:rFonts w:cs="宋体"/>
          <w:color w:val="auto"/>
          <w:spacing w:val="6"/>
          <w:sz w:val="21"/>
          <w:szCs w:val="21"/>
          <w:highlight w:val="none"/>
        </w:rPr>
      </w:pPr>
      <w:r>
        <w:rPr>
          <w:rFonts w:hint="eastAsia" w:cs="宋体"/>
          <w:b/>
          <w:bCs/>
          <w:color w:val="auto"/>
          <w:spacing w:val="6"/>
          <w:sz w:val="21"/>
          <w:szCs w:val="21"/>
          <w:highlight w:val="none"/>
          <w:lang w:val="en-US" w:eastAsia="zh-CN"/>
        </w:rPr>
        <w:t>2.</w:t>
      </w:r>
      <w:r>
        <w:rPr>
          <w:rFonts w:hint="eastAsia" w:cs="宋体"/>
          <w:color w:val="auto"/>
          <w:spacing w:val="6"/>
          <w:sz w:val="21"/>
          <w:szCs w:val="21"/>
          <w:highlight w:val="none"/>
        </w:rPr>
        <w:t>从业人员、营业收入、资产总额填报上一年度数据，无上一年度数据的新成立企业可不填报。</w:t>
      </w:r>
    </w:p>
    <w:p w14:paraId="54C60C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44B897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766576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3EAEDF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00376C3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color w:val="auto"/>
          <w:highlight w:val="none"/>
          <w:lang w:val="en-US" w:eastAsia="zh-CN"/>
        </w:rPr>
      </w:pPr>
      <w:r>
        <w:rPr>
          <w:rFonts w:hint="eastAsia"/>
          <w:b/>
          <w:bCs/>
          <w:color w:val="auto"/>
          <w:highlight w:val="none"/>
          <w:lang w:val="en-US" w:eastAsia="zh-CN"/>
        </w:rPr>
        <w:t xml:space="preserve">附件1 </w:t>
      </w:r>
    </w:p>
    <w:p w14:paraId="1B7EF9B9">
      <w:pPr>
        <w:keepNext w:val="0"/>
        <w:keepLines w:val="0"/>
        <w:widowControl/>
        <w:suppressLineNumbers w:val="0"/>
        <w:ind w:firstLine="562" w:firstLineChars="200"/>
        <w:jc w:val="left"/>
        <w:rPr>
          <w:rStyle w:val="33"/>
          <w:rFonts w:hint="eastAsia" w:ascii="宋体" w:hAnsi="宋体" w:eastAsia="宋体" w:cs="宋体"/>
          <w:color w:val="auto"/>
          <w:kern w:val="0"/>
          <w:sz w:val="28"/>
          <w:szCs w:val="28"/>
          <w:highlight w:val="none"/>
          <w:lang w:val="en-US" w:eastAsia="zh-CN" w:bidi="ar"/>
        </w:rPr>
      </w:pPr>
    </w:p>
    <w:p w14:paraId="2B5549A9">
      <w:pPr>
        <w:keepNext w:val="0"/>
        <w:keepLines w:val="0"/>
        <w:widowControl/>
        <w:suppressLineNumbers w:val="0"/>
        <w:ind w:firstLine="482" w:firstLineChars="200"/>
        <w:jc w:val="left"/>
        <w:rPr>
          <w:rStyle w:val="33"/>
          <w:rFonts w:hint="eastAsia" w:ascii="宋体" w:hAnsi="宋体" w:eastAsia="宋体" w:cs="宋体"/>
          <w:color w:val="auto"/>
          <w:kern w:val="0"/>
          <w:sz w:val="24"/>
          <w:szCs w:val="24"/>
          <w:highlight w:val="none"/>
          <w:lang w:val="en-US" w:eastAsia="zh-CN" w:bidi="ar"/>
        </w:rPr>
      </w:pPr>
      <w:r>
        <w:rPr>
          <w:rStyle w:val="33"/>
          <w:rFonts w:hint="eastAsia" w:ascii="宋体" w:hAnsi="宋体" w:eastAsia="宋体" w:cs="宋体"/>
          <w:color w:val="auto"/>
          <w:kern w:val="0"/>
          <w:sz w:val="24"/>
          <w:szCs w:val="24"/>
          <w:highlight w:val="none"/>
          <w:lang w:val="en-US" w:eastAsia="zh-CN" w:bidi="ar"/>
        </w:rPr>
        <w:t>（一）关于</w:t>
      </w:r>
      <w:r>
        <w:rPr>
          <w:rStyle w:val="33"/>
          <w:rFonts w:hint="eastAsia" w:cs="宋体"/>
          <w:color w:val="auto"/>
          <w:kern w:val="0"/>
          <w:sz w:val="24"/>
          <w:szCs w:val="24"/>
          <w:highlight w:val="none"/>
          <w:lang w:val="en-US" w:eastAsia="zh-CN" w:bidi="ar"/>
        </w:rPr>
        <w:t>“</w:t>
      </w:r>
      <w:r>
        <w:rPr>
          <w:rStyle w:val="33"/>
          <w:rFonts w:hint="eastAsia" w:ascii="宋体" w:hAnsi="宋体" w:eastAsia="宋体" w:cs="宋体"/>
          <w:color w:val="auto"/>
          <w:kern w:val="0"/>
          <w:sz w:val="24"/>
          <w:szCs w:val="24"/>
          <w:highlight w:val="none"/>
          <w:lang w:val="en-US" w:eastAsia="zh-CN" w:bidi="ar"/>
        </w:rPr>
        <w:t>中小企业声明函</w:t>
      </w:r>
      <w:r>
        <w:rPr>
          <w:rStyle w:val="33"/>
          <w:rFonts w:hint="eastAsia" w:cs="宋体"/>
          <w:color w:val="auto"/>
          <w:kern w:val="0"/>
          <w:sz w:val="24"/>
          <w:szCs w:val="24"/>
          <w:highlight w:val="none"/>
          <w:lang w:val="en-US" w:eastAsia="zh-CN" w:bidi="ar"/>
        </w:rPr>
        <w:t>”</w:t>
      </w:r>
      <w:r>
        <w:rPr>
          <w:rStyle w:val="33"/>
          <w:rFonts w:hint="eastAsia" w:ascii="宋体" w:hAnsi="宋体" w:eastAsia="宋体" w:cs="宋体"/>
          <w:color w:val="auto"/>
          <w:kern w:val="0"/>
          <w:sz w:val="24"/>
          <w:szCs w:val="24"/>
          <w:highlight w:val="none"/>
          <w:lang w:val="en-US" w:eastAsia="zh-CN" w:bidi="ar"/>
        </w:rPr>
        <w:t>的填写要求</w:t>
      </w:r>
    </w:p>
    <w:p w14:paraId="6BC4DF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具体填写要求如下：</w:t>
      </w:r>
    </w:p>
    <w:p w14:paraId="414BDE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1.“单位名称”应填写采购人名称。</w:t>
      </w:r>
    </w:p>
    <w:p w14:paraId="3C1114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02B61C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9C823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34D66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941B3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C9C37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5.“企业名称”应填写投标（响应）的货物制造商/服务承接商/工程承建商（根据项目属性确定）。</w:t>
      </w:r>
    </w:p>
    <w:p w14:paraId="1A04AF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对于分包方式面向中小企业采购的项目，“企业名称”应填写分包部分采购标的对应的货物制造商/服务承接商/工程承建商（根据项目属性确定）。</w:t>
      </w:r>
    </w:p>
    <w:p w14:paraId="67D008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47482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6.从业人员、资产总额指标以上年度末数据为依据，营业收入指标以上年度累计数据为依据。无上年度数据的新成立企业可不填报。</w:t>
      </w:r>
    </w:p>
    <w:p w14:paraId="417BB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载明的货物制造商/服务承接商/工程承建商（根据项目属性确定）是否属于采购文件所属行业的中型企业/小型企业/微型企业。</w:t>
      </w:r>
    </w:p>
    <w:p w14:paraId="0A3DD5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BA9439A">
      <w:pPr>
        <w:keepNext w:val="0"/>
        <w:keepLines w:val="0"/>
        <w:widowControl/>
        <w:suppressLineNumbers w:val="0"/>
        <w:ind w:firstLine="482" w:firstLineChars="200"/>
        <w:jc w:val="left"/>
        <w:rPr>
          <w:rStyle w:val="33"/>
          <w:rFonts w:hint="eastAsia" w:ascii="宋体" w:hAnsi="宋体" w:eastAsia="宋体" w:cs="宋体"/>
          <w:color w:val="auto"/>
          <w:kern w:val="0"/>
          <w:sz w:val="24"/>
          <w:szCs w:val="24"/>
          <w:highlight w:val="none"/>
          <w:lang w:val="en-US" w:eastAsia="zh-CN" w:bidi="ar"/>
        </w:rPr>
      </w:pPr>
      <w:r>
        <w:rPr>
          <w:rStyle w:val="33"/>
          <w:rFonts w:hint="eastAsia" w:ascii="宋体" w:hAnsi="宋体" w:eastAsia="宋体" w:cs="宋体"/>
          <w:color w:val="auto"/>
          <w:kern w:val="0"/>
          <w:sz w:val="24"/>
          <w:szCs w:val="24"/>
          <w:highlight w:val="none"/>
          <w:lang w:val="en-US" w:eastAsia="zh-CN" w:bidi="ar"/>
        </w:rPr>
        <w:t>（二）关于</w:t>
      </w:r>
      <w:r>
        <w:rPr>
          <w:rStyle w:val="33"/>
          <w:rFonts w:hint="eastAsia" w:cs="宋体"/>
          <w:color w:val="auto"/>
          <w:kern w:val="0"/>
          <w:sz w:val="24"/>
          <w:szCs w:val="24"/>
          <w:highlight w:val="none"/>
          <w:lang w:val="en-US" w:eastAsia="zh-CN" w:bidi="ar"/>
        </w:rPr>
        <w:t>“</w:t>
      </w:r>
      <w:r>
        <w:rPr>
          <w:rStyle w:val="33"/>
          <w:rFonts w:hint="eastAsia" w:ascii="宋体" w:hAnsi="宋体" w:eastAsia="宋体" w:cs="宋体"/>
          <w:color w:val="auto"/>
          <w:kern w:val="0"/>
          <w:sz w:val="24"/>
          <w:szCs w:val="24"/>
          <w:highlight w:val="none"/>
          <w:lang w:val="en-US" w:eastAsia="zh-CN" w:bidi="ar"/>
        </w:rPr>
        <w:t>中小企业声明函</w:t>
      </w:r>
      <w:r>
        <w:rPr>
          <w:rStyle w:val="33"/>
          <w:rFonts w:hint="eastAsia" w:cs="宋体"/>
          <w:color w:val="auto"/>
          <w:kern w:val="0"/>
          <w:sz w:val="24"/>
          <w:szCs w:val="24"/>
          <w:highlight w:val="none"/>
          <w:lang w:val="en-US" w:eastAsia="zh-CN" w:bidi="ar"/>
        </w:rPr>
        <w:t>”</w:t>
      </w:r>
      <w:r>
        <w:rPr>
          <w:rStyle w:val="33"/>
          <w:rFonts w:hint="eastAsia" w:ascii="宋体" w:hAnsi="宋体" w:eastAsia="宋体" w:cs="宋体"/>
          <w:color w:val="auto"/>
          <w:kern w:val="0"/>
          <w:sz w:val="24"/>
          <w:szCs w:val="24"/>
          <w:highlight w:val="none"/>
          <w:lang w:val="en-US" w:eastAsia="zh-CN" w:bidi="ar"/>
        </w:rPr>
        <w:t>的提交要求</w:t>
      </w:r>
    </w:p>
    <w:p w14:paraId="5F29A0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1.投标（响应）供应商对</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的真实性负责。投标（响应）供应商应当核实投标（响应）的货物制造商/服务承接商/工程承建商（根据项目属性确定）的相关信息，如对相关信息了解不充分，或者不能确定相关信息真实、准确的，不建议出具</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w:t>
      </w:r>
    </w:p>
    <w:p w14:paraId="49FFD3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2.鼓励供应商在投标（响应）时一并提供对货物制造商、服务承接商、工程承建商相关信息的核实核验情况以及其他佐证材料。</w:t>
      </w:r>
    </w:p>
    <w:p w14:paraId="15483C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3.如供应商提供的</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E224C04">
      <w:pPr>
        <w:rPr>
          <w:rFonts w:cs="宋体"/>
          <w:color w:val="auto"/>
          <w:spacing w:val="6"/>
          <w:sz w:val="21"/>
          <w:szCs w:val="21"/>
          <w:highlight w:val="none"/>
        </w:rPr>
      </w:pPr>
    </w:p>
    <w:p w14:paraId="511B2B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附件2：</w:t>
      </w:r>
    </w:p>
    <w:p w14:paraId="39036397">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关于印发中小企业划型标准规定的通知</w:t>
      </w:r>
    </w:p>
    <w:p w14:paraId="7A2004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3"/>
          <w:rFonts w:hint="eastAsia" w:ascii="宋体" w:hAnsi="宋体" w:eastAsia="宋体" w:cs="宋体"/>
          <w:b w:val="0"/>
          <w:color w:val="auto"/>
          <w:sz w:val="24"/>
          <w:szCs w:val="24"/>
          <w:highlight w:val="none"/>
        </w:rPr>
      </w:pPr>
      <w:r>
        <w:rPr>
          <w:rStyle w:val="33"/>
          <w:rFonts w:hint="eastAsia" w:ascii="宋体" w:hAnsi="宋体" w:eastAsia="宋体" w:cs="宋体"/>
          <w:b w:val="0"/>
          <w:color w:val="auto"/>
          <w:sz w:val="24"/>
          <w:szCs w:val="24"/>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3"/>
          <w:rFonts w:hint="eastAsia" w:ascii="宋体" w:hAnsi="宋体" w:eastAsia="宋体" w:cs="宋体"/>
          <w:b w:val="0"/>
          <w:color w:val="auto"/>
          <w:sz w:val="24"/>
          <w:szCs w:val="24"/>
          <w:highlight w:val="none"/>
        </w:rPr>
      </w:pPr>
    </w:p>
    <w:p w14:paraId="289C59A7">
      <w:pPr>
        <w:keepNext w:val="0"/>
        <w:keepLines w:val="0"/>
        <w:pageBreakBefore w:val="0"/>
        <w:widowControl w:val="0"/>
        <w:kinsoku/>
        <w:wordWrap/>
        <w:overflowPunct/>
        <w:topLinePunct w:val="0"/>
        <w:autoSpaceDE/>
        <w:autoSpaceDN/>
        <w:bidi w:val="0"/>
        <w:adjustRightInd/>
        <w:snapToGrid/>
        <w:spacing w:line="360" w:lineRule="exact"/>
        <w:textAlignment w:val="auto"/>
        <w:rPr>
          <w:rStyle w:val="33"/>
          <w:rFonts w:hint="eastAsia" w:ascii="宋体" w:hAnsi="宋体" w:eastAsia="宋体" w:cs="宋体"/>
          <w:b w:val="0"/>
          <w:color w:val="auto"/>
          <w:sz w:val="24"/>
          <w:szCs w:val="24"/>
          <w:highlight w:val="none"/>
        </w:rPr>
      </w:pPr>
      <w:r>
        <w:rPr>
          <w:rStyle w:val="33"/>
          <w:rFonts w:hint="eastAsia" w:ascii="宋体" w:hAnsi="宋体" w:eastAsia="宋体" w:cs="宋体"/>
          <w:b w:val="0"/>
          <w:color w:val="auto"/>
          <w:sz w:val="24"/>
          <w:szCs w:val="24"/>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36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36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3"/>
          <w:rFonts w:hint="eastAsia" w:ascii="宋体" w:hAnsi="宋体" w:eastAsia="宋体" w:cs="宋体"/>
          <w:b/>
          <w:bCs w:val="0"/>
          <w:color w:val="auto"/>
          <w:sz w:val="28"/>
          <w:szCs w:val="28"/>
          <w:highlight w:val="none"/>
        </w:rPr>
      </w:pPr>
      <w:r>
        <w:rPr>
          <w:rStyle w:val="33"/>
          <w:rFonts w:hint="eastAsia" w:ascii="宋体" w:hAnsi="宋体" w:eastAsia="宋体" w:cs="宋体"/>
          <w:b/>
          <w:bCs w:val="0"/>
          <w:color w:val="auto"/>
          <w:sz w:val="28"/>
          <w:szCs w:val="28"/>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八、本规定由工业和信息化部、国家统计局会同有关部门根据《国民经济行业分类》修订情况和企业发展变化情况适时修订。</w:t>
      </w:r>
    </w:p>
    <w:p w14:paraId="69D789A4">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九、本规定由工业和信息化部、国家统计局会同有关部门负责解释。</w:t>
      </w:r>
    </w:p>
    <w:p w14:paraId="4299A031">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color w:val="auto"/>
          <w:spacing w:val="6"/>
          <w:sz w:val="21"/>
          <w:szCs w:val="21"/>
          <w:highlight w:val="none"/>
        </w:rPr>
      </w:pPr>
      <w:r>
        <w:rPr>
          <w:rStyle w:val="33"/>
          <w:rFonts w:hint="eastAsia" w:ascii="宋体" w:hAnsi="宋体" w:eastAsia="宋体" w:cs="宋体"/>
          <w:b w:val="0"/>
          <w:bCs w:val="0"/>
          <w:color w:val="auto"/>
          <w:sz w:val="24"/>
          <w:szCs w:val="24"/>
          <w:highlight w:val="none"/>
        </w:rPr>
        <w:t>十、本规定自发布之日起执行，原国家经贸委、原国家计委、财政部和国家统计局2003年颁布的《中小企业标准暂行规定》同时废止。</w:t>
      </w:r>
    </w:p>
    <w:p w14:paraId="2CABEDA6">
      <w:pPr>
        <w:rPr>
          <w:rFonts w:cs="宋体"/>
          <w:color w:val="auto"/>
          <w:spacing w:val="6"/>
          <w:sz w:val="21"/>
          <w:szCs w:val="21"/>
          <w:highlight w:val="none"/>
        </w:rPr>
      </w:pPr>
    </w:p>
    <w:p w14:paraId="69E3A359">
      <w:pPr>
        <w:rPr>
          <w:rFonts w:cs="宋体"/>
          <w:color w:val="auto"/>
          <w:spacing w:val="6"/>
          <w:sz w:val="21"/>
          <w:szCs w:val="21"/>
          <w:highlight w:val="none"/>
        </w:rPr>
      </w:pPr>
    </w:p>
    <w:p w14:paraId="2DA82083">
      <w:pPr>
        <w:rPr>
          <w:rFonts w:cs="宋体"/>
          <w:color w:val="auto"/>
          <w:spacing w:val="6"/>
          <w:sz w:val="21"/>
          <w:szCs w:val="21"/>
          <w:highlight w:val="none"/>
        </w:rPr>
      </w:pPr>
    </w:p>
    <w:p w14:paraId="114021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附件3：</w:t>
      </w:r>
    </w:p>
    <w:p w14:paraId="69CF5111">
      <w:pPr>
        <w:rPr>
          <w:rFonts w:hint="eastAsia" w:cs="宋体"/>
          <w:color w:val="auto"/>
          <w:spacing w:val="6"/>
          <w:sz w:val="21"/>
          <w:szCs w:val="21"/>
          <w:highlight w:val="none"/>
        </w:rPr>
      </w:pPr>
    </w:p>
    <w:p w14:paraId="1C50A461">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关于印发《金融业企业划型标准规定》的通知</w:t>
      </w:r>
    </w:p>
    <w:p w14:paraId="2EC1ECF3">
      <w:pPr>
        <w:jc w:val="center"/>
        <w:rPr>
          <w:rStyle w:val="33"/>
          <w:rFonts w:hint="eastAsia" w:ascii="宋体" w:hAnsi="宋体" w:eastAsia="宋体" w:cs="宋体"/>
          <w:b w:val="0"/>
          <w:color w:val="auto"/>
          <w:sz w:val="24"/>
          <w:szCs w:val="24"/>
          <w:highlight w:val="none"/>
        </w:rPr>
      </w:pPr>
      <w:r>
        <w:rPr>
          <w:rStyle w:val="33"/>
          <w:rFonts w:hint="eastAsia" w:ascii="宋体" w:hAnsi="宋体" w:eastAsia="宋体" w:cs="宋体"/>
          <w:b w:val="0"/>
          <w:color w:val="auto"/>
          <w:sz w:val="24"/>
          <w:szCs w:val="24"/>
          <w:highlight w:val="none"/>
        </w:rPr>
        <w:t>银发〔2015〕309号</w:t>
      </w:r>
    </w:p>
    <w:p w14:paraId="6EBA1AEF">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2B6BFCB">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53F6A9E3">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3"/>
          <w:rFonts w:hint="eastAsia" w:ascii="宋体" w:hAnsi="宋体" w:eastAsia="宋体" w:cs="宋体"/>
          <w:b w:val="0"/>
          <w:bCs w:val="0"/>
          <w:color w:val="auto"/>
          <w:sz w:val="24"/>
          <w:szCs w:val="24"/>
          <w:highlight w:val="none"/>
        </w:rPr>
      </w:pPr>
    </w:p>
    <w:p w14:paraId="5AE5F476">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附件：金融业企业划型标准规定</w:t>
      </w:r>
    </w:p>
    <w:p w14:paraId="575D4BF4">
      <w:pPr>
        <w:keepNext w:val="0"/>
        <w:keepLines w:val="0"/>
        <w:pageBreakBefore w:val="0"/>
        <w:widowControl w:val="0"/>
        <w:kinsoku/>
        <w:wordWrap/>
        <w:overflowPunct/>
        <w:topLinePunct w:val="0"/>
        <w:autoSpaceDE/>
        <w:autoSpaceDN/>
        <w:bidi w:val="0"/>
        <w:adjustRightInd/>
        <w:snapToGrid/>
        <w:spacing w:line="460" w:lineRule="exact"/>
        <w:textAlignment w:val="auto"/>
        <w:rPr>
          <w:rStyle w:val="33"/>
          <w:rFonts w:hint="eastAsia" w:ascii="宋体" w:hAnsi="宋体" w:eastAsia="宋体" w:cs="宋体"/>
          <w:b w:val="0"/>
          <w:bCs w:val="0"/>
          <w:color w:val="auto"/>
          <w:sz w:val="24"/>
          <w:szCs w:val="24"/>
          <w:highlight w:val="none"/>
        </w:rPr>
      </w:pPr>
      <w:r>
        <w:rPr>
          <w:rFonts w:hint="eastAsia" w:cs="宋体"/>
          <w:color w:val="auto"/>
          <w:spacing w:val="6"/>
          <w:sz w:val="24"/>
          <w:szCs w:val="24"/>
          <w:highlight w:val="none"/>
        </w:rPr>
        <w:t>                                      </w:t>
      </w:r>
      <w:r>
        <w:rPr>
          <w:rStyle w:val="33"/>
          <w:rFonts w:hint="eastAsia" w:ascii="宋体" w:hAnsi="宋体" w:eastAsia="宋体" w:cs="宋体"/>
          <w:b w:val="0"/>
          <w:bCs w:val="0"/>
          <w:color w:val="auto"/>
          <w:sz w:val="24"/>
          <w:szCs w:val="24"/>
          <w:highlight w:val="none"/>
        </w:rPr>
        <w:t>       </w:t>
      </w:r>
      <w:r>
        <w:rPr>
          <w:rStyle w:val="33"/>
          <w:rFonts w:hint="eastAsia" w:cs="宋体"/>
          <w:b w:val="0"/>
          <w:bCs w:val="0"/>
          <w:color w:val="auto"/>
          <w:sz w:val="24"/>
          <w:szCs w:val="24"/>
          <w:highlight w:val="none"/>
          <w:lang w:val="en-US" w:eastAsia="zh-CN"/>
        </w:rPr>
        <w:t xml:space="preserve">                            </w:t>
      </w:r>
      <w:r>
        <w:rPr>
          <w:rStyle w:val="33"/>
          <w:rFonts w:hint="eastAsia" w:ascii="宋体" w:hAnsi="宋体" w:eastAsia="宋体" w:cs="宋体"/>
          <w:b w:val="0"/>
          <w:bCs w:val="0"/>
          <w:color w:val="auto"/>
          <w:sz w:val="24"/>
          <w:szCs w:val="24"/>
          <w:highlight w:val="none"/>
        </w:rPr>
        <w:t>中国人民银行</w:t>
      </w:r>
    </w:p>
    <w:p w14:paraId="0E162F05">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中国银行业监督管理委员会</w:t>
      </w:r>
    </w:p>
    <w:p w14:paraId="644A820C">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中国证券监督管理委员会</w:t>
      </w:r>
    </w:p>
    <w:p w14:paraId="13427FED">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中国保险监督管理委员会</w:t>
      </w:r>
    </w:p>
    <w:p w14:paraId="189E390E">
      <w:pPr>
        <w:keepNext w:val="0"/>
        <w:keepLines w:val="0"/>
        <w:pageBreakBefore w:val="0"/>
        <w:widowControl w:val="0"/>
        <w:kinsoku/>
        <w:wordWrap/>
        <w:overflowPunct/>
        <w:topLinePunct w:val="0"/>
        <w:autoSpaceDE/>
        <w:autoSpaceDN/>
        <w:bidi w:val="0"/>
        <w:adjustRightInd/>
        <w:snapToGrid/>
        <w:spacing w:line="460" w:lineRule="exact"/>
        <w:ind w:firstLine="2160" w:firstLineChars="900"/>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中华人民共和国国家统计局</w:t>
      </w:r>
    </w:p>
    <w:p w14:paraId="35EB1163">
      <w:pPr>
        <w:keepNext w:val="0"/>
        <w:keepLines w:val="0"/>
        <w:pageBreakBefore w:val="0"/>
        <w:widowControl w:val="0"/>
        <w:kinsoku/>
        <w:wordWrap/>
        <w:overflowPunct/>
        <w:topLinePunct w:val="0"/>
        <w:autoSpaceDE/>
        <w:autoSpaceDN/>
        <w:bidi w:val="0"/>
        <w:adjustRightInd/>
        <w:snapToGrid/>
        <w:spacing w:line="46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w:t>
      </w:r>
      <w:r>
        <w:rPr>
          <w:rStyle w:val="33"/>
          <w:rFonts w:hint="eastAsia" w:cs="宋体"/>
          <w:b w:val="0"/>
          <w:bCs w:val="0"/>
          <w:color w:val="auto"/>
          <w:sz w:val="24"/>
          <w:szCs w:val="24"/>
          <w:highlight w:val="none"/>
          <w:lang w:val="en-US" w:eastAsia="zh-CN"/>
        </w:rPr>
        <w:t xml:space="preserve">     </w:t>
      </w:r>
      <w:r>
        <w:rPr>
          <w:rStyle w:val="33"/>
          <w:rFonts w:hint="eastAsia" w:ascii="宋体" w:hAnsi="宋体" w:eastAsia="宋体" w:cs="宋体"/>
          <w:b w:val="0"/>
          <w:bCs w:val="0"/>
          <w:color w:val="auto"/>
          <w:sz w:val="24"/>
          <w:szCs w:val="24"/>
          <w:highlight w:val="none"/>
        </w:rPr>
        <w:t> 2015年9月28日</w:t>
      </w:r>
    </w:p>
    <w:p w14:paraId="2D875BF0">
      <w:pPr>
        <w:rPr>
          <w:rFonts w:hint="eastAsia" w:cs="宋体"/>
          <w:color w:val="auto"/>
          <w:spacing w:val="6"/>
          <w:sz w:val="21"/>
          <w:szCs w:val="21"/>
          <w:highlight w:val="none"/>
        </w:rPr>
      </w:pPr>
    </w:p>
    <w:p w14:paraId="3D3E2F07">
      <w:pPr>
        <w:rPr>
          <w:rFonts w:hint="eastAsia" w:cs="宋体"/>
          <w:color w:val="auto"/>
          <w:spacing w:val="6"/>
          <w:sz w:val="21"/>
          <w:szCs w:val="21"/>
          <w:highlight w:val="none"/>
          <w:lang w:val="en-US" w:eastAsia="zh-CN"/>
        </w:rPr>
      </w:pPr>
    </w:p>
    <w:p w14:paraId="7D55D2C4">
      <w:pPr>
        <w:rPr>
          <w:rFonts w:hint="eastAsia" w:cs="宋体"/>
          <w:color w:val="auto"/>
          <w:spacing w:val="6"/>
          <w:sz w:val="21"/>
          <w:szCs w:val="21"/>
          <w:highlight w:val="none"/>
          <w:lang w:val="en-US" w:eastAsia="zh-CN"/>
        </w:rPr>
      </w:pPr>
    </w:p>
    <w:p w14:paraId="535B7B3C">
      <w:pPr>
        <w:rPr>
          <w:rFonts w:hint="eastAsia" w:cs="宋体"/>
          <w:color w:val="auto"/>
          <w:spacing w:val="6"/>
          <w:sz w:val="21"/>
          <w:szCs w:val="21"/>
          <w:highlight w:val="none"/>
          <w:lang w:val="en-US" w:eastAsia="zh-CN"/>
        </w:rPr>
      </w:pPr>
    </w:p>
    <w:p w14:paraId="0003DA46">
      <w:pPr>
        <w:rPr>
          <w:rFonts w:hint="eastAsia" w:cs="宋体"/>
          <w:color w:val="auto"/>
          <w:spacing w:val="6"/>
          <w:sz w:val="21"/>
          <w:szCs w:val="21"/>
          <w:highlight w:val="none"/>
          <w:lang w:val="en-US" w:eastAsia="zh-CN"/>
        </w:rPr>
      </w:pPr>
    </w:p>
    <w:p w14:paraId="2EB5298D">
      <w:pPr>
        <w:rPr>
          <w:rFonts w:hint="eastAsia" w:cs="宋体"/>
          <w:color w:val="auto"/>
          <w:spacing w:val="6"/>
          <w:sz w:val="21"/>
          <w:szCs w:val="21"/>
          <w:highlight w:val="none"/>
          <w:lang w:val="en-US" w:eastAsia="zh-CN"/>
        </w:rPr>
      </w:pPr>
    </w:p>
    <w:p w14:paraId="56C175D4">
      <w:pPr>
        <w:rPr>
          <w:rFonts w:hint="eastAsia" w:cs="宋体"/>
          <w:color w:val="auto"/>
          <w:spacing w:val="6"/>
          <w:sz w:val="21"/>
          <w:szCs w:val="21"/>
          <w:highlight w:val="none"/>
          <w:lang w:val="en-US" w:eastAsia="zh-CN"/>
        </w:rPr>
      </w:pPr>
    </w:p>
    <w:p w14:paraId="4E7B262E">
      <w:pPr>
        <w:rPr>
          <w:rFonts w:hint="eastAsia" w:cs="宋体"/>
          <w:color w:val="auto"/>
          <w:spacing w:val="6"/>
          <w:sz w:val="21"/>
          <w:szCs w:val="21"/>
          <w:highlight w:val="none"/>
        </w:rPr>
      </w:pPr>
      <w:r>
        <w:rPr>
          <w:rFonts w:hint="eastAsia" w:cs="宋体"/>
          <w:color w:val="auto"/>
          <w:spacing w:val="6"/>
          <w:sz w:val="21"/>
          <w:szCs w:val="21"/>
          <w:highlight w:val="none"/>
          <w:lang w:val="en-US" w:eastAsia="zh-CN"/>
        </w:rPr>
        <w:t>附件</w:t>
      </w:r>
      <w:r>
        <w:rPr>
          <w:rFonts w:hint="eastAsia" w:cs="宋体"/>
          <w:color w:val="auto"/>
          <w:spacing w:val="6"/>
          <w:sz w:val="21"/>
          <w:szCs w:val="21"/>
          <w:highlight w:val="none"/>
        </w:rPr>
        <w:t>              </w:t>
      </w:r>
    </w:p>
    <w:p w14:paraId="23A68F67">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金融业企业划型标准规定</w:t>
      </w:r>
    </w:p>
    <w:p w14:paraId="35BCA7B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65CF45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二、适用范围。本规定适用于从事《国民经济行业分类》（GB/T4754-2011）中J门类（金融业）活动的企业。</w:t>
      </w:r>
    </w:p>
    <w:p w14:paraId="777FDD5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292D97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3BF83806">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五、指标标准值。依据指标标准值，将各类金融业企业划分为大、中、小、微四个规模类型，中型企业标准上限及以上的为大型企业。</w:t>
      </w:r>
    </w:p>
    <w:p w14:paraId="7425771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6C9C1B6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192CC4C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2B49DF9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0D837DC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266F6F9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2D1B4E7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0E5BB8B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lang w:eastAsia="zh-CN"/>
        </w:rPr>
      </w:pPr>
      <w:r>
        <w:rPr>
          <w:rStyle w:val="33"/>
          <w:rFonts w:hint="eastAsia" w:ascii="宋体" w:hAnsi="宋体" w:eastAsia="宋体" w:cs="宋体"/>
          <w:b w:val="0"/>
          <w:b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3"/>
          <w:rFonts w:hint="eastAsia" w:cs="宋体"/>
          <w:b w:val="0"/>
          <w:bCs w:val="0"/>
          <w:color w:val="auto"/>
          <w:sz w:val="24"/>
          <w:szCs w:val="24"/>
          <w:highlight w:val="none"/>
          <w:lang w:eastAsia="zh-CN"/>
        </w:rPr>
        <w:t>。</w:t>
      </w:r>
    </w:p>
    <w:p w14:paraId="32994D2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3"/>
          <w:rFonts w:hint="eastAsia" w:cs="宋体"/>
          <w:b w:val="0"/>
          <w:bCs w:val="0"/>
          <w:color w:val="auto"/>
          <w:sz w:val="24"/>
          <w:szCs w:val="24"/>
          <w:highlight w:val="none"/>
          <w:lang w:eastAsia="zh-CN"/>
        </w:rPr>
        <w:t>，</w:t>
      </w:r>
      <w:r>
        <w:rPr>
          <w:rStyle w:val="33"/>
          <w:rFonts w:hint="eastAsia" w:ascii="宋体" w:hAnsi="宋体" w:eastAsia="宋体" w:cs="宋体"/>
          <w:b w:val="0"/>
          <w:bCs w:val="0"/>
          <w:color w:val="auto"/>
          <w:sz w:val="24"/>
          <w:szCs w:val="24"/>
          <w:highlight w:val="none"/>
        </w:rPr>
        <w:t>方便政府部门和社会各界查询使用。</w:t>
      </w:r>
    </w:p>
    <w:p w14:paraId="034C483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七、标准值的评估和调整。金融业企业划型标准工作组每五年对划型标准值受经济发展与通货膨胀等因素的影响程度进行评估和调整。</w:t>
      </w:r>
    </w:p>
    <w:p w14:paraId="01F56FF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lang w:eastAsia="zh-CN"/>
        </w:rPr>
      </w:pPr>
      <w:r>
        <w:rPr>
          <w:rStyle w:val="33"/>
          <w:rFonts w:hint="eastAsia" w:ascii="宋体" w:hAnsi="宋体" w:eastAsia="宋体" w:cs="宋体"/>
          <w:b w:val="0"/>
          <w:b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3"/>
          <w:rFonts w:hint="eastAsia" w:cs="宋体"/>
          <w:b w:val="0"/>
          <w:bCs w:val="0"/>
          <w:color w:val="auto"/>
          <w:sz w:val="24"/>
          <w:szCs w:val="24"/>
          <w:highlight w:val="none"/>
          <w:lang w:eastAsia="zh-CN"/>
        </w:rPr>
        <w:t>。</w:t>
      </w:r>
    </w:p>
    <w:p w14:paraId="62B89F5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lang w:eastAsia="zh-CN"/>
        </w:rPr>
      </w:pPr>
      <w:r>
        <w:rPr>
          <w:rStyle w:val="33"/>
          <w:rFonts w:hint="eastAsia" w:ascii="宋体" w:hAnsi="宋体" w:eastAsia="宋体" w:cs="宋体"/>
          <w:b w:val="0"/>
          <w:bCs w:val="0"/>
          <w:color w:val="auto"/>
          <w:sz w:val="24"/>
          <w:szCs w:val="24"/>
          <w:highlight w:val="none"/>
        </w:rPr>
        <w:t>九、融资担保公司参照本规定中“除贷款公司、小额贷款公司、典当行以外的其他金融机构”标准划型</w:t>
      </w:r>
      <w:r>
        <w:rPr>
          <w:rStyle w:val="33"/>
          <w:rFonts w:hint="eastAsia" w:cs="宋体"/>
          <w:b w:val="0"/>
          <w:bCs w:val="0"/>
          <w:color w:val="auto"/>
          <w:sz w:val="24"/>
          <w:szCs w:val="24"/>
          <w:highlight w:val="none"/>
          <w:lang w:eastAsia="zh-CN"/>
        </w:rPr>
        <w:t>。</w:t>
      </w:r>
    </w:p>
    <w:p w14:paraId="5562FAB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十、本规定由人民银行会同银监会、证监会、保监会和统计局负责解释。</w:t>
      </w:r>
    </w:p>
    <w:p w14:paraId="0CD76B7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lang w:eastAsia="zh-CN"/>
        </w:rPr>
      </w:pPr>
      <w:r>
        <w:rPr>
          <w:rStyle w:val="33"/>
          <w:rFonts w:hint="eastAsia" w:ascii="宋体" w:hAnsi="宋体" w:eastAsia="宋体" w:cs="宋体"/>
          <w:b w:val="0"/>
          <w:bCs w:val="0"/>
          <w:color w:val="auto"/>
          <w:sz w:val="24"/>
          <w:szCs w:val="24"/>
          <w:highlight w:val="none"/>
        </w:rPr>
        <w:t>十一、本规定自发布之日起实施</w:t>
      </w:r>
      <w:r>
        <w:rPr>
          <w:rStyle w:val="33"/>
          <w:rFonts w:hint="eastAsia" w:cs="宋体"/>
          <w:b w:val="0"/>
          <w:bCs w:val="0"/>
          <w:color w:val="auto"/>
          <w:sz w:val="24"/>
          <w:szCs w:val="24"/>
          <w:highlight w:val="none"/>
          <w:lang w:eastAsia="zh-CN"/>
        </w:rPr>
        <w:t>。</w:t>
      </w:r>
    </w:p>
    <w:p w14:paraId="5DAE7F9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p>
    <w:p w14:paraId="13D9865C">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附:金融业企业划型标准</w:t>
      </w:r>
    </w:p>
    <w:p w14:paraId="4CB94869">
      <w:pPr>
        <w:rPr>
          <w:rFonts w:cs="宋体"/>
          <w:color w:val="auto"/>
          <w:spacing w:val="6"/>
          <w:sz w:val="21"/>
          <w:szCs w:val="21"/>
          <w:highlight w:val="none"/>
        </w:rPr>
      </w:pPr>
    </w:p>
    <w:p w14:paraId="018058A8">
      <w:pPr>
        <w:rPr>
          <w:rFonts w:hint="eastAsia" w:cs="宋体"/>
          <w:color w:val="auto"/>
          <w:spacing w:val="6"/>
          <w:sz w:val="24"/>
          <w:szCs w:val="24"/>
          <w:highlight w:val="none"/>
          <w:lang w:val="en-US" w:eastAsia="zh-CN"/>
        </w:rPr>
      </w:pPr>
    </w:p>
    <w:p w14:paraId="5023B69E">
      <w:pPr>
        <w:rPr>
          <w:rFonts w:hint="eastAsia" w:cs="宋体"/>
          <w:color w:val="auto"/>
          <w:spacing w:val="6"/>
          <w:sz w:val="24"/>
          <w:szCs w:val="24"/>
          <w:highlight w:val="none"/>
          <w:lang w:val="en-US" w:eastAsia="zh-CN"/>
        </w:rPr>
      </w:pPr>
    </w:p>
    <w:p w14:paraId="5F7D4B83">
      <w:pPr>
        <w:rPr>
          <w:rFonts w:hint="eastAsia" w:cs="宋体"/>
          <w:color w:val="auto"/>
          <w:spacing w:val="6"/>
          <w:sz w:val="24"/>
          <w:szCs w:val="24"/>
          <w:highlight w:val="none"/>
          <w:lang w:val="en-US" w:eastAsia="zh-CN"/>
        </w:rPr>
      </w:pPr>
    </w:p>
    <w:p w14:paraId="20B74F82">
      <w:pPr>
        <w:rPr>
          <w:rFonts w:hint="eastAsia" w:cs="宋体"/>
          <w:color w:val="auto"/>
          <w:spacing w:val="6"/>
          <w:sz w:val="24"/>
          <w:szCs w:val="24"/>
          <w:highlight w:val="none"/>
          <w:lang w:val="en-US" w:eastAsia="zh-CN"/>
        </w:rPr>
      </w:pPr>
    </w:p>
    <w:p w14:paraId="2C0B2223">
      <w:pPr>
        <w:rPr>
          <w:rFonts w:hint="eastAsia" w:cs="宋体"/>
          <w:color w:val="auto"/>
          <w:spacing w:val="6"/>
          <w:sz w:val="24"/>
          <w:szCs w:val="24"/>
          <w:highlight w:val="none"/>
          <w:lang w:val="en-US" w:eastAsia="zh-CN"/>
        </w:rPr>
      </w:pPr>
    </w:p>
    <w:p w14:paraId="70123D58">
      <w:pPr>
        <w:rPr>
          <w:rFonts w:hint="eastAsia" w:cs="宋体"/>
          <w:color w:val="auto"/>
          <w:spacing w:val="6"/>
          <w:sz w:val="24"/>
          <w:szCs w:val="24"/>
          <w:highlight w:val="none"/>
          <w:lang w:val="en-US" w:eastAsia="zh-CN"/>
        </w:rPr>
      </w:pPr>
      <w:r>
        <w:rPr>
          <w:rFonts w:hint="eastAsia" w:cs="宋体"/>
          <w:color w:val="auto"/>
          <w:spacing w:val="6"/>
          <w:sz w:val="24"/>
          <w:szCs w:val="24"/>
          <w:highlight w:val="none"/>
          <w:lang w:val="en-US" w:eastAsia="zh-CN"/>
        </w:rPr>
        <w:t>附</w:t>
      </w:r>
    </w:p>
    <w:p w14:paraId="7EB97DB1">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w:t>
      </w:r>
    </w:p>
    <w:tbl>
      <w:tblPr>
        <w:tblStyle w:val="31"/>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6C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287" w:type="dxa"/>
            <w:gridSpan w:val="2"/>
            <w:vAlign w:val="center"/>
          </w:tcPr>
          <w:p w14:paraId="25F9841A">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行业</w:t>
            </w:r>
          </w:p>
        </w:tc>
        <w:tc>
          <w:tcPr>
            <w:tcW w:w="1817" w:type="dxa"/>
            <w:vAlign w:val="center"/>
          </w:tcPr>
          <w:p w14:paraId="3B4008BC">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类别</w:t>
            </w:r>
          </w:p>
        </w:tc>
        <w:tc>
          <w:tcPr>
            <w:tcW w:w="1143" w:type="dxa"/>
            <w:vAlign w:val="center"/>
          </w:tcPr>
          <w:p w14:paraId="199F0882">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类型</w:t>
            </w:r>
          </w:p>
        </w:tc>
        <w:tc>
          <w:tcPr>
            <w:tcW w:w="3251" w:type="dxa"/>
            <w:vAlign w:val="center"/>
          </w:tcPr>
          <w:p w14:paraId="715E5C3B">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资产总额</w:t>
            </w:r>
          </w:p>
        </w:tc>
      </w:tr>
      <w:tr w14:paraId="471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33504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货币金融服务</w:t>
            </w:r>
          </w:p>
        </w:tc>
        <w:tc>
          <w:tcPr>
            <w:tcW w:w="1168" w:type="dxa"/>
            <w:vMerge w:val="restart"/>
            <w:vAlign w:val="center"/>
          </w:tcPr>
          <w:p w14:paraId="4350DE8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货币银行服务</w:t>
            </w:r>
          </w:p>
        </w:tc>
        <w:tc>
          <w:tcPr>
            <w:tcW w:w="1817" w:type="dxa"/>
            <w:vMerge w:val="restart"/>
            <w:vAlign w:val="center"/>
          </w:tcPr>
          <w:p w14:paraId="6D5CDA82">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银行业存款类金融机构</w:t>
            </w:r>
          </w:p>
        </w:tc>
        <w:tc>
          <w:tcPr>
            <w:tcW w:w="1143" w:type="dxa"/>
            <w:vAlign w:val="center"/>
          </w:tcPr>
          <w:p w14:paraId="18DA8CED">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中型</w:t>
            </w:r>
          </w:p>
        </w:tc>
        <w:tc>
          <w:tcPr>
            <w:tcW w:w="3251" w:type="dxa"/>
            <w:vAlign w:val="center"/>
          </w:tcPr>
          <w:p w14:paraId="6553EDDF">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7DD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5D803A9">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5CFC2BC">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392AD96A">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146F4352">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C95576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738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44DEC46">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47E3A4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43C1290">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0A8569B9">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29C9E0F4">
            <w:pPr>
              <w:spacing w:line="240" w:lineRule="auto"/>
              <w:jc w:val="center"/>
              <w:rPr>
                <w:rFonts w:hint="eastAsia" w:ascii="宋体" w:hAnsi="宋体" w:eastAsia="宋体" w:cs="宋体"/>
                <w:color w:val="auto"/>
                <w:spacing w:val="6"/>
                <w:sz w:val="21"/>
                <w:szCs w:val="21"/>
                <w:highlight w:val="none"/>
                <w:vertAlign w:val="baseline"/>
                <w:lang w:val="en-US"/>
              </w:rPr>
            </w:pPr>
            <w:r>
              <w:rPr>
                <w:rFonts w:hint="eastAsia" w:ascii="宋体" w:hAnsi="宋体" w:eastAsia="宋体" w:cs="宋体"/>
                <w:color w:val="auto"/>
                <w:spacing w:val="6"/>
                <w:sz w:val="21"/>
                <w:szCs w:val="21"/>
                <w:highlight w:val="none"/>
                <w:vertAlign w:val="baseline"/>
                <w:lang w:val="en-US" w:eastAsia="zh-CN"/>
              </w:rPr>
              <w:t>50亿元以下</w:t>
            </w:r>
          </w:p>
        </w:tc>
      </w:tr>
      <w:tr w14:paraId="1C15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2A12E1E">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56574B6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非货币银行服务</w:t>
            </w:r>
          </w:p>
        </w:tc>
        <w:tc>
          <w:tcPr>
            <w:tcW w:w="1817" w:type="dxa"/>
            <w:vMerge w:val="restart"/>
            <w:vAlign w:val="center"/>
          </w:tcPr>
          <w:p w14:paraId="7DD2F497">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46609FB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88F5BE5">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29D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CFE49B">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EF9025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CC015F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0699B1D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56E78EC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0CA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EE674B4">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17EDCC4">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DEB5E2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4E9D4A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00D701CA">
            <w:pPr>
              <w:spacing w:line="240" w:lineRule="auto"/>
              <w:jc w:val="center"/>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50亿元以下</w:t>
            </w:r>
          </w:p>
        </w:tc>
      </w:tr>
      <w:tr w14:paraId="4B5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D041F7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95688A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restart"/>
            <w:vAlign w:val="center"/>
          </w:tcPr>
          <w:p w14:paraId="2420EBEF">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705DE84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007BBC2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39E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180FDC1">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078270CB">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0CBA769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EA1A43D">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220FC05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7A6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C9F23C9">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693061F1">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241FB1E">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076913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03E9BD7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10E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3A884F55">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资本市场服务</w:t>
            </w:r>
          </w:p>
        </w:tc>
        <w:tc>
          <w:tcPr>
            <w:tcW w:w="1817" w:type="dxa"/>
            <w:vMerge w:val="restart"/>
            <w:vAlign w:val="center"/>
          </w:tcPr>
          <w:p w14:paraId="6E78CF8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证券业金融机构</w:t>
            </w:r>
          </w:p>
        </w:tc>
        <w:tc>
          <w:tcPr>
            <w:tcW w:w="1143" w:type="dxa"/>
            <w:shd w:val="clear" w:color="auto" w:fill="auto"/>
            <w:vAlign w:val="center"/>
          </w:tcPr>
          <w:p w14:paraId="0414261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4444928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100亿元（含）至1000亿元</w:t>
            </w:r>
          </w:p>
        </w:tc>
      </w:tr>
      <w:tr w14:paraId="0F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3B06C7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9421CAF">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4B5A7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A9C4DF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10亿元（含）至100亿元</w:t>
            </w:r>
          </w:p>
        </w:tc>
      </w:tr>
      <w:tr w14:paraId="01E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65FECC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ADD78C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0F7AF9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43D0131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10亿元以下</w:t>
            </w:r>
          </w:p>
        </w:tc>
      </w:tr>
      <w:tr w14:paraId="33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FAED34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保险业</w:t>
            </w:r>
          </w:p>
        </w:tc>
        <w:tc>
          <w:tcPr>
            <w:tcW w:w="1817" w:type="dxa"/>
            <w:vMerge w:val="restart"/>
            <w:vAlign w:val="center"/>
          </w:tcPr>
          <w:p w14:paraId="73A1B699">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保险业金融机构</w:t>
            </w:r>
          </w:p>
        </w:tc>
        <w:tc>
          <w:tcPr>
            <w:tcW w:w="1143" w:type="dxa"/>
            <w:shd w:val="clear" w:color="auto" w:fill="auto"/>
            <w:vAlign w:val="center"/>
          </w:tcPr>
          <w:p w14:paraId="7046BDE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41B9BB4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400亿元（含）至5000亿元</w:t>
            </w:r>
          </w:p>
        </w:tc>
      </w:tr>
      <w:tr w14:paraId="386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8C86132">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2ACF5AB">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361981C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7F195A7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13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51FBA8">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1A95E01E">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DD1435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9F4DBB0">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1B3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A4EBA5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其他金融业</w:t>
            </w:r>
          </w:p>
        </w:tc>
        <w:tc>
          <w:tcPr>
            <w:tcW w:w="1168" w:type="dxa"/>
            <w:vMerge w:val="restart"/>
            <w:vAlign w:val="center"/>
          </w:tcPr>
          <w:p w14:paraId="741CF03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金融信托与管理服务</w:t>
            </w:r>
          </w:p>
        </w:tc>
        <w:tc>
          <w:tcPr>
            <w:tcW w:w="1817" w:type="dxa"/>
            <w:vMerge w:val="restart"/>
            <w:vAlign w:val="center"/>
          </w:tcPr>
          <w:p w14:paraId="70836B6C">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信托公司</w:t>
            </w:r>
          </w:p>
        </w:tc>
        <w:tc>
          <w:tcPr>
            <w:tcW w:w="1143" w:type="dxa"/>
            <w:shd w:val="clear" w:color="auto" w:fill="auto"/>
            <w:vAlign w:val="center"/>
          </w:tcPr>
          <w:p w14:paraId="03C999A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0C96EED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400亿元（含）至1000亿元</w:t>
            </w:r>
          </w:p>
        </w:tc>
      </w:tr>
      <w:tr w14:paraId="3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8E5D4F">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343FC29">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EB960A0">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D76C17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E689FD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3E9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1E32AA3">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41AB74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15F254D">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60C098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33182E4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61C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3463AD">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65B7535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控股公司服务</w:t>
            </w:r>
          </w:p>
        </w:tc>
        <w:tc>
          <w:tcPr>
            <w:tcW w:w="1817" w:type="dxa"/>
            <w:vMerge w:val="restart"/>
            <w:vAlign w:val="center"/>
          </w:tcPr>
          <w:p w14:paraId="5AA3A788">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金融控股公司</w:t>
            </w:r>
          </w:p>
        </w:tc>
        <w:tc>
          <w:tcPr>
            <w:tcW w:w="1143" w:type="dxa"/>
            <w:shd w:val="clear" w:color="auto" w:fill="auto"/>
            <w:vAlign w:val="center"/>
          </w:tcPr>
          <w:p w14:paraId="6A34EB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863D8F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61E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7F9BDD8">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774A5596">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58174A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3D84EB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434D1F5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245B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88472C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DB4D286">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2B6EDD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72A904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FC344B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3F9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046E9137">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10B14656">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其他未包括的金融业</w:t>
            </w:r>
          </w:p>
        </w:tc>
        <w:tc>
          <w:tcPr>
            <w:tcW w:w="1817" w:type="dxa"/>
            <w:vMerge w:val="restart"/>
            <w:vAlign w:val="center"/>
          </w:tcPr>
          <w:p w14:paraId="3E665F4F">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0051027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6033F5D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34E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04848A28">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2F2E72F9">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179DE2D0">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E62333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2916BB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6DD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0F1E7A7B">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08010151">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71A393FF">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68714F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913FA3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bl>
    <w:p w14:paraId="5BCE9D64">
      <w:pPr>
        <w:rPr>
          <w:rFonts w:cs="宋体"/>
          <w:color w:val="auto"/>
          <w:spacing w:val="6"/>
          <w:sz w:val="21"/>
          <w:szCs w:val="21"/>
          <w:highlight w:val="none"/>
        </w:rPr>
      </w:pPr>
      <w:r>
        <w:rPr>
          <w:rFonts w:cs="宋体"/>
          <w:color w:val="auto"/>
          <w:spacing w:val="6"/>
          <w:sz w:val="21"/>
          <w:szCs w:val="21"/>
          <w:highlight w:val="none"/>
        </w:rPr>
        <w:br w:type="page"/>
      </w:r>
    </w:p>
    <w:p w14:paraId="5C97BC7A">
      <w:pPr>
        <w:pStyle w:val="1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Cs/>
          <w:color w:val="auto"/>
          <w:sz w:val="36"/>
          <w:szCs w:val="36"/>
          <w:highlight w:val="none"/>
          <w:lang w:val="en-US" w:eastAsia="zh-CN"/>
        </w:rPr>
      </w:pPr>
      <w:bookmarkStart w:id="622" w:name="_Toc163492940"/>
    </w:p>
    <w:p w14:paraId="0711552D">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623" w:name="_Toc1602"/>
      <w:r>
        <w:rPr>
          <w:rFonts w:hint="eastAsia" w:ascii="宋体" w:hAnsi="宋体" w:eastAsia="宋体" w:cstheme="minorBidi"/>
          <w:b/>
          <w:bCs/>
          <w:color w:val="auto"/>
          <w:kern w:val="2"/>
          <w:sz w:val="24"/>
          <w:szCs w:val="24"/>
          <w:highlight w:val="none"/>
          <w:lang w:val="en-US" w:eastAsia="zh-CN" w:bidi="ar-SA"/>
        </w:rPr>
        <w:t>（三）监狱企业证明文件</w:t>
      </w:r>
      <w:r>
        <w:rPr>
          <w:rFonts w:hint="eastAsia" w:ascii="宋体" w:hAnsi="宋体" w:eastAsia="宋体" w:cstheme="minorBidi"/>
          <w:b w:val="0"/>
          <w:bCs w:val="0"/>
          <w:color w:val="auto"/>
          <w:kern w:val="2"/>
          <w:sz w:val="24"/>
          <w:szCs w:val="24"/>
          <w:highlight w:val="none"/>
          <w:lang w:val="en-US" w:eastAsia="zh-CN" w:bidi="ar-SA"/>
        </w:rPr>
        <w:t>【如适用】</w:t>
      </w:r>
      <w:bookmarkEnd w:id="622"/>
      <w:bookmarkEnd w:id="623"/>
    </w:p>
    <w:p w14:paraId="744F56E2">
      <w:pPr>
        <w:rPr>
          <w:rFonts w:cs="仿宋_GB2312"/>
          <w:b/>
          <w:color w:val="auto"/>
          <w:sz w:val="28"/>
          <w:szCs w:val="28"/>
          <w:highlight w:val="none"/>
        </w:rPr>
      </w:pPr>
    </w:p>
    <w:p w14:paraId="23D1BFCD">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【监狱企业应当提供由省级及以上监狱管理局、戒毒管理局（含新疆生产建设兵团）出具的监狱企业的证明文件，格式</w:t>
      </w:r>
      <w:r>
        <w:rPr>
          <w:rFonts w:hint="eastAsia" w:ascii="宋体" w:hAnsi="宋体" w:eastAsia="宋体" w:cs="宋体"/>
          <w:color w:val="auto"/>
          <w:sz w:val="24"/>
          <w:szCs w:val="24"/>
          <w:highlight w:val="none"/>
          <w:lang w:val="en-US" w:eastAsia="zh-CN"/>
        </w:rPr>
        <w:t>如下</w:t>
      </w:r>
      <w:r>
        <w:rPr>
          <w:rFonts w:hint="eastAsia" w:ascii="宋体" w:hAnsi="宋体" w:eastAsia="宋体" w:cs="宋体"/>
          <w:color w:val="auto"/>
          <w:sz w:val="24"/>
          <w:szCs w:val="24"/>
          <w:highlight w:val="none"/>
        </w:rPr>
        <w:t>】。</w:t>
      </w:r>
    </w:p>
    <w:p w14:paraId="75238DB1">
      <w:pPr>
        <w:pStyle w:val="17"/>
        <w:spacing w:line="360" w:lineRule="auto"/>
        <w:jc w:val="center"/>
        <w:rPr>
          <w:rFonts w:hint="eastAsia" w:ascii="宋体" w:hAnsi="宋体" w:eastAsia="宋体" w:cs="宋体"/>
          <w:b/>
          <w:bCs w:val="0"/>
          <w:color w:val="auto"/>
          <w:sz w:val="32"/>
          <w:szCs w:val="32"/>
          <w:highlight w:val="none"/>
        </w:rPr>
      </w:pPr>
    </w:p>
    <w:p w14:paraId="3EAA5E2A">
      <w:pPr>
        <w:pStyle w:val="17"/>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监狱企业证明函</w:t>
      </w:r>
    </w:p>
    <w:p w14:paraId="73EFA9C1">
      <w:pPr>
        <w:spacing w:line="360" w:lineRule="auto"/>
        <w:rPr>
          <w:rFonts w:hint="eastAsia" w:ascii="仿宋_GB2312" w:hAnsi="仿宋_GB2312" w:eastAsia="仿宋_GB2312" w:cs="仿宋_GB2312"/>
          <w:color w:val="auto"/>
          <w:sz w:val="32"/>
          <w:szCs w:val="32"/>
          <w:highlight w:val="none"/>
        </w:rPr>
      </w:pPr>
    </w:p>
    <w:p w14:paraId="7E6FDB37">
      <w:pPr>
        <w:ind w:firstLine="42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本公司郑重声明，根据财政部、司法部《关于政府采购支持监狱企业发展有关问题的通知》（财库</w:t>
      </w:r>
      <w:r>
        <w:rPr>
          <w:rFonts w:hint="eastAsia" w:ascii="宋体" w:hAnsi="宋体" w:eastAsia="宋体" w:cs="宋体"/>
          <w:color w:val="auto"/>
          <w:spacing w:val="6"/>
          <w:szCs w:val="24"/>
          <w:highlight w:val="none"/>
          <w:lang w:eastAsia="zh-CN"/>
        </w:rPr>
        <w:t>〔</w:t>
      </w:r>
      <w:r>
        <w:rPr>
          <w:rFonts w:hint="eastAsia" w:ascii="宋体" w:hAnsi="宋体" w:eastAsia="宋体" w:cs="宋体"/>
          <w:color w:val="auto"/>
          <w:spacing w:val="6"/>
          <w:szCs w:val="24"/>
          <w:highlight w:val="none"/>
        </w:rPr>
        <w:t>2014</w:t>
      </w:r>
      <w:r>
        <w:rPr>
          <w:rFonts w:hint="eastAsia" w:ascii="宋体" w:hAnsi="宋体" w:eastAsia="宋体" w:cs="宋体"/>
          <w:color w:val="auto"/>
          <w:spacing w:val="6"/>
          <w:szCs w:val="24"/>
          <w:highlight w:val="none"/>
          <w:lang w:eastAsia="zh-CN"/>
        </w:rPr>
        <w:t>〕</w:t>
      </w:r>
      <w:r>
        <w:rPr>
          <w:rFonts w:hint="eastAsia" w:ascii="宋体" w:hAnsi="宋体" w:eastAsia="宋体" w:cs="宋体"/>
          <w:color w:val="auto"/>
          <w:spacing w:val="6"/>
          <w:szCs w:val="24"/>
          <w:highlight w:val="none"/>
        </w:rPr>
        <w:t>68号）的规定，本公司为监狱企业。</w:t>
      </w:r>
    </w:p>
    <w:p w14:paraId="3C2CE4C6">
      <w:pPr>
        <w:spacing w:line="360" w:lineRule="auto"/>
        <w:rPr>
          <w:rFonts w:hint="eastAsia" w:ascii="宋体" w:hAnsi="宋体" w:eastAsia="宋体" w:cs="宋体"/>
          <w:color w:val="auto"/>
          <w:sz w:val="24"/>
          <w:szCs w:val="24"/>
          <w:highlight w:val="none"/>
        </w:rPr>
      </w:pPr>
    </w:p>
    <w:p w14:paraId="25406F97">
      <w:pPr>
        <w:ind w:firstLine="4440" w:firstLineChars="1850"/>
        <w:rPr>
          <w:rFonts w:hint="eastAsia" w:ascii="宋体" w:hAnsi="宋体" w:eastAsia="宋体" w:cs="宋体"/>
          <w:color w:val="auto"/>
          <w:sz w:val="24"/>
          <w:szCs w:val="24"/>
          <w:highlight w:val="none"/>
        </w:rPr>
      </w:pPr>
    </w:p>
    <w:p w14:paraId="44FF352C">
      <w:pPr>
        <w:ind w:firstLine="4440" w:firstLineChars="1850"/>
        <w:rPr>
          <w:rFonts w:hint="eastAsia" w:ascii="宋体" w:hAnsi="宋体" w:eastAsia="宋体" w:cs="宋体"/>
          <w:color w:val="auto"/>
          <w:sz w:val="24"/>
          <w:szCs w:val="24"/>
          <w:highlight w:val="none"/>
        </w:rPr>
      </w:pPr>
    </w:p>
    <w:p w14:paraId="0841D36F">
      <w:pPr>
        <w:ind w:right="1008" w:firstLine="4284" w:firstLineChars="17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投标人</w:t>
      </w:r>
      <w:r>
        <w:rPr>
          <w:rFonts w:hint="eastAsia" w:ascii="宋体" w:hAnsi="宋体" w:eastAsia="宋体" w:cs="宋体"/>
          <w:color w:val="auto"/>
          <w:spacing w:val="6"/>
          <w:sz w:val="24"/>
          <w:szCs w:val="24"/>
          <w:highlight w:val="none"/>
        </w:rPr>
        <w:t>名称</w:t>
      </w:r>
      <w:r>
        <w:rPr>
          <w:rFonts w:hint="eastAsia" w:ascii="宋体" w:hAnsi="宋体" w:eastAsia="宋体" w:cs="宋体"/>
          <w:color w:val="auto"/>
          <w:szCs w:val="24"/>
          <w:highlight w:val="none"/>
          <w:lang w:eastAsia="zh-CN"/>
        </w:rPr>
        <w:t>（</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highlight w:val="none"/>
          <w:lang w:val="zh-CN"/>
        </w:rPr>
        <w:t>)</w:t>
      </w:r>
      <w:r>
        <w:rPr>
          <w:rFonts w:hint="eastAsia" w:ascii="宋体" w:hAnsi="宋体" w:eastAsia="宋体" w:cs="宋体"/>
          <w:color w:val="auto"/>
          <w:spacing w:val="6"/>
          <w:sz w:val="24"/>
          <w:szCs w:val="24"/>
          <w:highlight w:val="none"/>
        </w:rPr>
        <w:t>：</w:t>
      </w:r>
    </w:p>
    <w:p w14:paraId="3678CEA7">
      <w:pPr>
        <w:ind w:right="1008" w:firstLine="4284" w:firstLineChars="17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75D11779">
      <w:pPr>
        <w:spacing w:line="360" w:lineRule="auto"/>
        <w:ind w:firstLine="240" w:firstLineChars="100"/>
        <w:rPr>
          <w:rFonts w:hint="eastAsia" w:ascii="宋体" w:hAnsi="宋体" w:eastAsia="宋体" w:cs="宋体"/>
          <w:color w:val="auto"/>
          <w:sz w:val="24"/>
          <w:szCs w:val="24"/>
          <w:highlight w:val="none"/>
        </w:rPr>
      </w:pPr>
    </w:p>
    <w:p w14:paraId="7B8735C9">
      <w:pPr>
        <w:spacing w:line="360" w:lineRule="auto"/>
        <w:ind w:firstLine="240" w:firstLineChars="100"/>
        <w:rPr>
          <w:rFonts w:hint="eastAsia" w:ascii="宋体" w:hAnsi="宋体" w:eastAsia="宋体" w:cs="宋体"/>
          <w:color w:val="auto"/>
          <w:sz w:val="24"/>
          <w:szCs w:val="24"/>
          <w:highlight w:val="none"/>
        </w:rPr>
      </w:pPr>
    </w:p>
    <w:p w14:paraId="32722C7E">
      <w:pPr>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省级以上监狱管理局、戒毒管理局</w:t>
      </w:r>
    </w:p>
    <w:p w14:paraId="20204BC0">
      <w:pPr>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（含新疆生产建设兵团）</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szCs w:val="24"/>
          <w:highlight w:val="none"/>
          <w:lang w:eastAsia="zh-CN"/>
        </w:rPr>
        <w:t>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szCs w:val="24"/>
          <w:highlight w:val="none"/>
        </w:rPr>
        <w:t xml:space="preserve">：  </w:t>
      </w:r>
    </w:p>
    <w:p w14:paraId="4A414B41">
      <w:pPr>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028B0253">
      <w:pPr>
        <w:spacing w:line="360" w:lineRule="auto"/>
        <w:ind w:firstLine="240" w:firstLineChars="100"/>
        <w:rPr>
          <w:rFonts w:hint="eastAsia" w:ascii="宋体" w:hAnsi="宋体" w:eastAsia="宋体" w:cs="宋体"/>
          <w:color w:val="auto"/>
          <w:sz w:val="24"/>
          <w:szCs w:val="24"/>
          <w:highlight w:val="none"/>
        </w:rPr>
      </w:pPr>
    </w:p>
    <w:p w14:paraId="4A20867A">
      <w:pPr>
        <w:spacing w:line="360" w:lineRule="auto"/>
        <w:ind w:firstLine="4000" w:firstLineChars="1250"/>
        <w:rPr>
          <w:rFonts w:hint="eastAsia" w:ascii="仿宋_GB2312" w:hAnsi="仿宋_GB2312" w:eastAsia="仿宋_GB2312" w:cs="仿宋_GB2312"/>
          <w:color w:val="auto"/>
          <w:sz w:val="32"/>
          <w:szCs w:val="32"/>
          <w:highlight w:val="none"/>
        </w:rPr>
      </w:pPr>
    </w:p>
    <w:p w14:paraId="206A9633">
      <w:pPr>
        <w:spacing w:line="360" w:lineRule="auto"/>
        <w:rPr>
          <w:rFonts w:hint="eastAsia" w:ascii="仿宋_GB2312" w:hAnsi="仿宋_GB2312" w:eastAsia="仿宋_GB2312" w:cs="仿宋_GB2312"/>
          <w:color w:val="auto"/>
          <w:sz w:val="32"/>
          <w:szCs w:val="32"/>
          <w:highlight w:val="none"/>
        </w:rPr>
      </w:pPr>
    </w:p>
    <w:p w14:paraId="283F77FC">
      <w:pPr>
        <w:widowControl/>
        <w:spacing w:before="100" w:beforeAutospacing="1" w:after="100" w:afterAutospacing="1"/>
        <w:rPr>
          <w:rFonts w:ascii="Arial" w:hAnsi="Arial" w:cs="Arial"/>
          <w:color w:val="auto"/>
          <w:sz w:val="21"/>
          <w:szCs w:val="21"/>
          <w:highlight w:val="none"/>
        </w:rPr>
      </w:pPr>
    </w:p>
    <w:p w14:paraId="3ACDD48E">
      <w:pPr>
        <w:widowControl/>
        <w:spacing w:before="100" w:beforeAutospacing="1" w:after="100" w:afterAutospacing="1"/>
        <w:rPr>
          <w:rFonts w:ascii="Arial" w:hAnsi="Arial" w:cs="Arial"/>
          <w:color w:val="auto"/>
          <w:sz w:val="21"/>
          <w:szCs w:val="21"/>
          <w:highlight w:val="none"/>
        </w:rPr>
      </w:pPr>
    </w:p>
    <w:p w14:paraId="22F7A202">
      <w:pPr>
        <w:widowControl/>
        <w:spacing w:before="100" w:beforeAutospacing="1" w:after="100" w:afterAutospacing="1"/>
        <w:rPr>
          <w:rFonts w:ascii="Arial" w:hAnsi="Arial" w:cs="Arial"/>
          <w:color w:val="auto"/>
          <w:sz w:val="21"/>
          <w:szCs w:val="21"/>
          <w:highlight w:val="none"/>
        </w:rPr>
      </w:pPr>
    </w:p>
    <w:p w14:paraId="2AA0844D">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624" w:name="_Toc163492941"/>
    </w:p>
    <w:p w14:paraId="05E6EFA2">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625" w:name="_Toc17111"/>
      <w:r>
        <w:rPr>
          <w:rFonts w:hint="eastAsia" w:ascii="宋体" w:hAnsi="宋体" w:eastAsia="宋体" w:cstheme="minorBidi"/>
          <w:b/>
          <w:bCs/>
          <w:color w:val="auto"/>
          <w:kern w:val="2"/>
          <w:sz w:val="24"/>
          <w:szCs w:val="24"/>
          <w:highlight w:val="none"/>
          <w:lang w:val="en-US" w:eastAsia="zh-CN" w:bidi="ar-SA"/>
        </w:rPr>
        <w:t>（四）残疾人福利性单位声明函</w:t>
      </w:r>
      <w:r>
        <w:rPr>
          <w:rFonts w:hint="eastAsia" w:ascii="宋体" w:hAnsi="宋体" w:eastAsia="宋体" w:cstheme="minorBidi"/>
          <w:b w:val="0"/>
          <w:bCs w:val="0"/>
          <w:color w:val="auto"/>
          <w:kern w:val="2"/>
          <w:sz w:val="24"/>
          <w:szCs w:val="24"/>
          <w:highlight w:val="none"/>
          <w:lang w:val="en-US" w:eastAsia="zh-CN" w:bidi="ar-SA"/>
        </w:rPr>
        <w:t>【如适用】</w:t>
      </w:r>
      <w:bookmarkEnd w:id="624"/>
      <w:bookmarkEnd w:id="625"/>
    </w:p>
    <w:p w14:paraId="0EAC9468">
      <w:pPr>
        <w:pStyle w:val="39"/>
        <w:numPr>
          <w:ilvl w:val="0"/>
          <w:numId w:val="0"/>
        </w:numPr>
        <w:ind w:left="420" w:leftChars="0" w:hanging="420" w:firstLineChars="0"/>
        <w:jc w:val="center"/>
        <w:rPr>
          <w:rFonts w:hint="eastAsia"/>
          <w:b/>
          <w:bCs/>
          <w:color w:val="auto"/>
          <w:sz w:val="32"/>
          <w:szCs w:val="32"/>
          <w:highlight w:val="none"/>
        </w:rPr>
      </w:pPr>
    </w:p>
    <w:p w14:paraId="091B47EA">
      <w:pPr>
        <w:pStyle w:val="39"/>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残疾人福利性单位声明函</w:t>
      </w:r>
    </w:p>
    <w:p w14:paraId="28D13EE8">
      <w:pPr>
        <w:wordWrap w:val="0"/>
        <w:ind w:firstLine="400" w:firstLineChars="200"/>
        <w:rPr>
          <w:rFonts w:hint="eastAsia"/>
          <w:color w:val="auto"/>
          <w:szCs w:val="24"/>
          <w:highlight w:val="none"/>
        </w:rPr>
      </w:pPr>
    </w:p>
    <w:p w14:paraId="2B2B6A0A">
      <w:pPr>
        <w:wordWrap w:val="0"/>
        <w:ind w:firstLine="400" w:firstLineChars="200"/>
        <w:rPr>
          <w:i w:val="0"/>
          <w:iCs w:val="0"/>
          <w:color w:val="auto"/>
          <w:szCs w:val="24"/>
          <w:highlight w:val="none"/>
        </w:rPr>
      </w:pPr>
      <w:r>
        <w:rPr>
          <w:rFonts w:hint="eastAsia"/>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i w:val="0"/>
          <w:iCs w:val="0"/>
          <w:color w:val="auto"/>
          <w:szCs w:val="24"/>
          <w:highlight w:val="none"/>
          <w:u w:val="single"/>
        </w:rPr>
        <w:t xml:space="preserve"> （单位名称） </w:t>
      </w:r>
      <w:r>
        <w:rPr>
          <w:rFonts w:hint="eastAsia"/>
          <w:i w:val="0"/>
          <w:iCs w:val="0"/>
          <w:color w:val="auto"/>
          <w:szCs w:val="24"/>
          <w:highlight w:val="none"/>
        </w:rPr>
        <w:t>的</w:t>
      </w:r>
      <w:r>
        <w:rPr>
          <w:rFonts w:hint="eastAsia"/>
          <w:i w:val="0"/>
          <w:iCs w:val="0"/>
          <w:color w:val="auto"/>
          <w:szCs w:val="24"/>
          <w:highlight w:val="none"/>
          <w:u w:val="single"/>
        </w:rPr>
        <w:t xml:space="preserve"> （项目名称） </w:t>
      </w:r>
      <w:r>
        <w:rPr>
          <w:rFonts w:hint="eastAsia"/>
          <w:i w:val="0"/>
          <w:iCs w:val="0"/>
          <w:color w:val="auto"/>
          <w:szCs w:val="24"/>
          <w:highlight w:val="none"/>
        </w:rPr>
        <w:t>采购活动，提供的货物</w:t>
      </w:r>
      <w:r>
        <w:rPr>
          <w:rFonts w:hint="eastAsia"/>
          <w:b/>
          <w:i w:val="0"/>
          <w:iCs w:val="0"/>
          <w:color w:val="auto"/>
          <w:szCs w:val="24"/>
          <w:highlight w:val="none"/>
        </w:rPr>
        <w:t>全部由</w:t>
      </w:r>
      <w:r>
        <w:rPr>
          <w:rFonts w:hint="eastAsia"/>
          <w:i w:val="0"/>
          <w:iCs w:val="0"/>
          <w:color w:val="auto"/>
          <w:szCs w:val="24"/>
          <w:highlight w:val="none"/>
        </w:rPr>
        <w:t>符合政策要求的</w:t>
      </w:r>
      <w:r>
        <w:rPr>
          <w:rFonts w:hint="eastAsia"/>
          <w:b/>
          <w:i w:val="0"/>
          <w:iCs w:val="0"/>
          <w:color w:val="auto"/>
          <w:szCs w:val="24"/>
          <w:highlight w:val="none"/>
        </w:rPr>
        <w:t>残疾人福利性单位制造</w:t>
      </w:r>
      <w:r>
        <w:rPr>
          <w:rFonts w:hint="eastAsia"/>
          <w:i w:val="0"/>
          <w:iCs w:val="0"/>
          <w:color w:val="auto"/>
          <w:szCs w:val="24"/>
          <w:highlight w:val="none"/>
        </w:rPr>
        <w:t>。相关企业（含联合体中的残疾人福利性单位、签订分包意向协议</w:t>
      </w:r>
      <w:r>
        <w:rPr>
          <w:rFonts w:hint="eastAsia"/>
          <w:i w:val="0"/>
          <w:iCs w:val="0"/>
          <w:color w:val="auto"/>
          <w:szCs w:val="24"/>
          <w:highlight w:val="none"/>
          <w:lang w:val="en-US" w:eastAsia="zh-CN"/>
        </w:rPr>
        <w:t>书</w:t>
      </w:r>
      <w:r>
        <w:rPr>
          <w:rFonts w:hint="eastAsia"/>
          <w:i w:val="0"/>
          <w:iCs w:val="0"/>
          <w:color w:val="auto"/>
          <w:szCs w:val="24"/>
          <w:highlight w:val="none"/>
        </w:rPr>
        <w:t>的残疾人福利性单位）的具体情况如下：</w:t>
      </w:r>
    </w:p>
    <w:p w14:paraId="2B0D31AB">
      <w:pPr>
        <w:wordWrap w:val="0"/>
        <w:ind w:firstLine="400" w:firstLineChars="200"/>
        <w:rPr>
          <w:i w:val="0"/>
          <w:iCs w:val="0"/>
          <w:color w:val="auto"/>
          <w:szCs w:val="24"/>
          <w:highlight w:val="none"/>
        </w:rPr>
      </w:pPr>
      <w:r>
        <w:rPr>
          <w:rFonts w:hint="eastAsia"/>
          <w:i w:val="0"/>
          <w:iCs w:val="0"/>
          <w:color w:val="auto"/>
          <w:szCs w:val="24"/>
          <w:highlight w:val="none"/>
        </w:rPr>
        <w:t>1.</w:t>
      </w:r>
      <w:r>
        <w:rPr>
          <w:rFonts w:hint="eastAsia"/>
          <w:i w:val="0"/>
          <w:iCs w:val="0"/>
          <w:color w:val="auto"/>
          <w:szCs w:val="24"/>
          <w:highlight w:val="none"/>
          <w:u w:val="single"/>
        </w:rPr>
        <w:t xml:space="preserve"> （标的名称） </w:t>
      </w:r>
      <w:r>
        <w:rPr>
          <w:rFonts w:hint="eastAsia"/>
          <w:i w:val="0"/>
          <w:iCs w:val="0"/>
          <w:color w:val="auto"/>
          <w:szCs w:val="24"/>
          <w:highlight w:val="none"/>
        </w:rPr>
        <w:t xml:space="preserve">，制造商为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138F8FD5">
      <w:pPr>
        <w:wordWrap w:val="0"/>
        <w:ind w:firstLine="400" w:firstLineChars="200"/>
        <w:rPr>
          <w:i w:val="0"/>
          <w:iCs w:val="0"/>
          <w:color w:val="auto"/>
          <w:szCs w:val="24"/>
          <w:highlight w:val="none"/>
        </w:rPr>
      </w:pPr>
      <w:r>
        <w:rPr>
          <w:rFonts w:hint="eastAsia"/>
          <w:i w:val="0"/>
          <w:iCs w:val="0"/>
          <w:color w:val="auto"/>
          <w:szCs w:val="24"/>
          <w:highlight w:val="none"/>
        </w:rPr>
        <w:t xml:space="preserve">2. </w:t>
      </w:r>
      <w:r>
        <w:rPr>
          <w:rFonts w:hint="eastAsia"/>
          <w:i w:val="0"/>
          <w:iCs w:val="0"/>
          <w:color w:val="auto"/>
          <w:szCs w:val="24"/>
          <w:highlight w:val="none"/>
          <w:u w:val="single"/>
        </w:rPr>
        <w:t xml:space="preserve">（标的名称） </w:t>
      </w:r>
      <w:r>
        <w:rPr>
          <w:rFonts w:hint="eastAsia"/>
          <w:i w:val="0"/>
          <w:iCs w:val="0"/>
          <w:color w:val="auto"/>
          <w:szCs w:val="24"/>
          <w:highlight w:val="none"/>
        </w:rPr>
        <w:t xml:space="preserve">，制造商为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7FB12063">
      <w:pPr>
        <w:wordWrap w:val="0"/>
        <w:ind w:firstLine="400" w:firstLineChars="200"/>
        <w:rPr>
          <w:i w:val="0"/>
          <w:iCs w:val="0"/>
          <w:color w:val="auto"/>
          <w:szCs w:val="24"/>
          <w:highlight w:val="none"/>
        </w:rPr>
      </w:pPr>
      <w:r>
        <w:rPr>
          <w:rFonts w:hint="eastAsia"/>
          <w:i w:val="0"/>
          <w:iCs w:val="0"/>
          <w:color w:val="auto"/>
          <w:szCs w:val="24"/>
          <w:highlight w:val="none"/>
        </w:rPr>
        <w:t>……</w:t>
      </w:r>
    </w:p>
    <w:p w14:paraId="7B8F3287">
      <w:pPr>
        <w:wordWrap w:val="0"/>
        <w:ind w:firstLine="400" w:firstLineChars="200"/>
        <w:rPr>
          <w:i w:val="0"/>
          <w:iCs w:val="0"/>
          <w:color w:val="auto"/>
          <w:szCs w:val="24"/>
          <w:highlight w:val="none"/>
        </w:rPr>
      </w:pPr>
      <w:r>
        <w:rPr>
          <w:rFonts w:hint="eastAsia"/>
          <w:i w:val="0"/>
          <w:iCs w:val="0"/>
          <w:color w:val="auto"/>
          <w:szCs w:val="24"/>
          <w:highlight w:val="none"/>
        </w:rPr>
        <w:t>以上企业，不属于大企业的分支机构，不存在控股股东为大企业的情形，也不存在与大企业的负责人为同一人的情形。</w:t>
      </w:r>
    </w:p>
    <w:p w14:paraId="18EB7223">
      <w:pPr>
        <w:wordWrap w:val="0"/>
        <w:ind w:left="905" w:leftChars="200" w:hanging="505" w:hangingChars="253"/>
        <w:rPr>
          <w:i w:val="0"/>
          <w:iCs w:val="0"/>
          <w:color w:val="auto"/>
          <w:szCs w:val="24"/>
          <w:highlight w:val="none"/>
        </w:rPr>
      </w:pPr>
      <w:r>
        <w:rPr>
          <w:rFonts w:hint="eastAsia"/>
          <w:i w:val="0"/>
          <w:iCs w:val="0"/>
          <w:color w:val="auto"/>
          <w:szCs w:val="24"/>
          <w:highlight w:val="none"/>
        </w:rPr>
        <w:t>本企业对上述声明内容的真实性负责。如有虚假，将依法承担相应责任。</w:t>
      </w:r>
    </w:p>
    <w:p w14:paraId="44C7A080">
      <w:pPr>
        <w:wordWrap w:val="0"/>
        <w:ind w:left="1091" w:hanging="906" w:hangingChars="453"/>
        <w:rPr>
          <w:b/>
          <w:bCs/>
          <w:i w:val="0"/>
          <w:iCs w:val="0"/>
          <w:color w:val="auto"/>
          <w:szCs w:val="24"/>
          <w:highlight w:val="none"/>
        </w:rPr>
      </w:pPr>
    </w:p>
    <w:p w14:paraId="43523196">
      <w:pPr>
        <w:wordWrap w:val="0"/>
        <w:ind w:left="1091" w:hanging="906" w:hangingChars="453"/>
        <w:rPr>
          <w:bCs/>
          <w:i w:val="0"/>
          <w:iCs w:val="0"/>
          <w:color w:val="auto"/>
          <w:szCs w:val="24"/>
          <w:highlight w:val="none"/>
        </w:rPr>
      </w:pPr>
      <w:r>
        <w:rPr>
          <w:rFonts w:hint="eastAsia"/>
          <w:b/>
          <w:bCs/>
          <w:i w:val="0"/>
          <w:iCs w:val="0"/>
          <w:color w:val="auto"/>
          <w:szCs w:val="24"/>
          <w:highlight w:val="none"/>
        </w:rPr>
        <w:t>说明：</w:t>
      </w:r>
      <w:r>
        <w:rPr>
          <w:rFonts w:hint="eastAsia"/>
          <w:bCs/>
          <w:i w:val="0"/>
          <w:iCs w:val="0"/>
          <w:color w:val="auto"/>
          <w:szCs w:val="24"/>
          <w:highlight w:val="none"/>
        </w:rPr>
        <w:t>1、</w:t>
      </w:r>
      <w:r>
        <w:rPr>
          <w:rFonts w:hint="eastAsia"/>
          <w:bCs/>
          <w:i w:val="0"/>
          <w:iCs w:val="0"/>
          <w:color w:val="auto"/>
          <w:szCs w:val="21"/>
          <w:highlight w:val="none"/>
          <w:lang w:val="zh-CN"/>
        </w:rPr>
        <w:t>货物应当全部由符合政策要求的残疾人福利性单位生产且使用该残疾人福利性单位商号或注册商标（与代理商或投标人无关）；应当严格按上述格式及内容进行填写（应当明确每个标的的生产企业类型及相关数据），否则导致的后果由投标人自行承担；</w:t>
      </w:r>
    </w:p>
    <w:p w14:paraId="2288B711">
      <w:pPr>
        <w:wordWrap w:val="0"/>
        <w:ind w:left="1087" w:hanging="906" w:hangingChars="453"/>
        <w:rPr>
          <w:rFonts w:cs="Courier New"/>
          <w:color w:val="auto"/>
          <w:szCs w:val="21"/>
          <w:highlight w:val="none"/>
        </w:rPr>
      </w:pPr>
      <w:r>
        <w:rPr>
          <w:rFonts w:hint="eastAsia"/>
          <w:bCs/>
          <w:i w:val="0"/>
          <w:iCs w:val="0"/>
          <w:color w:val="auto"/>
          <w:szCs w:val="21"/>
          <w:highlight w:val="none"/>
          <w:lang w:val="zh-CN"/>
        </w:rPr>
        <w:t xml:space="preserve">      2、</w:t>
      </w:r>
      <w:r>
        <w:rPr>
          <w:rFonts w:hint="eastAsia" w:cs="Courier New"/>
          <w:i w:val="0"/>
          <w:iCs w:val="0"/>
          <w:color w:val="auto"/>
          <w:szCs w:val="21"/>
          <w:highlight w:val="none"/>
        </w:rPr>
        <w:t>以联合体形式参加的，应</w:t>
      </w:r>
      <w:r>
        <w:rPr>
          <w:rFonts w:hint="eastAsia"/>
          <w:bCs/>
          <w:i w:val="0"/>
          <w:iCs w:val="0"/>
          <w:color w:val="auto"/>
          <w:szCs w:val="21"/>
          <w:highlight w:val="none"/>
          <w:lang w:val="zh-CN"/>
        </w:rPr>
        <w:t>当</w:t>
      </w:r>
      <w:r>
        <w:rPr>
          <w:rFonts w:hint="eastAsia" w:cs="Courier New"/>
          <w:i w:val="0"/>
          <w:iCs w:val="0"/>
          <w:color w:val="auto"/>
          <w:szCs w:val="21"/>
          <w:highlight w:val="none"/>
        </w:rPr>
        <w:t>由联合体各方盖章。</w:t>
      </w:r>
    </w:p>
    <w:p w14:paraId="71983F83">
      <w:pPr>
        <w:wordWrap w:val="0"/>
        <w:spacing w:before="100" w:beforeAutospacing="1" w:after="100" w:afterAutospacing="1"/>
        <w:ind w:firstLine="2764" w:firstLineChars="1382"/>
        <w:rPr>
          <w:bCs/>
          <w:color w:val="auto"/>
          <w:szCs w:val="21"/>
          <w:highlight w:val="none"/>
          <w:lang w:val="zh-CN"/>
        </w:rPr>
      </w:pPr>
      <w:r>
        <w:rPr>
          <w:rFonts w:hint="eastAsia"/>
          <w:bCs/>
          <w:color w:val="auto"/>
          <w:szCs w:val="21"/>
          <w:highlight w:val="none"/>
          <w:lang w:val="zh-CN"/>
        </w:rPr>
        <w:t>投标人</w:t>
      </w:r>
      <w:r>
        <w:rPr>
          <w:rFonts w:hint="eastAsia"/>
          <w:bCs/>
          <w:color w:val="auto"/>
          <w:szCs w:val="21"/>
          <w:highlight w:val="none"/>
          <w:lang w:val="en-US" w:eastAsia="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bCs/>
          <w:color w:val="auto"/>
          <w:szCs w:val="21"/>
          <w:highlight w:val="none"/>
          <w:lang w:val="zh-CN"/>
        </w:rPr>
        <w:t>：</w:t>
      </w:r>
      <w:r>
        <w:rPr>
          <w:rFonts w:hint="eastAsia"/>
          <w:bCs/>
          <w:color w:val="auto"/>
          <w:szCs w:val="21"/>
          <w:highlight w:val="none"/>
          <w:u w:val="single"/>
          <w:lang w:val="zh-CN"/>
        </w:rPr>
        <w:t xml:space="preserve">              </w:t>
      </w:r>
    </w:p>
    <w:p w14:paraId="3A972AC9">
      <w:pPr>
        <w:wordWrap w:val="0"/>
        <w:spacing w:before="100" w:beforeAutospacing="1" w:after="100" w:afterAutospacing="1"/>
        <w:ind w:firstLine="2764" w:firstLineChars="1382"/>
        <w:rPr>
          <w:color w:val="auto"/>
          <w:highlight w:val="none"/>
        </w:rPr>
      </w:pPr>
      <w:r>
        <w:rPr>
          <w:rFonts w:hint="eastAsia"/>
          <w:color w:val="auto"/>
          <w:szCs w:val="24"/>
          <w:highlight w:val="none"/>
        </w:rPr>
        <w:t>日</w:t>
      </w:r>
      <w:r>
        <w:rPr>
          <w:color w:val="auto"/>
          <w:szCs w:val="24"/>
          <w:highlight w:val="none"/>
        </w:rPr>
        <w:t xml:space="preserve">  </w:t>
      </w:r>
      <w:r>
        <w:rPr>
          <w:rFonts w:hint="eastAsia"/>
          <w:color w:val="auto"/>
          <w:szCs w:val="24"/>
          <w:highlight w:val="none"/>
        </w:rPr>
        <w:t>期：</w:t>
      </w:r>
      <w:r>
        <w:rPr>
          <w:bCs/>
          <w:color w:val="auto"/>
          <w:szCs w:val="24"/>
          <w:highlight w:val="none"/>
          <w:u w:val="single"/>
        </w:rPr>
        <w:t xml:space="preserve">                         </w:t>
      </w:r>
    </w:p>
    <w:p w14:paraId="6F5F8DCA">
      <w:pPr>
        <w:ind w:left="4620" w:firstLine="280" w:firstLineChars="100"/>
        <w:rPr>
          <w:rFonts w:cs="仿宋_GB2312"/>
          <w:b/>
          <w:color w:val="auto"/>
          <w:sz w:val="28"/>
          <w:szCs w:val="28"/>
          <w:highlight w:val="none"/>
        </w:rPr>
      </w:pPr>
    </w:p>
    <w:p w14:paraId="7BDD1A80">
      <w:pPr>
        <w:rPr>
          <w:color w:val="auto"/>
          <w:highlight w:val="none"/>
        </w:rPr>
      </w:pPr>
      <w:r>
        <w:rPr>
          <w:color w:val="auto"/>
          <w:highlight w:val="none"/>
        </w:rPr>
        <w:br w:type="page"/>
      </w:r>
    </w:p>
    <w:p w14:paraId="4044E1FE">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p>
    <w:p w14:paraId="4B9EE2D8">
      <w:pPr>
        <w:pStyle w:val="3"/>
        <w:bidi w:val="0"/>
        <w:rPr>
          <w:rFonts w:hint="eastAsia"/>
          <w:lang w:val="en-US" w:eastAsia="zh-CN"/>
        </w:rPr>
      </w:pPr>
      <w:bookmarkStart w:id="626" w:name="_Toc29132"/>
      <w:r>
        <w:rPr>
          <w:rFonts w:hint="eastAsia"/>
          <w:lang w:val="en-US" w:eastAsia="zh-CN"/>
        </w:rPr>
        <w:t>三、不参与围标串标承诺书</w:t>
      </w:r>
      <w:bookmarkEnd w:id="626"/>
    </w:p>
    <w:p w14:paraId="70D7F20B">
      <w:pPr>
        <w:pStyle w:val="3"/>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color w:val="auto"/>
          <w:kern w:val="2"/>
          <w:sz w:val="32"/>
          <w:szCs w:val="32"/>
          <w:highlight w:val="none"/>
          <w:lang w:val="en-US" w:eastAsia="zh-CN" w:bidi="ar-SA"/>
        </w:rPr>
      </w:pPr>
    </w:p>
    <w:p w14:paraId="75FF23AC">
      <w:pPr>
        <w:jc w:val="center"/>
        <w:rPr>
          <w:rFonts w:hint="eastAsia"/>
          <w:color w:val="auto"/>
          <w:highlight w:val="none"/>
          <w:lang w:val="en-US" w:eastAsia="zh-CN"/>
        </w:rPr>
      </w:pPr>
      <w:r>
        <w:rPr>
          <w:rFonts w:hint="eastAsia" w:cstheme="majorBidi"/>
          <w:b/>
          <w:bCs/>
          <w:color w:val="auto"/>
          <w:kern w:val="2"/>
          <w:sz w:val="32"/>
          <w:szCs w:val="32"/>
          <w:highlight w:val="none"/>
          <w:lang w:val="en-US" w:eastAsia="zh-CN" w:bidi="ar-SA"/>
        </w:rPr>
        <w:t>不参与围标串标承诺书</w:t>
      </w:r>
    </w:p>
    <w:p w14:paraId="6B233C07">
      <w:pPr>
        <w:rPr>
          <w:rFonts w:hint="eastAsia"/>
          <w:color w:val="auto"/>
          <w:highlight w:val="none"/>
          <w:lang w:val="en-US" w:eastAsia="zh-CN"/>
        </w:rPr>
      </w:pPr>
      <w:r>
        <w:rPr>
          <w:rFonts w:hint="eastAsia"/>
          <w:color w:val="auto"/>
          <w:highlight w:val="none"/>
          <w:lang w:val="en-US" w:eastAsia="zh-CN"/>
        </w:rPr>
        <w:t>  </w:t>
      </w:r>
    </w:p>
    <w:p w14:paraId="1ACC5C30">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color w:val="auto"/>
          <w:highlight w:val="none"/>
          <w:lang w:val="en-US" w:eastAsia="zh-CN"/>
        </w:rPr>
      </w:pPr>
      <w:r>
        <w:rPr>
          <w:rFonts w:hint="eastAsia"/>
          <w:color w:val="auto"/>
          <w:highlight w:val="none"/>
          <w:lang w:val="en-US" w:eastAsia="zh-CN"/>
        </w:rPr>
        <w:t>本人作为经授权的投标人代表,清楚知晓我单位本项目投标活动,对以下事项作出承诺：</w:t>
      </w:r>
    </w:p>
    <w:p w14:paraId="398E6081">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color w:val="auto"/>
          <w:highlight w:val="none"/>
          <w:lang w:val="en-US" w:eastAsia="zh-CN"/>
        </w:rPr>
      </w:pPr>
    </w:p>
    <w:p w14:paraId="26BB11E4">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color w:val="auto"/>
          <w:highlight w:val="none"/>
          <w:lang w:val="en-US" w:eastAsia="zh-CN"/>
        </w:rPr>
      </w:pPr>
      <w:r>
        <w:rPr>
          <w:rFonts w:hint="eastAsia"/>
          <w:color w:val="auto"/>
          <w:highlight w:val="none"/>
          <w:lang w:val="en-US" w:eastAsia="zh-CN"/>
        </w:rPr>
        <w:t>一、我单位和我本人遵循公开透明、公平竞争、公正和诚实信用的原则,依法依规参与本项目竞标。</w:t>
      </w:r>
    </w:p>
    <w:p w14:paraId="10BBFC53">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color w:val="auto"/>
          <w:highlight w:val="none"/>
          <w:lang w:val="en-US" w:eastAsia="zh-CN"/>
        </w:rPr>
      </w:pPr>
      <w:r>
        <w:rPr>
          <w:rFonts w:hint="eastAsia"/>
          <w:color w:val="auto"/>
          <w:highlight w:val="none"/>
          <w:lang w:val="en-US" w:eastAsia="zh-CN"/>
        </w:rPr>
        <w:t>二、我单位和我本人在本项目政府采购投标活动中,未参与围标串标。</w:t>
      </w:r>
    </w:p>
    <w:p w14:paraId="1A7E3475">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color w:val="auto"/>
          <w:highlight w:val="none"/>
          <w:lang w:val="en-US" w:eastAsia="zh-CN"/>
        </w:rPr>
      </w:pPr>
      <w:r>
        <w:rPr>
          <w:rFonts w:hint="eastAsia"/>
          <w:color w:val="auto"/>
          <w:highlight w:val="none"/>
          <w:lang w:val="en-US" w:eastAsia="zh-CN"/>
        </w:rPr>
        <w:t>三、我单位如被查实在本项目政府采购投标活动中存在围标串标的，递交投标文件行为作为实施串通投标违法行为的关键环节,由我单位及法定代表人承担相应的法律责任，接受相应行政处罚和失信惩戒。</w:t>
      </w:r>
    </w:p>
    <w:p w14:paraId="29E3C848">
      <w:pPr>
        <w:pStyle w:val="13"/>
        <w:rPr>
          <w:rFonts w:hint="eastAsia"/>
          <w:color w:val="auto"/>
          <w:highlight w:val="none"/>
          <w:lang w:val="en-US" w:eastAsia="zh-CN"/>
        </w:rPr>
      </w:pPr>
    </w:p>
    <w:p w14:paraId="39CB3E48">
      <w:pPr>
        <w:spacing w:line="560" w:lineRule="exact"/>
        <w:rPr>
          <w:rFonts w:hint="eastAsia" w:ascii="宋体" w:hAnsi="宋体" w:eastAsia="宋体" w:cs="宋体"/>
          <w:color w:val="auto"/>
          <w:kern w:val="0"/>
          <w:sz w:val="24"/>
          <w:szCs w:val="24"/>
          <w:highlight w:val="none"/>
        </w:rPr>
      </w:pPr>
    </w:p>
    <w:p w14:paraId="19648C53">
      <w:pPr>
        <w:spacing w:line="560" w:lineRule="exac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rPr>
        <w:t>：</w:t>
      </w:r>
    </w:p>
    <w:p w14:paraId="2CCE383A">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692B3277">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13DA43E0">
      <w:pPr>
        <w:widowControl/>
        <w:spacing w:line="560" w:lineRule="exact"/>
        <w:ind w:firstLine="630"/>
        <w:jc w:val="left"/>
        <w:rPr>
          <w:rFonts w:hint="eastAsia" w:ascii="宋体" w:hAnsi="宋体" w:eastAsia="宋体" w:cs="宋体"/>
          <w:color w:val="auto"/>
          <w:kern w:val="0"/>
          <w:sz w:val="24"/>
          <w:szCs w:val="24"/>
          <w:highlight w:val="none"/>
        </w:rPr>
      </w:pPr>
    </w:p>
    <w:p w14:paraId="7CD72A88">
      <w:pPr>
        <w:pStyle w:val="13"/>
        <w:rPr>
          <w:rFonts w:hint="eastAsia"/>
          <w:color w:val="auto"/>
          <w:highlight w:val="none"/>
          <w:lang w:val="en-US" w:eastAsia="zh-CN"/>
        </w:rPr>
      </w:pPr>
    </w:p>
    <w:p w14:paraId="6FC519D1">
      <w:pPr>
        <w:pStyle w:val="13"/>
        <w:rPr>
          <w:rFonts w:hint="eastAsia"/>
          <w:color w:val="auto"/>
          <w:highlight w:val="none"/>
          <w:lang w:val="en-US" w:eastAsia="zh-CN"/>
        </w:rPr>
      </w:pPr>
    </w:p>
    <w:p w14:paraId="7500053D">
      <w:pPr>
        <w:pStyle w:val="13"/>
        <w:rPr>
          <w:rFonts w:hint="eastAsia"/>
          <w:color w:val="auto"/>
          <w:highlight w:val="none"/>
          <w:lang w:val="en-US" w:eastAsia="zh-CN"/>
        </w:rPr>
      </w:pPr>
    </w:p>
    <w:p w14:paraId="5BF64493">
      <w:pPr>
        <w:pStyle w:val="13"/>
        <w:rPr>
          <w:rFonts w:hint="eastAsia"/>
          <w:color w:val="auto"/>
          <w:highlight w:val="none"/>
          <w:lang w:val="en-US" w:eastAsia="zh-CN"/>
        </w:rPr>
      </w:pPr>
    </w:p>
    <w:p w14:paraId="5CA01A8B">
      <w:pPr>
        <w:pStyle w:val="13"/>
        <w:rPr>
          <w:rFonts w:hint="eastAsia"/>
          <w:color w:val="auto"/>
          <w:highlight w:val="none"/>
          <w:lang w:val="en-US" w:eastAsia="zh-CN"/>
        </w:rPr>
      </w:pPr>
    </w:p>
    <w:p w14:paraId="029F743D">
      <w:pPr>
        <w:pStyle w:val="13"/>
        <w:rPr>
          <w:rFonts w:hint="eastAsia"/>
          <w:color w:val="auto"/>
          <w:highlight w:val="none"/>
          <w:lang w:val="en-US" w:eastAsia="zh-CN"/>
        </w:rPr>
      </w:pPr>
    </w:p>
    <w:p w14:paraId="41587146">
      <w:pPr>
        <w:pStyle w:val="13"/>
        <w:rPr>
          <w:rFonts w:hint="eastAsia"/>
          <w:color w:val="auto"/>
          <w:highlight w:val="none"/>
          <w:lang w:val="en-US" w:eastAsia="zh-CN"/>
        </w:rPr>
      </w:pPr>
    </w:p>
    <w:p w14:paraId="34406338">
      <w:pPr>
        <w:pStyle w:val="13"/>
        <w:rPr>
          <w:rFonts w:hint="eastAsia"/>
          <w:color w:val="auto"/>
          <w:highlight w:val="none"/>
          <w:lang w:val="en-US" w:eastAsia="zh-CN"/>
        </w:rPr>
      </w:pPr>
    </w:p>
    <w:p w14:paraId="13DEAFB3">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p>
    <w:p w14:paraId="30C8D33E">
      <w:pPr>
        <w:pStyle w:val="3"/>
        <w:bidi w:val="0"/>
        <w:rPr>
          <w:rFonts w:hint="eastAsia"/>
          <w:lang w:val="zh-CN" w:eastAsia="zh-CN"/>
        </w:rPr>
      </w:pPr>
      <w:bookmarkStart w:id="627" w:name="_Toc12419"/>
      <w:r>
        <w:rPr>
          <w:rFonts w:hint="eastAsia"/>
          <w:lang w:val="en-US" w:eastAsia="zh-CN"/>
        </w:rPr>
        <w:t>四、</w:t>
      </w:r>
      <w:r>
        <w:rPr>
          <w:rFonts w:hint="eastAsia"/>
          <w:lang w:val="zh-CN" w:eastAsia="zh-CN"/>
        </w:rPr>
        <w:t>其他资格证明文件</w:t>
      </w:r>
      <w:bookmarkEnd w:id="627"/>
    </w:p>
    <w:p w14:paraId="0C24F0AE">
      <w:pPr>
        <w:pStyle w:val="37"/>
        <w:rPr>
          <w:rFonts w:hint="eastAsia"/>
          <w:color w:val="auto"/>
          <w:highlight w:val="none"/>
        </w:rPr>
      </w:pPr>
      <w:r>
        <w:rPr>
          <w:rFonts w:hint="eastAsia" w:cs="Courier New"/>
          <w:color w:val="auto"/>
          <w:szCs w:val="24"/>
          <w:highlight w:val="none"/>
        </w:rPr>
        <w:t>投标人认为需提供的其它相关资格证明材料</w:t>
      </w:r>
    </w:p>
    <w:p w14:paraId="7C2C3E83">
      <w:pPr>
        <w:pStyle w:val="37"/>
        <w:rPr>
          <w:rFonts w:hint="eastAsia"/>
          <w:color w:val="auto"/>
          <w:highlight w:val="none"/>
        </w:rPr>
      </w:pPr>
    </w:p>
    <w:p w14:paraId="58A36194">
      <w:pPr>
        <w:pStyle w:val="37"/>
        <w:rPr>
          <w:rFonts w:hint="eastAsia"/>
          <w:color w:val="auto"/>
          <w:highlight w:val="none"/>
        </w:rPr>
      </w:pPr>
    </w:p>
    <w:p w14:paraId="3553B395">
      <w:pPr>
        <w:pStyle w:val="37"/>
        <w:rPr>
          <w:rFonts w:hint="eastAsia"/>
          <w:color w:val="auto"/>
          <w:highlight w:val="none"/>
        </w:rPr>
      </w:pPr>
    </w:p>
    <w:p w14:paraId="49D404FC">
      <w:pPr>
        <w:pStyle w:val="37"/>
        <w:rPr>
          <w:rFonts w:hint="eastAsia"/>
          <w:color w:val="auto"/>
          <w:highlight w:val="none"/>
        </w:rPr>
      </w:pPr>
    </w:p>
    <w:p w14:paraId="4B98E4B6">
      <w:pPr>
        <w:pStyle w:val="37"/>
        <w:rPr>
          <w:rFonts w:hint="eastAsia"/>
          <w:color w:val="auto"/>
          <w:highlight w:val="none"/>
        </w:rPr>
      </w:pPr>
    </w:p>
    <w:p w14:paraId="737FEDD3">
      <w:pPr>
        <w:pStyle w:val="37"/>
        <w:rPr>
          <w:rFonts w:hint="eastAsia"/>
          <w:color w:val="auto"/>
          <w:highlight w:val="none"/>
        </w:rPr>
      </w:pPr>
    </w:p>
    <w:p w14:paraId="1C876135">
      <w:pPr>
        <w:pStyle w:val="37"/>
        <w:rPr>
          <w:rFonts w:hint="eastAsia"/>
          <w:color w:val="auto"/>
          <w:highlight w:val="none"/>
        </w:rPr>
      </w:pPr>
    </w:p>
    <w:p w14:paraId="7E85C842">
      <w:pPr>
        <w:pStyle w:val="37"/>
        <w:rPr>
          <w:rFonts w:hint="eastAsia"/>
          <w:color w:val="auto"/>
          <w:highlight w:val="none"/>
        </w:rPr>
      </w:pPr>
    </w:p>
    <w:p w14:paraId="4CBE3B0D">
      <w:pPr>
        <w:pStyle w:val="37"/>
        <w:rPr>
          <w:rFonts w:hint="eastAsia"/>
          <w:color w:val="auto"/>
          <w:highlight w:val="none"/>
        </w:rPr>
      </w:pPr>
    </w:p>
    <w:p w14:paraId="2E6E451F">
      <w:pPr>
        <w:pStyle w:val="37"/>
        <w:rPr>
          <w:rFonts w:hint="eastAsia"/>
          <w:color w:val="auto"/>
          <w:highlight w:val="none"/>
        </w:rPr>
      </w:pPr>
    </w:p>
    <w:p w14:paraId="38DC2C55">
      <w:pPr>
        <w:pStyle w:val="37"/>
        <w:rPr>
          <w:rFonts w:hint="eastAsia"/>
          <w:color w:val="auto"/>
          <w:highlight w:val="none"/>
        </w:rPr>
      </w:pPr>
    </w:p>
    <w:p w14:paraId="04DAFD3C">
      <w:pPr>
        <w:pStyle w:val="37"/>
        <w:rPr>
          <w:rFonts w:hint="eastAsia"/>
          <w:color w:val="auto"/>
          <w:highlight w:val="none"/>
        </w:rPr>
      </w:pPr>
    </w:p>
    <w:p w14:paraId="51E24CDC">
      <w:pPr>
        <w:pStyle w:val="37"/>
        <w:rPr>
          <w:rFonts w:hint="eastAsia"/>
          <w:color w:val="auto"/>
          <w:highlight w:val="none"/>
        </w:rPr>
      </w:pPr>
    </w:p>
    <w:p w14:paraId="1AC1942E">
      <w:pPr>
        <w:pStyle w:val="37"/>
        <w:rPr>
          <w:rFonts w:hint="eastAsia"/>
          <w:color w:val="auto"/>
          <w:highlight w:val="none"/>
        </w:rPr>
      </w:pPr>
    </w:p>
    <w:p w14:paraId="4722E259">
      <w:pPr>
        <w:pStyle w:val="37"/>
        <w:rPr>
          <w:rFonts w:hint="eastAsia"/>
          <w:color w:val="auto"/>
          <w:highlight w:val="none"/>
        </w:rPr>
      </w:pPr>
    </w:p>
    <w:p w14:paraId="07033BD3">
      <w:pPr>
        <w:pStyle w:val="37"/>
        <w:rPr>
          <w:rFonts w:hint="eastAsia"/>
          <w:color w:val="auto"/>
          <w:highlight w:val="none"/>
        </w:rPr>
      </w:pPr>
    </w:p>
    <w:p w14:paraId="6E1D094D">
      <w:pPr>
        <w:pStyle w:val="37"/>
        <w:rPr>
          <w:rFonts w:hint="eastAsia"/>
          <w:color w:val="auto"/>
          <w:highlight w:val="none"/>
        </w:rPr>
      </w:pPr>
    </w:p>
    <w:p w14:paraId="23B0DB54">
      <w:pPr>
        <w:pStyle w:val="37"/>
        <w:rPr>
          <w:rFonts w:hint="eastAsia"/>
          <w:color w:val="auto"/>
          <w:highlight w:val="none"/>
        </w:rPr>
      </w:pPr>
    </w:p>
    <w:p w14:paraId="07159DF6">
      <w:pPr>
        <w:pStyle w:val="37"/>
        <w:rPr>
          <w:rFonts w:hint="eastAsia"/>
          <w:color w:val="auto"/>
          <w:highlight w:val="none"/>
        </w:rPr>
      </w:pPr>
    </w:p>
    <w:p w14:paraId="44B3A5AA">
      <w:pPr>
        <w:pStyle w:val="37"/>
        <w:rPr>
          <w:rFonts w:hint="eastAsia"/>
          <w:color w:val="auto"/>
          <w:highlight w:val="none"/>
        </w:rPr>
      </w:pPr>
    </w:p>
    <w:p w14:paraId="05BB178A">
      <w:pPr>
        <w:pStyle w:val="37"/>
        <w:rPr>
          <w:rFonts w:hint="eastAsia"/>
          <w:color w:val="auto"/>
          <w:highlight w:val="none"/>
        </w:rPr>
      </w:pPr>
    </w:p>
    <w:p w14:paraId="0E7980AB">
      <w:pPr>
        <w:pStyle w:val="37"/>
        <w:rPr>
          <w:rFonts w:hint="eastAsia"/>
          <w:color w:val="auto"/>
          <w:highlight w:val="none"/>
        </w:rPr>
      </w:pPr>
    </w:p>
    <w:p w14:paraId="5A09B930">
      <w:pPr>
        <w:pStyle w:val="37"/>
        <w:rPr>
          <w:rFonts w:hint="eastAsia"/>
          <w:color w:val="auto"/>
          <w:highlight w:val="none"/>
        </w:rPr>
      </w:pPr>
    </w:p>
    <w:p w14:paraId="3FB1F62E">
      <w:pPr>
        <w:pStyle w:val="37"/>
        <w:rPr>
          <w:rFonts w:hint="eastAsia"/>
          <w:color w:val="auto"/>
          <w:highlight w:val="none"/>
        </w:rPr>
      </w:pPr>
    </w:p>
    <w:p w14:paraId="3E9AC4C9">
      <w:pPr>
        <w:pStyle w:val="37"/>
        <w:rPr>
          <w:rFonts w:hint="eastAsia"/>
          <w:color w:val="auto"/>
          <w:highlight w:val="none"/>
        </w:rPr>
      </w:pPr>
    </w:p>
    <w:p w14:paraId="04384634">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0582944">
      <w:pPr>
        <w:ind w:firstLine="400" w:firstLineChars="200"/>
        <w:rPr>
          <w:rFonts w:cs="仿宋_GB2312"/>
          <w:color w:val="auto"/>
          <w:szCs w:val="24"/>
          <w:highlight w:val="none"/>
          <w:lang w:val="zh-CN"/>
        </w:rPr>
      </w:pPr>
      <w:r>
        <w:rPr>
          <w:rFonts w:hint="eastAsia" w:cs="仿宋_GB2312"/>
          <w:color w:val="auto"/>
          <w:szCs w:val="24"/>
          <w:highlight w:val="none"/>
          <w:lang w:val="zh-CN"/>
        </w:rPr>
        <w:t>封面：</w:t>
      </w:r>
    </w:p>
    <w:p w14:paraId="4D1553A3">
      <w:pPr>
        <w:autoSpaceDE w:val="0"/>
        <w:autoSpaceDN w:val="0"/>
        <w:adjustRightInd w:val="0"/>
        <w:rPr>
          <w:color w:val="auto"/>
          <w:sz w:val="21"/>
          <w:szCs w:val="24"/>
          <w:highlight w:val="none"/>
        </w:rPr>
      </w:pPr>
    </w:p>
    <w:p w14:paraId="4625D57D">
      <w:pPr>
        <w:autoSpaceDE w:val="0"/>
        <w:autoSpaceDN w:val="0"/>
        <w:adjustRightInd w:val="0"/>
        <w:rPr>
          <w:color w:val="auto"/>
          <w:sz w:val="21"/>
          <w:szCs w:val="24"/>
          <w:highlight w:val="none"/>
        </w:rPr>
      </w:pPr>
    </w:p>
    <w:p w14:paraId="426BCEA1">
      <w:pPr>
        <w:autoSpaceDE w:val="0"/>
        <w:autoSpaceDN w:val="0"/>
        <w:adjustRightInd w:val="0"/>
        <w:jc w:val="center"/>
        <w:rPr>
          <w:color w:val="auto"/>
          <w:sz w:val="21"/>
          <w:szCs w:val="24"/>
          <w:highlight w:val="none"/>
        </w:rPr>
      </w:pPr>
    </w:p>
    <w:p w14:paraId="3902644C">
      <w:pPr>
        <w:pStyle w:val="3"/>
        <w:bidi w:val="0"/>
        <w:jc w:val="center"/>
        <w:rPr>
          <w:sz w:val="84"/>
          <w:szCs w:val="84"/>
        </w:rPr>
      </w:pPr>
      <w:bookmarkStart w:id="628" w:name="_Toc25734"/>
      <w:r>
        <w:rPr>
          <w:rFonts w:hint="eastAsia"/>
          <w:sz w:val="84"/>
          <w:szCs w:val="84"/>
        </w:rPr>
        <w:t>投 标 文 件</w:t>
      </w:r>
      <w:bookmarkEnd w:id="628"/>
    </w:p>
    <w:p w14:paraId="5B89FC04">
      <w:pPr>
        <w:pStyle w:val="3"/>
        <w:bidi w:val="0"/>
        <w:jc w:val="center"/>
        <w:rPr>
          <w:rFonts w:hint="eastAsia"/>
          <w:sz w:val="56"/>
          <w:szCs w:val="56"/>
          <w:lang w:val="en-US" w:eastAsia="zh-CN"/>
        </w:rPr>
      </w:pPr>
      <w:bookmarkStart w:id="629" w:name="_Toc16181"/>
      <w:r>
        <w:rPr>
          <w:rFonts w:hint="eastAsia"/>
          <w:sz w:val="56"/>
          <w:szCs w:val="56"/>
          <w:lang w:val="en-US" w:eastAsia="zh-CN"/>
        </w:rPr>
        <w:t>报价文件</w:t>
      </w:r>
      <w:bookmarkEnd w:id="629"/>
    </w:p>
    <w:p w14:paraId="5531C7E5">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054E0C81">
      <w:pPr>
        <w:pStyle w:val="3"/>
        <w:rPr>
          <w:color w:val="auto"/>
          <w:sz w:val="21"/>
          <w:szCs w:val="21"/>
          <w:highlight w:val="none"/>
        </w:rPr>
      </w:pPr>
    </w:p>
    <w:p w14:paraId="425E1EDC">
      <w:pPr>
        <w:rPr>
          <w:color w:val="auto"/>
          <w:sz w:val="21"/>
          <w:szCs w:val="21"/>
          <w:highlight w:val="none"/>
        </w:rPr>
      </w:pPr>
    </w:p>
    <w:p w14:paraId="5FFD5616">
      <w:pPr>
        <w:rPr>
          <w:color w:val="auto"/>
          <w:highlight w:val="none"/>
        </w:rPr>
      </w:pPr>
    </w:p>
    <w:p w14:paraId="0338FA55">
      <w:pPr>
        <w:autoSpaceDE w:val="0"/>
        <w:autoSpaceDN w:val="0"/>
        <w:adjustRightInd w:val="0"/>
        <w:rPr>
          <w:color w:val="auto"/>
          <w:sz w:val="21"/>
          <w:szCs w:val="21"/>
          <w:highlight w:val="none"/>
        </w:rPr>
      </w:pPr>
    </w:p>
    <w:p w14:paraId="336C0AE3">
      <w:pPr>
        <w:autoSpaceDE w:val="0"/>
        <w:autoSpaceDN w:val="0"/>
        <w:adjustRightInd w:val="0"/>
        <w:rPr>
          <w:color w:val="auto"/>
          <w:sz w:val="21"/>
          <w:szCs w:val="21"/>
          <w:highlight w:val="none"/>
        </w:rPr>
      </w:pPr>
    </w:p>
    <w:p w14:paraId="6F475132">
      <w:pPr>
        <w:ind w:left="35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173F70E">
      <w:pPr>
        <w:ind w:left="35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01680F9">
      <w:pPr>
        <w:ind w:left="35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3B6644C">
      <w:pPr>
        <w:ind w:left="840" w:firstLine="420"/>
        <w:rPr>
          <w:b/>
          <w:bCs/>
          <w:color w:val="auto"/>
          <w:sz w:val="28"/>
          <w:szCs w:val="28"/>
          <w:highlight w:val="none"/>
        </w:rPr>
      </w:pPr>
    </w:p>
    <w:p w14:paraId="5776D25B">
      <w:pPr>
        <w:ind w:left="840" w:firstLine="420"/>
        <w:rPr>
          <w:b/>
          <w:bCs/>
          <w:color w:val="auto"/>
          <w:sz w:val="28"/>
          <w:szCs w:val="28"/>
          <w:highlight w:val="none"/>
        </w:rPr>
      </w:pPr>
    </w:p>
    <w:p w14:paraId="153E0B10">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B025C97">
      <w:pPr>
        <w:rPr>
          <w:color w:val="auto"/>
          <w:highlight w:val="none"/>
          <w:lang w:val="zh-CN"/>
        </w:rPr>
      </w:pPr>
      <w:r>
        <w:rPr>
          <w:color w:val="auto"/>
          <w:highlight w:val="none"/>
          <w:lang w:val="zh-CN"/>
        </w:rPr>
        <w:br w:type="page"/>
      </w:r>
    </w:p>
    <w:p w14:paraId="5A6B7717">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730DA0BC">
      <w:pPr>
        <w:pStyle w:val="3"/>
        <w:bidi w:val="0"/>
        <w:jc w:val="center"/>
        <w:rPr>
          <w:rFonts w:hint="eastAsia"/>
          <w:lang w:val="en-US" w:eastAsia="zh-CN"/>
        </w:rPr>
      </w:pPr>
      <w:bookmarkStart w:id="630" w:name="_Toc13682"/>
      <w:r>
        <w:rPr>
          <w:rFonts w:hint="eastAsia"/>
          <w:lang w:val="en-US" w:eastAsia="zh-CN"/>
        </w:rPr>
        <w:t>一、开标一览表</w:t>
      </w:r>
      <w:bookmarkEnd w:id="630"/>
    </w:p>
    <w:p w14:paraId="2AB3D72A">
      <w:pPr>
        <w:spacing w:line="300" w:lineRule="auto"/>
        <w:rPr>
          <w:rFonts w:cs="仿宋_GB2312"/>
          <w:color w:val="auto"/>
          <w:szCs w:val="24"/>
          <w:highlight w:val="none"/>
        </w:rPr>
      </w:pPr>
    </w:p>
    <w:p w14:paraId="599D3A7B">
      <w:pPr>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p>
    <w:p w14:paraId="0CABFDF4">
      <w:pPr>
        <w:rPr>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p>
    <w:tbl>
      <w:tblPr>
        <w:tblStyle w:val="30"/>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5F27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B46E6E">
            <w:pPr>
              <w:widowControl/>
              <w:autoSpaceDE w:val="0"/>
              <w:autoSpaceDN w:val="0"/>
              <w:spacing w:line="240" w:lineRule="auto"/>
              <w:jc w:val="center"/>
              <w:textAlignment w:val="bottom"/>
              <w:rPr>
                <w:color w:val="auto"/>
                <w:sz w:val="24"/>
                <w:szCs w:val="24"/>
                <w:highlight w:val="none"/>
              </w:rPr>
            </w:pPr>
            <w:r>
              <w:rPr>
                <w:rFonts w:hint="eastAsia"/>
                <w:color w:val="auto"/>
                <w:sz w:val="24"/>
                <w:szCs w:val="24"/>
                <w:highlight w:val="none"/>
              </w:rPr>
              <w:t>序号</w:t>
            </w:r>
          </w:p>
        </w:tc>
        <w:tc>
          <w:tcPr>
            <w:tcW w:w="2352" w:type="dxa"/>
            <w:vAlign w:val="center"/>
          </w:tcPr>
          <w:p w14:paraId="5D10FF2E">
            <w:pPr>
              <w:widowControl/>
              <w:autoSpaceDE w:val="0"/>
              <w:autoSpaceDN w:val="0"/>
              <w:spacing w:line="240" w:lineRule="auto"/>
              <w:ind w:left="851" w:hanging="851"/>
              <w:jc w:val="center"/>
              <w:textAlignment w:val="bottom"/>
              <w:rPr>
                <w:color w:val="auto"/>
                <w:sz w:val="24"/>
                <w:szCs w:val="24"/>
                <w:highlight w:val="none"/>
              </w:rPr>
            </w:pPr>
            <w:r>
              <w:rPr>
                <w:rFonts w:hint="eastAsia"/>
                <w:color w:val="auto"/>
                <w:sz w:val="24"/>
                <w:szCs w:val="24"/>
                <w:highlight w:val="none"/>
              </w:rPr>
              <w:t>投标报价</w:t>
            </w:r>
          </w:p>
        </w:tc>
        <w:tc>
          <w:tcPr>
            <w:tcW w:w="2161" w:type="dxa"/>
            <w:vAlign w:val="center"/>
          </w:tcPr>
          <w:p w14:paraId="48CC1886">
            <w:pPr>
              <w:widowControl/>
              <w:autoSpaceDE w:val="0"/>
              <w:autoSpaceDN w:val="0"/>
              <w:spacing w:line="240" w:lineRule="auto"/>
              <w:ind w:left="851" w:hanging="851"/>
              <w:jc w:val="center"/>
              <w:textAlignment w:val="bottom"/>
              <w:rPr>
                <w:color w:val="auto"/>
                <w:sz w:val="24"/>
                <w:szCs w:val="24"/>
                <w:highlight w:val="none"/>
              </w:rPr>
            </w:pPr>
            <w:r>
              <w:rPr>
                <w:rFonts w:hint="eastAsia"/>
                <w:color w:val="auto"/>
                <w:sz w:val="24"/>
                <w:szCs w:val="24"/>
                <w:highlight w:val="none"/>
              </w:rPr>
              <w:t>交货期限</w:t>
            </w:r>
          </w:p>
        </w:tc>
        <w:tc>
          <w:tcPr>
            <w:tcW w:w="2611" w:type="dxa"/>
            <w:vAlign w:val="center"/>
          </w:tcPr>
          <w:p w14:paraId="620875ED">
            <w:pPr>
              <w:widowControl/>
              <w:autoSpaceDE w:val="0"/>
              <w:autoSpaceDN w:val="0"/>
              <w:spacing w:line="240" w:lineRule="auto"/>
              <w:jc w:val="center"/>
              <w:textAlignment w:val="bottom"/>
              <w:rPr>
                <w:color w:val="auto"/>
                <w:sz w:val="24"/>
                <w:szCs w:val="24"/>
                <w:highlight w:val="none"/>
              </w:rPr>
            </w:pPr>
            <w:r>
              <w:rPr>
                <w:rFonts w:hint="eastAsia"/>
                <w:color w:val="auto"/>
                <w:sz w:val="24"/>
                <w:szCs w:val="24"/>
                <w:highlight w:val="none"/>
              </w:rPr>
              <w:t>备注（如有）</w:t>
            </w:r>
          </w:p>
        </w:tc>
      </w:tr>
      <w:tr w14:paraId="1B09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73431128">
            <w:pPr>
              <w:widowControl/>
              <w:autoSpaceDE w:val="0"/>
              <w:autoSpaceDN w:val="0"/>
              <w:spacing w:line="240" w:lineRule="auto"/>
              <w:ind w:left="851" w:hanging="851"/>
              <w:jc w:val="center"/>
              <w:textAlignment w:val="bottom"/>
              <w:rPr>
                <w:rFonts w:hint="eastAsia"/>
                <w:color w:val="auto"/>
                <w:sz w:val="24"/>
                <w:szCs w:val="24"/>
                <w:highlight w:val="none"/>
              </w:rPr>
            </w:pPr>
          </w:p>
        </w:tc>
        <w:tc>
          <w:tcPr>
            <w:tcW w:w="2352" w:type="dxa"/>
            <w:vAlign w:val="center"/>
          </w:tcPr>
          <w:p w14:paraId="45A40F19">
            <w:pPr>
              <w:widowControl/>
              <w:shd w:val="clear"/>
              <w:autoSpaceDE w:val="0"/>
              <w:autoSpaceDN w:val="0"/>
              <w:spacing w:line="240" w:lineRule="auto"/>
              <w:ind w:left="851" w:hanging="851"/>
              <w:jc w:val="both"/>
              <w:textAlignment w:val="bottom"/>
              <w:rPr>
                <w:rFonts w:hint="eastAsia"/>
                <w:color w:val="auto"/>
                <w:sz w:val="24"/>
                <w:szCs w:val="24"/>
                <w:highlight w:val="none"/>
                <w:lang w:val="en-US" w:eastAsia="zh-CN"/>
              </w:rPr>
            </w:pPr>
            <w:r>
              <w:rPr>
                <w:rFonts w:hint="eastAsia"/>
                <w:color w:val="auto"/>
                <w:sz w:val="24"/>
                <w:szCs w:val="24"/>
                <w:highlight w:val="none"/>
                <w:lang w:val="en-US" w:eastAsia="zh-CN"/>
              </w:rPr>
              <w:t>小写：</w:t>
            </w:r>
          </w:p>
          <w:p w14:paraId="11F7915D">
            <w:pPr>
              <w:widowControl/>
              <w:shd w:val="clear"/>
              <w:autoSpaceDE w:val="0"/>
              <w:autoSpaceDN w:val="0"/>
              <w:spacing w:line="240" w:lineRule="auto"/>
              <w:ind w:left="851" w:hanging="851"/>
              <w:jc w:val="both"/>
              <w:textAlignment w:val="bottom"/>
              <w:rPr>
                <w:rFonts w:hint="default"/>
                <w:color w:val="auto"/>
                <w:sz w:val="24"/>
                <w:szCs w:val="24"/>
                <w:highlight w:val="none"/>
                <w:lang w:val="en-US" w:eastAsia="zh-CN"/>
              </w:rPr>
            </w:pPr>
            <w:r>
              <w:rPr>
                <w:rFonts w:hint="eastAsia"/>
                <w:color w:val="auto"/>
                <w:sz w:val="24"/>
                <w:szCs w:val="24"/>
                <w:highlight w:val="none"/>
                <w:lang w:val="en-US" w:eastAsia="zh-CN"/>
              </w:rPr>
              <w:t>大写：</w:t>
            </w:r>
          </w:p>
        </w:tc>
        <w:tc>
          <w:tcPr>
            <w:tcW w:w="2161" w:type="dxa"/>
            <w:vAlign w:val="center"/>
          </w:tcPr>
          <w:p w14:paraId="3409D243">
            <w:pPr>
              <w:widowControl/>
              <w:autoSpaceDE w:val="0"/>
              <w:autoSpaceDN w:val="0"/>
              <w:spacing w:line="240" w:lineRule="auto"/>
              <w:ind w:left="851" w:hanging="851"/>
              <w:jc w:val="center"/>
              <w:textAlignment w:val="bottom"/>
              <w:rPr>
                <w:rFonts w:hint="eastAsia"/>
                <w:color w:val="auto"/>
                <w:sz w:val="24"/>
                <w:szCs w:val="24"/>
                <w:highlight w:val="none"/>
              </w:rPr>
            </w:pPr>
          </w:p>
        </w:tc>
        <w:tc>
          <w:tcPr>
            <w:tcW w:w="2611" w:type="dxa"/>
            <w:vAlign w:val="center"/>
          </w:tcPr>
          <w:p w14:paraId="35602B49">
            <w:pPr>
              <w:widowControl/>
              <w:autoSpaceDE w:val="0"/>
              <w:autoSpaceDN w:val="0"/>
              <w:spacing w:line="240" w:lineRule="auto"/>
              <w:ind w:left="851" w:hanging="851"/>
              <w:jc w:val="center"/>
              <w:textAlignment w:val="bottom"/>
              <w:rPr>
                <w:rFonts w:hint="eastAsia"/>
                <w:color w:val="auto"/>
                <w:sz w:val="24"/>
                <w:szCs w:val="24"/>
                <w:highlight w:val="none"/>
              </w:rPr>
            </w:pPr>
          </w:p>
        </w:tc>
      </w:tr>
    </w:tbl>
    <w:p w14:paraId="486E37D7">
      <w:pPr>
        <w:spacing w:line="300" w:lineRule="auto"/>
        <w:rPr>
          <w:rFonts w:ascii="Arial" w:hAnsi="Arial" w:cs="Arial"/>
          <w:color w:val="auto"/>
          <w:szCs w:val="21"/>
          <w:highlight w:val="none"/>
          <w:u w:val="single"/>
        </w:rPr>
      </w:pPr>
    </w:p>
    <w:p w14:paraId="0270EFB4">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6302F8A6">
      <w:pPr>
        <w:spacing w:line="300" w:lineRule="auto"/>
        <w:rPr>
          <w:rFonts w:ascii="Arial" w:hAnsi="Arial" w:cs="Arial"/>
          <w:color w:val="auto"/>
          <w:szCs w:val="21"/>
          <w:highlight w:val="none"/>
          <w:u w:val="single"/>
        </w:rPr>
      </w:pPr>
      <w:r>
        <w:rPr>
          <w:rFonts w:ascii="Arial" w:hAnsi="Arial" w:cs="Arial"/>
          <w:color w:val="auto"/>
          <w:szCs w:val="21"/>
          <w:highlight w:val="none"/>
        </w:rPr>
        <w:t>日期：</w:t>
      </w:r>
    </w:p>
    <w:p w14:paraId="722CC087">
      <w:pPr>
        <w:rPr>
          <w:rFonts w:cs="Arial"/>
          <w:color w:val="auto"/>
          <w:szCs w:val="24"/>
          <w:highlight w:val="none"/>
        </w:rPr>
      </w:pPr>
    </w:p>
    <w:p w14:paraId="21BB3A26">
      <w:pPr>
        <w:pStyle w:val="13"/>
        <w:rPr>
          <w:rFonts w:cs="Arial"/>
          <w:color w:val="auto"/>
          <w:szCs w:val="24"/>
          <w:highlight w:val="none"/>
        </w:rPr>
      </w:pPr>
    </w:p>
    <w:p w14:paraId="4C551945">
      <w:pPr>
        <w:pStyle w:val="13"/>
        <w:rPr>
          <w:rFonts w:cs="Arial"/>
          <w:color w:val="auto"/>
          <w:szCs w:val="24"/>
          <w:highlight w:val="none"/>
        </w:rPr>
      </w:pPr>
    </w:p>
    <w:p w14:paraId="09ACCEBB">
      <w:pPr>
        <w:pStyle w:val="13"/>
        <w:rPr>
          <w:rFonts w:cs="Arial"/>
          <w:color w:val="auto"/>
          <w:szCs w:val="24"/>
          <w:highlight w:val="none"/>
        </w:rPr>
      </w:pPr>
    </w:p>
    <w:p w14:paraId="54CAC625">
      <w:pPr>
        <w:pStyle w:val="13"/>
        <w:rPr>
          <w:rFonts w:cs="Arial"/>
          <w:color w:val="auto"/>
          <w:szCs w:val="24"/>
          <w:highlight w:val="none"/>
        </w:rPr>
      </w:pPr>
    </w:p>
    <w:p w14:paraId="5D119674">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7BF32AC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1.此表用于开标唱标之用。</w:t>
      </w:r>
    </w:p>
    <w:p w14:paraId="7C88578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2.表中投标报价即为优惠后报价，并作为评审及定标依据。任何有选择或有条件的投标报价，或者表中某一包填写多个报价，均为无效报价。</w:t>
      </w:r>
    </w:p>
    <w:p w14:paraId="68588FF0">
      <w:pPr>
        <w:pStyle w:val="13"/>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.表中大写与小写不一致的，以大写为准。</w:t>
      </w:r>
    </w:p>
    <w:p w14:paraId="4D6E4C40">
      <w:pPr>
        <w:pStyle w:val="13"/>
        <w:ind w:firstLine="480" w:firstLineChars="200"/>
        <w:rPr>
          <w:rFonts w:hint="eastAsia" w:ascii="宋体" w:hAnsi="宋体" w:eastAsia="宋体" w:cs="宋体"/>
          <w:color w:val="auto"/>
          <w:sz w:val="24"/>
          <w:szCs w:val="24"/>
          <w:highlight w:val="none"/>
        </w:rPr>
      </w:pPr>
    </w:p>
    <w:p w14:paraId="5E0B168A">
      <w:pPr>
        <w:pStyle w:val="13"/>
        <w:ind w:firstLine="480" w:firstLineChars="200"/>
        <w:rPr>
          <w:rFonts w:hint="eastAsia" w:ascii="宋体" w:hAnsi="宋体" w:eastAsia="宋体" w:cs="宋体"/>
          <w:color w:val="auto"/>
          <w:sz w:val="24"/>
          <w:szCs w:val="24"/>
          <w:highlight w:val="none"/>
        </w:rPr>
      </w:pPr>
    </w:p>
    <w:p w14:paraId="050DEE08">
      <w:pPr>
        <w:pStyle w:val="13"/>
        <w:ind w:firstLine="480" w:firstLineChars="200"/>
        <w:rPr>
          <w:rFonts w:hint="eastAsia" w:ascii="宋体" w:hAnsi="宋体" w:eastAsia="宋体" w:cs="宋体"/>
          <w:color w:val="auto"/>
          <w:sz w:val="24"/>
          <w:szCs w:val="24"/>
          <w:highlight w:val="none"/>
        </w:rPr>
      </w:pPr>
    </w:p>
    <w:p w14:paraId="6229B50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7B2B178E">
      <w:pPr>
        <w:pStyle w:val="3"/>
        <w:bidi w:val="0"/>
        <w:jc w:val="center"/>
        <w:rPr>
          <w:rFonts w:hint="eastAsia"/>
          <w:lang w:val="en-US" w:eastAsia="zh-CN"/>
        </w:rPr>
      </w:pPr>
      <w:bookmarkStart w:id="631" w:name="_Toc16528"/>
      <w:r>
        <w:rPr>
          <w:rFonts w:hint="eastAsia"/>
          <w:lang w:val="en-US" w:eastAsia="zh-CN"/>
        </w:rPr>
        <w:t>二、分项报价表</w:t>
      </w:r>
      <w:bookmarkEnd w:id="631"/>
    </w:p>
    <w:p w14:paraId="3C0402CB">
      <w:pPr>
        <w:spacing w:line="240" w:lineRule="auto"/>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5456D210">
      <w:pPr>
        <w:spacing w:line="240" w:lineRule="auto"/>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lang w:val="zh-CN"/>
        </w:rPr>
        <w:t xml:space="preserve">      </w:t>
      </w:r>
    </w:p>
    <w:tbl>
      <w:tblPr>
        <w:tblStyle w:val="31"/>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66"/>
        <w:gridCol w:w="1067"/>
        <w:gridCol w:w="1040"/>
        <w:gridCol w:w="1384"/>
        <w:gridCol w:w="1008"/>
        <w:gridCol w:w="1464"/>
        <w:gridCol w:w="1025"/>
        <w:gridCol w:w="863"/>
        <w:gridCol w:w="1324"/>
        <w:gridCol w:w="1026"/>
        <w:gridCol w:w="923"/>
        <w:gridCol w:w="1091"/>
      </w:tblGrid>
      <w:tr w14:paraId="3310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94" w:type="dxa"/>
            <w:vAlign w:val="center"/>
          </w:tcPr>
          <w:p w14:paraId="2D51E3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kern w:val="2"/>
                <w:sz w:val="21"/>
                <w:szCs w:val="21"/>
                <w:highlight w:val="none"/>
              </w:rPr>
              <w:t>序号</w:t>
            </w:r>
          </w:p>
        </w:tc>
        <w:tc>
          <w:tcPr>
            <w:tcW w:w="1066" w:type="dxa"/>
            <w:vAlign w:val="center"/>
          </w:tcPr>
          <w:p w14:paraId="31DAB9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分项</w:t>
            </w:r>
            <w:r>
              <w:rPr>
                <w:rFonts w:hint="eastAsia" w:ascii="宋体" w:hAnsi="宋体" w:eastAsia="宋体" w:cs="宋体"/>
                <w:b w:val="0"/>
                <w:bCs/>
                <w:color w:val="auto"/>
                <w:sz w:val="21"/>
                <w:szCs w:val="21"/>
                <w:highlight w:val="none"/>
              </w:rPr>
              <w:t>名称</w:t>
            </w:r>
          </w:p>
        </w:tc>
        <w:tc>
          <w:tcPr>
            <w:tcW w:w="1067" w:type="dxa"/>
            <w:vAlign w:val="center"/>
          </w:tcPr>
          <w:p w14:paraId="1FEEAE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w:t>
            </w:r>
          </w:p>
        </w:tc>
        <w:tc>
          <w:tcPr>
            <w:tcW w:w="1040" w:type="dxa"/>
            <w:vAlign w:val="center"/>
          </w:tcPr>
          <w:p w14:paraId="264DED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产地/国别</w:t>
            </w:r>
          </w:p>
        </w:tc>
        <w:tc>
          <w:tcPr>
            <w:tcW w:w="1384" w:type="dxa"/>
            <w:vAlign w:val="center"/>
          </w:tcPr>
          <w:p w14:paraId="64AC8B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制造商</w:t>
            </w:r>
          </w:p>
          <w:p w14:paraId="09B31A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统一社会信用代码</w:t>
            </w:r>
          </w:p>
        </w:tc>
        <w:tc>
          <w:tcPr>
            <w:tcW w:w="1008" w:type="dxa"/>
            <w:vAlign w:val="center"/>
          </w:tcPr>
          <w:p w14:paraId="7A390D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制造商规模</w:t>
            </w:r>
          </w:p>
        </w:tc>
        <w:tc>
          <w:tcPr>
            <w:tcW w:w="1464" w:type="dxa"/>
            <w:vAlign w:val="center"/>
          </w:tcPr>
          <w:p w14:paraId="3A9B2D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en-US"/>
              </w:rPr>
            </w:pPr>
            <w:r>
              <w:rPr>
                <w:rFonts w:hint="eastAsia" w:ascii="宋体" w:hAnsi="宋体" w:eastAsia="宋体" w:cs="宋体"/>
                <w:b w:val="0"/>
                <w:bCs/>
                <w:color w:val="auto"/>
                <w:sz w:val="21"/>
                <w:szCs w:val="21"/>
                <w:highlight w:val="none"/>
                <w:lang w:val="en-US" w:eastAsia="zh-CN"/>
              </w:rPr>
              <w:t>制造商实际控制人性别</w:t>
            </w:r>
          </w:p>
        </w:tc>
        <w:tc>
          <w:tcPr>
            <w:tcW w:w="1025" w:type="dxa"/>
            <w:vAlign w:val="center"/>
          </w:tcPr>
          <w:p w14:paraId="37BD30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外商投资类型</w:t>
            </w:r>
          </w:p>
        </w:tc>
        <w:tc>
          <w:tcPr>
            <w:tcW w:w="863" w:type="dxa"/>
            <w:vAlign w:val="center"/>
          </w:tcPr>
          <w:p w14:paraId="60D081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品牌</w:t>
            </w:r>
          </w:p>
        </w:tc>
        <w:tc>
          <w:tcPr>
            <w:tcW w:w="1324" w:type="dxa"/>
            <w:vAlign w:val="center"/>
          </w:tcPr>
          <w:p w14:paraId="6B3AFB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规格、</w:t>
            </w:r>
            <w:r>
              <w:rPr>
                <w:rFonts w:hint="eastAsia" w:ascii="宋体" w:hAnsi="宋体" w:eastAsia="宋体" w:cs="宋体"/>
                <w:b w:val="0"/>
                <w:bCs/>
                <w:color w:val="auto"/>
                <w:sz w:val="21"/>
                <w:szCs w:val="21"/>
                <w:highlight w:val="none"/>
              </w:rPr>
              <w:t>型号</w:t>
            </w:r>
          </w:p>
        </w:tc>
        <w:tc>
          <w:tcPr>
            <w:tcW w:w="1026" w:type="dxa"/>
            <w:vAlign w:val="center"/>
          </w:tcPr>
          <w:p w14:paraId="45014B84">
            <w:pP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单价</w:t>
            </w:r>
          </w:p>
          <w:p w14:paraId="145DF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c>
          <w:tcPr>
            <w:tcW w:w="923" w:type="dxa"/>
            <w:vAlign w:val="center"/>
          </w:tcPr>
          <w:p w14:paraId="3BCEDF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数量</w:t>
            </w:r>
          </w:p>
        </w:tc>
        <w:tc>
          <w:tcPr>
            <w:tcW w:w="1091" w:type="dxa"/>
            <w:vAlign w:val="center"/>
          </w:tcPr>
          <w:p w14:paraId="577D0E39">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合价</w:t>
            </w:r>
          </w:p>
          <w:p w14:paraId="2EC37A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r>
      <w:tr w14:paraId="3DDD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6007496">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1066" w:type="dxa"/>
            <w:vAlign w:val="center"/>
          </w:tcPr>
          <w:p w14:paraId="5185A0F8">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440761B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2042EBA7">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74B97F46">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339AD079">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0CB6EDE3">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2B5545C8">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58D4443B">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38890D3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50753003">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22E72FF">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1F020DC5">
            <w:pPr>
              <w:jc w:val="center"/>
              <w:rPr>
                <w:rFonts w:hint="eastAsia" w:ascii="宋体" w:hAnsi="宋体" w:eastAsia="宋体" w:cs="宋体"/>
                <w:b w:val="0"/>
                <w:bCs/>
                <w:color w:val="auto"/>
                <w:sz w:val="21"/>
                <w:szCs w:val="21"/>
                <w:highlight w:val="none"/>
                <w:u w:val="none"/>
                <w:vertAlign w:val="baseline"/>
                <w:lang w:val="zh-CN"/>
              </w:rPr>
            </w:pPr>
          </w:p>
        </w:tc>
      </w:tr>
      <w:tr w14:paraId="327B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2DA2FC9F">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w:t>
            </w:r>
          </w:p>
        </w:tc>
        <w:tc>
          <w:tcPr>
            <w:tcW w:w="1066" w:type="dxa"/>
            <w:vAlign w:val="center"/>
          </w:tcPr>
          <w:p w14:paraId="022E3F12">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FFF5518">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C93B94B">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3F08D28">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4F7A043B">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2BA9D216">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0E652E37">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22025CB6">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2DDA3C2">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703F39B0">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454AC89A">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3DE3EDC9">
            <w:pPr>
              <w:jc w:val="center"/>
              <w:rPr>
                <w:rFonts w:hint="eastAsia" w:ascii="宋体" w:hAnsi="宋体" w:eastAsia="宋体" w:cs="宋体"/>
                <w:b w:val="0"/>
                <w:bCs/>
                <w:color w:val="auto"/>
                <w:sz w:val="21"/>
                <w:szCs w:val="21"/>
                <w:highlight w:val="none"/>
                <w:u w:val="none"/>
                <w:vertAlign w:val="baseline"/>
                <w:lang w:val="zh-CN"/>
              </w:rPr>
            </w:pPr>
          </w:p>
        </w:tc>
      </w:tr>
      <w:tr w14:paraId="338F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288DC270">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w:t>
            </w:r>
          </w:p>
        </w:tc>
        <w:tc>
          <w:tcPr>
            <w:tcW w:w="1066" w:type="dxa"/>
            <w:vAlign w:val="center"/>
          </w:tcPr>
          <w:p w14:paraId="296B3553">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1A9BFBA">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D34AAEE">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895811B">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5C049FB4">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EEF0947">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7778CA91">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765FF03">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1030805C">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03FD13FA">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6B2BB13">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68E139E">
            <w:pPr>
              <w:jc w:val="center"/>
              <w:rPr>
                <w:rFonts w:hint="eastAsia" w:ascii="宋体" w:hAnsi="宋体" w:eastAsia="宋体" w:cs="宋体"/>
                <w:b w:val="0"/>
                <w:bCs/>
                <w:color w:val="auto"/>
                <w:sz w:val="21"/>
                <w:szCs w:val="21"/>
                <w:highlight w:val="none"/>
                <w:u w:val="none"/>
                <w:vertAlign w:val="baseline"/>
                <w:lang w:val="zh-CN"/>
              </w:rPr>
            </w:pPr>
          </w:p>
        </w:tc>
      </w:tr>
      <w:tr w14:paraId="1A2C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4B0C62D3">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w:t>
            </w:r>
          </w:p>
        </w:tc>
        <w:tc>
          <w:tcPr>
            <w:tcW w:w="1066" w:type="dxa"/>
            <w:vAlign w:val="center"/>
          </w:tcPr>
          <w:p w14:paraId="78D63140">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6FCE407">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7B685A3F">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737DC40C">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DC3F2EB">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04B80A38">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7E28DCD6">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E72731F">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81A2EB9">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427EE9F9">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2B42903">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69FF26F0">
            <w:pPr>
              <w:jc w:val="center"/>
              <w:rPr>
                <w:rFonts w:hint="eastAsia" w:ascii="宋体" w:hAnsi="宋体" w:eastAsia="宋体" w:cs="宋体"/>
                <w:b w:val="0"/>
                <w:bCs/>
                <w:color w:val="auto"/>
                <w:sz w:val="21"/>
                <w:szCs w:val="21"/>
                <w:highlight w:val="none"/>
                <w:u w:val="none"/>
                <w:vertAlign w:val="baseline"/>
                <w:lang w:val="zh-CN"/>
              </w:rPr>
            </w:pPr>
          </w:p>
        </w:tc>
      </w:tr>
      <w:tr w14:paraId="49E7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4442CB85">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5</w:t>
            </w:r>
          </w:p>
        </w:tc>
        <w:tc>
          <w:tcPr>
            <w:tcW w:w="1066" w:type="dxa"/>
            <w:vAlign w:val="center"/>
          </w:tcPr>
          <w:p w14:paraId="679234AE">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677FA79">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73FE1D76">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61CBC7D1">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A301C20">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04151E12">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4252EDFA">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0C1A4B6F">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42FC6DBD">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2F3F1C2B">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843F507">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011D80F">
            <w:pPr>
              <w:jc w:val="center"/>
              <w:rPr>
                <w:rFonts w:hint="eastAsia" w:ascii="宋体" w:hAnsi="宋体" w:eastAsia="宋体" w:cs="宋体"/>
                <w:b w:val="0"/>
                <w:bCs/>
                <w:color w:val="auto"/>
                <w:sz w:val="21"/>
                <w:szCs w:val="21"/>
                <w:highlight w:val="none"/>
                <w:u w:val="none"/>
                <w:vertAlign w:val="baseline"/>
                <w:lang w:val="zh-CN"/>
              </w:rPr>
            </w:pPr>
          </w:p>
        </w:tc>
      </w:tr>
      <w:tr w14:paraId="0995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0BE0365">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6</w:t>
            </w:r>
          </w:p>
        </w:tc>
        <w:tc>
          <w:tcPr>
            <w:tcW w:w="1066" w:type="dxa"/>
            <w:vAlign w:val="center"/>
          </w:tcPr>
          <w:p w14:paraId="6D8BCB32">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517AD61C">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00621DE">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62068598">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7CAA6800">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45ABB011">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30B8B0A5">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202EE98">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256613A">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5EF22610">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60FE5997">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11199F0C">
            <w:pPr>
              <w:jc w:val="center"/>
              <w:rPr>
                <w:rFonts w:hint="eastAsia" w:ascii="宋体" w:hAnsi="宋体" w:eastAsia="宋体" w:cs="宋体"/>
                <w:b w:val="0"/>
                <w:bCs/>
                <w:color w:val="auto"/>
                <w:sz w:val="21"/>
                <w:szCs w:val="21"/>
                <w:highlight w:val="none"/>
                <w:u w:val="none"/>
                <w:vertAlign w:val="baseline"/>
                <w:lang w:val="zh-CN"/>
              </w:rPr>
            </w:pPr>
          </w:p>
        </w:tc>
      </w:tr>
      <w:tr w14:paraId="24D4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0CA1058F">
            <w:pPr>
              <w:jc w:val="center"/>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u w:val="none"/>
                <w:vertAlign w:val="baseline"/>
                <w:lang w:val="zh-CN"/>
              </w:rPr>
              <w:t>…</w:t>
            </w:r>
          </w:p>
        </w:tc>
        <w:tc>
          <w:tcPr>
            <w:tcW w:w="1066" w:type="dxa"/>
            <w:vAlign w:val="center"/>
          </w:tcPr>
          <w:p w14:paraId="07D6C3C7">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54762713">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008D212">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7BB3E714">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4B0014E9">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53F16430">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2BF5155B">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30E0F0AA">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7514C69">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3C51E7DE">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C3D14DE">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C3AA4BD">
            <w:pPr>
              <w:jc w:val="center"/>
              <w:rPr>
                <w:rFonts w:hint="eastAsia" w:ascii="宋体" w:hAnsi="宋体" w:eastAsia="宋体" w:cs="宋体"/>
                <w:b w:val="0"/>
                <w:bCs/>
                <w:color w:val="auto"/>
                <w:sz w:val="21"/>
                <w:szCs w:val="21"/>
                <w:highlight w:val="none"/>
                <w:u w:val="none"/>
                <w:vertAlign w:val="baseline"/>
                <w:lang w:val="zh-CN"/>
              </w:rPr>
            </w:pPr>
          </w:p>
        </w:tc>
      </w:tr>
      <w:tr w14:paraId="0C8A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084" w:type="dxa"/>
            <w:gridSpan w:val="12"/>
            <w:vAlign w:val="center"/>
          </w:tcPr>
          <w:p w14:paraId="66A2BE18">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总价</w:t>
            </w:r>
            <w:r>
              <w:rPr>
                <w:rFonts w:hint="eastAsia" w:ascii="宋体" w:hAnsi="宋体" w:eastAsia="宋体" w:cs="宋体"/>
                <w:b w:val="0"/>
                <w:bCs/>
                <w:color w:val="auto"/>
                <w:sz w:val="21"/>
                <w:szCs w:val="21"/>
                <w:highlight w:val="none"/>
              </w:rPr>
              <w:t>（元）</w:t>
            </w:r>
          </w:p>
        </w:tc>
        <w:tc>
          <w:tcPr>
            <w:tcW w:w="1091" w:type="dxa"/>
            <w:vAlign w:val="center"/>
          </w:tcPr>
          <w:p w14:paraId="6386598F">
            <w:pPr>
              <w:jc w:val="center"/>
              <w:rPr>
                <w:rFonts w:hint="eastAsia" w:ascii="宋体" w:hAnsi="宋体" w:eastAsia="宋体" w:cs="宋体"/>
                <w:b w:val="0"/>
                <w:bCs/>
                <w:color w:val="auto"/>
                <w:sz w:val="21"/>
                <w:szCs w:val="21"/>
                <w:highlight w:val="none"/>
                <w:u w:val="none"/>
                <w:vertAlign w:val="baseline"/>
                <w:lang w:val="zh-CN"/>
              </w:rPr>
            </w:pPr>
          </w:p>
        </w:tc>
      </w:tr>
    </w:tbl>
    <w:p w14:paraId="3B42EAA5">
      <w:pPr>
        <w:spacing w:line="300" w:lineRule="auto"/>
        <w:rPr>
          <w:rFonts w:ascii="Arial" w:hAnsi="Arial" w:cs="Arial"/>
          <w:color w:val="auto"/>
          <w:szCs w:val="21"/>
          <w:highlight w:val="none"/>
        </w:rPr>
      </w:pPr>
    </w:p>
    <w:p w14:paraId="51101AF7">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2BD20AC0">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总</w:t>
      </w:r>
      <w:r>
        <w:rPr>
          <w:rFonts w:hint="default" w:ascii="宋体" w:hAnsi="宋体" w:eastAsia="宋体" w:cs="宋体"/>
          <w:color w:val="auto"/>
          <w:sz w:val="21"/>
          <w:szCs w:val="21"/>
          <w:highlight w:val="none"/>
          <w:lang w:val="en-US" w:eastAsia="zh-CN"/>
        </w:rPr>
        <w:t>价填写到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“投标报价”</w:t>
      </w:r>
      <w:r>
        <w:rPr>
          <w:rFonts w:hint="default" w:ascii="宋体" w:hAnsi="宋体" w:eastAsia="宋体" w:cs="宋体"/>
          <w:color w:val="auto"/>
          <w:sz w:val="21"/>
          <w:szCs w:val="21"/>
          <w:highlight w:val="none"/>
          <w:lang w:val="en-US" w:eastAsia="zh-CN"/>
        </w:rPr>
        <w:t>栏中。</w:t>
      </w:r>
    </w:p>
    <w:p w14:paraId="6B43AF2E">
      <w:pPr>
        <w:spacing w:line="360" w:lineRule="auto"/>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.表中所列货物为对应本项目需求的全部货物及所需附件购置费、包装费、运输费、人工费、保险费、安装调试费、各种税费、资料费、售后服务费及完成项目应有的全部费用。如有漏项或缺项，</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承担全部责任。</w:t>
      </w:r>
    </w:p>
    <w:p w14:paraId="06F958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.表中须明确列出所投产品的</w:t>
      </w:r>
      <w:r>
        <w:rPr>
          <w:rFonts w:hint="eastAsia" w:cs="宋体"/>
          <w:color w:val="auto"/>
          <w:sz w:val="21"/>
          <w:szCs w:val="21"/>
          <w:highlight w:val="none"/>
          <w:lang w:val="en-US" w:eastAsia="zh-CN"/>
        </w:rPr>
        <w:t>分项</w:t>
      </w:r>
      <w:r>
        <w:rPr>
          <w:rFonts w:hint="eastAsia" w:ascii="宋体" w:hAnsi="宋体" w:eastAsia="宋体" w:cs="宋体"/>
          <w:color w:val="auto"/>
          <w:sz w:val="21"/>
          <w:szCs w:val="21"/>
          <w:highlight w:val="none"/>
        </w:rPr>
        <w:t>名称、</w:t>
      </w:r>
      <w:r>
        <w:rPr>
          <w:rFonts w:hint="eastAsia" w:cs="宋体"/>
          <w:color w:val="auto"/>
          <w:sz w:val="21"/>
          <w:szCs w:val="21"/>
          <w:highlight w:val="none"/>
          <w:lang w:val="en-US" w:eastAsia="zh-CN"/>
        </w:rPr>
        <w:t>制造商、</w:t>
      </w:r>
      <w:r>
        <w:rPr>
          <w:rFonts w:hint="eastAsia" w:cs="宋体"/>
          <w:b w:val="0"/>
          <w:bCs/>
          <w:color w:val="auto"/>
          <w:sz w:val="21"/>
          <w:szCs w:val="21"/>
          <w:highlight w:val="none"/>
          <w:lang w:val="en-US" w:eastAsia="zh-CN"/>
        </w:rPr>
        <w:t>产地/国别、</w:t>
      </w:r>
      <w:r>
        <w:rPr>
          <w:rFonts w:hint="eastAsia" w:ascii="宋体" w:hAnsi="宋体" w:eastAsia="宋体" w:cs="宋体"/>
          <w:b w:val="0"/>
          <w:bCs/>
          <w:color w:val="auto"/>
          <w:sz w:val="21"/>
          <w:szCs w:val="21"/>
          <w:highlight w:val="none"/>
          <w:lang w:val="en-US" w:eastAsia="zh-CN"/>
        </w:rPr>
        <w:t>制造商统一社会信用代码</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制造商规模</w:t>
      </w:r>
      <w:r>
        <w:rPr>
          <w:rFonts w:hint="eastAsia" w:cs="宋体"/>
          <w:b w:val="0"/>
          <w:bCs/>
          <w:color w:val="auto"/>
          <w:sz w:val="21"/>
          <w:szCs w:val="21"/>
          <w:highlight w:val="none"/>
          <w:lang w:val="en-US" w:eastAsia="zh-CN"/>
        </w:rPr>
        <w:t>、制造商所属性别、外商投资类型、</w:t>
      </w:r>
      <w:r>
        <w:rPr>
          <w:rFonts w:hint="eastAsia" w:ascii="宋体" w:hAnsi="宋体" w:eastAsia="宋体" w:cs="宋体"/>
          <w:color w:val="auto"/>
          <w:sz w:val="21"/>
          <w:szCs w:val="21"/>
          <w:highlight w:val="none"/>
        </w:rPr>
        <w:t>品牌、</w:t>
      </w:r>
      <w:r>
        <w:rPr>
          <w:rFonts w:hint="eastAsia" w:cs="宋体"/>
          <w:color w:val="auto"/>
          <w:sz w:val="21"/>
          <w:szCs w:val="21"/>
          <w:highlight w:val="none"/>
          <w:lang w:eastAsia="zh-CN"/>
        </w:rPr>
        <w:t>规格、</w:t>
      </w:r>
      <w:r>
        <w:rPr>
          <w:rFonts w:hint="eastAsia" w:ascii="宋体" w:hAnsi="宋体" w:eastAsia="宋体" w:cs="宋体"/>
          <w:color w:val="auto"/>
          <w:sz w:val="21"/>
          <w:szCs w:val="21"/>
          <w:highlight w:val="none"/>
        </w:rPr>
        <w:t>型号、</w:t>
      </w:r>
      <w:r>
        <w:rPr>
          <w:rFonts w:hint="eastAsia" w:cs="宋体"/>
          <w:color w:val="auto"/>
          <w:sz w:val="21"/>
          <w:szCs w:val="21"/>
          <w:highlight w:val="none"/>
          <w:lang w:eastAsia="zh-CN"/>
        </w:rPr>
        <w:t>单价、数量、</w:t>
      </w:r>
      <w:r>
        <w:rPr>
          <w:rFonts w:hint="eastAsia" w:cs="宋体"/>
          <w:color w:val="auto"/>
          <w:sz w:val="21"/>
          <w:szCs w:val="21"/>
          <w:highlight w:val="none"/>
          <w:lang w:val="en-US" w:eastAsia="zh-CN"/>
        </w:rPr>
        <w:t>合价等</w:t>
      </w:r>
      <w:r>
        <w:rPr>
          <w:rFonts w:hint="eastAsia" w:ascii="宋体" w:hAnsi="宋体" w:eastAsia="宋体" w:cs="宋体"/>
          <w:color w:val="auto"/>
          <w:sz w:val="21"/>
          <w:szCs w:val="21"/>
          <w:highlight w:val="none"/>
        </w:rPr>
        <w:t>，否则可能导致</w:t>
      </w:r>
      <w:r>
        <w:rPr>
          <w:rFonts w:hint="eastAsia" w:ascii="宋体" w:hAnsi="宋体" w:eastAsia="宋体" w:cs="宋体"/>
          <w:b/>
          <w:bCs/>
          <w:color w:val="auto"/>
          <w:sz w:val="21"/>
          <w:szCs w:val="21"/>
          <w:highlight w:val="none"/>
        </w:rPr>
        <w:t>响应无效</w:t>
      </w:r>
      <w:r>
        <w:rPr>
          <w:rFonts w:hint="eastAsia" w:ascii="宋体" w:hAnsi="宋体" w:eastAsia="宋体" w:cs="宋体"/>
          <w:color w:val="auto"/>
          <w:sz w:val="21"/>
          <w:szCs w:val="21"/>
          <w:highlight w:val="none"/>
        </w:rPr>
        <w:t>。</w:t>
      </w:r>
    </w:p>
    <w:p w14:paraId="66C30DF1">
      <w:pPr>
        <w:keepNext w:val="0"/>
        <w:keepLines w:val="0"/>
        <w:widowControl/>
        <w:suppressLineNumbers w:val="0"/>
        <w:jc w:val="left"/>
        <w:rPr>
          <w:rFonts w:hint="eastAsia" w:ascii="宋体" w:hAnsi="宋体" w:eastAsia="宋体" w:cs="宋体"/>
          <w:b/>
          <w:bCs/>
          <w:i w:val="0"/>
          <w:iCs w:val="0"/>
          <w:color w:val="auto"/>
          <w:kern w:val="0"/>
          <w:sz w:val="21"/>
          <w:szCs w:val="21"/>
          <w:highlight w:val="none"/>
          <w:lang w:val="en-US" w:eastAsia="zh-CN" w:bidi="ar"/>
        </w:rPr>
      </w:pPr>
    </w:p>
    <w:p w14:paraId="561842FA">
      <w:pPr>
        <w:keepNext w:val="0"/>
        <w:keepLines w:val="0"/>
        <w:widowControl/>
        <w:suppressLineNumbers w:val="0"/>
        <w:jc w:val="left"/>
        <w:rPr>
          <w:rFonts w:hint="eastAsia" w:ascii="宋体" w:hAnsi="宋体" w:eastAsia="宋体" w:cs="宋体"/>
          <w:b w:val="0"/>
          <w:bCs w:val="0"/>
          <w:i w:val="0"/>
          <w:iCs w:val="0"/>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lang w:val="en-US" w:eastAsia="zh-CN" w:bidi="ar"/>
        </w:rPr>
        <w:t>填写说明：</w:t>
      </w:r>
      <w:r>
        <w:rPr>
          <w:rFonts w:hint="eastAsia" w:ascii="宋体" w:hAnsi="宋体" w:eastAsia="宋体" w:cs="宋体"/>
          <w:b w:val="0"/>
          <w:bCs w:val="0"/>
          <w:i w:val="0"/>
          <w:iCs w:val="0"/>
          <w:color w:val="auto"/>
          <w:kern w:val="0"/>
          <w:sz w:val="21"/>
          <w:szCs w:val="21"/>
          <w:highlight w:val="none"/>
          <w:lang w:val="en-US" w:eastAsia="zh-CN" w:bidi="ar"/>
        </w:rPr>
        <w:t>1、</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制造商规模</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请填写“大型”、“中型”、“小型”、“微型”或“其他”，且不应与《中小企业声明函》或《拟分包情况说明》中内容矛盾。</w:t>
      </w:r>
    </w:p>
    <w:p w14:paraId="6D411982">
      <w:pPr>
        <w:keepNext w:val="0"/>
        <w:keepLines w:val="0"/>
        <w:widowControl/>
        <w:suppressLineNumbers w:val="0"/>
        <w:ind w:firstLine="1050" w:firstLineChars="500"/>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bidi="ar"/>
        </w:rPr>
        <w:t>2、</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按</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商实际控制人性别划分请填写“男”或“女”，指拥有</w:t>
      </w:r>
      <w:r>
        <w:rPr>
          <w:rFonts w:hint="eastAsia" w:cs="宋体"/>
          <w:b w:val="0"/>
          <w:bCs w:val="0"/>
          <w:i w:val="0"/>
          <w:iCs w:val="0"/>
          <w:color w:val="auto"/>
          <w:kern w:val="0"/>
          <w:sz w:val="21"/>
          <w:szCs w:val="21"/>
          <w:highlight w:val="none"/>
          <w:lang w:val="en-US" w:eastAsia="zh-CN" w:bidi="ar"/>
        </w:rPr>
        <w:t>制造商</w:t>
      </w:r>
      <w:r>
        <w:rPr>
          <w:rFonts w:hint="eastAsia" w:ascii="宋体" w:hAnsi="宋体" w:eastAsia="宋体" w:cs="宋体"/>
          <w:b w:val="0"/>
          <w:bCs w:val="0"/>
          <w:i w:val="0"/>
          <w:iCs w:val="0"/>
          <w:color w:val="auto"/>
          <w:kern w:val="0"/>
          <w:sz w:val="21"/>
          <w:szCs w:val="21"/>
          <w:highlight w:val="none"/>
          <w:lang w:val="en-US" w:eastAsia="zh-CN" w:bidi="ar"/>
        </w:rPr>
        <w:t xml:space="preserve"> 51%以上绝对所有权的性别；绝对所有权拥有者可以是一个人，也可以是多人合计计算。 </w:t>
      </w:r>
    </w:p>
    <w:p w14:paraId="5296BF0A">
      <w:pPr>
        <w:spacing w:line="300" w:lineRule="auto"/>
        <w:ind w:firstLine="1050" w:firstLineChars="500"/>
        <w:rPr>
          <w:rFonts w:hint="eastAsia" w:ascii="宋体" w:hAnsi="宋体" w:eastAsia="宋体" w:cs="宋体"/>
          <w:color w:val="auto"/>
          <w:sz w:val="21"/>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32" w:charSpace="0"/>
        </w:sectPr>
      </w:pPr>
      <w:r>
        <w:rPr>
          <w:rFonts w:hint="eastAsia" w:ascii="宋体" w:hAnsi="宋体" w:eastAsia="宋体" w:cs="宋体"/>
          <w:b w:val="0"/>
          <w:bCs w:val="0"/>
          <w:i w:val="0"/>
          <w:iCs w:val="0"/>
          <w:color w:val="auto"/>
          <w:kern w:val="0"/>
          <w:sz w:val="21"/>
          <w:szCs w:val="21"/>
          <w:highlight w:val="none"/>
          <w:lang w:val="en-US" w:eastAsia="zh-CN" w:bidi="ar"/>
        </w:rPr>
        <w:t>3、</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外商投资类型</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请填写“外商单独投资”、“外商部分投资”或“内资”。</w:t>
      </w:r>
    </w:p>
    <w:p w14:paraId="4A59D451">
      <w:pPr>
        <w:pStyle w:val="6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1810CE8">
      <w:pPr>
        <w:ind w:firstLine="400" w:firstLineChars="200"/>
        <w:rPr>
          <w:rFonts w:cs="仿宋_GB2312"/>
          <w:color w:val="auto"/>
          <w:szCs w:val="24"/>
          <w:highlight w:val="none"/>
          <w:lang w:val="zh-CN"/>
        </w:rPr>
      </w:pPr>
      <w:r>
        <w:rPr>
          <w:rFonts w:hint="eastAsia" w:cs="仿宋_GB2312"/>
          <w:color w:val="auto"/>
          <w:szCs w:val="24"/>
          <w:highlight w:val="none"/>
          <w:lang w:val="zh-CN"/>
        </w:rPr>
        <w:t>封面：</w:t>
      </w:r>
    </w:p>
    <w:p w14:paraId="62869EA6">
      <w:pPr>
        <w:autoSpaceDE w:val="0"/>
        <w:autoSpaceDN w:val="0"/>
        <w:adjustRightInd w:val="0"/>
        <w:rPr>
          <w:color w:val="auto"/>
          <w:sz w:val="21"/>
          <w:szCs w:val="24"/>
          <w:highlight w:val="none"/>
        </w:rPr>
      </w:pPr>
    </w:p>
    <w:p w14:paraId="5B0902B7">
      <w:pPr>
        <w:autoSpaceDE w:val="0"/>
        <w:autoSpaceDN w:val="0"/>
        <w:adjustRightInd w:val="0"/>
        <w:rPr>
          <w:color w:val="auto"/>
          <w:sz w:val="21"/>
          <w:szCs w:val="24"/>
          <w:highlight w:val="none"/>
        </w:rPr>
      </w:pPr>
    </w:p>
    <w:p w14:paraId="5A04F91B">
      <w:pPr>
        <w:autoSpaceDE w:val="0"/>
        <w:autoSpaceDN w:val="0"/>
        <w:adjustRightInd w:val="0"/>
        <w:jc w:val="center"/>
        <w:rPr>
          <w:color w:val="auto"/>
          <w:sz w:val="21"/>
          <w:szCs w:val="24"/>
          <w:highlight w:val="none"/>
        </w:rPr>
      </w:pPr>
    </w:p>
    <w:p w14:paraId="47D22CDA">
      <w:pPr>
        <w:pStyle w:val="3"/>
        <w:bidi w:val="0"/>
        <w:jc w:val="center"/>
        <w:rPr>
          <w:sz w:val="84"/>
          <w:szCs w:val="84"/>
        </w:rPr>
      </w:pPr>
      <w:bookmarkStart w:id="632" w:name="_Toc5027"/>
      <w:r>
        <w:rPr>
          <w:rFonts w:hint="eastAsia"/>
          <w:sz w:val="84"/>
          <w:szCs w:val="84"/>
        </w:rPr>
        <w:t>投 标 文 件</w:t>
      </w:r>
      <w:bookmarkEnd w:id="632"/>
    </w:p>
    <w:p w14:paraId="2059EAAA">
      <w:pPr>
        <w:pStyle w:val="3"/>
        <w:bidi w:val="0"/>
        <w:jc w:val="center"/>
        <w:rPr>
          <w:rFonts w:hint="eastAsia"/>
          <w:sz w:val="56"/>
          <w:szCs w:val="56"/>
          <w:lang w:val="en-US" w:eastAsia="zh-CN"/>
        </w:rPr>
      </w:pPr>
      <w:bookmarkStart w:id="633" w:name="_Toc17239"/>
      <w:r>
        <w:rPr>
          <w:rFonts w:hint="eastAsia"/>
          <w:sz w:val="56"/>
          <w:szCs w:val="56"/>
          <w:lang w:val="en-US" w:eastAsia="zh-CN"/>
        </w:rPr>
        <w:t>商务技术文件</w:t>
      </w:r>
      <w:bookmarkEnd w:id="633"/>
    </w:p>
    <w:p w14:paraId="691967E0">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039027FC">
      <w:pPr>
        <w:pStyle w:val="3"/>
        <w:rPr>
          <w:color w:val="auto"/>
          <w:sz w:val="21"/>
          <w:szCs w:val="21"/>
          <w:highlight w:val="none"/>
        </w:rPr>
      </w:pPr>
    </w:p>
    <w:p w14:paraId="1B35F1EE">
      <w:pPr>
        <w:rPr>
          <w:color w:val="auto"/>
          <w:sz w:val="21"/>
          <w:szCs w:val="21"/>
          <w:highlight w:val="none"/>
        </w:rPr>
      </w:pPr>
    </w:p>
    <w:p w14:paraId="54B78BF7">
      <w:pPr>
        <w:rPr>
          <w:color w:val="auto"/>
          <w:highlight w:val="none"/>
        </w:rPr>
      </w:pPr>
    </w:p>
    <w:p w14:paraId="44CE1222">
      <w:pPr>
        <w:autoSpaceDE w:val="0"/>
        <w:autoSpaceDN w:val="0"/>
        <w:adjustRightInd w:val="0"/>
        <w:rPr>
          <w:color w:val="auto"/>
          <w:sz w:val="21"/>
          <w:szCs w:val="21"/>
          <w:highlight w:val="none"/>
        </w:rPr>
      </w:pPr>
    </w:p>
    <w:p w14:paraId="7AA0A974">
      <w:pPr>
        <w:autoSpaceDE w:val="0"/>
        <w:autoSpaceDN w:val="0"/>
        <w:adjustRightInd w:val="0"/>
        <w:rPr>
          <w:color w:val="auto"/>
          <w:sz w:val="21"/>
          <w:szCs w:val="21"/>
          <w:highlight w:val="none"/>
        </w:rPr>
      </w:pPr>
    </w:p>
    <w:p w14:paraId="037029E5">
      <w:pPr>
        <w:ind w:left="35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538909E">
      <w:pPr>
        <w:ind w:left="35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D86FB53">
      <w:pPr>
        <w:ind w:left="35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2BCF110">
      <w:pPr>
        <w:ind w:left="350" w:leftChars="175"/>
        <w:rPr>
          <w:rFonts w:ascii="黑体" w:hAnsi="黑体" w:eastAsia="黑体"/>
          <w:color w:val="auto"/>
          <w:sz w:val="32"/>
          <w:szCs w:val="32"/>
          <w:highlight w:val="none"/>
        </w:rPr>
      </w:pPr>
    </w:p>
    <w:p w14:paraId="2EF2CC50">
      <w:pPr>
        <w:ind w:left="840" w:firstLine="420"/>
        <w:rPr>
          <w:b/>
          <w:bCs/>
          <w:color w:val="auto"/>
          <w:sz w:val="28"/>
          <w:szCs w:val="28"/>
          <w:highlight w:val="none"/>
        </w:rPr>
      </w:pPr>
    </w:p>
    <w:p w14:paraId="2451F1DE">
      <w:pPr>
        <w:ind w:left="840" w:firstLine="420"/>
        <w:rPr>
          <w:b/>
          <w:bCs/>
          <w:color w:val="auto"/>
          <w:sz w:val="28"/>
          <w:szCs w:val="28"/>
          <w:highlight w:val="none"/>
        </w:rPr>
      </w:pPr>
    </w:p>
    <w:p w14:paraId="5B12266F">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C2AEB63">
      <w:pPr>
        <w:rPr>
          <w:color w:val="auto"/>
          <w:highlight w:val="none"/>
          <w:lang w:val="zh-CN"/>
        </w:rPr>
      </w:pPr>
      <w:r>
        <w:rPr>
          <w:color w:val="auto"/>
          <w:highlight w:val="none"/>
          <w:lang w:val="zh-CN"/>
        </w:rPr>
        <w:br w:type="page"/>
      </w:r>
    </w:p>
    <w:p w14:paraId="374BEE88">
      <w:pPr>
        <w:pStyle w:val="3"/>
        <w:bidi w:val="0"/>
        <w:jc w:val="center"/>
        <w:rPr>
          <w:rFonts w:hint="eastAsia"/>
          <w:lang w:val="en-US" w:eastAsia="zh-CN"/>
        </w:rPr>
      </w:pPr>
      <w:bookmarkStart w:id="634" w:name="_Toc26340"/>
      <w:bookmarkStart w:id="635" w:name="_Toc109900327"/>
      <w:bookmarkStart w:id="636" w:name="_Toc140132831"/>
      <w:bookmarkStart w:id="637" w:name="_Toc109899489"/>
      <w:bookmarkStart w:id="638" w:name="_Toc3577"/>
      <w:bookmarkStart w:id="639" w:name="_Toc109899908"/>
      <w:bookmarkStart w:id="640" w:name="_Toc155185921"/>
      <w:bookmarkStart w:id="641" w:name="_Toc25402"/>
      <w:r>
        <w:rPr>
          <w:rFonts w:hint="eastAsia"/>
          <w:lang w:val="en-US" w:eastAsia="zh-CN"/>
        </w:rPr>
        <w:t>一、投标函</w:t>
      </w:r>
      <w:bookmarkEnd w:id="634"/>
      <w:bookmarkEnd w:id="635"/>
      <w:bookmarkEnd w:id="636"/>
      <w:bookmarkEnd w:id="637"/>
      <w:bookmarkEnd w:id="638"/>
      <w:bookmarkEnd w:id="639"/>
      <w:bookmarkEnd w:id="640"/>
      <w:bookmarkEnd w:id="641"/>
    </w:p>
    <w:p w14:paraId="0ABD9EA3">
      <w:pPr>
        <w:rPr>
          <w:color w:val="auto"/>
          <w:highlight w:val="none"/>
        </w:rPr>
      </w:pPr>
      <w:r>
        <w:rPr>
          <w:rFonts w:hint="eastAsia"/>
          <w:color w:val="auto"/>
          <w:highlight w:val="none"/>
        </w:rPr>
        <w:t>致：（采购人）</w:t>
      </w:r>
    </w:p>
    <w:p w14:paraId="35C4266A">
      <w:pPr>
        <w:ind w:firstLine="400" w:firstLineChars="200"/>
        <w:rPr>
          <w:rFonts w:cs="仿宋_GB2312"/>
          <w:b/>
          <w:bCs/>
          <w:color w:val="auto"/>
          <w:szCs w:val="24"/>
          <w:highlight w:val="none"/>
        </w:rPr>
      </w:pPr>
      <w:r>
        <w:rPr>
          <w:rFonts w:hint="eastAsia" w:cs="仿宋_GB2312"/>
          <w:color w:val="auto"/>
          <w:szCs w:val="24"/>
          <w:highlight w:val="none"/>
        </w:rPr>
        <w:t>根据贵方</w:t>
      </w:r>
      <w:r>
        <w:rPr>
          <w:rFonts w:hint="eastAsia" w:cs="仿宋_GB2312"/>
          <w:color w:val="auto"/>
          <w:szCs w:val="24"/>
          <w:highlight w:val="none"/>
          <w:u w:val="single"/>
        </w:rPr>
        <w:t>（项目名称）（项目编号</w:t>
      </w:r>
      <w:r>
        <w:rPr>
          <w:rFonts w:hint="eastAsia" w:cs="仿宋_GB2312"/>
          <w:color w:val="auto"/>
          <w:szCs w:val="24"/>
          <w:highlight w:val="none"/>
          <w:u w:val="single"/>
          <w:lang w:val="en-US" w:eastAsia="zh-CN"/>
        </w:rPr>
        <w:t>/包号</w:t>
      </w:r>
      <w:r>
        <w:rPr>
          <w:rFonts w:hint="eastAsia" w:cs="仿宋_GB2312"/>
          <w:color w:val="auto"/>
          <w:szCs w:val="24"/>
          <w:highlight w:val="none"/>
          <w:u w:val="single"/>
        </w:rPr>
        <w:t>）</w:t>
      </w:r>
      <w:r>
        <w:rPr>
          <w:rFonts w:hint="eastAsia" w:cs="仿宋_GB2312"/>
          <w:color w:val="auto"/>
          <w:szCs w:val="24"/>
          <w:highlight w:val="none"/>
          <w:lang w:val="en-US" w:eastAsia="zh-CN"/>
        </w:rPr>
        <w:t>项目</w:t>
      </w:r>
      <w:r>
        <w:rPr>
          <w:rFonts w:hint="eastAsia" w:cs="仿宋_GB2312"/>
          <w:color w:val="auto"/>
          <w:szCs w:val="24"/>
          <w:highlight w:val="none"/>
        </w:rPr>
        <w:t>的</w:t>
      </w:r>
      <w:r>
        <w:rPr>
          <w:rFonts w:hint="eastAsia" w:cs="仿宋_GB2312"/>
          <w:color w:val="auto"/>
          <w:szCs w:val="24"/>
          <w:highlight w:val="none"/>
          <w:lang w:val="en-US" w:eastAsia="zh-CN"/>
        </w:rPr>
        <w:t>招标公告</w:t>
      </w:r>
      <w:r>
        <w:rPr>
          <w:rFonts w:hint="eastAsia" w:cs="仿宋_GB2312"/>
          <w:color w:val="auto"/>
          <w:szCs w:val="24"/>
          <w:highlight w:val="none"/>
        </w:rPr>
        <w:t>，签字代表</w:t>
      </w:r>
      <w:r>
        <w:rPr>
          <w:rFonts w:hint="eastAsia" w:cs="仿宋_GB2312"/>
          <w:color w:val="auto"/>
          <w:szCs w:val="24"/>
          <w:highlight w:val="none"/>
          <w:u w:val="single"/>
        </w:rPr>
        <w:t>（姓名、职务）</w:t>
      </w:r>
      <w:r>
        <w:rPr>
          <w:rFonts w:hint="eastAsia" w:cs="仿宋_GB2312"/>
          <w:color w:val="auto"/>
          <w:szCs w:val="24"/>
          <w:highlight w:val="none"/>
        </w:rPr>
        <w:t>经正式授权并代表投标人</w:t>
      </w:r>
      <w:r>
        <w:rPr>
          <w:rFonts w:hint="eastAsia" w:cs="仿宋_GB2312"/>
          <w:color w:val="auto"/>
          <w:szCs w:val="24"/>
          <w:highlight w:val="none"/>
          <w:u w:val="single"/>
        </w:rPr>
        <w:t>（投标人名称、地址）</w:t>
      </w:r>
      <w:r>
        <w:rPr>
          <w:rFonts w:hint="eastAsia" w:cs="仿宋_GB2312"/>
          <w:color w:val="auto"/>
          <w:szCs w:val="24"/>
          <w:highlight w:val="none"/>
        </w:rPr>
        <w:t>提交下述文件</w:t>
      </w:r>
      <w:r>
        <w:rPr>
          <w:rFonts w:hint="eastAsia" w:cs="仿宋_GB2312"/>
          <w:b/>
          <w:bCs/>
          <w:color w:val="auto"/>
          <w:szCs w:val="24"/>
          <w:highlight w:val="none"/>
        </w:rPr>
        <w:t>：</w:t>
      </w:r>
    </w:p>
    <w:p w14:paraId="21BBF032">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hint="eastAsia" w:cs="Arial"/>
          <w:color w:val="auto"/>
          <w:szCs w:val="24"/>
          <w:highlight w:val="none"/>
        </w:rPr>
        <w:t>资格</w:t>
      </w:r>
      <w:r>
        <w:rPr>
          <w:rFonts w:hint="eastAsia" w:cs="Arial"/>
          <w:color w:val="auto"/>
          <w:szCs w:val="24"/>
          <w:highlight w:val="none"/>
          <w:lang w:val="en-US" w:eastAsia="zh-CN"/>
        </w:rPr>
        <w:t>证明</w:t>
      </w:r>
      <w:r>
        <w:rPr>
          <w:rFonts w:hint="eastAsia" w:cs="Arial"/>
          <w:color w:val="auto"/>
          <w:szCs w:val="24"/>
          <w:highlight w:val="none"/>
        </w:rPr>
        <w:t>文件</w:t>
      </w:r>
      <w:r>
        <w:rPr>
          <w:rFonts w:cs="Arial"/>
          <w:color w:val="auto"/>
          <w:szCs w:val="24"/>
          <w:highlight w:val="none"/>
        </w:rPr>
        <w:t>；</w:t>
      </w:r>
    </w:p>
    <w:p w14:paraId="0A0EA079">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投标报价</w:t>
      </w:r>
      <w:r>
        <w:rPr>
          <w:rFonts w:cs="Arial"/>
          <w:color w:val="auto"/>
          <w:szCs w:val="24"/>
          <w:highlight w:val="none"/>
        </w:rPr>
        <w:t>文件</w:t>
      </w:r>
      <w:r>
        <w:rPr>
          <w:rFonts w:hint="eastAsia" w:cs="Arial"/>
          <w:color w:val="auto"/>
          <w:szCs w:val="24"/>
          <w:highlight w:val="none"/>
        </w:rPr>
        <w:t>；</w:t>
      </w:r>
    </w:p>
    <w:p w14:paraId="7C008F28">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lang w:val="en-US" w:eastAsia="zh-CN"/>
        </w:rPr>
        <w:t>商务技术</w:t>
      </w:r>
      <w:r>
        <w:rPr>
          <w:rFonts w:hint="eastAsia" w:cs="Arial"/>
          <w:color w:val="auto"/>
          <w:szCs w:val="24"/>
          <w:highlight w:val="none"/>
        </w:rPr>
        <w:t>文件</w:t>
      </w:r>
      <w:r>
        <w:rPr>
          <w:rFonts w:cs="Arial"/>
          <w:color w:val="auto"/>
          <w:szCs w:val="24"/>
          <w:highlight w:val="none"/>
        </w:rPr>
        <w:t>。</w:t>
      </w:r>
    </w:p>
    <w:p w14:paraId="2038C573">
      <w:pPr>
        <w:spacing w:line="324" w:lineRule="auto"/>
        <w:ind w:firstLine="400" w:firstLineChars="200"/>
        <w:rPr>
          <w:rFonts w:cs="Arial"/>
          <w:color w:val="auto"/>
          <w:szCs w:val="24"/>
          <w:highlight w:val="none"/>
        </w:rPr>
      </w:pPr>
      <w:r>
        <w:rPr>
          <w:rFonts w:cs="Arial"/>
          <w:color w:val="auto"/>
          <w:szCs w:val="24"/>
          <w:highlight w:val="none"/>
        </w:rPr>
        <w:t>根据此函，签字代表宣布同意如下：</w:t>
      </w:r>
    </w:p>
    <w:p w14:paraId="7021F257">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cs="Arial"/>
          <w:color w:val="auto"/>
          <w:szCs w:val="24"/>
          <w:highlight w:val="none"/>
        </w:rPr>
        <w:t>所附投标价格表中规定的应提交和交付的</w:t>
      </w:r>
      <w:r>
        <w:rPr>
          <w:rFonts w:hint="eastAsia" w:cs="Arial"/>
          <w:color w:val="auto"/>
          <w:szCs w:val="24"/>
          <w:highlight w:val="none"/>
        </w:rPr>
        <w:t>货物</w:t>
      </w:r>
      <w:r>
        <w:rPr>
          <w:rFonts w:cs="Arial"/>
          <w:color w:val="auto"/>
          <w:szCs w:val="24"/>
          <w:highlight w:val="none"/>
        </w:rPr>
        <w:t>和</w:t>
      </w:r>
      <w:r>
        <w:rPr>
          <w:rFonts w:hint="eastAsia" w:cs="Arial"/>
          <w:color w:val="auto"/>
          <w:szCs w:val="24"/>
          <w:highlight w:val="none"/>
          <w:lang w:val="en-US" w:eastAsia="zh-CN"/>
        </w:rPr>
        <w:t>相关</w:t>
      </w:r>
      <w:r>
        <w:rPr>
          <w:rFonts w:cs="Arial"/>
          <w:color w:val="auto"/>
          <w:szCs w:val="24"/>
          <w:highlight w:val="none"/>
        </w:rPr>
        <w:t>服务</w:t>
      </w:r>
      <w:r>
        <w:rPr>
          <w:rFonts w:hint="eastAsia" w:cs="Arial"/>
          <w:color w:val="auto"/>
          <w:szCs w:val="24"/>
          <w:highlight w:val="none"/>
        </w:rPr>
        <w:t>（如有）</w:t>
      </w:r>
      <w:r>
        <w:rPr>
          <w:rFonts w:cs="Arial"/>
          <w:color w:val="auto"/>
          <w:szCs w:val="24"/>
          <w:highlight w:val="none"/>
        </w:rPr>
        <w:t>的</w:t>
      </w:r>
      <w:r>
        <w:rPr>
          <w:rFonts w:hint="eastAsia" w:cs="Arial"/>
          <w:color w:val="auto"/>
          <w:szCs w:val="24"/>
          <w:highlight w:val="none"/>
        </w:rPr>
        <w:t>投标报价</w:t>
      </w:r>
      <w:r>
        <w:rPr>
          <w:rFonts w:cs="Arial"/>
          <w:color w:val="auto"/>
          <w:szCs w:val="24"/>
          <w:highlight w:val="none"/>
        </w:rPr>
        <w:t>为</w:t>
      </w:r>
      <w:r>
        <w:rPr>
          <w:rFonts w:hint="eastAsia" w:cs="Arial"/>
          <w:color w:val="auto"/>
          <w:szCs w:val="24"/>
          <w:highlight w:val="none"/>
        </w:rPr>
        <w:t xml:space="preserve"> </w:t>
      </w:r>
      <w:r>
        <w:rPr>
          <w:rFonts w:hint="eastAsia" w:cs="Arial"/>
          <w:color w:val="auto"/>
          <w:szCs w:val="24"/>
          <w:highlight w:val="none"/>
          <w:u w:val="single"/>
        </w:rPr>
        <w:t xml:space="preserve">                  </w:t>
      </w:r>
      <w:r>
        <w:rPr>
          <w:rFonts w:cs="Arial"/>
          <w:color w:val="auto"/>
          <w:szCs w:val="24"/>
          <w:highlight w:val="none"/>
        </w:rPr>
        <w:t>。</w:t>
      </w:r>
    </w:p>
    <w:p w14:paraId="3FF1B405">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我方</w:t>
      </w:r>
      <w:r>
        <w:rPr>
          <w:rFonts w:cs="Arial"/>
          <w:color w:val="auto"/>
          <w:szCs w:val="24"/>
          <w:highlight w:val="none"/>
        </w:rPr>
        <w:t>将按招标文件的规定履行合同责任和义务。</w:t>
      </w:r>
    </w:p>
    <w:p w14:paraId="464D767C">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rPr>
        <w:t>我方</w:t>
      </w:r>
      <w:r>
        <w:rPr>
          <w:rFonts w:cs="Arial"/>
          <w:color w:val="auto"/>
          <w:szCs w:val="24"/>
          <w:highlight w:val="none"/>
        </w:rPr>
        <w:t>已详细审查全部招标文件，包括第</w:t>
      </w:r>
      <w:r>
        <w:rPr>
          <w:rFonts w:cs="Arial"/>
          <w:i w:val="0"/>
          <w:iCs/>
          <w:color w:val="auto"/>
          <w:szCs w:val="24"/>
          <w:highlight w:val="none"/>
          <w:u w:val="single"/>
        </w:rPr>
        <w:t>（编号、补遗书）（如果有的话）</w:t>
      </w:r>
      <w:r>
        <w:rPr>
          <w:rFonts w:cs="Arial"/>
          <w:color w:val="auto"/>
          <w:szCs w:val="24"/>
          <w:highlight w:val="none"/>
        </w:rPr>
        <w:t>。我</w:t>
      </w:r>
      <w:r>
        <w:rPr>
          <w:rFonts w:hint="eastAsia" w:cs="Arial"/>
          <w:color w:val="auto"/>
          <w:szCs w:val="24"/>
          <w:highlight w:val="none"/>
        </w:rPr>
        <w:t>方</w:t>
      </w:r>
      <w:r>
        <w:rPr>
          <w:rFonts w:cs="Arial"/>
          <w:color w:val="auto"/>
          <w:szCs w:val="24"/>
          <w:highlight w:val="none"/>
        </w:rPr>
        <w:t>完全理解并同意放弃对这方面有不明及误解的权力。</w:t>
      </w:r>
    </w:p>
    <w:p w14:paraId="70CAE828">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4.</w:t>
      </w:r>
      <w:r>
        <w:rPr>
          <w:rFonts w:hint="eastAsia" w:cs="Arial"/>
          <w:color w:val="auto"/>
          <w:szCs w:val="24"/>
          <w:highlight w:val="none"/>
        </w:rPr>
        <w:t>投标有效期为自提交投标文件的截止之日起</w:t>
      </w:r>
      <w:r>
        <w:rPr>
          <w:rFonts w:hint="eastAsia" w:cs="Arial"/>
          <w:i/>
          <w:color w:val="auto"/>
          <w:szCs w:val="24"/>
          <w:highlight w:val="none"/>
          <w:u w:val="single"/>
        </w:rPr>
        <w:t xml:space="preserve"> </w:t>
      </w:r>
      <w:r>
        <w:rPr>
          <w:rFonts w:hint="eastAsia" w:cs="Arial"/>
          <w:i w:val="0"/>
          <w:iCs/>
          <w:color w:val="auto"/>
          <w:szCs w:val="24"/>
          <w:highlight w:val="none"/>
          <w:u w:val="single"/>
        </w:rPr>
        <w:t>（由投标人填写）</w:t>
      </w:r>
      <w:r>
        <w:rPr>
          <w:rFonts w:cs="Arial"/>
          <w:color w:val="auto"/>
          <w:szCs w:val="24"/>
          <w:highlight w:val="none"/>
        </w:rPr>
        <w:t>个日历天。</w:t>
      </w:r>
    </w:p>
    <w:p w14:paraId="52EDF2A7">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5.</w:t>
      </w:r>
      <w:r>
        <w:rPr>
          <w:rFonts w:hint="eastAsia" w:cs="Arial"/>
          <w:color w:val="auto"/>
          <w:szCs w:val="24"/>
          <w:highlight w:val="none"/>
        </w:rPr>
        <w:t>我方</w:t>
      </w:r>
      <w:r>
        <w:rPr>
          <w:rFonts w:cs="Arial"/>
          <w:color w:val="auto"/>
          <w:szCs w:val="24"/>
          <w:highlight w:val="none"/>
        </w:rPr>
        <w:t>同意提供按照贵方</w:t>
      </w:r>
      <w:r>
        <w:rPr>
          <w:rFonts w:hint="eastAsia" w:cs="Arial"/>
          <w:color w:val="auto"/>
          <w:szCs w:val="24"/>
          <w:highlight w:val="none"/>
          <w:lang w:val="en-US" w:eastAsia="zh-CN"/>
        </w:rPr>
        <w:t>招标</w:t>
      </w:r>
      <w:r>
        <w:rPr>
          <w:rFonts w:hint="eastAsia" w:cs="Arial"/>
          <w:color w:val="auto"/>
          <w:szCs w:val="24"/>
          <w:highlight w:val="none"/>
        </w:rPr>
        <w:t>文件</w:t>
      </w:r>
      <w:r>
        <w:rPr>
          <w:rFonts w:cs="Arial"/>
          <w:color w:val="auto"/>
          <w:szCs w:val="24"/>
          <w:highlight w:val="none"/>
        </w:rPr>
        <w:t>要求的与投标有关的一切数据或资料，</w:t>
      </w:r>
      <w:r>
        <w:rPr>
          <w:rFonts w:hint="eastAsia" w:cs="Arial"/>
          <w:color w:val="auto"/>
          <w:szCs w:val="24"/>
          <w:highlight w:val="none"/>
        </w:rPr>
        <w:t>采用综合评分法时，我方</w:t>
      </w:r>
      <w:r>
        <w:rPr>
          <w:rFonts w:cs="Arial"/>
          <w:color w:val="auto"/>
          <w:szCs w:val="24"/>
          <w:highlight w:val="none"/>
        </w:rPr>
        <w:t>完全理解贵方不一定接受最低价的投标。</w:t>
      </w:r>
    </w:p>
    <w:p w14:paraId="3CF5A666">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6.</w:t>
      </w:r>
      <w:r>
        <w:rPr>
          <w:rFonts w:hint="eastAsia" w:cs="Arial"/>
          <w:color w:val="auto"/>
          <w:szCs w:val="24"/>
          <w:highlight w:val="none"/>
        </w:rPr>
        <w:t>本项目如由中标人支付采购代理服务费，我方同意按投标人须知前附表中规定向采购代理机构支付采购代理服务费。</w:t>
      </w:r>
    </w:p>
    <w:p w14:paraId="6A150207">
      <w:pPr>
        <w:numPr>
          <w:ilvl w:val="0"/>
          <w:numId w:val="0"/>
        </w:numPr>
        <w:snapToGrid w:val="0"/>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7.</w:t>
      </w:r>
      <w:r>
        <w:rPr>
          <w:rFonts w:hint="eastAsia" w:cs="Arial"/>
          <w:color w:val="auto"/>
          <w:szCs w:val="24"/>
          <w:highlight w:val="none"/>
        </w:rPr>
        <w:t>重要声明：</w:t>
      </w:r>
    </w:p>
    <w:p w14:paraId="40AFB77A">
      <w:pPr>
        <w:snapToGrid w:val="0"/>
        <w:spacing w:line="324" w:lineRule="auto"/>
        <w:ind w:firstLine="400" w:firstLineChars="200"/>
        <w:rPr>
          <w:color w:val="auto"/>
          <w:szCs w:val="24"/>
          <w:highlight w:val="none"/>
        </w:rPr>
      </w:pPr>
      <w:r>
        <w:rPr>
          <w:rFonts w:hint="eastAsia"/>
          <w:color w:val="auto"/>
          <w:szCs w:val="24"/>
          <w:highlight w:val="none"/>
        </w:rPr>
        <w:t>1）与我方单位负责人为同一人的其他单位名称：</w:t>
      </w:r>
    </w:p>
    <w:p w14:paraId="409D2F71">
      <w:pPr>
        <w:snapToGrid w:val="0"/>
        <w:spacing w:line="324" w:lineRule="auto"/>
        <w:ind w:left="380" w:leftChars="190" w:firstLine="296" w:firstLineChars="148"/>
        <w:rPr>
          <w:i w:val="0"/>
          <w:iCs/>
          <w:color w:val="auto"/>
          <w:szCs w:val="24"/>
          <w:highlight w:val="none"/>
        </w:rPr>
      </w:pPr>
      <w:r>
        <w:rPr>
          <w:rFonts w:hint="eastAsia"/>
          <w:color w:val="auto"/>
          <w:szCs w:val="24"/>
          <w:highlight w:val="none"/>
          <w:lang w:eastAsia="zh-CN"/>
        </w:rPr>
        <w:t>□</w:t>
      </w:r>
      <w:r>
        <w:rPr>
          <w:rFonts w:hint="eastAsia"/>
          <w:color w:val="auto"/>
          <w:szCs w:val="24"/>
          <w:highlight w:val="none"/>
        </w:rPr>
        <w:t>无；</w:t>
      </w:r>
      <w:r>
        <w:rPr>
          <w:rFonts w:hint="eastAsia"/>
          <w:color w:val="auto"/>
          <w:szCs w:val="24"/>
          <w:highlight w:val="none"/>
          <w:lang w:eastAsia="zh-CN"/>
        </w:rPr>
        <w:t>□</w:t>
      </w:r>
      <w:r>
        <w:rPr>
          <w:rFonts w:hint="eastAsia"/>
          <w:color w:val="auto"/>
          <w:szCs w:val="24"/>
          <w:highlight w:val="none"/>
        </w:rPr>
        <w:t>有，具体单位名称为：</w:t>
      </w:r>
      <w:r>
        <w:rPr>
          <w:rFonts w:hint="eastAsia" w:cs="Arial"/>
          <w:i w:val="0"/>
          <w:iCs/>
          <w:color w:val="auto"/>
          <w:szCs w:val="24"/>
          <w:highlight w:val="none"/>
          <w:u w:val="single"/>
        </w:rPr>
        <w:t>（由投标人如实填写）</w:t>
      </w:r>
      <w:r>
        <w:rPr>
          <w:rFonts w:hint="eastAsia"/>
          <w:i w:val="0"/>
          <w:iCs/>
          <w:color w:val="auto"/>
          <w:szCs w:val="24"/>
          <w:highlight w:val="none"/>
        </w:rPr>
        <w:t>。</w:t>
      </w:r>
    </w:p>
    <w:p w14:paraId="0B2F52C6">
      <w:pPr>
        <w:snapToGrid w:val="0"/>
        <w:spacing w:line="324" w:lineRule="auto"/>
        <w:ind w:firstLine="400" w:firstLineChars="200"/>
        <w:rPr>
          <w:i w:val="0"/>
          <w:iCs/>
          <w:color w:val="auto"/>
          <w:szCs w:val="24"/>
          <w:highlight w:val="none"/>
        </w:rPr>
      </w:pPr>
      <w:r>
        <w:rPr>
          <w:rFonts w:hint="eastAsia"/>
          <w:i w:val="0"/>
          <w:iCs/>
          <w:color w:val="auto"/>
          <w:szCs w:val="24"/>
          <w:highlight w:val="none"/>
        </w:rPr>
        <w:t>2）与我方存在控股、管理关系的其他单位的名称：</w:t>
      </w:r>
    </w:p>
    <w:p w14:paraId="3BE8BBB8">
      <w:pPr>
        <w:snapToGrid w:val="0"/>
        <w:spacing w:line="324" w:lineRule="auto"/>
        <w:ind w:left="380" w:leftChars="190" w:firstLine="296" w:firstLineChars="148"/>
        <w:rPr>
          <w:color w:val="auto"/>
          <w:szCs w:val="24"/>
          <w:highlight w:val="none"/>
        </w:rPr>
      </w:pPr>
      <w:r>
        <w:rPr>
          <w:rFonts w:hint="eastAsia"/>
          <w:i w:val="0"/>
          <w:iCs/>
          <w:color w:val="auto"/>
          <w:szCs w:val="24"/>
          <w:highlight w:val="none"/>
          <w:lang w:eastAsia="zh-CN"/>
        </w:rPr>
        <w:t>□</w:t>
      </w:r>
      <w:r>
        <w:rPr>
          <w:rFonts w:hint="eastAsia"/>
          <w:i w:val="0"/>
          <w:iCs/>
          <w:color w:val="auto"/>
          <w:szCs w:val="24"/>
          <w:highlight w:val="none"/>
        </w:rPr>
        <w:t xml:space="preserve">无；□有，具体单位名称为： </w:t>
      </w:r>
      <w:r>
        <w:rPr>
          <w:rFonts w:hint="eastAsia" w:cs="Arial"/>
          <w:i w:val="0"/>
          <w:iCs/>
          <w:color w:val="auto"/>
          <w:szCs w:val="24"/>
          <w:highlight w:val="none"/>
          <w:u w:val="single"/>
        </w:rPr>
        <w:t>（由投标人如实填写）</w:t>
      </w:r>
      <w:r>
        <w:rPr>
          <w:rFonts w:hint="eastAsia"/>
          <w:color w:val="auto"/>
          <w:szCs w:val="24"/>
          <w:highlight w:val="none"/>
        </w:rPr>
        <w:t>。</w:t>
      </w:r>
    </w:p>
    <w:p w14:paraId="1103F8A2">
      <w:pPr>
        <w:snapToGrid w:val="0"/>
        <w:spacing w:line="324" w:lineRule="auto"/>
        <w:ind w:firstLine="400" w:firstLineChars="200"/>
        <w:rPr>
          <w:color w:val="auto"/>
          <w:szCs w:val="24"/>
          <w:highlight w:val="none"/>
        </w:rPr>
      </w:pPr>
      <w:r>
        <w:rPr>
          <w:rFonts w:hint="eastAsia"/>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380" w:leftChars="190" w:firstLine="296" w:firstLineChars="148"/>
        <w:rPr>
          <w:color w:val="auto"/>
          <w:szCs w:val="24"/>
          <w:highlight w:val="none"/>
        </w:rPr>
      </w:pPr>
      <w:r>
        <w:rPr>
          <w:rFonts w:hint="eastAsia"/>
          <w:color w:val="auto"/>
          <w:szCs w:val="24"/>
          <w:highlight w:val="none"/>
          <w:lang w:eastAsia="zh-CN"/>
        </w:rPr>
        <w:t>□</w:t>
      </w:r>
      <w:r>
        <w:rPr>
          <w:rFonts w:hint="eastAsia"/>
          <w:color w:val="auto"/>
          <w:szCs w:val="24"/>
          <w:highlight w:val="none"/>
        </w:rPr>
        <w:t>无；□有，已提供的具体服务内容为：</w:t>
      </w:r>
      <w:r>
        <w:rPr>
          <w:rFonts w:hint="eastAsia"/>
          <w:i w:val="0"/>
          <w:iCs w:val="0"/>
          <w:color w:val="auto"/>
          <w:szCs w:val="24"/>
          <w:highlight w:val="none"/>
        </w:rPr>
        <w:t xml:space="preserve"> </w:t>
      </w:r>
      <w:r>
        <w:rPr>
          <w:rFonts w:hint="eastAsia" w:cs="Arial"/>
          <w:i w:val="0"/>
          <w:iCs w:val="0"/>
          <w:color w:val="auto"/>
          <w:szCs w:val="24"/>
          <w:highlight w:val="none"/>
          <w:u w:val="single"/>
        </w:rPr>
        <w:t>（由投标人如实填写）</w:t>
      </w:r>
      <w:r>
        <w:rPr>
          <w:rFonts w:hint="eastAsia"/>
          <w:color w:val="auto"/>
          <w:szCs w:val="24"/>
          <w:highlight w:val="none"/>
        </w:rPr>
        <w:t>。</w:t>
      </w:r>
    </w:p>
    <w:p w14:paraId="4FC84088">
      <w:pPr>
        <w:spacing w:line="324" w:lineRule="auto"/>
        <w:ind w:firstLine="400" w:firstLineChars="200"/>
        <w:rPr>
          <w:color w:val="auto"/>
          <w:szCs w:val="24"/>
          <w:highlight w:val="none"/>
        </w:rPr>
      </w:pPr>
      <w:r>
        <w:rPr>
          <w:rFonts w:hint="eastAsia"/>
          <w:color w:val="auto"/>
          <w:szCs w:val="24"/>
          <w:highlight w:val="none"/>
        </w:rPr>
        <w:t>（备注：以上</w:t>
      </w:r>
      <w:r>
        <w:rPr>
          <w:color w:val="auto"/>
          <w:szCs w:val="24"/>
          <w:highlight w:val="none"/>
        </w:rPr>
        <w:t>3</w:t>
      </w:r>
      <w:r>
        <w:rPr>
          <w:rFonts w:hint="eastAsia"/>
          <w:color w:val="auto"/>
          <w:szCs w:val="24"/>
          <w:highlight w:val="none"/>
        </w:rPr>
        <w:t>项声明，必须如实选择，选中项用</w:t>
      </w:r>
      <w:r>
        <w:rPr>
          <w:rFonts w:hint="eastAsia"/>
          <w:color w:val="auto"/>
          <w:szCs w:val="24"/>
          <w:highlight w:val="none"/>
          <w:lang w:eastAsia="zh-CN"/>
        </w:rPr>
        <w:t>☑</w:t>
      </w:r>
      <w:r>
        <w:rPr>
          <w:rFonts w:hint="eastAsia"/>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00" w:firstLineChars="200"/>
        <w:rPr>
          <w:color w:val="auto"/>
          <w:szCs w:val="24"/>
          <w:highlight w:val="none"/>
        </w:rPr>
      </w:pPr>
      <w:r>
        <w:rPr>
          <w:rFonts w:hint="eastAsia"/>
          <w:color w:val="auto"/>
          <w:szCs w:val="24"/>
          <w:highlight w:val="none"/>
        </w:rPr>
        <w:t>4）我方在本投标文件中所提供的全部资料均真实有效，我方承诺对其真实性负责并承担相应后果。</w:t>
      </w:r>
    </w:p>
    <w:p w14:paraId="5FB2607B">
      <w:pPr>
        <w:snapToGrid w:val="0"/>
        <w:spacing w:line="324" w:lineRule="auto"/>
        <w:ind w:firstLine="400" w:firstLineChars="200"/>
        <w:rPr>
          <w:color w:val="auto"/>
          <w:szCs w:val="24"/>
          <w:highlight w:val="none"/>
        </w:rPr>
      </w:pPr>
      <w:r>
        <w:rPr>
          <w:rFonts w:hint="eastAsia"/>
          <w:color w:val="auto"/>
          <w:szCs w:val="24"/>
          <w:highlight w:val="none"/>
        </w:rPr>
        <w:t>5）</w:t>
      </w:r>
      <w:bookmarkStart w:id="642" w:name="_Hlk161604053"/>
      <w:r>
        <w:rPr>
          <w:rFonts w:hint="eastAsia"/>
          <w:color w:val="auto"/>
          <w:szCs w:val="24"/>
          <w:highlight w:val="none"/>
        </w:rPr>
        <w:t>我方承诺本《投标函》的签章对本投标文件全部内容具有约束力并承担法律责任。</w:t>
      </w:r>
      <w:bookmarkEnd w:id="642"/>
    </w:p>
    <w:p w14:paraId="2A195747">
      <w:pPr>
        <w:spacing w:line="300" w:lineRule="auto"/>
        <w:rPr>
          <w:rFonts w:cs="Arial"/>
          <w:color w:val="auto"/>
          <w:szCs w:val="24"/>
          <w:highlight w:val="none"/>
        </w:rPr>
      </w:pPr>
    </w:p>
    <w:p w14:paraId="3F664789">
      <w:pPr>
        <w:spacing w:line="300" w:lineRule="auto"/>
        <w:rPr>
          <w:rFonts w:cs="Arial"/>
          <w:color w:val="auto"/>
          <w:szCs w:val="24"/>
          <w:highlight w:val="none"/>
        </w:rPr>
      </w:pPr>
    </w:p>
    <w:p w14:paraId="6C365FF0">
      <w:pPr>
        <w:spacing w:line="300" w:lineRule="auto"/>
        <w:rPr>
          <w:rFonts w:cs="Arial"/>
          <w:color w:val="auto"/>
          <w:szCs w:val="24"/>
          <w:highlight w:val="none"/>
        </w:rPr>
      </w:pPr>
    </w:p>
    <w:p w14:paraId="448666AB">
      <w:pPr>
        <w:autoSpaceDE w:val="0"/>
        <w:autoSpaceDN w:val="0"/>
        <w:adjustRightInd w:val="0"/>
        <w:snapToGrid w:val="0"/>
        <w:ind w:firstLine="480" w:firstLineChars="200"/>
        <w:rPr>
          <w:rFonts w:hint="eastAsia" w:ascii="宋体" w:hAnsi="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4CCC9D16">
      <w:pPr>
        <w:autoSpaceDE w:val="0"/>
        <w:autoSpaceDN w:val="0"/>
        <w:adjustRightInd w:val="0"/>
        <w:snapToGrid w:val="0"/>
        <w:ind w:firstLine="400" w:firstLineChars="200"/>
        <w:rPr>
          <w:rFonts w:cs="宋体"/>
          <w:color w:val="auto"/>
          <w:highlight w:val="none"/>
        </w:rPr>
      </w:pPr>
      <w:r>
        <w:rPr>
          <w:rFonts w:hint="eastAsia" w:cs="宋体"/>
          <w:color w:val="auto"/>
          <w:highlight w:val="none"/>
        </w:rPr>
        <w:t>通  讯  地  址：</w:t>
      </w:r>
    </w:p>
    <w:p w14:paraId="268281DA">
      <w:pPr>
        <w:autoSpaceDE w:val="0"/>
        <w:autoSpaceDN w:val="0"/>
        <w:adjustRightInd w:val="0"/>
        <w:snapToGrid w:val="0"/>
        <w:ind w:firstLine="400" w:firstLineChars="200"/>
        <w:rPr>
          <w:rFonts w:cs="宋体"/>
          <w:color w:val="auto"/>
          <w:highlight w:val="none"/>
        </w:rPr>
      </w:pPr>
      <w:r>
        <w:rPr>
          <w:rFonts w:hint="eastAsia" w:cs="宋体"/>
          <w:color w:val="auto"/>
          <w:highlight w:val="none"/>
        </w:rPr>
        <w:t xml:space="preserve">传       </w:t>
      </w:r>
      <w:r>
        <w:rPr>
          <w:rFonts w:cs="宋体"/>
          <w:color w:val="auto"/>
          <w:highlight w:val="none"/>
        </w:rPr>
        <w:t xml:space="preserve">   </w:t>
      </w:r>
      <w:r>
        <w:rPr>
          <w:rFonts w:hint="eastAsia" w:cs="宋体"/>
          <w:color w:val="auto"/>
          <w:highlight w:val="none"/>
        </w:rPr>
        <w:t>真：</w:t>
      </w:r>
    </w:p>
    <w:p w14:paraId="0A396883">
      <w:pPr>
        <w:autoSpaceDE w:val="0"/>
        <w:autoSpaceDN w:val="0"/>
        <w:adjustRightInd w:val="0"/>
        <w:snapToGrid w:val="0"/>
        <w:ind w:firstLine="400" w:firstLineChars="200"/>
        <w:rPr>
          <w:rFonts w:cs="宋体"/>
          <w:color w:val="auto"/>
          <w:highlight w:val="none"/>
        </w:rPr>
      </w:pPr>
      <w:r>
        <w:rPr>
          <w:rFonts w:hint="eastAsia" w:cs="宋体"/>
          <w:color w:val="auto"/>
          <w:highlight w:val="none"/>
        </w:rPr>
        <w:t>电          话：</w:t>
      </w:r>
    </w:p>
    <w:p w14:paraId="21203E4D">
      <w:pPr>
        <w:autoSpaceDE w:val="0"/>
        <w:autoSpaceDN w:val="0"/>
        <w:adjustRightInd w:val="0"/>
        <w:snapToGrid w:val="0"/>
        <w:ind w:firstLine="400" w:firstLineChars="200"/>
        <w:rPr>
          <w:rFonts w:cs="宋体"/>
          <w:color w:val="auto"/>
          <w:highlight w:val="none"/>
        </w:rPr>
      </w:pPr>
      <w:r>
        <w:rPr>
          <w:rFonts w:hint="eastAsia" w:cs="宋体"/>
          <w:color w:val="auto"/>
          <w:highlight w:val="none"/>
        </w:rPr>
        <w:t xml:space="preserve">授 </w:t>
      </w:r>
      <w:r>
        <w:rPr>
          <w:rFonts w:cs="宋体"/>
          <w:color w:val="auto"/>
          <w:highlight w:val="none"/>
        </w:rPr>
        <w:t xml:space="preserve"> </w:t>
      </w:r>
      <w:r>
        <w:rPr>
          <w:rFonts w:hint="eastAsia" w:cs="宋体"/>
          <w:color w:val="auto"/>
          <w:highlight w:val="none"/>
        </w:rPr>
        <w:t xml:space="preserve">权 </w:t>
      </w:r>
      <w:r>
        <w:rPr>
          <w:rFonts w:cs="宋体"/>
          <w:color w:val="auto"/>
          <w:highlight w:val="none"/>
        </w:rPr>
        <w:t xml:space="preserve"> </w:t>
      </w:r>
      <w:r>
        <w:rPr>
          <w:rFonts w:hint="eastAsia" w:cs="宋体"/>
          <w:color w:val="auto"/>
          <w:highlight w:val="none"/>
        </w:rPr>
        <w:t xml:space="preserve">代 </w:t>
      </w:r>
      <w:r>
        <w:rPr>
          <w:rFonts w:cs="宋体"/>
          <w:color w:val="auto"/>
          <w:highlight w:val="none"/>
        </w:rPr>
        <w:t xml:space="preserve"> </w:t>
      </w:r>
      <w:r>
        <w:rPr>
          <w:rFonts w:hint="eastAsia" w:cs="宋体"/>
          <w:color w:val="auto"/>
          <w:highlight w:val="none"/>
        </w:rPr>
        <w:t>表：</w:t>
      </w:r>
    </w:p>
    <w:p w14:paraId="63C92097">
      <w:pPr>
        <w:ind w:firstLine="400" w:firstLineChars="200"/>
        <w:rPr>
          <w:rFonts w:cs="Arial"/>
          <w:color w:val="auto"/>
          <w:szCs w:val="24"/>
          <w:highlight w:val="none"/>
        </w:rPr>
      </w:pPr>
      <w:r>
        <w:rPr>
          <w:rFonts w:hint="eastAsia" w:cs="宋体"/>
          <w:color w:val="auto"/>
          <w:highlight w:val="none"/>
        </w:rPr>
        <w:t xml:space="preserve">日     </w:t>
      </w:r>
      <w:r>
        <w:rPr>
          <w:rFonts w:cs="宋体"/>
          <w:color w:val="auto"/>
          <w:highlight w:val="none"/>
        </w:rPr>
        <w:t xml:space="preserve">  </w:t>
      </w:r>
      <w:r>
        <w:rPr>
          <w:rFonts w:hint="eastAsia" w:cs="宋体"/>
          <w:color w:val="auto"/>
          <w:highlight w:val="none"/>
        </w:rPr>
        <w:t xml:space="preserve">    期：</w:t>
      </w:r>
    </w:p>
    <w:p w14:paraId="6674502E">
      <w:pPr>
        <w:rPr>
          <w:rFonts w:cs="Arial"/>
          <w:color w:val="auto"/>
          <w:szCs w:val="24"/>
          <w:highlight w:val="none"/>
          <w:u w:val="single"/>
        </w:rPr>
      </w:pPr>
    </w:p>
    <w:p w14:paraId="478BFBB8">
      <w:pPr>
        <w:rPr>
          <w:rFonts w:cs="Arial"/>
          <w:color w:val="auto"/>
          <w:szCs w:val="24"/>
          <w:highlight w:val="none"/>
          <w:u w:val="single"/>
        </w:rPr>
      </w:pPr>
      <w:r>
        <w:rPr>
          <w:rFonts w:cs="Arial"/>
          <w:color w:val="auto"/>
          <w:szCs w:val="24"/>
          <w:highlight w:val="none"/>
          <w:u w:val="single"/>
        </w:rPr>
        <w:br w:type="page"/>
      </w:r>
    </w:p>
    <w:p w14:paraId="24B4BD65">
      <w:pPr>
        <w:pStyle w:val="3"/>
        <w:bidi w:val="0"/>
        <w:jc w:val="center"/>
        <w:rPr>
          <w:rFonts w:hint="eastAsia"/>
          <w:lang w:val="en-US" w:eastAsia="zh-CN"/>
        </w:rPr>
      </w:pPr>
      <w:bookmarkStart w:id="643" w:name="_Toc155185924"/>
      <w:bookmarkStart w:id="644" w:name="_Toc7151"/>
      <w:r>
        <w:rPr>
          <w:rFonts w:hint="eastAsia"/>
          <w:lang w:val="en-US" w:eastAsia="zh-CN"/>
        </w:rPr>
        <w:t>二、法定代表人（单位负责人）身份证明</w:t>
      </w:r>
      <w:bookmarkEnd w:id="643"/>
      <w:bookmarkEnd w:id="644"/>
    </w:p>
    <w:p w14:paraId="46CF1AA3">
      <w:pPr>
        <w:spacing w:line="480" w:lineRule="auto"/>
        <w:ind w:firstLine="400" w:firstLineChars="200"/>
        <w:rPr>
          <w:rFonts w:hint="eastAsia" w:cs="仿宋_GB2312"/>
          <w:color w:val="auto"/>
          <w:szCs w:val="24"/>
          <w:highlight w:val="none"/>
        </w:rPr>
      </w:pPr>
      <w:r>
        <w:rPr>
          <w:rFonts w:hint="eastAsia" w:cs="仿宋_GB2312"/>
          <w:color w:val="auto"/>
          <w:szCs w:val="24"/>
          <w:highlight w:val="none"/>
          <w:lang w:val="en-US" w:eastAsia="zh-CN"/>
        </w:rPr>
        <w:t xml:space="preserve">致：（采购人或采购代理机构） </w:t>
      </w:r>
    </w:p>
    <w:p w14:paraId="3DE52D6F">
      <w:pPr>
        <w:spacing w:line="480" w:lineRule="auto"/>
        <w:ind w:firstLine="800" w:firstLineChars="400"/>
        <w:rPr>
          <w:rFonts w:hint="eastAsia" w:cs="仿宋_GB2312"/>
          <w:color w:val="auto"/>
          <w:szCs w:val="24"/>
          <w:highlight w:val="none"/>
        </w:rPr>
      </w:pPr>
      <w:r>
        <w:rPr>
          <w:rFonts w:hint="eastAsia" w:cs="仿宋_GB2312"/>
          <w:color w:val="auto"/>
          <w:szCs w:val="24"/>
          <w:highlight w:val="none"/>
          <w:lang w:val="en-US" w:eastAsia="zh-CN"/>
        </w:rPr>
        <w:t xml:space="preserve">兹证明， </w:t>
      </w:r>
    </w:p>
    <w:p w14:paraId="1D36B9E0">
      <w:pPr>
        <w:spacing w:line="480" w:lineRule="auto"/>
        <w:ind w:firstLine="400" w:firstLineChars="200"/>
        <w:rPr>
          <w:rFonts w:hint="eastAsia" w:cs="仿宋_GB2312"/>
          <w:color w:val="auto"/>
          <w:szCs w:val="24"/>
          <w:highlight w:val="none"/>
        </w:rPr>
      </w:pPr>
      <w:r>
        <w:rPr>
          <w:rFonts w:hint="eastAsia" w:cs="仿宋_GB2312"/>
          <w:color w:val="auto"/>
          <w:szCs w:val="24"/>
          <w:highlight w:val="none"/>
          <w:lang w:val="en-US" w:eastAsia="zh-CN"/>
        </w:rPr>
        <w:t xml:space="preserve">姓名：____性别：____年龄：____职务：____ </w:t>
      </w:r>
    </w:p>
    <w:p w14:paraId="38746EB6">
      <w:pPr>
        <w:spacing w:line="480" w:lineRule="auto"/>
        <w:ind w:firstLine="400" w:firstLineChars="200"/>
        <w:rPr>
          <w:rFonts w:hint="eastAsia" w:cs="仿宋_GB2312"/>
          <w:color w:val="auto"/>
          <w:szCs w:val="24"/>
          <w:highlight w:val="none"/>
        </w:rPr>
      </w:pPr>
      <w:r>
        <w:rPr>
          <w:rFonts w:hint="eastAsia" w:cs="仿宋_GB2312"/>
          <w:color w:val="auto"/>
          <w:szCs w:val="24"/>
          <w:highlight w:val="none"/>
          <w:lang w:val="en-US" w:eastAsia="zh-CN"/>
        </w:rPr>
        <w:t xml:space="preserve">系 </w:t>
      </w:r>
      <w:r>
        <w:rPr>
          <w:rFonts w:hint="eastAsia" w:cs="仿宋_GB2312"/>
          <w:color w:val="auto"/>
          <w:szCs w:val="24"/>
          <w:highlight w:val="none"/>
          <w:u w:val="single"/>
          <w:lang w:val="en-US" w:eastAsia="zh-CN"/>
        </w:rPr>
        <w:t xml:space="preserve">            </w:t>
      </w:r>
      <w:r>
        <w:rPr>
          <w:rFonts w:hint="eastAsia" w:cs="仿宋_GB2312"/>
          <w:color w:val="auto"/>
          <w:szCs w:val="24"/>
          <w:highlight w:val="none"/>
          <w:lang w:val="en-US" w:eastAsia="zh-CN"/>
        </w:rPr>
        <w:t xml:space="preserve">（投标人名称）的法定代表人（单位负责人）。 </w:t>
      </w:r>
    </w:p>
    <w:p w14:paraId="3B002BC6">
      <w:pPr>
        <w:spacing w:line="480" w:lineRule="auto"/>
        <w:ind w:firstLine="400" w:firstLineChars="200"/>
        <w:rPr>
          <w:rFonts w:hint="eastAsia" w:cs="仿宋_GB2312"/>
          <w:color w:val="auto"/>
          <w:szCs w:val="24"/>
          <w:highlight w:val="none"/>
        </w:rPr>
      </w:pPr>
      <w:r>
        <w:rPr>
          <w:rFonts w:hint="eastAsia" w:cs="仿宋_GB2312"/>
          <w:color w:val="auto"/>
          <w:szCs w:val="24"/>
          <w:highlight w:val="none"/>
          <w:lang w:val="en-US" w:eastAsia="zh-CN"/>
        </w:rPr>
        <w:t xml:space="preserve">附：法定代表人（单位负责人）身份证、护照等身份证明文件电子件： </w:t>
      </w:r>
    </w:p>
    <w:p w14:paraId="60A8C36F">
      <w:pPr>
        <w:spacing w:line="480" w:lineRule="auto"/>
        <w:ind w:firstLine="400" w:firstLineChars="200"/>
        <w:rPr>
          <w:rFonts w:cs="仿宋_GB2312"/>
          <w:color w:val="auto"/>
          <w:szCs w:val="24"/>
          <w:highlight w:val="none"/>
        </w:rPr>
      </w:pPr>
    </w:p>
    <w:p w14:paraId="473563CD">
      <w:pPr>
        <w:rPr>
          <w:rFonts w:cs="Arial"/>
          <w:color w:val="auto"/>
          <w:sz w:val="21"/>
          <w:szCs w:val="21"/>
          <w:highlight w:val="none"/>
        </w:rPr>
      </w:pPr>
    </w:p>
    <w:tbl>
      <w:tblPr>
        <w:tblStyle w:val="30"/>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cs="Arial"/>
                <w:color w:val="auto"/>
                <w:highlight w:val="none"/>
              </w:rPr>
            </w:pPr>
          </w:p>
        </w:tc>
      </w:tr>
    </w:tbl>
    <w:p w14:paraId="76B5C725">
      <w:pPr>
        <w:ind w:firstLine="700" w:firstLineChars="350"/>
        <w:jc w:val="center"/>
        <w:rPr>
          <w:rFonts w:cs="Arial"/>
          <w:color w:val="auto"/>
          <w:highlight w:val="none"/>
        </w:rPr>
      </w:pPr>
    </w:p>
    <w:p w14:paraId="4AD74708">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ascii="DejaVuSans" w:hAnsi="DejaVuSans" w:eastAsia="DejaVuSans" w:cs="DejaVuSans"/>
          <w:color w:val="auto"/>
          <w:kern w:val="0"/>
          <w:sz w:val="24"/>
          <w:szCs w:val="24"/>
          <w:highlight w:val="none"/>
          <w:lang w:val="en-US" w:eastAsia="zh-CN" w:bidi="ar"/>
        </w:rPr>
        <w:t xml:space="preserve">________________ </w:t>
      </w:r>
    </w:p>
    <w:p w14:paraId="364A1245">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 </w:t>
      </w:r>
    </w:p>
    <w:p w14:paraId="10B3C29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239FE13">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日</w:t>
      </w:r>
    </w:p>
    <w:p w14:paraId="6948CD78">
      <w:pPr>
        <w:rPr>
          <w:b/>
          <w:color w:val="auto"/>
          <w:sz w:val="28"/>
          <w:szCs w:val="28"/>
          <w:highlight w:val="none"/>
        </w:rPr>
      </w:pPr>
    </w:p>
    <w:p w14:paraId="04FDD702">
      <w:pPr>
        <w:rPr>
          <w:b/>
          <w:color w:val="auto"/>
          <w:sz w:val="28"/>
          <w:szCs w:val="28"/>
          <w:highlight w:val="none"/>
        </w:rPr>
      </w:pPr>
      <w:r>
        <w:rPr>
          <w:b/>
          <w:color w:val="auto"/>
          <w:sz w:val="28"/>
          <w:szCs w:val="28"/>
          <w:highlight w:val="none"/>
        </w:rPr>
        <w:br w:type="page"/>
      </w:r>
    </w:p>
    <w:p w14:paraId="0EEE8A23">
      <w:pPr>
        <w:pStyle w:val="3"/>
        <w:bidi w:val="0"/>
        <w:jc w:val="center"/>
        <w:rPr>
          <w:rFonts w:hint="eastAsia"/>
          <w:lang w:val="en-US" w:eastAsia="zh-CN"/>
        </w:rPr>
      </w:pPr>
      <w:bookmarkStart w:id="645" w:name="_Toc155185925"/>
      <w:bookmarkStart w:id="646" w:name="_Toc13994"/>
      <w:r>
        <w:rPr>
          <w:rFonts w:hint="eastAsia"/>
          <w:lang w:val="en-US" w:eastAsia="zh-CN"/>
        </w:rPr>
        <w:t>三、授权委托书</w:t>
      </w:r>
      <w:bookmarkEnd w:id="645"/>
      <w:bookmarkEnd w:id="646"/>
    </w:p>
    <w:p w14:paraId="593F068D">
      <w:pPr>
        <w:ind w:firstLine="400" w:firstLineChars="200"/>
        <w:rPr>
          <w:rFonts w:cs="仿宋_GB2312"/>
          <w:color w:val="auto"/>
          <w:szCs w:val="24"/>
          <w:highlight w:val="none"/>
        </w:rPr>
      </w:pPr>
      <w:r>
        <w:rPr>
          <w:rFonts w:hint="eastAsia" w:cs="仿宋_GB2312"/>
          <w:color w:val="auto"/>
          <w:szCs w:val="24"/>
          <w:highlight w:val="none"/>
        </w:rPr>
        <w:t>本人</w:t>
      </w:r>
      <w:r>
        <w:rPr>
          <w:rFonts w:cs="仿宋_GB2312"/>
          <w:color w:val="auto"/>
          <w:szCs w:val="24"/>
          <w:highlight w:val="none"/>
          <w:u w:val="single"/>
        </w:rPr>
        <w:t xml:space="preserve">     </w:t>
      </w:r>
      <w:r>
        <w:rPr>
          <w:rFonts w:hint="eastAsia" w:cs="仿宋_GB2312"/>
          <w:color w:val="auto"/>
          <w:szCs w:val="24"/>
          <w:highlight w:val="none"/>
          <w:u w:val="none"/>
        </w:rPr>
        <w:t>（姓名）</w:t>
      </w:r>
      <w:r>
        <w:rPr>
          <w:rFonts w:hint="eastAsia" w:cs="仿宋_GB2312"/>
          <w:color w:val="auto"/>
          <w:szCs w:val="24"/>
          <w:highlight w:val="none"/>
        </w:rPr>
        <w:t>系</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u w:val="none"/>
        </w:rPr>
        <w:t>（投标人名称）</w:t>
      </w:r>
      <w:r>
        <w:rPr>
          <w:rFonts w:hint="eastAsia" w:cs="仿宋_GB2312"/>
          <w:color w:val="auto"/>
          <w:szCs w:val="24"/>
          <w:highlight w:val="none"/>
        </w:rPr>
        <w:t>的法定代表人</w:t>
      </w:r>
      <w:r>
        <w:rPr>
          <w:rFonts w:hint="eastAsia"/>
          <w:color w:val="auto"/>
          <w:highlight w:val="none"/>
        </w:rPr>
        <w:t>（</w:t>
      </w:r>
      <w:r>
        <w:rPr>
          <w:rFonts w:hint="eastAsia"/>
          <w:color w:val="auto"/>
          <w:highlight w:val="none"/>
          <w:lang w:val="en-US" w:eastAsia="zh-CN"/>
        </w:rPr>
        <w:t>单位</w:t>
      </w:r>
      <w:r>
        <w:rPr>
          <w:rFonts w:hint="eastAsia"/>
          <w:color w:val="auto"/>
          <w:highlight w:val="none"/>
        </w:rPr>
        <w:t>负责人）</w:t>
      </w:r>
      <w:r>
        <w:rPr>
          <w:rFonts w:hint="eastAsia" w:cs="仿宋_GB2312"/>
          <w:color w:val="auto"/>
          <w:szCs w:val="24"/>
          <w:highlight w:val="none"/>
        </w:rPr>
        <w:t>，现委托</w:t>
      </w:r>
      <w:r>
        <w:rPr>
          <w:rFonts w:hint="eastAsia" w:cs="仿宋_GB2312"/>
          <w:color w:val="auto"/>
          <w:szCs w:val="24"/>
          <w:highlight w:val="none"/>
          <w:u w:val="single"/>
        </w:rPr>
        <w:t xml:space="preserve">     </w:t>
      </w:r>
      <w:r>
        <w:rPr>
          <w:rFonts w:hint="eastAsia" w:cs="仿宋_GB2312"/>
          <w:color w:val="auto"/>
          <w:szCs w:val="24"/>
          <w:highlight w:val="none"/>
        </w:rPr>
        <w:t>（姓名）为我方代理人。代理人根据授权，以我方名义签署、澄清</w:t>
      </w:r>
      <w:r>
        <w:rPr>
          <w:rFonts w:hint="eastAsia" w:cs="仿宋_GB2312"/>
          <w:color w:val="auto"/>
          <w:szCs w:val="24"/>
          <w:highlight w:val="none"/>
          <w:lang w:val="en-US" w:eastAsia="zh-CN"/>
        </w:rPr>
        <w:t>确认</w:t>
      </w:r>
      <w:r>
        <w:rPr>
          <w:rFonts w:hint="eastAsia" w:cs="仿宋_GB2312"/>
          <w:color w:val="auto"/>
          <w:szCs w:val="24"/>
          <w:highlight w:val="none"/>
        </w:rPr>
        <w:t>、说明、补正、递交、撤回、修改</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rPr>
        <w:t>（项目名称）投标文件、签订合同和处理有关事宜，其法律后果由我方承担。</w:t>
      </w:r>
    </w:p>
    <w:p w14:paraId="56B80D1C">
      <w:pPr>
        <w:ind w:firstLine="400" w:firstLineChars="200"/>
        <w:rPr>
          <w:rFonts w:hint="eastAsia" w:cs="仿宋_GB2312"/>
          <w:color w:val="auto"/>
          <w:szCs w:val="24"/>
          <w:highlight w:val="none"/>
        </w:rPr>
      </w:pPr>
      <w:r>
        <w:rPr>
          <w:rFonts w:hint="eastAsia" w:cs="仿宋_GB2312"/>
          <w:color w:val="auto"/>
          <w:szCs w:val="24"/>
          <w:highlight w:val="none"/>
        </w:rPr>
        <w:t>委托期限：</w:t>
      </w:r>
      <w:r>
        <w:rPr>
          <w:rFonts w:hint="eastAsia" w:cs="仿宋_GB2312"/>
          <w:color w:val="auto"/>
          <w:szCs w:val="24"/>
          <w:highlight w:val="none"/>
          <w:lang w:val="en-US" w:eastAsia="zh-CN"/>
        </w:rPr>
        <w:t>自本授权委托书签署之日起至投标有效期届满之日止。</w:t>
      </w:r>
    </w:p>
    <w:p w14:paraId="0A605ABE">
      <w:pPr>
        <w:ind w:firstLine="400" w:firstLineChars="200"/>
        <w:rPr>
          <w:rFonts w:cs="仿宋_GB2312"/>
          <w:color w:val="auto"/>
          <w:szCs w:val="24"/>
          <w:highlight w:val="none"/>
        </w:rPr>
      </w:pPr>
      <w:r>
        <w:rPr>
          <w:rFonts w:hint="eastAsia" w:cs="仿宋_GB2312"/>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cs="仿宋_GB2312"/>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ascii="DejaVuSans" w:hAnsi="DejaVuSans" w:eastAsia="DejaVuSans" w:cs="DejaVuSans"/>
          <w:color w:val="auto"/>
          <w:kern w:val="0"/>
          <w:sz w:val="24"/>
          <w:szCs w:val="24"/>
          <w:highlight w:val="none"/>
          <w:lang w:val="en-US" w:eastAsia="zh-CN" w:bidi="ar"/>
        </w:rPr>
        <w:t xml:space="preserve">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委托代理人（签字或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r>
        <w:rPr>
          <w:rFonts w:hint="eastAsia" w:ascii="DejaVuSans" w:hAnsi="DejaVuSans" w:eastAsia="DejaVuSans" w:cs="DejaVuSans"/>
          <w:color w:val="auto"/>
          <w:kern w:val="0"/>
          <w:sz w:val="24"/>
          <w:szCs w:val="24"/>
          <w:highlight w:val="none"/>
          <w:lang w:val="en-US" w:eastAsia="zh-CN" w:bidi="ar"/>
        </w:rPr>
        <w:t xml:space="preserve">   联系电话：</w:t>
      </w:r>
      <w:r>
        <w:rPr>
          <w:rFonts w:hint="default" w:ascii="DejaVuSans" w:hAnsi="DejaVuSans" w:eastAsia="DejaVuSans" w:cs="DejaVuSans"/>
          <w:color w:val="auto"/>
          <w:kern w:val="0"/>
          <w:sz w:val="24"/>
          <w:szCs w:val="24"/>
          <w:highlight w:val="none"/>
          <w:lang w:val="en-US" w:eastAsia="zh-CN" w:bidi="ar"/>
        </w:rPr>
        <w:t>________</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 xml:space="preserve">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cs="仿宋_GB2312"/>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附：法定代表人及委托代理人身份证明文件电子件： </w:t>
      </w:r>
    </w:p>
    <w:tbl>
      <w:tblPr>
        <w:tblStyle w:val="30"/>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cs="Arial"/>
                <w:color w:val="auto"/>
                <w:highlight w:val="none"/>
              </w:rPr>
            </w:pPr>
          </w:p>
        </w:tc>
      </w:tr>
    </w:tbl>
    <w:p w14:paraId="003FC2D7">
      <w:pPr>
        <w:ind w:firstLine="400" w:firstLineChars="200"/>
        <w:rPr>
          <w:rFonts w:hint="eastAsia" w:cs="仿宋_GB2312"/>
          <w:color w:val="auto"/>
          <w:szCs w:val="24"/>
          <w:highlight w:val="none"/>
        </w:rPr>
      </w:pPr>
      <w:r>
        <w:rPr>
          <w:rFonts w:hint="eastAsia" w:cs="仿宋_GB2312"/>
          <w:color w:val="auto"/>
          <w:szCs w:val="24"/>
          <w:highlight w:val="none"/>
          <w:lang w:val="en-US" w:eastAsia="zh-CN"/>
        </w:rPr>
        <w:t xml:space="preserve">说明： </w:t>
      </w:r>
    </w:p>
    <w:p w14:paraId="6A6FAC65">
      <w:pPr>
        <w:ind w:firstLine="400" w:firstLineChars="200"/>
        <w:rPr>
          <w:rFonts w:hint="eastAsia" w:cs="仿宋_GB2312"/>
          <w:color w:val="auto"/>
          <w:szCs w:val="24"/>
          <w:highlight w:val="none"/>
        </w:rPr>
      </w:pPr>
      <w:r>
        <w:rPr>
          <w:rFonts w:hint="eastAsia" w:cs="仿宋_GB2312"/>
          <w:color w:val="auto"/>
          <w:szCs w:val="24"/>
          <w:highlight w:val="none"/>
          <w:lang w:val="en-US" w:eastAsia="zh-CN"/>
        </w:rPr>
        <w:t xml:space="preserve">1.若投标人为事业单位或其他组织或分支机构，则法定代表人（单位负责人）处的签署人可为单位负责人。 </w:t>
      </w:r>
    </w:p>
    <w:p w14:paraId="7579C425">
      <w:pPr>
        <w:ind w:firstLine="400" w:firstLineChars="200"/>
        <w:rPr>
          <w:rFonts w:hint="eastAsia" w:cs="仿宋_GB2312"/>
          <w:color w:val="auto"/>
          <w:szCs w:val="24"/>
          <w:highlight w:val="none"/>
        </w:rPr>
      </w:pPr>
      <w:r>
        <w:rPr>
          <w:rFonts w:hint="default" w:cs="仿宋_GB2312"/>
          <w:color w:val="auto"/>
          <w:szCs w:val="24"/>
          <w:highlight w:val="none"/>
          <w:lang w:val="en-US" w:eastAsia="zh-CN"/>
        </w:rPr>
        <w:t>2.</w:t>
      </w:r>
      <w:r>
        <w:rPr>
          <w:rFonts w:hint="eastAsia" w:cs="仿宋_GB2312"/>
          <w:color w:val="auto"/>
          <w:szCs w:val="24"/>
          <w:highlight w:val="none"/>
          <w:lang w:val="en-US" w:eastAsia="zh-CN"/>
        </w:rPr>
        <w:t xml:space="preserve">若投标文件中签字之处均为法定代表人（单位负责人）本人签署，则可不提供本《授权委托书》，但须提供《法定代表人（单位负责人）身份证明》。 </w:t>
      </w:r>
    </w:p>
    <w:p w14:paraId="7D81952A">
      <w:pPr>
        <w:ind w:firstLine="400" w:firstLineChars="200"/>
        <w:rPr>
          <w:rFonts w:hint="eastAsia" w:cs="仿宋_GB2312"/>
          <w:color w:val="auto"/>
          <w:szCs w:val="24"/>
          <w:highlight w:val="none"/>
        </w:rPr>
      </w:pPr>
      <w:r>
        <w:rPr>
          <w:rFonts w:hint="default" w:cs="仿宋_GB2312"/>
          <w:color w:val="auto"/>
          <w:szCs w:val="24"/>
          <w:highlight w:val="none"/>
          <w:lang w:val="en-US" w:eastAsia="zh-CN"/>
        </w:rPr>
        <w:t>3.</w:t>
      </w:r>
      <w:r>
        <w:rPr>
          <w:rFonts w:hint="eastAsia" w:cs="仿宋_GB2312"/>
          <w:color w:val="auto"/>
          <w:szCs w:val="24"/>
          <w:highlight w:val="none"/>
          <w:lang w:val="en-US" w:eastAsia="zh-CN"/>
        </w:rPr>
        <w:t xml:space="preserve">投标人为自然人的情形，可不提供本《授权委托书》。 </w:t>
      </w:r>
    </w:p>
    <w:p w14:paraId="16E91B57">
      <w:pPr>
        <w:ind w:firstLine="400" w:firstLineChars="200"/>
        <w:rPr>
          <w:rFonts w:hint="eastAsia" w:cs="仿宋_GB2312"/>
          <w:color w:val="auto"/>
          <w:szCs w:val="24"/>
          <w:highlight w:val="none"/>
        </w:rPr>
      </w:pPr>
      <w:r>
        <w:rPr>
          <w:rFonts w:hint="default" w:cs="仿宋_GB2312"/>
          <w:color w:val="auto"/>
          <w:szCs w:val="24"/>
          <w:highlight w:val="none"/>
          <w:lang w:val="en-US" w:eastAsia="zh-CN"/>
        </w:rPr>
        <w:t>4.</w:t>
      </w:r>
      <w:r>
        <w:rPr>
          <w:rFonts w:hint="eastAsia" w:cs="仿宋_GB2312"/>
          <w:color w:val="auto"/>
          <w:szCs w:val="24"/>
          <w:highlight w:val="none"/>
          <w:lang w:val="en-US" w:eastAsia="zh-CN"/>
        </w:rPr>
        <w:t>投标人应随本《授权委托书》同时提供法定代表人（单位负责人）及委托代理人的有效的身份证、护照等身份证明文件电子件。提供身份证的，应同时提供身份证</w:t>
      </w:r>
      <w:r>
        <w:rPr>
          <w:rFonts w:hint="eastAsia" w:cs="仿宋_GB2312"/>
          <w:b/>
          <w:bCs/>
          <w:color w:val="auto"/>
          <w:szCs w:val="24"/>
          <w:highlight w:val="none"/>
          <w:lang w:val="en-US" w:eastAsia="zh-CN"/>
        </w:rPr>
        <w:t>双面</w:t>
      </w:r>
      <w:r>
        <w:rPr>
          <w:rFonts w:hint="eastAsia" w:cs="仿宋_GB2312"/>
          <w:color w:val="auto"/>
          <w:szCs w:val="24"/>
          <w:highlight w:val="none"/>
          <w:lang w:val="en-US" w:eastAsia="zh-CN"/>
        </w:rPr>
        <w:t>电子件。</w:t>
      </w:r>
    </w:p>
    <w:p w14:paraId="0B2EBA16">
      <w:pPr>
        <w:rPr>
          <w:color w:val="auto"/>
          <w:highlight w:val="none"/>
        </w:rPr>
      </w:pPr>
      <w:r>
        <w:rPr>
          <w:color w:val="auto"/>
          <w:highlight w:val="none"/>
        </w:rPr>
        <w:br w:type="page"/>
      </w:r>
    </w:p>
    <w:p w14:paraId="117D25C9">
      <w:pPr>
        <w:pStyle w:val="3"/>
        <w:bidi w:val="0"/>
        <w:jc w:val="center"/>
        <w:rPr>
          <w:rFonts w:hint="eastAsia"/>
          <w:lang w:val="en-US" w:eastAsia="zh-CN"/>
        </w:rPr>
      </w:pPr>
      <w:bookmarkStart w:id="647" w:name="_Toc163492928"/>
      <w:bookmarkStart w:id="648" w:name="_Toc155185934"/>
      <w:bookmarkStart w:id="649" w:name="_Toc11798"/>
      <w:r>
        <w:rPr>
          <w:rFonts w:hint="eastAsia"/>
          <w:lang w:val="en-US" w:eastAsia="zh-CN"/>
        </w:rPr>
        <w:t>四、</w:t>
      </w:r>
      <w:bookmarkEnd w:id="647"/>
      <w:bookmarkEnd w:id="648"/>
      <w:r>
        <w:rPr>
          <w:rFonts w:hint="eastAsia"/>
          <w:lang w:val="zh-CN" w:eastAsia="zh-CN"/>
        </w:rPr>
        <w:t>政府采购</w:t>
      </w:r>
      <w:r>
        <w:rPr>
          <w:rFonts w:hint="eastAsia"/>
          <w:lang w:val="en-US" w:eastAsia="zh-CN"/>
        </w:rPr>
        <w:t>投标人</w:t>
      </w:r>
      <w:r>
        <w:rPr>
          <w:rFonts w:hint="eastAsia"/>
          <w:lang w:val="zh-CN" w:eastAsia="zh-CN"/>
        </w:rPr>
        <w:t>廉洁自律承诺书</w:t>
      </w:r>
      <w:bookmarkEnd w:id="649"/>
    </w:p>
    <w:p w14:paraId="2AB445CF">
      <w:pPr>
        <w:pStyle w:val="13"/>
        <w:rPr>
          <w:color w:val="auto"/>
          <w:highlight w:val="none"/>
        </w:rPr>
      </w:pPr>
    </w:p>
    <w:p w14:paraId="2CE177B4">
      <w:pPr>
        <w:snapToGrid w:val="0"/>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2139BFB4">
      <w:pPr>
        <w:autoSpaceDE w:val="0"/>
        <w:autoSpaceDN w:val="0"/>
        <w:spacing w:line="360" w:lineRule="auto"/>
        <w:ind w:left="2" w:leftChars="1"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我单位响应你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项目招标要求参加投标。在这次投标过程中和中标后，我们将严格遵守国家法律法规要求，并郑重承诺：</w:t>
      </w:r>
    </w:p>
    <w:p w14:paraId="2B87D13C">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一、不向项目有关人员及部门赠送礼金礼物、有价证券、回扣以及中介费、介绍费、咨询费等好处费； </w:t>
      </w:r>
    </w:p>
    <w:p w14:paraId="063D62B4">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二、不为项目有关人员及部门报销应由你方单位或个人支付的费用； </w:t>
      </w:r>
    </w:p>
    <w:p w14:paraId="5ADDE615">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三、不向项目有关人员及部门提供有可能影响公正的宴请和健身娱乐等活动；</w:t>
      </w:r>
    </w:p>
    <w:p w14:paraId="6B70337F">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四、不为项目有关人员及部门出国（境）、旅游等提供方便；</w:t>
      </w:r>
    </w:p>
    <w:p w14:paraId="6421E616">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五、不为项目有关人员个人装修住房、婚丧嫁娶、配偶子女工作安排等提供好处；</w:t>
      </w:r>
    </w:p>
    <w:p w14:paraId="663761CE">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六、严格遵守《中华人民共和国政府采购法》《中华人民共和国政府采购法</w:t>
      </w:r>
      <w:r>
        <w:rPr>
          <w:rFonts w:hint="eastAsia" w:cs="宋体"/>
          <w:color w:val="auto"/>
          <w:kern w:val="0"/>
          <w:sz w:val="24"/>
          <w:szCs w:val="24"/>
          <w:highlight w:val="none"/>
          <w:lang w:val="en-US" w:eastAsia="zh-CN"/>
        </w:rPr>
        <w:t>实施条例</w:t>
      </w:r>
      <w:r>
        <w:rPr>
          <w:rFonts w:hint="eastAsia" w:ascii="宋体" w:hAnsi="宋体" w:cs="宋体"/>
          <w:color w:val="auto"/>
          <w:kern w:val="0"/>
          <w:sz w:val="24"/>
          <w:szCs w:val="24"/>
          <w:highlight w:val="none"/>
          <w:lang w:val="zh-CN"/>
        </w:rPr>
        <w:t xml:space="preserve">》《中华人民共和国民法典》等法律法规，诚实守信，合法经营，坚决抵制各种违法违纪行为。 </w:t>
      </w:r>
    </w:p>
    <w:p w14:paraId="5C8FD2B8">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cs="宋体"/>
          <w:color w:val="auto"/>
          <w:kern w:val="0"/>
          <w:sz w:val="24"/>
          <w:szCs w:val="24"/>
          <w:highlight w:val="none"/>
          <w:lang w:val="en-US" w:eastAsia="zh-CN"/>
        </w:rPr>
        <w:t>兵团</w:t>
      </w:r>
      <w:r>
        <w:rPr>
          <w:rFonts w:hint="eastAsia" w:ascii="宋体" w:hAnsi="宋体" w:cs="宋体"/>
          <w:color w:val="auto"/>
          <w:kern w:val="0"/>
          <w:sz w:val="24"/>
          <w:szCs w:val="24"/>
          <w:highlight w:val="none"/>
          <w:lang w:val="zh-CN"/>
        </w:rPr>
        <w:t>财政局。由此引起的相应损失均由我单位承担。</w:t>
      </w:r>
    </w:p>
    <w:p w14:paraId="5E22ECB4">
      <w:pPr>
        <w:autoSpaceDE w:val="0"/>
        <w:autoSpaceDN w:val="0"/>
        <w:spacing w:line="360" w:lineRule="auto"/>
        <w:ind w:left="2"/>
        <w:jc w:val="left"/>
        <w:rPr>
          <w:rFonts w:ascii="宋体" w:hAnsi="宋体" w:cs="宋体"/>
          <w:color w:val="auto"/>
          <w:kern w:val="0"/>
          <w:sz w:val="24"/>
          <w:szCs w:val="24"/>
          <w:highlight w:val="none"/>
          <w:lang w:val="zh-CN"/>
        </w:rPr>
      </w:pPr>
    </w:p>
    <w:p w14:paraId="0914ACDE">
      <w:pPr>
        <w:autoSpaceDE w:val="0"/>
        <w:autoSpaceDN w:val="0"/>
        <w:spacing w:line="360" w:lineRule="auto"/>
        <w:ind w:left="2"/>
        <w:jc w:val="left"/>
        <w:rPr>
          <w:rFonts w:ascii="宋体" w:hAnsi="宋体" w:cs="宋体"/>
          <w:color w:val="auto"/>
          <w:kern w:val="0"/>
          <w:sz w:val="24"/>
          <w:szCs w:val="24"/>
          <w:highlight w:val="none"/>
          <w:lang w:val="zh-CN"/>
        </w:rPr>
      </w:pPr>
    </w:p>
    <w:p w14:paraId="02E01AF0">
      <w:pPr>
        <w:autoSpaceDE w:val="0"/>
        <w:autoSpaceDN w:val="0"/>
        <w:spacing w:line="360" w:lineRule="auto"/>
        <w:ind w:left="2"/>
        <w:jc w:val="left"/>
        <w:rPr>
          <w:rFonts w:ascii="宋体" w:hAnsi="宋体" w:cs="宋体"/>
          <w:color w:val="auto"/>
          <w:kern w:val="0"/>
          <w:sz w:val="24"/>
          <w:szCs w:val="24"/>
          <w:highlight w:val="none"/>
          <w:lang w:val="zh-CN"/>
        </w:rPr>
      </w:pPr>
    </w:p>
    <w:p w14:paraId="3EA46769">
      <w:pPr>
        <w:autoSpaceDE w:val="0"/>
        <w:autoSpaceDN w:val="0"/>
        <w:spacing w:line="360" w:lineRule="auto"/>
        <w:ind w:left="2" w:leftChars="1" w:right="1120" w:firstLine="4560" w:firstLineChars="19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cs="宋体"/>
          <w:color w:val="auto"/>
          <w:kern w:val="0"/>
          <w:sz w:val="24"/>
          <w:szCs w:val="24"/>
          <w:highlight w:val="none"/>
          <w:lang w:val="zh-CN"/>
        </w:rPr>
        <w:t xml:space="preserve">：                                                                                                                                                                                                               </w:t>
      </w:r>
    </w:p>
    <w:p w14:paraId="0FD8A2DC">
      <w:pPr>
        <w:ind w:firstLine="4560" w:firstLineChars="1900"/>
        <w:rPr>
          <w:rFonts w:hint="eastAsia" w:eastAsia="宋体" w:asciiTheme="majorHAnsi" w:hAnsiTheme="majorHAnsi" w:cstheme="majorBidi"/>
          <w:b/>
          <w:bCs/>
          <w:color w:val="auto"/>
          <w:kern w:val="2"/>
          <w:sz w:val="24"/>
          <w:szCs w:val="24"/>
          <w:highlight w:val="none"/>
          <w:lang w:val="en-US" w:eastAsia="zh-CN" w:bidi="ar-SA"/>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 xml:space="preserve">   年   月   日</w:t>
      </w:r>
    </w:p>
    <w:p w14:paraId="5AA40BF9">
      <w:pPr>
        <w:rPr>
          <w:rFonts w:hint="eastAsia" w:eastAsia="宋体" w:asciiTheme="majorHAnsi" w:hAnsiTheme="majorHAnsi" w:cstheme="majorBidi"/>
          <w:b/>
          <w:bCs/>
          <w:color w:val="auto"/>
          <w:kern w:val="2"/>
          <w:sz w:val="24"/>
          <w:szCs w:val="24"/>
          <w:highlight w:val="none"/>
          <w:lang w:val="en-US" w:eastAsia="zh-CN" w:bidi="ar-SA"/>
        </w:rPr>
      </w:pPr>
    </w:p>
    <w:p w14:paraId="2917743B">
      <w:pPr>
        <w:pStyle w:val="13"/>
        <w:rPr>
          <w:rFonts w:hint="eastAsia" w:eastAsia="宋体" w:asciiTheme="majorHAnsi" w:hAnsiTheme="majorHAnsi" w:cstheme="majorBidi"/>
          <w:b/>
          <w:bCs/>
          <w:color w:val="auto"/>
          <w:kern w:val="2"/>
          <w:sz w:val="24"/>
          <w:szCs w:val="24"/>
          <w:highlight w:val="none"/>
          <w:lang w:val="en-US" w:eastAsia="zh-CN" w:bidi="ar-SA"/>
        </w:rPr>
      </w:pPr>
    </w:p>
    <w:p w14:paraId="2CC927CA">
      <w:pPr>
        <w:pStyle w:val="13"/>
        <w:rPr>
          <w:rFonts w:hint="eastAsia" w:eastAsia="宋体" w:asciiTheme="majorHAnsi" w:hAnsiTheme="majorHAnsi" w:cstheme="majorBidi"/>
          <w:b/>
          <w:bCs/>
          <w:color w:val="auto"/>
          <w:kern w:val="2"/>
          <w:sz w:val="24"/>
          <w:szCs w:val="24"/>
          <w:highlight w:val="none"/>
          <w:lang w:val="en-US" w:eastAsia="zh-CN" w:bidi="ar-SA"/>
        </w:rPr>
      </w:pPr>
    </w:p>
    <w:p w14:paraId="18FDCDE0">
      <w:pPr>
        <w:pStyle w:val="13"/>
        <w:rPr>
          <w:rFonts w:hint="eastAsia" w:eastAsia="宋体" w:asciiTheme="majorHAnsi" w:hAnsiTheme="majorHAnsi" w:cstheme="majorBidi"/>
          <w:b/>
          <w:bCs/>
          <w:color w:val="auto"/>
          <w:kern w:val="2"/>
          <w:sz w:val="24"/>
          <w:szCs w:val="24"/>
          <w:highlight w:val="none"/>
          <w:lang w:val="en-US" w:eastAsia="zh-CN" w:bidi="ar-SA"/>
        </w:rPr>
      </w:pPr>
    </w:p>
    <w:p w14:paraId="74E8B7C7">
      <w:pPr>
        <w:pStyle w:val="3"/>
        <w:bidi w:val="0"/>
        <w:jc w:val="center"/>
        <w:rPr>
          <w:rFonts w:hint="default"/>
          <w:lang w:val="en-US" w:eastAsia="zh-CN"/>
        </w:rPr>
      </w:pPr>
      <w:bookmarkStart w:id="650" w:name="_Toc20842"/>
      <w:r>
        <w:rPr>
          <w:rFonts w:hint="eastAsia"/>
          <w:lang w:val="en-US" w:eastAsia="zh-CN"/>
        </w:rPr>
        <w:t>五、</w:t>
      </w:r>
      <w:r>
        <w:rPr>
          <w:rFonts w:hint="eastAsia"/>
          <w:lang w:val="zh-CN" w:eastAsia="zh-CN"/>
        </w:rPr>
        <w:t>实质性响应一览表【</w:t>
      </w:r>
      <w:r>
        <w:rPr>
          <w:rFonts w:hint="eastAsia"/>
          <w:lang w:val="en-US" w:eastAsia="zh-CN"/>
        </w:rPr>
        <w:t>本表须与第五章的一致】</w:t>
      </w:r>
      <w:bookmarkEnd w:id="650"/>
    </w:p>
    <w:p w14:paraId="3FC7E450">
      <w:pPr>
        <w:shd w:val="clear" w:color="auto" w:fill="FFFFFF"/>
        <w:tabs>
          <w:tab w:val="left" w:pos="3045"/>
        </w:tabs>
        <w:autoSpaceDE w:val="0"/>
        <w:autoSpaceDN w:val="0"/>
        <w:adjustRightInd w:val="0"/>
        <w:snapToGrid w:val="0"/>
        <w:spacing w:line="36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w:t>
      </w:r>
      <w:r>
        <w:rPr>
          <w:rFonts w:hint="eastAsia" w:cs="宋体"/>
          <w:b w:val="0"/>
          <w:bCs/>
          <w:color w:val="auto"/>
          <w:sz w:val="24"/>
          <w:highlight w:val="none"/>
          <w:lang w:val="en-US" w:eastAsia="zh-CN"/>
        </w:rPr>
        <w:t>投标人</w:t>
      </w:r>
      <w:r>
        <w:rPr>
          <w:rFonts w:hint="eastAsia" w:ascii="宋体" w:hAnsi="宋体" w:cs="宋体"/>
          <w:b w:val="0"/>
          <w:bCs/>
          <w:color w:val="auto"/>
          <w:sz w:val="24"/>
          <w:highlight w:val="none"/>
        </w:rPr>
        <w:t>须对本附表所有内容逐条响应且无负偏离，否则</w:t>
      </w:r>
      <w:r>
        <w:rPr>
          <w:rFonts w:hint="eastAsia" w:cs="宋体"/>
          <w:b w:val="0"/>
          <w:bCs/>
          <w:color w:val="auto"/>
          <w:sz w:val="24"/>
          <w:highlight w:val="none"/>
          <w:lang w:val="en-US" w:eastAsia="zh-CN"/>
        </w:rPr>
        <w:t>其</w:t>
      </w:r>
      <w:r>
        <w:rPr>
          <w:rFonts w:hint="eastAsia" w:ascii="宋体" w:hAnsi="宋体" w:cs="宋体"/>
          <w:b/>
          <w:bCs w:val="0"/>
          <w:color w:val="auto"/>
          <w:sz w:val="24"/>
          <w:highlight w:val="none"/>
        </w:rPr>
        <w:t>投标无效</w:t>
      </w:r>
      <w:r>
        <w:rPr>
          <w:rFonts w:hint="eastAsia" w:ascii="宋体" w:hAnsi="宋体" w:cs="宋体"/>
          <w:b w:val="0"/>
          <w:bCs/>
          <w:color w:val="auto"/>
          <w:sz w:val="24"/>
          <w:highlight w:val="none"/>
        </w:rPr>
        <w:t>）</w:t>
      </w:r>
    </w:p>
    <w:p w14:paraId="3B3C031E">
      <w:pPr>
        <w:pStyle w:val="23"/>
        <w:rPr>
          <w:rFonts w:hint="eastAsia" w:ascii="宋体" w:hAnsi="宋体" w:cs="宋体"/>
          <w:color w:val="auto"/>
          <w:highlight w:val="none"/>
        </w:rPr>
      </w:pPr>
    </w:p>
    <w:tbl>
      <w:tblPr>
        <w:tblStyle w:val="30"/>
        <w:tblW w:w="5294"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2"/>
        <w:gridCol w:w="3744"/>
        <w:gridCol w:w="1956"/>
        <w:gridCol w:w="924"/>
      </w:tblGrid>
      <w:tr w14:paraId="2EF5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6" w:type="pct"/>
            <w:vMerge w:val="restart"/>
            <w:noWrap w:val="0"/>
            <w:vAlign w:val="center"/>
          </w:tcPr>
          <w:p w14:paraId="101C80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8" w:type="pct"/>
            <w:gridSpan w:val="2"/>
            <w:noWrap w:val="0"/>
            <w:vAlign w:val="center"/>
          </w:tcPr>
          <w:p w14:paraId="02D6053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文件要求的实质性响应内容</w:t>
            </w:r>
          </w:p>
        </w:tc>
        <w:tc>
          <w:tcPr>
            <w:tcW w:w="1083" w:type="pct"/>
            <w:vMerge w:val="restart"/>
            <w:noWrap w:val="0"/>
            <w:vAlign w:val="center"/>
          </w:tcPr>
          <w:p w14:paraId="56144F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具体内容</w:t>
            </w:r>
          </w:p>
        </w:tc>
        <w:tc>
          <w:tcPr>
            <w:tcW w:w="511" w:type="pct"/>
            <w:vMerge w:val="restart"/>
            <w:noWrap w:val="0"/>
            <w:vAlign w:val="center"/>
          </w:tcPr>
          <w:p w14:paraId="3D4BAC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8FB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6" w:type="pct"/>
            <w:vMerge w:val="continue"/>
            <w:noWrap w:val="0"/>
            <w:vAlign w:val="center"/>
          </w:tcPr>
          <w:p w14:paraId="6135354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1103" w:type="pct"/>
            <w:noWrap w:val="0"/>
            <w:vAlign w:val="center"/>
          </w:tcPr>
          <w:p w14:paraId="6B0E164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实质性要求</w:t>
            </w:r>
          </w:p>
        </w:tc>
        <w:tc>
          <w:tcPr>
            <w:tcW w:w="2074" w:type="pct"/>
            <w:noWrap w:val="0"/>
            <w:vAlign w:val="center"/>
          </w:tcPr>
          <w:p w14:paraId="3466A6A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招标文件中的规定</w:t>
            </w:r>
          </w:p>
        </w:tc>
        <w:tc>
          <w:tcPr>
            <w:tcW w:w="1083" w:type="pct"/>
            <w:vMerge w:val="continue"/>
            <w:noWrap w:val="0"/>
            <w:vAlign w:val="center"/>
          </w:tcPr>
          <w:p w14:paraId="230A57B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511" w:type="pct"/>
            <w:vMerge w:val="continue"/>
            <w:noWrap w:val="0"/>
            <w:vAlign w:val="center"/>
          </w:tcPr>
          <w:p w14:paraId="1401563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r>
      <w:tr w14:paraId="0FCF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5D4136A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03" w:type="pct"/>
            <w:shd w:val="clear" w:color="auto" w:fill="auto"/>
            <w:noWrap w:val="0"/>
            <w:vAlign w:val="center"/>
          </w:tcPr>
          <w:p w14:paraId="11E3D90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2D62742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1E4B729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2ED2EBD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9B1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708A3B9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03" w:type="pct"/>
            <w:shd w:val="clear" w:color="auto" w:fill="auto"/>
            <w:noWrap w:val="0"/>
            <w:vAlign w:val="center"/>
          </w:tcPr>
          <w:p w14:paraId="7DC773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011D967C">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58F62CE4">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94CC2D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47B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6A2DB15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103" w:type="pct"/>
            <w:shd w:val="clear" w:color="auto" w:fill="auto"/>
            <w:noWrap w:val="0"/>
            <w:vAlign w:val="center"/>
          </w:tcPr>
          <w:p w14:paraId="46BFE239">
            <w:pPr>
              <w:pStyle w:val="49"/>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486ABA85">
            <w:pPr>
              <w:pStyle w:val="49"/>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59491DC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511A2D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B87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12289F6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103" w:type="pct"/>
            <w:shd w:val="clear" w:color="auto" w:fill="auto"/>
            <w:noWrap w:val="0"/>
            <w:vAlign w:val="center"/>
          </w:tcPr>
          <w:p w14:paraId="1D3E0310">
            <w:pPr>
              <w:pStyle w:val="49"/>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281089E1">
            <w:pPr>
              <w:pStyle w:val="49"/>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6CCA3E7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0A8FC1E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70A7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36B59CD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03" w:type="pct"/>
            <w:noWrap w:val="0"/>
            <w:vAlign w:val="center"/>
          </w:tcPr>
          <w:p w14:paraId="43A0BEF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310F1D1A">
            <w:pPr>
              <w:pStyle w:val="82"/>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color w:val="auto"/>
                <w:kern w:val="0"/>
                <w:sz w:val="24"/>
                <w:szCs w:val="24"/>
                <w:highlight w:val="none"/>
                <w:lang w:val="en-US" w:eastAsia="zh-CN" w:bidi="ar-SA"/>
              </w:rPr>
            </w:pPr>
          </w:p>
        </w:tc>
        <w:tc>
          <w:tcPr>
            <w:tcW w:w="1083" w:type="pct"/>
            <w:noWrap w:val="0"/>
            <w:vAlign w:val="center"/>
          </w:tcPr>
          <w:p w14:paraId="492A3FE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7AFD0B5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66B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0C145DE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103" w:type="pct"/>
            <w:noWrap w:val="0"/>
            <w:vAlign w:val="center"/>
          </w:tcPr>
          <w:p w14:paraId="24DF7F3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5482D5F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24D82CE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90A3A2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E09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2F26FC6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103" w:type="pct"/>
            <w:noWrap w:val="0"/>
            <w:vAlign w:val="center"/>
          </w:tcPr>
          <w:p w14:paraId="7BD1DFF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0998D7BE">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lang w:val="en-US" w:eastAsia="zh-CN"/>
              </w:rPr>
            </w:pPr>
          </w:p>
        </w:tc>
        <w:tc>
          <w:tcPr>
            <w:tcW w:w="1083" w:type="pct"/>
            <w:noWrap w:val="0"/>
            <w:vAlign w:val="center"/>
          </w:tcPr>
          <w:p w14:paraId="4CB9861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015D30C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EA1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4ED2BCC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p>
        </w:tc>
        <w:tc>
          <w:tcPr>
            <w:tcW w:w="1103" w:type="pct"/>
            <w:shd w:val="clear" w:color="auto" w:fill="auto"/>
            <w:noWrap w:val="0"/>
            <w:vAlign w:val="center"/>
          </w:tcPr>
          <w:p w14:paraId="28BAA9A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6246E5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p>
        </w:tc>
        <w:tc>
          <w:tcPr>
            <w:tcW w:w="1083" w:type="pct"/>
            <w:noWrap w:val="0"/>
            <w:vAlign w:val="center"/>
          </w:tcPr>
          <w:p w14:paraId="1853010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796ECCF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bl>
    <w:p w14:paraId="1BAA11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color w:val="auto"/>
          <w:kern w:val="2"/>
          <w:sz w:val="28"/>
          <w:szCs w:val="28"/>
          <w:highlight w:val="none"/>
          <w:lang w:val="en-US" w:eastAsia="zh-CN" w:bidi="ar-SA"/>
        </w:rPr>
      </w:pPr>
    </w:p>
    <w:p w14:paraId="61F3D6B1">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01639337">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626EF50E">
      <w:pPr>
        <w:pStyle w:val="3"/>
        <w:bidi w:val="0"/>
        <w:jc w:val="center"/>
        <w:rPr>
          <w:rFonts w:hint="eastAsia"/>
          <w:lang w:val="en-US" w:eastAsia="zh-CN"/>
        </w:rPr>
      </w:pPr>
      <w:bookmarkStart w:id="651" w:name="_Toc26965"/>
      <w:r>
        <w:rPr>
          <w:rFonts w:hint="eastAsia"/>
          <w:lang w:val="en-US" w:eastAsia="zh-CN"/>
        </w:rPr>
        <w:t>六、商务响应偏离表</w:t>
      </w:r>
      <w:bookmarkEnd w:id="651"/>
    </w:p>
    <w:p w14:paraId="21AF32D6">
      <w:pPr>
        <w:rPr>
          <w:rFonts w:cs="仿宋_GB2312"/>
          <w:color w:val="auto"/>
          <w:szCs w:val="24"/>
          <w:highlight w:val="none"/>
        </w:rPr>
      </w:pPr>
      <w:r>
        <w:rPr>
          <w:rFonts w:hint="eastAsia" w:cs="仿宋_GB2312"/>
          <w:color w:val="auto"/>
          <w:szCs w:val="24"/>
          <w:highlight w:val="none"/>
        </w:rPr>
        <w:t xml:space="preserve">项目名称：                                         </w:t>
      </w:r>
    </w:p>
    <w:p w14:paraId="0424C095">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30"/>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16BE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1A4BE3A9">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5" w:type="pct"/>
            <w:vAlign w:val="center"/>
          </w:tcPr>
          <w:p w14:paraId="7CB83CD6">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招标文件的商务条款</w:t>
            </w:r>
          </w:p>
        </w:tc>
        <w:tc>
          <w:tcPr>
            <w:tcW w:w="1002" w:type="pct"/>
            <w:vAlign w:val="center"/>
          </w:tcPr>
          <w:p w14:paraId="55A47B57">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投标文件的响应内容</w:t>
            </w:r>
          </w:p>
        </w:tc>
        <w:tc>
          <w:tcPr>
            <w:tcW w:w="1090" w:type="pct"/>
            <w:vAlign w:val="center"/>
          </w:tcPr>
          <w:p w14:paraId="2572E859">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090" w:type="pct"/>
            <w:vAlign w:val="center"/>
          </w:tcPr>
          <w:p w14:paraId="7884F206">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说明及索引</w:t>
            </w:r>
          </w:p>
        </w:tc>
      </w:tr>
      <w:tr w14:paraId="0728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56411A">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5" w:type="pct"/>
            <w:vAlign w:val="center"/>
          </w:tcPr>
          <w:p w14:paraId="34566CA0">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1C6482B4">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1BBD0417">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响应/偏离</w:t>
            </w:r>
          </w:p>
        </w:tc>
        <w:tc>
          <w:tcPr>
            <w:tcW w:w="1090" w:type="pct"/>
            <w:vAlign w:val="center"/>
          </w:tcPr>
          <w:p w14:paraId="1A90E39C">
            <w:pPr>
              <w:pStyle w:val="49"/>
              <w:jc w:val="center"/>
              <w:rPr>
                <w:rFonts w:hint="eastAsia" w:ascii="宋体" w:hAnsi="宋体" w:eastAsia="宋体" w:cs="宋体"/>
                <w:color w:val="auto"/>
                <w:sz w:val="21"/>
                <w:szCs w:val="21"/>
                <w:highlight w:val="none"/>
              </w:rPr>
            </w:pPr>
          </w:p>
        </w:tc>
      </w:tr>
      <w:tr w14:paraId="7C83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5821036">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5" w:type="pct"/>
            <w:vAlign w:val="center"/>
          </w:tcPr>
          <w:p w14:paraId="2A717A55">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20EC7575">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5923E58D">
            <w:pPr>
              <w:pStyle w:val="49"/>
              <w:jc w:val="center"/>
              <w:rPr>
                <w:rFonts w:hint="eastAsia" w:ascii="宋体" w:hAnsi="宋体" w:eastAsia="宋体" w:cs="宋体"/>
                <w:color w:val="auto"/>
                <w:sz w:val="21"/>
                <w:szCs w:val="21"/>
                <w:highlight w:val="none"/>
              </w:rPr>
            </w:pPr>
          </w:p>
        </w:tc>
        <w:tc>
          <w:tcPr>
            <w:tcW w:w="1090" w:type="pct"/>
            <w:vAlign w:val="center"/>
          </w:tcPr>
          <w:p w14:paraId="59C2C317">
            <w:pPr>
              <w:pStyle w:val="49"/>
              <w:jc w:val="center"/>
              <w:rPr>
                <w:rFonts w:hint="eastAsia" w:ascii="宋体" w:hAnsi="宋体" w:eastAsia="宋体" w:cs="宋体"/>
                <w:color w:val="auto"/>
                <w:sz w:val="21"/>
                <w:szCs w:val="21"/>
                <w:highlight w:val="none"/>
              </w:rPr>
            </w:pPr>
          </w:p>
        </w:tc>
      </w:tr>
      <w:tr w14:paraId="643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563CA4">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5" w:type="pct"/>
            <w:vAlign w:val="center"/>
          </w:tcPr>
          <w:p w14:paraId="595245DB">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0A16B4B6">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58535F72">
            <w:pPr>
              <w:pStyle w:val="49"/>
              <w:jc w:val="center"/>
              <w:rPr>
                <w:rFonts w:hint="eastAsia" w:ascii="宋体" w:hAnsi="宋体" w:eastAsia="宋体" w:cs="宋体"/>
                <w:color w:val="auto"/>
                <w:sz w:val="21"/>
                <w:szCs w:val="21"/>
                <w:highlight w:val="none"/>
              </w:rPr>
            </w:pPr>
          </w:p>
        </w:tc>
        <w:tc>
          <w:tcPr>
            <w:tcW w:w="1090" w:type="pct"/>
            <w:vAlign w:val="center"/>
          </w:tcPr>
          <w:p w14:paraId="50AB520B">
            <w:pPr>
              <w:pStyle w:val="49"/>
              <w:jc w:val="center"/>
              <w:rPr>
                <w:rFonts w:hint="eastAsia" w:ascii="宋体" w:hAnsi="宋体" w:eastAsia="宋体" w:cs="宋体"/>
                <w:color w:val="auto"/>
                <w:sz w:val="21"/>
                <w:szCs w:val="21"/>
                <w:highlight w:val="none"/>
              </w:rPr>
            </w:pPr>
          </w:p>
        </w:tc>
      </w:tr>
      <w:tr w14:paraId="669E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4127D5E">
            <w:pPr>
              <w:pStyle w:val="49"/>
              <w:jc w:val="center"/>
              <w:rPr>
                <w:rFonts w:hint="eastAsia" w:ascii="宋体" w:hAnsi="宋体" w:eastAsia="宋体" w:cs="宋体"/>
                <w:color w:val="auto"/>
                <w:sz w:val="21"/>
                <w:szCs w:val="21"/>
                <w:highlight w:val="none"/>
              </w:rPr>
            </w:pPr>
          </w:p>
        </w:tc>
        <w:tc>
          <w:tcPr>
            <w:tcW w:w="1395" w:type="pct"/>
            <w:vAlign w:val="center"/>
          </w:tcPr>
          <w:p w14:paraId="14968038">
            <w:pPr>
              <w:pStyle w:val="49"/>
              <w:jc w:val="center"/>
              <w:rPr>
                <w:rFonts w:hint="eastAsia" w:ascii="宋体" w:hAnsi="宋体" w:eastAsia="宋体" w:cs="宋体"/>
                <w:color w:val="auto"/>
                <w:sz w:val="21"/>
                <w:szCs w:val="21"/>
                <w:highlight w:val="none"/>
              </w:rPr>
            </w:pPr>
          </w:p>
        </w:tc>
        <w:tc>
          <w:tcPr>
            <w:tcW w:w="1002" w:type="pct"/>
            <w:vAlign w:val="center"/>
          </w:tcPr>
          <w:p w14:paraId="10A6B59E">
            <w:pPr>
              <w:pStyle w:val="49"/>
              <w:jc w:val="center"/>
              <w:rPr>
                <w:rFonts w:hint="eastAsia" w:ascii="宋体" w:hAnsi="宋体" w:eastAsia="宋体" w:cs="宋体"/>
                <w:color w:val="auto"/>
                <w:sz w:val="21"/>
                <w:szCs w:val="21"/>
                <w:highlight w:val="none"/>
              </w:rPr>
            </w:pPr>
          </w:p>
        </w:tc>
        <w:tc>
          <w:tcPr>
            <w:tcW w:w="1090" w:type="pct"/>
            <w:vAlign w:val="center"/>
          </w:tcPr>
          <w:p w14:paraId="61702DF6">
            <w:pPr>
              <w:pStyle w:val="49"/>
              <w:jc w:val="center"/>
              <w:rPr>
                <w:rFonts w:hint="eastAsia" w:ascii="宋体" w:hAnsi="宋体" w:eastAsia="宋体" w:cs="宋体"/>
                <w:color w:val="auto"/>
                <w:sz w:val="21"/>
                <w:szCs w:val="21"/>
                <w:highlight w:val="none"/>
              </w:rPr>
            </w:pPr>
          </w:p>
        </w:tc>
        <w:tc>
          <w:tcPr>
            <w:tcW w:w="1090" w:type="pct"/>
            <w:vAlign w:val="center"/>
          </w:tcPr>
          <w:p w14:paraId="0CC18FC2">
            <w:pPr>
              <w:pStyle w:val="49"/>
              <w:jc w:val="center"/>
              <w:rPr>
                <w:rFonts w:hint="eastAsia" w:ascii="宋体" w:hAnsi="宋体" w:eastAsia="宋体" w:cs="宋体"/>
                <w:color w:val="auto"/>
                <w:sz w:val="21"/>
                <w:szCs w:val="21"/>
                <w:highlight w:val="none"/>
              </w:rPr>
            </w:pPr>
          </w:p>
        </w:tc>
      </w:tr>
      <w:tr w14:paraId="57F3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561F269">
            <w:pPr>
              <w:pStyle w:val="49"/>
              <w:jc w:val="center"/>
              <w:rPr>
                <w:rFonts w:hint="eastAsia" w:ascii="宋体" w:hAnsi="宋体" w:eastAsia="宋体" w:cs="宋体"/>
                <w:color w:val="auto"/>
                <w:sz w:val="21"/>
                <w:szCs w:val="21"/>
                <w:highlight w:val="none"/>
              </w:rPr>
            </w:pPr>
          </w:p>
        </w:tc>
        <w:tc>
          <w:tcPr>
            <w:tcW w:w="1395" w:type="pct"/>
            <w:vAlign w:val="center"/>
          </w:tcPr>
          <w:p w14:paraId="5DDD9937">
            <w:pPr>
              <w:pStyle w:val="49"/>
              <w:jc w:val="center"/>
              <w:rPr>
                <w:rFonts w:hint="eastAsia" w:ascii="宋体" w:hAnsi="宋体" w:eastAsia="宋体" w:cs="宋体"/>
                <w:color w:val="auto"/>
                <w:sz w:val="21"/>
                <w:szCs w:val="21"/>
                <w:highlight w:val="none"/>
              </w:rPr>
            </w:pPr>
          </w:p>
        </w:tc>
        <w:tc>
          <w:tcPr>
            <w:tcW w:w="1002" w:type="pct"/>
            <w:vAlign w:val="center"/>
          </w:tcPr>
          <w:p w14:paraId="0B29A018">
            <w:pPr>
              <w:pStyle w:val="49"/>
              <w:jc w:val="center"/>
              <w:rPr>
                <w:rFonts w:hint="eastAsia" w:ascii="宋体" w:hAnsi="宋体" w:eastAsia="宋体" w:cs="宋体"/>
                <w:color w:val="auto"/>
                <w:sz w:val="21"/>
                <w:szCs w:val="21"/>
                <w:highlight w:val="none"/>
              </w:rPr>
            </w:pPr>
          </w:p>
        </w:tc>
        <w:tc>
          <w:tcPr>
            <w:tcW w:w="1090" w:type="pct"/>
            <w:vAlign w:val="center"/>
          </w:tcPr>
          <w:p w14:paraId="1FA693DE">
            <w:pPr>
              <w:pStyle w:val="49"/>
              <w:jc w:val="center"/>
              <w:rPr>
                <w:rFonts w:hint="eastAsia" w:ascii="宋体" w:hAnsi="宋体" w:eastAsia="宋体" w:cs="宋体"/>
                <w:color w:val="auto"/>
                <w:sz w:val="21"/>
                <w:szCs w:val="21"/>
                <w:highlight w:val="none"/>
              </w:rPr>
            </w:pPr>
          </w:p>
        </w:tc>
        <w:tc>
          <w:tcPr>
            <w:tcW w:w="1090" w:type="pct"/>
            <w:vAlign w:val="center"/>
          </w:tcPr>
          <w:p w14:paraId="3D633AB6">
            <w:pPr>
              <w:pStyle w:val="49"/>
              <w:jc w:val="center"/>
              <w:rPr>
                <w:rFonts w:hint="eastAsia" w:ascii="宋体" w:hAnsi="宋体" w:eastAsia="宋体" w:cs="宋体"/>
                <w:color w:val="auto"/>
                <w:sz w:val="21"/>
                <w:szCs w:val="21"/>
                <w:highlight w:val="none"/>
              </w:rPr>
            </w:pPr>
          </w:p>
        </w:tc>
      </w:tr>
      <w:tr w14:paraId="1244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9A5171A">
            <w:pPr>
              <w:pStyle w:val="49"/>
              <w:jc w:val="center"/>
              <w:rPr>
                <w:rFonts w:hint="eastAsia" w:ascii="宋体" w:hAnsi="宋体" w:eastAsia="宋体" w:cs="宋体"/>
                <w:color w:val="auto"/>
                <w:sz w:val="21"/>
                <w:szCs w:val="21"/>
                <w:highlight w:val="none"/>
              </w:rPr>
            </w:pPr>
          </w:p>
        </w:tc>
        <w:tc>
          <w:tcPr>
            <w:tcW w:w="1395" w:type="pct"/>
            <w:vAlign w:val="center"/>
          </w:tcPr>
          <w:p w14:paraId="014A297F">
            <w:pPr>
              <w:pStyle w:val="49"/>
              <w:jc w:val="center"/>
              <w:rPr>
                <w:rFonts w:hint="eastAsia" w:ascii="宋体" w:hAnsi="宋体" w:eastAsia="宋体" w:cs="宋体"/>
                <w:color w:val="auto"/>
                <w:sz w:val="21"/>
                <w:szCs w:val="21"/>
                <w:highlight w:val="none"/>
              </w:rPr>
            </w:pPr>
          </w:p>
        </w:tc>
        <w:tc>
          <w:tcPr>
            <w:tcW w:w="1002" w:type="pct"/>
            <w:vAlign w:val="center"/>
          </w:tcPr>
          <w:p w14:paraId="51467013">
            <w:pPr>
              <w:pStyle w:val="49"/>
              <w:jc w:val="center"/>
              <w:rPr>
                <w:rFonts w:hint="eastAsia" w:ascii="宋体" w:hAnsi="宋体" w:eastAsia="宋体" w:cs="宋体"/>
                <w:color w:val="auto"/>
                <w:sz w:val="21"/>
                <w:szCs w:val="21"/>
                <w:highlight w:val="none"/>
              </w:rPr>
            </w:pPr>
          </w:p>
        </w:tc>
        <w:tc>
          <w:tcPr>
            <w:tcW w:w="1090" w:type="pct"/>
            <w:vAlign w:val="center"/>
          </w:tcPr>
          <w:p w14:paraId="011E40CA">
            <w:pPr>
              <w:pStyle w:val="49"/>
              <w:jc w:val="center"/>
              <w:rPr>
                <w:rFonts w:hint="eastAsia" w:ascii="宋体" w:hAnsi="宋体" w:eastAsia="宋体" w:cs="宋体"/>
                <w:color w:val="auto"/>
                <w:sz w:val="21"/>
                <w:szCs w:val="21"/>
                <w:highlight w:val="none"/>
              </w:rPr>
            </w:pPr>
          </w:p>
        </w:tc>
        <w:tc>
          <w:tcPr>
            <w:tcW w:w="1090" w:type="pct"/>
            <w:vAlign w:val="center"/>
          </w:tcPr>
          <w:p w14:paraId="7062C313">
            <w:pPr>
              <w:pStyle w:val="49"/>
              <w:jc w:val="center"/>
              <w:rPr>
                <w:rFonts w:hint="eastAsia" w:ascii="宋体" w:hAnsi="宋体" w:eastAsia="宋体" w:cs="宋体"/>
                <w:color w:val="auto"/>
                <w:sz w:val="21"/>
                <w:szCs w:val="21"/>
                <w:highlight w:val="none"/>
              </w:rPr>
            </w:pPr>
          </w:p>
        </w:tc>
      </w:tr>
      <w:tr w14:paraId="799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B6F410">
            <w:pPr>
              <w:pStyle w:val="49"/>
              <w:jc w:val="center"/>
              <w:rPr>
                <w:rFonts w:hint="eastAsia" w:ascii="宋体" w:hAnsi="宋体" w:eastAsia="宋体" w:cs="宋体"/>
                <w:color w:val="auto"/>
                <w:sz w:val="21"/>
                <w:szCs w:val="21"/>
                <w:highlight w:val="none"/>
              </w:rPr>
            </w:pPr>
          </w:p>
        </w:tc>
        <w:tc>
          <w:tcPr>
            <w:tcW w:w="1395" w:type="pct"/>
            <w:vAlign w:val="center"/>
          </w:tcPr>
          <w:p w14:paraId="010A1BB0">
            <w:pPr>
              <w:pStyle w:val="49"/>
              <w:jc w:val="center"/>
              <w:rPr>
                <w:rFonts w:hint="eastAsia" w:ascii="宋体" w:hAnsi="宋体" w:eastAsia="宋体" w:cs="宋体"/>
                <w:color w:val="auto"/>
                <w:sz w:val="21"/>
                <w:szCs w:val="21"/>
                <w:highlight w:val="none"/>
              </w:rPr>
            </w:pPr>
          </w:p>
        </w:tc>
        <w:tc>
          <w:tcPr>
            <w:tcW w:w="1002" w:type="pct"/>
            <w:vAlign w:val="center"/>
          </w:tcPr>
          <w:p w14:paraId="1EE22C75">
            <w:pPr>
              <w:pStyle w:val="49"/>
              <w:jc w:val="center"/>
              <w:rPr>
                <w:rFonts w:hint="eastAsia" w:ascii="宋体" w:hAnsi="宋体" w:eastAsia="宋体" w:cs="宋体"/>
                <w:color w:val="auto"/>
                <w:sz w:val="21"/>
                <w:szCs w:val="21"/>
                <w:highlight w:val="none"/>
              </w:rPr>
            </w:pPr>
          </w:p>
        </w:tc>
        <w:tc>
          <w:tcPr>
            <w:tcW w:w="1090" w:type="pct"/>
            <w:vAlign w:val="center"/>
          </w:tcPr>
          <w:p w14:paraId="3C86F2CC">
            <w:pPr>
              <w:pStyle w:val="49"/>
              <w:jc w:val="center"/>
              <w:rPr>
                <w:rFonts w:hint="eastAsia" w:ascii="宋体" w:hAnsi="宋体" w:eastAsia="宋体" w:cs="宋体"/>
                <w:color w:val="auto"/>
                <w:sz w:val="21"/>
                <w:szCs w:val="21"/>
                <w:highlight w:val="none"/>
              </w:rPr>
            </w:pPr>
          </w:p>
        </w:tc>
        <w:tc>
          <w:tcPr>
            <w:tcW w:w="1090" w:type="pct"/>
            <w:vAlign w:val="center"/>
          </w:tcPr>
          <w:p w14:paraId="515EA04E">
            <w:pPr>
              <w:pStyle w:val="49"/>
              <w:jc w:val="center"/>
              <w:rPr>
                <w:rFonts w:hint="eastAsia" w:ascii="宋体" w:hAnsi="宋体" w:eastAsia="宋体" w:cs="宋体"/>
                <w:color w:val="auto"/>
                <w:sz w:val="21"/>
                <w:szCs w:val="21"/>
                <w:highlight w:val="none"/>
              </w:rPr>
            </w:pPr>
          </w:p>
        </w:tc>
      </w:tr>
      <w:tr w14:paraId="2D7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7EFA1E0">
            <w:pPr>
              <w:pStyle w:val="49"/>
              <w:jc w:val="center"/>
              <w:rPr>
                <w:rFonts w:hint="eastAsia" w:ascii="宋体" w:hAnsi="宋体" w:eastAsia="宋体" w:cs="宋体"/>
                <w:color w:val="auto"/>
                <w:sz w:val="21"/>
                <w:szCs w:val="21"/>
                <w:highlight w:val="none"/>
              </w:rPr>
            </w:pPr>
          </w:p>
        </w:tc>
        <w:tc>
          <w:tcPr>
            <w:tcW w:w="1395" w:type="pct"/>
            <w:vAlign w:val="center"/>
          </w:tcPr>
          <w:p w14:paraId="1C7A6406">
            <w:pPr>
              <w:pStyle w:val="49"/>
              <w:jc w:val="center"/>
              <w:rPr>
                <w:rFonts w:hint="eastAsia" w:ascii="宋体" w:hAnsi="宋体" w:eastAsia="宋体" w:cs="宋体"/>
                <w:color w:val="auto"/>
                <w:sz w:val="21"/>
                <w:szCs w:val="21"/>
                <w:highlight w:val="none"/>
              </w:rPr>
            </w:pPr>
          </w:p>
        </w:tc>
        <w:tc>
          <w:tcPr>
            <w:tcW w:w="1002" w:type="pct"/>
            <w:vAlign w:val="center"/>
          </w:tcPr>
          <w:p w14:paraId="7F774DAF">
            <w:pPr>
              <w:pStyle w:val="49"/>
              <w:jc w:val="center"/>
              <w:rPr>
                <w:rFonts w:hint="eastAsia" w:ascii="宋体" w:hAnsi="宋体" w:eastAsia="宋体" w:cs="宋体"/>
                <w:color w:val="auto"/>
                <w:sz w:val="21"/>
                <w:szCs w:val="21"/>
                <w:highlight w:val="none"/>
              </w:rPr>
            </w:pPr>
          </w:p>
        </w:tc>
        <w:tc>
          <w:tcPr>
            <w:tcW w:w="1090" w:type="pct"/>
            <w:vAlign w:val="center"/>
          </w:tcPr>
          <w:p w14:paraId="66A55C54">
            <w:pPr>
              <w:pStyle w:val="49"/>
              <w:jc w:val="center"/>
              <w:rPr>
                <w:rFonts w:hint="eastAsia" w:ascii="宋体" w:hAnsi="宋体" w:eastAsia="宋体" w:cs="宋体"/>
                <w:color w:val="auto"/>
                <w:sz w:val="21"/>
                <w:szCs w:val="21"/>
                <w:highlight w:val="none"/>
              </w:rPr>
            </w:pPr>
          </w:p>
        </w:tc>
        <w:tc>
          <w:tcPr>
            <w:tcW w:w="1090" w:type="pct"/>
            <w:vAlign w:val="center"/>
          </w:tcPr>
          <w:p w14:paraId="6FC3A7DB">
            <w:pPr>
              <w:pStyle w:val="49"/>
              <w:jc w:val="center"/>
              <w:rPr>
                <w:rFonts w:hint="eastAsia" w:ascii="宋体" w:hAnsi="宋体" w:eastAsia="宋体" w:cs="宋体"/>
                <w:color w:val="auto"/>
                <w:sz w:val="21"/>
                <w:szCs w:val="21"/>
                <w:highlight w:val="none"/>
              </w:rPr>
            </w:pPr>
          </w:p>
        </w:tc>
      </w:tr>
      <w:tr w14:paraId="2B93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D84A230">
            <w:pPr>
              <w:pStyle w:val="49"/>
              <w:jc w:val="center"/>
              <w:rPr>
                <w:rFonts w:hint="eastAsia" w:ascii="宋体" w:hAnsi="宋体" w:eastAsia="宋体" w:cs="宋体"/>
                <w:color w:val="auto"/>
                <w:sz w:val="21"/>
                <w:szCs w:val="21"/>
                <w:highlight w:val="none"/>
              </w:rPr>
            </w:pPr>
          </w:p>
        </w:tc>
        <w:tc>
          <w:tcPr>
            <w:tcW w:w="1395" w:type="pct"/>
            <w:vAlign w:val="center"/>
          </w:tcPr>
          <w:p w14:paraId="5A1690B5">
            <w:pPr>
              <w:pStyle w:val="49"/>
              <w:jc w:val="center"/>
              <w:rPr>
                <w:rFonts w:hint="eastAsia" w:ascii="宋体" w:hAnsi="宋体" w:eastAsia="宋体" w:cs="宋体"/>
                <w:color w:val="auto"/>
                <w:sz w:val="21"/>
                <w:szCs w:val="21"/>
                <w:highlight w:val="none"/>
              </w:rPr>
            </w:pPr>
          </w:p>
        </w:tc>
        <w:tc>
          <w:tcPr>
            <w:tcW w:w="1002" w:type="pct"/>
            <w:vAlign w:val="center"/>
          </w:tcPr>
          <w:p w14:paraId="735418C2">
            <w:pPr>
              <w:pStyle w:val="49"/>
              <w:jc w:val="center"/>
              <w:rPr>
                <w:rFonts w:hint="eastAsia" w:ascii="宋体" w:hAnsi="宋体" w:eastAsia="宋体" w:cs="宋体"/>
                <w:color w:val="auto"/>
                <w:sz w:val="21"/>
                <w:szCs w:val="21"/>
                <w:highlight w:val="none"/>
              </w:rPr>
            </w:pPr>
          </w:p>
        </w:tc>
        <w:tc>
          <w:tcPr>
            <w:tcW w:w="1090" w:type="pct"/>
            <w:vAlign w:val="center"/>
          </w:tcPr>
          <w:p w14:paraId="13F6671D">
            <w:pPr>
              <w:pStyle w:val="49"/>
              <w:jc w:val="center"/>
              <w:rPr>
                <w:rFonts w:hint="eastAsia" w:ascii="宋体" w:hAnsi="宋体" w:eastAsia="宋体" w:cs="宋体"/>
                <w:color w:val="auto"/>
                <w:sz w:val="21"/>
                <w:szCs w:val="21"/>
                <w:highlight w:val="none"/>
              </w:rPr>
            </w:pPr>
          </w:p>
        </w:tc>
        <w:tc>
          <w:tcPr>
            <w:tcW w:w="1090" w:type="pct"/>
            <w:vAlign w:val="center"/>
          </w:tcPr>
          <w:p w14:paraId="3DC0B3BB">
            <w:pPr>
              <w:pStyle w:val="49"/>
              <w:jc w:val="center"/>
              <w:rPr>
                <w:rFonts w:hint="eastAsia" w:ascii="宋体" w:hAnsi="宋体" w:eastAsia="宋体" w:cs="宋体"/>
                <w:color w:val="auto"/>
                <w:sz w:val="21"/>
                <w:szCs w:val="21"/>
                <w:highlight w:val="none"/>
              </w:rPr>
            </w:pPr>
          </w:p>
        </w:tc>
      </w:tr>
      <w:tr w14:paraId="23E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109CF1">
            <w:pPr>
              <w:pStyle w:val="49"/>
              <w:jc w:val="center"/>
              <w:rPr>
                <w:rFonts w:hint="eastAsia" w:ascii="宋体" w:hAnsi="宋体" w:eastAsia="宋体" w:cs="宋体"/>
                <w:color w:val="auto"/>
                <w:sz w:val="21"/>
                <w:szCs w:val="21"/>
                <w:highlight w:val="none"/>
              </w:rPr>
            </w:pPr>
          </w:p>
        </w:tc>
        <w:tc>
          <w:tcPr>
            <w:tcW w:w="1395" w:type="pct"/>
            <w:vAlign w:val="center"/>
          </w:tcPr>
          <w:p w14:paraId="4E1F25E0">
            <w:pPr>
              <w:pStyle w:val="49"/>
              <w:jc w:val="center"/>
              <w:rPr>
                <w:rFonts w:hint="eastAsia" w:ascii="宋体" w:hAnsi="宋体" w:eastAsia="宋体" w:cs="宋体"/>
                <w:color w:val="auto"/>
                <w:sz w:val="21"/>
                <w:szCs w:val="21"/>
                <w:highlight w:val="none"/>
              </w:rPr>
            </w:pPr>
          </w:p>
        </w:tc>
        <w:tc>
          <w:tcPr>
            <w:tcW w:w="1002" w:type="pct"/>
            <w:vAlign w:val="center"/>
          </w:tcPr>
          <w:p w14:paraId="4F1707F4">
            <w:pPr>
              <w:pStyle w:val="49"/>
              <w:jc w:val="center"/>
              <w:rPr>
                <w:rFonts w:hint="eastAsia" w:ascii="宋体" w:hAnsi="宋体" w:eastAsia="宋体" w:cs="宋体"/>
                <w:color w:val="auto"/>
                <w:sz w:val="21"/>
                <w:szCs w:val="21"/>
                <w:highlight w:val="none"/>
              </w:rPr>
            </w:pPr>
          </w:p>
        </w:tc>
        <w:tc>
          <w:tcPr>
            <w:tcW w:w="1090" w:type="pct"/>
            <w:vAlign w:val="center"/>
          </w:tcPr>
          <w:p w14:paraId="59E61A3B">
            <w:pPr>
              <w:pStyle w:val="49"/>
              <w:jc w:val="center"/>
              <w:rPr>
                <w:rFonts w:hint="eastAsia" w:ascii="宋体" w:hAnsi="宋体" w:eastAsia="宋体" w:cs="宋体"/>
                <w:color w:val="auto"/>
                <w:sz w:val="21"/>
                <w:szCs w:val="21"/>
                <w:highlight w:val="none"/>
              </w:rPr>
            </w:pPr>
          </w:p>
        </w:tc>
        <w:tc>
          <w:tcPr>
            <w:tcW w:w="1090" w:type="pct"/>
            <w:vAlign w:val="center"/>
          </w:tcPr>
          <w:p w14:paraId="33E07ECA">
            <w:pPr>
              <w:pStyle w:val="49"/>
              <w:jc w:val="center"/>
              <w:rPr>
                <w:rFonts w:hint="eastAsia" w:ascii="宋体" w:hAnsi="宋体" w:eastAsia="宋体" w:cs="宋体"/>
                <w:color w:val="auto"/>
                <w:sz w:val="21"/>
                <w:szCs w:val="21"/>
                <w:highlight w:val="none"/>
              </w:rPr>
            </w:pPr>
          </w:p>
        </w:tc>
      </w:tr>
      <w:tr w14:paraId="6B92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1CB3DA8">
            <w:pPr>
              <w:pStyle w:val="49"/>
              <w:jc w:val="center"/>
              <w:rPr>
                <w:rFonts w:hint="eastAsia" w:ascii="宋体" w:hAnsi="宋体" w:eastAsia="宋体" w:cs="宋体"/>
                <w:color w:val="auto"/>
                <w:sz w:val="21"/>
                <w:szCs w:val="21"/>
                <w:highlight w:val="none"/>
              </w:rPr>
            </w:pPr>
          </w:p>
        </w:tc>
        <w:tc>
          <w:tcPr>
            <w:tcW w:w="1395" w:type="pct"/>
            <w:vAlign w:val="center"/>
          </w:tcPr>
          <w:p w14:paraId="494F1780">
            <w:pPr>
              <w:pStyle w:val="49"/>
              <w:jc w:val="center"/>
              <w:rPr>
                <w:rFonts w:hint="eastAsia" w:ascii="宋体" w:hAnsi="宋体" w:eastAsia="宋体" w:cs="宋体"/>
                <w:color w:val="auto"/>
                <w:sz w:val="21"/>
                <w:szCs w:val="21"/>
                <w:highlight w:val="none"/>
              </w:rPr>
            </w:pPr>
          </w:p>
        </w:tc>
        <w:tc>
          <w:tcPr>
            <w:tcW w:w="1002" w:type="pct"/>
            <w:vAlign w:val="center"/>
          </w:tcPr>
          <w:p w14:paraId="02E24AFD">
            <w:pPr>
              <w:pStyle w:val="49"/>
              <w:jc w:val="center"/>
              <w:rPr>
                <w:rFonts w:hint="eastAsia" w:ascii="宋体" w:hAnsi="宋体" w:eastAsia="宋体" w:cs="宋体"/>
                <w:color w:val="auto"/>
                <w:sz w:val="21"/>
                <w:szCs w:val="21"/>
                <w:highlight w:val="none"/>
              </w:rPr>
            </w:pPr>
          </w:p>
        </w:tc>
        <w:tc>
          <w:tcPr>
            <w:tcW w:w="1090" w:type="pct"/>
            <w:vAlign w:val="center"/>
          </w:tcPr>
          <w:p w14:paraId="15C952B3">
            <w:pPr>
              <w:pStyle w:val="49"/>
              <w:jc w:val="center"/>
              <w:rPr>
                <w:rFonts w:hint="eastAsia" w:ascii="宋体" w:hAnsi="宋体" w:eastAsia="宋体" w:cs="宋体"/>
                <w:color w:val="auto"/>
                <w:sz w:val="21"/>
                <w:szCs w:val="21"/>
                <w:highlight w:val="none"/>
              </w:rPr>
            </w:pPr>
          </w:p>
        </w:tc>
        <w:tc>
          <w:tcPr>
            <w:tcW w:w="1090" w:type="pct"/>
            <w:vAlign w:val="center"/>
          </w:tcPr>
          <w:p w14:paraId="042480C5">
            <w:pPr>
              <w:pStyle w:val="49"/>
              <w:jc w:val="center"/>
              <w:rPr>
                <w:rFonts w:hint="eastAsia" w:ascii="宋体" w:hAnsi="宋体" w:eastAsia="宋体" w:cs="宋体"/>
                <w:color w:val="auto"/>
                <w:sz w:val="21"/>
                <w:szCs w:val="21"/>
                <w:highlight w:val="none"/>
              </w:rPr>
            </w:pPr>
          </w:p>
        </w:tc>
      </w:tr>
      <w:tr w14:paraId="13BE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3D8B34">
            <w:pPr>
              <w:pStyle w:val="49"/>
              <w:jc w:val="center"/>
              <w:rPr>
                <w:rFonts w:hint="eastAsia" w:ascii="宋体" w:hAnsi="宋体" w:eastAsia="宋体" w:cs="宋体"/>
                <w:color w:val="auto"/>
                <w:sz w:val="21"/>
                <w:szCs w:val="21"/>
                <w:highlight w:val="none"/>
              </w:rPr>
            </w:pPr>
          </w:p>
        </w:tc>
        <w:tc>
          <w:tcPr>
            <w:tcW w:w="1395" w:type="pct"/>
            <w:vAlign w:val="center"/>
          </w:tcPr>
          <w:p w14:paraId="3FA50495">
            <w:pPr>
              <w:pStyle w:val="49"/>
              <w:jc w:val="center"/>
              <w:rPr>
                <w:rFonts w:hint="eastAsia" w:ascii="宋体" w:hAnsi="宋体" w:eastAsia="宋体" w:cs="宋体"/>
                <w:color w:val="auto"/>
                <w:sz w:val="21"/>
                <w:szCs w:val="21"/>
                <w:highlight w:val="none"/>
              </w:rPr>
            </w:pPr>
          </w:p>
        </w:tc>
        <w:tc>
          <w:tcPr>
            <w:tcW w:w="1002" w:type="pct"/>
            <w:vAlign w:val="center"/>
          </w:tcPr>
          <w:p w14:paraId="65521973">
            <w:pPr>
              <w:pStyle w:val="49"/>
              <w:jc w:val="center"/>
              <w:rPr>
                <w:rFonts w:hint="eastAsia" w:ascii="宋体" w:hAnsi="宋体" w:eastAsia="宋体" w:cs="宋体"/>
                <w:color w:val="auto"/>
                <w:sz w:val="21"/>
                <w:szCs w:val="21"/>
                <w:highlight w:val="none"/>
              </w:rPr>
            </w:pPr>
          </w:p>
        </w:tc>
        <w:tc>
          <w:tcPr>
            <w:tcW w:w="1090" w:type="pct"/>
            <w:vAlign w:val="center"/>
          </w:tcPr>
          <w:p w14:paraId="505486BC">
            <w:pPr>
              <w:pStyle w:val="49"/>
              <w:jc w:val="center"/>
              <w:rPr>
                <w:rFonts w:hint="eastAsia" w:ascii="宋体" w:hAnsi="宋体" w:eastAsia="宋体" w:cs="宋体"/>
                <w:color w:val="auto"/>
                <w:sz w:val="21"/>
                <w:szCs w:val="21"/>
                <w:highlight w:val="none"/>
              </w:rPr>
            </w:pPr>
          </w:p>
        </w:tc>
        <w:tc>
          <w:tcPr>
            <w:tcW w:w="1090" w:type="pct"/>
            <w:vAlign w:val="center"/>
          </w:tcPr>
          <w:p w14:paraId="40E41834">
            <w:pPr>
              <w:pStyle w:val="49"/>
              <w:jc w:val="center"/>
              <w:rPr>
                <w:rFonts w:hint="eastAsia" w:ascii="宋体" w:hAnsi="宋体" w:eastAsia="宋体" w:cs="宋体"/>
                <w:color w:val="auto"/>
                <w:sz w:val="21"/>
                <w:szCs w:val="21"/>
                <w:highlight w:val="none"/>
              </w:rPr>
            </w:pPr>
          </w:p>
        </w:tc>
      </w:tr>
      <w:tr w14:paraId="322E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E27F183">
            <w:pPr>
              <w:pStyle w:val="49"/>
              <w:jc w:val="center"/>
              <w:rPr>
                <w:rFonts w:hint="eastAsia" w:ascii="宋体" w:hAnsi="宋体" w:eastAsia="宋体" w:cs="宋体"/>
                <w:color w:val="auto"/>
                <w:sz w:val="21"/>
                <w:szCs w:val="21"/>
                <w:highlight w:val="none"/>
              </w:rPr>
            </w:pPr>
          </w:p>
        </w:tc>
        <w:tc>
          <w:tcPr>
            <w:tcW w:w="1395" w:type="pct"/>
            <w:vAlign w:val="center"/>
          </w:tcPr>
          <w:p w14:paraId="199507E1">
            <w:pPr>
              <w:pStyle w:val="49"/>
              <w:jc w:val="center"/>
              <w:rPr>
                <w:rFonts w:hint="eastAsia" w:ascii="宋体" w:hAnsi="宋体" w:eastAsia="宋体" w:cs="宋体"/>
                <w:color w:val="auto"/>
                <w:sz w:val="21"/>
                <w:szCs w:val="21"/>
                <w:highlight w:val="none"/>
              </w:rPr>
            </w:pPr>
          </w:p>
        </w:tc>
        <w:tc>
          <w:tcPr>
            <w:tcW w:w="1002" w:type="pct"/>
            <w:vAlign w:val="center"/>
          </w:tcPr>
          <w:p w14:paraId="6691FD82">
            <w:pPr>
              <w:pStyle w:val="49"/>
              <w:jc w:val="center"/>
              <w:rPr>
                <w:rFonts w:hint="eastAsia" w:ascii="宋体" w:hAnsi="宋体" w:eastAsia="宋体" w:cs="宋体"/>
                <w:color w:val="auto"/>
                <w:sz w:val="21"/>
                <w:szCs w:val="21"/>
                <w:highlight w:val="none"/>
              </w:rPr>
            </w:pPr>
          </w:p>
        </w:tc>
        <w:tc>
          <w:tcPr>
            <w:tcW w:w="1090" w:type="pct"/>
            <w:vAlign w:val="center"/>
          </w:tcPr>
          <w:p w14:paraId="6E35002B">
            <w:pPr>
              <w:pStyle w:val="49"/>
              <w:jc w:val="center"/>
              <w:rPr>
                <w:rFonts w:hint="eastAsia" w:ascii="宋体" w:hAnsi="宋体" w:eastAsia="宋体" w:cs="宋体"/>
                <w:color w:val="auto"/>
                <w:sz w:val="21"/>
                <w:szCs w:val="21"/>
                <w:highlight w:val="none"/>
              </w:rPr>
            </w:pPr>
          </w:p>
        </w:tc>
        <w:tc>
          <w:tcPr>
            <w:tcW w:w="1090" w:type="pct"/>
            <w:vAlign w:val="center"/>
          </w:tcPr>
          <w:p w14:paraId="69818ED1">
            <w:pPr>
              <w:pStyle w:val="49"/>
              <w:jc w:val="center"/>
              <w:rPr>
                <w:rFonts w:hint="eastAsia" w:ascii="宋体" w:hAnsi="宋体" w:eastAsia="宋体" w:cs="宋体"/>
                <w:color w:val="auto"/>
                <w:sz w:val="21"/>
                <w:szCs w:val="21"/>
                <w:highlight w:val="none"/>
              </w:rPr>
            </w:pPr>
          </w:p>
        </w:tc>
      </w:tr>
      <w:tr w14:paraId="79F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71E185D4">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95" w:type="pct"/>
            <w:vAlign w:val="center"/>
          </w:tcPr>
          <w:p w14:paraId="6324A49D">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0EE83785">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7A24BB2D">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7CC08218">
            <w:pPr>
              <w:pStyle w:val="49"/>
              <w:jc w:val="center"/>
              <w:rPr>
                <w:rFonts w:hint="eastAsia" w:ascii="宋体" w:hAnsi="宋体" w:eastAsia="宋体" w:cs="宋体"/>
                <w:color w:val="auto"/>
                <w:sz w:val="21"/>
                <w:szCs w:val="21"/>
                <w:highlight w:val="none"/>
              </w:rPr>
            </w:pPr>
          </w:p>
        </w:tc>
      </w:tr>
    </w:tbl>
    <w:p w14:paraId="5516D2ED">
      <w:pPr>
        <w:ind w:firstLine="420" w:firstLineChars="200"/>
        <w:rPr>
          <w:rFonts w:hint="eastAsia" w:cs="仿宋_GB2312"/>
          <w:color w:val="auto"/>
          <w:sz w:val="21"/>
          <w:szCs w:val="21"/>
          <w:highlight w:val="none"/>
        </w:rPr>
      </w:pPr>
    </w:p>
    <w:p w14:paraId="79243E57">
      <w:pPr>
        <w:ind w:firstLine="420" w:firstLineChars="200"/>
        <w:rPr>
          <w:rFonts w:cs="仿宋_GB2312"/>
          <w:color w:val="auto"/>
          <w:szCs w:val="24"/>
          <w:highlight w:val="none"/>
        </w:rPr>
      </w:pPr>
      <w:r>
        <w:rPr>
          <w:rFonts w:hint="eastAsia" w:cs="仿宋_GB2312"/>
          <w:color w:val="auto"/>
          <w:sz w:val="21"/>
          <w:szCs w:val="21"/>
          <w:highlight w:val="none"/>
        </w:rPr>
        <w:t>注：投标人应按照招标文件“第三章 采购需求”</w:t>
      </w:r>
      <w:r>
        <w:rPr>
          <w:rFonts w:hint="eastAsia" w:cs="仿宋_GB2312"/>
          <w:color w:val="auto"/>
          <w:sz w:val="21"/>
          <w:szCs w:val="21"/>
          <w:highlight w:val="none"/>
          <w:lang w:val="en-US" w:eastAsia="zh-CN"/>
        </w:rPr>
        <w:t>中的商务要求</w:t>
      </w:r>
      <w:r>
        <w:rPr>
          <w:rFonts w:hint="eastAsia" w:cs="仿宋_GB2312"/>
          <w:color w:val="auto"/>
          <w:sz w:val="21"/>
          <w:szCs w:val="21"/>
          <w:highlight w:val="none"/>
        </w:rPr>
        <w:t>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“响应/偏离”应据实填写“响应”、“正偏离”或“负偏离”</w:t>
      </w:r>
      <w:r>
        <w:rPr>
          <w:rFonts w:hint="eastAsia" w:cs="仿宋_GB2312"/>
          <w:color w:val="auto"/>
          <w:sz w:val="21"/>
          <w:szCs w:val="21"/>
          <w:highlight w:val="none"/>
        </w:rPr>
        <w:t>。</w:t>
      </w:r>
    </w:p>
    <w:p w14:paraId="1A3EAC71">
      <w:pPr>
        <w:rPr>
          <w:rFonts w:cs="仿宋_GB2312"/>
          <w:color w:val="auto"/>
          <w:szCs w:val="24"/>
          <w:highlight w:val="none"/>
        </w:rPr>
      </w:pPr>
    </w:p>
    <w:p w14:paraId="5CB06622">
      <w:pPr>
        <w:ind w:firstLine="400" w:firstLineChars="200"/>
        <w:rPr>
          <w:rFonts w:cs="仿宋_GB2312"/>
          <w:color w:val="auto"/>
          <w:szCs w:val="24"/>
          <w:highlight w:val="none"/>
        </w:rPr>
      </w:pPr>
    </w:p>
    <w:p w14:paraId="2E8083B6">
      <w:pPr>
        <w:ind w:firstLine="40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77655944">
      <w:pPr>
        <w:ind w:firstLine="420"/>
        <w:rPr>
          <w:rFonts w:cs="仿宋_GB2312"/>
          <w:color w:val="auto"/>
          <w:szCs w:val="24"/>
          <w:highlight w:val="none"/>
        </w:rPr>
      </w:pPr>
      <w:r>
        <w:rPr>
          <w:rFonts w:hint="eastAsia" w:cs="仿宋_GB2312"/>
          <w:color w:val="auto"/>
          <w:szCs w:val="24"/>
          <w:highlight w:val="none"/>
        </w:rPr>
        <w:t>日      期：</w:t>
      </w:r>
    </w:p>
    <w:p w14:paraId="598C43A6">
      <w:pPr>
        <w:ind w:firstLine="420"/>
        <w:rPr>
          <w:rFonts w:cs="仿宋_GB2312"/>
          <w:color w:val="auto"/>
          <w:szCs w:val="24"/>
          <w:highlight w:val="none"/>
        </w:rPr>
      </w:pPr>
      <w:r>
        <w:rPr>
          <w:rFonts w:cs="仿宋_GB2312"/>
          <w:color w:val="auto"/>
          <w:szCs w:val="24"/>
          <w:highlight w:val="none"/>
        </w:rPr>
        <w:br w:type="page"/>
      </w:r>
    </w:p>
    <w:p w14:paraId="3BEF2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color w:val="auto"/>
          <w:kern w:val="2"/>
          <w:sz w:val="28"/>
          <w:szCs w:val="28"/>
          <w:highlight w:val="none"/>
          <w:lang w:val="en-US" w:eastAsia="zh-CN" w:bidi="ar-SA"/>
        </w:rPr>
      </w:pPr>
    </w:p>
    <w:p w14:paraId="287724FC">
      <w:pPr>
        <w:pStyle w:val="3"/>
        <w:bidi w:val="0"/>
        <w:jc w:val="center"/>
        <w:rPr>
          <w:rFonts w:hint="eastAsia"/>
          <w:lang w:val="en-US" w:eastAsia="zh-CN"/>
        </w:rPr>
      </w:pPr>
      <w:bookmarkStart w:id="652" w:name="_Toc32716"/>
      <w:r>
        <w:rPr>
          <w:rFonts w:hint="eastAsia"/>
          <w:lang w:val="en-US" w:eastAsia="zh-CN"/>
        </w:rPr>
        <w:t>七、业绩证明文件</w:t>
      </w:r>
      <w:bookmarkEnd w:id="652"/>
    </w:p>
    <w:p w14:paraId="4541380C">
      <w:pPr>
        <w:rPr>
          <w:rFonts w:cs="仿宋_GB2312"/>
          <w:color w:val="auto"/>
          <w:szCs w:val="24"/>
          <w:highlight w:val="none"/>
        </w:rPr>
      </w:pPr>
      <w:r>
        <w:rPr>
          <w:rFonts w:cs="Arial"/>
          <w:bCs/>
          <w:color w:val="auto"/>
          <w:szCs w:val="21"/>
          <w:highlight w:val="none"/>
        </w:rPr>
        <w:fldChar w:fldCharType="begin"/>
      </w:r>
      <w:r>
        <w:rPr>
          <w:rFonts w:cs="Arial"/>
          <w:bCs/>
          <w:color w:val="auto"/>
          <w:szCs w:val="21"/>
          <w:highlight w:val="none"/>
        </w:rPr>
        <w:instrText xml:space="preserve"> LINK Word.Document.8 "D:\\音乐厅\\4通用设备\\招标文件\\音乐厅空调设备招标文件v1.0.doc" "OLE_LINK8" \r  \* MERGEFORMAT </w:instrText>
      </w:r>
      <w:r>
        <w:rPr>
          <w:rFonts w:cs="Arial"/>
          <w:bCs/>
          <w:color w:val="auto"/>
          <w:szCs w:val="21"/>
          <w:highlight w:val="none"/>
        </w:rPr>
        <w:fldChar w:fldCharType="separate"/>
      </w:r>
      <w:r>
        <w:rPr>
          <w:rFonts w:hint="eastAsia" w:cs="仿宋_GB2312"/>
          <w:color w:val="auto"/>
          <w:szCs w:val="24"/>
          <w:highlight w:val="none"/>
        </w:rPr>
        <w:t xml:space="preserve">项目名称：                                         </w:t>
      </w:r>
    </w:p>
    <w:p w14:paraId="159B24BA">
      <w:pPr>
        <w:rPr>
          <w:rFonts w:cs="Arial"/>
          <w:bCs/>
          <w:color w:val="auto"/>
          <w:szCs w:val="21"/>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r>
        <w:rPr>
          <w:rFonts w:cs="Arial"/>
          <w:bCs/>
          <w:color w:val="auto"/>
          <w:szCs w:val="21"/>
          <w:highlight w:val="none"/>
        </w:rPr>
        <w:fldChar w:fldCharType="end"/>
      </w:r>
    </w:p>
    <w:tbl>
      <w:tblPr>
        <w:tblStyle w:val="30"/>
        <w:tblW w:w="8988"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80"/>
        <w:gridCol w:w="1248"/>
        <w:gridCol w:w="1129"/>
        <w:gridCol w:w="1283"/>
        <w:gridCol w:w="1368"/>
        <w:gridCol w:w="960"/>
        <w:gridCol w:w="1176"/>
      </w:tblGrid>
      <w:tr w14:paraId="387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E9572F9">
            <w:pPr>
              <w:jc w:val="center"/>
              <w:rPr>
                <w:rFonts w:hint="eastAsia" w:ascii="宋体" w:hAnsi="宋体" w:eastAsia="宋体" w:cs="宋体"/>
                <w:color w:val="auto"/>
                <w:sz w:val="21"/>
                <w:szCs w:val="21"/>
                <w:highlight w:val="none"/>
              </w:rPr>
            </w:pPr>
            <w:bookmarkStart w:id="653" w:name="_Hlk46779239"/>
            <w:r>
              <w:rPr>
                <w:rFonts w:hint="eastAsia" w:ascii="宋体" w:hAnsi="宋体" w:eastAsia="宋体" w:cs="宋体"/>
                <w:color w:val="auto"/>
                <w:sz w:val="21"/>
                <w:szCs w:val="21"/>
                <w:highlight w:val="none"/>
              </w:rPr>
              <w:t>序号</w:t>
            </w:r>
          </w:p>
        </w:tc>
        <w:tc>
          <w:tcPr>
            <w:tcW w:w="1080" w:type="dxa"/>
            <w:vAlign w:val="center"/>
          </w:tcPr>
          <w:p w14:paraId="51F55A4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完成时间</w:t>
            </w:r>
          </w:p>
        </w:tc>
        <w:tc>
          <w:tcPr>
            <w:tcW w:w="1248" w:type="dxa"/>
            <w:vAlign w:val="center"/>
          </w:tcPr>
          <w:p w14:paraId="4D5C38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129" w:type="dxa"/>
            <w:vAlign w:val="center"/>
          </w:tcPr>
          <w:p w14:paraId="69717F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标的</w:t>
            </w:r>
            <w:r>
              <w:rPr>
                <w:rFonts w:hint="eastAsia" w:ascii="宋体" w:hAnsi="宋体" w:eastAsia="宋体" w:cs="宋体"/>
                <w:color w:val="auto"/>
                <w:sz w:val="21"/>
                <w:szCs w:val="21"/>
                <w:highlight w:val="none"/>
              </w:rPr>
              <w:t>内容</w:t>
            </w:r>
          </w:p>
        </w:tc>
        <w:tc>
          <w:tcPr>
            <w:tcW w:w="1283" w:type="dxa"/>
            <w:vAlign w:val="center"/>
          </w:tcPr>
          <w:p w14:paraId="57C350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名称</w:t>
            </w:r>
          </w:p>
        </w:tc>
        <w:tc>
          <w:tcPr>
            <w:tcW w:w="1368" w:type="dxa"/>
            <w:vAlign w:val="center"/>
          </w:tcPr>
          <w:p w14:paraId="55D436A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中标（成交）金额</w:t>
            </w:r>
          </w:p>
        </w:tc>
        <w:tc>
          <w:tcPr>
            <w:tcW w:w="960" w:type="dxa"/>
            <w:vAlign w:val="center"/>
          </w:tcPr>
          <w:p w14:paraId="01352C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176" w:type="dxa"/>
            <w:vAlign w:val="center"/>
          </w:tcPr>
          <w:p w14:paraId="2DA424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r>
      <w:tr w14:paraId="25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27508E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0" w:type="dxa"/>
            <w:vAlign w:val="center"/>
          </w:tcPr>
          <w:p w14:paraId="27562AF7">
            <w:pPr>
              <w:rPr>
                <w:rFonts w:hint="eastAsia" w:ascii="宋体" w:hAnsi="宋体" w:eastAsia="宋体" w:cs="宋体"/>
                <w:color w:val="auto"/>
                <w:sz w:val="21"/>
                <w:szCs w:val="21"/>
                <w:highlight w:val="none"/>
              </w:rPr>
            </w:pPr>
          </w:p>
        </w:tc>
        <w:tc>
          <w:tcPr>
            <w:tcW w:w="1248" w:type="dxa"/>
            <w:vAlign w:val="center"/>
          </w:tcPr>
          <w:p w14:paraId="02799269">
            <w:pPr>
              <w:rPr>
                <w:rFonts w:hint="eastAsia" w:ascii="宋体" w:hAnsi="宋体" w:eastAsia="宋体" w:cs="宋体"/>
                <w:color w:val="auto"/>
                <w:sz w:val="21"/>
                <w:szCs w:val="21"/>
                <w:highlight w:val="none"/>
              </w:rPr>
            </w:pPr>
          </w:p>
        </w:tc>
        <w:tc>
          <w:tcPr>
            <w:tcW w:w="1129" w:type="dxa"/>
            <w:vAlign w:val="center"/>
          </w:tcPr>
          <w:p w14:paraId="6449ADDF">
            <w:pPr>
              <w:rPr>
                <w:rFonts w:hint="eastAsia" w:ascii="宋体" w:hAnsi="宋体" w:eastAsia="宋体" w:cs="宋体"/>
                <w:color w:val="auto"/>
                <w:sz w:val="21"/>
                <w:szCs w:val="21"/>
                <w:highlight w:val="none"/>
              </w:rPr>
            </w:pPr>
          </w:p>
        </w:tc>
        <w:tc>
          <w:tcPr>
            <w:tcW w:w="1283" w:type="dxa"/>
            <w:vAlign w:val="center"/>
          </w:tcPr>
          <w:p w14:paraId="183C0714">
            <w:pPr>
              <w:rPr>
                <w:rFonts w:hint="eastAsia" w:ascii="宋体" w:hAnsi="宋体" w:eastAsia="宋体" w:cs="宋体"/>
                <w:color w:val="auto"/>
                <w:sz w:val="21"/>
                <w:szCs w:val="21"/>
                <w:highlight w:val="none"/>
              </w:rPr>
            </w:pPr>
          </w:p>
        </w:tc>
        <w:tc>
          <w:tcPr>
            <w:tcW w:w="1368" w:type="dxa"/>
            <w:vAlign w:val="center"/>
          </w:tcPr>
          <w:p w14:paraId="4F169081">
            <w:pPr>
              <w:rPr>
                <w:rFonts w:hint="eastAsia" w:ascii="宋体" w:hAnsi="宋体" w:eastAsia="宋体" w:cs="宋体"/>
                <w:color w:val="auto"/>
                <w:sz w:val="21"/>
                <w:szCs w:val="21"/>
                <w:highlight w:val="none"/>
              </w:rPr>
            </w:pPr>
          </w:p>
        </w:tc>
        <w:tc>
          <w:tcPr>
            <w:tcW w:w="960" w:type="dxa"/>
            <w:vAlign w:val="center"/>
          </w:tcPr>
          <w:p w14:paraId="4A8D26BB">
            <w:pPr>
              <w:rPr>
                <w:rFonts w:hint="eastAsia" w:ascii="宋体" w:hAnsi="宋体" w:eastAsia="宋体" w:cs="宋体"/>
                <w:color w:val="auto"/>
                <w:sz w:val="21"/>
                <w:szCs w:val="21"/>
                <w:highlight w:val="none"/>
              </w:rPr>
            </w:pPr>
          </w:p>
        </w:tc>
        <w:tc>
          <w:tcPr>
            <w:tcW w:w="1176" w:type="dxa"/>
            <w:vAlign w:val="center"/>
          </w:tcPr>
          <w:p w14:paraId="09D0936A">
            <w:pPr>
              <w:rPr>
                <w:rFonts w:hint="eastAsia" w:ascii="宋体" w:hAnsi="宋体" w:eastAsia="宋体" w:cs="宋体"/>
                <w:color w:val="auto"/>
                <w:sz w:val="21"/>
                <w:szCs w:val="21"/>
                <w:highlight w:val="none"/>
              </w:rPr>
            </w:pPr>
          </w:p>
        </w:tc>
      </w:tr>
      <w:tr w14:paraId="793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A21BB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0" w:type="dxa"/>
            <w:vAlign w:val="center"/>
          </w:tcPr>
          <w:p w14:paraId="7CA4B3F3">
            <w:pPr>
              <w:rPr>
                <w:rFonts w:hint="eastAsia" w:ascii="宋体" w:hAnsi="宋体" w:eastAsia="宋体" w:cs="宋体"/>
                <w:color w:val="auto"/>
                <w:sz w:val="21"/>
                <w:szCs w:val="21"/>
                <w:highlight w:val="none"/>
              </w:rPr>
            </w:pPr>
          </w:p>
        </w:tc>
        <w:tc>
          <w:tcPr>
            <w:tcW w:w="1248" w:type="dxa"/>
            <w:vAlign w:val="center"/>
          </w:tcPr>
          <w:p w14:paraId="59CCECB1">
            <w:pPr>
              <w:rPr>
                <w:rFonts w:hint="eastAsia" w:ascii="宋体" w:hAnsi="宋体" w:eastAsia="宋体" w:cs="宋体"/>
                <w:color w:val="auto"/>
                <w:sz w:val="21"/>
                <w:szCs w:val="21"/>
                <w:highlight w:val="none"/>
              </w:rPr>
            </w:pPr>
          </w:p>
        </w:tc>
        <w:tc>
          <w:tcPr>
            <w:tcW w:w="1129" w:type="dxa"/>
            <w:vAlign w:val="center"/>
          </w:tcPr>
          <w:p w14:paraId="4E8043C4">
            <w:pPr>
              <w:rPr>
                <w:rFonts w:hint="eastAsia" w:ascii="宋体" w:hAnsi="宋体" w:eastAsia="宋体" w:cs="宋体"/>
                <w:color w:val="auto"/>
                <w:sz w:val="21"/>
                <w:szCs w:val="21"/>
                <w:highlight w:val="none"/>
              </w:rPr>
            </w:pPr>
          </w:p>
        </w:tc>
        <w:tc>
          <w:tcPr>
            <w:tcW w:w="1283" w:type="dxa"/>
            <w:vAlign w:val="center"/>
          </w:tcPr>
          <w:p w14:paraId="2E195778">
            <w:pPr>
              <w:rPr>
                <w:rFonts w:hint="eastAsia" w:ascii="宋体" w:hAnsi="宋体" w:eastAsia="宋体" w:cs="宋体"/>
                <w:color w:val="auto"/>
                <w:sz w:val="21"/>
                <w:szCs w:val="21"/>
                <w:highlight w:val="none"/>
              </w:rPr>
            </w:pPr>
          </w:p>
        </w:tc>
        <w:tc>
          <w:tcPr>
            <w:tcW w:w="1368" w:type="dxa"/>
            <w:vAlign w:val="center"/>
          </w:tcPr>
          <w:p w14:paraId="49A8CC13">
            <w:pPr>
              <w:rPr>
                <w:rFonts w:hint="eastAsia" w:ascii="宋体" w:hAnsi="宋体" w:eastAsia="宋体" w:cs="宋体"/>
                <w:color w:val="auto"/>
                <w:sz w:val="21"/>
                <w:szCs w:val="21"/>
                <w:highlight w:val="none"/>
              </w:rPr>
            </w:pPr>
          </w:p>
        </w:tc>
        <w:tc>
          <w:tcPr>
            <w:tcW w:w="960" w:type="dxa"/>
            <w:vAlign w:val="center"/>
          </w:tcPr>
          <w:p w14:paraId="3DDF15B1">
            <w:pPr>
              <w:rPr>
                <w:rFonts w:hint="eastAsia" w:ascii="宋体" w:hAnsi="宋体" w:eastAsia="宋体" w:cs="宋体"/>
                <w:color w:val="auto"/>
                <w:sz w:val="21"/>
                <w:szCs w:val="21"/>
                <w:highlight w:val="none"/>
              </w:rPr>
            </w:pPr>
          </w:p>
        </w:tc>
        <w:tc>
          <w:tcPr>
            <w:tcW w:w="1176" w:type="dxa"/>
            <w:vAlign w:val="center"/>
          </w:tcPr>
          <w:p w14:paraId="185645D3">
            <w:pPr>
              <w:rPr>
                <w:rFonts w:hint="eastAsia" w:ascii="宋体" w:hAnsi="宋体" w:eastAsia="宋体" w:cs="宋体"/>
                <w:color w:val="auto"/>
                <w:sz w:val="21"/>
                <w:szCs w:val="21"/>
                <w:highlight w:val="none"/>
              </w:rPr>
            </w:pPr>
          </w:p>
        </w:tc>
      </w:tr>
      <w:tr w14:paraId="624A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428D3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80" w:type="dxa"/>
            <w:vAlign w:val="center"/>
          </w:tcPr>
          <w:p w14:paraId="46AEF6AC">
            <w:pPr>
              <w:rPr>
                <w:rFonts w:hint="eastAsia" w:ascii="宋体" w:hAnsi="宋体" w:eastAsia="宋体" w:cs="宋体"/>
                <w:color w:val="auto"/>
                <w:sz w:val="21"/>
                <w:szCs w:val="21"/>
                <w:highlight w:val="none"/>
              </w:rPr>
            </w:pPr>
          </w:p>
        </w:tc>
        <w:tc>
          <w:tcPr>
            <w:tcW w:w="1248" w:type="dxa"/>
            <w:vAlign w:val="center"/>
          </w:tcPr>
          <w:p w14:paraId="601B0208">
            <w:pPr>
              <w:rPr>
                <w:rFonts w:hint="eastAsia" w:ascii="宋体" w:hAnsi="宋体" w:eastAsia="宋体" w:cs="宋体"/>
                <w:color w:val="auto"/>
                <w:sz w:val="21"/>
                <w:szCs w:val="21"/>
                <w:highlight w:val="none"/>
              </w:rPr>
            </w:pPr>
          </w:p>
        </w:tc>
        <w:tc>
          <w:tcPr>
            <w:tcW w:w="1129" w:type="dxa"/>
            <w:vAlign w:val="center"/>
          </w:tcPr>
          <w:p w14:paraId="56885EE6">
            <w:pPr>
              <w:rPr>
                <w:rFonts w:hint="eastAsia" w:ascii="宋体" w:hAnsi="宋体" w:eastAsia="宋体" w:cs="宋体"/>
                <w:color w:val="auto"/>
                <w:sz w:val="21"/>
                <w:szCs w:val="21"/>
                <w:highlight w:val="none"/>
              </w:rPr>
            </w:pPr>
          </w:p>
        </w:tc>
        <w:tc>
          <w:tcPr>
            <w:tcW w:w="1283" w:type="dxa"/>
            <w:vAlign w:val="center"/>
          </w:tcPr>
          <w:p w14:paraId="00552B19">
            <w:pPr>
              <w:rPr>
                <w:rFonts w:hint="eastAsia" w:ascii="宋体" w:hAnsi="宋体" w:eastAsia="宋体" w:cs="宋体"/>
                <w:color w:val="auto"/>
                <w:sz w:val="21"/>
                <w:szCs w:val="21"/>
                <w:highlight w:val="none"/>
              </w:rPr>
            </w:pPr>
          </w:p>
        </w:tc>
        <w:tc>
          <w:tcPr>
            <w:tcW w:w="1368" w:type="dxa"/>
            <w:vAlign w:val="center"/>
          </w:tcPr>
          <w:p w14:paraId="77BC6128">
            <w:pPr>
              <w:rPr>
                <w:rFonts w:hint="eastAsia" w:ascii="宋体" w:hAnsi="宋体" w:eastAsia="宋体" w:cs="宋体"/>
                <w:color w:val="auto"/>
                <w:sz w:val="21"/>
                <w:szCs w:val="21"/>
                <w:highlight w:val="none"/>
              </w:rPr>
            </w:pPr>
          </w:p>
        </w:tc>
        <w:tc>
          <w:tcPr>
            <w:tcW w:w="960" w:type="dxa"/>
            <w:vAlign w:val="center"/>
          </w:tcPr>
          <w:p w14:paraId="38FE3D5D">
            <w:pPr>
              <w:rPr>
                <w:rFonts w:hint="eastAsia" w:ascii="宋体" w:hAnsi="宋体" w:eastAsia="宋体" w:cs="宋体"/>
                <w:color w:val="auto"/>
                <w:sz w:val="21"/>
                <w:szCs w:val="21"/>
                <w:highlight w:val="none"/>
              </w:rPr>
            </w:pPr>
          </w:p>
        </w:tc>
        <w:tc>
          <w:tcPr>
            <w:tcW w:w="1176" w:type="dxa"/>
            <w:vAlign w:val="center"/>
          </w:tcPr>
          <w:p w14:paraId="20173386">
            <w:pPr>
              <w:rPr>
                <w:rFonts w:hint="eastAsia" w:ascii="宋体" w:hAnsi="宋体" w:eastAsia="宋体" w:cs="宋体"/>
                <w:color w:val="auto"/>
                <w:sz w:val="21"/>
                <w:szCs w:val="21"/>
                <w:highlight w:val="none"/>
              </w:rPr>
            </w:pPr>
          </w:p>
        </w:tc>
      </w:tr>
      <w:tr w14:paraId="45C0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7D25913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80" w:type="dxa"/>
            <w:vAlign w:val="center"/>
          </w:tcPr>
          <w:p w14:paraId="12629B54">
            <w:pPr>
              <w:rPr>
                <w:rFonts w:hint="eastAsia" w:ascii="宋体" w:hAnsi="宋体" w:eastAsia="宋体" w:cs="宋体"/>
                <w:color w:val="auto"/>
                <w:sz w:val="21"/>
                <w:szCs w:val="21"/>
                <w:highlight w:val="none"/>
              </w:rPr>
            </w:pPr>
          </w:p>
        </w:tc>
        <w:tc>
          <w:tcPr>
            <w:tcW w:w="1248" w:type="dxa"/>
            <w:vAlign w:val="center"/>
          </w:tcPr>
          <w:p w14:paraId="278EE304">
            <w:pPr>
              <w:rPr>
                <w:rFonts w:hint="eastAsia" w:ascii="宋体" w:hAnsi="宋体" w:eastAsia="宋体" w:cs="宋体"/>
                <w:color w:val="auto"/>
                <w:sz w:val="21"/>
                <w:szCs w:val="21"/>
                <w:highlight w:val="none"/>
              </w:rPr>
            </w:pPr>
          </w:p>
        </w:tc>
        <w:tc>
          <w:tcPr>
            <w:tcW w:w="1129" w:type="dxa"/>
            <w:vAlign w:val="center"/>
          </w:tcPr>
          <w:p w14:paraId="502FE2B6">
            <w:pPr>
              <w:rPr>
                <w:rFonts w:hint="eastAsia" w:ascii="宋体" w:hAnsi="宋体" w:eastAsia="宋体" w:cs="宋体"/>
                <w:color w:val="auto"/>
                <w:sz w:val="21"/>
                <w:szCs w:val="21"/>
                <w:highlight w:val="none"/>
              </w:rPr>
            </w:pPr>
          </w:p>
        </w:tc>
        <w:tc>
          <w:tcPr>
            <w:tcW w:w="1283" w:type="dxa"/>
            <w:vAlign w:val="center"/>
          </w:tcPr>
          <w:p w14:paraId="44F7BE63">
            <w:pPr>
              <w:rPr>
                <w:rFonts w:hint="eastAsia" w:ascii="宋体" w:hAnsi="宋体" w:eastAsia="宋体" w:cs="宋体"/>
                <w:color w:val="auto"/>
                <w:sz w:val="21"/>
                <w:szCs w:val="21"/>
                <w:highlight w:val="none"/>
              </w:rPr>
            </w:pPr>
          </w:p>
        </w:tc>
        <w:tc>
          <w:tcPr>
            <w:tcW w:w="1368" w:type="dxa"/>
            <w:vAlign w:val="center"/>
          </w:tcPr>
          <w:p w14:paraId="463BDC1B">
            <w:pPr>
              <w:rPr>
                <w:rFonts w:hint="eastAsia" w:ascii="宋体" w:hAnsi="宋体" w:eastAsia="宋体" w:cs="宋体"/>
                <w:color w:val="auto"/>
                <w:sz w:val="21"/>
                <w:szCs w:val="21"/>
                <w:highlight w:val="none"/>
              </w:rPr>
            </w:pPr>
          </w:p>
        </w:tc>
        <w:tc>
          <w:tcPr>
            <w:tcW w:w="960" w:type="dxa"/>
            <w:vAlign w:val="center"/>
          </w:tcPr>
          <w:p w14:paraId="5208210B">
            <w:pPr>
              <w:rPr>
                <w:rFonts w:hint="eastAsia" w:ascii="宋体" w:hAnsi="宋体" w:eastAsia="宋体" w:cs="宋体"/>
                <w:color w:val="auto"/>
                <w:sz w:val="21"/>
                <w:szCs w:val="21"/>
                <w:highlight w:val="none"/>
              </w:rPr>
            </w:pPr>
          </w:p>
        </w:tc>
        <w:tc>
          <w:tcPr>
            <w:tcW w:w="1176" w:type="dxa"/>
            <w:vAlign w:val="center"/>
          </w:tcPr>
          <w:p w14:paraId="7EC41624">
            <w:pPr>
              <w:rPr>
                <w:rFonts w:hint="eastAsia" w:ascii="宋体" w:hAnsi="宋体" w:eastAsia="宋体" w:cs="宋体"/>
                <w:color w:val="auto"/>
                <w:sz w:val="21"/>
                <w:szCs w:val="21"/>
                <w:highlight w:val="none"/>
              </w:rPr>
            </w:pPr>
          </w:p>
        </w:tc>
      </w:tr>
      <w:tr w14:paraId="6F11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1FCCAE3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0" w:type="dxa"/>
            <w:vAlign w:val="center"/>
          </w:tcPr>
          <w:p w14:paraId="1728B663">
            <w:pPr>
              <w:rPr>
                <w:rFonts w:hint="eastAsia" w:ascii="宋体" w:hAnsi="宋体" w:eastAsia="宋体" w:cs="宋体"/>
                <w:color w:val="auto"/>
                <w:sz w:val="21"/>
                <w:szCs w:val="21"/>
                <w:highlight w:val="none"/>
              </w:rPr>
            </w:pPr>
          </w:p>
        </w:tc>
        <w:tc>
          <w:tcPr>
            <w:tcW w:w="1248" w:type="dxa"/>
            <w:vAlign w:val="center"/>
          </w:tcPr>
          <w:p w14:paraId="5B701B38">
            <w:pPr>
              <w:rPr>
                <w:rFonts w:hint="eastAsia" w:ascii="宋体" w:hAnsi="宋体" w:eastAsia="宋体" w:cs="宋体"/>
                <w:color w:val="auto"/>
                <w:sz w:val="21"/>
                <w:szCs w:val="21"/>
                <w:highlight w:val="none"/>
              </w:rPr>
            </w:pPr>
          </w:p>
        </w:tc>
        <w:tc>
          <w:tcPr>
            <w:tcW w:w="1129" w:type="dxa"/>
            <w:vAlign w:val="center"/>
          </w:tcPr>
          <w:p w14:paraId="0BFD5658">
            <w:pPr>
              <w:rPr>
                <w:rFonts w:hint="eastAsia" w:ascii="宋体" w:hAnsi="宋体" w:eastAsia="宋体" w:cs="宋体"/>
                <w:color w:val="auto"/>
                <w:sz w:val="21"/>
                <w:szCs w:val="21"/>
                <w:highlight w:val="none"/>
              </w:rPr>
            </w:pPr>
          </w:p>
        </w:tc>
        <w:tc>
          <w:tcPr>
            <w:tcW w:w="1283" w:type="dxa"/>
            <w:vAlign w:val="center"/>
          </w:tcPr>
          <w:p w14:paraId="56955758">
            <w:pPr>
              <w:rPr>
                <w:rFonts w:hint="eastAsia" w:ascii="宋体" w:hAnsi="宋体" w:eastAsia="宋体" w:cs="宋体"/>
                <w:color w:val="auto"/>
                <w:sz w:val="21"/>
                <w:szCs w:val="21"/>
                <w:highlight w:val="none"/>
              </w:rPr>
            </w:pPr>
          </w:p>
        </w:tc>
        <w:tc>
          <w:tcPr>
            <w:tcW w:w="1368" w:type="dxa"/>
            <w:vAlign w:val="center"/>
          </w:tcPr>
          <w:p w14:paraId="6AF4F252">
            <w:pPr>
              <w:rPr>
                <w:rFonts w:hint="eastAsia" w:ascii="宋体" w:hAnsi="宋体" w:eastAsia="宋体" w:cs="宋体"/>
                <w:color w:val="auto"/>
                <w:sz w:val="21"/>
                <w:szCs w:val="21"/>
                <w:highlight w:val="none"/>
              </w:rPr>
            </w:pPr>
          </w:p>
        </w:tc>
        <w:tc>
          <w:tcPr>
            <w:tcW w:w="960" w:type="dxa"/>
            <w:vAlign w:val="center"/>
          </w:tcPr>
          <w:p w14:paraId="0E461DD3">
            <w:pPr>
              <w:rPr>
                <w:rFonts w:hint="eastAsia" w:ascii="宋体" w:hAnsi="宋体" w:eastAsia="宋体" w:cs="宋体"/>
                <w:color w:val="auto"/>
                <w:sz w:val="21"/>
                <w:szCs w:val="21"/>
                <w:highlight w:val="none"/>
              </w:rPr>
            </w:pPr>
          </w:p>
        </w:tc>
        <w:tc>
          <w:tcPr>
            <w:tcW w:w="1176" w:type="dxa"/>
            <w:vAlign w:val="center"/>
          </w:tcPr>
          <w:p w14:paraId="5804A0BF">
            <w:pPr>
              <w:rPr>
                <w:rFonts w:hint="eastAsia" w:ascii="宋体" w:hAnsi="宋体" w:eastAsia="宋体" w:cs="宋体"/>
                <w:color w:val="auto"/>
                <w:sz w:val="21"/>
                <w:szCs w:val="21"/>
                <w:highlight w:val="none"/>
              </w:rPr>
            </w:pPr>
          </w:p>
        </w:tc>
      </w:tr>
      <w:tr w14:paraId="3BC2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44" w:type="dxa"/>
            <w:vAlign w:val="center"/>
          </w:tcPr>
          <w:p w14:paraId="433A34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vAlign w:val="center"/>
          </w:tcPr>
          <w:p w14:paraId="5D94CAA1">
            <w:pPr>
              <w:rPr>
                <w:rFonts w:hint="eastAsia" w:ascii="宋体" w:hAnsi="宋体" w:eastAsia="宋体" w:cs="宋体"/>
                <w:color w:val="auto"/>
                <w:sz w:val="21"/>
                <w:szCs w:val="21"/>
                <w:highlight w:val="none"/>
              </w:rPr>
            </w:pPr>
          </w:p>
        </w:tc>
        <w:tc>
          <w:tcPr>
            <w:tcW w:w="1248" w:type="dxa"/>
            <w:vAlign w:val="center"/>
          </w:tcPr>
          <w:p w14:paraId="48AC7386">
            <w:pPr>
              <w:rPr>
                <w:rFonts w:hint="eastAsia" w:ascii="宋体" w:hAnsi="宋体" w:eastAsia="宋体" w:cs="宋体"/>
                <w:color w:val="auto"/>
                <w:sz w:val="21"/>
                <w:szCs w:val="21"/>
                <w:highlight w:val="none"/>
              </w:rPr>
            </w:pPr>
          </w:p>
        </w:tc>
        <w:tc>
          <w:tcPr>
            <w:tcW w:w="1129" w:type="dxa"/>
            <w:vAlign w:val="center"/>
          </w:tcPr>
          <w:p w14:paraId="20172F35">
            <w:pPr>
              <w:rPr>
                <w:rFonts w:hint="eastAsia" w:ascii="宋体" w:hAnsi="宋体" w:eastAsia="宋体" w:cs="宋体"/>
                <w:color w:val="auto"/>
                <w:sz w:val="21"/>
                <w:szCs w:val="21"/>
                <w:highlight w:val="none"/>
              </w:rPr>
            </w:pPr>
          </w:p>
        </w:tc>
        <w:tc>
          <w:tcPr>
            <w:tcW w:w="1283" w:type="dxa"/>
            <w:vAlign w:val="center"/>
          </w:tcPr>
          <w:p w14:paraId="75CF74D1">
            <w:pPr>
              <w:rPr>
                <w:rFonts w:hint="eastAsia" w:ascii="宋体" w:hAnsi="宋体" w:eastAsia="宋体" w:cs="宋体"/>
                <w:color w:val="auto"/>
                <w:sz w:val="21"/>
                <w:szCs w:val="21"/>
                <w:highlight w:val="none"/>
              </w:rPr>
            </w:pPr>
          </w:p>
        </w:tc>
        <w:tc>
          <w:tcPr>
            <w:tcW w:w="1368" w:type="dxa"/>
            <w:vAlign w:val="center"/>
          </w:tcPr>
          <w:p w14:paraId="52CF4BF0">
            <w:pPr>
              <w:rPr>
                <w:rFonts w:hint="eastAsia" w:ascii="宋体" w:hAnsi="宋体" w:eastAsia="宋体" w:cs="宋体"/>
                <w:color w:val="auto"/>
                <w:sz w:val="21"/>
                <w:szCs w:val="21"/>
                <w:highlight w:val="none"/>
              </w:rPr>
            </w:pPr>
          </w:p>
        </w:tc>
        <w:tc>
          <w:tcPr>
            <w:tcW w:w="960" w:type="dxa"/>
            <w:vAlign w:val="center"/>
          </w:tcPr>
          <w:p w14:paraId="4A3F6BEC">
            <w:pPr>
              <w:rPr>
                <w:rFonts w:hint="eastAsia" w:ascii="宋体" w:hAnsi="宋体" w:eastAsia="宋体" w:cs="宋体"/>
                <w:color w:val="auto"/>
                <w:sz w:val="21"/>
                <w:szCs w:val="21"/>
                <w:highlight w:val="none"/>
              </w:rPr>
            </w:pPr>
          </w:p>
        </w:tc>
        <w:tc>
          <w:tcPr>
            <w:tcW w:w="1176" w:type="dxa"/>
            <w:vAlign w:val="center"/>
          </w:tcPr>
          <w:p w14:paraId="52BCFD5F">
            <w:pPr>
              <w:rPr>
                <w:rFonts w:hint="eastAsia" w:ascii="宋体" w:hAnsi="宋体" w:eastAsia="宋体" w:cs="宋体"/>
                <w:color w:val="auto"/>
                <w:sz w:val="21"/>
                <w:szCs w:val="21"/>
                <w:highlight w:val="none"/>
              </w:rPr>
            </w:pPr>
          </w:p>
        </w:tc>
      </w:tr>
      <w:bookmarkEnd w:id="653"/>
    </w:tbl>
    <w:p w14:paraId="0D2F5038">
      <w:pPr>
        <w:rPr>
          <w:rFonts w:hint="eastAsia" w:cs="仿宋_GB2312"/>
          <w:color w:val="auto"/>
          <w:szCs w:val="24"/>
          <w:highlight w:val="none"/>
        </w:rPr>
      </w:pPr>
    </w:p>
    <w:p w14:paraId="58FF379C">
      <w:pPr>
        <w:rPr>
          <w:rFonts w:cs="仿宋_GB2312"/>
          <w:color w:val="auto"/>
          <w:sz w:val="21"/>
          <w:szCs w:val="21"/>
          <w:highlight w:val="none"/>
        </w:rPr>
      </w:pPr>
      <w:r>
        <w:rPr>
          <w:rFonts w:hint="eastAsia" w:cs="仿宋_GB2312"/>
          <w:color w:val="auto"/>
          <w:sz w:val="21"/>
          <w:szCs w:val="21"/>
          <w:highlight w:val="none"/>
        </w:rPr>
        <w:t>注：投标人须按</w:t>
      </w:r>
      <w:r>
        <w:rPr>
          <w:rFonts w:hint="eastAsia" w:cs="仿宋_GB2312"/>
          <w:color w:val="auto"/>
          <w:sz w:val="21"/>
          <w:szCs w:val="21"/>
          <w:highlight w:val="none"/>
          <w:lang w:val="en-US" w:eastAsia="zh-CN"/>
        </w:rPr>
        <w:t>相关要求</w:t>
      </w:r>
      <w:r>
        <w:rPr>
          <w:rFonts w:hint="eastAsia" w:cs="仿宋_GB2312"/>
          <w:color w:val="auto"/>
          <w:sz w:val="21"/>
          <w:szCs w:val="21"/>
          <w:highlight w:val="none"/>
        </w:rPr>
        <w:t>提供相应的</w:t>
      </w:r>
      <w:r>
        <w:rPr>
          <w:rFonts w:hint="eastAsia" w:cs="仿宋_GB2312"/>
          <w:color w:val="auto"/>
          <w:sz w:val="21"/>
          <w:szCs w:val="21"/>
          <w:highlight w:val="none"/>
          <w:lang w:val="en-US" w:eastAsia="zh-CN"/>
        </w:rPr>
        <w:t>中标（成交）通知书、采购合同等</w:t>
      </w:r>
      <w:r>
        <w:rPr>
          <w:rFonts w:hint="eastAsia" w:cs="仿宋_GB2312"/>
          <w:color w:val="auto"/>
          <w:sz w:val="21"/>
          <w:szCs w:val="21"/>
          <w:highlight w:val="none"/>
        </w:rPr>
        <w:t>业绩证明资料。</w:t>
      </w:r>
    </w:p>
    <w:p w14:paraId="5DB99613">
      <w:pPr>
        <w:widowControl/>
        <w:spacing w:before="100" w:beforeAutospacing="1" w:after="100" w:afterAutospacing="1"/>
        <w:rPr>
          <w:rFonts w:cs="Arial"/>
          <w:color w:val="auto"/>
          <w:szCs w:val="21"/>
          <w:highlight w:val="none"/>
        </w:rPr>
      </w:pPr>
    </w:p>
    <w:p w14:paraId="68FCBA1E">
      <w:pPr>
        <w:ind w:firstLine="40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360811C8">
      <w:pPr>
        <w:ind w:firstLine="420"/>
        <w:rPr>
          <w:rFonts w:cs="仿宋_GB2312"/>
          <w:color w:val="auto"/>
          <w:szCs w:val="24"/>
          <w:highlight w:val="none"/>
        </w:rPr>
      </w:pPr>
      <w:r>
        <w:rPr>
          <w:rFonts w:hint="eastAsia" w:cs="仿宋_GB2312"/>
          <w:color w:val="auto"/>
          <w:szCs w:val="24"/>
          <w:highlight w:val="none"/>
        </w:rPr>
        <w:t>日      期：</w:t>
      </w:r>
    </w:p>
    <w:p w14:paraId="095105C8">
      <w:pPr>
        <w:ind w:firstLine="420"/>
        <w:rPr>
          <w:rFonts w:cs="仿宋_GB2312"/>
          <w:color w:val="auto"/>
          <w:szCs w:val="24"/>
          <w:highlight w:val="none"/>
        </w:rPr>
      </w:pPr>
      <w:r>
        <w:rPr>
          <w:rFonts w:cs="仿宋_GB2312"/>
          <w:color w:val="auto"/>
          <w:szCs w:val="24"/>
          <w:highlight w:val="none"/>
        </w:rPr>
        <w:br w:type="page"/>
      </w:r>
    </w:p>
    <w:p w14:paraId="4E924C81">
      <w:pPr>
        <w:pStyle w:val="3"/>
        <w:bidi w:val="0"/>
        <w:jc w:val="center"/>
        <w:rPr>
          <w:rFonts w:hint="eastAsia"/>
          <w:lang w:val="en-US" w:eastAsia="zh-CN"/>
        </w:rPr>
      </w:pPr>
      <w:bookmarkStart w:id="654" w:name="_Toc13809"/>
      <w:r>
        <w:rPr>
          <w:rFonts w:hint="eastAsia"/>
          <w:lang w:val="en-US" w:eastAsia="zh-CN"/>
        </w:rPr>
        <w:t>八、拟派项目团队</w:t>
      </w:r>
      <w:bookmarkEnd w:id="654"/>
    </w:p>
    <w:tbl>
      <w:tblPr>
        <w:tblStyle w:val="30"/>
        <w:tblW w:w="9252"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267"/>
        <w:gridCol w:w="1296"/>
        <w:gridCol w:w="1080"/>
        <w:gridCol w:w="804"/>
        <w:gridCol w:w="1860"/>
        <w:gridCol w:w="1356"/>
        <w:gridCol w:w="816"/>
      </w:tblGrid>
      <w:tr w14:paraId="377C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6B0F7825">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vAlign w:val="center"/>
          </w:tcPr>
          <w:p w14:paraId="1096055A">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团队成员</w:t>
            </w:r>
          </w:p>
          <w:p w14:paraId="09FA2F86">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96" w:type="dxa"/>
            <w:tcBorders>
              <w:right w:val="single" w:color="auto" w:sz="4" w:space="0"/>
            </w:tcBorders>
            <w:vAlign w:val="center"/>
          </w:tcPr>
          <w:p w14:paraId="4D802FFD">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1080" w:type="dxa"/>
            <w:tcBorders>
              <w:left w:val="single" w:color="auto" w:sz="4" w:space="0"/>
            </w:tcBorders>
            <w:vAlign w:val="center"/>
          </w:tcPr>
          <w:p w14:paraId="3116E3D2">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p>
        </w:tc>
        <w:tc>
          <w:tcPr>
            <w:tcW w:w="804" w:type="dxa"/>
            <w:tcBorders>
              <w:left w:val="single" w:color="auto" w:sz="4" w:space="0"/>
            </w:tcBorders>
            <w:vAlign w:val="center"/>
          </w:tcPr>
          <w:p w14:paraId="1115941F">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860" w:type="dxa"/>
            <w:vAlign w:val="center"/>
          </w:tcPr>
          <w:p w14:paraId="57503923">
            <w:pPr>
              <w:pStyle w:val="49"/>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注册证书（岗位证书）名称及编号</w:t>
            </w:r>
          </w:p>
        </w:tc>
        <w:tc>
          <w:tcPr>
            <w:tcW w:w="1356" w:type="dxa"/>
            <w:vAlign w:val="center"/>
          </w:tcPr>
          <w:p w14:paraId="422D7D9F">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在团队中职务（岗位）</w:t>
            </w:r>
          </w:p>
        </w:tc>
        <w:tc>
          <w:tcPr>
            <w:tcW w:w="816" w:type="dxa"/>
            <w:vAlign w:val="center"/>
          </w:tcPr>
          <w:p w14:paraId="79229F16">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自有/外聘</w:t>
            </w:r>
          </w:p>
        </w:tc>
      </w:tr>
      <w:tr w14:paraId="34A62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39BDB40">
            <w:pPr>
              <w:pStyle w:val="49"/>
              <w:jc w:val="center"/>
              <w:rPr>
                <w:rFonts w:hint="eastAsia" w:ascii="宋体" w:hAnsi="宋体" w:eastAsia="宋体" w:cs="宋体"/>
                <w:color w:val="auto"/>
                <w:sz w:val="21"/>
                <w:szCs w:val="21"/>
                <w:highlight w:val="none"/>
              </w:rPr>
            </w:pPr>
            <w:bookmarkStart w:id="655" w:name="_Toc99533292"/>
            <w:bookmarkStart w:id="656" w:name="_Toc100090784"/>
            <w:r>
              <w:rPr>
                <w:rFonts w:hint="eastAsia" w:ascii="宋体" w:hAnsi="宋体" w:eastAsia="宋体" w:cs="宋体"/>
                <w:color w:val="auto"/>
                <w:sz w:val="21"/>
                <w:szCs w:val="21"/>
                <w:highlight w:val="none"/>
              </w:rPr>
              <w:t>1</w:t>
            </w:r>
            <w:bookmarkEnd w:id="655"/>
            <w:bookmarkEnd w:id="656"/>
          </w:p>
        </w:tc>
        <w:tc>
          <w:tcPr>
            <w:tcW w:w="1267" w:type="dxa"/>
            <w:vAlign w:val="center"/>
          </w:tcPr>
          <w:p w14:paraId="04D72608">
            <w:pPr>
              <w:pStyle w:val="49"/>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735158">
            <w:pPr>
              <w:pStyle w:val="49"/>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EF6F977">
            <w:pPr>
              <w:pStyle w:val="49"/>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3483447B">
            <w:pPr>
              <w:pStyle w:val="49"/>
              <w:jc w:val="center"/>
              <w:rPr>
                <w:rFonts w:hint="eastAsia" w:ascii="宋体" w:hAnsi="宋体" w:eastAsia="宋体" w:cs="宋体"/>
                <w:color w:val="auto"/>
                <w:sz w:val="21"/>
                <w:szCs w:val="21"/>
                <w:highlight w:val="none"/>
              </w:rPr>
            </w:pPr>
          </w:p>
        </w:tc>
        <w:tc>
          <w:tcPr>
            <w:tcW w:w="1860" w:type="dxa"/>
            <w:vAlign w:val="center"/>
          </w:tcPr>
          <w:p w14:paraId="7F355EC3">
            <w:pPr>
              <w:pStyle w:val="49"/>
              <w:jc w:val="center"/>
              <w:rPr>
                <w:rFonts w:hint="eastAsia" w:ascii="宋体" w:hAnsi="宋体" w:eastAsia="宋体" w:cs="宋体"/>
                <w:color w:val="auto"/>
                <w:sz w:val="21"/>
                <w:szCs w:val="21"/>
                <w:highlight w:val="none"/>
              </w:rPr>
            </w:pPr>
          </w:p>
        </w:tc>
        <w:tc>
          <w:tcPr>
            <w:tcW w:w="1356" w:type="dxa"/>
            <w:vAlign w:val="center"/>
          </w:tcPr>
          <w:p w14:paraId="2148FD62">
            <w:pPr>
              <w:pStyle w:val="49"/>
              <w:jc w:val="center"/>
              <w:rPr>
                <w:rFonts w:hint="eastAsia" w:ascii="宋体" w:hAnsi="宋体" w:eastAsia="宋体" w:cs="宋体"/>
                <w:color w:val="auto"/>
                <w:sz w:val="21"/>
                <w:szCs w:val="21"/>
                <w:highlight w:val="none"/>
              </w:rPr>
            </w:pPr>
          </w:p>
        </w:tc>
        <w:tc>
          <w:tcPr>
            <w:tcW w:w="816" w:type="dxa"/>
            <w:vAlign w:val="center"/>
          </w:tcPr>
          <w:p w14:paraId="30F5864D">
            <w:pPr>
              <w:pStyle w:val="49"/>
              <w:jc w:val="center"/>
              <w:rPr>
                <w:rFonts w:hint="eastAsia" w:ascii="宋体" w:hAnsi="宋体" w:eastAsia="宋体" w:cs="宋体"/>
                <w:color w:val="auto"/>
                <w:sz w:val="21"/>
                <w:szCs w:val="21"/>
                <w:highlight w:val="none"/>
              </w:rPr>
            </w:pPr>
          </w:p>
        </w:tc>
      </w:tr>
      <w:tr w14:paraId="19E4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7F12C5C">
            <w:pPr>
              <w:pStyle w:val="49"/>
              <w:jc w:val="center"/>
              <w:rPr>
                <w:rFonts w:hint="eastAsia" w:ascii="宋体" w:hAnsi="宋体" w:eastAsia="宋体" w:cs="宋体"/>
                <w:color w:val="auto"/>
                <w:sz w:val="21"/>
                <w:szCs w:val="21"/>
                <w:highlight w:val="none"/>
              </w:rPr>
            </w:pPr>
            <w:bookmarkStart w:id="657" w:name="_Toc99533293"/>
            <w:bookmarkStart w:id="658" w:name="_Toc100090785"/>
            <w:r>
              <w:rPr>
                <w:rFonts w:hint="eastAsia" w:ascii="宋体" w:hAnsi="宋体" w:eastAsia="宋体" w:cs="宋体"/>
                <w:color w:val="auto"/>
                <w:sz w:val="21"/>
                <w:szCs w:val="21"/>
                <w:highlight w:val="none"/>
              </w:rPr>
              <w:t>2</w:t>
            </w:r>
            <w:bookmarkEnd w:id="657"/>
            <w:bookmarkEnd w:id="658"/>
          </w:p>
        </w:tc>
        <w:tc>
          <w:tcPr>
            <w:tcW w:w="1267" w:type="dxa"/>
            <w:vAlign w:val="center"/>
          </w:tcPr>
          <w:p w14:paraId="3AE14FF6">
            <w:pPr>
              <w:pStyle w:val="49"/>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06FFE829">
            <w:pPr>
              <w:pStyle w:val="49"/>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A33E450">
            <w:pPr>
              <w:pStyle w:val="49"/>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76ECD82">
            <w:pPr>
              <w:pStyle w:val="49"/>
              <w:jc w:val="center"/>
              <w:rPr>
                <w:rFonts w:hint="eastAsia" w:ascii="宋体" w:hAnsi="宋体" w:eastAsia="宋体" w:cs="宋体"/>
                <w:color w:val="auto"/>
                <w:sz w:val="21"/>
                <w:szCs w:val="21"/>
                <w:highlight w:val="none"/>
              </w:rPr>
            </w:pPr>
          </w:p>
        </w:tc>
        <w:tc>
          <w:tcPr>
            <w:tcW w:w="1860" w:type="dxa"/>
            <w:vAlign w:val="center"/>
          </w:tcPr>
          <w:p w14:paraId="390E678F">
            <w:pPr>
              <w:pStyle w:val="49"/>
              <w:jc w:val="center"/>
              <w:rPr>
                <w:rFonts w:hint="eastAsia" w:ascii="宋体" w:hAnsi="宋体" w:eastAsia="宋体" w:cs="宋体"/>
                <w:color w:val="auto"/>
                <w:sz w:val="21"/>
                <w:szCs w:val="21"/>
                <w:highlight w:val="none"/>
              </w:rPr>
            </w:pPr>
          </w:p>
        </w:tc>
        <w:tc>
          <w:tcPr>
            <w:tcW w:w="1356" w:type="dxa"/>
            <w:vAlign w:val="center"/>
          </w:tcPr>
          <w:p w14:paraId="77E48E09">
            <w:pPr>
              <w:pStyle w:val="49"/>
              <w:jc w:val="center"/>
              <w:rPr>
                <w:rFonts w:hint="eastAsia" w:ascii="宋体" w:hAnsi="宋体" w:eastAsia="宋体" w:cs="宋体"/>
                <w:color w:val="auto"/>
                <w:sz w:val="21"/>
                <w:szCs w:val="21"/>
                <w:highlight w:val="none"/>
              </w:rPr>
            </w:pPr>
          </w:p>
        </w:tc>
        <w:tc>
          <w:tcPr>
            <w:tcW w:w="816" w:type="dxa"/>
            <w:vAlign w:val="center"/>
          </w:tcPr>
          <w:p w14:paraId="3D8C0BFB">
            <w:pPr>
              <w:pStyle w:val="49"/>
              <w:jc w:val="center"/>
              <w:rPr>
                <w:rFonts w:hint="eastAsia" w:ascii="宋体" w:hAnsi="宋体" w:eastAsia="宋体" w:cs="宋体"/>
                <w:color w:val="auto"/>
                <w:sz w:val="21"/>
                <w:szCs w:val="21"/>
                <w:highlight w:val="none"/>
              </w:rPr>
            </w:pPr>
          </w:p>
        </w:tc>
      </w:tr>
      <w:tr w14:paraId="5F5E2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824241E">
            <w:pPr>
              <w:pStyle w:val="49"/>
              <w:jc w:val="center"/>
              <w:rPr>
                <w:rFonts w:hint="eastAsia" w:ascii="宋体" w:hAnsi="宋体" w:eastAsia="宋体" w:cs="宋体"/>
                <w:color w:val="auto"/>
                <w:sz w:val="21"/>
                <w:szCs w:val="21"/>
                <w:highlight w:val="none"/>
              </w:rPr>
            </w:pPr>
            <w:bookmarkStart w:id="659" w:name="_Toc99533294"/>
            <w:bookmarkStart w:id="660" w:name="_Toc100090786"/>
            <w:r>
              <w:rPr>
                <w:rFonts w:hint="eastAsia" w:ascii="宋体" w:hAnsi="宋体" w:eastAsia="宋体" w:cs="宋体"/>
                <w:color w:val="auto"/>
                <w:sz w:val="21"/>
                <w:szCs w:val="21"/>
                <w:highlight w:val="none"/>
              </w:rPr>
              <w:t>3</w:t>
            </w:r>
            <w:bookmarkEnd w:id="659"/>
            <w:bookmarkEnd w:id="660"/>
          </w:p>
        </w:tc>
        <w:tc>
          <w:tcPr>
            <w:tcW w:w="1267" w:type="dxa"/>
            <w:vAlign w:val="center"/>
          </w:tcPr>
          <w:p w14:paraId="19C12411">
            <w:pPr>
              <w:pStyle w:val="49"/>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E33B914">
            <w:pPr>
              <w:pStyle w:val="49"/>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70C10384">
            <w:pPr>
              <w:pStyle w:val="49"/>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57B47D5">
            <w:pPr>
              <w:pStyle w:val="49"/>
              <w:jc w:val="center"/>
              <w:rPr>
                <w:rFonts w:hint="eastAsia" w:ascii="宋体" w:hAnsi="宋体" w:eastAsia="宋体" w:cs="宋体"/>
                <w:color w:val="auto"/>
                <w:sz w:val="21"/>
                <w:szCs w:val="21"/>
                <w:highlight w:val="none"/>
              </w:rPr>
            </w:pPr>
          </w:p>
        </w:tc>
        <w:tc>
          <w:tcPr>
            <w:tcW w:w="1860" w:type="dxa"/>
            <w:vAlign w:val="center"/>
          </w:tcPr>
          <w:p w14:paraId="3F31D2CD">
            <w:pPr>
              <w:pStyle w:val="49"/>
              <w:jc w:val="center"/>
              <w:rPr>
                <w:rFonts w:hint="eastAsia" w:ascii="宋体" w:hAnsi="宋体" w:eastAsia="宋体" w:cs="宋体"/>
                <w:color w:val="auto"/>
                <w:sz w:val="21"/>
                <w:szCs w:val="21"/>
                <w:highlight w:val="none"/>
              </w:rPr>
            </w:pPr>
          </w:p>
        </w:tc>
        <w:tc>
          <w:tcPr>
            <w:tcW w:w="1356" w:type="dxa"/>
            <w:vAlign w:val="center"/>
          </w:tcPr>
          <w:p w14:paraId="107FDE9E">
            <w:pPr>
              <w:pStyle w:val="49"/>
              <w:jc w:val="center"/>
              <w:rPr>
                <w:rFonts w:hint="eastAsia" w:ascii="宋体" w:hAnsi="宋体" w:eastAsia="宋体" w:cs="宋体"/>
                <w:color w:val="auto"/>
                <w:sz w:val="21"/>
                <w:szCs w:val="21"/>
                <w:highlight w:val="none"/>
              </w:rPr>
            </w:pPr>
          </w:p>
        </w:tc>
        <w:tc>
          <w:tcPr>
            <w:tcW w:w="816" w:type="dxa"/>
            <w:vAlign w:val="center"/>
          </w:tcPr>
          <w:p w14:paraId="0ED9D4FB">
            <w:pPr>
              <w:pStyle w:val="49"/>
              <w:jc w:val="center"/>
              <w:rPr>
                <w:rFonts w:hint="eastAsia" w:ascii="宋体" w:hAnsi="宋体" w:eastAsia="宋体" w:cs="宋体"/>
                <w:color w:val="auto"/>
                <w:sz w:val="21"/>
                <w:szCs w:val="21"/>
                <w:highlight w:val="none"/>
              </w:rPr>
            </w:pPr>
          </w:p>
        </w:tc>
      </w:tr>
      <w:tr w14:paraId="7239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29A399B">
            <w:pPr>
              <w:pStyle w:val="49"/>
              <w:jc w:val="center"/>
              <w:rPr>
                <w:rFonts w:hint="eastAsia" w:ascii="宋体" w:hAnsi="宋体" w:eastAsia="宋体" w:cs="宋体"/>
                <w:color w:val="auto"/>
                <w:sz w:val="21"/>
                <w:szCs w:val="21"/>
                <w:highlight w:val="none"/>
              </w:rPr>
            </w:pPr>
            <w:bookmarkStart w:id="661" w:name="_Toc100090787"/>
            <w:bookmarkStart w:id="662" w:name="_Toc99533295"/>
            <w:r>
              <w:rPr>
                <w:rFonts w:hint="eastAsia" w:ascii="宋体" w:hAnsi="宋体" w:eastAsia="宋体" w:cs="宋体"/>
                <w:color w:val="auto"/>
                <w:sz w:val="21"/>
                <w:szCs w:val="21"/>
                <w:highlight w:val="none"/>
              </w:rPr>
              <w:t>4</w:t>
            </w:r>
            <w:bookmarkEnd w:id="661"/>
            <w:bookmarkEnd w:id="662"/>
          </w:p>
        </w:tc>
        <w:tc>
          <w:tcPr>
            <w:tcW w:w="1267" w:type="dxa"/>
            <w:vAlign w:val="center"/>
          </w:tcPr>
          <w:p w14:paraId="42DE0F63">
            <w:pPr>
              <w:pStyle w:val="49"/>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CA0809C">
            <w:pPr>
              <w:pStyle w:val="49"/>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D63F4E6">
            <w:pPr>
              <w:pStyle w:val="49"/>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96384D0">
            <w:pPr>
              <w:pStyle w:val="49"/>
              <w:jc w:val="center"/>
              <w:rPr>
                <w:rFonts w:hint="eastAsia" w:ascii="宋体" w:hAnsi="宋体" w:eastAsia="宋体" w:cs="宋体"/>
                <w:color w:val="auto"/>
                <w:sz w:val="21"/>
                <w:szCs w:val="21"/>
                <w:highlight w:val="none"/>
              </w:rPr>
            </w:pPr>
          </w:p>
        </w:tc>
        <w:tc>
          <w:tcPr>
            <w:tcW w:w="1860" w:type="dxa"/>
            <w:vAlign w:val="center"/>
          </w:tcPr>
          <w:p w14:paraId="068007BF">
            <w:pPr>
              <w:pStyle w:val="49"/>
              <w:jc w:val="center"/>
              <w:rPr>
                <w:rFonts w:hint="eastAsia" w:ascii="宋体" w:hAnsi="宋体" w:eastAsia="宋体" w:cs="宋体"/>
                <w:color w:val="auto"/>
                <w:sz w:val="21"/>
                <w:szCs w:val="21"/>
                <w:highlight w:val="none"/>
              </w:rPr>
            </w:pPr>
          </w:p>
        </w:tc>
        <w:tc>
          <w:tcPr>
            <w:tcW w:w="1356" w:type="dxa"/>
            <w:vAlign w:val="center"/>
          </w:tcPr>
          <w:p w14:paraId="7A6D63FA">
            <w:pPr>
              <w:pStyle w:val="49"/>
              <w:jc w:val="center"/>
              <w:rPr>
                <w:rFonts w:hint="eastAsia" w:ascii="宋体" w:hAnsi="宋体" w:eastAsia="宋体" w:cs="宋体"/>
                <w:color w:val="auto"/>
                <w:sz w:val="21"/>
                <w:szCs w:val="21"/>
                <w:highlight w:val="none"/>
              </w:rPr>
            </w:pPr>
          </w:p>
        </w:tc>
        <w:tc>
          <w:tcPr>
            <w:tcW w:w="816" w:type="dxa"/>
            <w:vAlign w:val="center"/>
          </w:tcPr>
          <w:p w14:paraId="01F1E6DB">
            <w:pPr>
              <w:pStyle w:val="49"/>
              <w:jc w:val="center"/>
              <w:rPr>
                <w:rFonts w:hint="eastAsia" w:ascii="宋体" w:hAnsi="宋体" w:eastAsia="宋体" w:cs="宋体"/>
                <w:color w:val="auto"/>
                <w:sz w:val="21"/>
                <w:szCs w:val="21"/>
                <w:highlight w:val="none"/>
              </w:rPr>
            </w:pPr>
          </w:p>
        </w:tc>
      </w:tr>
      <w:tr w14:paraId="67CF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1FE3797">
            <w:pPr>
              <w:pStyle w:val="49"/>
              <w:jc w:val="center"/>
              <w:rPr>
                <w:rFonts w:hint="eastAsia" w:ascii="宋体" w:hAnsi="宋体" w:eastAsia="宋体" w:cs="宋体"/>
                <w:color w:val="auto"/>
                <w:sz w:val="21"/>
                <w:szCs w:val="21"/>
                <w:highlight w:val="none"/>
              </w:rPr>
            </w:pPr>
            <w:bookmarkStart w:id="663" w:name="_Toc100090788"/>
            <w:bookmarkStart w:id="664" w:name="_Toc99533296"/>
            <w:r>
              <w:rPr>
                <w:rFonts w:hint="eastAsia" w:ascii="宋体" w:hAnsi="宋体" w:eastAsia="宋体" w:cs="宋体"/>
                <w:color w:val="auto"/>
                <w:sz w:val="21"/>
                <w:szCs w:val="21"/>
                <w:highlight w:val="none"/>
              </w:rPr>
              <w:t>5</w:t>
            </w:r>
            <w:bookmarkEnd w:id="663"/>
            <w:bookmarkEnd w:id="664"/>
          </w:p>
        </w:tc>
        <w:tc>
          <w:tcPr>
            <w:tcW w:w="1267" w:type="dxa"/>
            <w:vAlign w:val="center"/>
          </w:tcPr>
          <w:p w14:paraId="3241008C">
            <w:pPr>
              <w:pStyle w:val="49"/>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999E45B">
            <w:pPr>
              <w:pStyle w:val="49"/>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4009478">
            <w:pPr>
              <w:pStyle w:val="49"/>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75153765">
            <w:pPr>
              <w:pStyle w:val="49"/>
              <w:jc w:val="center"/>
              <w:rPr>
                <w:rFonts w:hint="eastAsia" w:ascii="宋体" w:hAnsi="宋体" w:eastAsia="宋体" w:cs="宋体"/>
                <w:color w:val="auto"/>
                <w:sz w:val="21"/>
                <w:szCs w:val="21"/>
                <w:highlight w:val="none"/>
              </w:rPr>
            </w:pPr>
          </w:p>
        </w:tc>
        <w:tc>
          <w:tcPr>
            <w:tcW w:w="1860" w:type="dxa"/>
            <w:vAlign w:val="center"/>
          </w:tcPr>
          <w:p w14:paraId="12AB49C0">
            <w:pPr>
              <w:pStyle w:val="49"/>
              <w:jc w:val="center"/>
              <w:rPr>
                <w:rFonts w:hint="eastAsia" w:ascii="宋体" w:hAnsi="宋体" w:eastAsia="宋体" w:cs="宋体"/>
                <w:color w:val="auto"/>
                <w:sz w:val="21"/>
                <w:szCs w:val="21"/>
                <w:highlight w:val="none"/>
              </w:rPr>
            </w:pPr>
          </w:p>
        </w:tc>
        <w:tc>
          <w:tcPr>
            <w:tcW w:w="1356" w:type="dxa"/>
            <w:vAlign w:val="center"/>
          </w:tcPr>
          <w:p w14:paraId="3943C72A">
            <w:pPr>
              <w:pStyle w:val="49"/>
              <w:jc w:val="center"/>
              <w:rPr>
                <w:rFonts w:hint="eastAsia" w:ascii="宋体" w:hAnsi="宋体" w:eastAsia="宋体" w:cs="宋体"/>
                <w:color w:val="auto"/>
                <w:sz w:val="21"/>
                <w:szCs w:val="21"/>
                <w:highlight w:val="none"/>
              </w:rPr>
            </w:pPr>
          </w:p>
        </w:tc>
        <w:tc>
          <w:tcPr>
            <w:tcW w:w="816" w:type="dxa"/>
            <w:vAlign w:val="center"/>
          </w:tcPr>
          <w:p w14:paraId="5FBE7410">
            <w:pPr>
              <w:pStyle w:val="49"/>
              <w:jc w:val="center"/>
              <w:rPr>
                <w:rFonts w:hint="eastAsia" w:ascii="宋体" w:hAnsi="宋体" w:eastAsia="宋体" w:cs="宋体"/>
                <w:color w:val="auto"/>
                <w:sz w:val="21"/>
                <w:szCs w:val="21"/>
                <w:highlight w:val="none"/>
              </w:rPr>
            </w:pPr>
          </w:p>
        </w:tc>
      </w:tr>
      <w:tr w14:paraId="053F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7DED61F">
            <w:pPr>
              <w:pStyle w:val="49"/>
              <w:jc w:val="center"/>
              <w:rPr>
                <w:rFonts w:hint="eastAsia" w:ascii="宋体" w:hAnsi="宋体" w:eastAsia="宋体" w:cs="宋体"/>
                <w:color w:val="auto"/>
                <w:sz w:val="21"/>
                <w:szCs w:val="21"/>
                <w:highlight w:val="none"/>
              </w:rPr>
            </w:pPr>
            <w:bookmarkStart w:id="665" w:name="_Toc100090789"/>
            <w:bookmarkStart w:id="666" w:name="_Toc99533297"/>
            <w:r>
              <w:rPr>
                <w:rFonts w:hint="eastAsia" w:ascii="宋体" w:hAnsi="宋体" w:eastAsia="宋体" w:cs="宋体"/>
                <w:color w:val="auto"/>
                <w:sz w:val="21"/>
                <w:szCs w:val="21"/>
                <w:highlight w:val="none"/>
              </w:rPr>
              <w:t>6</w:t>
            </w:r>
            <w:bookmarkEnd w:id="665"/>
            <w:bookmarkEnd w:id="666"/>
          </w:p>
        </w:tc>
        <w:tc>
          <w:tcPr>
            <w:tcW w:w="1267" w:type="dxa"/>
            <w:vAlign w:val="center"/>
          </w:tcPr>
          <w:p w14:paraId="40527E11">
            <w:pPr>
              <w:pStyle w:val="49"/>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6947C68">
            <w:pPr>
              <w:pStyle w:val="49"/>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666B8AD">
            <w:pPr>
              <w:pStyle w:val="49"/>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5256EB9">
            <w:pPr>
              <w:pStyle w:val="49"/>
              <w:jc w:val="center"/>
              <w:rPr>
                <w:rFonts w:hint="eastAsia" w:ascii="宋体" w:hAnsi="宋体" w:eastAsia="宋体" w:cs="宋体"/>
                <w:color w:val="auto"/>
                <w:sz w:val="21"/>
                <w:szCs w:val="21"/>
                <w:highlight w:val="none"/>
              </w:rPr>
            </w:pPr>
          </w:p>
        </w:tc>
        <w:tc>
          <w:tcPr>
            <w:tcW w:w="1860" w:type="dxa"/>
            <w:vAlign w:val="center"/>
          </w:tcPr>
          <w:p w14:paraId="51ADEB68">
            <w:pPr>
              <w:pStyle w:val="49"/>
              <w:jc w:val="center"/>
              <w:rPr>
                <w:rFonts w:hint="eastAsia" w:ascii="宋体" w:hAnsi="宋体" w:eastAsia="宋体" w:cs="宋体"/>
                <w:color w:val="auto"/>
                <w:sz w:val="21"/>
                <w:szCs w:val="21"/>
                <w:highlight w:val="none"/>
              </w:rPr>
            </w:pPr>
          </w:p>
        </w:tc>
        <w:tc>
          <w:tcPr>
            <w:tcW w:w="1356" w:type="dxa"/>
            <w:vAlign w:val="center"/>
          </w:tcPr>
          <w:p w14:paraId="6FF03D95">
            <w:pPr>
              <w:pStyle w:val="49"/>
              <w:jc w:val="center"/>
              <w:rPr>
                <w:rFonts w:hint="eastAsia" w:ascii="宋体" w:hAnsi="宋体" w:eastAsia="宋体" w:cs="宋体"/>
                <w:color w:val="auto"/>
                <w:sz w:val="21"/>
                <w:szCs w:val="21"/>
                <w:highlight w:val="none"/>
              </w:rPr>
            </w:pPr>
          </w:p>
        </w:tc>
        <w:tc>
          <w:tcPr>
            <w:tcW w:w="816" w:type="dxa"/>
            <w:vAlign w:val="center"/>
          </w:tcPr>
          <w:p w14:paraId="4EF8AB8A">
            <w:pPr>
              <w:pStyle w:val="49"/>
              <w:jc w:val="center"/>
              <w:rPr>
                <w:rFonts w:hint="eastAsia" w:ascii="宋体" w:hAnsi="宋体" w:eastAsia="宋体" w:cs="宋体"/>
                <w:color w:val="auto"/>
                <w:sz w:val="21"/>
                <w:szCs w:val="21"/>
                <w:highlight w:val="none"/>
              </w:rPr>
            </w:pPr>
          </w:p>
        </w:tc>
      </w:tr>
      <w:tr w14:paraId="661C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AA4734C">
            <w:pPr>
              <w:pStyle w:val="49"/>
              <w:jc w:val="center"/>
              <w:rPr>
                <w:rFonts w:hint="eastAsia" w:ascii="宋体" w:hAnsi="宋体" w:eastAsia="宋体" w:cs="宋体"/>
                <w:color w:val="auto"/>
                <w:sz w:val="21"/>
                <w:szCs w:val="21"/>
                <w:highlight w:val="none"/>
              </w:rPr>
            </w:pPr>
            <w:bookmarkStart w:id="667" w:name="_Toc100090790"/>
            <w:bookmarkStart w:id="668" w:name="_Toc99533298"/>
            <w:r>
              <w:rPr>
                <w:rFonts w:hint="eastAsia" w:ascii="宋体" w:hAnsi="宋体" w:eastAsia="宋体" w:cs="宋体"/>
                <w:color w:val="auto"/>
                <w:sz w:val="21"/>
                <w:szCs w:val="21"/>
                <w:highlight w:val="none"/>
              </w:rPr>
              <w:t>7</w:t>
            </w:r>
            <w:bookmarkEnd w:id="667"/>
            <w:bookmarkEnd w:id="668"/>
          </w:p>
        </w:tc>
        <w:tc>
          <w:tcPr>
            <w:tcW w:w="1267" w:type="dxa"/>
            <w:vAlign w:val="center"/>
          </w:tcPr>
          <w:p w14:paraId="3F3B684D">
            <w:pPr>
              <w:pStyle w:val="49"/>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8032A99">
            <w:pPr>
              <w:pStyle w:val="49"/>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01AE572">
            <w:pPr>
              <w:pStyle w:val="49"/>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1172C19">
            <w:pPr>
              <w:pStyle w:val="49"/>
              <w:jc w:val="center"/>
              <w:rPr>
                <w:rFonts w:hint="eastAsia" w:ascii="宋体" w:hAnsi="宋体" w:eastAsia="宋体" w:cs="宋体"/>
                <w:color w:val="auto"/>
                <w:sz w:val="21"/>
                <w:szCs w:val="21"/>
                <w:highlight w:val="none"/>
              </w:rPr>
            </w:pPr>
          </w:p>
        </w:tc>
        <w:tc>
          <w:tcPr>
            <w:tcW w:w="1860" w:type="dxa"/>
            <w:vAlign w:val="center"/>
          </w:tcPr>
          <w:p w14:paraId="7E9B2A2D">
            <w:pPr>
              <w:pStyle w:val="49"/>
              <w:jc w:val="center"/>
              <w:rPr>
                <w:rFonts w:hint="eastAsia" w:ascii="宋体" w:hAnsi="宋体" w:eastAsia="宋体" w:cs="宋体"/>
                <w:color w:val="auto"/>
                <w:sz w:val="21"/>
                <w:szCs w:val="21"/>
                <w:highlight w:val="none"/>
              </w:rPr>
            </w:pPr>
          </w:p>
        </w:tc>
        <w:tc>
          <w:tcPr>
            <w:tcW w:w="1356" w:type="dxa"/>
            <w:vAlign w:val="center"/>
          </w:tcPr>
          <w:p w14:paraId="5FBF328E">
            <w:pPr>
              <w:pStyle w:val="49"/>
              <w:jc w:val="center"/>
              <w:rPr>
                <w:rFonts w:hint="eastAsia" w:ascii="宋体" w:hAnsi="宋体" w:eastAsia="宋体" w:cs="宋体"/>
                <w:color w:val="auto"/>
                <w:sz w:val="21"/>
                <w:szCs w:val="21"/>
                <w:highlight w:val="none"/>
              </w:rPr>
            </w:pPr>
          </w:p>
        </w:tc>
        <w:tc>
          <w:tcPr>
            <w:tcW w:w="816" w:type="dxa"/>
            <w:vAlign w:val="center"/>
          </w:tcPr>
          <w:p w14:paraId="718DD530">
            <w:pPr>
              <w:pStyle w:val="49"/>
              <w:jc w:val="center"/>
              <w:rPr>
                <w:rFonts w:hint="eastAsia" w:ascii="宋体" w:hAnsi="宋体" w:eastAsia="宋体" w:cs="宋体"/>
                <w:color w:val="auto"/>
                <w:sz w:val="21"/>
                <w:szCs w:val="21"/>
                <w:highlight w:val="none"/>
              </w:rPr>
            </w:pPr>
          </w:p>
        </w:tc>
      </w:tr>
      <w:tr w14:paraId="5E0A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03F7F8C">
            <w:pPr>
              <w:pStyle w:val="49"/>
              <w:jc w:val="center"/>
              <w:rPr>
                <w:rFonts w:hint="eastAsia" w:ascii="宋体" w:hAnsi="宋体" w:eastAsia="宋体" w:cs="宋体"/>
                <w:color w:val="auto"/>
                <w:sz w:val="21"/>
                <w:szCs w:val="21"/>
                <w:highlight w:val="none"/>
              </w:rPr>
            </w:pPr>
            <w:bookmarkStart w:id="669" w:name="_Toc100090791"/>
            <w:bookmarkStart w:id="670" w:name="_Toc99533299"/>
            <w:r>
              <w:rPr>
                <w:rFonts w:hint="eastAsia" w:ascii="宋体" w:hAnsi="宋体" w:eastAsia="宋体" w:cs="宋体"/>
                <w:color w:val="auto"/>
                <w:sz w:val="21"/>
                <w:szCs w:val="21"/>
                <w:highlight w:val="none"/>
              </w:rPr>
              <w:t>8</w:t>
            </w:r>
            <w:bookmarkEnd w:id="669"/>
            <w:bookmarkEnd w:id="670"/>
          </w:p>
        </w:tc>
        <w:tc>
          <w:tcPr>
            <w:tcW w:w="1267" w:type="dxa"/>
            <w:vAlign w:val="center"/>
          </w:tcPr>
          <w:p w14:paraId="20BD29D0">
            <w:pPr>
              <w:pStyle w:val="49"/>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9D455C">
            <w:pPr>
              <w:pStyle w:val="49"/>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3548599B">
            <w:pPr>
              <w:pStyle w:val="49"/>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2842C962">
            <w:pPr>
              <w:pStyle w:val="49"/>
              <w:jc w:val="center"/>
              <w:rPr>
                <w:rFonts w:hint="eastAsia" w:ascii="宋体" w:hAnsi="宋体" w:eastAsia="宋体" w:cs="宋体"/>
                <w:color w:val="auto"/>
                <w:sz w:val="21"/>
                <w:szCs w:val="21"/>
                <w:highlight w:val="none"/>
              </w:rPr>
            </w:pPr>
          </w:p>
        </w:tc>
        <w:tc>
          <w:tcPr>
            <w:tcW w:w="1860" w:type="dxa"/>
            <w:vAlign w:val="center"/>
          </w:tcPr>
          <w:p w14:paraId="292DF220">
            <w:pPr>
              <w:pStyle w:val="49"/>
              <w:jc w:val="center"/>
              <w:rPr>
                <w:rFonts w:hint="eastAsia" w:ascii="宋体" w:hAnsi="宋体" w:eastAsia="宋体" w:cs="宋体"/>
                <w:color w:val="auto"/>
                <w:sz w:val="21"/>
                <w:szCs w:val="21"/>
                <w:highlight w:val="none"/>
              </w:rPr>
            </w:pPr>
          </w:p>
        </w:tc>
        <w:tc>
          <w:tcPr>
            <w:tcW w:w="1356" w:type="dxa"/>
            <w:vAlign w:val="center"/>
          </w:tcPr>
          <w:p w14:paraId="7107F6B0">
            <w:pPr>
              <w:pStyle w:val="49"/>
              <w:jc w:val="center"/>
              <w:rPr>
                <w:rFonts w:hint="eastAsia" w:ascii="宋体" w:hAnsi="宋体" w:eastAsia="宋体" w:cs="宋体"/>
                <w:color w:val="auto"/>
                <w:sz w:val="21"/>
                <w:szCs w:val="21"/>
                <w:highlight w:val="none"/>
              </w:rPr>
            </w:pPr>
          </w:p>
        </w:tc>
        <w:tc>
          <w:tcPr>
            <w:tcW w:w="816" w:type="dxa"/>
            <w:vAlign w:val="center"/>
          </w:tcPr>
          <w:p w14:paraId="247AF589">
            <w:pPr>
              <w:pStyle w:val="49"/>
              <w:jc w:val="center"/>
              <w:rPr>
                <w:rFonts w:hint="eastAsia" w:ascii="宋体" w:hAnsi="宋体" w:eastAsia="宋体" w:cs="宋体"/>
                <w:color w:val="auto"/>
                <w:sz w:val="21"/>
                <w:szCs w:val="21"/>
                <w:highlight w:val="none"/>
              </w:rPr>
            </w:pPr>
          </w:p>
        </w:tc>
      </w:tr>
      <w:tr w14:paraId="17D5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F7A90D9">
            <w:pPr>
              <w:pStyle w:val="49"/>
              <w:jc w:val="center"/>
              <w:rPr>
                <w:rFonts w:hint="eastAsia" w:ascii="宋体" w:hAnsi="宋体" w:eastAsia="宋体" w:cs="宋体"/>
                <w:color w:val="auto"/>
                <w:sz w:val="21"/>
                <w:szCs w:val="21"/>
                <w:highlight w:val="none"/>
              </w:rPr>
            </w:pPr>
            <w:bookmarkStart w:id="671" w:name="_Toc100090792"/>
            <w:bookmarkStart w:id="672" w:name="_Toc99533300"/>
            <w:r>
              <w:rPr>
                <w:rFonts w:hint="eastAsia" w:ascii="宋体" w:hAnsi="宋体" w:eastAsia="宋体" w:cs="宋体"/>
                <w:color w:val="auto"/>
                <w:sz w:val="21"/>
                <w:szCs w:val="21"/>
                <w:highlight w:val="none"/>
              </w:rPr>
              <w:t>9</w:t>
            </w:r>
            <w:bookmarkEnd w:id="671"/>
            <w:bookmarkEnd w:id="672"/>
          </w:p>
        </w:tc>
        <w:tc>
          <w:tcPr>
            <w:tcW w:w="1267" w:type="dxa"/>
            <w:vAlign w:val="center"/>
          </w:tcPr>
          <w:p w14:paraId="6C5090EC">
            <w:pPr>
              <w:pStyle w:val="49"/>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2CD2ADB">
            <w:pPr>
              <w:pStyle w:val="49"/>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DD9EDDC">
            <w:pPr>
              <w:pStyle w:val="49"/>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5650614">
            <w:pPr>
              <w:pStyle w:val="49"/>
              <w:jc w:val="center"/>
              <w:rPr>
                <w:rFonts w:hint="eastAsia" w:ascii="宋体" w:hAnsi="宋体" w:eastAsia="宋体" w:cs="宋体"/>
                <w:color w:val="auto"/>
                <w:sz w:val="21"/>
                <w:szCs w:val="21"/>
                <w:highlight w:val="none"/>
              </w:rPr>
            </w:pPr>
          </w:p>
        </w:tc>
        <w:tc>
          <w:tcPr>
            <w:tcW w:w="1860" w:type="dxa"/>
            <w:vAlign w:val="center"/>
          </w:tcPr>
          <w:p w14:paraId="337B4053">
            <w:pPr>
              <w:pStyle w:val="49"/>
              <w:jc w:val="center"/>
              <w:rPr>
                <w:rFonts w:hint="eastAsia" w:ascii="宋体" w:hAnsi="宋体" w:eastAsia="宋体" w:cs="宋体"/>
                <w:color w:val="auto"/>
                <w:sz w:val="21"/>
                <w:szCs w:val="21"/>
                <w:highlight w:val="none"/>
              </w:rPr>
            </w:pPr>
          </w:p>
        </w:tc>
        <w:tc>
          <w:tcPr>
            <w:tcW w:w="1356" w:type="dxa"/>
            <w:vAlign w:val="center"/>
          </w:tcPr>
          <w:p w14:paraId="6968EA5F">
            <w:pPr>
              <w:pStyle w:val="49"/>
              <w:jc w:val="center"/>
              <w:rPr>
                <w:rFonts w:hint="eastAsia" w:ascii="宋体" w:hAnsi="宋体" w:eastAsia="宋体" w:cs="宋体"/>
                <w:color w:val="auto"/>
                <w:sz w:val="21"/>
                <w:szCs w:val="21"/>
                <w:highlight w:val="none"/>
              </w:rPr>
            </w:pPr>
          </w:p>
        </w:tc>
        <w:tc>
          <w:tcPr>
            <w:tcW w:w="816" w:type="dxa"/>
            <w:vAlign w:val="center"/>
          </w:tcPr>
          <w:p w14:paraId="45D99552">
            <w:pPr>
              <w:pStyle w:val="49"/>
              <w:jc w:val="center"/>
              <w:rPr>
                <w:rFonts w:hint="eastAsia" w:ascii="宋体" w:hAnsi="宋体" w:eastAsia="宋体" w:cs="宋体"/>
                <w:color w:val="auto"/>
                <w:sz w:val="21"/>
                <w:szCs w:val="21"/>
                <w:highlight w:val="none"/>
              </w:rPr>
            </w:pPr>
          </w:p>
        </w:tc>
      </w:tr>
      <w:tr w14:paraId="5F49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406250BE">
            <w:pPr>
              <w:pStyle w:val="49"/>
              <w:jc w:val="center"/>
              <w:rPr>
                <w:rFonts w:hint="eastAsia" w:ascii="宋体" w:hAnsi="宋体" w:eastAsia="宋体" w:cs="宋体"/>
                <w:color w:val="auto"/>
                <w:sz w:val="21"/>
                <w:szCs w:val="21"/>
                <w:highlight w:val="none"/>
              </w:rPr>
            </w:pPr>
            <w:bookmarkStart w:id="673" w:name="_Toc100090793"/>
            <w:bookmarkStart w:id="674" w:name="_Toc99533301"/>
            <w:r>
              <w:rPr>
                <w:rFonts w:hint="eastAsia" w:ascii="宋体" w:hAnsi="宋体" w:eastAsia="宋体" w:cs="宋体"/>
                <w:color w:val="auto"/>
                <w:sz w:val="21"/>
                <w:szCs w:val="21"/>
                <w:highlight w:val="none"/>
              </w:rPr>
              <w:t>10</w:t>
            </w:r>
            <w:bookmarkEnd w:id="673"/>
            <w:bookmarkEnd w:id="674"/>
          </w:p>
        </w:tc>
        <w:tc>
          <w:tcPr>
            <w:tcW w:w="1267" w:type="dxa"/>
            <w:vAlign w:val="center"/>
          </w:tcPr>
          <w:p w14:paraId="0D84E205">
            <w:pPr>
              <w:pStyle w:val="49"/>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9F36313">
            <w:pPr>
              <w:pStyle w:val="49"/>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93C6909">
            <w:pPr>
              <w:pStyle w:val="49"/>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C34049E">
            <w:pPr>
              <w:pStyle w:val="49"/>
              <w:jc w:val="center"/>
              <w:rPr>
                <w:rFonts w:hint="eastAsia" w:ascii="宋体" w:hAnsi="宋体" w:eastAsia="宋体" w:cs="宋体"/>
                <w:color w:val="auto"/>
                <w:sz w:val="21"/>
                <w:szCs w:val="21"/>
                <w:highlight w:val="none"/>
              </w:rPr>
            </w:pPr>
          </w:p>
        </w:tc>
        <w:tc>
          <w:tcPr>
            <w:tcW w:w="1860" w:type="dxa"/>
            <w:vAlign w:val="center"/>
          </w:tcPr>
          <w:p w14:paraId="7790D037">
            <w:pPr>
              <w:pStyle w:val="49"/>
              <w:jc w:val="center"/>
              <w:rPr>
                <w:rFonts w:hint="eastAsia" w:ascii="宋体" w:hAnsi="宋体" w:eastAsia="宋体" w:cs="宋体"/>
                <w:color w:val="auto"/>
                <w:sz w:val="21"/>
                <w:szCs w:val="21"/>
                <w:highlight w:val="none"/>
              </w:rPr>
            </w:pPr>
          </w:p>
        </w:tc>
        <w:tc>
          <w:tcPr>
            <w:tcW w:w="1356" w:type="dxa"/>
            <w:vAlign w:val="center"/>
          </w:tcPr>
          <w:p w14:paraId="292E64B7">
            <w:pPr>
              <w:pStyle w:val="49"/>
              <w:jc w:val="center"/>
              <w:rPr>
                <w:rFonts w:hint="eastAsia" w:ascii="宋体" w:hAnsi="宋体" w:eastAsia="宋体" w:cs="宋体"/>
                <w:color w:val="auto"/>
                <w:sz w:val="21"/>
                <w:szCs w:val="21"/>
                <w:highlight w:val="none"/>
              </w:rPr>
            </w:pPr>
          </w:p>
        </w:tc>
        <w:tc>
          <w:tcPr>
            <w:tcW w:w="816" w:type="dxa"/>
            <w:vAlign w:val="center"/>
          </w:tcPr>
          <w:p w14:paraId="77E1C162">
            <w:pPr>
              <w:pStyle w:val="49"/>
              <w:jc w:val="center"/>
              <w:rPr>
                <w:rFonts w:hint="eastAsia" w:ascii="宋体" w:hAnsi="宋体" w:eastAsia="宋体" w:cs="宋体"/>
                <w:color w:val="auto"/>
                <w:sz w:val="21"/>
                <w:szCs w:val="21"/>
                <w:highlight w:val="none"/>
              </w:rPr>
            </w:pPr>
          </w:p>
        </w:tc>
      </w:tr>
    </w:tbl>
    <w:p w14:paraId="51ED7B0D">
      <w:pPr>
        <w:rPr>
          <w:color w:val="auto"/>
          <w:highlight w:val="none"/>
        </w:rPr>
      </w:pPr>
      <w:r>
        <w:rPr>
          <w:color w:val="auto"/>
          <w:highlight w:val="none"/>
        </w:rPr>
        <w:br w:type="page"/>
      </w:r>
    </w:p>
    <w:p w14:paraId="1358285E">
      <w:pPr>
        <w:pStyle w:val="3"/>
        <w:bidi w:val="0"/>
        <w:jc w:val="center"/>
        <w:rPr>
          <w:rFonts w:hint="eastAsia"/>
          <w:lang w:val="en-US" w:eastAsia="zh-CN"/>
        </w:rPr>
      </w:pPr>
      <w:bookmarkStart w:id="675" w:name="_Toc10837"/>
      <w:r>
        <w:rPr>
          <w:rFonts w:hint="eastAsia"/>
          <w:lang w:val="en-US" w:eastAsia="zh-CN"/>
        </w:rPr>
        <w:t>九、技术响应偏离表</w:t>
      </w:r>
      <w:bookmarkEnd w:id="675"/>
    </w:p>
    <w:p w14:paraId="7EE50E6A">
      <w:pPr>
        <w:rPr>
          <w:rFonts w:cs="仿宋_GB2312"/>
          <w:color w:val="auto"/>
          <w:szCs w:val="24"/>
          <w:highlight w:val="none"/>
        </w:rPr>
      </w:pPr>
      <w:r>
        <w:rPr>
          <w:rFonts w:hint="eastAsia" w:cs="仿宋_GB2312"/>
          <w:color w:val="auto"/>
          <w:szCs w:val="24"/>
          <w:highlight w:val="none"/>
        </w:rPr>
        <w:t xml:space="preserve">项目名称：                                         </w:t>
      </w:r>
    </w:p>
    <w:p w14:paraId="10CF1BE4">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976"/>
        <w:gridCol w:w="1758"/>
        <w:gridCol w:w="2157"/>
        <w:gridCol w:w="1935"/>
      </w:tblGrid>
      <w:tr w14:paraId="23C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5F892E53">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59" w:type="pct"/>
            <w:vAlign w:val="center"/>
          </w:tcPr>
          <w:p w14:paraId="48E48677">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招标文件技术</w:t>
            </w:r>
          </w:p>
          <w:p w14:paraId="0C5608DB">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要求条款</w:t>
            </w:r>
          </w:p>
        </w:tc>
        <w:tc>
          <w:tcPr>
            <w:tcW w:w="1031" w:type="pct"/>
            <w:vAlign w:val="center"/>
          </w:tcPr>
          <w:p w14:paraId="0B845CF1">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p w14:paraId="4F79E073">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对应简述</w:t>
            </w:r>
          </w:p>
        </w:tc>
        <w:tc>
          <w:tcPr>
            <w:tcW w:w="1265" w:type="pct"/>
            <w:vAlign w:val="center"/>
          </w:tcPr>
          <w:p w14:paraId="4AB4E9C3">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35" w:type="pct"/>
            <w:vAlign w:val="center"/>
          </w:tcPr>
          <w:p w14:paraId="09D725B9">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证明资料</w:t>
            </w:r>
            <w:r>
              <w:rPr>
                <w:rFonts w:hint="eastAsia" w:ascii="宋体" w:hAnsi="宋体" w:eastAsia="宋体" w:cs="宋体"/>
                <w:color w:val="auto"/>
                <w:sz w:val="21"/>
                <w:szCs w:val="21"/>
                <w:highlight w:val="none"/>
              </w:rPr>
              <w:t>及索引</w:t>
            </w:r>
          </w:p>
        </w:tc>
      </w:tr>
      <w:tr w14:paraId="39E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29950C57">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59" w:type="pct"/>
            <w:vAlign w:val="center"/>
          </w:tcPr>
          <w:p w14:paraId="69B288A0">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0E04AD72">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85AEA1C">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02D97874">
            <w:pPr>
              <w:pStyle w:val="49"/>
              <w:jc w:val="center"/>
              <w:rPr>
                <w:rFonts w:hint="eastAsia" w:ascii="宋体" w:hAnsi="宋体" w:eastAsia="宋体" w:cs="宋体"/>
                <w:color w:val="auto"/>
                <w:sz w:val="21"/>
                <w:szCs w:val="21"/>
                <w:highlight w:val="none"/>
              </w:rPr>
            </w:pPr>
          </w:p>
        </w:tc>
      </w:tr>
      <w:tr w14:paraId="4EC6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95B6778">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59" w:type="pct"/>
            <w:vAlign w:val="center"/>
          </w:tcPr>
          <w:p w14:paraId="30E52A7F">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29A6C1E1">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D92E460">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63E16449">
            <w:pPr>
              <w:pStyle w:val="49"/>
              <w:jc w:val="center"/>
              <w:rPr>
                <w:rFonts w:hint="eastAsia" w:ascii="宋体" w:hAnsi="宋体" w:eastAsia="宋体" w:cs="宋体"/>
                <w:color w:val="auto"/>
                <w:sz w:val="21"/>
                <w:szCs w:val="21"/>
                <w:highlight w:val="none"/>
              </w:rPr>
            </w:pPr>
          </w:p>
        </w:tc>
      </w:tr>
      <w:tr w14:paraId="0C00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45FE18">
            <w:pPr>
              <w:pStyle w:val="49"/>
              <w:jc w:val="center"/>
              <w:rPr>
                <w:rFonts w:hint="eastAsia" w:ascii="宋体" w:hAnsi="宋体" w:eastAsia="宋体" w:cs="宋体"/>
                <w:color w:val="auto"/>
                <w:sz w:val="21"/>
                <w:szCs w:val="21"/>
                <w:highlight w:val="none"/>
              </w:rPr>
            </w:pPr>
          </w:p>
        </w:tc>
        <w:tc>
          <w:tcPr>
            <w:tcW w:w="1159" w:type="pct"/>
            <w:vAlign w:val="center"/>
          </w:tcPr>
          <w:p w14:paraId="6D1DD644">
            <w:pPr>
              <w:pStyle w:val="49"/>
              <w:jc w:val="center"/>
              <w:rPr>
                <w:rFonts w:hint="eastAsia" w:ascii="宋体" w:hAnsi="宋体" w:eastAsia="宋体" w:cs="宋体"/>
                <w:color w:val="auto"/>
                <w:sz w:val="21"/>
                <w:szCs w:val="21"/>
                <w:highlight w:val="none"/>
              </w:rPr>
            </w:pPr>
          </w:p>
        </w:tc>
        <w:tc>
          <w:tcPr>
            <w:tcW w:w="1031" w:type="pct"/>
            <w:vAlign w:val="center"/>
          </w:tcPr>
          <w:p w14:paraId="2982168B">
            <w:pPr>
              <w:pStyle w:val="49"/>
              <w:jc w:val="center"/>
              <w:rPr>
                <w:rFonts w:hint="eastAsia" w:ascii="宋体" w:hAnsi="宋体" w:eastAsia="宋体" w:cs="宋体"/>
                <w:color w:val="auto"/>
                <w:sz w:val="21"/>
                <w:szCs w:val="21"/>
                <w:highlight w:val="none"/>
              </w:rPr>
            </w:pPr>
          </w:p>
        </w:tc>
        <w:tc>
          <w:tcPr>
            <w:tcW w:w="1265" w:type="pct"/>
            <w:vAlign w:val="center"/>
          </w:tcPr>
          <w:p w14:paraId="78EC7D09">
            <w:pPr>
              <w:pStyle w:val="49"/>
              <w:jc w:val="center"/>
              <w:rPr>
                <w:rFonts w:hint="eastAsia" w:ascii="宋体" w:hAnsi="宋体" w:eastAsia="宋体" w:cs="宋体"/>
                <w:color w:val="auto"/>
                <w:sz w:val="21"/>
                <w:szCs w:val="21"/>
                <w:highlight w:val="none"/>
              </w:rPr>
            </w:pPr>
          </w:p>
        </w:tc>
        <w:tc>
          <w:tcPr>
            <w:tcW w:w="1135" w:type="pct"/>
            <w:vAlign w:val="center"/>
          </w:tcPr>
          <w:p w14:paraId="46369488">
            <w:pPr>
              <w:pStyle w:val="49"/>
              <w:jc w:val="center"/>
              <w:rPr>
                <w:rFonts w:hint="eastAsia" w:ascii="宋体" w:hAnsi="宋体" w:eastAsia="宋体" w:cs="宋体"/>
                <w:color w:val="auto"/>
                <w:sz w:val="21"/>
                <w:szCs w:val="21"/>
                <w:highlight w:val="none"/>
              </w:rPr>
            </w:pPr>
          </w:p>
        </w:tc>
      </w:tr>
      <w:tr w14:paraId="28C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3874C19">
            <w:pPr>
              <w:pStyle w:val="49"/>
              <w:jc w:val="center"/>
              <w:rPr>
                <w:rFonts w:hint="eastAsia" w:ascii="宋体" w:hAnsi="宋体" w:eastAsia="宋体" w:cs="宋体"/>
                <w:color w:val="auto"/>
                <w:sz w:val="21"/>
                <w:szCs w:val="21"/>
                <w:highlight w:val="none"/>
              </w:rPr>
            </w:pPr>
          </w:p>
        </w:tc>
        <w:tc>
          <w:tcPr>
            <w:tcW w:w="1159" w:type="pct"/>
            <w:vAlign w:val="center"/>
          </w:tcPr>
          <w:p w14:paraId="529041E2">
            <w:pPr>
              <w:pStyle w:val="49"/>
              <w:jc w:val="center"/>
              <w:rPr>
                <w:rFonts w:hint="eastAsia" w:ascii="宋体" w:hAnsi="宋体" w:eastAsia="宋体" w:cs="宋体"/>
                <w:color w:val="auto"/>
                <w:sz w:val="21"/>
                <w:szCs w:val="21"/>
                <w:highlight w:val="none"/>
              </w:rPr>
            </w:pPr>
          </w:p>
        </w:tc>
        <w:tc>
          <w:tcPr>
            <w:tcW w:w="1031" w:type="pct"/>
            <w:vAlign w:val="center"/>
          </w:tcPr>
          <w:p w14:paraId="301E476D">
            <w:pPr>
              <w:pStyle w:val="49"/>
              <w:jc w:val="center"/>
              <w:rPr>
                <w:rFonts w:hint="eastAsia" w:ascii="宋体" w:hAnsi="宋体" w:eastAsia="宋体" w:cs="宋体"/>
                <w:color w:val="auto"/>
                <w:sz w:val="21"/>
                <w:szCs w:val="21"/>
                <w:highlight w:val="none"/>
              </w:rPr>
            </w:pPr>
          </w:p>
        </w:tc>
        <w:tc>
          <w:tcPr>
            <w:tcW w:w="1265" w:type="pct"/>
            <w:vAlign w:val="center"/>
          </w:tcPr>
          <w:p w14:paraId="06F8AED7">
            <w:pPr>
              <w:pStyle w:val="49"/>
              <w:jc w:val="center"/>
              <w:rPr>
                <w:rFonts w:hint="eastAsia" w:ascii="宋体" w:hAnsi="宋体" w:eastAsia="宋体" w:cs="宋体"/>
                <w:color w:val="auto"/>
                <w:sz w:val="21"/>
                <w:szCs w:val="21"/>
                <w:highlight w:val="none"/>
              </w:rPr>
            </w:pPr>
          </w:p>
        </w:tc>
        <w:tc>
          <w:tcPr>
            <w:tcW w:w="1135" w:type="pct"/>
            <w:vAlign w:val="center"/>
          </w:tcPr>
          <w:p w14:paraId="0CE9DF45">
            <w:pPr>
              <w:pStyle w:val="49"/>
              <w:jc w:val="center"/>
              <w:rPr>
                <w:rFonts w:hint="eastAsia" w:ascii="宋体" w:hAnsi="宋体" w:eastAsia="宋体" w:cs="宋体"/>
                <w:color w:val="auto"/>
                <w:sz w:val="21"/>
                <w:szCs w:val="21"/>
                <w:highlight w:val="none"/>
              </w:rPr>
            </w:pPr>
          </w:p>
        </w:tc>
      </w:tr>
      <w:tr w14:paraId="729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1433E5C">
            <w:pPr>
              <w:pStyle w:val="49"/>
              <w:jc w:val="center"/>
              <w:rPr>
                <w:rFonts w:hint="eastAsia" w:ascii="宋体" w:hAnsi="宋体" w:eastAsia="宋体" w:cs="宋体"/>
                <w:color w:val="auto"/>
                <w:sz w:val="21"/>
                <w:szCs w:val="21"/>
                <w:highlight w:val="none"/>
              </w:rPr>
            </w:pPr>
          </w:p>
        </w:tc>
        <w:tc>
          <w:tcPr>
            <w:tcW w:w="1159" w:type="pct"/>
            <w:vAlign w:val="center"/>
          </w:tcPr>
          <w:p w14:paraId="77107295">
            <w:pPr>
              <w:pStyle w:val="49"/>
              <w:jc w:val="center"/>
              <w:rPr>
                <w:rFonts w:hint="eastAsia" w:ascii="宋体" w:hAnsi="宋体" w:eastAsia="宋体" w:cs="宋体"/>
                <w:color w:val="auto"/>
                <w:sz w:val="21"/>
                <w:szCs w:val="21"/>
                <w:highlight w:val="none"/>
              </w:rPr>
            </w:pPr>
          </w:p>
        </w:tc>
        <w:tc>
          <w:tcPr>
            <w:tcW w:w="1031" w:type="pct"/>
            <w:vAlign w:val="center"/>
          </w:tcPr>
          <w:p w14:paraId="4D01D78E">
            <w:pPr>
              <w:pStyle w:val="49"/>
              <w:jc w:val="center"/>
              <w:rPr>
                <w:rFonts w:hint="eastAsia" w:ascii="宋体" w:hAnsi="宋体" w:eastAsia="宋体" w:cs="宋体"/>
                <w:color w:val="auto"/>
                <w:sz w:val="21"/>
                <w:szCs w:val="21"/>
                <w:highlight w:val="none"/>
              </w:rPr>
            </w:pPr>
          </w:p>
        </w:tc>
        <w:tc>
          <w:tcPr>
            <w:tcW w:w="1265" w:type="pct"/>
            <w:vAlign w:val="center"/>
          </w:tcPr>
          <w:p w14:paraId="6D546857">
            <w:pPr>
              <w:pStyle w:val="49"/>
              <w:jc w:val="center"/>
              <w:rPr>
                <w:rFonts w:hint="eastAsia" w:ascii="宋体" w:hAnsi="宋体" w:eastAsia="宋体" w:cs="宋体"/>
                <w:color w:val="auto"/>
                <w:sz w:val="21"/>
                <w:szCs w:val="21"/>
                <w:highlight w:val="none"/>
              </w:rPr>
            </w:pPr>
          </w:p>
        </w:tc>
        <w:tc>
          <w:tcPr>
            <w:tcW w:w="1135" w:type="pct"/>
            <w:vAlign w:val="center"/>
          </w:tcPr>
          <w:p w14:paraId="2E1B7D0B">
            <w:pPr>
              <w:pStyle w:val="49"/>
              <w:jc w:val="center"/>
              <w:rPr>
                <w:rFonts w:hint="eastAsia" w:ascii="宋体" w:hAnsi="宋体" w:eastAsia="宋体" w:cs="宋体"/>
                <w:color w:val="auto"/>
                <w:sz w:val="21"/>
                <w:szCs w:val="21"/>
                <w:highlight w:val="none"/>
              </w:rPr>
            </w:pPr>
          </w:p>
        </w:tc>
      </w:tr>
      <w:tr w14:paraId="39F8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AF16AFE">
            <w:pPr>
              <w:pStyle w:val="49"/>
              <w:jc w:val="center"/>
              <w:rPr>
                <w:rFonts w:hint="eastAsia" w:ascii="宋体" w:hAnsi="宋体" w:eastAsia="宋体" w:cs="宋体"/>
                <w:color w:val="auto"/>
                <w:sz w:val="21"/>
                <w:szCs w:val="21"/>
                <w:highlight w:val="none"/>
              </w:rPr>
            </w:pPr>
          </w:p>
        </w:tc>
        <w:tc>
          <w:tcPr>
            <w:tcW w:w="1159" w:type="pct"/>
            <w:vAlign w:val="center"/>
          </w:tcPr>
          <w:p w14:paraId="5C7E043B">
            <w:pPr>
              <w:pStyle w:val="49"/>
              <w:jc w:val="center"/>
              <w:rPr>
                <w:rFonts w:hint="eastAsia" w:ascii="宋体" w:hAnsi="宋体" w:eastAsia="宋体" w:cs="宋体"/>
                <w:color w:val="auto"/>
                <w:sz w:val="21"/>
                <w:szCs w:val="21"/>
                <w:highlight w:val="none"/>
              </w:rPr>
            </w:pPr>
          </w:p>
        </w:tc>
        <w:tc>
          <w:tcPr>
            <w:tcW w:w="1031" w:type="pct"/>
            <w:vAlign w:val="center"/>
          </w:tcPr>
          <w:p w14:paraId="64166C7A">
            <w:pPr>
              <w:pStyle w:val="49"/>
              <w:jc w:val="center"/>
              <w:rPr>
                <w:rFonts w:hint="eastAsia" w:ascii="宋体" w:hAnsi="宋体" w:eastAsia="宋体" w:cs="宋体"/>
                <w:color w:val="auto"/>
                <w:sz w:val="21"/>
                <w:szCs w:val="21"/>
                <w:highlight w:val="none"/>
              </w:rPr>
            </w:pPr>
          </w:p>
        </w:tc>
        <w:tc>
          <w:tcPr>
            <w:tcW w:w="1265" w:type="pct"/>
            <w:vAlign w:val="center"/>
          </w:tcPr>
          <w:p w14:paraId="2817CCE5">
            <w:pPr>
              <w:pStyle w:val="49"/>
              <w:jc w:val="center"/>
              <w:rPr>
                <w:rFonts w:hint="eastAsia" w:ascii="宋体" w:hAnsi="宋体" w:eastAsia="宋体" w:cs="宋体"/>
                <w:color w:val="auto"/>
                <w:sz w:val="21"/>
                <w:szCs w:val="21"/>
                <w:highlight w:val="none"/>
              </w:rPr>
            </w:pPr>
          </w:p>
        </w:tc>
        <w:tc>
          <w:tcPr>
            <w:tcW w:w="1135" w:type="pct"/>
            <w:vAlign w:val="center"/>
          </w:tcPr>
          <w:p w14:paraId="184E3F96">
            <w:pPr>
              <w:pStyle w:val="49"/>
              <w:jc w:val="center"/>
              <w:rPr>
                <w:rFonts w:hint="eastAsia" w:ascii="宋体" w:hAnsi="宋体" w:eastAsia="宋体" w:cs="宋体"/>
                <w:color w:val="auto"/>
                <w:sz w:val="21"/>
                <w:szCs w:val="21"/>
                <w:highlight w:val="none"/>
              </w:rPr>
            </w:pPr>
          </w:p>
        </w:tc>
      </w:tr>
      <w:tr w14:paraId="60C9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F23FFC2">
            <w:pPr>
              <w:pStyle w:val="49"/>
              <w:jc w:val="center"/>
              <w:rPr>
                <w:rFonts w:hint="eastAsia" w:ascii="宋体" w:hAnsi="宋体" w:eastAsia="宋体" w:cs="宋体"/>
                <w:color w:val="auto"/>
                <w:sz w:val="21"/>
                <w:szCs w:val="21"/>
                <w:highlight w:val="none"/>
              </w:rPr>
            </w:pPr>
          </w:p>
        </w:tc>
        <w:tc>
          <w:tcPr>
            <w:tcW w:w="1159" w:type="pct"/>
            <w:vAlign w:val="center"/>
          </w:tcPr>
          <w:p w14:paraId="565EC642">
            <w:pPr>
              <w:pStyle w:val="49"/>
              <w:jc w:val="center"/>
              <w:rPr>
                <w:rFonts w:hint="eastAsia" w:ascii="宋体" w:hAnsi="宋体" w:eastAsia="宋体" w:cs="宋体"/>
                <w:color w:val="auto"/>
                <w:sz w:val="21"/>
                <w:szCs w:val="21"/>
                <w:highlight w:val="none"/>
              </w:rPr>
            </w:pPr>
          </w:p>
        </w:tc>
        <w:tc>
          <w:tcPr>
            <w:tcW w:w="1031" w:type="pct"/>
            <w:vAlign w:val="center"/>
          </w:tcPr>
          <w:p w14:paraId="4813DEC4">
            <w:pPr>
              <w:pStyle w:val="49"/>
              <w:jc w:val="center"/>
              <w:rPr>
                <w:rFonts w:hint="eastAsia" w:ascii="宋体" w:hAnsi="宋体" w:eastAsia="宋体" w:cs="宋体"/>
                <w:color w:val="auto"/>
                <w:sz w:val="21"/>
                <w:szCs w:val="21"/>
                <w:highlight w:val="none"/>
              </w:rPr>
            </w:pPr>
          </w:p>
        </w:tc>
        <w:tc>
          <w:tcPr>
            <w:tcW w:w="1265" w:type="pct"/>
            <w:vAlign w:val="center"/>
          </w:tcPr>
          <w:p w14:paraId="6FC99520">
            <w:pPr>
              <w:pStyle w:val="49"/>
              <w:jc w:val="center"/>
              <w:rPr>
                <w:rFonts w:hint="eastAsia" w:ascii="宋体" w:hAnsi="宋体" w:eastAsia="宋体" w:cs="宋体"/>
                <w:color w:val="auto"/>
                <w:sz w:val="21"/>
                <w:szCs w:val="21"/>
                <w:highlight w:val="none"/>
              </w:rPr>
            </w:pPr>
          </w:p>
        </w:tc>
        <w:tc>
          <w:tcPr>
            <w:tcW w:w="1135" w:type="pct"/>
            <w:vAlign w:val="center"/>
          </w:tcPr>
          <w:p w14:paraId="6C388A43">
            <w:pPr>
              <w:pStyle w:val="49"/>
              <w:jc w:val="center"/>
              <w:rPr>
                <w:rFonts w:hint="eastAsia" w:ascii="宋体" w:hAnsi="宋体" w:eastAsia="宋体" w:cs="宋体"/>
                <w:color w:val="auto"/>
                <w:sz w:val="21"/>
                <w:szCs w:val="21"/>
                <w:highlight w:val="none"/>
              </w:rPr>
            </w:pPr>
          </w:p>
        </w:tc>
      </w:tr>
      <w:tr w14:paraId="668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AF398B2">
            <w:pPr>
              <w:pStyle w:val="49"/>
              <w:jc w:val="center"/>
              <w:rPr>
                <w:rFonts w:hint="eastAsia" w:ascii="宋体" w:hAnsi="宋体" w:eastAsia="宋体" w:cs="宋体"/>
                <w:color w:val="auto"/>
                <w:sz w:val="21"/>
                <w:szCs w:val="21"/>
                <w:highlight w:val="none"/>
              </w:rPr>
            </w:pPr>
          </w:p>
        </w:tc>
        <w:tc>
          <w:tcPr>
            <w:tcW w:w="1159" w:type="pct"/>
            <w:vAlign w:val="center"/>
          </w:tcPr>
          <w:p w14:paraId="7E5C6D21">
            <w:pPr>
              <w:pStyle w:val="49"/>
              <w:jc w:val="center"/>
              <w:rPr>
                <w:rFonts w:hint="eastAsia" w:ascii="宋体" w:hAnsi="宋体" w:eastAsia="宋体" w:cs="宋体"/>
                <w:color w:val="auto"/>
                <w:sz w:val="21"/>
                <w:szCs w:val="21"/>
                <w:highlight w:val="none"/>
              </w:rPr>
            </w:pPr>
          </w:p>
        </w:tc>
        <w:tc>
          <w:tcPr>
            <w:tcW w:w="1031" w:type="pct"/>
            <w:vAlign w:val="center"/>
          </w:tcPr>
          <w:p w14:paraId="449C5534">
            <w:pPr>
              <w:pStyle w:val="49"/>
              <w:jc w:val="center"/>
              <w:rPr>
                <w:rFonts w:hint="eastAsia" w:ascii="宋体" w:hAnsi="宋体" w:eastAsia="宋体" w:cs="宋体"/>
                <w:color w:val="auto"/>
                <w:sz w:val="21"/>
                <w:szCs w:val="21"/>
                <w:highlight w:val="none"/>
              </w:rPr>
            </w:pPr>
          </w:p>
        </w:tc>
        <w:tc>
          <w:tcPr>
            <w:tcW w:w="1265" w:type="pct"/>
            <w:vAlign w:val="center"/>
          </w:tcPr>
          <w:p w14:paraId="43936EF1">
            <w:pPr>
              <w:pStyle w:val="49"/>
              <w:jc w:val="center"/>
              <w:rPr>
                <w:rFonts w:hint="eastAsia" w:ascii="宋体" w:hAnsi="宋体" w:eastAsia="宋体" w:cs="宋体"/>
                <w:color w:val="auto"/>
                <w:sz w:val="21"/>
                <w:szCs w:val="21"/>
                <w:highlight w:val="none"/>
              </w:rPr>
            </w:pPr>
          </w:p>
        </w:tc>
        <w:tc>
          <w:tcPr>
            <w:tcW w:w="1135" w:type="pct"/>
            <w:vAlign w:val="center"/>
          </w:tcPr>
          <w:p w14:paraId="015081ED">
            <w:pPr>
              <w:pStyle w:val="49"/>
              <w:jc w:val="center"/>
              <w:rPr>
                <w:rFonts w:hint="eastAsia" w:ascii="宋体" w:hAnsi="宋体" w:eastAsia="宋体" w:cs="宋体"/>
                <w:color w:val="auto"/>
                <w:sz w:val="21"/>
                <w:szCs w:val="21"/>
                <w:highlight w:val="none"/>
              </w:rPr>
            </w:pPr>
          </w:p>
        </w:tc>
      </w:tr>
      <w:tr w14:paraId="576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BE7E344">
            <w:pPr>
              <w:pStyle w:val="49"/>
              <w:jc w:val="center"/>
              <w:rPr>
                <w:rFonts w:hint="eastAsia" w:ascii="宋体" w:hAnsi="宋体" w:eastAsia="宋体" w:cs="宋体"/>
                <w:color w:val="auto"/>
                <w:sz w:val="21"/>
                <w:szCs w:val="21"/>
                <w:highlight w:val="none"/>
              </w:rPr>
            </w:pPr>
          </w:p>
        </w:tc>
        <w:tc>
          <w:tcPr>
            <w:tcW w:w="1159" w:type="pct"/>
            <w:vAlign w:val="center"/>
          </w:tcPr>
          <w:p w14:paraId="4E7FED0B">
            <w:pPr>
              <w:pStyle w:val="49"/>
              <w:jc w:val="center"/>
              <w:rPr>
                <w:rFonts w:hint="eastAsia" w:ascii="宋体" w:hAnsi="宋体" w:eastAsia="宋体" w:cs="宋体"/>
                <w:color w:val="auto"/>
                <w:sz w:val="21"/>
                <w:szCs w:val="21"/>
                <w:highlight w:val="none"/>
              </w:rPr>
            </w:pPr>
          </w:p>
        </w:tc>
        <w:tc>
          <w:tcPr>
            <w:tcW w:w="1031" w:type="pct"/>
            <w:vAlign w:val="center"/>
          </w:tcPr>
          <w:p w14:paraId="07398BD3">
            <w:pPr>
              <w:pStyle w:val="49"/>
              <w:jc w:val="center"/>
              <w:rPr>
                <w:rFonts w:hint="eastAsia" w:ascii="宋体" w:hAnsi="宋体" w:eastAsia="宋体" w:cs="宋体"/>
                <w:color w:val="auto"/>
                <w:sz w:val="21"/>
                <w:szCs w:val="21"/>
                <w:highlight w:val="none"/>
              </w:rPr>
            </w:pPr>
          </w:p>
        </w:tc>
        <w:tc>
          <w:tcPr>
            <w:tcW w:w="1265" w:type="pct"/>
            <w:vAlign w:val="center"/>
          </w:tcPr>
          <w:p w14:paraId="085E5102">
            <w:pPr>
              <w:pStyle w:val="49"/>
              <w:jc w:val="center"/>
              <w:rPr>
                <w:rFonts w:hint="eastAsia" w:ascii="宋体" w:hAnsi="宋体" w:eastAsia="宋体" w:cs="宋体"/>
                <w:color w:val="auto"/>
                <w:sz w:val="21"/>
                <w:szCs w:val="21"/>
                <w:highlight w:val="none"/>
              </w:rPr>
            </w:pPr>
          </w:p>
        </w:tc>
        <w:tc>
          <w:tcPr>
            <w:tcW w:w="1135" w:type="pct"/>
            <w:vAlign w:val="center"/>
          </w:tcPr>
          <w:p w14:paraId="74B87043">
            <w:pPr>
              <w:pStyle w:val="49"/>
              <w:jc w:val="center"/>
              <w:rPr>
                <w:rFonts w:hint="eastAsia" w:ascii="宋体" w:hAnsi="宋体" w:eastAsia="宋体" w:cs="宋体"/>
                <w:color w:val="auto"/>
                <w:sz w:val="21"/>
                <w:szCs w:val="21"/>
                <w:highlight w:val="none"/>
              </w:rPr>
            </w:pPr>
          </w:p>
        </w:tc>
      </w:tr>
      <w:tr w14:paraId="4BD9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DBDBE11">
            <w:pPr>
              <w:pStyle w:val="49"/>
              <w:jc w:val="center"/>
              <w:rPr>
                <w:rFonts w:hint="eastAsia" w:ascii="宋体" w:hAnsi="宋体" w:eastAsia="宋体" w:cs="宋体"/>
                <w:color w:val="auto"/>
                <w:sz w:val="21"/>
                <w:szCs w:val="21"/>
                <w:highlight w:val="none"/>
              </w:rPr>
            </w:pPr>
          </w:p>
        </w:tc>
        <w:tc>
          <w:tcPr>
            <w:tcW w:w="1159" w:type="pct"/>
            <w:vAlign w:val="center"/>
          </w:tcPr>
          <w:p w14:paraId="1F11A7BE">
            <w:pPr>
              <w:pStyle w:val="49"/>
              <w:jc w:val="center"/>
              <w:rPr>
                <w:rFonts w:hint="eastAsia" w:ascii="宋体" w:hAnsi="宋体" w:eastAsia="宋体" w:cs="宋体"/>
                <w:color w:val="auto"/>
                <w:sz w:val="21"/>
                <w:szCs w:val="21"/>
                <w:highlight w:val="none"/>
              </w:rPr>
            </w:pPr>
          </w:p>
        </w:tc>
        <w:tc>
          <w:tcPr>
            <w:tcW w:w="1031" w:type="pct"/>
            <w:vAlign w:val="center"/>
          </w:tcPr>
          <w:p w14:paraId="09342B6E">
            <w:pPr>
              <w:pStyle w:val="49"/>
              <w:jc w:val="center"/>
              <w:rPr>
                <w:rFonts w:hint="eastAsia" w:ascii="宋体" w:hAnsi="宋体" w:eastAsia="宋体" w:cs="宋体"/>
                <w:color w:val="auto"/>
                <w:sz w:val="21"/>
                <w:szCs w:val="21"/>
                <w:highlight w:val="none"/>
              </w:rPr>
            </w:pPr>
          </w:p>
        </w:tc>
        <w:tc>
          <w:tcPr>
            <w:tcW w:w="1265" w:type="pct"/>
            <w:vAlign w:val="center"/>
          </w:tcPr>
          <w:p w14:paraId="6742B646">
            <w:pPr>
              <w:pStyle w:val="49"/>
              <w:jc w:val="center"/>
              <w:rPr>
                <w:rFonts w:hint="eastAsia" w:ascii="宋体" w:hAnsi="宋体" w:eastAsia="宋体" w:cs="宋体"/>
                <w:color w:val="auto"/>
                <w:sz w:val="21"/>
                <w:szCs w:val="21"/>
                <w:highlight w:val="none"/>
              </w:rPr>
            </w:pPr>
          </w:p>
        </w:tc>
        <w:tc>
          <w:tcPr>
            <w:tcW w:w="1135" w:type="pct"/>
            <w:vAlign w:val="center"/>
          </w:tcPr>
          <w:p w14:paraId="4C72FCC2">
            <w:pPr>
              <w:pStyle w:val="49"/>
              <w:jc w:val="center"/>
              <w:rPr>
                <w:rFonts w:hint="eastAsia" w:ascii="宋体" w:hAnsi="宋体" w:eastAsia="宋体" w:cs="宋体"/>
                <w:color w:val="auto"/>
                <w:sz w:val="21"/>
                <w:szCs w:val="21"/>
                <w:highlight w:val="none"/>
              </w:rPr>
            </w:pPr>
          </w:p>
        </w:tc>
      </w:tr>
      <w:tr w14:paraId="266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0D811F11">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59" w:type="pct"/>
            <w:vAlign w:val="center"/>
          </w:tcPr>
          <w:p w14:paraId="7D0AF02A">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6EC8C4F3">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9EB3DF9">
            <w:pPr>
              <w:pStyle w:val="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35" w:type="pct"/>
            <w:vAlign w:val="center"/>
          </w:tcPr>
          <w:p w14:paraId="1BF96619">
            <w:pPr>
              <w:pStyle w:val="49"/>
              <w:jc w:val="center"/>
              <w:rPr>
                <w:rFonts w:hint="eastAsia" w:ascii="宋体" w:hAnsi="宋体" w:eastAsia="宋体" w:cs="宋体"/>
                <w:color w:val="auto"/>
                <w:sz w:val="21"/>
                <w:szCs w:val="21"/>
                <w:highlight w:val="none"/>
              </w:rPr>
            </w:pPr>
          </w:p>
        </w:tc>
      </w:tr>
    </w:tbl>
    <w:p w14:paraId="7A96DC4C">
      <w:pPr>
        <w:ind w:firstLine="420" w:firstLineChars="200"/>
        <w:rPr>
          <w:rFonts w:hint="eastAsia" w:cs="仿宋_GB2312"/>
          <w:color w:val="auto"/>
          <w:sz w:val="21"/>
          <w:szCs w:val="21"/>
          <w:highlight w:val="none"/>
        </w:rPr>
      </w:pPr>
    </w:p>
    <w:p w14:paraId="2B5EBACC">
      <w:pPr>
        <w:ind w:firstLine="420" w:firstLineChars="200"/>
        <w:rPr>
          <w:rFonts w:cs="仿宋_GB2312"/>
          <w:color w:val="auto"/>
          <w:sz w:val="21"/>
          <w:szCs w:val="21"/>
          <w:highlight w:val="none"/>
        </w:rPr>
      </w:pPr>
      <w:r>
        <w:rPr>
          <w:rFonts w:hint="eastAsia" w:cs="仿宋_GB2312"/>
          <w:color w:val="auto"/>
          <w:sz w:val="21"/>
          <w:szCs w:val="21"/>
          <w:highlight w:val="none"/>
        </w:rPr>
        <w:t>说明：投标人应按照招标文件“第三章 采购需求”</w:t>
      </w:r>
      <w:r>
        <w:rPr>
          <w:rFonts w:hint="eastAsia" w:cs="仿宋_GB2312"/>
          <w:color w:val="auto"/>
          <w:sz w:val="21"/>
          <w:szCs w:val="21"/>
          <w:highlight w:val="none"/>
          <w:lang w:val="en-US" w:eastAsia="zh-CN"/>
        </w:rPr>
        <w:t>中的技术要求</w:t>
      </w:r>
      <w:r>
        <w:rPr>
          <w:rFonts w:hint="eastAsia" w:cs="仿宋_GB2312"/>
          <w:color w:val="auto"/>
          <w:sz w:val="21"/>
          <w:szCs w:val="21"/>
          <w:highlight w:val="none"/>
        </w:rPr>
        <w:t>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“响应/正偏离/负偏离”应据实填写“响应”、“正偏离”或“负偏离”</w:t>
      </w:r>
      <w:r>
        <w:rPr>
          <w:rFonts w:hint="eastAsia" w:cs="仿宋_GB2312"/>
          <w:color w:val="auto"/>
          <w:sz w:val="21"/>
          <w:szCs w:val="21"/>
          <w:highlight w:val="none"/>
        </w:rPr>
        <w:t>。</w:t>
      </w:r>
    </w:p>
    <w:p w14:paraId="12AEBD40">
      <w:pPr>
        <w:ind w:firstLine="400" w:firstLineChars="200"/>
        <w:rPr>
          <w:rFonts w:cs="仿宋_GB2312"/>
          <w:color w:val="auto"/>
          <w:szCs w:val="24"/>
          <w:highlight w:val="none"/>
        </w:rPr>
      </w:pPr>
    </w:p>
    <w:p w14:paraId="53059121">
      <w:pPr>
        <w:ind w:firstLine="40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p>
    <w:p w14:paraId="27EF6D84">
      <w:pPr>
        <w:ind w:firstLine="420"/>
        <w:rPr>
          <w:rFonts w:cs="仿宋_GB2312"/>
          <w:color w:val="auto"/>
          <w:szCs w:val="24"/>
          <w:highlight w:val="none"/>
        </w:rPr>
      </w:pPr>
      <w:r>
        <w:rPr>
          <w:rFonts w:hint="eastAsia" w:cs="仿宋_GB2312"/>
          <w:color w:val="auto"/>
          <w:szCs w:val="24"/>
          <w:highlight w:val="none"/>
        </w:rPr>
        <w:t>日      期：</w:t>
      </w:r>
    </w:p>
    <w:p w14:paraId="3689B270">
      <w:pPr>
        <w:ind w:firstLine="420"/>
        <w:rPr>
          <w:rFonts w:cs="仿宋_GB2312"/>
          <w:color w:val="auto"/>
          <w:szCs w:val="24"/>
          <w:highlight w:val="none"/>
        </w:rPr>
      </w:pPr>
    </w:p>
    <w:p w14:paraId="05FE41C4">
      <w:pPr>
        <w:ind w:firstLine="420"/>
        <w:rPr>
          <w:rFonts w:cs="仿宋_GB2312"/>
          <w:color w:val="auto"/>
          <w:szCs w:val="24"/>
          <w:highlight w:val="none"/>
        </w:rPr>
      </w:pPr>
    </w:p>
    <w:p w14:paraId="5228E054">
      <w:pPr>
        <w:ind w:firstLine="420"/>
        <w:rPr>
          <w:rFonts w:hint="eastAsia" w:cs="仿宋_GB2312"/>
          <w:color w:val="auto"/>
          <w:sz w:val="21"/>
          <w:szCs w:val="21"/>
          <w:highlight w:val="none"/>
          <w:lang w:val="en-US" w:eastAsia="zh-CN"/>
        </w:rPr>
      </w:pPr>
      <w:r>
        <w:rPr>
          <w:rFonts w:hint="eastAsia" w:cs="仿宋_GB2312"/>
          <w:color w:val="auto"/>
          <w:sz w:val="21"/>
          <w:szCs w:val="21"/>
          <w:highlight w:val="none"/>
          <w:lang w:val="en-US" w:eastAsia="zh-CN"/>
        </w:rPr>
        <w:t>备注：投标人在本表中须标注产品实际参数数值，照搬照抄采购文件参数、不注明实际数值者</w:t>
      </w:r>
      <w:r>
        <w:rPr>
          <w:rFonts w:hint="eastAsia" w:cs="仿宋_GB2312"/>
          <w:b/>
          <w:bCs/>
          <w:color w:val="auto"/>
          <w:sz w:val="21"/>
          <w:szCs w:val="21"/>
          <w:highlight w:val="none"/>
          <w:lang w:val="en-US" w:eastAsia="zh-CN"/>
        </w:rPr>
        <w:t>视为未响应</w:t>
      </w:r>
      <w:r>
        <w:rPr>
          <w:rFonts w:hint="eastAsia" w:cs="仿宋_GB2312"/>
          <w:color w:val="auto"/>
          <w:sz w:val="21"/>
          <w:szCs w:val="21"/>
          <w:highlight w:val="none"/>
          <w:lang w:val="en-US" w:eastAsia="zh-CN"/>
        </w:rPr>
        <w:t>。</w:t>
      </w:r>
    </w:p>
    <w:p w14:paraId="5E3B4625">
      <w:pPr>
        <w:ind w:firstLine="420"/>
        <w:rPr>
          <w:rFonts w:hint="eastAsia" w:cs="仿宋_GB2312"/>
          <w:color w:val="auto"/>
          <w:sz w:val="21"/>
          <w:szCs w:val="21"/>
          <w:highlight w:val="none"/>
          <w:lang w:val="en-US" w:eastAsia="zh-CN"/>
        </w:rPr>
      </w:pPr>
    </w:p>
    <w:p w14:paraId="49372E23">
      <w:pPr>
        <w:ind w:firstLine="420"/>
        <w:rPr>
          <w:rFonts w:hint="eastAsia" w:cs="仿宋_GB2312"/>
          <w:color w:val="auto"/>
          <w:sz w:val="21"/>
          <w:szCs w:val="21"/>
          <w:highlight w:val="none"/>
          <w:lang w:val="en-US" w:eastAsia="zh-CN"/>
        </w:rPr>
      </w:pPr>
    </w:p>
    <w:p w14:paraId="30496E48">
      <w:pPr>
        <w:ind w:firstLine="420"/>
        <w:rPr>
          <w:rFonts w:hint="eastAsia" w:cs="仿宋_GB2312"/>
          <w:color w:val="auto"/>
          <w:sz w:val="21"/>
          <w:szCs w:val="21"/>
          <w:highlight w:val="none"/>
          <w:lang w:val="en-US" w:eastAsia="zh-CN"/>
        </w:rPr>
      </w:pPr>
    </w:p>
    <w:p w14:paraId="06C98EB9">
      <w:pPr>
        <w:pStyle w:val="3"/>
        <w:bidi w:val="0"/>
        <w:jc w:val="center"/>
        <w:rPr>
          <w:rFonts w:hint="eastAsia"/>
          <w:lang w:val="en-US" w:eastAsia="zh-CN"/>
        </w:rPr>
      </w:pPr>
      <w:bookmarkStart w:id="676" w:name="_Toc15970"/>
      <w:r>
        <w:rPr>
          <w:rFonts w:hint="eastAsia"/>
          <w:lang w:val="en-US" w:eastAsia="zh-CN"/>
        </w:rPr>
        <w:t>十、技术方案</w:t>
      </w:r>
      <w:bookmarkEnd w:id="676"/>
    </w:p>
    <w:p w14:paraId="3878D3F5">
      <w:pPr>
        <w:pStyle w:val="37"/>
        <w:rPr>
          <w:color w:val="auto"/>
          <w:highlight w:val="none"/>
        </w:rPr>
      </w:pPr>
      <w:r>
        <w:rPr>
          <w:rFonts w:hint="eastAsia"/>
          <w:color w:val="auto"/>
          <w:highlight w:val="none"/>
        </w:rPr>
        <w:t>投标人应按照招标文件的要求，提供详细的</w:t>
      </w:r>
      <w:r>
        <w:rPr>
          <w:rFonts w:hint="eastAsia"/>
          <w:color w:val="auto"/>
          <w:highlight w:val="none"/>
          <w:lang w:val="en-US" w:eastAsia="zh-CN"/>
        </w:rPr>
        <w:t>供货及相关</w:t>
      </w:r>
      <w:r>
        <w:rPr>
          <w:rFonts w:hint="eastAsia"/>
          <w:color w:val="auto"/>
          <w:highlight w:val="none"/>
        </w:rPr>
        <w:t>服务方案，包括文字描述或图表显示。格式自拟。</w:t>
      </w:r>
    </w:p>
    <w:p w14:paraId="7EE77353">
      <w:pPr>
        <w:pStyle w:val="37"/>
        <w:rPr>
          <w:color w:val="auto"/>
          <w:highlight w:val="none"/>
        </w:rPr>
      </w:pPr>
      <w:r>
        <w:rPr>
          <w:color w:val="auto"/>
          <w:highlight w:val="none"/>
        </w:rPr>
        <w:br w:type="page"/>
      </w:r>
    </w:p>
    <w:p w14:paraId="7AD86D6F">
      <w:pPr>
        <w:ind w:firstLine="420"/>
        <w:rPr>
          <w:rFonts w:hint="eastAsia" w:cs="仿宋_GB2312"/>
          <w:color w:val="auto"/>
          <w:sz w:val="21"/>
          <w:szCs w:val="21"/>
          <w:highlight w:val="none"/>
          <w:lang w:val="en-US" w:eastAsia="zh-CN"/>
        </w:rPr>
      </w:pPr>
    </w:p>
    <w:p w14:paraId="68D392B1">
      <w:pPr>
        <w:pStyle w:val="3"/>
        <w:bidi w:val="0"/>
        <w:jc w:val="center"/>
        <w:rPr>
          <w:rFonts w:hint="eastAsia"/>
          <w:lang w:val="en-US" w:eastAsia="zh-CN"/>
        </w:rPr>
      </w:pPr>
      <w:bookmarkStart w:id="677" w:name="_Toc19835"/>
      <w:r>
        <w:rPr>
          <w:rFonts w:hint="eastAsia"/>
          <w:lang w:val="en-US" w:eastAsia="zh-CN"/>
        </w:rPr>
        <w:t>十一、其他文件</w:t>
      </w:r>
      <w:bookmarkEnd w:id="677"/>
    </w:p>
    <w:p w14:paraId="6EF40482">
      <w:pPr>
        <w:pStyle w:val="37"/>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一）</w:t>
      </w:r>
      <w:r>
        <w:rPr>
          <w:rFonts w:hint="eastAsia"/>
          <w:b/>
          <w:bCs/>
          <w:color w:val="auto"/>
          <w:sz w:val="24"/>
          <w:szCs w:val="24"/>
          <w:highlight w:val="none"/>
        </w:rPr>
        <w:t>招标文件要求提供的其它商务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技术资料和证明材料；</w:t>
      </w:r>
    </w:p>
    <w:p w14:paraId="1AB0431C">
      <w:pPr>
        <w:pStyle w:val="37"/>
        <w:rPr>
          <w:rFonts w:hint="eastAsia"/>
          <w:color w:val="auto"/>
          <w:sz w:val="24"/>
          <w:szCs w:val="24"/>
          <w:highlight w:val="none"/>
          <w:lang w:val="en-US" w:eastAsia="zh-CN"/>
        </w:rPr>
      </w:pPr>
      <w:r>
        <w:rPr>
          <w:rFonts w:hint="eastAsia"/>
          <w:color w:val="auto"/>
          <w:sz w:val="24"/>
          <w:szCs w:val="24"/>
          <w:highlight w:val="none"/>
          <w:lang w:val="en-US" w:eastAsia="zh-CN"/>
        </w:rPr>
        <w:t>1.1供应商信息采集表</w:t>
      </w:r>
    </w:p>
    <w:tbl>
      <w:tblPr>
        <w:tblStyle w:val="31"/>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321A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1508E63E">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供应商名称</w:t>
            </w:r>
          </w:p>
        </w:tc>
        <w:tc>
          <w:tcPr>
            <w:tcW w:w="2841" w:type="dxa"/>
            <w:vAlign w:val="center"/>
          </w:tcPr>
          <w:p w14:paraId="525F160D">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供应商实际控制人性别</w:t>
            </w:r>
          </w:p>
        </w:tc>
        <w:tc>
          <w:tcPr>
            <w:tcW w:w="2743" w:type="dxa"/>
            <w:vAlign w:val="center"/>
          </w:tcPr>
          <w:p w14:paraId="6288AB90">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外商投资类型</w:t>
            </w:r>
          </w:p>
        </w:tc>
      </w:tr>
      <w:tr w14:paraId="0694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5BC16E3C">
            <w:pPr>
              <w:pStyle w:val="37"/>
              <w:rPr>
                <w:rFonts w:hint="eastAsia" w:ascii="宋体" w:hAnsi="宋体" w:eastAsia="宋体" w:cs="宋体"/>
                <w:color w:val="auto"/>
                <w:sz w:val="24"/>
                <w:szCs w:val="24"/>
                <w:highlight w:val="none"/>
                <w:vertAlign w:val="baseline"/>
                <w:lang w:val="en-US" w:eastAsia="zh-CN"/>
              </w:rPr>
            </w:pPr>
          </w:p>
        </w:tc>
        <w:tc>
          <w:tcPr>
            <w:tcW w:w="2841" w:type="dxa"/>
          </w:tcPr>
          <w:p w14:paraId="471F983C">
            <w:pPr>
              <w:pStyle w:val="37"/>
              <w:rPr>
                <w:rFonts w:hint="eastAsia" w:ascii="宋体" w:hAnsi="宋体" w:eastAsia="宋体" w:cs="宋体"/>
                <w:color w:val="auto"/>
                <w:sz w:val="24"/>
                <w:szCs w:val="24"/>
                <w:highlight w:val="none"/>
                <w:vertAlign w:val="baseline"/>
                <w:lang w:val="en-US" w:eastAsia="zh-CN"/>
              </w:rPr>
            </w:pPr>
          </w:p>
        </w:tc>
        <w:tc>
          <w:tcPr>
            <w:tcW w:w="2743" w:type="dxa"/>
          </w:tcPr>
          <w:p w14:paraId="59E9D0CB">
            <w:pPr>
              <w:pStyle w:val="37"/>
              <w:rPr>
                <w:rFonts w:hint="eastAsia" w:ascii="宋体" w:hAnsi="宋体" w:eastAsia="宋体" w:cs="宋体"/>
                <w:color w:val="auto"/>
                <w:sz w:val="24"/>
                <w:szCs w:val="24"/>
                <w:highlight w:val="none"/>
                <w:vertAlign w:val="baseline"/>
                <w:lang w:val="en-US" w:eastAsia="zh-CN"/>
              </w:rPr>
            </w:pPr>
          </w:p>
        </w:tc>
      </w:tr>
      <w:tr w14:paraId="6D8F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BE5BC20">
            <w:pPr>
              <w:pStyle w:val="37"/>
              <w:rPr>
                <w:rFonts w:hint="eastAsia" w:ascii="宋体" w:hAnsi="宋体" w:eastAsia="宋体" w:cs="宋体"/>
                <w:color w:val="auto"/>
                <w:sz w:val="24"/>
                <w:szCs w:val="24"/>
                <w:highlight w:val="none"/>
                <w:vertAlign w:val="baseline"/>
                <w:lang w:val="en-US" w:eastAsia="zh-CN"/>
              </w:rPr>
            </w:pPr>
          </w:p>
        </w:tc>
        <w:tc>
          <w:tcPr>
            <w:tcW w:w="2841" w:type="dxa"/>
          </w:tcPr>
          <w:p w14:paraId="65335BA2">
            <w:pPr>
              <w:pStyle w:val="37"/>
              <w:rPr>
                <w:rFonts w:hint="eastAsia" w:ascii="宋体" w:hAnsi="宋体" w:eastAsia="宋体" w:cs="宋体"/>
                <w:color w:val="auto"/>
                <w:sz w:val="24"/>
                <w:szCs w:val="24"/>
                <w:highlight w:val="none"/>
                <w:vertAlign w:val="baseline"/>
                <w:lang w:val="en-US" w:eastAsia="zh-CN"/>
              </w:rPr>
            </w:pPr>
          </w:p>
        </w:tc>
        <w:tc>
          <w:tcPr>
            <w:tcW w:w="2743" w:type="dxa"/>
          </w:tcPr>
          <w:p w14:paraId="331FBFA7">
            <w:pPr>
              <w:pStyle w:val="37"/>
              <w:rPr>
                <w:rFonts w:hint="eastAsia" w:ascii="宋体" w:hAnsi="宋体" w:eastAsia="宋体" w:cs="宋体"/>
                <w:color w:val="auto"/>
                <w:sz w:val="24"/>
                <w:szCs w:val="24"/>
                <w:highlight w:val="none"/>
                <w:vertAlign w:val="baseline"/>
                <w:lang w:val="en-US" w:eastAsia="zh-CN"/>
              </w:rPr>
            </w:pPr>
          </w:p>
        </w:tc>
      </w:tr>
      <w:tr w14:paraId="1A91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99AB141">
            <w:pPr>
              <w:pStyle w:val="37"/>
              <w:rPr>
                <w:rFonts w:hint="eastAsia" w:ascii="宋体" w:hAnsi="宋体" w:eastAsia="宋体" w:cs="宋体"/>
                <w:color w:val="auto"/>
                <w:sz w:val="24"/>
                <w:szCs w:val="24"/>
                <w:highlight w:val="none"/>
                <w:vertAlign w:val="baseline"/>
                <w:lang w:val="en-US" w:eastAsia="zh-CN"/>
              </w:rPr>
            </w:pPr>
          </w:p>
        </w:tc>
        <w:tc>
          <w:tcPr>
            <w:tcW w:w="2841" w:type="dxa"/>
          </w:tcPr>
          <w:p w14:paraId="00E4C5E8">
            <w:pPr>
              <w:pStyle w:val="37"/>
              <w:rPr>
                <w:rFonts w:hint="eastAsia" w:ascii="宋体" w:hAnsi="宋体" w:eastAsia="宋体" w:cs="宋体"/>
                <w:color w:val="auto"/>
                <w:sz w:val="24"/>
                <w:szCs w:val="24"/>
                <w:highlight w:val="none"/>
                <w:vertAlign w:val="baseline"/>
                <w:lang w:val="en-US" w:eastAsia="zh-CN"/>
              </w:rPr>
            </w:pPr>
          </w:p>
        </w:tc>
        <w:tc>
          <w:tcPr>
            <w:tcW w:w="2743" w:type="dxa"/>
          </w:tcPr>
          <w:p w14:paraId="42125693">
            <w:pPr>
              <w:pStyle w:val="37"/>
              <w:rPr>
                <w:rFonts w:hint="eastAsia" w:ascii="宋体" w:hAnsi="宋体" w:eastAsia="宋体" w:cs="宋体"/>
                <w:color w:val="auto"/>
                <w:sz w:val="24"/>
                <w:szCs w:val="24"/>
                <w:highlight w:val="none"/>
                <w:vertAlign w:val="baseline"/>
                <w:lang w:val="en-US" w:eastAsia="zh-CN"/>
              </w:rPr>
            </w:pPr>
          </w:p>
        </w:tc>
      </w:tr>
      <w:tr w14:paraId="24B4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2995954E">
            <w:pPr>
              <w:pStyle w:val="37"/>
              <w:rPr>
                <w:rFonts w:hint="eastAsia" w:ascii="宋体" w:hAnsi="宋体" w:eastAsia="宋体" w:cs="宋体"/>
                <w:color w:val="auto"/>
                <w:sz w:val="24"/>
                <w:szCs w:val="24"/>
                <w:highlight w:val="none"/>
                <w:vertAlign w:val="baseline"/>
                <w:lang w:val="en-US" w:eastAsia="zh-CN"/>
              </w:rPr>
            </w:pPr>
          </w:p>
        </w:tc>
        <w:tc>
          <w:tcPr>
            <w:tcW w:w="2841" w:type="dxa"/>
          </w:tcPr>
          <w:p w14:paraId="75889361">
            <w:pPr>
              <w:pStyle w:val="37"/>
              <w:rPr>
                <w:rFonts w:hint="eastAsia" w:ascii="宋体" w:hAnsi="宋体" w:eastAsia="宋体" w:cs="宋体"/>
                <w:color w:val="auto"/>
                <w:sz w:val="24"/>
                <w:szCs w:val="24"/>
                <w:highlight w:val="none"/>
                <w:vertAlign w:val="baseline"/>
                <w:lang w:val="en-US" w:eastAsia="zh-CN"/>
              </w:rPr>
            </w:pPr>
          </w:p>
        </w:tc>
        <w:tc>
          <w:tcPr>
            <w:tcW w:w="2743" w:type="dxa"/>
          </w:tcPr>
          <w:p w14:paraId="760C7D5C">
            <w:pPr>
              <w:pStyle w:val="37"/>
              <w:rPr>
                <w:rFonts w:hint="eastAsia" w:ascii="宋体" w:hAnsi="宋体" w:eastAsia="宋体" w:cs="宋体"/>
                <w:color w:val="auto"/>
                <w:sz w:val="24"/>
                <w:szCs w:val="24"/>
                <w:highlight w:val="none"/>
                <w:vertAlign w:val="baseline"/>
                <w:lang w:val="en-US" w:eastAsia="zh-CN"/>
              </w:rPr>
            </w:pPr>
          </w:p>
        </w:tc>
      </w:tr>
    </w:tbl>
    <w:p w14:paraId="799D117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注：1.供应商如为联合体，则应填写联合体各成员信息。 </w:t>
      </w:r>
    </w:p>
    <w:p w14:paraId="429C5533">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cs="宋体"/>
          <w:color w:val="auto"/>
          <w:kern w:val="0"/>
          <w:sz w:val="21"/>
          <w:szCs w:val="21"/>
          <w:highlight w:val="none"/>
          <w:lang w:val="en-US" w:eastAsia="zh-CN" w:bidi="ar"/>
        </w:rPr>
        <w:t>“供应商实际控制人性别”</w:t>
      </w:r>
      <w:r>
        <w:rPr>
          <w:rFonts w:hint="eastAsia" w:ascii="宋体" w:hAnsi="宋体" w:eastAsia="宋体" w:cs="宋体"/>
          <w:color w:val="auto"/>
          <w:kern w:val="0"/>
          <w:sz w:val="21"/>
          <w:szCs w:val="21"/>
          <w:highlight w:val="none"/>
          <w:lang w:val="en-US" w:eastAsia="zh-CN" w:bidi="ar"/>
        </w:rPr>
        <w:t>按供应商实际控制人性别划分请填写“男”或“女”，指拥有供应商 51%以上绝对所有权的性；绝对所有权拥有者可以是一个人，也可以是多人合计计算。</w:t>
      </w:r>
    </w:p>
    <w:p w14:paraId="6C85D95C">
      <w:pPr>
        <w:pStyle w:val="37"/>
        <w:ind w:left="0" w:leftChars="0" w:firstLine="420" w:firstLineChars="200"/>
        <w:rPr>
          <w:rFonts w:hint="eastAsia"/>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外商投资类型</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请填写“外商单独投资”、“外商部分投资”或“内资”。</w:t>
      </w:r>
    </w:p>
    <w:p w14:paraId="74B37C36">
      <w:pPr>
        <w:pStyle w:val="37"/>
        <w:rPr>
          <w:rFonts w:hint="eastAsia"/>
          <w:color w:val="auto"/>
          <w:sz w:val="28"/>
          <w:szCs w:val="28"/>
          <w:highlight w:val="none"/>
          <w:lang w:val="en-US" w:eastAsia="zh-CN"/>
        </w:rPr>
      </w:pPr>
    </w:p>
    <w:p w14:paraId="3F26FF37">
      <w:pPr>
        <w:pStyle w:val="37"/>
        <w:rPr>
          <w:rFonts w:hint="eastAsia"/>
          <w:color w:val="auto"/>
          <w:sz w:val="24"/>
          <w:szCs w:val="24"/>
          <w:highlight w:val="none"/>
          <w:lang w:val="en-US" w:eastAsia="zh-CN"/>
        </w:rPr>
      </w:pPr>
      <w:r>
        <w:rPr>
          <w:rFonts w:hint="eastAsia"/>
          <w:color w:val="auto"/>
          <w:sz w:val="24"/>
          <w:szCs w:val="24"/>
          <w:highlight w:val="none"/>
          <w:lang w:val="en-US" w:eastAsia="zh-CN"/>
        </w:rPr>
        <w:t>1.2其它商务、技术资料和证明材料</w:t>
      </w:r>
    </w:p>
    <w:p w14:paraId="110B54DA">
      <w:pPr>
        <w:pStyle w:val="37"/>
        <w:ind w:left="0" w:leftChars="0" w:firstLine="0" w:firstLineChars="0"/>
        <w:rPr>
          <w:rFonts w:hint="eastAsia"/>
          <w:b/>
          <w:bCs/>
          <w:color w:val="auto"/>
          <w:sz w:val="24"/>
          <w:szCs w:val="24"/>
          <w:highlight w:val="none"/>
          <w:lang w:eastAsia="zh-CN"/>
        </w:rPr>
      </w:pPr>
    </w:p>
    <w:p w14:paraId="7DF13FE9">
      <w:pPr>
        <w:pStyle w:val="37"/>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二）</w:t>
      </w:r>
      <w:r>
        <w:rPr>
          <w:rFonts w:hint="eastAsia"/>
          <w:b/>
          <w:bCs/>
          <w:color w:val="auto"/>
          <w:sz w:val="24"/>
          <w:szCs w:val="24"/>
          <w:highlight w:val="none"/>
        </w:rPr>
        <w:t>投标人认为需要提供的其它商务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技术资料和说明。</w:t>
      </w:r>
    </w:p>
    <w:p w14:paraId="19AD8ACA">
      <w:pPr>
        <w:pStyle w:val="37"/>
        <w:rPr>
          <w:rFonts w:hint="eastAsia"/>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DejaVuSan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5237">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4804"/>
                          </w:sdtPr>
                          <w:sdtContent>
                            <w:p w14:paraId="43E63C1D">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18A90B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4804"/>
                    </w:sdtPr>
                    <w:sdtContent>
                      <w:p w14:paraId="43E63C1D">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18A90BE"/>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757FD">
                          <w:pPr>
                            <w:pStyle w:val="1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3757FD">
                    <w:pPr>
                      <w:pStyle w:val="1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1052">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428888"/>
                          </w:sdtPr>
                          <w:sdtContent>
                            <w:p w14:paraId="1087FA9B">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48A793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78428888"/>
                    </w:sdtPr>
                    <w:sdtContent>
                      <w:p w14:paraId="1087FA9B">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48A7938"/>
                </w:txbxContent>
              </v:textbox>
            </v:shape>
          </w:pict>
        </mc:Fallback>
      </mc:AlternateContent>
    </w:r>
  </w:p>
  <w:p w14:paraId="4005E617">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7AC4">
    <w:pPr>
      <w:pStyle w:val="20"/>
      <w:keepNext w:val="0"/>
      <w:keepLines w:val="0"/>
      <w:pageBreakBefore w:val="0"/>
      <w:widowControl w:val="0"/>
      <w:kinsoku/>
      <w:wordWrap/>
      <w:overflowPunct/>
      <w:topLinePunct w:val="0"/>
      <w:bidi w:val="0"/>
      <w:adjustRightInd/>
      <w:snapToGrid w:val="0"/>
      <w:jc w:val="right"/>
      <w:textAlignment w:val="auto"/>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20"/>
    </w:pPr>
    <w:r>
      <w:rPr>
        <w:rFonts w:hint="eastAsia"/>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70575"/>
    <w:multiLevelType w:val="singleLevel"/>
    <w:tmpl w:val="9C070575"/>
    <w:lvl w:ilvl="0" w:tentative="0">
      <w:start w:val="1"/>
      <w:numFmt w:val="decimal"/>
      <w:pStyle w:val="7"/>
      <w:lvlText w:val="%1."/>
      <w:lvlJc w:val="left"/>
      <w:pPr>
        <w:tabs>
          <w:tab w:val="left" w:pos="780"/>
        </w:tabs>
        <w:ind w:left="780" w:hanging="360"/>
      </w:pPr>
    </w:lvl>
  </w:abstractNum>
  <w:abstractNum w:abstractNumId="1">
    <w:nsid w:val="AC8FD579"/>
    <w:multiLevelType w:val="singleLevel"/>
    <w:tmpl w:val="AC8FD579"/>
    <w:lvl w:ilvl="0" w:tentative="0">
      <w:start w:val="1"/>
      <w:numFmt w:val="decimal"/>
      <w:lvlText w:val="%1."/>
      <w:lvlJc w:val="left"/>
      <w:pPr>
        <w:tabs>
          <w:tab w:val="left" w:pos="312"/>
        </w:tabs>
      </w:p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37897F8"/>
    <w:multiLevelType w:val="singleLevel"/>
    <w:tmpl w:val="E37897F8"/>
    <w:lvl w:ilvl="0" w:tentative="0">
      <w:start w:val="3"/>
      <w:numFmt w:val="chineseCounting"/>
      <w:suff w:val="nothing"/>
      <w:lvlText w:val="%1、"/>
      <w:lvlJc w:val="left"/>
      <w:rPr>
        <w:rFonts w:hint="eastAsia"/>
      </w:r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1C761375"/>
    <w:multiLevelType w:val="multilevel"/>
    <w:tmpl w:val="1C76137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47B6378"/>
    <w:multiLevelType w:val="multilevel"/>
    <w:tmpl w:val="447B6378"/>
    <w:lvl w:ilvl="0" w:tentative="0">
      <w:start w:val="1"/>
      <w:numFmt w:val="decimal"/>
      <w:pStyle w:val="39"/>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5504026"/>
    <w:multiLevelType w:val="multilevel"/>
    <w:tmpl w:val="7550402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0F6431"/>
    <w:multiLevelType w:val="singleLevel"/>
    <w:tmpl w:val="7A0F6431"/>
    <w:lvl w:ilvl="0" w:tentative="0">
      <w:start w:val="1"/>
      <w:numFmt w:val="decimal"/>
      <w:suff w:val="space"/>
      <w:lvlText w:val="%1."/>
      <w:lvlJc w:val="left"/>
    </w:lvl>
  </w:abstractNum>
  <w:num w:numId="1">
    <w:abstractNumId w:val="0"/>
  </w:num>
  <w:num w:numId="2">
    <w:abstractNumId w:val="10"/>
  </w:num>
  <w:num w:numId="3">
    <w:abstractNumId w:val="1"/>
  </w:num>
  <w:num w:numId="4">
    <w:abstractNumId w:val="7"/>
  </w:num>
  <w:num w:numId="5">
    <w:abstractNumId w:val="12"/>
  </w:num>
  <w:num w:numId="6">
    <w:abstractNumId w:val="3"/>
  </w:num>
  <w:num w:numId="7">
    <w:abstractNumId w:val="8"/>
  </w:num>
  <w:num w:numId="8">
    <w:abstractNumId w:val="5"/>
  </w:num>
  <w:num w:numId="9">
    <w:abstractNumId w:val="4"/>
  </w:num>
  <w:num w:numId="10">
    <w:abstractNumId w:val="2"/>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172A27"/>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0EAD"/>
    <w:rsid w:val="00156600"/>
    <w:rsid w:val="00160E9C"/>
    <w:rsid w:val="00172190"/>
    <w:rsid w:val="00173480"/>
    <w:rsid w:val="00181988"/>
    <w:rsid w:val="00182557"/>
    <w:rsid w:val="0018304A"/>
    <w:rsid w:val="001904E9"/>
    <w:rsid w:val="001A77DE"/>
    <w:rsid w:val="001B36EC"/>
    <w:rsid w:val="001D7B23"/>
    <w:rsid w:val="001E2F56"/>
    <w:rsid w:val="00204A2D"/>
    <w:rsid w:val="002062E6"/>
    <w:rsid w:val="00207131"/>
    <w:rsid w:val="0022214D"/>
    <w:rsid w:val="00223585"/>
    <w:rsid w:val="002257E4"/>
    <w:rsid w:val="002317DB"/>
    <w:rsid w:val="00232245"/>
    <w:rsid w:val="0023265E"/>
    <w:rsid w:val="00235B5A"/>
    <w:rsid w:val="00251060"/>
    <w:rsid w:val="002514A3"/>
    <w:rsid w:val="00256B32"/>
    <w:rsid w:val="00256D01"/>
    <w:rsid w:val="002706F2"/>
    <w:rsid w:val="00271135"/>
    <w:rsid w:val="00285E30"/>
    <w:rsid w:val="00292BAB"/>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D6656"/>
    <w:rsid w:val="003E057C"/>
    <w:rsid w:val="003E2B14"/>
    <w:rsid w:val="003E314B"/>
    <w:rsid w:val="003F5655"/>
    <w:rsid w:val="003F5BC6"/>
    <w:rsid w:val="004021C6"/>
    <w:rsid w:val="00406BEF"/>
    <w:rsid w:val="00410595"/>
    <w:rsid w:val="00420F7C"/>
    <w:rsid w:val="0043307A"/>
    <w:rsid w:val="00433514"/>
    <w:rsid w:val="00446BB3"/>
    <w:rsid w:val="0045353D"/>
    <w:rsid w:val="004771C7"/>
    <w:rsid w:val="00481283"/>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714C6"/>
    <w:rsid w:val="00594E7A"/>
    <w:rsid w:val="005A146E"/>
    <w:rsid w:val="005A7208"/>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2EF7"/>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0750"/>
    <w:rsid w:val="00923C36"/>
    <w:rsid w:val="00924B8E"/>
    <w:rsid w:val="00930024"/>
    <w:rsid w:val="009344DE"/>
    <w:rsid w:val="009357E5"/>
    <w:rsid w:val="00936087"/>
    <w:rsid w:val="00945D17"/>
    <w:rsid w:val="00951FEE"/>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295D"/>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32474"/>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57B"/>
    <w:rsid w:val="00BC7ED2"/>
    <w:rsid w:val="00BD0190"/>
    <w:rsid w:val="00BE212E"/>
    <w:rsid w:val="00BE4AAB"/>
    <w:rsid w:val="00BE5086"/>
    <w:rsid w:val="00BF4971"/>
    <w:rsid w:val="00C07F40"/>
    <w:rsid w:val="00C12E85"/>
    <w:rsid w:val="00C16A79"/>
    <w:rsid w:val="00C20278"/>
    <w:rsid w:val="00C22791"/>
    <w:rsid w:val="00C236DC"/>
    <w:rsid w:val="00C31B7F"/>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A0745"/>
    <w:rsid w:val="00EC7C64"/>
    <w:rsid w:val="00ED00D6"/>
    <w:rsid w:val="00EE26DC"/>
    <w:rsid w:val="00EE3FF1"/>
    <w:rsid w:val="00EE5816"/>
    <w:rsid w:val="00F03292"/>
    <w:rsid w:val="00F0565C"/>
    <w:rsid w:val="00F121AE"/>
    <w:rsid w:val="00F15852"/>
    <w:rsid w:val="00F23F4B"/>
    <w:rsid w:val="00F462F0"/>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064C9A"/>
    <w:rsid w:val="01303AC5"/>
    <w:rsid w:val="013E61E2"/>
    <w:rsid w:val="014F4893"/>
    <w:rsid w:val="01554610"/>
    <w:rsid w:val="016D4814"/>
    <w:rsid w:val="01781929"/>
    <w:rsid w:val="017C564F"/>
    <w:rsid w:val="01877B89"/>
    <w:rsid w:val="019E3125"/>
    <w:rsid w:val="01BA39DE"/>
    <w:rsid w:val="01CA216C"/>
    <w:rsid w:val="01D0068D"/>
    <w:rsid w:val="01D775B9"/>
    <w:rsid w:val="01DD3C4D"/>
    <w:rsid w:val="01F21968"/>
    <w:rsid w:val="02026E30"/>
    <w:rsid w:val="02132174"/>
    <w:rsid w:val="02186A33"/>
    <w:rsid w:val="022278B2"/>
    <w:rsid w:val="023130F5"/>
    <w:rsid w:val="024737BC"/>
    <w:rsid w:val="024C2B81"/>
    <w:rsid w:val="026D3223"/>
    <w:rsid w:val="028604AE"/>
    <w:rsid w:val="028B75EF"/>
    <w:rsid w:val="028D5673"/>
    <w:rsid w:val="02922C89"/>
    <w:rsid w:val="029D33DC"/>
    <w:rsid w:val="02AD3196"/>
    <w:rsid w:val="02C44E0D"/>
    <w:rsid w:val="02C9326F"/>
    <w:rsid w:val="02DA63DE"/>
    <w:rsid w:val="02DF39F5"/>
    <w:rsid w:val="02EF5EA2"/>
    <w:rsid w:val="03200295"/>
    <w:rsid w:val="0361440A"/>
    <w:rsid w:val="036D7252"/>
    <w:rsid w:val="03747EC0"/>
    <w:rsid w:val="03922815"/>
    <w:rsid w:val="03990047"/>
    <w:rsid w:val="03AD07B5"/>
    <w:rsid w:val="03AF1619"/>
    <w:rsid w:val="03B7227C"/>
    <w:rsid w:val="03C07382"/>
    <w:rsid w:val="03C350C4"/>
    <w:rsid w:val="03E07A24"/>
    <w:rsid w:val="03E2554B"/>
    <w:rsid w:val="03E30F7F"/>
    <w:rsid w:val="03EA08A3"/>
    <w:rsid w:val="03F62DA4"/>
    <w:rsid w:val="04001E75"/>
    <w:rsid w:val="040E4592"/>
    <w:rsid w:val="04293179"/>
    <w:rsid w:val="043833BC"/>
    <w:rsid w:val="04446205"/>
    <w:rsid w:val="04506958"/>
    <w:rsid w:val="045126D0"/>
    <w:rsid w:val="045D72C7"/>
    <w:rsid w:val="045F303F"/>
    <w:rsid w:val="04820ADC"/>
    <w:rsid w:val="04893C18"/>
    <w:rsid w:val="04951C17"/>
    <w:rsid w:val="049F343C"/>
    <w:rsid w:val="04B14F1D"/>
    <w:rsid w:val="04F01EE9"/>
    <w:rsid w:val="04F574FF"/>
    <w:rsid w:val="05025778"/>
    <w:rsid w:val="052E656D"/>
    <w:rsid w:val="053A4F12"/>
    <w:rsid w:val="053F247C"/>
    <w:rsid w:val="05595CE0"/>
    <w:rsid w:val="057C377D"/>
    <w:rsid w:val="057E74F5"/>
    <w:rsid w:val="05810D93"/>
    <w:rsid w:val="05812B41"/>
    <w:rsid w:val="05B362B9"/>
    <w:rsid w:val="05C2565F"/>
    <w:rsid w:val="05C72C4A"/>
    <w:rsid w:val="05CB2336"/>
    <w:rsid w:val="05D15877"/>
    <w:rsid w:val="05D215EF"/>
    <w:rsid w:val="05D2339D"/>
    <w:rsid w:val="05D37841"/>
    <w:rsid w:val="05E530D0"/>
    <w:rsid w:val="05EA4B8A"/>
    <w:rsid w:val="05FD48BE"/>
    <w:rsid w:val="06231E4A"/>
    <w:rsid w:val="06253E14"/>
    <w:rsid w:val="0633208D"/>
    <w:rsid w:val="063A16EC"/>
    <w:rsid w:val="063B53E6"/>
    <w:rsid w:val="065B7836"/>
    <w:rsid w:val="06856661"/>
    <w:rsid w:val="069114AA"/>
    <w:rsid w:val="0698763E"/>
    <w:rsid w:val="06A66D03"/>
    <w:rsid w:val="06AE7966"/>
    <w:rsid w:val="06AF6DD1"/>
    <w:rsid w:val="06B07B82"/>
    <w:rsid w:val="06B64A6C"/>
    <w:rsid w:val="06DD649D"/>
    <w:rsid w:val="06E8731C"/>
    <w:rsid w:val="06F04422"/>
    <w:rsid w:val="07047ECE"/>
    <w:rsid w:val="071C5217"/>
    <w:rsid w:val="071D4AEC"/>
    <w:rsid w:val="07210A39"/>
    <w:rsid w:val="072242D3"/>
    <w:rsid w:val="072440CC"/>
    <w:rsid w:val="0737795B"/>
    <w:rsid w:val="073F4A62"/>
    <w:rsid w:val="07442078"/>
    <w:rsid w:val="07585B24"/>
    <w:rsid w:val="078A2181"/>
    <w:rsid w:val="07941252"/>
    <w:rsid w:val="07B54D24"/>
    <w:rsid w:val="07EA70C4"/>
    <w:rsid w:val="081E0B1B"/>
    <w:rsid w:val="08534C69"/>
    <w:rsid w:val="085D7896"/>
    <w:rsid w:val="08687FE8"/>
    <w:rsid w:val="08935065"/>
    <w:rsid w:val="08997D8A"/>
    <w:rsid w:val="089A2898"/>
    <w:rsid w:val="08AD2074"/>
    <w:rsid w:val="08D306C7"/>
    <w:rsid w:val="08D538D0"/>
    <w:rsid w:val="08D77648"/>
    <w:rsid w:val="08E04023"/>
    <w:rsid w:val="08F2265D"/>
    <w:rsid w:val="09077801"/>
    <w:rsid w:val="091C32AD"/>
    <w:rsid w:val="09212671"/>
    <w:rsid w:val="0926010A"/>
    <w:rsid w:val="093D1475"/>
    <w:rsid w:val="093F343F"/>
    <w:rsid w:val="09412D13"/>
    <w:rsid w:val="095B3C9B"/>
    <w:rsid w:val="095E1B17"/>
    <w:rsid w:val="09664528"/>
    <w:rsid w:val="09704318"/>
    <w:rsid w:val="09AC1C5B"/>
    <w:rsid w:val="09B039F5"/>
    <w:rsid w:val="09BD105E"/>
    <w:rsid w:val="09CE174C"/>
    <w:rsid w:val="09EA6F07"/>
    <w:rsid w:val="09EB2C7F"/>
    <w:rsid w:val="09FE29B2"/>
    <w:rsid w:val="0A140428"/>
    <w:rsid w:val="0A1C108A"/>
    <w:rsid w:val="0A2148F3"/>
    <w:rsid w:val="0A2C5771"/>
    <w:rsid w:val="0A391C3C"/>
    <w:rsid w:val="0A3D172D"/>
    <w:rsid w:val="0A3E680D"/>
    <w:rsid w:val="0A6749FB"/>
    <w:rsid w:val="0A740EC6"/>
    <w:rsid w:val="0A7964DD"/>
    <w:rsid w:val="0A825391"/>
    <w:rsid w:val="0A9D29C6"/>
    <w:rsid w:val="0A9F4195"/>
    <w:rsid w:val="0AAB338B"/>
    <w:rsid w:val="0AD6392F"/>
    <w:rsid w:val="0AD83203"/>
    <w:rsid w:val="0AEF054D"/>
    <w:rsid w:val="0AF049F1"/>
    <w:rsid w:val="0B05734A"/>
    <w:rsid w:val="0B08583F"/>
    <w:rsid w:val="0B095AB3"/>
    <w:rsid w:val="0B0E131B"/>
    <w:rsid w:val="0B115FB9"/>
    <w:rsid w:val="0B1A381C"/>
    <w:rsid w:val="0B265A74"/>
    <w:rsid w:val="0B352404"/>
    <w:rsid w:val="0B376893"/>
    <w:rsid w:val="0B381EF4"/>
    <w:rsid w:val="0B386398"/>
    <w:rsid w:val="0B3A0D5F"/>
    <w:rsid w:val="0B3A3EBE"/>
    <w:rsid w:val="0B460AB5"/>
    <w:rsid w:val="0B536D2E"/>
    <w:rsid w:val="0B5C2086"/>
    <w:rsid w:val="0B674587"/>
    <w:rsid w:val="0B6A776A"/>
    <w:rsid w:val="0B6E5916"/>
    <w:rsid w:val="0BB24C22"/>
    <w:rsid w:val="0BD87233"/>
    <w:rsid w:val="0BF0642E"/>
    <w:rsid w:val="0BF202F5"/>
    <w:rsid w:val="0BFE313E"/>
    <w:rsid w:val="0C02649C"/>
    <w:rsid w:val="0C0B25B3"/>
    <w:rsid w:val="0C104C1F"/>
    <w:rsid w:val="0C1E6205"/>
    <w:rsid w:val="0C28640C"/>
    <w:rsid w:val="0C3C5A14"/>
    <w:rsid w:val="0C5A4DAC"/>
    <w:rsid w:val="0C5E47B4"/>
    <w:rsid w:val="0C8A677F"/>
    <w:rsid w:val="0CC04897"/>
    <w:rsid w:val="0CD12600"/>
    <w:rsid w:val="0CD520F0"/>
    <w:rsid w:val="0CD67C16"/>
    <w:rsid w:val="0CD81BE1"/>
    <w:rsid w:val="0CFB142B"/>
    <w:rsid w:val="0D0C53E6"/>
    <w:rsid w:val="0D2210AE"/>
    <w:rsid w:val="0D466B4A"/>
    <w:rsid w:val="0D611BD6"/>
    <w:rsid w:val="0D865A79"/>
    <w:rsid w:val="0D95205B"/>
    <w:rsid w:val="0D957AD2"/>
    <w:rsid w:val="0D9D0734"/>
    <w:rsid w:val="0DA90E87"/>
    <w:rsid w:val="0DB74AC1"/>
    <w:rsid w:val="0DEE50BB"/>
    <w:rsid w:val="0DEF71E2"/>
    <w:rsid w:val="0E0D58BA"/>
    <w:rsid w:val="0E0F1632"/>
    <w:rsid w:val="0E19425F"/>
    <w:rsid w:val="0E237412"/>
    <w:rsid w:val="0E2449B2"/>
    <w:rsid w:val="0E342E47"/>
    <w:rsid w:val="0E460DCC"/>
    <w:rsid w:val="0E653000"/>
    <w:rsid w:val="0E6D45AA"/>
    <w:rsid w:val="0E72396F"/>
    <w:rsid w:val="0E796AAB"/>
    <w:rsid w:val="0E7B2A67"/>
    <w:rsid w:val="0E7C0027"/>
    <w:rsid w:val="0E7E0566"/>
    <w:rsid w:val="0E7F6315"/>
    <w:rsid w:val="0E8D07A9"/>
    <w:rsid w:val="0EB36461"/>
    <w:rsid w:val="0EB45D35"/>
    <w:rsid w:val="0EBD75FE"/>
    <w:rsid w:val="0ECA5559"/>
    <w:rsid w:val="0ED87C76"/>
    <w:rsid w:val="0EF600FC"/>
    <w:rsid w:val="0F1B5913"/>
    <w:rsid w:val="0F4C0664"/>
    <w:rsid w:val="0F5337A0"/>
    <w:rsid w:val="0F711E78"/>
    <w:rsid w:val="0F917E25"/>
    <w:rsid w:val="0F96368D"/>
    <w:rsid w:val="0F9D4A1B"/>
    <w:rsid w:val="0FA062BA"/>
    <w:rsid w:val="0FA638D0"/>
    <w:rsid w:val="0FB35FED"/>
    <w:rsid w:val="0FD33C3D"/>
    <w:rsid w:val="0FE8213B"/>
    <w:rsid w:val="0FF52AA9"/>
    <w:rsid w:val="0FF860F6"/>
    <w:rsid w:val="0FF94348"/>
    <w:rsid w:val="0FFF1232"/>
    <w:rsid w:val="10047D52"/>
    <w:rsid w:val="10086339"/>
    <w:rsid w:val="10150A56"/>
    <w:rsid w:val="10240C99"/>
    <w:rsid w:val="102723E9"/>
    <w:rsid w:val="102B566C"/>
    <w:rsid w:val="104841C5"/>
    <w:rsid w:val="107439CE"/>
    <w:rsid w:val="10861954"/>
    <w:rsid w:val="1090632E"/>
    <w:rsid w:val="10A92DD3"/>
    <w:rsid w:val="10BD54A5"/>
    <w:rsid w:val="10C55FD8"/>
    <w:rsid w:val="10F845FF"/>
    <w:rsid w:val="1103023A"/>
    <w:rsid w:val="11036B00"/>
    <w:rsid w:val="11082369"/>
    <w:rsid w:val="11357D2A"/>
    <w:rsid w:val="113849FC"/>
    <w:rsid w:val="113A4C18"/>
    <w:rsid w:val="11421E5E"/>
    <w:rsid w:val="11422FE1"/>
    <w:rsid w:val="116E48C1"/>
    <w:rsid w:val="11845E93"/>
    <w:rsid w:val="11867E5D"/>
    <w:rsid w:val="11877731"/>
    <w:rsid w:val="11967974"/>
    <w:rsid w:val="11A2456B"/>
    <w:rsid w:val="11AE5258"/>
    <w:rsid w:val="11DF30C9"/>
    <w:rsid w:val="11FA6155"/>
    <w:rsid w:val="12130FC5"/>
    <w:rsid w:val="121C60CC"/>
    <w:rsid w:val="1222745A"/>
    <w:rsid w:val="12371157"/>
    <w:rsid w:val="127001C5"/>
    <w:rsid w:val="127759F8"/>
    <w:rsid w:val="127A0C92"/>
    <w:rsid w:val="127F48AC"/>
    <w:rsid w:val="128819B3"/>
    <w:rsid w:val="128F2D41"/>
    <w:rsid w:val="12942106"/>
    <w:rsid w:val="129E4D32"/>
    <w:rsid w:val="12A548F1"/>
    <w:rsid w:val="12B91B6C"/>
    <w:rsid w:val="12BA7692"/>
    <w:rsid w:val="12EF558E"/>
    <w:rsid w:val="12F9640D"/>
    <w:rsid w:val="13021765"/>
    <w:rsid w:val="13037AFF"/>
    <w:rsid w:val="130A7E39"/>
    <w:rsid w:val="132A4818"/>
    <w:rsid w:val="13456351"/>
    <w:rsid w:val="134C0C32"/>
    <w:rsid w:val="13541895"/>
    <w:rsid w:val="135D4BEE"/>
    <w:rsid w:val="137B79E1"/>
    <w:rsid w:val="13833F28"/>
    <w:rsid w:val="13E7095B"/>
    <w:rsid w:val="13E83E5F"/>
    <w:rsid w:val="14065285"/>
    <w:rsid w:val="144731A8"/>
    <w:rsid w:val="14717C9A"/>
    <w:rsid w:val="147F2942"/>
    <w:rsid w:val="14991C55"/>
    <w:rsid w:val="14AF7789"/>
    <w:rsid w:val="14D50D33"/>
    <w:rsid w:val="14DA401C"/>
    <w:rsid w:val="14EA0703"/>
    <w:rsid w:val="14EF1875"/>
    <w:rsid w:val="151E65FF"/>
    <w:rsid w:val="1537321C"/>
    <w:rsid w:val="154020D1"/>
    <w:rsid w:val="157B7F4A"/>
    <w:rsid w:val="1585042C"/>
    <w:rsid w:val="15A840F3"/>
    <w:rsid w:val="15AE1730"/>
    <w:rsid w:val="15B11221"/>
    <w:rsid w:val="15E37F2A"/>
    <w:rsid w:val="15FB249C"/>
    <w:rsid w:val="15FF3D3A"/>
    <w:rsid w:val="16383AE2"/>
    <w:rsid w:val="16565924"/>
    <w:rsid w:val="16571DC8"/>
    <w:rsid w:val="16646293"/>
    <w:rsid w:val="16685D83"/>
    <w:rsid w:val="167C182F"/>
    <w:rsid w:val="167C538B"/>
    <w:rsid w:val="167D1103"/>
    <w:rsid w:val="167D2FDD"/>
    <w:rsid w:val="168727C2"/>
    <w:rsid w:val="16AE5760"/>
    <w:rsid w:val="16AE750E"/>
    <w:rsid w:val="16AF2A39"/>
    <w:rsid w:val="16B40FC8"/>
    <w:rsid w:val="16BC1C2B"/>
    <w:rsid w:val="16BD0A63"/>
    <w:rsid w:val="16C46D32"/>
    <w:rsid w:val="16CB4564"/>
    <w:rsid w:val="16E3540A"/>
    <w:rsid w:val="16E442B3"/>
    <w:rsid w:val="1711641B"/>
    <w:rsid w:val="1719707D"/>
    <w:rsid w:val="17215F32"/>
    <w:rsid w:val="172872C1"/>
    <w:rsid w:val="17457E73"/>
    <w:rsid w:val="174F6F43"/>
    <w:rsid w:val="175814CF"/>
    <w:rsid w:val="176821F4"/>
    <w:rsid w:val="177E1C86"/>
    <w:rsid w:val="17944956"/>
    <w:rsid w:val="179B7A92"/>
    <w:rsid w:val="17A62B6F"/>
    <w:rsid w:val="17AD77C6"/>
    <w:rsid w:val="17B62B1E"/>
    <w:rsid w:val="17CB7119"/>
    <w:rsid w:val="17DB67AF"/>
    <w:rsid w:val="18041ADC"/>
    <w:rsid w:val="18495740"/>
    <w:rsid w:val="185A794E"/>
    <w:rsid w:val="18891474"/>
    <w:rsid w:val="188E6B63"/>
    <w:rsid w:val="188F0B1E"/>
    <w:rsid w:val="18C272A1"/>
    <w:rsid w:val="18D314AE"/>
    <w:rsid w:val="18DA283C"/>
    <w:rsid w:val="18F90F15"/>
    <w:rsid w:val="192D6E10"/>
    <w:rsid w:val="19373862"/>
    <w:rsid w:val="193D1CBA"/>
    <w:rsid w:val="19520625"/>
    <w:rsid w:val="19526877"/>
    <w:rsid w:val="19856C4C"/>
    <w:rsid w:val="199665EC"/>
    <w:rsid w:val="19CC03D7"/>
    <w:rsid w:val="19D2300F"/>
    <w:rsid w:val="19EC5173"/>
    <w:rsid w:val="19F872A0"/>
    <w:rsid w:val="1A352420"/>
    <w:rsid w:val="1A377809"/>
    <w:rsid w:val="1A452ACF"/>
    <w:rsid w:val="1A512FD2"/>
    <w:rsid w:val="1A5D54D3"/>
    <w:rsid w:val="1ADA2FC8"/>
    <w:rsid w:val="1AE259D8"/>
    <w:rsid w:val="1AE35507"/>
    <w:rsid w:val="1AEB2ADF"/>
    <w:rsid w:val="1AF04599"/>
    <w:rsid w:val="1AFC1190"/>
    <w:rsid w:val="1B1863C8"/>
    <w:rsid w:val="1B2129A5"/>
    <w:rsid w:val="1B3B1964"/>
    <w:rsid w:val="1B3E3557"/>
    <w:rsid w:val="1B5E7755"/>
    <w:rsid w:val="1B636B19"/>
    <w:rsid w:val="1B6805D3"/>
    <w:rsid w:val="1B7E1468"/>
    <w:rsid w:val="1B825739"/>
    <w:rsid w:val="1B83540D"/>
    <w:rsid w:val="1BA62EAA"/>
    <w:rsid w:val="1BC17CE4"/>
    <w:rsid w:val="1BCC0B62"/>
    <w:rsid w:val="1BDD4B1E"/>
    <w:rsid w:val="1BE35EAC"/>
    <w:rsid w:val="1BE718C7"/>
    <w:rsid w:val="1BF43C15"/>
    <w:rsid w:val="1C146065"/>
    <w:rsid w:val="1C1B73F4"/>
    <w:rsid w:val="1C2F10F1"/>
    <w:rsid w:val="1C3B1844"/>
    <w:rsid w:val="1C406E5A"/>
    <w:rsid w:val="1C495921"/>
    <w:rsid w:val="1C4F709D"/>
    <w:rsid w:val="1C744D56"/>
    <w:rsid w:val="1C7A6810"/>
    <w:rsid w:val="1C7B7E93"/>
    <w:rsid w:val="1C7D1E5D"/>
    <w:rsid w:val="1C8036FB"/>
    <w:rsid w:val="1C9C6787"/>
    <w:rsid w:val="1CD770EC"/>
    <w:rsid w:val="1CE43C8A"/>
    <w:rsid w:val="1D183933"/>
    <w:rsid w:val="1D210A3A"/>
    <w:rsid w:val="1D3764AF"/>
    <w:rsid w:val="1D4F5570"/>
    <w:rsid w:val="1D5E1C8E"/>
    <w:rsid w:val="1D61177E"/>
    <w:rsid w:val="1D7E7C3A"/>
    <w:rsid w:val="1D8D4321"/>
    <w:rsid w:val="1D9C27B6"/>
    <w:rsid w:val="1DA35CDF"/>
    <w:rsid w:val="1DAA4ED3"/>
    <w:rsid w:val="1DC615E1"/>
    <w:rsid w:val="1DC835AB"/>
    <w:rsid w:val="1DFD14A7"/>
    <w:rsid w:val="1E037E3E"/>
    <w:rsid w:val="1E2F7187"/>
    <w:rsid w:val="1E340C41"/>
    <w:rsid w:val="1E401394"/>
    <w:rsid w:val="1E403BB4"/>
    <w:rsid w:val="1E435EE1"/>
    <w:rsid w:val="1E4A2212"/>
    <w:rsid w:val="1E6908EA"/>
    <w:rsid w:val="1E766B63"/>
    <w:rsid w:val="1E8A6AB3"/>
    <w:rsid w:val="1E9B2A6E"/>
    <w:rsid w:val="1EAF02C7"/>
    <w:rsid w:val="1EBA1146"/>
    <w:rsid w:val="1EC73863"/>
    <w:rsid w:val="1ED46823"/>
    <w:rsid w:val="1EDB24C3"/>
    <w:rsid w:val="1EDF295B"/>
    <w:rsid w:val="1F046865"/>
    <w:rsid w:val="1F1D16D5"/>
    <w:rsid w:val="1F204D21"/>
    <w:rsid w:val="1F2760B0"/>
    <w:rsid w:val="1F460C2C"/>
    <w:rsid w:val="1F525822"/>
    <w:rsid w:val="1F58270D"/>
    <w:rsid w:val="1F5F1CED"/>
    <w:rsid w:val="1F696C18"/>
    <w:rsid w:val="1F707A57"/>
    <w:rsid w:val="1F7237CF"/>
    <w:rsid w:val="1F770DE5"/>
    <w:rsid w:val="1F833C2E"/>
    <w:rsid w:val="1F890B18"/>
    <w:rsid w:val="1F8D0609"/>
    <w:rsid w:val="1FB82BC8"/>
    <w:rsid w:val="1FCA53B9"/>
    <w:rsid w:val="1FD47FE6"/>
    <w:rsid w:val="1FE31481"/>
    <w:rsid w:val="1FF16DE9"/>
    <w:rsid w:val="1FF468DA"/>
    <w:rsid w:val="200F54C2"/>
    <w:rsid w:val="201B5C14"/>
    <w:rsid w:val="20254CE5"/>
    <w:rsid w:val="2039253E"/>
    <w:rsid w:val="204A02A8"/>
    <w:rsid w:val="2059498F"/>
    <w:rsid w:val="20690166"/>
    <w:rsid w:val="20803CC9"/>
    <w:rsid w:val="209239FD"/>
    <w:rsid w:val="20CC482F"/>
    <w:rsid w:val="20E97AC1"/>
    <w:rsid w:val="20EA2A65"/>
    <w:rsid w:val="20EF2BFD"/>
    <w:rsid w:val="210112AE"/>
    <w:rsid w:val="21354AB4"/>
    <w:rsid w:val="214E2A84"/>
    <w:rsid w:val="21556257"/>
    <w:rsid w:val="215F4227"/>
    <w:rsid w:val="217F6677"/>
    <w:rsid w:val="21817CF9"/>
    <w:rsid w:val="21884BA0"/>
    <w:rsid w:val="219519F6"/>
    <w:rsid w:val="2197576F"/>
    <w:rsid w:val="219B1B95"/>
    <w:rsid w:val="21BA145D"/>
    <w:rsid w:val="21BF6A73"/>
    <w:rsid w:val="21C30312"/>
    <w:rsid w:val="21DE15EF"/>
    <w:rsid w:val="21ED1832"/>
    <w:rsid w:val="21F26E49"/>
    <w:rsid w:val="21F7445F"/>
    <w:rsid w:val="220151E4"/>
    <w:rsid w:val="22032E04"/>
    <w:rsid w:val="2217240B"/>
    <w:rsid w:val="22196184"/>
    <w:rsid w:val="222039B6"/>
    <w:rsid w:val="222B5EB7"/>
    <w:rsid w:val="2237485C"/>
    <w:rsid w:val="223E3E3C"/>
    <w:rsid w:val="227635D6"/>
    <w:rsid w:val="22794E74"/>
    <w:rsid w:val="228D26CE"/>
    <w:rsid w:val="22BB723B"/>
    <w:rsid w:val="22C87E24"/>
    <w:rsid w:val="22C95DFC"/>
    <w:rsid w:val="22EC5F17"/>
    <w:rsid w:val="22EE06E2"/>
    <w:rsid w:val="22F015DA"/>
    <w:rsid w:val="22F8223D"/>
    <w:rsid w:val="22F84FC6"/>
    <w:rsid w:val="22FD3CF7"/>
    <w:rsid w:val="230230BC"/>
    <w:rsid w:val="23243032"/>
    <w:rsid w:val="235A0EEE"/>
    <w:rsid w:val="235C6C70"/>
    <w:rsid w:val="23614286"/>
    <w:rsid w:val="23712585"/>
    <w:rsid w:val="23C93BD9"/>
    <w:rsid w:val="242B03F0"/>
    <w:rsid w:val="243472A5"/>
    <w:rsid w:val="2440076D"/>
    <w:rsid w:val="249E6E14"/>
    <w:rsid w:val="24A563F4"/>
    <w:rsid w:val="24B228BF"/>
    <w:rsid w:val="24D171E9"/>
    <w:rsid w:val="24EF141E"/>
    <w:rsid w:val="25034EC9"/>
    <w:rsid w:val="250C0222"/>
    <w:rsid w:val="25461985"/>
    <w:rsid w:val="25586D6C"/>
    <w:rsid w:val="256516E0"/>
    <w:rsid w:val="256B319A"/>
    <w:rsid w:val="25781413"/>
    <w:rsid w:val="257858B7"/>
    <w:rsid w:val="258B383C"/>
    <w:rsid w:val="259455FA"/>
    <w:rsid w:val="259F4BF2"/>
    <w:rsid w:val="25A246E2"/>
    <w:rsid w:val="25AD5EB4"/>
    <w:rsid w:val="25B662E5"/>
    <w:rsid w:val="25BF5294"/>
    <w:rsid w:val="25C2759F"/>
    <w:rsid w:val="25C63DCF"/>
    <w:rsid w:val="25C74149"/>
    <w:rsid w:val="25DE267C"/>
    <w:rsid w:val="25E46AA9"/>
    <w:rsid w:val="25E66CC5"/>
    <w:rsid w:val="25FA62CC"/>
    <w:rsid w:val="26143832"/>
    <w:rsid w:val="26207C3D"/>
    <w:rsid w:val="262275D1"/>
    <w:rsid w:val="26325A66"/>
    <w:rsid w:val="263712CE"/>
    <w:rsid w:val="26456C5F"/>
    <w:rsid w:val="264D6D44"/>
    <w:rsid w:val="26635DE5"/>
    <w:rsid w:val="26977FBF"/>
    <w:rsid w:val="26AF355A"/>
    <w:rsid w:val="26B50445"/>
    <w:rsid w:val="26B54405"/>
    <w:rsid w:val="26B835BD"/>
    <w:rsid w:val="26BC17D3"/>
    <w:rsid w:val="26DC11F6"/>
    <w:rsid w:val="26EC191F"/>
    <w:rsid w:val="26F251F5"/>
    <w:rsid w:val="270C62B7"/>
    <w:rsid w:val="27473793"/>
    <w:rsid w:val="27677991"/>
    <w:rsid w:val="27802801"/>
    <w:rsid w:val="278A123C"/>
    <w:rsid w:val="27963D10"/>
    <w:rsid w:val="279F537D"/>
    <w:rsid w:val="27DF5779"/>
    <w:rsid w:val="280451E0"/>
    <w:rsid w:val="280E7BD2"/>
    <w:rsid w:val="28177609"/>
    <w:rsid w:val="28186EDD"/>
    <w:rsid w:val="281C077C"/>
    <w:rsid w:val="28247630"/>
    <w:rsid w:val="282615FA"/>
    <w:rsid w:val="282910EA"/>
    <w:rsid w:val="28396E4B"/>
    <w:rsid w:val="283E4B96"/>
    <w:rsid w:val="28414686"/>
    <w:rsid w:val="28447CD2"/>
    <w:rsid w:val="284B2E0F"/>
    <w:rsid w:val="284D6B87"/>
    <w:rsid w:val="28550131"/>
    <w:rsid w:val="28642123"/>
    <w:rsid w:val="28757E8C"/>
    <w:rsid w:val="287E4F92"/>
    <w:rsid w:val="28B07116"/>
    <w:rsid w:val="28B9421C"/>
    <w:rsid w:val="28CB21A2"/>
    <w:rsid w:val="28CC2935"/>
    <w:rsid w:val="28E62B38"/>
    <w:rsid w:val="28E868B0"/>
    <w:rsid w:val="28F25980"/>
    <w:rsid w:val="28F96D0F"/>
    <w:rsid w:val="290673F2"/>
    <w:rsid w:val="290B7A2E"/>
    <w:rsid w:val="2944442E"/>
    <w:rsid w:val="29493E9D"/>
    <w:rsid w:val="29606D8E"/>
    <w:rsid w:val="2964062C"/>
    <w:rsid w:val="29787C34"/>
    <w:rsid w:val="298131E9"/>
    <w:rsid w:val="298760C9"/>
    <w:rsid w:val="29927747"/>
    <w:rsid w:val="29AE7AF9"/>
    <w:rsid w:val="29C54E43"/>
    <w:rsid w:val="29C9048F"/>
    <w:rsid w:val="29CB06AB"/>
    <w:rsid w:val="29CD196C"/>
    <w:rsid w:val="29FA689B"/>
    <w:rsid w:val="2A007C29"/>
    <w:rsid w:val="2A0108B7"/>
    <w:rsid w:val="2A04596B"/>
    <w:rsid w:val="2A133E00"/>
    <w:rsid w:val="2A1536D4"/>
    <w:rsid w:val="2A1A0CEB"/>
    <w:rsid w:val="2A202079"/>
    <w:rsid w:val="2A2E4796"/>
    <w:rsid w:val="2A500BB0"/>
    <w:rsid w:val="2A506E02"/>
    <w:rsid w:val="2A5C57A7"/>
    <w:rsid w:val="2A6B3832"/>
    <w:rsid w:val="2A88659C"/>
    <w:rsid w:val="2A906CB5"/>
    <w:rsid w:val="2A954815"/>
    <w:rsid w:val="2ABE1FBE"/>
    <w:rsid w:val="2AD0584D"/>
    <w:rsid w:val="2AEE4B12"/>
    <w:rsid w:val="2AFE685E"/>
    <w:rsid w:val="2B057BED"/>
    <w:rsid w:val="2B060A50"/>
    <w:rsid w:val="2B0A5203"/>
    <w:rsid w:val="2B116592"/>
    <w:rsid w:val="2B193698"/>
    <w:rsid w:val="2B1C4F36"/>
    <w:rsid w:val="2B2160A9"/>
    <w:rsid w:val="2B400C25"/>
    <w:rsid w:val="2B4714A0"/>
    <w:rsid w:val="2B471FB3"/>
    <w:rsid w:val="2B606BD1"/>
    <w:rsid w:val="2B612949"/>
    <w:rsid w:val="2B6C5576"/>
    <w:rsid w:val="2B717030"/>
    <w:rsid w:val="2B74267D"/>
    <w:rsid w:val="2B762899"/>
    <w:rsid w:val="2B7663F5"/>
    <w:rsid w:val="2B7E52A9"/>
    <w:rsid w:val="2BA50A88"/>
    <w:rsid w:val="2BAA2542"/>
    <w:rsid w:val="2BB60EE7"/>
    <w:rsid w:val="2BCA4992"/>
    <w:rsid w:val="2BE035C8"/>
    <w:rsid w:val="2BF24188"/>
    <w:rsid w:val="2BF65788"/>
    <w:rsid w:val="2BFD08C4"/>
    <w:rsid w:val="2C235EB7"/>
    <w:rsid w:val="2C2B5431"/>
    <w:rsid w:val="2C610E53"/>
    <w:rsid w:val="2C6646BB"/>
    <w:rsid w:val="2C9C1E8B"/>
    <w:rsid w:val="2C9F3729"/>
    <w:rsid w:val="2CAF267A"/>
    <w:rsid w:val="2CBE197F"/>
    <w:rsid w:val="2CCB6C14"/>
    <w:rsid w:val="2CE51A84"/>
    <w:rsid w:val="2CE90E48"/>
    <w:rsid w:val="2CED0939"/>
    <w:rsid w:val="2CF27CFD"/>
    <w:rsid w:val="2CF577ED"/>
    <w:rsid w:val="2CFA3055"/>
    <w:rsid w:val="2D012636"/>
    <w:rsid w:val="2D016C6B"/>
    <w:rsid w:val="2D0D2D89"/>
    <w:rsid w:val="2D2B1461"/>
    <w:rsid w:val="2D2D1B91"/>
    <w:rsid w:val="2D5B7F98"/>
    <w:rsid w:val="2D6A6CF3"/>
    <w:rsid w:val="2D8D7A26"/>
    <w:rsid w:val="2DB9081B"/>
    <w:rsid w:val="2DCE2518"/>
    <w:rsid w:val="2DD218DC"/>
    <w:rsid w:val="2DDB69E3"/>
    <w:rsid w:val="2DE735DA"/>
    <w:rsid w:val="2DEF7457"/>
    <w:rsid w:val="2E093AD9"/>
    <w:rsid w:val="2E0A0E72"/>
    <w:rsid w:val="2E426A62"/>
    <w:rsid w:val="2E6B420B"/>
    <w:rsid w:val="2E6C48D9"/>
    <w:rsid w:val="2E7035CF"/>
    <w:rsid w:val="2E7D3F3E"/>
    <w:rsid w:val="2E864BA1"/>
    <w:rsid w:val="2E8F4F19"/>
    <w:rsid w:val="2EA63495"/>
    <w:rsid w:val="2EB57234"/>
    <w:rsid w:val="2EC8340B"/>
    <w:rsid w:val="2ED303B5"/>
    <w:rsid w:val="2EF35FAE"/>
    <w:rsid w:val="2EF91817"/>
    <w:rsid w:val="2EFA6A37"/>
    <w:rsid w:val="2F167CA6"/>
    <w:rsid w:val="2F25260C"/>
    <w:rsid w:val="2F452CAE"/>
    <w:rsid w:val="2F4A3E20"/>
    <w:rsid w:val="2F5D70AC"/>
    <w:rsid w:val="2F8A246F"/>
    <w:rsid w:val="2F8B61E7"/>
    <w:rsid w:val="2F904855"/>
    <w:rsid w:val="2FA33530"/>
    <w:rsid w:val="2FA36C75"/>
    <w:rsid w:val="2FB83480"/>
    <w:rsid w:val="2FBE036A"/>
    <w:rsid w:val="2FFA41B9"/>
    <w:rsid w:val="301D6DE7"/>
    <w:rsid w:val="302428C3"/>
    <w:rsid w:val="30297EDA"/>
    <w:rsid w:val="303074BA"/>
    <w:rsid w:val="30601421"/>
    <w:rsid w:val="306929CC"/>
    <w:rsid w:val="30696528"/>
    <w:rsid w:val="306B405E"/>
    <w:rsid w:val="30832D34"/>
    <w:rsid w:val="308C4B30"/>
    <w:rsid w:val="309612E7"/>
    <w:rsid w:val="30C714A1"/>
    <w:rsid w:val="30D53BBD"/>
    <w:rsid w:val="30EB33E1"/>
    <w:rsid w:val="30F5600E"/>
    <w:rsid w:val="30FC114A"/>
    <w:rsid w:val="31012C04"/>
    <w:rsid w:val="310E0E7D"/>
    <w:rsid w:val="31104BF6"/>
    <w:rsid w:val="314A68DF"/>
    <w:rsid w:val="317A6D88"/>
    <w:rsid w:val="317F1D7B"/>
    <w:rsid w:val="319E66A5"/>
    <w:rsid w:val="31A737AC"/>
    <w:rsid w:val="31A87524"/>
    <w:rsid w:val="31B00187"/>
    <w:rsid w:val="31D200FD"/>
    <w:rsid w:val="31DB3455"/>
    <w:rsid w:val="31DE4CF4"/>
    <w:rsid w:val="31E56082"/>
    <w:rsid w:val="31E64732"/>
    <w:rsid w:val="31F84559"/>
    <w:rsid w:val="3207249C"/>
    <w:rsid w:val="320F4D4B"/>
    <w:rsid w:val="32140715"/>
    <w:rsid w:val="3236068C"/>
    <w:rsid w:val="324059AE"/>
    <w:rsid w:val="326351F9"/>
    <w:rsid w:val="32766A06"/>
    <w:rsid w:val="327D078A"/>
    <w:rsid w:val="32933D30"/>
    <w:rsid w:val="32A7158A"/>
    <w:rsid w:val="32B31CDC"/>
    <w:rsid w:val="32C75788"/>
    <w:rsid w:val="32E165BD"/>
    <w:rsid w:val="32FA3DAF"/>
    <w:rsid w:val="330469DC"/>
    <w:rsid w:val="33244988"/>
    <w:rsid w:val="33274478"/>
    <w:rsid w:val="332B3F69"/>
    <w:rsid w:val="334A3443"/>
    <w:rsid w:val="334F40FB"/>
    <w:rsid w:val="33641229"/>
    <w:rsid w:val="338673F1"/>
    <w:rsid w:val="339D48A3"/>
    <w:rsid w:val="33AC3A1C"/>
    <w:rsid w:val="33C74846"/>
    <w:rsid w:val="33C90FDB"/>
    <w:rsid w:val="33CF6FEA"/>
    <w:rsid w:val="33F64577"/>
    <w:rsid w:val="34056568"/>
    <w:rsid w:val="343E7CCC"/>
    <w:rsid w:val="34525525"/>
    <w:rsid w:val="346040E6"/>
    <w:rsid w:val="34A0589E"/>
    <w:rsid w:val="34A67F96"/>
    <w:rsid w:val="34A9783B"/>
    <w:rsid w:val="34B0508B"/>
    <w:rsid w:val="34CE1050"/>
    <w:rsid w:val="34DF440A"/>
    <w:rsid w:val="350A581B"/>
    <w:rsid w:val="352E7D40"/>
    <w:rsid w:val="35426A60"/>
    <w:rsid w:val="35586B6B"/>
    <w:rsid w:val="355E7319"/>
    <w:rsid w:val="35690D78"/>
    <w:rsid w:val="358D36CE"/>
    <w:rsid w:val="3598340C"/>
    <w:rsid w:val="35CE6E2D"/>
    <w:rsid w:val="35DB7EC8"/>
    <w:rsid w:val="35EE2046"/>
    <w:rsid w:val="35F41640"/>
    <w:rsid w:val="361A6E50"/>
    <w:rsid w:val="362A0508"/>
    <w:rsid w:val="363967AA"/>
    <w:rsid w:val="36415851"/>
    <w:rsid w:val="36460158"/>
    <w:rsid w:val="36603F29"/>
    <w:rsid w:val="36745C27"/>
    <w:rsid w:val="36851BE2"/>
    <w:rsid w:val="368A0116"/>
    <w:rsid w:val="369116D0"/>
    <w:rsid w:val="36941E25"/>
    <w:rsid w:val="36965B9D"/>
    <w:rsid w:val="369F7E9A"/>
    <w:rsid w:val="36A4650C"/>
    <w:rsid w:val="36CC15BF"/>
    <w:rsid w:val="36EF34FF"/>
    <w:rsid w:val="370C4F32"/>
    <w:rsid w:val="370E607B"/>
    <w:rsid w:val="372907BF"/>
    <w:rsid w:val="37294C63"/>
    <w:rsid w:val="37353608"/>
    <w:rsid w:val="374D6BA3"/>
    <w:rsid w:val="37500442"/>
    <w:rsid w:val="375A6BCB"/>
    <w:rsid w:val="377A726D"/>
    <w:rsid w:val="377E4FAF"/>
    <w:rsid w:val="37971BCD"/>
    <w:rsid w:val="37A75B88"/>
    <w:rsid w:val="37BA3B0D"/>
    <w:rsid w:val="37D921E5"/>
    <w:rsid w:val="37F51788"/>
    <w:rsid w:val="37F92887"/>
    <w:rsid w:val="37FC2378"/>
    <w:rsid w:val="380C2A2C"/>
    <w:rsid w:val="384B3FA8"/>
    <w:rsid w:val="3854528C"/>
    <w:rsid w:val="38547ABE"/>
    <w:rsid w:val="38565141"/>
    <w:rsid w:val="38B41380"/>
    <w:rsid w:val="38B95B73"/>
    <w:rsid w:val="38C22C79"/>
    <w:rsid w:val="38C77A8E"/>
    <w:rsid w:val="38CF183A"/>
    <w:rsid w:val="38DF66DE"/>
    <w:rsid w:val="38E30E42"/>
    <w:rsid w:val="38E57239"/>
    <w:rsid w:val="38EF5A38"/>
    <w:rsid w:val="38F31085"/>
    <w:rsid w:val="39036257"/>
    <w:rsid w:val="390F1199"/>
    <w:rsid w:val="39367F12"/>
    <w:rsid w:val="393D0552"/>
    <w:rsid w:val="394538AA"/>
    <w:rsid w:val="394D5E49"/>
    <w:rsid w:val="39553AED"/>
    <w:rsid w:val="398F2E12"/>
    <w:rsid w:val="399531A9"/>
    <w:rsid w:val="39993E51"/>
    <w:rsid w:val="39A10631"/>
    <w:rsid w:val="39AD02F7"/>
    <w:rsid w:val="39B5458C"/>
    <w:rsid w:val="39B60304"/>
    <w:rsid w:val="39DA2245"/>
    <w:rsid w:val="39DA3FF3"/>
    <w:rsid w:val="39DF3CFF"/>
    <w:rsid w:val="39E81075"/>
    <w:rsid w:val="39EB5714"/>
    <w:rsid w:val="39F71049"/>
    <w:rsid w:val="39F96B6F"/>
    <w:rsid w:val="3A013C75"/>
    <w:rsid w:val="3A0472C2"/>
    <w:rsid w:val="3A073743"/>
    <w:rsid w:val="3A12378C"/>
    <w:rsid w:val="3A2B6F44"/>
    <w:rsid w:val="3A361B71"/>
    <w:rsid w:val="3A456E52"/>
    <w:rsid w:val="3A5A5133"/>
    <w:rsid w:val="3A631110"/>
    <w:rsid w:val="3A830B2E"/>
    <w:rsid w:val="3ABA2F86"/>
    <w:rsid w:val="3AC70A1B"/>
    <w:rsid w:val="3AEA64B7"/>
    <w:rsid w:val="3AF92B9E"/>
    <w:rsid w:val="3AFA0DF0"/>
    <w:rsid w:val="3B097226"/>
    <w:rsid w:val="3B111C96"/>
    <w:rsid w:val="3B194FEF"/>
    <w:rsid w:val="3B236ECD"/>
    <w:rsid w:val="3B497682"/>
    <w:rsid w:val="3B5F6EA5"/>
    <w:rsid w:val="3B6E70E8"/>
    <w:rsid w:val="3B765F9D"/>
    <w:rsid w:val="3B7F30A4"/>
    <w:rsid w:val="3B8561E0"/>
    <w:rsid w:val="3B8B1A48"/>
    <w:rsid w:val="3BB07701"/>
    <w:rsid w:val="3BB2349B"/>
    <w:rsid w:val="3BB54D17"/>
    <w:rsid w:val="3BBF7944"/>
    <w:rsid w:val="3BC82C9D"/>
    <w:rsid w:val="3BC9431F"/>
    <w:rsid w:val="3BE92C13"/>
    <w:rsid w:val="3C0D4B53"/>
    <w:rsid w:val="3C0E2679"/>
    <w:rsid w:val="3C2105FF"/>
    <w:rsid w:val="3C2D2B00"/>
    <w:rsid w:val="3C372D23"/>
    <w:rsid w:val="3C447E49"/>
    <w:rsid w:val="3C494757"/>
    <w:rsid w:val="3C4B11D8"/>
    <w:rsid w:val="3C4B380F"/>
    <w:rsid w:val="3C4F6F1A"/>
    <w:rsid w:val="3C720E5A"/>
    <w:rsid w:val="3CA408E8"/>
    <w:rsid w:val="3CA52FDE"/>
    <w:rsid w:val="3CC14C1F"/>
    <w:rsid w:val="3CD0758C"/>
    <w:rsid w:val="3CE358B4"/>
    <w:rsid w:val="3CE55188"/>
    <w:rsid w:val="3CF56BC9"/>
    <w:rsid w:val="3D0A4BEF"/>
    <w:rsid w:val="3D0E2E48"/>
    <w:rsid w:val="3D1D0DC6"/>
    <w:rsid w:val="3D1F37E4"/>
    <w:rsid w:val="3D211F38"/>
    <w:rsid w:val="3D235CB1"/>
    <w:rsid w:val="3D346110"/>
    <w:rsid w:val="3D37175C"/>
    <w:rsid w:val="3D4F2F4A"/>
    <w:rsid w:val="3D762284"/>
    <w:rsid w:val="3D826E7B"/>
    <w:rsid w:val="3D864BBD"/>
    <w:rsid w:val="3DDB0CD9"/>
    <w:rsid w:val="3DDD67A7"/>
    <w:rsid w:val="3DE23DBE"/>
    <w:rsid w:val="3DE90CA8"/>
    <w:rsid w:val="3E157CEF"/>
    <w:rsid w:val="3E667746"/>
    <w:rsid w:val="3E815385"/>
    <w:rsid w:val="3E885B96"/>
    <w:rsid w:val="3E952BDE"/>
    <w:rsid w:val="3EB43064"/>
    <w:rsid w:val="3EB92D70"/>
    <w:rsid w:val="3EBC22FE"/>
    <w:rsid w:val="3ECD4126"/>
    <w:rsid w:val="3EF1250A"/>
    <w:rsid w:val="3EF773F5"/>
    <w:rsid w:val="3F163D1F"/>
    <w:rsid w:val="3F450160"/>
    <w:rsid w:val="3F473ED8"/>
    <w:rsid w:val="3F4C14EF"/>
    <w:rsid w:val="3F4D019D"/>
    <w:rsid w:val="3F5860E5"/>
    <w:rsid w:val="3F591E5E"/>
    <w:rsid w:val="3F760C61"/>
    <w:rsid w:val="3F8213B4"/>
    <w:rsid w:val="3F827606"/>
    <w:rsid w:val="3F870779"/>
    <w:rsid w:val="3F890995"/>
    <w:rsid w:val="3F8A2017"/>
    <w:rsid w:val="3F917849"/>
    <w:rsid w:val="3F9B0612"/>
    <w:rsid w:val="3F9D1D4A"/>
    <w:rsid w:val="3FA241A2"/>
    <w:rsid w:val="3FAA4467"/>
    <w:rsid w:val="3FAC01DF"/>
    <w:rsid w:val="3FD85478"/>
    <w:rsid w:val="3FE536F1"/>
    <w:rsid w:val="3FE77469"/>
    <w:rsid w:val="40215D3E"/>
    <w:rsid w:val="403A57EB"/>
    <w:rsid w:val="404843AC"/>
    <w:rsid w:val="404B3E9C"/>
    <w:rsid w:val="4061546E"/>
    <w:rsid w:val="40664832"/>
    <w:rsid w:val="4079067E"/>
    <w:rsid w:val="4093139F"/>
    <w:rsid w:val="409343AF"/>
    <w:rsid w:val="409E3FCC"/>
    <w:rsid w:val="40D75730"/>
    <w:rsid w:val="40E63BC5"/>
    <w:rsid w:val="40EB4D37"/>
    <w:rsid w:val="40EC14AB"/>
    <w:rsid w:val="40FA4F7A"/>
    <w:rsid w:val="410D2F00"/>
    <w:rsid w:val="410D73A4"/>
    <w:rsid w:val="413C37E5"/>
    <w:rsid w:val="415648A7"/>
    <w:rsid w:val="415A71E1"/>
    <w:rsid w:val="41630D72"/>
    <w:rsid w:val="418807D8"/>
    <w:rsid w:val="419B675D"/>
    <w:rsid w:val="41AA69A0"/>
    <w:rsid w:val="41B15F81"/>
    <w:rsid w:val="41C31810"/>
    <w:rsid w:val="41C55588"/>
    <w:rsid w:val="41E225DE"/>
    <w:rsid w:val="41F8595E"/>
    <w:rsid w:val="42100EF9"/>
    <w:rsid w:val="4214206C"/>
    <w:rsid w:val="42454372"/>
    <w:rsid w:val="426179A2"/>
    <w:rsid w:val="427174BE"/>
    <w:rsid w:val="42786A9F"/>
    <w:rsid w:val="428B67D2"/>
    <w:rsid w:val="428E0070"/>
    <w:rsid w:val="4294310E"/>
    <w:rsid w:val="42943344"/>
    <w:rsid w:val="42970B51"/>
    <w:rsid w:val="42975177"/>
    <w:rsid w:val="429A07C3"/>
    <w:rsid w:val="42C615B8"/>
    <w:rsid w:val="42D77C69"/>
    <w:rsid w:val="42DC0DDB"/>
    <w:rsid w:val="42DE0FF8"/>
    <w:rsid w:val="42E56A55"/>
    <w:rsid w:val="42FC322C"/>
    <w:rsid w:val="43193DDE"/>
    <w:rsid w:val="43372938"/>
    <w:rsid w:val="43484F88"/>
    <w:rsid w:val="434A1275"/>
    <w:rsid w:val="435C1F1C"/>
    <w:rsid w:val="4387343D"/>
    <w:rsid w:val="43972F54"/>
    <w:rsid w:val="439E42E3"/>
    <w:rsid w:val="43A124B3"/>
    <w:rsid w:val="43B41FB7"/>
    <w:rsid w:val="43B65AD0"/>
    <w:rsid w:val="43BB4E95"/>
    <w:rsid w:val="43C55D14"/>
    <w:rsid w:val="43D85A47"/>
    <w:rsid w:val="43E837B0"/>
    <w:rsid w:val="43E97C54"/>
    <w:rsid w:val="43F11473"/>
    <w:rsid w:val="43F839F3"/>
    <w:rsid w:val="44022AC4"/>
    <w:rsid w:val="44024872"/>
    <w:rsid w:val="44044A8E"/>
    <w:rsid w:val="44184095"/>
    <w:rsid w:val="44236B1E"/>
    <w:rsid w:val="444158E6"/>
    <w:rsid w:val="444E3F5B"/>
    <w:rsid w:val="44564BBE"/>
    <w:rsid w:val="44641089"/>
    <w:rsid w:val="446948F1"/>
    <w:rsid w:val="446F3961"/>
    <w:rsid w:val="44B95F17"/>
    <w:rsid w:val="44C11AA6"/>
    <w:rsid w:val="44C75831"/>
    <w:rsid w:val="44CD7477"/>
    <w:rsid w:val="44D04970"/>
    <w:rsid w:val="44D426B2"/>
    <w:rsid w:val="44DF4BB3"/>
    <w:rsid w:val="44E346A3"/>
    <w:rsid w:val="44F3240C"/>
    <w:rsid w:val="450048CC"/>
    <w:rsid w:val="451A208F"/>
    <w:rsid w:val="452457E1"/>
    <w:rsid w:val="45350C77"/>
    <w:rsid w:val="453A628D"/>
    <w:rsid w:val="45415D40"/>
    <w:rsid w:val="45435142"/>
    <w:rsid w:val="45451DF1"/>
    <w:rsid w:val="454A4722"/>
    <w:rsid w:val="454B2248"/>
    <w:rsid w:val="45513D03"/>
    <w:rsid w:val="4554734F"/>
    <w:rsid w:val="45570447"/>
    <w:rsid w:val="45723C79"/>
    <w:rsid w:val="45B46417"/>
    <w:rsid w:val="45B86522"/>
    <w:rsid w:val="45C16BAA"/>
    <w:rsid w:val="45DB537A"/>
    <w:rsid w:val="45DE4E6B"/>
    <w:rsid w:val="45F43872"/>
    <w:rsid w:val="46113492"/>
    <w:rsid w:val="461B3AA5"/>
    <w:rsid w:val="462C5BD6"/>
    <w:rsid w:val="462E5DF2"/>
    <w:rsid w:val="464C0026"/>
    <w:rsid w:val="46655038"/>
    <w:rsid w:val="466C06C8"/>
    <w:rsid w:val="46843C64"/>
    <w:rsid w:val="46850285"/>
    <w:rsid w:val="46955E71"/>
    <w:rsid w:val="469F45FA"/>
    <w:rsid w:val="46A240EA"/>
    <w:rsid w:val="46A460B4"/>
    <w:rsid w:val="46AF05B5"/>
    <w:rsid w:val="46C94CDE"/>
    <w:rsid w:val="46D30747"/>
    <w:rsid w:val="46E14C12"/>
    <w:rsid w:val="4706474A"/>
    <w:rsid w:val="470703F1"/>
    <w:rsid w:val="470D3C59"/>
    <w:rsid w:val="471B28B4"/>
    <w:rsid w:val="473B0E1B"/>
    <w:rsid w:val="473F27FF"/>
    <w:rsid w:val="476017C6"/>
    <w:rsid w:val="47745A86"/>
    <w:rsid w:val="47811F51"/>
    <w:rsid w:val="47841A42"/>
    <w:rsid w:val="47863A0C"/>
    <w:rsid w:val="478E2D76"/>
    <w:rsid w:val="47916CB1"/>
    <w:rsid w:val="47A65E5C"/>
    <w:rsid w:val="47CA1B4A"/>
    <w:rsid w:val="47E67FE2"/>
    <w:rsid w:val="47F0014A"/>
    <w:rsid w:val="47F60B91"/>
    <w:rsid w:val="481903DC"/>
    <w:rsid w:val="486F26F2"/>
    <w:rsid w:val="48740AF8"/>
    <w:rsid w:val="487B247F"/>
    <w:rsid w:val="488E0DCA"/>
    <w:rsid w:val="48934632"/>
    <w:rsid w:val="48B56357"/>
    <w:rsid w:val="48B955C2"/>
    <w:rsid w:val="48B9571B"/>
    <w:rsid w:val="48BA396D"/>
    <w:rsid w:val="48BB76E5"/>
    <w:rsid w:val="48C657AA"/>
    <w:rsid w:val="48F30C2D"/>
    <w:rsid w:val="490177EE"/>
    <w:rsid w:val="490D6193"/>
    <w:rsid w:val="491F7C74"/>
    <w:rsid w:val="492B090F"/>
    <w:rsid w:val="492D6240"/>
    <w:rsid w:val="49382AE4"/>
    <w:rsid w:val="49417BEA"/>
    <w:rsid w:val="494852C1"/>
    <w:rsid w:val="494E0559"/>
    <w:rsid w:val="4968786D"/>
    <w:rsid w:val="496A7A12"/>
    <w:rsid w:val="496F0BFB"/>
    <w:rsid w:val="49843F7B"/>
    <w:rsid w:val="498E0956"/>
    <w:rsid w:val="49911DC2"/>
    <w:rsid w:val="499659CF"/>
    <w:rsid w:val="499A718B"/>
    <w:rsid w:val="49B52386"/>
    <w:rsid w:val="49C202E7"/>
    <w:rsid w:val="49EC3FFA"/>
    <w:rsid w:val="49F72751"/>
    <w:rsid w:val="4A1E3C56"/>
    <w:rsid w:val="4A1E617D"/>
    <w:rsid w:val="4A2D016F"/>
    <w:rsid w:val="4A421E6C"/>
    <w:rsid w:val="4A704B0B"/>
    <w:rsid w:val="4A730023"/>
    <w:rsid w:val="4A744C91"/>
    <w:rsid w:val="4A876DA6"/>
    <w:rsid w:val="4A8833F8"/>
    <w:rsid w:val="4A8A619F"/>
    <w:rsid w:val="4AA2290B"/>
    <w:rsid w:val="4AC05487"/>
    <w:rsid w:val="4AD46AF0"/>
    <w:rsid w:val="4ADF61DE"/>
    <w:rsid w:val="4ADF76BB"/>
    <w:rsid w:val="4B0071C8"/>
    <w:rsid w:val="4B0E303B"/>
    <w:rsid w:val="4B125FF6"/>
    <w:rsid w:val="4B1B110F"/>
    <w:rsid w:val="4B3F45FD"/>
    <w:rsid w:val="4B4614E8"/>
    <w:rsid w:val="4B6C4CC7"/>
    <w:rsid w:val="4B7D0C82"/>
    <w:rsid w:val="4B8244EA"/>
    <w:rsid w:val="4B8B339F"/>
    <w:rsid w:val="4B92472D"/>
    <w:rsid w:val="4BA17066"/>
    <w:rsid w:val="4BDA7172"/>
    <w:rsid w:val="4C0575F5"/>
    <w:rsid w:val="4C2B503E"/>
    <w:rsid w:val="4C312198"/>
    <w:rsid w:val="4C3253A4"/>
    <w:rsid w:val="4C3677AE"/>
    <w:rsid w:val="4C40062D"/>
    <w:rsid w:val="4C481290"/>
    <w:rsid w:val="4C651E42"/>
    <w:rsid w:val="4C735D9E"/>
    <w:rsid w:val="4C787DC7"/>
    <w:rsid w:val="4C8229F4"/>
    <w:rsid w:val="4C8C3872"/>
    <w:rsid w:val="4C987D10"/>
    <w:rsid w:val="4CA94424"/>
    <w:rsid w:val="4CAA3CF8"/>
    <w:rsid w:val="4CD62D3F"/>
    <w:rsid w:val="4CDC54ED"/>
    <w:rsid w:val="4CE0771A"/>
    <w:rsid w:val="4D331F40"/>
    <w:rsid w:val="4D3B0DF4"/>
    <w:rsid w:val="4D534390"/>
    <w:rsid w:val="4D64659D"/>
    <w:rsid w:val="4D7F6F33"/>
    <w:rsid w:val="4D9549A9"/>
    <w:rsid w:val="4D9D16E6"/>
    <w:rsid w:val="4DA76875"/>
    <w:rsid w:val="4DB017E2"/>
    <w:rsid w:val="4DB82445"/>
    <w:rsid w:val="4DC25072"/>
    <w:rsid w:val="4DC96400"/>
    <w:rsid w:val="4DD76D6F"/>
    <w:rsid w:val="4DDC4D2C"/>
    <w:rsid w:val="4DEB281B"/>
    <w:rsid w:val="4E0D453F"/>
    <w:rsid w:val="4E10402F"/>
    <w:rsid w:val="4E121B55"/>
    <w:rsid w:val="4E1E176D"/>
    <w:rsid w:val="4E2B2C17"/>
    <w:rsid w:val="4E2D698F"/>
    <w:rsid w:val="4E505C68"/>
    <w:rsid w:val="4E573A0C"/>
    <w:rsid w:val="4E5C1022"/>
    <w:rsid w:val="4E613302"/>
    <w:rsid w:val="4E760336"/>
    <w:rsid w:val="4EAC01FC"/>
    <w:rsid w:val="4EB250E6"/>
    <w:rsid w:val="4EB33338"/>
    <w:rsid w:val="4EB946C7"/>
    <w:rsid w:val="4EBE1CDD"/>
    <w:rsid w:val="4EC05A55"/>
    <w:rsid w:val="4ECA0682"/>
    <w:rsid w:val="4ECD0674"/>
    <w:rsid w:val="4ED60DD5"/>
    <w:rsid w:val="4EE74D90"/>
    <w:rsid w:val="4EEF633A"/>
    <w:rsid w:val="4F134939"/>
    <w:rsid w:val="4F1D6A04"/>
    <w:rsid w:val="4F2935FA"/>
    <w:rsid w:val="4F2A7373"/>
    <w:rsid w:val="4F437111"/>
    <w:rsid w:val="4F495A4B"/>
    <w:rsid w:val="4F587A3C"/>
    <w:rsid w:val="4F7A3E56"/>
    <w:rsid w:val="4F8C3B89"/>
    <w:rsid w:val="4F9547EC"/>
    <w:rsid w:val="4FCC21D8"/>
    <w:rsid w:val="4FE6773D"/>
    <w:rsid w:val="4FEB6B02"/>
    <w:rsid w:val="4FEE65F2"/>
    <w:rsid w:val="4FF27E90"/>
    <w:rsid w:val="50106568"/>
    <w:rsid w:val="501222E0"/>
    <w:rsid w:val="501F0559"/>
    <w:rsid w:val="5023629C"/>
    <w:rsid w:val="503A5393"/>
    <w:rsid w:val="5043249A"/>
    <w:rsid w:val="504D50C7"/>
    <w:rsid w:val="505521CD"/>
    <w:rsid w:val="5060304C"/>
    <w:rsid w:val="506A211C"/>
    <w:rsid w:val="507C3BFE"/>
    <w:rsid w:val="50827466"/>
    <w:rsid w:val="50AC49D2"/>
    <w:rsid w:val="50CC248F"/>
    <w:rsid w:val="50D21A70"/>
    <w:rsid w:val="50D457E8"/>
    <w:rsid w:val="50F6750C"/>
    <w:rsid w:val="50FB4B23"/>
    <w:rsid w:val="51160A34"/>
    <w:rsid w:val="51163F32"/>
    <w:rsid w:val="51183927"/>
    <w:rsid w:val="51226553"/>
    <w:rsid w:val="51453FF0"/>
    <w:rsid w:val="516C77CE"/>
    <w:rsid w:val="5170282E"/>
    <w:rsid w:val="519A433C"/>
    <w:rsid w:val="519B0C10"/>
    <w:rsid w:val="51AE366B"/>
    <w:rsid w:val="51D71830"/>
    <w:rsid w:val="51DF0427"/>
    <w:rsid w:val="51E23F34"/>
    <w:rsid w:val="51F83758"/>
    <w:rsid w:val="520B3E30"/>
    <w:rsid w:val="520E5B76"/>
    <w:rsid w:val="5246001F"/>
    <w:rsid w:val="528C10A0"/>
    <w:rsid w:val="52921F3F"/>
    <w:rsid w:val="52972F71"/>
    <w:rsid w:val="52B0193D"/>
    <w:rsid w:val="52BC29D7"/>
    <w:rsid w:val="52C8312A"/>
    <w:rsid w:val="52DD4E28"/>
    <w:rsid w:val="52FB52AE"/>
    <w:rsid w:val="52FB705C"/>
    <w:rsid w:val="52FC4B82"/>
    <w:rsid w:val="532E2213"/>
    <w:rsid w:val="533026AA"/>
    <w:rsid w:val="533E2F7F"/>
    <w:rsid w:val="534D3630"/>
    <w:rsid w:val="535C60FE"/>
    <w:rsid w:val="53807561"/>
    <w:rsid w:val="538708F0"/>
    <w:rsid w:val="538E7D0E"/>
    <w:rsid w:val="53A56FC8"/>
    <w:rsid w:val="53B4545D"/>
    <w:rsid w:val="53B8319F"/>
    <w:rsid w:val="53C03E02"/>
    <w:rsid w:val="53D35170"/>
    <w:rsid w:val="53DB3834"/>
    <w:rsid w:val="53DF24DA"/>
    <w:rsid w:val="53F65A75"/>
    <w:rsid w:val="53FB308C"/>
    <w:rsid w:val="5402441A"/>
    <w:rsid w:val="542F214A"/>
    <w:rsid w:val="54302D35"/>
    <w:rsid w:val="54316AAD"/>
    <w:rsid w:val="543A3BB4"/>
    <w:rsid w:val="54640C31"/>
    <w:rsid w:val="547F3CBD"/>
    <w:rsid w:val="54994D7E"/>
    <w:rsid w:val="549E786E"/>
    <w:rsid w:val="54AB6860"/>
    <w:rsid w:val="54BB2F47"/>
    <w:rsid w:val="54BE216E"/>
    <w:rsid w:val="54BF40B9"/>
    <w:rsid w:val="54D15BFA"/>
    <w:rsid w:val="550F3292"/>
    <w:rsid w:val="5512615B"/>
    <w:rsid w:val="551B6940"/>
    <w:rsid w:val="552A3C28"/>
    <w:rsid w:val="55563AD1"/>
    <w:rsid w:val="555F460E"/>
    <w:rsid w:val="556B5B8F"/>
    <w:rsid w:val="558722C8"/>
    <w:rsid w:val="558F536E"/>
    <w:rsid w:val="55C027DF"/>
    <w:rsid w:val="55C2628A"/>
    <w:rsid w:val="55CE2806"/>
    <w:rsid w:val="55D50038"/>
    <w:rsid w:val="55D63DB0"/>
    <w:rsid w:val="55DB3175"/>
    <w:rsid w:val="55E55DA1"/>
    <w:rsid w:val="55EE4C56"/>
    <w:rsid w:val="55F61D5C"/>
    <w:rsid w:val="56222B52"/>
    <w:rsid w:val="562A1B91"/>
    <w:rsid w:val="562B5B9A"/>
    <w:rsid w:val="56331D5B"/>
    <w:rsid w:val="56356D29"/>
    <w:rsid w:val="5637484F"/>
    <w:rsid w:val="5640122A"/>
    <w:rsid w:val="56570A4D"/>
    <w:rsid w:val="5661367A"/>
    <w:rsid w:val="56902358"/>
    <w:rsid w:val="56AB7BA5"/>
    <w:rsid w:val="56AF3861"/>
    <w:rsid w:val="56B85264"/>
    <w:rsid w:val="56C46C9A"/>
    <w:rsid w:val="56CA56C3"/>
    <w:rsid w:val="56CF0F2B"/>
    <w:rsid w:val="56DC53F6"/>
    <w:rsid w:val="56F40992"/>
    <w:rsid w:val="5714693E"/>
    <w:rsid w:val="575C2093"/>
    <w:rsid w:val="57664784"/>
    <w:rsid w:val="5781726E"/>
    <w:rsid w:val="578D049F"/>
    <w:rsid w:val="57BE4AFC"/>
    <w:rsid w:val="57C06AC6"/>
    <w:rsid w:val="57CE11E3"/>
    <w:rsid w:val="57CF2865"/>
    <w:rsid w:val="57E07028"/>
    <w:rsid w:val="57EC78BB"/>
    <w:rsid w:val="57F549C2"/>
    <w:rsid w:val="58010F61"/>
    <w:rsid w:val="58033583"/>
    <w:rsid w:val="581A7F84"/>
    <w:rsid w:val="58403763"/>
    <w:rsid w:val="58434227"/>
    <w:rsid w:val="584C2108"/>
    <w:rsid w:val="58550FBC"/>
    <w:rsid w:val="585D2567"/>
    <w:rsid w:val="586C6306"/>
    <w:rsid w:val="58737694"/>
    <w:rsid w:val="587F072F"/>
    <w:rsid w:val="58BA1767"/>
    <w:rsid w:val="58DC49CD"/>
    <w:rsid w:val="591A469F"/>
    <w:rsid w:val="59215342"/>
    <w:rsid w:val="59264A99"/>
    <w:rsid w:val="592941F7"/>
    <w:rsid w:val="592A3C50"/>
    <w:rsid w:val="593B46DD"/>
    <w:rsid w:val="594026BD"/>
    <w:rsid w:val="594159E5"/>
    <w:rsid w:val="59460076"/>
    <w:rsid w:val="595042A3"/>
    <w:rsid w:val="59515D8A"/>
    <w:rsid w:val="595C637A"/>
    <w:rsid w:val="5960477C"/>
    <w:rsid w:val="596B66F6"/>
    <w:rsid w:val="596D2336"/>
    <w:rsid w:val="596F6178"/>
    <w:rsid w:val="59A5674B"/>
    <w:rsid w:val="59BD150F"/>
    <w:rsid w:val="59C53F20"/>
    <w:rsid w:val="59ED3476"/>
    <w:rsid w:val="5A151F73"/>
    <w:rsid w:val="5A492DA3"/>
    <w:rsid w:val="5A53777D"/>
    <w:rsid w:val="5A582FE6"/>
    <w:rsid w:val="5A601E9A"/>
    <w:rsid w:val="5AA77AC9"/>
    <w:rsid w:val="5AA91A93"/>
    <w:rsid w:val="5ABD109B"/>
    <w:rsid w:val="5ABE4B07"/>
    <w:rsid w:val="5AC266B1"/>
    <w:rsid w:val="5AE44879"/>
    <w:rsid w:val="5AFA409D"/>
    <w:rsid w:val="5AFA5E4B"/>
    <w:rsid w:val="5B1769FD"/>
    <w:rsid w:val="5B2D6220"/>
    <w:rsid w:val="5B321A89"/>
    <w:rsid w:val="5B386973"/>
    <w:rsid w:val="5B4A6DD2"/>
    <w:rsid w:val="5B4E6197"/>
    <w:rsid w:val="5B657EA9"/>
    <w:rsid w:val="5B751975"/>
    <w:rsid w:val="5B8147BE"/>
    <w:rsid w:val="5B920779"/>
    <w:rsid w:val="5BA555B3"/>
    <w:rsid w:val="5BB47AC3"/>
    <w:rsid w:val="5BB74B2C"/>
    <w:rsid w:val="5BD41E6E"/>
    <w:rsid w:val="5BEA2363"/>
    <w:rsid w:val="5BEA5EBF"/>
    <w:rsid w:val="5BEF1728"/>
    <w:rsid w:val="5BF64864"/>
    <w:rsid w:val="5BFD3E45"/>
    <w:rsid w:val="5C2869E8"/>
    <w:rsid w:val="5C2C64D8"/>
    <w:rsid w:val="5C381321"/>
    <w:rsid w:val="5C3A6E47"/>
    <w:rsid w:val="5C3B1922"/>
    <w:rsid w:val="5C4F5402"/>
    <w:rsid w:val="5C5069F0"/>
    <w:rsid w:val="5C537F09"/>
    <w:rsid w:val="5C5477DD"/>
    <w:rsid w:val="5C5E2B95"/>
    <w:rsid w:val="5C7A1E91"/>
    <w:rsid w:val="5C8C6F77"/>
    <w:rsid w:val="5CA40764"/>
    <w:rsid w:val="5CAB5170"/>
    <w:rsid w:val="5CBD5382"/>
    <w:rsid w:val="5CCA5724"/>
    <w:rsid w:val="5CE62B2B"/>
    <w:rsid w:val="5CE70651"/>
    <w:rsid w:val="5CEE5E83"/>
    <w:rsid w:val="5D290C69"/>
    <w:rsid w:val="5D292A17"/>
    <w:rsid w:val="5D6972B8"/>
    <w:rsid w:val="5D706822"/>
    <w:rsid w:val="5D7F6ADB"/>
    <w:rsid w:val="5DAD53F7"/>
    <w:rsid w:val="5DB42C29"/>
    <w:rsid w:val="5DB669A1"/>
    <w:rsid w:val="5DBD1FCA"/>
    <w:rsid w:val="5DC0337C"/>
    <w:rsid w:val="5E084D23"/>
    <w:rsid w:val="5E092890"/>
    <w:rsid w:val="5E192A8C"/>
    <w:rsid w:val="5E1C432A"/>
    <w:rsid w:val="5E257683"/>
    <w:rsid w:val="5E282CCF"/>
    <w:rsid w:val="5E3A2E3F"/>
    <w:rsid w:val="5E510478"/>
    <w:rsid w:val="5E524438"/>
    <w:rsid w:val="5E714676"/>
    <w:rsid w:val="5E8425FB"/>
    <w:rsid w:val="5E8C6F99"/>
    <w:rsid w:val="5EAA0273"/>
    <w:rsid w:val="5ECF75EF"/>
    <w:rsid w:val="5ED54C05"/>
    <w:rsid w:val="5EF2352E"/>
    <w:rsid w:val="5EF57055"/>
    <w:rsid w:val="5EF763C6"/>
    <w:rsid w:val="5EFD0600"/>
    <w:rsid w:val="5F08322C"/>
    <w:rsid w:val="5F4E6765"/>
    <w:rsid w:val="5F5D7160"/>
    <w:rsid w:val="5F714A4F"/>
    <w:rsid w:val="5F7408C2"/>
    <w:rsid w:val="5F887EC9"/>
    <w:rsid w:val="5F893C41"/>
    <w:rsid w:val="5F8B79B9"/>
    <w:rsid w:val="5F97010C"/>
    <w:rsid w:val="5FB23198"/>
    <w:rsid w:val="5FB46F10"/>
    <w:rsid w:val="5FB90FB7"/>
    <w:rsid w:val="5FC30058"/>
    <w:rsid w:val="5FF27A39"/>
    <w:rsid w:val="5FFB0081"/>
    <w:rsid w:val="5FFE1F39"/>
    <w:rsid w:val="60060FEE"/>
    <w:rsid w:val="600A2554"/>
    <w:rsid w:val="60462E90"/>
    <w:rsid w:val="60571E01"/>
    <w:rsid w:val="606F72DB"/>
    <w:rsid w:val="60786190"/>
    <w:rsid w:val="608368E3"/>
    <w:rsid w:val="60A07495"/>
    <w:rsid w:val="60A30D33"/>
    <w:rsid w:val="60A96349"/>
    <w:rsid w:val="60AE00AB"/>
    <w:rsid w:val="60B31391"/>
    <w:rsid w:val="60C2740B"/>
    <w:rsid w:val="60C82547"/>
    <w:rsid w:val="612945BF"/>
    <w:rsid w:val="61530A39"/>
    <w:rsid w:val="6183303E"/>
    <w:rsid w:val="61923281"/>
    <w:rsid w:val="619F1863"/>
    <w:rsid w:val="61AC3CD1"/>
    <w:rsid w:val="61BF6F6D"/>
    <w:rsid w:val="61CB22EF"/>
    <w:rsid w:val="61DF3FED"/>
    <w:rsid w:val="61FE695C"/>
    <w:rsid w:val="621912AD"/>
    <w:rsid w:val="62326812"/>
    <w:rsid w:val="62571DD5"/>
    <w:rsid w:val="625B7377"/>
    <w:rsid w:val="6278019C"/>
    <w:rsid w:val="628C1A7E"/>
    <w:rsid w:val="629B7F14"/>
    <w:rsid w:val="62A96AD4"/>
    <w:rsid w:val="62AE40EB"/>
    <w:rsid w:val="62B2525D"/>
    <w:rsid w:val="62C0797A"/>
    <w:rsid w:val="62E95123"/>
    <w:rsid w:val="62FB09B2"/>
    <w:rsid w:val="62FE04A2"/>
    <w:rsid w:val="63001694"/>
    <w:rsid w:val="63185A08"/>
    <w:rsid w:val="631D29EB"/>
    <w:rsid w:val="633C6169"/>
    <w:rsid w:val="637A3FCD"/>
    <w:rsid w:val="63822EAD"/>
    <w:rsid w:val="638C7755"/>
    <w:rsid w:val="639B1A12"/>
    <w:rsid w:val="63B70D7D"/>
    <w:rsid w:val="63BC45E5"/>
    <w:rsid w:val="63D23E09"/>
    <w:rsid w:val="63EA73A4"/>
    <w:rsid w:val="63F773CC"/>
    <w:rsid w:val="64055F8C"/>
    <w:rsid w:val="64300F47"/>
    <w:rsid w:val="64483336"/>
    <w:rsid w:val="644F0FB6"/>
    <w:rsid w:val="646C600B"/>
    <w:rsid w:val="646F3406"/>
    <w:rsid w:val="64942E6C"/>
    <w:rsid w:val="64AE53F9"/>
    <w:rsid w:val="64D63485"/>
    <w:rsid w:val="64E3296D"/>
    <w:rsid w:val="64E35BA2"/>
    <w:rsid w:val="64EC2CA8"/>
    <w:rsid w:val="65085608"/>
    <w:rsid w:val="65091AAC"/>
    <w:rsid w:val="650F7082"/>
    <w:rsid w:val="65110961"/>
    <w:rsid w:val="6518767F"/>
    <w:rsid w:val="65362175"/>
    <w:rsid w:val="65385EEE"/>
    <w:rsid w:val="656767D3"/>
    <w:rsid w:val="65712B94"/>
    <w:rsid w:val="657A02B4"/>
    <w:rsid w:val="65801643"/>
    <w:rsid w:val="65956E9C"/>
    <w:rsid w:val="659858FD"/>
    <w:rsid w:val="6598698C"/>
    <w:rsid w:val="65A13CC9"/>
    <w:rsid w:val="65AA25C1"/>
    <w:rsid w:val="65E120E1"/>
    <w:rsid w:val="65F91B21"/>
    <w:rsid w:val="660364FC"/>
    <w:rsid w:val="660D737A"/>
    <w:rsid w:val="661E2CB4"/>
    <w:rsid w:val="661E3335"/>
    <w:rsid w:val="662621EA"/>
    <w:rsid w:val="662C6800"/>
    <w:rsid w:val="6632293D"/>
    <w:rsid w:val="664E603D"/>
    <w:rsid w:val="666F1DE3"/>
    <w:rsid w:val="667B2536"/>
    <w:rsid w:val="667D1E28"/>
    <w:rsid w:val="66A870A3"/>
    <w:rsid w:val="66AD46B9"/>
    <w:rsid w:val="66B141AA"/>
    <w:rsid w:val="66CD4D5B"/>
    <w:rsid w:val="66DD6797"/>
    <w:rsid w:val="66ED4AB6"/>
    <w:rsid w:val="66F66060"/>
    <w:rsid w:val="66F67E0E"/>
    <w:rsid w:val="670818F0"/>
    <w:rsid w:val="671D183F"/>
    <w:rsid w:val="67293782"/>
    <w:rsid w:val="675114E9"/>
    <w:rsid w:val="675863D3"/>
    <w:rsid w:val="6759039D"/>
    <w:rsid w:val="679703E1"/>
    <w:rsid w:val="67984F00"/>
    <w:rsid w:val="67A965FC"/>
    <w:rsid w:val="68336E40"/>
    <w:rsid w:val="683926A8"/>
    <w:rsid w:val="68537CAF"/>
    <w:rsid w:val="685F3791"/>
    <w:rsid w:val="68725BBA"/>
    <w:rsid w:val="68776D2D"/>
    <w:rsid w:val="687A4A6F"/>
    <w:rsid w:val="68B079A5"/>
    <w:rsid w:val="68BB30BE"/>
    <w:rsid w:val="68D45F2D"/>
    <w:rsid w:val="68DF62EE"/>
    <w:rsid w:val="68EA5751"/>
    <w:rsid w:val="68F570FB"/>
    <w:rsid w:val="69456E2B"/>
    <w:rsid w:val="69531548"/>
    <w:rsid w:val="696F3EA8"/>
    <w:rsid w:val="69731BEA"/>
    <w:rsid w:val="69790883"/>
    <w:rsid w:val="697A2F79"/>
    <w:rsid w:val="698C6808"/>
    <w:rsid w:val="69A47FF6"/>
    <w:rsid w:val="6A102F95"/>
    <w:rsid w:val="6A242EE4"/>
    <w:rsid w:val="6A2922A9"/>
    <w:rsid w:val="6A4415E9"/>
    <w:rsid w:val="6A5D1F52"/>
    <w:rsid w:val="6A7C062B"/>
    <w:rsid w:val="6A8D0A8A"/>
    <w:rsid w:val="6A9736B6"/>
    <w:rsid w:val="6AAB0F10"/>
    <w:rsid w:val="6ACC55B0"/>
    <w:rsid w:val="6ACD70D8"/>
    <w:rsid w:val="6AE12B83"/>
    <w:rsid w:val="6AEA7C8A"/>
    <w:rsid w:val="6AF12F2B"/>
    <w:rsid w:val="6B054AC4"/>
    <w:rsid w:val="6B1E7934"/>
    <w:rsid w:val="6B225676"/>
    <w:rsid w:val="6B422808"/>
    <w:rsid w:val="6B476E8A"/>
    <w:rsid w:val="6B4B5217"/>
    <w:rsid w:val="6B680BAF"/>
    <w:rsid w:val="6B6F1F3D"/>
    <w:rsid w:val="6B8A1717"/>
    <w:rsid w:val="6B8C6F93"/>
    <w:rsid w:val="6B942653"/>
    <w:rsid w:val="6B99345E"/>
    <w:rsid w:val="6BAD273F"/>
    <w:rsid w:val="6BBB1626"/>
    <w:rsid w:val="6BC56001"/>
    <w:rsid w:val="6BCA186A"/>
    <w:rsid w:val="6BCC7390"/>
    <w:rsid w:val="6BCE3108"/>
    <w:rsid w:val="6BD36970"/>
    <w:rsid w:val="6BD526E8"/>
    <w:rsid w:val="6C17069E"/>
    <w:rsid w:val="6C2225DD"/>
    <w:rsid w:val="6C301153"/>
    <w:rsid w:val="6C6B0957"/>
    <w:rsid w:val="6C832144"/>
    <w:rsid w:val="6C845EBC"/>
    <w:rsid w:val="6C89702F"/>
    <w:rsid w:val="6C9D0D2C"/>
    <w:rsid w:val="6CC265FC"/>
    <w:rsid w:val="6CD504C6"/>
    <w:rsid w:val="6CD52274"/>
    <w:rsid w:val="6CF92406"/>
    <w:rsid w:val="6CFC3CA5"/>
    <w:rsid w:val="6CFC5A53"/>
    <w:rsid w:val="6CFE5C6F"/>
    <w:rsid w:val="6D050DAB"/>
    <w:rsid w:val="6D147240"/>
    <w:rsid w:val="6D196605"/>
    <w:rsid w:val="6D21370B"/>
    <w:rsid w:val="6D280B63"/>
    <w:rsid w:val="6D3B18E0"/>
    <w:rsid w:val="6D57537F"/>
    <w:rsid w:val="6D5B6C1D"/>
    <w:rsid w:val="6D6D4BA2"/>
    <w:rsid w:val="6D77332B"/>
    <w:rsid w:val="6D8B5ABC"/>
    <w:rsid w:val="6D940381"/>
    <w:rsid w:val="6D9C3AFC"/>
    <w:rsid w:val="6DAC1227"/>
    <w:rsid w:val="6DBB76BC"/>
    <w:rsid w:val="6DD15131"/>
    <w:rsid w:val="6DD469CF"/>
    <w:rsid w:val="6DF66946"/>
    <w:rsid w:val="6E14209A"/>
    <w:rsid w:val="6E22773B"/>
    <w:rsid w:val="6E443B55"/>
    <w:rsid w:val="6E4E6782"/>
    <w:rsid w:val="6E5B2C4D"/>
    <w:rsid w:val="6E6164B5"/>
    <w:rsid w:val="6E9F4B86"/>
    <w:rsid w:val="6EA168B2"/>
    <w:rsid w:val="6EB02F99"/>
    <w:rsid w:val="6EB72460"/>
    <w:rsid w:val="6EB74327"/>
    <w:rsid w:val="6EB8556A"/>
    <w:rsid w:val="6EBC36EB"/>
    <w:rsid w:val="6EEE586F"/>
    <w:rsid w:val="6EF72976"/>
    <w:rsid w:val="6F064E06"/>
    <w:rsid w:val="6F094457"/>
    <w:rsid w:val="6F176B74"/>
    <w:rsid w:val="6F35349E"/>
    <w:rsid w:val="6F360C58"/>
    <w:rsid w:val="6F370FC4"/>
    <w:rsid w:val="6F614293"/>
    <w:rsid w:val="6F636421"/>
    <w:rsid w:val="6F6B5112"/>
    <w:rsid w:val="6F6E6EC3"/>
    <w:rsid w:val="6F7264A0"/>
    <w:rsid w:val="6F765F90"/>
    <w:rsid w:val="6F9401C4"/>
    <w:rsid w:val="6FB915A7"/>
    <w:rsid w:val="6FC14D32"/>
    <w:rsid w:val="6FCD1928"/>
    <w:rsid w:val="6FD902CD"/>
    <w:rsid w:val="6FDD39BA"/>
    <w:rsid w:val="6FDE58E3"/>
    <w:rsid w:val="6FE61F3E"/>
    <w:rsid w:val="70161521"/>
    <w:rsid w:val="701914D7"/>
    <w:rsid w:val="701C6FC8"/>
    <w:rsid w:val="702F613F"/>
    <w:rsid w:val="703244E4"/>
    <w:rsid w:val="705636CC"/>
    <w:rsid w:val="70720586"/>
    <w:rsid w:val="70875F7B"/>
    <w:rsid w:val="70897150"/>
    <w:rsid w:val="71656047"/>
    <w:rsid w:val="718F158B"/>
    <w:rsid w:val="71A242CB"/>
    <w:rsid w:val="71C8684B"/>
    <w:rsid w:val="71CF732E"/>
    <w:rsid w:val="71DC40A5"/>
    <w:rsid w:val="71DD22F7"/>
    <w:rsid w:val="71E116BB"/>
    <w:rsid w:val="71F4319C"/>
    <w:rsid w:val="71FC75D1"/>
    <w:rsid w:val="71FE04BF"/>
    <w:rsid w:val="720D49AF"/>
    <w:rsid w:val="720F7FD6"/>
    <w:rsid w:val="72121874"/>
    <w:rsid w:val="72181F15"/>
    <w:rsid w:val="722021E3"/>
    <w:rsid w:val="7229553C"/>
    <w:rsid w:val="72323CC5"/>
    <w:rsid w:val="726F7FB0"/>
    <w:rsid w:val="72A46970"/>
    <w:rsid w:val="72AD3E9C"/>
    <w:rsid w:val="72B50B7E"/>
    <w:rsid w:val="72BB0EC2"/>
    <w:rsid w:val="72C62D8B"/>
    <w:rsid w:val="72EE22E1"/>
    <w:rsid w:val="72FD2525"/>
    <w:rsid w:val="732D2E0A"/>
    <w:rsid w:val="732E0930"/>
    <w:rsid w:val="73335F46"/>
    <w:rsid w:val="73373C88"/>
    <w:rsid w:val="735C7C30"/>
    <w:rsid w:val="73661E78"/>
    <w:rsid w:val="73697BBA"/>
    <w:rsid w:val="73775E2C"/>
    <w:rsid w:val="73A155A6"/>
    <w:rsid w:val="73A86934"/>
    <w:rsid w:val="73B250BD"/>
    <w:rsid w:val="73B40E35"/>
    <w:rsid w:val="73B61051"/>
    <w:rsid w:val="73B70925"/>
    <w:rsid w:val="73BB6668"/>
    <w:rsid w:val="73C365CB"/>
    <w:rsid w:val="73D414D7"/>
    <w:rsid w:val="73EA4857"/>
    <w:rsid w:val="73F6144E"/>
    <w:rsid w:val="742023C5"/>
    <w:rsid w:val="743D52CE"/>
    <w:rsid w:val="7443670B"/>
    <w:rsid w:val="74534AF2"/>
    <w:rsid w:val="745B7503"/>
    <w:rsid w:val="748D1686"/>
    <w:rsid w:val="74933140"/>
    <w:rsid w:val="74AE3AD6"/>
    <w:rsid w:val="74B80A8E"/>
    <w:rsid w:val="751122B7"/>
    <w:rsid w:val="75157FF9"/>
    <w:rsid w:val="751759A6"/>
    <w:rsid w:val="75387844"/>
    <w:rsid w:val="75431C52"/>
    <w:rsid w:val="75644ADD"/>
    <w:rsid w:val="75674604"/>
    <w:rsid w:val="756920F3"/>
    <w:rsid w:val="756B5E6B"/>
    <w:rsid w:val="756C4E37"/>
    <w:rsid w:val="756D0E75"/>
    <w:rsid w:val="75755831"/>
    <w:rsid w:val="75866801"/>
    <w:rsid w:val="758807CB"/>
    <w:rsid w:val="75937E8D"/>
    <w:rsid w:val="75D51537"/>
    <w:rsid w:val="75DF5F11"/>
    <w:rsid w:val="75E35A02"/>
    <w:rsid w:val="75E654F2"/>
    <w:rsid w:val="762027B2"/>
    <w:rsid w:val="762108D3"/>
    <w:rsid w:val="76312C11"/>
    <w:rsid w:val="763224E5"/>
    <w:rsid w:val="76361FD5"/>
    <w:rsid w:val="764364A0"/>
    <w:rsid w:val="76505878"/>
    <w:rsid w:val="765406AD"/>
    <w:rsid w:val="76790114"/>
    <w:rsid w:val="76794AF8"/>
    <w:rsid w:val="76850C08"/>
    <w:rsid w:val="76BB24DB"/>
    <w:rsid w:val="76C84BF7"/>
    <w:rsid w:val="76D67314"/>
    <w:rsid w:val="76DF266D"/>
    <w:rsid w:val="770B3462"/>
    <w:rsid w:val="7711659E"/>
    <w:rsid w:val="771B11CB"/>
    <w:rsid w:val="7722255A"/>
    <w:rsid w:val="77274014"/>
    <w:rsid w:val="772E2227"/>
    <w:rsid w:val="77302EC9"/>
    <w:rsid w:val="7731279D"/>
    <w:rsid w:val="77533CC6"/>
    <w:rsid w:val="775748F9"/>
    <w:rsid w:val="775D4510"/>
    <w:rsid w:val="7760252B"/>
    <w:rsid w:val="776058DA"/>
    <w:rsid w:val="77626DFA"/>
    <w:rsid w:val="777032C5"/>
    <w:rsid w:val="777803CC"/>
    <w:rsid w:val="777D1E86"/>
    <w:rsid w:val="77905715"/>
    <w:rsid w:val="779276DF"/>
    <w:rsid w:val="77F40160"/>
    <w:rsid w:val="781D568D"/>
    <w:rsid w:val="78342545"/>
    <w:rsid w:val="78362F6D"/>
    <w:rsid w:val="78412EB3"/>
    <w:rsid w:val="78627545"/>
    <w:rsid w:val="78632E2A"/>
    <w:rsid w:val="78654665"/>
    <w:rsid w:val="78654DF4"/>
    <w:rsid w:val="787B0173"/>
    <w:rsid w:val="789C661D"/>
    <w:rsid w:val="78E0447A"/>
    <w:rsid w:val="78EF46BD"/>
    <w:rsid w:val="78F63C9E"/>
    <w:rsid w:val="790740FD"/>
    <w:rsid w:val="791660EE"/>
    <w:rsid w:val="791D122B"/>
    <w:rsid w:val="791F31F5"/>
    <w:rsid w:val="792603EF"/>
    <w:rsid w:val="793F5645"/>
    <w:rsid w:val="794E7636"/>
    <w:rsid w:val="797F1EE5"/>
    <w:rsid w:val="79892D64"/>
    <w:rsid w:val="798B2638"/>
    <w:rsid w:val="798E037A"/>
    <w:rsid w:val="79960FDD"/>
    <w:rsid w:val="79997202"/>
    <w:rsid w:val="799E680F"/>
    <w:rsid w:val="79B0209F"/>
    <w:rsid w:val="79C45B4A"/>
    <w:rsid w:val="7A1B3962"/>
    <w:rsid w:val="7A2111EE"/>
    <w:rsid w:val="7A2A00A3"/>
    <w:rsid w:val="7A2F56B9"/>
    <w:rsid w:val="7A623463"/>
    <w:rsid w:val="7A6D48C0"/>
    <w:rsid w:val="7A6D7F90"/>
    <w:rsid w:val="7A765096"/>
    <w:rsid w:val="7A861051"/>
    <w:rsid w:val="7A974046"/>
    <w:rsid w:val="7A9A4854"/>
    <w:rsid w:val="7AB931D5"/>
    <w:rsid w:val="7ABA14EE"/>
    <w:rsid w:val="7AC53928"/>
    <w:rsid w:val="7AC878BC"/>
    <w:rsid w:val="7ACA7190"/>
    <w:rsid w:val="7B007056"/>
    <w:rsid w:val="7B02692A"/>
    <w:rsid w:val="7B0F72C3"/>
    <w:rsid w:val="7B114DBF"/>
    <w:rsid w:val="7B2368A0"/>
    <w:rsid w:val="7B5B428C"/>
    <w:rsid w:val="7B887EC5"/>
    <w:rsid w:val="7B914152"/>
    <w:rsid w:val="7BB17EFC"/>
    <w:rsid w:val="7BB5399C"/>
    <w:rsid w:val="7BC60184"/>
    <w:rsid w:val="7BD5403F"/>
    <w:rsid w:val="7BDD2EF3"/>
    <w:rsid w:val="7BE73A8B"/>
    <w:rsid w:val="7BF471EA"/>
    <w:rsid w:val="7C011556"/>
    <w:rsid w:val="7C18217D"/>
    <w:rsid w:val="7C346F6A"/>
    <w:rsid w:val="7C3C40BE"/>
    <w:rsid w:val="7C4C3220"/>
    <w:rsid w:val="7C4F37CE"/>
    <w:rsid w:val="7C507B69"/>
    <w:rsid w:val="7C596A1E"/>
    <w:rsid w:val="7C5E2286"/>
    <w:rsid w:val="7C701FB9"/>
    <w:rsid w:val="7C817D22"/>
    <w:rsid w:val="7C857813"/>
    <w:rsid w:val="7C99506C"/>
    <w:rsid w:val="7CD24A22"/>
    <w:rsid w:val="7CEA1D6C"/>
    <w:rsid w:val="7CF61768"/>
    <w:rsid w:val="7D0C7F34"/>
    <w:rsid w:val="7D0E5A5A"/>
    <w:rsid w:val="7D2C5EE0"/>
    <w:rsid w:val="7D360B0D"/>
    <w:rsid w:val="7D406A1E"/>
    <w:rsid w:val="7D5A0C9F"/>
    <w:rsid w:val="7D637428"/>
    <w:rsid w:val="7D6F2271"/>
    <w:rsid w:val="7D741635"/>
    <w:rsid w:val="7D823D52"/>
    <w:rsid w:val="7D851A94"/>
    <w:rsid w:val="7D965A4F"/>
    <w:rsid w:val="7DA95783"/>
    <w:rsid w:val="7DB3326F"/>
    <w:rsid w:val="7DCB56F9"/>
    <w:rsid w:val="7DF34C50"/>
    <w:rsid w:val="7E0D00F2"/>
    <w:rsid w:val="7E1846B6"/>
    <w:rsid w:val="7E1A21DD"/>
    <w:rsid w:val="7E3037AE"/>
    <w:rsid w:val="7E3A287F"/>
    <w:rsid w:val="7E486D4A"/>
    <w:rsid w:val="7E5F22E5"/>
    <w:rsid w:val="7E6B4A0B"/>
    <w:rsid w:val="7E714CEC"/>
    <w:rsid w:val="7E786F03"/>
    <w:rsid w:val="7E7C7B82"/>
    <w:rsid w:val="7E8B4E88"/>
    <w:rsid w:val="7E960CC1"/>
    <w:rsid w:val="7EA36676"/>
    <w:rsid w:val="7EB702F4"/>
    <w:rsid w:val="7ECD724F"/>
    <w:rsid w:val="7ED405DD"/>
    <w:rsid w:val="7ED625A7"/>
    <w:rsid w:val="7EED715E"/>
    <w:rsid w:val="7EFD7F37"/>
    <w:rsid w:val="7F0A2251"/>
    <w:rsid w:val="7F0D3AEF"/>
    <w:rsid w:val="7F17671C"/>
    <w:rsid w:val="7F2271E4"/>
    <w:rsid w:val="7F2D7CEE"/>
    <w:rsid w:val="7F313C82"/>
    <w:rsid w:val="7F4A61E1"/>
    <w:rsid w:val="7F544D8E"/>
    <w:rsid w:val="7F596D35"/>
    <w:rsid w:val="7F5C68C8"/>
    <w:rsid w:val="7F645E05"/>
    <w:rsid w:val="7F743B6E"/>
    <w:rsid w:val="7F8C710A"/>
    <w:rsid w:val="7F967F89"/>
    <w:rsid w:val="7F9935D5"/>
    <w:rsid w:val="7FA51F7A"/>
    <w:rsid w:val="7FB328E9"/>
    <w:rsid w:val="7FC468A4"/>
    <w:rsid w:val="7FD30895"/>
    <w:rsid w:val="7FDD1714"/>
    <w:rsid w:val="7FDD5BB8"/>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pPr>
    <w:rPr>
      <w:rFonts w:ascii="Times New Roman" w:hAnsi="Times New Roman" w:eastAsia="Times New Roman" w:cs="Times New Roman"/>
      <w:lang w:val="en-US" w:eastAsia="zh-CN" w:bidi="ar-SA"/>
    </w:rPr>
  </w:style>
  <w:style w:type="paragraph" w:styleId="2">
    <w:name w:val="heading 1"/>
    <w:basedOn w:val="1"/>
    <w:next w:val="1"/>
    <w:link w:val="38"/>
    <w:autoRedefine/>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42"/>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45"/>
    <w:autoRedefine/>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46"/>
    <w:autoRedefine/>
    <w:unhideWhenUsed/>
    <w:qFormat/>
    <w:uiPriority w:val="9"/>
    <w:pPr>
      <w:keepNext/>
      <w:keepLines/>
      <w:spacing w:before="280" w:after="290" w:line="376" w:lineRule="auto"/>
      <w:outlineLvl w:val="3"/>
    </w:pPr>
    <w:rPr>
      <w:rFonts w:asciiTheme="majorHAnsi" w:hAnsiTheme="majorHAnsi" w:cstheme="majorBidi"/>
      <w:b/>
      <w:bCs/>
      <w:sz w:val="28"/>
      <w:szCs w:val="28"/>
    </w:rPr>
  </w:style>
  <w:style w:type="paragraph" w:styleId="6">
    <w:name w:val="heading 5"/>
    <w:basedOn w:val="7"/>
    <w:next w:val="8"/>
    <w:autoRedefine/>
    <w:qFormat/>
    <w:uiPriority w:val="1"/>
    <w:pPr>
      <w:tabs>
        <w:tab w:val="left" w:pos="780"/>
      </w:tabs>
      <w:ind w:left="638" w:firstLine="561"/>
      <w:outlineLvl w:val="4"/>
    </w:pPr>
    <w:rPr>
      <w:rFonts w:ascii="仿宋" w:hAnsi="仿宋" w:eastAsia="仿宋" w:cs="仿宋"/>
      <w:b/>
      <w:bCs/>
      <w:kern w:val="0"/>
      <w:sz w:val="28"/>
      <w:szCs w:val="28"/>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7">
    <w:name w:val="List Number 2"/>
    <w:basedOn w:val="1"/>
    <w:autoRedefine/>
    <w:semiHidden/>
    <w:unhideWhenUsed/>
    <w:qFormat/>
    <w:uiPriority w:val="99"/>
    <w:pPr>
      <w:numPr>
        <w:ilvl w:val="0"/>
        <w:numId w:val="1"/>
      </w:numPr>
    </w:pPr>
  </w:style>
  <w:style w:type="paragraph" w:styleId="8">
    <w:name w:val="Normal (Web)"/>
    <w:basedOn w:val="1"/>
    <w:autoRedefine/>
    <w:qFormat/>
    <w:uiPriority w:val="99"/>
    <w:pPr>
      <w:widowControl/>
      <w:spacing w:before="100" w:beforeAutospacing="1" w:after="100" w:afterAutospacing="1"/>
    </w:pPr>
    <w:rPr>
      <w:rFonts w:cs="宋体"/>
      <w:color w:val="000000"/>
      <w:kern w:val="0"/>
      <w:szCs w:val="24"/>
    </w:rPr>
  </w:style>
  <w:style w:type="paragraph" w:styleId="9">
    <w:name w:val="toc 7"/>
    <w:basedOn w:val="1"/>
    <w:next w:val="1"/>
    <w:autoRedefine/>
    <w:unhideWhenUsed/>
    <w:qFormat/>
    <w:uiPriority w:val="39"/>
    <w:pPr>
      <w:ind w:left="1440"/>
    </w:pPr>
    <w:rPr>
      <w:rFonts w:asciiTheme="minorHAnsi" w:eastAsiaTheme="minorHAnsi"/>
      <w:sz w:val="18"/>
      <w:szCs w:val="18"/>
    </w:rPr>
  </w:style>
  <w:style w:type="paragraph" w:styleId="10">
    <w:name w:val="Normal Indent"/>
    <w:basedOn w:val="1"/>
    <w:next w:val="1"/>
    <w:autoRedefine/>
    <w:unhideWhenUsed/>
    <w:qFormat/>
    <w:uiPriority w:val="0"/>
    <w:pPr>
      <w:ind w:firstLine="420" w:firstLineChars="200"/>
    </w:pPr>
    <w:rPr>
      <w:rFonts w:ascii="Calibri" w:hAnsi="Calibri"/>
      <w:szCs w:val="22"/>
    </w:rPr>
  </w:style>
  <w:style w:type="paragraph" w:styleId="11">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2">
    <w:name w:val="annotation text"/>
    <w:basedOn w:val="1"/>
    <w:link w:val="43"/>
    <w:autoRedefine/>
    <w:qFormat/>
    <w:uiPriority w:val="0"/>
    <w:pPr>
      <w:spacing w:line="240" w:lineRule="auto"/>
    </w:pPr>
    <w:rPr>
      <w:rFonts w:eastAsiaTheme="minorEastAsia"/>
      <w:sz w:val="21"/>
      <w:szCs w:val="24"/>
    </w:rPr>
  </w:style>
  <w:style w:type="paragraph" w:styleId="13">
    <w:name w:val="Body Text"/>
    <w:basedOn w:val="1"/>
    <w:link w:val="47"/>
    <w:autoRedefine/>
    <w:qFormat/>
    <w:uiPriority w:val="99"/>
    <w:pPr>
      <w:spacing w:after="120" w:line="240" w:lineRule="auto"/>
      <w:jc w:val="both"/>
    </w:pPr>
    <w:rPr>
      <w:rFonts w:eastAsiaTheme="minorEastAsia"/>
      <w:sz w:val="21"/>
      <w:szCs w:val="24"/>
    </w:rPr>
  </w:style>
  <w:style w:type="paragraph" w:styleId="14">
    <w:name w:val="Body Text Indent"/>
    <w:basedOn w:val="1"/>
    <w:autoRedefine/>
    <w:unhideWhenUsed/>
    <w:qFormat/>
    <w:uiPriority w:val="0"/>
    <w:pPr>
      <w:ind w:firstLine="630"/>
    </w:pPr>
    <w:rPr>
      <w:rFonts w:eastAsia="仿宋_GB2312"/>
      <w:kern w:val="0"/>
      <w:sz w:val="32"/>
      <w:szCs w:val="20"/>
    </w:rPr>
  </w:style>
  <w:style w:type="paragraph" w:styleId="15">
    <w:name w:val="toc 5"/>
    <w:basedOn w:val="1"/>
    <w:next w:val="1"/>
    <w:autoRedefine/>
    <w:unhideWhenUsed/>
    <w:qFormat/>
    <w:uiPriority w:val="39"/>
    <w:pPr>
      <w:ind w:left="960"/>
    </w:pPr>
    <w:rPr>
      <w:rFonts w:asciiTheme="minorHAnsi" w:eastAsiaTheme="minorHAnsi"/>
      <w:sz w:val="18"/>
      <w:szCs w:val="18"/>
    </w:rPr>
  </w:style>
  <w:style w:type="paragraph" w:styleId="16">
    <w:name w:val="toc 3"/>
    <w:basedOn w:val="1"/>
    <w:next w:val="1"/>
    <w:autoRedefine/>
    <w:unhideWhenUsed/>
    <w:qFormat/>
    <w:uiPriority w:val="39"/>
    <w:pPr>
      <w:ind w:left="480"/>
    </w:pPr>
    <w:rPr>
      <w:rFonts w:asciiTheme="minorHAnsi" w:eastAsiaTheme="minorHAnsi"/>
      <w:i/>
      <w:iCs/>
      <w:sz w:val="20"/>
      <w:szCs w:val="20"/>
    </w:rPr>
  </w:style>
  <w:style w:type="paragraph" w:styleId="17">
    <w:name w:val="Plain Text"/>
    <w:basedOn w:val="1"/>
    <w:autoRedefine/>
    <w:unhideWhenUsed/>
    <w:qFormat/>
    <w:uiPriority w:val="0"/>
    <w:rPr>
      <w:rFonts w:ascii="宋体" w:hAnsi="Courier New"/>
      <w:kern w:val="0"/>
      <w:sz w:val="20"/>
      <w:szCs w:val="20"/>
    </w:rPr>
  </w:style>
  <w:style w:type="paragraph" w:styleId="18">
    <w:name w:val="toc 8"/>
    <w:basedOn w:val="1"/>
    <w:next w:val="1"/>
    <w:autoRedefine/>
    <w:unhideWhenUsed/>
    <w:qFormat/>
    <w:uiPriority w:val="39"/>
    <w:pPr>
      <w:ind w:left="1680"/>
    </w:pPr>
    <w:rPr>
      <w:rFonts w:asciiTheme="minorHAnsi" w:eastAsiaTheme="minorHAnsi"/>
      <w:sz w:val="18"/>
      <w:szCs w:val="18"/>
    </w:rPr>
  </w:style>
  <w:style w:type="paragraph" w:styleId="19">
    <w:name w:val="footer"/>
    <w:basedOn w:val="1"/>
    <w:link w:val="41"/>
    <w:autoRedefine/>
    <w:unhideWhenUsed/>
    <w:qFormat/>
    <w:uiPriority w:val="99"/>
    <w:pPr>
      <w:tabs>
        <w:tab w:val="center" w:pos="4153"/>
        <w:tab w:val="right" w:pos="8306"/>
      </w:tabs>
      <w:snapToGrid w:val="0"/>
      <w:spacing w:line="240" w:lineRule="auto"/>
    </w:pPr>
    <w:rPr>
      <w:sz w:val="18"/>
      <w:szCs w:val="18"/>
    </w:rPr>
  </w:style>
  <w:style w:type="paragraph" w:styleId="20">
    <w:name w:val="header"/>
    <w:basedOn w:val="1"/>
    <w:link w:val="40"/>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2">
    <w:name w:val="toc 4"/>
    <w:basedOn w:val="1"/>
    <w:next w:val="1"/>
    <w:autoRedefine/>
    <w:unhideWhenUsed/>
    <w:qFormat/>
    <w:uiPriority w:val="39"/>
    <w:pPr>
      <w:ind w:left="720"/>
    </w:pPr>
    <w:rPr>
      <w:rFonts w:asciiTheme="minorHAnsi" w:eastAsiaTheme="minorHAnsi"/>
      <w:sz w:val="18"/>
      <w:szCs w:val="18"/>
    </w:rPr>
  </w:style>
  <w:style w:type="paragraph" w:styleId="23">
    <w:name w:val="footnote text"/>
    <w:basedOn w:val="1"/>
    <w:qFormat/>
    <w:uiPriority w:val="0"/>
    <w:pPr>
      <w:widowControl/>
      <w:jc w:val="left"/>
    </w:pPr>
    <w:rPr>
      <w:kern w:val="0"/>
      <w:sz w:val="20"/>
      <w:szCs w:val="20"/>
      <w:lang w:val="de-DE"/>
    </w:rPr>
  </w:style>
  <w:style w:type="paragraph" w:styleId="24">
    <w:name w:val="toc 6"/>
    <w:basedOn w:val="1"/>
    <w:next w:val="1"/>
    <w:autoRedefine/>
    <w:unhideWhenUsed/>
    <w:qFormat/>
    <w:uiPriority w:val="39"/>
    <w:pPr>
      <w:ind w:left="1200"/>
    </w:pPr>
    <w:rPr>
      <w:rFonts w:asciiTheme="minorHAnsi" w:eastAsiaTheme="minorHAnsi"/>
      <w:sz w:val="18"/>
      <w:szCs w:val="18"/>
    </w:rPr>
  </w:style>
  <w:style w:type="paragraph" w:styleId="25">
    <w:name w:val="toc 2"/>
    <w:basedOn w:val="1"/>
    <w:next w:val="1"/>
    <w:autoRedefine/>
    <w:unhideWhenUsed/>
    <w:qFormat/>
    <w:uiPriority w:val="39"/>
    <w:pPr>
      <w:ind w:left="240"/>
    </w:pPr>
    <w:rPr>
      <w:rFonts w:asciiTheme="minorHAnsi" w:eastAsiaTheme="minorHAnsi"/>
      <w:smallCaps/>
      <w:sz w:val="20"/>
      <w:szCs w:val="20"/>
    </w:rPr>
  </w:style>
  <w:style w:type="paragraph" w:styleId="26">
    <w:name w:val="toc 9"/>
    <w:basedOn w:val="1"/>
    <w:next w:val="1"/>
    <w:autoRedefine/>
    <w:unhideWhenUsed/>
    <w:qFormat/>
    <w:uiPriority w:val="39"/>
    <w:pPr>
      <w:ind w:left="1920"/>
    </w:pPr>
    <w:rPr>
      <w:rFonts w:asciiTheme="minorHAnsi" w:eastAsiaTheme="minorHAnsi"/>
      <w:sz w:val="18"/>
      <w:szCs w:val="18"/>
    </w:rPr>
  </w:style>
  <w:style w:type="paragraph" w:styleId="27">
    <w:name w:val="annotation subject"/>
    <w:basedOn w:val="12"/>
    <w:next w:val="12"/>
    <w:link w:val="51"/>
    <w:autoRedefine/>
    <w:semiHidden/>
    <w:unhideWhenUsed/>
    <w:qFormat/>
    <w:uiPriority w:val="99"/>
    <w:pPr>
      <w:spacing w:line="360" w:lineRule="auto"/>
    </w:pPr>
    <w:rPr>
      <w:rFonts w:eastAsia="宋体"/>
      <w:b/>
      <w:bCs/>
      <w:sz w:val="24"/>
      <w:szCs w:val="22"/>
    </w:rPr>
  </w:style>
  <w:style w:type="paragraph" w:styleId="28">
    <w:name w:val="Body Text First Indent"/>
    <w:basedOn w:val="13"/>
    <w:next w:val="24"/>
    <w:qFormat/>
    <w:uiPriority w:val="0"/>
    <w:pPr>
      <w:widowControl w:val="0"/>
      <w:autoSpaceDE w:val="0"/>
      <w:autoSpaceDN w:val="0"/>
      <w:adjustRightInd w:val="0"/>
      <w:spacing w:after="120" w:line="360" w:lineRule="auto"/>
      <w:ind w:firstLine="420" w:firstLineChars="100"/>
      <w:jc w:val="both"/>
    </w:pPr>
    <w:rPr>
      <w:sz w:val="21"/>
      <w:szCs w:val="21"/>
      <w:lang w:val="en-US" w:eastAsia="zh-CN" w:bidi="ar-SA"/>
    </w:rPr>
  </w:style>
  <w:style w:type="paragraph" w:styleId="29">
    <w:name w:val="Body Text First Indent 2"/>
    <w:basedOn w:val="14"/>
    <w:next w:val="1"/>
    <w:autoRedefine/>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0"/>
    <w:rPr>
      <w:b/>
      <w:bCs/>
    </w:rPr>
  </w:style>
  <w:style w:type="character" w:styleId="34">
    <w:name w:val="Hyperlink"/>
    <w:basedOn w:val="32"/>
    <w:autoRedefine/>
    <w:unhideWhenUsed/>
    <w:qFormat/>
    <w:uiPriority w:val="99"/>
    <w:rPr>
      <w:color w:val="0563C1" w:themeColor="hyperlink"/>
      <w:u w:val="single"/>
      <w14:textFill>
        <w14:solidFill>
          <w14:schemeClr w14:val="hlink"/>
        </w14:solidFill>
      </w14:textFill>
    </w:rPr>
  </w:style>
  <w:style w:type="character" w:styleId="35">
    <w:name w:val="annotation reference"/>
    <w:basedOn w:val="32"/>
    <w:autoRedefine/>
    <w:qFormat/>
    <w:uiPriority w:val="0"/>
    <w:rPr>
      <w:sz w:val="21"/>
      <w:szCs w:val="21"/>
    </w:rPr>
  </w:style>
  <w:style w:type="paragraph" w:customStyle="1" w:styleId="3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正文缩进2"/>
    <w:basedOn w:val="1"/>
    <w:autoRedefine/>
    <w:qFormat/>
    <w:uiPriority w:val="0"/>
    <w:pPr>
      <w:wordWrap w:val="0"/>
      <w:ind w:firstLine="480"/>
    </w:pPr>
    <w:rPr>
      <w:iCs/>
      <w:shd w:val="clear" w:color="auto" w:fill="FFFFFF" w:themeFill="background1"/>
      <w:lang w:val="zh-CN"/>
    </w:rPr>
  </w:style>
  <w:style w:type="character" w:customStyle="1" w:styleId="38">
    <w:name w:val="标题 1 字符"/>
    <w:basedOn w:val="32"/>
    <w:link w:val="2"/>
    <w:autoRedefine/>
    <w:qFormat/>
    <w:uiPriority w:val="9"/>
    <w:rPr>
      <w:rFonts w:eastAsia="黑体"/>
      <w:b/>
      <w:bCs/>
      <w:kern w:val="44"/>
      <w:sz w:val="44"/>
      <w:szCs w:val="44"/>
    </w:rPr>
  </w:style>
  <w:style w:type="paragraph" w:styleId="39">
    <w:name w:val="List Paragraph"/>
    <w:basedOn w:val="1"/>
    <w:autoRedefine/>
    <w:qFormat/>
    <w:uiPriority w:val="34"/>
    <w:pPr>
      <w:numPr>
        <w:ilvl w:val="0"/>
        <w:numId w:val="2"/>
      </w:numPr>
    </w:pPr>
  </w:style>
  <w:style w:type="character" w:customStyle="1" w:styleId="40">
    <w:name w:val="页眉 字符"/>
    <w:basedOn w:val="32"/>
    <w:link w:val="20"/>
    <w:autoRedefine/>
    <w:qFormat/>
    <w:uiPriority w:val="99"/>
    <w:rPr>
      <w:rFonts w:eastAsia="宋体"/>
      <w:sz w:val="18"/>
      <w:szCs w:val="18"/>
    </w:rPr>
  </w:style>
  <w:style w:type="character" w:customStyle="1" w:styleId="41">
    <w:name w:val="页脚 字符"/>
    <w:basedOn w:val="32"/>
    <w:link w:val="19"/>
    <w:autoRedefine/>
    <w:qFormat/>
    <w:uiPriority w:val="99"/>
    <w:rPr>
      <w:rFonts w:eastAsia="宋体"/>
      <w:sz w:val="18"/>
      <w:szCs w:val="18"/>
    </w:rPr>
  </w:style>
  <w:style w:type="character" w:customStyle="1" w:styleId="42">
    <w:name w:val="标题 2 字符"/>
    <w:basedOn w:val="32"/>
    <w:link w:val="3"/>
    <w:autoRedefine/>
    <w:qFormat/>
    <w:uiPriority w:val="0"/>
    <w:rPr>
      <w:rFonts w:eastAsia="宋体" w:asciiTheme="majorHAnsi" w:hAnsiTheme="majorHAnsi" w:cstheme="majorBidi"/>
      <w:b/>
      <w:bCs/>
      <w:sz w:val="32"/>
      <w:szCs w:val="32"/>
    </w:rPr>
  </w:style>
  <w:style w:type="character" w:customStyle="1" w:styleId="43">
    <w:name w:val="批注文字 字符"/>
    <w:basedOn w:val="32"/>
    <w:link w:val="12"/>
    <w:autoRedefine/>
    <w:qFormat/>
    <w:uiPriority w:val="0"/>
    <w:rPr>
      <w:szCs w:val="24"/>
    </w:rPr>
  </w:style>
  <w:style w:type="paragraph" w:customStyle="1" w:styleId="44">
    <w:name w:val="Char1 Char Char Char"/>
    <w:basedOn w:val="1"/>
    <w:autoRedefine/>
    <w:qFormat/>
    <w:uiPriority w:val="0"/>
    <w:pPr>
      <w:adjustRightInd w:val="0"/>
      <w:jc w:val="both"/>
    </w:pPr>
    <w:rPr>
      <w:rFonts w:ascii="Times New Roman" w:hAnsi="Times New Roman" w:cs="Times New Roman"/>
      <w:kern w:val="0"/>
      <w:szCs w:val="20"/>
    </w:rPr>
  </w:style>
  <w:style w:type="character" w:customStyle="1" w:styleId="45">
    <w:name w:val="标题 3 字符"/>
    <w:basedOn w:val="32"/>
    <w:link w:val="4"/>
    <w:autoRedefine/>
    <w:qFormat/>
    <w:uiPriority w:val="9"/>
    <w:rPr>
      <w:rFonts w:eastAsia="宋体"/>
      <w:b/>
      <w:bCs/>
      <w:sz w:val="30"/>
      <w:szCs w:val="32"/>
    </w:rPr>
  </w:style>
  <w:style w:type="character" w:customStyle="1" w:styleId="46">
    <w:name w:val="标题 4 字符"/>
    <w:basedOn w:val="32"/>
    <w:link w:val="5"/>
    <w:autoRedefine/>
    <w:qFormat/>
    <w:uiPriority w:val="9"/>
    <w:rPr>
      <w:rFonts w:eastAsia="宋体" w:asciiTheme="majorHAnsi" w:hAnsiTheme="majorHAnsi" w:cstheme="majorBidi"/>
      <w:b/>
      <w:bCs/>
      <w:sz w:val="28"/>
      <w:szCs w:val="28"/>
    </w:rPr>
  </w:style>
  <w:style w:type="character" w:customStyle="1" w:styleId="47">
    <w:name w:val="正文文本 字符"/>
    <w:basedOn w:val="32"/>
    <w:link w:val="13"/>
    <w:autoRedefine/>
    <w:qFormat/>
    <w:uiPriority w:val="99"/>
    <w:rPr>
      <w:szCs w:val="24"/>
    </w:rPr>
  </w:style>
  <w:style w:type="paragraph" w:customStyle="1" w:styleId="48">
    <w:name w:val="样式"/>
    <w:basedOn w:val="1"/>
    <w:autoRedefine/>
    <w:qFormat/>
    <w:uiPriority w:val="0"/>
    <w:pPr>
      <w:autoSpaceDE w:val="0"/>
      <w:autoSpaceDN w:val="0"/>
      <w:snapToGrid w:val="0"/>
      <w:spacing w:before="120" w:after="120"/>
      <w:jc w:val="both"/>
    </w:pPr>
    <w:rPr>
      <w:rFonts w:hAnsi="Times New Roman" w:cs="Times New Roman"/>
      <w:kern w:val="0"/>
      <w:szCs w:val="20"/>
    </w:rPr>
  </w:style>
  <w:style w:type="paragraph" w:styleId="49">
    <w:name w:val="No Spacing"/>
    <w:autoRedefine/>
    <w:qFormat/>
    <w:uiPriority w:val="1"/>
    <w:pPr>
      <w:widowControl w:val="0"/>
    </w:pPr>
    <w:rPr>
      <w:rFonts w:ascii="宋体" w:hAnsi="宋体" w:eastAsia="宋体" w:cstheme="minorBidi"/>
      <w:kern w:val="2"/>
      <w:sz w:val="24"/>
      <w:szCs w:val="22"/>
      <w:lang w:val="en-US" w:eastAsia="zh-CN" w:bidi="ar-SA"/>
    </w:rPr>
  </w:style>
  <w:style w:type="character" w:customStyle="1" w:styleId="50">
    <w:name w:val="未处理的提及1"/>
    <w:basedOn w:val="32"/>
    <w:autoRedefine/>
    <w:semiHidden/>
    <w:unhideWhenUsed/>
    <w:qFormat/>
    <w:uiPriority w:val="99"/>
    <w:rPr>
      <w:color w:val="605E5C"/>
      <w:shd w:val="clear" w:color="auto" w:fill="E1DFDD"/>
    </w:rPr>
  </w:style>
  <w:style w:type="character" w:customStyle="1" w:styleId="51">
    <w:name w:val="批注主题 字符"/>
    <w:basedOn w:val="43"/>
    <w:link w:val="27"/>
    <w:autoRedefine/>
    <w:semiHidden/>
    <w:qFormat/>
    <w:uiPriority w:val="99"/>
    <w:rPr>
      <w:rFonts w:ascii="宋体" w:hAnsi="宋体" w:cstheme="minorBidi"/>
      <w:b/>
      <w:bCs/>
      <w:kern w:val="2"/>
      <w:sz w:val="24"/>
      <w:szCs w:val="22"/>
    </w:rPr>
  </w:style>
  <w:style w:type="character" w:customStyle="1" w:styleId="52">
    <w:name w:val="未处理的提及2"/>
    <w:basedOn w:val="32"/>
    <w:autoRedefine/>
    <w:semiHidden/>
    <w:unhideWhenUsed/>
    <w:qFormat/>
    <w:uiPriority w:val="99"/>
    <w:rPr>
      <w:color w:val="605E5C"/>
      <w:shd w:val="clear" w:color="auto" w:fill="E1DFDD"/>
    </w:rPr>
  </w:style>
  <w:style w:type="paragraph" w:customStyle="1" w:styleId="53">
    <w:name w:val="正文_2"/>
    <w:basedOn w:val="54"/>
    <w:next w:val="62"/>
    <w:autoRedefine/>
    <w:qFormat/>
    <w:uiPriority w:val="0"/>
    <w:pPr>
      <w:widowControl w:val="0"/>
      <w:jc w:val="both"/>
    </w:pPr>
    <w:rPr>
      <w:rFonts w:ascii="Calibri" w:hAnsi="Calibri" w:eastAsia="宋体" w:cs="Times New Roman"/>
      <w:lang w:val="en-US" w:eastAsia="zh-CN" w:bidi="ar-SA"/>
    </w:rPr>
  </w:style>
  <w:style w:type="paragraph" w:customStyle="1" w:styleId="54">
    <w:name w:val="正文_1_0"/>
    <w:basedOn w:val="55"/>
    <w:next w:val="59"/>
    <w:qFormat/>
    <w:uiPriority w:val="0"/>
    <w:rPr>
      <w:rFonts w:ascii="Calibri" w:hAnsi="Calibri" w:cs="Calibri"/>
      <w:szCs w:val="21"/>
      <w:lang w:bidi="ug-CN"/>
    </w:rPr>
  </w:style>
  <w:style w:type="paragraph" w:customStyle="1" w:styleId="55">
    <w:name w:val="正文_1_1"/>
    <w:basedOn w:val="56"/>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6">
    <w:name w:val="正文_5"/>
    <w:next w:val="5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引文目录标题_0"/>
    <w:basedOn w:val="58"/>
    <w:next w:val="56"/>
    <w:qFormat/>
    <w:uiPriority w:val="0"/>
    <w:pPr>
      <w:spacing w:before="120"/>
    </w:pPr>
    <w:rPr>
      <w:rFonts w:ascii="Arial" w:hAnsi="Arial"/>
      <w:sz w:val="24"/>
    </w:rPr>
  </w:style>
  <w:style w:type="paragraph" w:customStyle="1" w:styleId="58">
    <w:name w:val="正文_2_0"/>
    <w:basedOn w:val="55"/>
    <w:next w:val="57"/>
    <w:qFormat/>
    <w:uiPriority w:val="0"/>
    <w:rPr>
      <w:rFonts w:ascii="Calibri" w:hAnsi="Calibri"/>
      <w:szCs w:val="21"/>
      <w:lang w:bidi="ug-CN"/>
    </w:rPr>
  </w:style>
  <w:style w:type="paragraph" w:customStyle="1" w:styleId="59">
    <w:name w:val="正文首行缩进1"/>
    <w:basedOn w:val="60"/>
    <w:unhideWhenUsed/>
    <w:qFormat/>
    <w:uiPriority w:val="99"/>
    <w:pPr>
      <w:ind w:firstLine="420" w:firstLineChars="100"/>
    </w:pPr>
    <w:rPr>
      <w:szCs w:val="22"/>
    </w:rPr>
  </w:style>
  <w:style w:type="paragraph" w:customStyle="1" w:styleId="60">
    <w:name w:val="正文文本_0_0"/>
    <w:basedOn w:val="61"/>
    <w:qFormat/>
    <w:uiPriority w:val="0"/>
    <w:pPr>
      <w:spacing w:after="120"/>
    </w:pPr>
    <w:rPr>
      <w:rFonts w:ascii="Calibri" w:hAnsi="Calibri"/>
      <w:kern w:val="0"/>
      <w:sz w:val="20"/>
    </w:rPr>
  </w:style>
  <w:style w:type="paragraph" w:customStyle="1" w:styleId="61">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文本_1"/>
    <w:basedOn w:val="63"/>
    <w:qFormat/>
    <w:uiPriority w:val="0"/>
    <w:pPr>
      <w:spacing w:after="120"/>
    </w:pPr>
    <w:rPr>
      <w:rFonts w:ascii="Calibri" w:hAnsi="Calibri" w:eastAsia="宋体"/>
    </w:rPr>
  </w:style>
  <w:style w:type="paragraph" w:customStyle="1" w:styleId="63">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65">
    <w:name w:val="正文_1"/>
    <w:basedOn w:val="53"/>
    <w:next w:val="5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2_0_0"/>
    <w:autoRedefine/>
    <w:qFormat/>
    <w:uiPriority w:val="99"/>
    <w:pPr>
      <w:widowControl w:val="0"/>
      <w:jc w:val="both"/>
    </w:pPr>
    <w:rPr>
      <w:rFonts w:ascii="Calibri" w:hAnsi="Calibri" w:eastAsia="宋体" w:cs="Times New Roman"/>
      <w:lang w:val="en-US" w:eastAsia="zh-CN" w:bidi="ar-SA"/>
    </w:rPr>
  </w:style>
  <w:style w:type="paragraph" w:customStyle="1" w:styleId="67">
    <w:name w:val="Normal Indent1"/>
    <w:basedOn w:val="1"/>
    <w:autoRedefine/>
    <w:qFormat/>
    <w:uiPriority w:val="0"/>
    <w:pPr>
      <w:ind w:firstLine="420" w:firstLineChars="200"/>
    </w:pPr>
  </w:style>
  <w:style w:type="paragraph" w:customStyle="1" w:styleId="68">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69">
    <w:name w:val="Normal_22"/>
    <w:autoRedefine/>
    <w:qFormat/>
    <w:uiPriority w:val="0"/>
    <w:rPr>
      <w:rFonts w:ascii="Times New Roman" w:hAnsi="Times New Roman" w:eastAsia="Times New Roman" w:cs="Times New Roman"/>
      <w:sz w:val="24"/>
      <w:szCs w:val="24"/>
      <w:lang w:bidi="ar-SA"/>
    </w:rPr>
  </w:style>
  <w:style w:type="paragraph" w:customStyle="1" w:styleId="70">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1">
    <w:name w:val="正文_0_0_0 Char"/>
    <w:link w:val="72"/>
    <w:autoRedefine/>
    <w:qFormat/>
    <w:locked/>
    <w:uiPriority w:val="0"/>
    <w:rPr>
      <w:rFonts w:ascii="Calibri" w:hAnsi="Calibri" w:cs="Calibri"/>
      <w:kern w:val="2"/>
      <w:sz w:val="28"/>
      <w:szCs w:val="22"/>
      <w:lang w:val="en-US" w:eastAsia="zh-CN" w:bidi="ar-SA"/>
    </w:rPr>
  </w:style>
  <w:style w:type="paragraph" w:customStyle="1" w:styleId="72">
    <w:name w:val="正文_0_0_0_0_0"/>
    <w:link w:val="71"/>
    <w:autoRedefine/>
    <w:qFormat/>
    <w:uiPriority w:val="0"/>
    <w:pPr>
      <w:spacing w:before="120" w:after="120" w:line="360" w:lineRule="auto"/>
      <w:ind w:left="1072" w:hanging="1072"/>
      <w:jc w:val="both"/>
    </w:pPr>
    <w:rPr>
      <w:rFonts w:ascii="Calibri" w:hAnsi="Calibri" w:eastAsia="宋体" w:cs="Calibri"/>
      <w:kern w:val="2"/>
      <w:sz w:val="28"/>
      <w:szCs w:val="22"/>
      <w:lang w:val="en-US" w:eastAsia="zh-CN" w:bidi="ar-SA"/>
    </w:rPr>
  </w:style>
  <w:style w:type="paragraph" w:customStyle="1" w:styleId="73">
    <w:name w:val="正文文本_0_1"/>
    <w:basedOn w:val="74"/>
    <w:autoRedefine/>
    <w:qFormat/>
    <w:uiPriority w:val="99"/>
    <w:pPr>
      <w:spacing w:after="120"/>
    </w:pPr>
    <w:rPr>
      <w:rFonts w:ascii="Calibri" w:hAnsi="Calibri" w:eastAsia="宋体"/>
      <w:kern w:val="0"/>
      <w:sz w:val="24"/>
      <w:szCs w:val="20"/>
    </w:rPr>
  </w:style>
  <w:style w:type="paragraph" w:customStyle="1" w:styleId="74">
    <w:name w:val="正文_6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Table Paragraph_1"/>
    <w:basedOn w:val="74"/>
    <w:autoRedefine/>
    <w:qFormat/>
    <w:uiPriority w:val="0"/>
    <w:pPr>
      <w:jc w:val="left"/>
    </w:pPr>
    <w:rPr>
      <w:rFonts w:ascii="Calibri" w:hAnsi="Calibri" w:eastAsia="宋体"/>
      <w:kern w:val="0"/>
      <w:sz w:val="22"/>
      <w:lang w:eastAsia="en-US"/>
    </w:rPr>
  </w:style>
  <w:style w:type="paragraph" w:customStyle="1" w:styleId="76">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1"/>
    <w:basedOn w:val="28"/>
    <w:autoRedefine/>
    <w:qFormat/>
    <w:uiPriority w:val="0"/>
    <w:pPr>
      <w:widowControl w:val="0"/>
      <w:jc w:val="both"/>
    </w:pPr>
    <w:rPr>
      <w:rFonts w:ascii="Calibri" w:hAnsi="Calibri" w:eastAsia="宋体" w:cs="Times New Roman"/>
      <w:lang w:val="en-US" w:eastAsia="zh-CN" w:bidi="ar-SA"/>
    </w:rPr>
  </w:style>
  <w:style w:type="paragraph" w:customStyle="1" w:styleId="78">
    <w:name w:val="列出段落1"/>
    <w:basedOn w:val="1"/>
    <w:autoRedefine/>
    <w:qFormat/>
    <w:uiPriority w:val="0"/>
    <w:pPr>
      <w:ind w:firstLine="420" w:firstLineChars="200"/>
    </w:pPr>
    <w:rPr>
      <w:szCs w:val="21"/>
    </w:rPr>
  </w:style>
  <w:style w:type="paragraph" w:customStyle="1" w:styleId="7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80">
    <w:name w:val="正文2"/>
    <w:basedOn w:val="1"/>
    <w:qFormat/>
    <w:uiPriority w:val="0"/>
    <w:pPr>
      <w:spacing w:before="156" w:line="360" w:lineRule="auto"/>
      <w:ind w:firstLine="510" w:firstLineChars="200"/>
    </w:pPr>
    <w:rPr>
      <w:sz w:val="24"/>
      <w:szCs w:val="20"/>
    </w:rPr>
  </w:style>
  <w:style w:type="paragraph" w:customStyle="1" w:styleId="81">
    <w:name w:val="Char Char Char Char Char Char Char1 Char"/>
    <w:basedOn w:val="1"/>
    <w:autoRedefine/>
    <w:qFormat/>
    <w:uiPriority w:val="0"/>
    <w:rPr>
      <w:rFonts w:ascii="Arial" w:hAnsi="Arial" w:eastAsia="宋体" w:cs="Arial"/>
      <w:sz w:val="24"/>
    </w:rPr>
  </w:style>
  <w:style w:type="paragraph" w:customStyle="1" w:styleId="82">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character" w:customStyle="1" w:styleId="83">
    <w:name w:val="bookmark-item"/>
    <w:qFormat/>
    <w:uiPriority w:val="0"/>
  </w:style>
  <w:style w:type="paragraph" w:customStyle="1" w:styleId="84">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4"/>
    <w:basedOn w:val="86"/>
    <w:next w:val="88"/>
    <w:qFormat/>
    <w:uiPriority w:val="0"/>
    <w:pPr>
      <w:widowControl w:val="0"/>
      <w:jc w:val="both"/>
    </w:pPr>
    <w:rPr>
      <w:kern w:val="2"/>
      <w:sz w:val="21"/>
      <w:szCs w:val="24"/>
      <w:lang w:val="en-US" w:eastAsia="zh-CN" w:bidi="ar-SA"/>
    </w:rPr>
  </w:style>
  <w:style w:type="paragraph" w:customStyle="1" w:styleId="86">
    <w:name w:val="正文_3_1"/>
    <w:next w:val="8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页脚_2"/>
    <w:basedOn w:val="85"/>
    <w:unhideWhenUsed/>
    <w:qFormat/>
    <w:uiPriority w:val="0"/>
    <w:pPr>
      <w:tabs>
        <w:tab w:val="center" w:pos="4153"/>
        <w:tab w:val="right" w:pos="8306"/>
      </w:tabs>
      <w:snapToGrid w:val="0"/>
      <w:jc w:val="left"/>
    </w:pPr>
    <w:rPr>
      <w:rFonts w:ascii="Times New Roman" w:hAnsi="Times New Roman" w:eastAsia="宋体"/>
      <w:sz w:val="18"/>
      <w:szCs w:val="18"/>
    </w:rPr>
  </w:style>
  <w:style w:type="paragraph" w:customStyle="1" w:styleId="88">
    <w:name w:val="正文首行缩进_0"/>
    <w:basedOn w:val="62"/>
    <w:qFormat/>
    <w:uiPriority w:val="0"/>
    <w:pPr>
      <w:ind w:firstLine="420" w:firstLineChars="100"/>
    </w:pPr>
    <w:rPr>
      <w:rFonts w:ascii="Calibri" w:hAnsi="Calibri" w:eastAsia="宋体"/>
    </w:rPr>
  </w:style>
  <w:style w:type="paragraph" w:customStyle="1" w:styleId="89">
    <w:name w:val="Normal_2"/>
    <w:qFormat/>
    <w:uiPriority w:val="0"/>
    <w:rPr>
      <w:rFonts w:ascii="黑体" w:hAnsi="黑体" w:eastAsia="黑体" w:cs="Times New Roman"/>
      <w:b/>
      <w:sz w:val="32"/>
      <w:szCs w:val="24"/>
      <w:lang w:bidi="ar-SA"/>
    </w:rPr>
  </w:style>
  <w:style w:type="paragraph" w:customStyle="1" w:styleId="90">
    <w:name w:val="正文_1_2"/>
    <w:next w:val="9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正文文本缩进_0"/>
    <w:basedOn w:val="92"/>
    <w:qFormat/>
    <w:uiPriority w:val="0"/>
    <w:pPr>
      <w:spacing w:line="500" w:lineRule="exact"/>
      <w:ind w:left="1588" w:leftChars="832" w:firstLine="433" w:firstLineChars="196"/>
    </w:pPr>
    <w:rPr>
      <w:rFonts w:ascii="Calibri" w:hAnsi="Calibri"/>
      <w:sz w:val="24"/>
      <w:szCs w:val="24"/>
    </w:rPr>
  </w:style>
  <w:style w:type="paragraph" w:customStyle="1" w:styleId="92">
    <w:name w:val="正文_5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_0_1"/>
    <w:basedOn w:val="65"/>
    <w:next w:val="65"/>
    <w:qFormat/>
    <w:uiPriority w:val="0"/>
    <w:rPr>
      <w:rFonts w:ascii="Times New Roman" w:hAnsi="Times New Roman" w:cs="Calibri"/>
      <w:szCs w:val="21"/>
      <w:lang w:bidi="ug-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27398</Words>
  <Characters>29418</Characters>
  <Lines>328</Lines>
  <Paragraphs>92</Paragraphs>
  <TotalTime>17</TotalTime>
  <ScaleCrop>false</ScaleCrop>
  <LinksUpToDate>false</LinksUpToDate>
  <CharactersWithSpaces>30270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Lenovo</cp:lastModifiedBy>
  <cp:lastPrinted>2024-12-30T05:43:00Z</cp:lastPrinted>
  <dcterms:modified xsi:type="dcterms:W3CDTF">2025-07-01T03:59:53Z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2EFCC56CBFAC4B9E8BFCD0F85C669AD9_13</vt:lpwstr>
  </property>
  <property fmtid="{D5CDD505-2E9C-101B-9397-08002B2CF9AE}" pid="4" name="KSOTemplateDocerSaveRecord">
    <vt:lpwstr>eyJoZGlkIjoiZmRhNjY5ZTE2MTYxZjJjNWI3MzdhODAwMWRjZTViNzgiLCJ1c2VySWQiOiIxNDc2NDk3MjIzIn0=</vt:lpwstr>
  </property>
</Properties>
</file>