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37A52B">
      <w:pPr>
        <w:rPr>
          <w:rFonts w:hint="eastAsia" w:ascii="黑体" w:hAnsi="黑体" w:eastAsia="黑体"/>
          <w:color w:val="auto"/>
          <w:sz w:val="32"/>
          <w:szCs w:val="32"/>
          <w:highlight w:val="none"/>
          <w:lang w:eastAsia="zh-CN"/>
        </w:rPr>
      </w:pPr>
    </w:p>
    <w:p w14:paraId="06C72DAE">
      <w:pPr>
        <w:jc w:val="center"/>
        <w:rPr>
          <w:rFonts w:hint="eastAsia" w:ascii="黑体" w:hAnsi="黑体" w:eastAsia="黑体"/>
          <w:color w:val="auto"/>
          <w:spacing w:val="5760"/>
          <w:w w:val="100"/>
          <w:kern w:val="0"/>
          <w:sz w:val="36"/>
          <w:szCs w:val="36"/>
          <w:highlight w:val="none"/>
          <w:fitText w:val="6120" w:id="-1002138880"/>
          <w:lang w:val="en-US" w:eastAsia="zh-CN"/>
        </w:rPr>
      </w:pPr>
    </w:p>
    <w:p w14:paraId="2ACCE2F9">
      <w:pPr>
        <w:tabs>
          <w:tab w:val="left" w:pos="1134"/>
          <w:tab w:val="left" w:pos="5481"/>
          <w:tab w:val="left" w:pos="5859"/>
        </w:tabs>
        <w:jc w:val="center"/>
        <w:rPr>
          <w:rFonts w:hint="eastAsia" w:ascii="华文中宋" w:hAnsi="华文中宋" w:eastAsia="华文中宋" w:cs="华文中宋"/>
          <w:sz w:val="48"/>
          <w:szCs w:val="48"/>
        </w:rPr>
      </w:pPr>
      <w:r>
        <w:rPr>
          <w:rFonts w:hint="eastAsia" w:ascii="华文中宋" w:hAnsi="华文中宋" w:eastAsia="华文中宋" w:cs="华文中宋"/>
          <w:sz w:val="48"/>
          <w:szCs w:val="48"/>
        </w:rPr>
        <w:t>新疆生产建设兵团政府采购</w:t>
      </w:r>
    </w:p>
    <w:p w14:paraId="644E29D5">
      <w:pPr>
        <w:tabs>
          <w:tab w:val="left" w:pos="1134"/>
          <w:tab w:val="left" w:pos="5481"/>
          <w:tab w:val="left" w:pos="5859"/>
        </w:tabs>
        <w:jc w:val="center"/>
        <w:rPr>
          <w:rFonts w:hint="eastAsia" w:ascii="宋体" w:hAnsi="宋体" w:eastAsia="宋体" w:cs="宋体"/>
          <w:b/>
          <w:sz w:val="44"/>
          <w:szCs w:val="44"/>
        </w:rPr>
      </w:pPr>
      <w:r>
        <w:rPr>
          <w:rFonts w:hint="eastAsia" w:ascii="华文中宋" w:hAnsi="华文中宋" w:eastAsia="华文中宋" w:cs="华文中宋"/>
          <w:sz w:val="48"/>
          <w:szCs w:val="48"/>
        </w:rPr>
        <w:t>招标文件</w:t>
      </w:r>
    </w:p>
    <w:p w14:paraId="7D6A7262">
      <w:pPr>
        <w:tabs>
          <w:tab w:val="left" w:pos="1134"/>
          <w:tab w:val="left" w:pos="5160"/>
        </w:tabs>
        <w:jc w:val="center"/>
        <w:rPr>
          <w:rFonts w:hint="eastAsia" w:ascii="宋体" w:hAnsi="宋体" w:eastAsia="宋体" w:cs="宋体"/>
          <w:sz w:val="44"/>
          <w:szCs w:val="44"/>
        </w:rPr>
      </w:pPr>
      <w:r>
        <w:rPr>
          <w:rFonts w:hint="eastAsia" w:ascii="宋体" w:hAnsi="宋体" w:eastAsia="宋体" w:cs="宋体"/>
          <w:sz w:val="32"/>
          <w:szCs w:val="32"/>
        </w:rPr>
        <w:t>（</w:t>
      </w:r>
      <w:r>
        <w:rPr>
          <w:rFonts w:hint="eastAsia" w:ascii="宋体" w:hAnsi="宋体" w:eastAsia="宋体" w:cs="宋体"/>
          <w:sz w:val="32"/>
          <w:szCs w:val="32"/>
          <w:lang w:val="en-US" w:eastAsia="zh-CN"/>
        </w:rPr>
        <w:t>公开招标</w:t>
      </w:r>
      <w:r>
        <w:rPr>
          <w:rFonts w:hint="eastAsia" w:ascii="宋体" w:hAnsi="宋体" w:eastAsia="宋体" w:cs="宋体"/>
          <w:sz w:val="32"/>
          <w:szCs w:val="32"/>
        </w:rPr>
        <w:t>）</w:t>
      </w:r>
    </w:p>
    <w:p w14:paraId="531358C6">
      <w:pPr>
        <w:tabs>
          <w:tab w:val="left" w:pos="1134"/>
          <w:tab w:val="left" w:pos="5160"/>
        </w:tabs>
        <w:jc w:val="center"/>
        <w:rPr>
          <w:rFonts w:hint="eastAsia" w:ascii="宋体" w:hAnsi="宋体" w:eastAsia="宋体" w:cs="宋体"/>
          <w:sz w:val="44"/>
          <w:szCs w:val="44"/>
        </w:rPr>
      </w:pPr>
    </w:p>
    <w:p w14:paraId="2A329B7E">
      <w:pPr>
        <w:pStyle w:val="7"/>
        <w:rPr>
          <w:rFonts w:hint="eastAsia"/>
        </w:rPr>
      </w:pPr>
    </w:p>
    <w:p w14:paraId="4EEEEAB3">
      <w:pPr>
        <w:tabs>
          <w:tab w:val="left" w:pos="1134"/>
          <w:tab w:val="left" w:pos="5481"/>
          <w:tab w:val="left" w:pos="5859"/>
        </w:tabs>
        <w:jc w:val="center"/>
        <w:rPr>
          <w:rFonts w:hint="eastAsia" w:ascii="宋体" w:hAnsi="宋体" w:eastAsia="宋体" w:cs="宋体"/>
          <w:b/>
          <w:sz w:val="32"/>
        </w:rPr>
      </w:pPr>
      <w:r>
        <w:rPr>
          <w:rFonts w:hint="eastAsia" w:eastAsia="黑体"/>
          <w:b/>
          <w:sz w:val="32"/>
        </w:rPr>
        <w:drawing>
          <wp:inline distT="0" distB="0" distL="114300" distR="114300">
            <wp:extent cx="1868170" cy="1868170"/>
            <wp:effectExtent l="0" t="0" r="17780" b="17780"/>
            <wp:docPr id="2" name="图片 1"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23"/>
                    <pic:cNvPicPr>
                      <a:picLocks noChangeAspect="1"/>
                    </pic:cNvPicPr>
                  </pic:nvPicPr>
                  <pic:blipFill>
                    <a:blip r:embed="rId13"/>
                    <a:stretch>
                      <a:fillRect/>
                    </a:stretch>
                  </pic:blipFill>
                  <pic:spPr>
                    <a:xfrm>
                      <a:off x="0" y="0"/>
                      <a:ext cx="1868170" cy="1868170"/>
                    </a:xfrm>
                    <a:prstGeom prst="rect">
                      <a:avLst/>
                    </a:prstGeom>
                    <a:noFill/>
                    <a:ln>
                      <a:noFill/>
                    </a:ln>
                  </pic:spPr>
                </pic:pic>
              </a:graphicData>
            </a:graphic>
          </wp:inline>
        </w:drawing>
      </w:r>
    </w:p>
    <w:p w14:paraId="1B8BF5C9">
      <w:pPr>
        <w:tabs>
          <w:tab w:val="left" w:pos="1134"/>
          <w:tab w:val="left" w:pos="5481"/>
          <w:tab w:val="left" w:pos="5859"/>
        </w:tabs>
        <w:jc w:val="center"/>
        <w:rPr>
          <w:rFonts w:hint="eastAsia" w:ascii="宋体" w:hAnsi="宋体" w:eastAsia="宋体" w:cs="宋体"/>
          <w:b/>
          <w:sz w:val="32"/>
        </w:rPr>
      </w:pPr>
    </w:p>
    <w:p w14:paraId="5AD94E84">
      <w:pPr>
        <w:spacing w:line="240" w:lineRule="auto"/>
        <w:jc w:val="center"/>
        <w:rPr>
          <w:rFonts w:ascii="黑体" w:hAnsi="黑体" w:eastAsia="黑体"/>
          <w:color w:val="auto"/>
          <w:sz w:val="52"/>
          <w:szCs w:val="52"/>
          <w:highlight w:val="none"/>
        </w:rPr>
      </w:pPr>
    </w:p>
    <w:p w14:paraId="0CACC1C0">
      <w:pPr>
        <w:pStyle w:val="8"/>
        <w:spacing w:line="240" w:lineRule="auto"/>
        <w:ind w:left="0" w:leftChars="0" w:firstLine="0" w:firstLineChars="0"/>
        <w:jc w:val="both"/>
        <w:rPr>
          <w:rFonts w:hint="eastAsia" w:ascii="宋体" w:hAnsi="宋体" w:eastAsia="宋体" w:cs="宋体"/>
          <w:b/>
          <w:sz w:val="32"/>
          <w:lang w:eastAsia="zh-CN"/>
        </w:rPr>
      </w:pPr>
      <w:r>
        <w:rPr>
          <w:rFonts w:hint="eastAsia" w:ascii="宋体" w:hAnsi="宋体" w:eastAsia="宋体" w:cs="宋体"/>
          <w:b/>
          <w:sz w:val="32"/>
        </w:rPr>
        <w:t>项目名称：</w:t>
      </w:r>
      <w:r>
        <w:rPr>
          <w:rFonts w:hint="eastAsia" w:cs="宋体"/>
          <w:b/>
          <w:sz w:val="32"/>
          <w:u w:val="single"/>
          <w:lang w:eastAsia="zh-CN"/>
        </w:rPr>
        <w:t>四师第一中学后勤管理服务采购项目</w:t>
      </w:r>
    </w:p>
    <w:p w14:paraId="658B0C18">
      <w:pPr>
        <w:pStyle w:val="8"/>
        <w:spacing w:line="240" w:lineRule="auto"/>
        <w:ind w:left="0" w:leftChars="0" w:firstLine="0" w:firstLineChars="0"/>
        <w:jc w:val="both"/>
        <w:rPr>
          <w:rFonts w:hint="default" w:ascii="宋体" w:hAnsi="宋体" w:eastAsia="宋体" w:cs="宋体"/>
          <w:b/>
          <w:sz w:val="32"/>
          <w:u w:val="single"/>
          <w:lang w:val="en-US"/>
        </w:rPr>
      </w:pPr>
      <w:r>
        <w:rPr>
          <w:rFonts w:hint="eastAsia" w:ascii="宋体" w:hAnsi="宋体" w:eastAsia="宋体" w:cs="宋体"/>
          <w:b/>
          <w:sz w:val="32"/>
          <w:lang w:val="en-US" w:eastAsia="zh-CN"/>
        </w:rPr>
        <w:t>项目</w:t>
      </w:r>
      <w:r>
        <w:rPr>
          <w:rFonts w:hint="eastAsia" w:ascii="宋体" w:hAnsi="宋体" w:eastAsia="宋体" w:cs="宋体"/>
          <w:b/>
          <w:sz w:val="32"/>
        </w:rPr>
        <w:t>编号：</w:t>
      </w:r>
      <w:r>
        <w:rPr>
          <w:rFonts w:hint="eastAsia" w:cs="宋体"/>
          <w:b/>
          <w:sz w:val="32"/>
          <w:u w:val="single"/>
          <w:lang w:val="en-US" w:eastAsia="zh-CN"/>
        </w:rPr>
        <w:t>DSSJCJG-GK-2025-04</w:t>
      </w:r>
    </w:p>
    <w:p w14:paraId="079C37FE">
      <w:pPr>
        <w:pStyle w:val="8"/>
        <w:spacing w:line="240" w:lineRule="auto"/>
        <w:ind w:left="0" w:leftChars="0" w:firstLine="0" w:firstLineChars="0"/>
        <w:jc w:val="both"/>
        <w:rPr>
          <w:rFonts w:hint="default" w:ascii="宋体" w:hAnsi="宋体" w:eastAsia="宋体" w:cs="宋体"/>
          <w:b/>
          <w:sz w:val="32"/>
          <w:u w:val="single"/>
          <w:lang w:val="en-US" w:eastAsia="zh-CN"/>
        </w:rPr>
      </w:pPr>
      <w:r>
        <w:rPr>
          <w:rFonts w:hint="eastAsia" w:ascii="宋体" w:hAnsi="宋体" w:eastAsia="宋体" w:cs="宋体"/>
          <w:b/>
          <w:sz w:val="32"/>
          <w:lang w:eastAsia="zh-CN"/>
        </w:rPr>
        <w:t>集中采购</w:t>
      </w:r>
      <w:r>
        <w:rPr>
          <w:rFonts w:hint="eastAsia" w:ascii="宋体" w:hAnsi="宋体" w:eastAsia="宋体" w:cs="宋体"/>
          <w:b/>
          <w:sz w:val="32"/>
        </w:rPr>
        <w:t>机构：</w:t>
      </w:r>
      <w:r>
        <w:rPr>
          <w:rFonts w:hint="eastAsia" w:ascii="宋体" w:hAnsi="宋体" w:eastAsia="宋体" w:cs="宋体"/>
          <w:b/>
          <w:sz w:val="32"/>
          <w:u w:val="single"/>
          <w:lang w:val="en-US" w:eastAsia="zh-CN"/>
        </w:rPr>
        <w:t>兵团公共资源交易中心第四分中心</w:t>
      </w:r>
    </w:p>
    <w:p w14:paraId="59338C78">
      <w:pPr>
        <w:pStyle w:val="8"/>
        <w:spacing w:line="240" w:lineRule="auto"/>
        <w:ind w:left="0" w:leftChars="0" w:firstLine="0" w:firstLineChars="0"/>
        <w:jc w:val="both"/>
        <w:rPr>
          <w:rFonts w:hint="default" w:ascii="宋体" w:hAnsi="宋体" w:eastAsia="宋体" w:cs="宋体"/>
          <w:b/>
          <w:sz w:val="30"/>
          <w:u w:val="single"/>
          <w:lang w:val="en-US" w:eastAsia="zh-CN"/>
        </w:rPr>
      </w:pPr>
      <w:r>
        <w:rPr>
          <w:rFonts w:hint="eastAsia" w:ascii="宋体" w:hAnsi="宋体" w:eastAsia="宋体" w:cs="宋体"/>
          <w:b/>
          <w:sz w:val="32"/>
        </w:rPr>
        <w:t>日期：</w:t>
      </w:r>
      <w:r>
        <w:rPr>
          <w:rFonts w:hint="eastAsia" w:ascii="宋体" w:hAnsi="宋体" w:eastAsia="宋体" w:cs="宋体"/>
          <w:b/>
          <w:sz w:val="32"/>
          <w:lang w:val="en-US" w:eastAsia="zh-CN"/>
        </w:rPr>
        <w:t>2025年</w:t>
      </w:r>
      <w:r>
        <w:rPr>
          <w:rFonts w:hint="eastAsia" w:cs="宋体"/>
          <w:b/>
          <w:sz w:val="32"/>
          <w:lang w:val="en-US" w:eastAsia="zh-CN"/>
        </w:rPr>
        <w:t>6</w:t>
      </w:r>
      <w:r>
        <w:rPr>
          <w:rFonts w:hint="eastAsia" w:ascii="宋体" w:hAnsi="宋体" w:eastAsia="宋体" w:cs="宋体"/>
          <w:b/>
          <w:sz w:val="32"/>
          <w:lang w:val="en-US" w:eastAsia="zh-CN"/>
        </w:rPr>
        <w:t>月</w:t>
      </w:r>
    </w:p>
    <w:p w14:paraId="1C9CC960">
      <w:pPr>
        <w:rPr>
          <w:rFonts w:ascii="黑体" w:hAnsi="黑体" w:eastAsia="黑体"/>
          <w:color w:val="auto"/>
          <w:highlight w:val="none"/>
        </w:rPr>
      </w:pPr>
    </w:p>
    <w:p w14:paraId="320C1BF6">
      <w:pPr>
        <w:ind w:left="420" w:leftChars="175" w:firstLine="640" w:firstLineChars="200"/>
        <w:jc w:val="center"/>
        <w:rPr>
          <w:rFonts w:ascii="黑体" w:hAnsi="黑体" w:eastAsia="黑体"/>
          <w:color w:val="auto"/>
          <w:sz w:val="32"/>
          <w:szCs w:val="32"/>
          <w:highlight w:val="none"/>
        </w:rPr>
      </w:pPr>
      <w:r>
        <w:rPr>
          <w:rFonts w:hint="eastAsia" w:ascii="黑体" w:hAnsi="黑体" w:eastAsia="黑体"/>
          <w:color w:val="auto"/>
          <w:sz w:val="32"/>
          <w:szCs w:val="32"/>
          <w:highlight w:val="none"/>
        </w:rPr>
        <w:t xml:space="preserve"> </w:t>
      </w:r>
      <w:r>
        <w:rPr>
          <w:rFonts w:ascii="黑体" w:hAnsi="黑体" w:eastAsia="黑体"/>
          <w:color w:val="auto"/>
          <w:sz w:val="32"/>
          <w:szCs w:val="32"/>
          <w:highlight w:val="none"/>
        </w:rPr>
        <w:t xml:space="preserve">   </w:t>
      </w:r>
    </w:p>
    <w:p w14:paraId="3B2CDAF9">
      <w:pPr>
        <w:jc w:val="center"/>
        <w:rPr>
          <w:rFonts w:hint="eastAsia" w:ascii="黑体" w:hAnsi="黑体" w:eastAsia="黑体"/>
          <w:color w:val="auto"/>
          <w:sz w:val="48"/>
          <w:szCs w:val="48"/>
          <w:highlight w:val="none"/>
        </w:rPr>
      </w:pPr>
    </w:p>
    <w:p w14:paraId="27E04485">
      <w:pPr>
        <w:jc w:val="both"/>
        <w:rPr>
          <w:rFonts w:ascii="黑体" w:hAnsi="黑体" w:eastAsia="黑体"/>
          <w:i w:val="0"/>
          <w:iCs w:val="0"/>
          <w:color w:val="auto"/>
          <w:sz w:val="32"/>
          <w:szCs w:val="32"/>
          <w:highlight w:val="none"/>
        </w:rPr>
      </w:pPr>
      <w:bookmarkStart w:id="0" w:name="_Toc155185859"/>
      <w:bookmarkStart w:id="1" w:name="_Toc8881"/>
      <w:bookmarkStart w:id="2" w:name="_Hlk130458318"/>
    </w:p>
    <w:p w14:paraId="63BF5185">
      <w:pPr>
        <w:jc w:val="center"/>
        <w:rPr>
          <w:rFonts w:hint="eastAsia" w:ascii="宋体" w:hAnsi="宋体" w:eastAsia="宋体" w:cs="宋体"/>
          <w:b/>
          <w:bCs/>
          <w:i w:val="0"/>
          <w:iCs w:val="0"/>
          <w:color w:val="auto"/>
          <w:sz w:val="36"/>
          <w:szCs w:val="36"/>
          <w:highlight w:val="none"/>
        </w:rPr>
      </w:pPr>
      <w:r>
        <w:rPr>
          <w:rFonts w:hint="eastAsia" w:ascii="宋体" w:hAnsi="宋体" w:eastAsia="宋体" w:cs="宋体"/>
          <w:b/>
          <w:bCs/>
          <w:i w:val="0"/>
          <w:iCs w:val="0"/>
          <w:color w:val="auto"/>
          <w:sz w:val="36"/>
          <w:szCs w:val="36"/>
          <w:highlight w:val="none"/>
        </w:rPr>
        <w:t>目 录</w:t>
      </w:r>
    </w:p>
    <w:p w14:paraId="27FDC88F">
      <w:pPr>
        <w:pStyle w:val="24"/>
        <w:keepNext w:val="0"/>
        <w:keepLines w:val="0"/>
        <w:pageBreakBefore w:val="0"/>
        <w:widowControl w:val="0"/>
        <w:tabs>
          <w:tab w:val="left" w:pos="960"/>
          <w:tab w:val="right" w:leader="dot" w:pos="8296"/>
        </w:tabs>
        <w:kinsoku/>
        <w:wordWrap/>
        <w:overflowPunct/>
        <w:topLinePunct w:val="0"/>
        <w:autoSpaceDE/>
        <w:autoSpaceDN/>
        <w:bidi w:val="0"/>
        <w:adjustRightInd/>
        <w:snapToGrid/>
        <w:spacing w:line="360" w:lineRule="exact"/>
        <w:textAlignment w:val="auto"/>
        <w:rPr>
          <w:i w:val="0"/>
          <w:iCs w:val="0"/>
          <w:color w:val="auto"/>
          <w:highlight w:val="none"/>
        </w:rPr>
      </w:pPr>
    </w:p>
    <w:p w14:paraId="5539C26D">
      <w:pPr>
        <w:pStyle w:val="28"/>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i w:val="0"/>
          <w:iCs w:val="0"/>
          <w:color w:val="auto"/>
          <w:highlight w:val="none"/>
        </w:rPr>
      </w:pPr>
      <w:r>
        <w:rPr>
          <w:i w:val="0"/>
          <w:iCs w:val="0"/>
          <w:color w:val="auto"/>
          <w:highlight w:val="none"/>
        </w:rPr>
        <w:fldChar w:fldCharType="begin"/>
      </w:r>
      <w:r>
        <w:rPr>
          <w:i w:val="0"/>
          <w:iCs w:val="0"/>
          <w:color w:val="auto"/>
          <w:highlight w:val="none"/>
        </w:rPr>
        <w:instrText xml:space="preserve"> TOC \o "1-3" \h \z \u </w:instrText>
      </w:r>
      <w:r>
        <w:rPr>
          <w:i w:val="0"/>
          <w:iCs w:val="0"/>
          <w:color w:val="auto"/>
          <w:highlight w:val="none"/>
        </w:rPr>
        <w:fldChar w:fldCharType="separate"/>
      </w:r>
    </w:p>
    <w:sdt>
      <w:sdtPr>
        <w:rPr>
          <w:rFonts w:ascii="宋体" w:hAnsi="宋体" w:eastAsia="宋体" w:cstheme="minorBidi"/>
          <w:kern w:val="2"/>
          <w:sz w:val="21"/>
          <w:szCs w:val="22"/>
          <w:lang w:val="en-US" w:eastAsia="zh-CN" w:bidi="ar-SA"/>
        </w:rPr>
        <w:id w:val="147481226"/>
        <w15:color w:val="DBDBDB"/>
        <w:docPartObj>
          <w:docPartGallery w:val="Table of Contents"/>
          <w:docPartUnique/>
        </w:docPartObj>
      </w:sdtPr>
      <w:sdtEndPr>
        <w:rPr>
          <w:rFonts w:hint="eastAsia" w:ascii="宋体" w:hAnsi="宋体" w:eastAsia="宋体" w:cstheme="minorBidi"/>
          <w:kern w:val="2"/>
          <w:sz w:val="24"/>
          <w:szCs w:val="22"/>
          <w:lang w:val="en-US" w:eastAsia="zh-CN" w:bidi="ar-SA"/>
        </w:rPr>
      </w:sdtEndPr>
      <w:sdtContent>
        <w:p w14:paraId="0819465A">
          <w:pPr>
            <w:spacing w:before="0" w:beforeLines="0" w:after="0" w:afterLines="0" w:line="240" w:lineRule="auto"/>
            <w:ind w:left="0" w:leftChars="0" w:right="0" w:rightChars="0" w:firstLine="0" w:firstLineChars="0"/>
            <w:jc w:val="center"/>
          </w:pPr>
          <w:r>
            <w:rPr>
              <w:rFonts w:ascii="宋体" w:hAnsi="宋体" w:eastAsia="宋体"/>
              <w:sz w:val="21"/>
            </w:rPr>
            <w:t>目录</w:t>
          </w:r>
        </w:p>
        <w:p w14:paraId="49D25FB7">
          <w:pPr>
            <w:pStyle w:val="24"/>
            <w:tabs>
              <w:tab w:val="right" w:leader="dot" w:pos="8306"/>
            </w:tabs>
          </w:pPr>
          <w:r>
            <w:rPr>
              <w:rFonts w:hint="eastAsia"/>
            </w:rPr>
            <w:fldChar w:fldCharType="begin"/>
          </w:r>
          <w:r>
            <w:rPr>
              <w:rFonts w:hint="eastAsia"/>
            </w:rPr>
            <w:instrText xml:space="preserve">TOC \o "1-1" \h \u </w:instrText>
          </w:r>
          <w:r>
            <w:rPr>
              <w:rFonts w:hint="eastAsia"/>
            </w:rPr>
            <w:fldChar w:fldCharType="separate"/>
          </w:r>
          <w:r>
            <w:rPr>
              <w:rFonts w:hint="eastAsia"/>
            </w:rPr>
            <w:fldChar w:fldCharType="begin"/>
          </w:r>
          <w:r>
            <w:rPr>
              <w:rFonts w:hint="eastAsia"/>
            </w:rPr>
            <w:instrText xml:space="preserve"> HYPERLINK \l _Toc28086 </w:instrText>
          </w:r>
          <w:r>
            <w:rPr>
              <w:rFonts w:hint="eastAsia"/>
            </w:rPr>
            <w:fldChar w:fldCharType="separate"/>
          </w:r>
          <w:r>
            <w:rPr>
              <w:rFonts w:hint="eastAsia" w:ascii="宋体" w:hAnsi="宋体" w:eastAsia="宋体" w:cs="宋体"/>
              <w:bCs/>
              <w:kern w:val="44"/>
              <w:szCs w:val="36"/>
              <w:highlight w:val="none"/>
              <w:lang w:val="en-US" w:eastAsia="zh-CN" w:bidi="ar-SA"/>
            </w:rPr>
            <w:t xml:space="preserve">第一章 </w:t>
          </w:r>
          <w:r>
            <w:rPr>
              <w:rFonts w:hint="eastAsia" w:ascii="宋体" w:hAnsi="宋体" w:eastAsia="宋体" w:cs="宋体"/>
              <w:szCs w:val="36"/>
              <w:highlight w:val="none"/>
              <w:lang w:val="en-US" w:eastAsia="zh-CN"/>
            </w:rPr>
            <w:t>招标公告</w:t>
          </w:r>
          <w:r>
            <w:tab/>
          </w:r>
          <w:r>
            <w:fldChar w:fldCharType="begin"/>
          </w:r>
          <w:r>
            <w:instrText xml:space="preserve"> PAGEREF _Toc28086 \h </w:instrText>
          </w:r>
          <w:r>
            <w:fldChar w:fldCharType="separate"/>
          </w:r>
          <w:r>
            <w:t>- 3 -</w:t>
          </w:r>
          <w:r>
            <w:fldChar w:fldCharType="end"/>
          </w:r>
          <w:r>
            <w:rPr>
              <w:rFonts w:hint="eastAsia"/>
            </w:rPr>
            <w:fldChar w:fldCharType="end"/>
          </w:r>
        </w:p>
        <w:p w14:paraId="4F423F58">
          <w:pPr>
            <w:pStyle w:val="24"/>
            <w:tabs>
              <w:tab w:val="right" w:leader="dot" w:pos="8306"/>
            </w:tabs>
          </w:pPr>
          <w:r>
            <w:rPr>
              <w:rFonts w:hint="eastAsia"/>
            </w:rPr>
            <w:fldChar w:fldCharType="begin"/>
          </w:r>
          <w:r>
            <w:rPr>
              <w:rFonts w:hint="eastAsia"/>
            </w:rPr>
            <w:instrText xml:space="preserve"> HYPERLINK \l _Toc14358 </w:instrText>
          </w:r>
          <w:r>
            <w:rPr>
              <w:rFonts w:hint="eastAsia"/>
            </w:rPr>
            <w:fldChar w:fldCharType="separate"/>
          </w:r>
          <w:r>
            <w:rPr>
              <w:rFonts w:hint="eastAsia" w:ascii="宋体" w:hAnsi="宋体" w:eastAsia="宋体" w:cs="宋体"/>
              <w:bCs/>
              <w:kern w:val="44"/>
              <w:szCs w:val="36"/>
              <w:highlight w:val="none"/>
              <w:lang w:val="en-US" w:eastAsia="zh-CN" w:bidi="ar-SA"/>
            </w:rPr>
            <w:t>第二章 投标人须知</w:t>
          </w:r>
          <w:r>
            <w:tab/>
          </w:r>
          <w:r>
            <w:fldChar w:fldCharType="begin"/>
          </w:r>
          <w:r>
            <w:instrText xml:space="preserve"> PAGEREF _Toc14358 \h </w:instrText>
          </w:r>
          <w:r>
            <w:fldChar w:fldCharType="separate"/>
          </w:r>
          <w:r>
            <w:t>- 6 -</w:t>
          </w:r>
          <w:r>
            <w:fldChar w:fldCharType="end"/>
          </w:r>
          <w:r>
            <w:rPr>
              <w:rFonts w:hint="eastAsia"/>
            </w:rPr>
            <w:fldChar w:fldCharType="end"/>
          </w:r>
        </w:p>
        <w:p w14:paraId="2A94E300">
          <w:pPr>
            <w:pStyle w:val="24"/>
            <w:tabs>
              <w:tab w:val="right" w:leader="dot" w:pos="8306"/>
            </w:tabs>
          </w:pPr>
          <w:r>
            <w:rPr>
              <w:rFonts w:hint="eastAsia"/>
            </w:rPr>
            <w:fldChar w:fldCharType="begin"/>
          </w:r>
          <w:r>
            <w:rPr>
              <w:rFonts w:hint="eastAsia"/>
            </w:rPr>
            <w:instrText xml:space="preserve"> HYPERLINK \l _Toc11135 </w:instrText>
          </w:r>
          <w:r>
            <w:rPr>
              <w:rFonts w:hint="eastAsia"/>
            </w:rPr>
            <w:fldChar w:fldCharType="separate"/>
          </w:r>
          <w:r>
            <w:rPr>
              <w:rFonts w:hint="eastAsia" w:ascii="宋体" w:hAnsi="宋体" w:eastAsia="宋体" w:cs="宋体"/>
              <w:bCs/>
              <w:kern w:val="44"/>
              <w:szCs w:val="36"/>
              <w:highlight w:val="none"/>
              <w:lang w:val="en-US" w:eastAsia="zh-CN" w:bidi="ar-SA"/>
            </w:rPr>
            <w:t>第三章 采购需求</w:t>
          </w:r>
          <w:r>
            <w:tab/>
          </w:r>
          <w:r>
            <w:fldChar w:fldCharType="begin"/>
          </w:r>
          <w:r>
            <w:instrText xml:space="preserve"> PAGEREF _Toc11135 \h </w:instrText>
          </w:r>
          <w:r>
            <w:fldChar w:fldCharType="separate"/>
          </w:r>
          <w:r>
            <w:t>- 35 -</w:t>
          </w:r>
          <w:r>
            <w:fldChar w:fldCharType="end"/>
          </w:r>
          <w:r>
            <w:rPr>
              <w:rFonts w:hint="eastAsia"/>
            </w:rPr>
            <w:fldChar w:fldCharType="end"/>
          </w:r>
        </w:p>
        <w:p w14:paraId="2758246D">
          <w:pPr>
            <w:pStyle w:val="24"/>
            <w:tabs>
              <w:tab w:val="right" w:leader="dot" w:pos="8306"/>
            </w:tabs>
          </w:pPr>
          <w:r>
            <w:rPr>
              <w:rFonts w:hint="eastAsia"/>
            </w:rPr>
            <w:fldChar w:fldCharType="begin"/>
          </w:r>
          <w:r>
            <w:rPr>
              <w:rFonts w:hint="eastAsia"/>
            </w:rPr>
            <w:instrText xml:space="preserve"> HYPERLINK \l _Toc25172 </w:instrText>
          </w:r>
          <w:r>
            <w:rPr>
              <w:rFonts w:hint="eastAsia"/>
            </w:rPr>
            <w:fldChar w:fldCharType="separate"/>
          </w:r>
          <w:r>
            <w:rPr>
              <w:rFonts w:hint="eastAsia" w:ascii="宋体" w:hAnsi="宋体" w:eastAsia="宋体" w:cs="宋体"/>
              <w:bCs/>
              <w:kern w:val="44"/>
              <w:szCs w:val="36"/>
              <w:lang w:val="en-US" w:eastAsia="zh-CN" w:bidi="ar-SA"/>
            </w:rPr>
            <w:t xml:space="preserve">第四章 </w:t>
          </w:r>
          <w:r>
            <w:rPr>
              <w:rFonts w:hint="eastAsia" w:ascii="宋体" w:hAnsi="宋体" w:eastAsia="宋体" w:cs="宋体"/>
              <w:bCs/>
              <w:kern w:val="44"/>
              <w:szCs w:val="36"/>
              <w:highlight w:val="none"/>
              <w:lang w:val="en-US" w:eastAsia="zh-CN" w:bidi="ar-SA"/>
            </w:rPr>
            <w:t>资格审查</w:t>
          </w:r>
          <w:r>
            <w:tab/>
          </w:r>
          <w:r>
            <w:fldChar w:fldCharType="begin"/>
          </w:r>
          <w:r>
            <w:instrText xml:space="preserve"> PAGEREF _Toc25172 \h </w:instrText>
          </w:r>
          <w:r>
            <w:fldChar w:fldCharType="separate"/>
          </w:r>
          <w:r>
            <w:t>- 80 -</w:t>
          </w:r>
          <w:r>
            <w:fldChar w:fldCharType="end"/>
          </w:r>
          <w:r>
            <w:rPr>
              <w:rFonts w:hint="eastAsia"/>
            </w:rPr>
            <w:fldChar w:fldCharType="end"/>
          </w:r>
        </w:p>
        <w:p w14:paraId="4BF44CE3">
          <w:pPr>
            <w:pStyle w:val="24"/>
            <w:tabs>
              <w:tab w:val="right" w:leader="dot" w:pos="8306"/>
            </w:tabs>
          </w:pPr>
          <w:r>
            <w:rPr>
              <w:rFonts w:hint="eastAsia"/>
            </w:rPr>
            <w:fldChar w:fldCharType="begin"/>
          </w:r>
          <w:r>
            <w:rPr>
              <w:rFonts w:hint="eastAsia"/>
            </w:rPr>
            <w:instrText xml:space="preserve"> HYPERLINK \l _Toc15310 </w:instrText>
          </w:r>
          <w:r>
            <w:rPr>
              <w:rFonts w:hint="eastAsia"/>
            </w:rPr>
            <w:fldChar w:fldCharType="separate"/>
          </w:r>
          <w:r>
            <w:rPr>
              <w:rFonts w:hint="eastAsia" w:ascii="宋体" w:hAnsi="宋体" w:eastAsia="宋体" w:cs="宋体"/>
              <w:bCs/>
              <w:kern w:val="44"/>
              <w:szCs w:val="36"/>
              <w:lang w:val="en-US" w:eastAsia="zh-CN" w:bidi="ar-SA"/>
            </w:rPr>
            <w:t xml:space="preserve">第五章 </w:t>
          </w:r>
          <w:r>
            <w:rPr>
              <w:rFonts w:hint="eastAsia" w:ascii="宋体" w:hAnsi="宋体" w:eastAsia="宋体" w:cs="宋体"/>
              <w:bCs/>
              <w:kern w:val="44"/>
              <w:szCs w:val="36"/>
              <w:highlight w:val="none"/>
              <w:lang w:val="en-US" w:eastAsia="zh-CN" w:bidi="ar-SA"/>
            </w:rPr>
            <w:t>评标方法及标准(综合评分法)</w:t>
          </w:r>
          <w:r>
            <w:tab/>
          </w:r>
          <w:r>
            <w:fldChar w:fldCharType="begin"/>
          </w:r>
          <w:r>
            <w:instrText xml:space="preserve"> PAGEREF _Toc15310 \h </w:instrText>
          </w:r>
          <w:r>
            <w:fldChar w:fldCharType="separate"/>
          </w:r>
          <w:r>
            <w:t>- 81 -</w:t>
          </w:r>
          <w:r>
            <w:fldChar w:fldCharType="end"/>
          </w:r>
          <w:r>
            <w:rPr>
              <w:rFonts w:hint="eastAsia"/>
            </w:rPr>
            <w:fldChar w:fldCharType="end"/>
          </w:r>
        </w:p>
        <w:p w14:paraId="7986A105">
          <w:pPr>
            <w:pStyle w:val="24"/>
            <w:tabs>
              <w:tab w:val="right" w:leader="dot" w:pos="8306"/>
            </w:tabs>
          </w:pPr>
          <w:r>
            <w:rPr>
              <w:rFonts w:hint="eastAsia"/>
            </w:rPr>
            <w:fldChar w:fldCharType="begin"/>
          </w:r>
          <w:r>
            <w:rPr>
              <w:rFonts w:hint="eastAsia"/>
            </w:rPr>
            <w:instrText xml:space="preserve"> HYPERLINK \l _Toc32037 </w:instrText>
          </w:r>
          <w:r>
            <w:rPr>
              <w:rFonts w:hint="eastAsia"/>
            </w:rPr>
            <w:fldChar w:fldCharType="separate"/>
          </w:r>
          <w:r>
            <w:rPr>
              <w:rFonts w:hint="eastAsia" w:ascii="宋体" w:hAnsi="宋体" w:eastAsia="宋体" w:cs="宋体"/>
              <w:bCs/>
              <w:kern w:val="44"/>
              <w:szCs w:val="36"/>
              <w:highlight w:val="none"/>
              <w:lang w:val="zh-CN" w:eastAsia="zh-CN" w:bidi="ar-SA"/>
            </w:rPr>
            <w:t>第六章 合同草案</w:t>
          </w:r>
          <w:r>
            <w:tab/>
          </w:r>
          <w:r>
            <w:fldChar w:fldCharType="begin"/>
          </w:r>
          <w:r>
            <w:instrText xml:space="preserve"> PAGEREF _Toc32037 \h </w:instrText>
          </w:r>
          <w:r>
            <w:fldChar w:fldCharType="separate"/>
          </w:r>
          <w:r>
            <w:t>- 90 -</w:t>
          </w:r>
          <w:r>
            <w:fldChar w:fldCharType="end"/>
          </w:r>
          <w:r>
            <w:rPr>
              <w:rFonts w:hint="eastAsia"/>
            </w:rPr>
            <w:fldChar w:fldCharType="end"/>
          </w:r>
        </w:p>
        <w:p w14:paraId="3D99A221">
          <w:pPr>
            <w:pStyle w:val="24"/>
            <w:tabs>
              <w:tab w:val="right" w:leader="dot" w:pos="8306"/>
            </w:tabs>
          </w:pPr>
          <w:r>
            <w:rPr>
              <w:rFonts w:hint="eastAsia"/>
            </w:rPr>
            <w:fldChar w:fldCharType="begin"/>
          </w:r>
          <w:r>
            <w:rPr>
              <w:rFonts w:hint="eastAsia"/>
            </w:rPr>
            <w:instrText xml:space="preserve"> HYPERLINK \l _Toc126 </w:instrText>
          </w:r>
          <w:r>
            <w:rPr>
              <w:rFonts w:hint="eastAsia"/>
            </w:rPr>
            <w:fldChar w:fldCharType="separate"/>
          </w:r>
          <w:r>
            <w:rPr>
              <w:rFonts w:hint="eastAsia" w:ascii="宋体" w:hAnsi="宋体" w:eastAsia="宋体" w:cs="宋体"/>
              <w:bCs/>
              <w:kern w:val="44"/>
              <w:szCs w:val="36"/>
              <w:highlight w:val="none"/>
              <w:lang w:val="en-US" w:eastAsia="zh-CN" w:bidi="ar-SA"/>
            </w:rPr>
            <w:t>第七章 投标文件格式</w:t>
          </w:r>
          <w:r>
            <w:tab/>
          </w:r>
          <w:r>
            <w:fldChar w:fldCharType="begin"/>
          </w:r>
          <w:r>
            <w:instrText xml:space="preserve"> PAGEREF _Toc126 \h </w:instrText>
          </w:r>
          <w:r>
            <w:fldChar w:fldCharType="separate"/>
          </w:r>
          <w:r>
            <w:t>- 99 -</w:t>
          </w:r>
          <w:r>
            <w:fldChar w:fldCharType="end"/>
          </w:r>
          <w:r>
            <w:rPr>
              <w:rFonts w:hint="eastAsia"/>
            </w:rPr>
            <w:fldChar w:fldCharType="end"/>
          </w:r>
        </w:p>
        <w:p w14:paraId="655663DE">
          <w:pPr>
            <w:rPr>
              <w:rFonts w:hint="eastAsia" w:ascii="宋体" w:hAnsi="宋体" w:eastAsia="宋体" w:cstheme="minorBidi"/>
              <w:kern w:val="2"/>
              <w:sz w:val="24"/>
              <w:szCs w:val="22"/>
              <w:lang w:val="en-US" w:eastAsia="zh-CN" w:bidi="ar-SA"/>
            </w:rPr>
          </w:pPr>
          <w:r>
            <w:rPr>
              <w:rFonts w:hint="eastAsia"/>
            </w:rPr>
            <w:fldChar w:fldCharType="end"/>
          </w:r>
        </w:p>
      </w:sdtContent>
    </w:sdt>
    <w:p w14:paraId="5DFDBFBD">
      <w:pPr>
        <w:pStyle w:val="2"/>
        <w:rPr>
          <w:rFonts w:hint="eastAsia"/>
        </w:rPr>
      </w:pPr>
    </w:p>
    <w:p w14:paraId="4014DF31">
      <w:r>
        <w:br w:type="page"/>
      </w:r>
    </w:p>
    <w:p w14:paraId="54083EF4"/>
    <w:p w14:paraId="29DD1FCB">
      <w:pPr>
        <w:pStyle w:val="3"/>
        <w:keepNext/>
        <w:keepLines/>
        <w:pageBreakBefore w:val="0"/>
        <w:widowControl w:val="0"/>
        <w:numPr>
          <w:ilvl w:val="0"/>
          <w:numId w:val="0"/>
        </w:numPr>
        <w:kinsoku/>
        <w:wordWrap/>
        <w:overflowPunct/>
        <w:topLinePunct w:val="0"/>
        <w:autoSpaceDE/>
        <w:autoSpaceDN/>
        <w:bidi w:val="0"/>
        <w:adjustRightInd/>
        <w:snapToGrid/>
        <w:spacing w:before="220" w:after="220" w:line="480" w:lineRule="auto"/>
        <w:ind w:left="420" w:leftChars="0" w:hanging="420" w:firstLineChars="0"/>
        <w:textAlignment w:val="auto"/>
        <w:rPr>
          <w:rFonts w:hint="eastAsia" w:ascii="宋体" w:hAnsi="宋体" w:eastAsia="宋体" w:cs="宋体"/>
          <w:color w:val="auto"/>
          <w:sz w:val="36"/>
          <w:szCs w:val="36"/>
          <w:highlight w:val="none"/>
          <w:lang w:val="en-US" w:eastAsia="zh-CN"/>
        </w:rPr>
      </w:pPr>
      <w:r>
        <w:rPr>
          <w:i w:val="0"/>
          <w:iCs w:val="0"/>
          <w:color w:val="auto"/>
          <w:highlight w:val="none"/>
        </w:rPr>
        <w:fldChar w:fldCharType="end"/>
      </w:r>
      <w:bookmarkStart w:id="3" w:name="_Toc28086"/>
      <w:r>
        <w:rPr>
          <w:rFonts w:hint="eastAsia" w:ascii="宋体" w:hAnsi="宋体" w:eastAsia="宋体" w:cs="宋体"/>
          <w:b/>
          <w:bCs/>
          <w:color w:val="auto"/>
          <w:kern w:val="44"/>
          <w:sz w:val="36"/>
          <w:szCs w:val="36"/>
          <w:highlight w:val="none"/>
          <w:lang w:val="en-US" w:eastAsia="zh-CN" w:bidi="ar-SA"/>
        </w:rPr>
        <w:t xml:space="preserve">第一章 </w:t>
      </w:r>
      <w:bookmarkEnd w:id="0"/>
      <w:r>
        <w:rPr>
          <w:rFonts w:hint="eastAsia" w:ascii="宋体" w:hAnsi="宋体" w:eastAsia="宋体" w:cs="宋体"/>
          <w:color w:val="auto"/>
          <w:sz w:val="36"/>
          <w:szCs w:val="36"/>
          <w:highlight w:val="none"/>
          <w:lang w:val="en-US" w:eastAsia="zh-CN"/>
        </w:rPr>
        <w:t>招标公告</w:t>
      </w:r>
      <w:bookmarkEnd w:id="1"/>
      <w:bookmarkEnd w:id="3"/>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7612E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73D0F96B">
            <w:pPr>
              <w:pStyle w:val="2"/>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textAlignment w:val="auto"/>
              <w:rPr>
                <w:rFonts w:hint="eastAsia"/>
                <w:color w:val="auto"/>
                <w:sz w:val="24"/>
                <w:szCs w:val="24"/>
                <w:highlight w:val="none"/>
                <w:lang w:val="en-US" w:eastAsia="zh-CN"/>
              </w:rPr>
            </w:pPr>
            <w:bookmarkStart w:id="4" w:name="_Toc32473"/>
            <w:bookmarkStart w:id="5" w:name="_Toc576"/>
            <w:bookmarkStart w:id="6" w:name="_Toc26706"/>
            <w:bookmarkStart w:id="7" w:name="_Toc109899410"/>
            <w:bookmarkStart w:id="8" w:name="_Toc28359012"/>
            <w:bookmarkStart w:id="9" w:name="_Toc35393629"/>
            <w:bookmarkStart w:id="10" w:name="_Toc35393798"/>
            <w:bookmarkStart w:id="11" w:name="_Toc109899829"/>
            <w:bookmarkStart w:id="12" w:name="_Toc44583628"/>
            <w:bookmarkStart w:id="13" w:name="_Toc109900248"/>
            <w:bookmarkStart w:id="14" w:name="_Toc140132745"/>
            <w:bookmarkStart w:id="15" w:name="_Toc155185860"/>
            <w:bookmarkStart w:id="16" w:name="_Toc28359089"/>
            <w:r>
              <w:rPr>
                <w:rFonts w:hint="eastAsia"/>
                <w:color w:val="auto"/>
                <w:sz w:val="24"/>
                <w:szCs w:val="24"/>
                <w:highlight w:val="none"/>
                <w:lang w:val="en-US" w:eastAsia="zh-CN"/>
              </w:rPr>
              <w:t>项目概况：</w:t>
            </w:r>
            <w:bookmarkEnd w:id="4"/>
            <w:bookmarkEnd w:id="5"/>
            <w:bookmarkEnd w:id="6"/>
          </w:p>
          <w:p w14:paraId="42E3A809">
            <w:pPr>
              <w:spacing w:line="360" w:lineRule="auto"/>
              <w:ind w:firstLine="480" w:firstLineChars="200"/>
              <w:rPr>
                <w:rFonts w:hint="default"/>
                <w:color w:val="auto"/>
                <w:highlight w:val="none"/>
                <w:lang w:val="en-US" w:eastAsia="zh-CN"/>
              </w:rPr>
            </w:pPr>
            <w:r>
              <w:rPr>
                <w:rFonts w:hint="eastAsia" w:cs="宋体"/>
                <w:color w:val="000000"/>
                <w:kern w:val="0"/>
                <w:sz w:val="24"/>
                <w:szCs w:val="24"/>
                <w:u w:val="single"/>
                <w:lang w:val="en-US" w:eastAsia="zh-CN" w:bidi="ar-SA"/>
              </w:rPr>
              <w:t>四师第一中学后勤管理服务采购项目</w:t>
            </w:r>
            <w:r>
              <w:rPr>
                <w:rFonts w:hint="eastAsia" w:ascii="宋体" w:hAnsi="宋体" w:eastAsia="宋体" w:cstheme="minorBidi"/>
                <w:iCs/>
                <w:color w:val="auto"/>
                <w:kern w:val="2"/>
                <w:sz w:val="24"/>
                <w:szCs w:val="24"/>
                <w:highlight w:val="none"/>
                <w:shd w:val="clear" w:color="auto" w:fill="FFFFFF" w:themeFill="background1"/>
                <w:lang w:val="hr-HR" w:eastAsia="zh-CN" w:bidi="ar-SA"/>
              </w:rPr>
              <w:t>招标项目的潜在投标人应在</w:t>
            </w:r>
            <w:r>
              <w:rPr>
                <w:rFonts w:hint="eastAsia" w:ascii="宋体" w:hAnsi="宋体" w:eastAsia="宋体" w:cs="宋体"/>
                <w:i w:val="0"/>
                <w:iCs w:val="0"/>
                <w:color w:val="auto"/>
                <w:sz w:val="24"/>
                <w:szCs w:val="24"/>
                <w:highlight w:val="none"/>
                <w:u w:val="single"/>
                <w:lang w:val="en-US"/>
              </w:rPr>
              <w:t>兵团</w:t>
            </w:r>
            <w:r>
              <w:rPr>
                <w:rFonts w:hint="eastAsia" w:ascii="宋体" w:hAnsi="宋体" w:eastAsia="宋体" w:cs="宋体"/>
                <w:i w:val="0"/>
                <w:iCs w:val="0"/>
                <w:color w:val="auto"/>
                <w:sz w:val="24"/>
                <w:szCs w:val="24"/>
                <w:highlight w:val="none"/>
                <w:u w:val="single"/>
              </w:rPr>
              <w:t>政府采购</w:t>
            </w:r>
            <w:r>
              <w:rPr>
                <w:rFonts w:hint="eastAsia" w:ascii="宋体" w:hAnsi="宋体" w:eastAsia="宋体" w:cs="宋体"/>
                <w:i w:val="0"/>
                <w:iCs w:val="0"/>
                <w:color w:val="auto"/>
                <w:sz w:val="24"/>
                <w:szCs w:val="24"/>
                <w:highlight w:val="none"/>
                <w:u w:val="single"/>
                <w:lang w:val="en-US"/>
              </w:rPr>
              <w:t>电子交易云</w:t>
            </w:r>
            <w:r>
              <w:rPr>
                <w:rFonts w:hint="eastAsia" w:ascii="宋体" w:hAnsi="宋体" w:eastAsia="宋体" w:cs="宋体"/>
                <w:i w:val="0"/>
                <w:iCs w:val="0"/>
                <w:color w:val="auto"/>
                <w:sz w:val="24"/>
                <w:szCs w:val="24"/>
                <w:highlight w:val="none"/>
                <w:u w:val="single"/>
              </w:rPr>
              <w:t>平台</w:t>
            </w:r>
            <w:r>
              <w:rPr>
                <w:rFonts w:hint="eastAsia" w:ascii="宋体" w:hAnsi="宋体" w:eastAsia="宋体" w:cs="宋体"/>
                <w:i w:val="0"/>
                <w:iCs w:val="0"/>
                <w:color w:val="auto"/>
                <w:sz w:val="24"/>
                <w:szCs w:val="24"/>
                <w:highlight w:val="none"/>
                <w:u w:val="single"/>
                <w:lang w:val="hr-HR"/>
              </w:rPr>
              <w:t>（</w:t>
            </w:r>
            <w:r>
              <w:rPr>
                <w:rFonts w:hint="eastAsia" w:ascii="宋体" w:hAnsi="宋体" w:eastAsia="宋体" w:cs="宋体"/>
                <w:i w:val="0"/>
                <w:iCs w:val="0"/>
                <w:color w:val="auto"/>
                <w:sz w:val="24"/>
                <w:szCs w:val="24"/>
                <w:highlight w:val="none"/>
                <w:u w:val="single"/>
              </w:rPr>
              <w:t>网址</w:t>
            </w:r>
            <w:r>
              <w:rPr>
                <w:rFonts w:hint="eastAsia" w:ascii="宋体" w:hAnsi="宋体" w:eastAsia="宋体" w:cs="宋体"/>
                <w:i w:val="0"/>
                <w:iCs w:val="0"/>
                <w:color w:val="auto"/>
                <w:sz w:val="24"/>
                <w:szCs w:val="24"/>
                <w:highlight w:val="none"/>
                <w:u w:val="single"/>
                <w:lang w:val="hr-HR"/>
              </w:rPr>
              <w:t>：https://www.zcygov.cn</w:t>
            </w:r>
            <w:r>
              <w:rPr>
                <w:rFonts w:hint="eastAsia" w:cs="宋体"/>
                <w:i w:val="0"/>
                <w:iCs w:val="0"/>
                <w:color w:val="auto"/>
                <w:sz w:val="24"/>
                <w:szCs w:val="24"/>
                <w:highlight w:val="none"/>
                <w:u w:val="single"/>
                <w:lang w:val="hr-HR" w:eastAsia="zh-CN"/>
              </w:rPr>
              <w:t>）</w:t>
            </w:r>
            <w:r>
              <w:rPr>
                <w:rFonts w:hint="eastAsia" w:ascii="宋体" w:hAnsi="宋体" w:eastAsia="宋体" w:cstheme="minorBidi"/>
                <w:iCs/>
                <w:color w:val="auto"/>
                <w:kern w:val="2"/>
                <w:sz w:val="24"/>
                <w:szCs w:val="24"/>
                <w:highlight w:val="none"/>
                <w:shd w:val="clear" w:color="auto" w:fill="FFFFFF" w:themeFill="background1"/>
                <w:lang w:val="hr-HR" w:eastAsia="zh-CN" w:bidi="ar-SA"/>
              </w:rPr>
              <w:t>获取招标文件，并于</w:t>
            </w:r>
            <w:r>
              <w:rPr>
                <w:rFonts w:hint="eastAsia" w:cstheme="minorBidi"/>
                <w:iCs/>
                <w:color w:val="auto"/>
                <w:kern w:val="2"/>
                <w:sz w:val="24"/>
                <w:szCs w:val="24"/>
                <w:highlight w:val="none"/>
                <w:u w:val="single"/>
                <w:shd w:val="clear" w:color="auto" w:fill="FFFFFF" w:themeFill="background1"/>
                <w:lang w:val="en-US" w:eastAsia="zh-CN" w:bidi="ar-SA"/>
              </w:rPr>
              <w:t>2025</w:t>
            </w:r>
            <w:r>
              <w:rPr>
                <w:rFonts w:hint="eastAsia" w:ascii="宋体" w:hAnsi="宋体" w:eastAsia="宋体" w:cstheme="minorBidi"/>
                <w:iCs/>
                <w:color w:val="auto"/>
                <w:kern w:val="2"/>
                <w:sz w:val="24"/>
                <w:szCs w:val="24"/>
                <w:highlight w:val="none"/>
                <w:u w:val="single"/>
                <w:shd w:val="clear" w:color="auto" w:fill="FFFFFF" w:themeFill="background1"/>
                <w:lang w:val="hr-HR" w:eastAsia="zh-CN" w:bidi="ar-SA"/>
              </w:rPr>
              <w:t>年</w:t>
            </w:r>
            <w:r>
              <w:rPr>
                <w:rFonts w:hint="eastAsia" w:cstheme="minorBidi"/>
                <w:iCs/>
                <w:color w:val="auto"/>
                <w:kern w:val="2"/>
                <w:sz w:val="24"/>
                <w:szCs w:val="24"/>
                <w:highlight w:val="none"/>
                <w:u w:val="single"/>
                <w:shd w:val="clear" w:color="auto" w:fill="FFFFFF" w:themeFill="background1"/>
                <w:lang w:val="en-US" w:eastAsia="zh-CN" w:bidi="ar-SA"/>
              </w:rPr>
              <w:t>7月18日11时00</w:t>
            </w:r>
            <w:r>
              <w:rPr>
                <w:rFonts w:hint="eastAsia" w:ascii="宋体" w:hAnsi="宋体" w:eastAsia="宋体" w:cstheme="minorBidi"/>
                <w:iCs/>
                <w:color w:val="auto"/>
                <w:kern w:val="2"/>
                <w:sz w:val="24"/>
                <w:szCs w:val="24"/>
                <w:highlight w:val="none"/>
                <w:u w:val="single"/>
                <w:shd w:val="clear" w:color="auto" w:fill="FFFFFF" w:themeFill="background1"/>
                <w:lang w:val="hr-HR" w:eastAsia="zh-CN" w:bidi="ar-SA"/>
              </w:rPr>
              <w:t>分</w:t>
            </w:r>
            <w:r>
              <w:rPr>
                <w:rFonts w:hint="eastAsia" w:ascii="宋体" w:hAnsi="宋体" w:eastAsia="宋体" w:cstheme="minorBidi"/>
                <w:iCs/>
                <w:color w:val="auto"/>
                <w:kern w:val="2"/>
                <w:sz w:val="24"/>
                <w:szCs w:val="24"/>
                <w:highlight w:val="none"/>
                <w:shd w:val="clear" w:color="auto" w:fill="FFFFFF" w:themeFill="background1"/>
                <w:lang w:val="hr-HR" w:eastAsia="zh-CN" w:bidi="ar-SA"/>
              </w:rPr>
              <w:t>（北京时间）前递交投标文件。</w:t>
            </w:r>
          </w:p>
        </w:tc>
      </w:tr>
    </w:tbl>
    <w:p w14:paraId="4072DEF0">
      <w:pPr>
        <w:pStyle w:val="2"/>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420" w:leftChars="0" w:hanging="420" w:firstLineChars="0"/>
        <w:textAlignment w:val="auto"/>
        <w:rPr>
          <w:rFonts w:hint="eastAsia" w:ascii="宋体" w:hAnsi="宋体" w:eastAsia="宋体" w:cs="宋体"/>
          <w:b/>
          <w:bCs/>
          <w:color w:val="auto"/>
          <w:kern w:val="2"/>
          <w:sz w:val="24"/>
          <w:szCs w:val="24"/>
          <w:highlight w:val="none"/>
          <w:lang w:val="hr-HR" w:eastAsia="zh-CN" w:bidi="ar-SA"/>
        </w:rPr>
      </w:pPr>
      <w:bookmarkStart w:id="17" w:name="_Toc29167"/>
      <w:r>
        <w:rPr>
          <w:rFonts w:hint="eastAsia" w:ascii="宋体" w:hAnsi="宋体" w:eastAsia="宋体" w:cs="宋体"/>
          <w:b/>
          <w:bCs/>
          <w:color w:val="auto"/>
          <w:kern w:val="2"/>
          <w:sz w:val="24"/>
          <w:szCs w:val="24"/>
          <w:highlight w:val="none"/>
          <w:lang w:val="hr-HR" w:eastAsia="zh-CN" w:bidi="ar-SA"/>
        </w:rPr>
        <w:t>一、项目基本情况</w:t>
      </w:r>
      <w:bookmarkEnd w:id="7"/>
      <w:bookmarkEnd w:id="8"/>
      <w:bookmarkEnd w:id="9"/>
      <w:bookmarkEnd w:id="10"/>
      <w:bookmarkEnd w:id="11"/>
      <w:bookmarkEnd w:id="12"/>
      <w:bookmarkEnd w:id="13"/>
      <w:bookmarkEnd w:id="14"/>
      <w:bookmarkEnd w:id="15"/>
      <w:bookmarkEnd w:id="16"/>
      <w:bookmarkEnd w:id="17"/>
    </w:p>
    <w:p w14:paraId="590E39A6">
      <w:pPr>
        <w:pStyle w:val="38"/>
        <w:spacing w:line="360" w:lineRule="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hr-HR"/>
        </w:rPr>
        <w:t>1.项目编号</w:t>
      </w:r>
      <w:r>
        <w:rPr>
          <w:rFonts w:hint="eastAsia"/>
          <w:color w:val="auto"/>
          <w:sz w:val="24"/>
          <w:highlight w:val="none"/>
          <w:lang w:val="en-US" w:eastAsia="zh-CN"/>
        </w:rPr>
        <w:t>/包号</w:t>
      </w:r>
      <w:r>
        <w:rPr>
          <w:rFonts w:hint="eastAsia" w:ascii="宋体" w:hAnsi="宋体" w:eastAsia="宋体" w:cs="宋体"/>
          <w:color w:val="auto"/>
          <w:sz w:val="24"/>
          <w:szCs w:val="24"/>
          <w:highlight w:val="none"/>
          <w:lang w:val="hr-HR"/>
        </w:rPr>
        <w:t>：</w:t>
      </w:r>
      <w:r>
        <w:rPr>
          <w:rFonts w:hint="eastAsia" w:ascii="宋体" w:hAnsi="宋体" w:eastAsia="宋体" w:cs="宋体"/>
          <w:color w:val="auto"/>
          <w:sz w:val="24"/>
          <w:szCs w:val="24"/>
          <w:highlight w:val="none"/>
          <w:u w:val="single"/>
          <w:lang w:val="en-US" w:eastAsia="zh-CN"/>
        </w:rPr>
        <w:t>DSSJCJG-GK-2025-04（包1：可市校区（物业服务），包2：伊宁市校区（物业服务））</w:t>
      </w:r>
    </w:p>
    <w:p w14:paraId="544AA4B7">
      <w:pPr>
        <w:pStyle w:val="38"/>
        <w:spacing w:line="360" w:lineRule="auto"/>
        <w:rPr>
          <w:rFonts w:hint="eastAsia" w:ascii="宋体" w:hAnsi="宋体" w:eastAsia="宋体" w:cs="宋体"/>
          <w:color w:val="auto"/>
          <w:sz w:val="24"/>
          <w:szCs w:val="24"/>
          <w:highlight w:val="none"/>
          <w:lang w:val="hr-HR"/>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hr-HR"/>
        </w:rPr>
        <w:t>.项目名称：</w:t>
      </w:r>
      <w:r>
        <w:rPr>
          <w:rFonts w:hint="eastAsia" w:cs="宋体"/>
          <w:color w:val="000000"/>
          <w:kern w:val="0"/>
          <w:sz w:val="24"/>
          <w:szCs w:val="24"/>
          <w:u w:val="single"/>
          <w:lang w:val="en-US" w:eastAsia="zh-CN" w:bidi="ar-SA"/>
        </w:rPr>
        <w:t>四师第一中学后勤管理服务采购项目</w:t>
      </w:r>
    </w:p>
    <w:p w14:paraId="3CE35A7E">
      <w:pPr>
        <w:pStyle w:val="38"/>
        <w:spacing w:line="360" w:lineRule="auto"/>
        <w:rPr>
          <w:rFonts w:hint="eastAsia" w:ascii="宋体" w:hAnsi="宋体" w:eastAsia="宋体" w:cs="宋体"/>
          <w:color w:val="auto"/>
          <w:sz w:val="24"/>
          <w:szCs w:val="24"/>
          <w:highlight w:val="none"/>
          <w:lang w:val="hr-HR"/>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.采购方式：公开招标</w:t>
      </w:r>
    </w:p>
    <w:p w14:paraId="59C890A3">
      <w:pPr>
        <w:pStyle w:val="38"/>
        <w:spacing w:line="360" w:lineRule="auto"/>
        <w:rPr>
          <w:rFonts w:hint="default"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hr-HR"/>
        </w:rPr>
        <w:t>.</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lang w:val="hr-HR"/>
        </w:rPr>
        <w:t>预算金额：</w:t>
      </w:r>
      <w:r>
        <w:rPr>
          <w:rFonts w:hint="eastAsia" w:cs="宋体"/>
          <w:color w:val="auto"/>
          <w:sz w:val="24"/>
          <w:szCs w:val="24"/>
          <w:highlight w:val="none"/>
          <w:u w:val="single"/>
          <w:lang w:val="en-US" w:eastAsia="zh-CN"/>
        </w:rPr>
        <w:t>135.756</w:t>
      </w:r>
      <w:r>
        <w:rPr>
          <w:rFonts w:hint="eastAsia" w:ascii="宋体" w:hAnsi="宋体" w:eastAsia="宋体" w:cs="宋体"/>
          <w:color w:val="auto"/>
          <w:sz w:val="24"/>
          <w:szCs w:val="24"/>
          <w:highlight w:val="none"/>
          <w:u w:val="single"/>
          <w:lang w:val="hr-HR"/>
        </w:rPr>
        <w:t>万元</w:t>
      </w:r>
      <w:r>
        <w:rPr>
          <w:rFonts w:hint="eastAsia" w:cs="宋体"/>
          <w:color w:val="auto"/>
          <w:sz w:val="24"/>
          <w:szCs w:val="24"/>
          <w:highlight w:val="none"/>
          <w:u w:val="single"/>
          <w:lang w:val="hr-HR" w:eastAsia="zh-CN"/>
        </w:rPr>
        <w:t>（</w:t>
      </w:r>
      <w:r>
        <w:rPr>
          <w:rFonts w:hint="eastAsia" w:cs="宋体"/>
          <w:color w:val="auto"/>
          <w:sz w:val="24"/>
          <w:szCs w:val="24"/>
          <w:highlight w:val="none"/>
          <w:u w:val="single"/>
          <w:lang w:val="en-US" w:eastAsia="zh-CN"/>
        </w:rPr>
        <w:t>包1</w:t>
      </w:r>
      <w:r>
        <w:rPr>
          <w:rFonts w:hint="eastAsia" w:cs="宋体"/>
          <w:color w:val="auto"/>
          <w:sz w:val="24"/>
          <w:szCs w:val="24"/>
          <w:highlight w:val="none"/>
          <w:u w:val="single"/>
          <w:lang w:val="hr-HR" w:eastAsia="zh-CN"/>
        </w:rPr>
        <w:t>）</w:t>
      </w:r>
      <w:r>
        <w:rPr>
          <w:rFonts w:hint="eastAsia" w:cs="宋体"/>
          <w:color w:val="auto"/>
          <w:sz w:val="24"/>
          <w:szCs w:val="24"/>
          <w:highlight w:val="none"/>
          <w:u w:val="single"/>
          <w:lang w:val="en-US" w:eastAsia="zh-CN"/>
        </w:rPr>
        <w:t>87.168</w:t>
      </w:r>
      <w:r>
        <w:rPr>
          <w:rFonts w:hint="eastAsia" w:ascii="宋体" w:hAnsi="宋体" w:eastAsia="宋体" w:cs="宋体"/>
          <w:color w:val="auto"/>
          <w:sz w:val="24"/>
          <w:szCs w:val="24"/>
          <w:highlight w:val="none"/>
          <w:u w:val="single"/>
          <w:lang w:val="hr-HR"/>
        </w:rPr>
        <w:t>万元</w:t>
      </w:r>
      <w:r>
        <w:rPr>
          <w:rFonts w:hint="eastAsia" w:cs="宋体"/>
          <w:color w:val="auto"/>
          <w:sz w:val="24"/>
          <w:szCs w:val="24"/>
          <w:highlight w:val="none"/>
          <w:u w:val="single"/>
          <w:lang w:val="hr-HR" w:eastAsia="zh-CN"/>
        </w:rPr>
        <w:t>（</w:t>
      </w:r>
      <w:r>
        <w:rPr>
          <w:rFonts w:hint="eastAsia" w:cs="宋体"/>
          <w:color w:val="auto"/>
          <w:sz w:val="24"/>
          <w:szCs w:val="24"/>
          <w:highlight w:val="none"/>
          <w:u w:val="single"/>
          <w:lang w:val="en-US" w:eastAsia="zh-CN"/>
        </w:rPr>
        <w:t>包2</w:t>
      </w:r>
      <w:r>
        <w:rPr>
          <w:rFonts w:hint="eastAsia" w:cs="宋体"/>
          <w:color w:val="auto"/>
          <w:sz w:val="24"/>
          <w:szCs w:val="24"/>
          <w:highlight w:val="none"/>
          <w:u w:val="single"/>
          <w:lang w:val="hr-HR" w:eastAsia="zh-CN"/>
        </w:rPr>
        <w:t>）</w:t>
      </w:r>
    </w:p>
    <w:p w14:paraId="7851BE2C">
      <w:pPr>
        <w:pStyle w:val="38"/>
        <w:spacing w:line="360" w:lineRule="auto"/>
        <w:rPr>
          <w:rFonts w:hint="eastAsia" w:ascii="宋体" w:hAnsi="宋体" w:eastAsia="宋体" w:cs="宋体"/>
          <w:color w:val="auto"/>
          <w:sz w:val="24"/>
          <w:szCs w:val="24"/>
          <w:highlight w:val="none"/>
          <w:lang w:val="hr-HR"/>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hr-HR"/>
        </w:rPr>
        <w:t>.</w:t>
      </w:r>
      <w:r>
        <w:rPr>
          <w:rFonts w:hint="eastAsia" w:ascii="宋体" w:hAnsi="宋体" w:eastAsia="宋体" w:cs="宋体"/>
          <w:color w:val="auto"/>
          <w:sz w:val="24"/>
          <w:szCs w:val="24"/>
          <w:highlight w:val="none"/>
        </w:rPr>
        <w:t>最高限价</w:t>
      </w:r>
      <w:r>
        <w:rPr>
          <w:rFonts w:hint="eastAsia" w:ascii="宋体" w:hAnsi="宋体" w:eastAsia="宋体" w:cs="宋体"/>
          <w:color w:val="auto"/>
          <w:sz w:val="24"/>
          <w:szCs w:val="24"/>
          <w:highlight w:val="none"/>
          <w:lang w:val="hr-HR"/>
        </w:rPr>
        <w:t>：</w:t>
      </w:r>
      <w:r>
        <w:rPr>
          <w:rFonts w:hint="eastAsia" w:cs="宋体"/>
          <w:color w:val="auto"/>
          <w:sz w:val="24"/>
          <w:szCs w:val="24"/>
          <w:highlight w:val="none"/>
          <w:u w:val="single"/>
          <w:lang w:val="en-US" w:eastAsia="zh-CN"/>
        </w:rPr>
        <w:t>135.756</w:t>
      </w:r>
      <w:r>
        <w:rPr>
          <w:rFonts w:hint="eastAsia" w:ascii="宋体" w:hAnsi="宋体" w:eastAsia="宋体" w:cs="宋体"/>
          <w:color w:val="auto"/>
          <w:sz w:val="24"/>
          <w:szCs w:val="24"/>
          <w:highlight w:val="none"/>
          <w:u w:val="single"/>
          <w:lang w:val="hr-HR"/>
        </w:rPr>
        <w:t>万元</w:t>
      </w:r>
      <w:r>
        <w:rPr>
          <w:rFonts w:hint="eastAsia" w:cs="宋体"/>
          <w:color w:val="auto"/>
          <w:sz w:val="24"/>
          <w:szCs w:val="24"/>
          <w:highlight w:val="none"/>
          <w:u w:val="single"/>
          <w:lang w:val="hr-HR" w:eastAsia="zh-CN"/>
        </w:rPr>
        <w:t>（</w:t>
      </w:r>
      <w:r>
        <w:rPr>
          <w:rFonts w:hint="eastAsia" w:cs="宋体"/>
          <w:color w:val="auto"/>
          <w:sz w:val="24"/>
          <w:szCs w:val="24"/>
          <w:highlight w:val="none"/>
          <w:u w:val="single"/>
          <w:lang w:val="en-US" w:eastAsia="zh-CN"/>
        </w:rPr>
        <w:t>包1</w:t>
      </w:r>
      <w:r>
        <w:rPr>
          <w:rFonts w:hint="eastAsia" w:cs="宋体"/>
          <w:color w:val="auto"/>
          <w:sz w:val="24"/>
          <w:szCs w:val="24"/>
          <w:highlight w:val="none"/>
          <w:u w:val="single"/>
          <w:lang w:val="hr-HR" w:eastAsia="zh-CN"/>
        </w:rPr>
        <w:t>）</w:t>
      </w:r>
      <w:r>
        <w:rPr>
          <w:rFonts w:hint="eastAsia" w:cs="宋体"/>
          <w:color w:val="auto"/>
          <w:sz w:val="24"/>
          <w:szCs w:val="24"/>
          <w:highlight w:val="none"/>
          <w:u w:val="single"/>
          <w:lang w:val="en-US" w:eastAsia="zh-CN"/>
        </w:rPr>
        <w:t>87.168</w:t>
      </w:r>
      <w:r>
        <w:rPr>
          <w:rFonts w:hint="eastAsia" w:ascii="宋体" w:hAnsi="宋体" w:eastAsia="宋体" w:cs="宋体"/>
          <w:color w:val="auto"/>
          <w:sz w:val="24"/>
          <w:szCs w:val="24"/>
          <w:highlight w:val="none"/>
          <w:u w:val="single"/>
          <w:lang w:val="hr-HR"/>
        </w:rPr>
        <w:t>万元</w:t>
      </w:r>
      <w:r>
        <w:rPr>
          <w:rFonts w:hint="eastAsia" w:cs="宋体"/>
          <w:color w:val="auto"/>
          <w:sz w:val="24"/>
          <w:szCs w:val="24"/>
          <w:highlight w:val="none"/>
          <w:u w:val="single"/>
          <w:lang w:val="hr-HR" w:eastAsia="zh-CN"/>
        </w:rPr>
        <w:t>（</w:t>
      </w:r>
      <w:r>
        <w:rPr>
          <w:rFonts w:hint="eastAsia" w:cs="宋体"/>
          <w:color w:val="auto"/>
          <w:sz w:val="24"/>
          <w:szCs w:val="24"/>
          <w:highlight w:val="none"/>
          <w:u w:val="single"/>
          <w:lang w:val="en-US" w:eastAsia="zh-CN"/>
        </w:rPr>
        <w:t>包2</w:t>
      </w:r>
      <w:r>
        <w:rPr>
          <w:rFonts w:hint="eastAsia" w:cs="宋体"/>
          <w:color w:val="auto"/>
          <w:sz w:val="24"/>
          <w:szCs w:val="24"/>
          <w:highlight w:val="none"/>
          <w:u w:val="single"/>
          <w:lang w:val="hr-HR" w:eastAsia="zh-CN"/>
        </w:rPr>
        <w:t>）</w:t>
      </w:r>
    </w:p>
    <w:p w14:paraId="242750DC">
      <w:pPr>
        <w:pStyle w:val="38"/>
        <w:spacing w:line="360" w:lineRule="auto"/>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hr-HR"/>
        </w:rPr>
        <w:t>.采购需求：</w:t>
      </w:r>
      <w:r>
        <w:rPr>
          <w:rFonts w:hint="eastAsia" w:cs="宋体"/>
          <w:color w:val="auto"/>
          <w:sz w:val="24"/>
          <w:szCs w:val="24"/>
          <w:highlight w:val="none"/>
          <w:u w:val="single"/>
          <w:lang w:val="en-US" w:eastAsia="zh-CN"/>
        </w:rPr>
        <w:t>物业管理，保安保洁等服务（详见采购需求）</w:t>
      </w:r>
    </w:p>
    <w:p w14:paraId="56FBF6DA">
      <w:pPr>
        <w:pStyle w:val="38"/>
        <w:keepNext w:val="0"/>
        <w:keepLines w:val="0"/>
        <w:pageBreakBefore w:val="0"/>
        <w:widowControl w:val="0"/>
        <w:kinsoku/>
        <w:wordWrap w:val="0"/>
        <w:overflowPunct/>
        <w:topLinePunct w:val="0"/>
        <w:autoSpaceDE/>
        <w:autoSpaceDN/>
        <w:bidi w:val="0"/>
        <w:adjustRightInd/>
        <w:snapToGrid/>
        <w:spacing w:line="360" w:lineRule="auto"/>
        <w:ind w:firstLine="482"/>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.合同</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履行期限：</w:t>
      </w:r>
      <w:r>
        <w:rPr>
          <w:rFonts w:hint="eastAsia" w:ascii="宋体" w:hAnsi="宋体" w:eastAsia="宋体" w:cs="宋体"/>
          <w:color w:val="auto"/>
          <w:sz w:val="24"/>
          <w:szCs w:val="24"/>
          <w:highlight w:val="none"/>
          <w:u w:val="single"/>
          <w:lang w:val="en-US" w:eastAsia="zh-CN"/>
        </w:rPr>
        <w:t>2025年7月1日至2025年12月31日，</w:t>
      </w:r>
      <w:r>
        <w:rPr>
          <w:rFonts w:hint="default" w:ascii="宋体" w:hAnsi="宋体" w:eastAsia="宋体" w:cs="宋体"/>
          <w:color w:val="auto"/>
          <w:sz w:val="24"/>
          <w:szCs w:val="24"/>
          <w:highlight w:val="none"/>
          <w:u w:val="single"/>
          <w:lang w:val="en-US" w:eastAsia="zh-CN"/>
        </w:rPr>
        <w:t>共计</w:t>
      </w:r>
      <w:r>
        <w:rPr>
          <w:rFonts w:hint="eastAsia" w:ascii="宋体" w:hAnsi="宋体" w:eastAsia="宋体" w:cs="宋体"/>
          <w:color w:val="auto"/>
          <w:sz w:val="24"/>
          <w:szCs w:val="24"/>
          <w:highlight w:val="none"/>
          <w:u w:val="single"/>
          <w:lang w:val="en-US" w:eastAsia="zh-CN"/>
        </w:rPr>
        <w:t>六</w:t>
      </w:r>
      <w:r>
        <w:rPr>
          <w:rFonts w:hint="default" w:ascii="宋体" w:hAnsi="宋体" w:eastAsia="宋体" w:cs="宋体"/>
          <w:color w:val="auto"/>
          <w:sz w:val="24"/>
          <w:szCs w:val="24"/>
          <w:highlight w:val="none"/>
          <w:u w:val="single"/>
          <w:lang w:val="en-US" w:eastAsia="zh-CN"/>
        </w:rPr>
        <w:t>个月，以合同</w:t>
      </w:r>
      <w:r>
        <w:rPr>
          <w:rFonts w:hint="eastAsia" w:ascii="宋体" w:hAnsi="宋体" w:eastAsia="宋体" w:cs="宋体"/>
          <w:color w:val="auto"/>
          <w:sz w:val="24"/>
          <w:szCs w:val="24"/>
          <w:highlight w:val="none"/>
          <w:u w:val="single"/>
          <w:lang w:val="en-US" w:eastAsia="zh-CN"/>
        </w:rPr>
        <w:t>约</w:t>
      </w:r>
      <w:r>
        <w:rPr>
          <w:rFonts w:hint="default" w:ascii="宋体" w:hAnsi="宋体" w:eastAsia="宋体" w:cs="宋体"/>
          <w:color w:val="auto"/>
          <w:sz w:val="24"/>
          <w:szCs w:val="24"/>
          <w:highlight w:val="none"/>
          <w:u w:val="single"/>
          <w:lang w:val="en-US" w:eastAsia="zh-CN"/>
        </w:rPr>
        <w:t>定时间为准</w:t>
      </w:r>
    </w:p>
    <w:p w14:paraId="4B098642">
      <w:pPr>
        <w:pStyle w:val="38"/>
        <w:spacing w:line="360" w:lineRule="auto"/>
        <w:rPr>
          <w:rFonts w:hint="eastAsia" w:ascii="宋体" w:hAnsi="宋体" w:eastAsia="宋体" w:cs="宋体"/>
          <w:color w:val="auto"/>
          <w:sz w:val="24"/>
          <w:szCs w:val="24"/>
          <w:highlight w:val="none"/>
          <w:lang w:val="en-US" w:eastAsia="zh-CN"/>
        </w:rPr>
      </w:pPr>
      <w:bookmarkStart w:id="18" w:name="_Toc44583629"/>
      <w:bookmarkStart w:id="19" w:name="_Toc28359013"/>
      <w:bookmarkStart w:id="20" w:name="_Toc28359090"/>
      <w:bookmarkStart w:id="21" w:name="_Toc35393630"/>
      <w:bookmarkStart w:id="22" w:name="_Toc35393799"/>
      <w:r>
        <w:rPr>
          <w:rFonts w:hint="eastAsia" w:ascii="宋体" w:hAnsi="宋体" w:eastAsia="宋体" w:cs="宋体"/>
          <w:color w:val="auto"/>
          <w:sz w:val="24"/>
          <w:szCs w:val="24"/>
          <w:highlight w:val="none"/>
          <w:lang w:val="en-US" w:eastAsia="zh-CN"/>
        </w:rPr>
        <w:t>8.</w:t>
      </w:r>
      <w:bookmarkStart w:id="23" w:name="_Hlk162011358"/>
      <w:r>
        <w:rPr>
          <w:rFonts w:hint="eastAsia" w:ascii="宋体" w:hAnsi="宋体" w:eastAsia="宋体" w:cs="宋体"/>
          <w:color w:val="auto"/>
          <w:sz w:val="24"/>
          <w:szCs w:val="24"/>
          <w:highlight w:val="none"/>
          <w:lang w:val="en-US" w:eastAsia="zh-CN"/>
        </w:rPr>
        <w:t>本项目是否接受联合体投标：□是</w:t>
      </w:r>
      <w:bookmarkEnd w:id="23"/>
      <w:r>
        <w:rPr>
          <w:rFonts w:hint="eastAsia" w:ascii="宋体" w:hAnsi="宋体" w:eastAsia="宋体" w:cs="宋体"/>
          <w:color w:val="auto"/>
          <w:sz w:val="24"/>
          <w:szCs w:val="24"/>
          <w:highlight w:val="none"/>
          <w:lang w:val="en-US" w:eastAsia="zh-CN"/>
        </w:rPr>
        <w:t xml:space="preserve">   </w:t>
      </w:r>
      <w:r>
        <w:rPr>
          <w:rFonts w:hint="eastAsia"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否</w:t>
      </w:r>
    </w:p>
    <w:p w14:paraId="658FB890">
      <w:pPr>
        <w:pStyle w:val="38"/>
        <w:spacing w:line="360" w:lineRule="auto"/>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9.</w:t>
      </w:r>
      <w:r>
        <w:rPr>
          <w:rFonts w:hint="eastAsia" w:cs="宋体"/>
          <w:i w:val="0"/>
          <w:iCs w:val="0"/>
          <w:color w:val="auto"/>
          <w:sz w:val="24"/>
          <w:szCs w:val="24"/>
          <w:highlight w:val="none"/>
          <w:lang w:val="en-US" w:eastAsia="zh-CN"/>
        </w:rPr>
        <w:t>本项目为专门面向中小企业项目。</w:t>
      </w:r>
    </w:p>
    <w:p w14:paraId="1EEB1622">
      <w:pPr>
        <w:pStyle w:val="2"/>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420" w:leftChars="0" w:hanging="420" w:firstLineChars="0"/>
        <w:textAlignment w:val="auto"/>
        <w:rPr>
          <w:rFonts w:hint="eastAsia" w:ascii="宋体" w:hAnsi="宋体" w:eastAsia="宋体" w:cs="宋体"/>
          <w:b/>
          <w:bCs/>
          <w:color w:val="auto"/>
          <w:kern w:val="2"/>
          <w:sz w:val="24"/>
          <w:szCs w:val="24"/>
          <w:highlight w:val="none"/>
          <w:lang w:val="hr-HR" w:eastAsia="zh-CN" w:bidi="ar-SA"/>
        </w:rPr>
      </w:pPr>
      <w:bookmarkStart w:id="24" w:name="_Toc155185861"/>
      <w:bookmarkStart w:id="25" w:name="_Toc109899830"/>
      <w:bookmarkStart w:id="26" w:name="_Toc109900249"/>
      <w:bookmarkStart w:id="27" w:name="_Toc140132746"/>
      <w:bookmarkStart w:id="28" w:name="_Toc109899411"/>
      <w:bookmarkStart w:id="29" w:name="_Toc32632"/>
      <w:r>
        <w:rPr>
          <w:rFonts w:hint="eastAsia" w:ascii="宋体" w:hAnsi="宋体" w:eastAsia="宋体" w:cs="宋体"/>
          <w:b/>
          <w:bCs/>
          <w:color w:val="auto"/>
          <w:kern w:val="2"/>
          <w:sz w:val="24"/>
          <w:szCs w:val="24"/>
          <w:highlight w:val="none"/>
          <w:lang w:val="en-US" w:eastAsia="zh-CN" w:bidi="ar-SA"/>
        </w:rPr>
        <w:t>二、申请</w:t>
      </w:r>
      <w:r>
        <w:rPr>
          <w:rFonts w:hint="eastAsia" w:ascii="宋体" w:hAnsi="宋体" w:eastAsia="宋体" w:cs="宋体"/>
          <w:b/>
          <w:bCs/>
          <w:color w:val="auto"/>
          <w:kern w:val="2"/>
          <w:sz w:val="24"/>
          <w:szCs w:val="24"/>
          <w:highlight w:val="none"/>
          <w:lang w:val="hr-HR" w:eastAsia="zh-CN" w:bidi="ar-SA"/>
        </w:rPr>
        <w:t>人</w:t>
      </w:r>
      <w:r>
        <w:rPr>
          <w:rFonts w:hint="eastAsia" w:ascii="宋体" w:hAnsi="宋体" w:eastAsia="宋体" w:cs="宋体"/>
          <w:b/>
          <w:bCs/>
          <w:color w:val="auto"/>
          <w:kern w:val="2"/>
          <w:sz w:val="24"/>
          <w:szCs w:val="24"/>
          <w:highlight w:val="none"/>
          <w:lang w:val="en-US" w:eastAsia="zh-CN" w:bidi="ar-SA"/>
        </w:rPr>
        <w:t>的</w:t>
      </w:r>
      <w:r>
        <w:rPr>
          <w:rFonts w:hint="eastAsia" w:ascii="宋体" w:hAnsi="宋体" w:eastAsia="宋体" w:cs="宋体"/>
          <w:b/>
          <w:bCs/>
          <w:color w:val="auto"/>
          <w:kern w:val="2"/>
          <w:sz w:val="24"/>
          <w:szCs w:val="24"/>
          <w:highlight w:val="none"/>
          <w:lang w:val="hr-HR" w:eastAsia="zh-CN" w:bidi="ar-SA"/>
        </w:rPr>
        <w:t>资格要求</w:t>
      </w:r>
      <w:bookmarkEnd w:id="18"/>
      <w:bookmarkEnd w:id="19"/>
      <w:bookmarkEnd w:id="20"/>
      <w:bookmarkEnd w:id="21"/>
      <w:bookmarkEnd w:id="22"/>
      <w:bookmarkEnd w:id="24"/>
      <w:bookmarkEnd w:id="25"/>
      <w:bookmarkEnd w:id="26"/>
      <w:bookmarkEnd w:id="27"/>
      <w:bookmarkEnd w:id="28"/>
      <w:bookmarkEnd w:id="29"/>
    </w:p>
    <w:p w14:paraId="4A6A8664">
      <w:pPr>
        <w:spacing w:line="360" w:lineRule="auto"/>
        <w:ind w:firstLine="480" w:firstLineChars="200"/>
        <w:rPr>
          <w:rFonts w:hint="eastAsia" w:ascii="宋体" w:hAnsi="宋体" w:eastAsia="宋体" w:cs="宋体"/>
          <w:color w:val="auto"/>
          <w:sz w:val="24"/>
          <w:szCs w:val="24"/>
          <w:highlight w:val="none"/>
          <w:lang w:val="en-US" w:eastAsia="zh-CN"/>
        </w:rPr>
      </w:pPr>
      <w:bookmarkStart w:id="30" w:name="_Hlk89807755"/>
      <w:bookmarkStart w:id="31" w:name="_Toc44583630"/>
      <w:bookmarkStart w:id="32" w:name="_Toc28359014"/>
      <w:bookmarkStart w:id="33" w:name="_Toc35393800"/>
      <w:bookmarkStart w:id="34" w:name="_Toc35393631"/>
      <w:bookmarkStart w:id="35" w:name="_Toc28359091"/>
      <w:r>
        <w:rPr>
          <w:rFonts w:hint="eastAsia" w:ascii="宋体" w:hAnsi="宋体" w:eastAsia="宋体" w:cs="宋体"/>
          <w:color w:val="auto"/>
          <w:sz w:val="24"/>
          <w:szCs w:val="24"/>
          <w:highlight w:val="none"/>
          <w:lang w:val="en-US" w:eastAsia="zh-CN"/>
        </w:rPr>
        <w:t>1.满足《中华人民共和国政府采购法》第二十二条规定；</w:t>
      </w:r>
    </w:p>
    <w:p w14:paraId="3632724A">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2.落实政府采购政策需满足的资格要求</w:t>
      </w:r>
    </w:p>
    <w:p w14:paraId="5AC8ADFE">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3.本项目的特定资格要求：</w:t>
      </w:r>
      <w:r>
        <w:rPr>
          <w:rFonts w:hint="eastAsia" w:cs="宋体"/>
          <w:color w:val="auto"/>
          <w:sz w:val="24"/>
          <w:szCs w:val="24"/>
          <w:highlight w:val="none"/>
          <w:lang w:val="en-US" w:eastAsia="zh-CN"/>
        </w:rPr>
        <w:t>无</w:t>
      </w:r>
    </w:p>
    <w:p w14:paraId="69D2AB04">
      <w:pPr>
        <w:pStyle w:val="38"/>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 其他资格要求：</w:t>
      </w:r>
    </w:p>
    <w:p w14:paraId="040E7358">
      <w:pPr>
        <w:pStyle w:val="38"/>
        <w:spacing w:line="360" w:lineRule="auto"/>
        <w:rPr>
          <w:rFonts w:hint="eastAsia" w:ascii="宋体" w:hAnsi="宋体" w:eastAsia="宋体" w:cs="宋体"/>
          <w:color w:val="auto"/>
          <w:sz w:val="24"/>
          <w:szCs w:val="24"/>
          <w:highlight w:val="none"/>
          <w:lang w:val="hr-HR"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hr-HR"/>
        </w:rPr>
        <w:t>法定代表人或</w:t>
      </w:r>
      <w:r>
        <w:rPr>
          <w:rFonts w:hint="eastAsia" w:ascii="宋体" w:hAnsi="宋体" w:eastAsia="宋体" w:cs="宋体"/>
          <w:color w:val="auto"/>
          <w:sz w:val="24"/>
          <w:szCs w:val="24"/>
          <w:highlight w:val="none"/>
          <w:lang w:val="en-US" w:eastAsia="zh-CN"/>
        </w:rPr>
        <w:t>单位</w:t>
      </w:r>
      <w:r>
        <w:rPr>
          <w:rFonts w:hint="eastAsia" w:ascii="宋体" w:hAnsi="宋体" w:eastAsia="宋体" w:cs="宋体"/>
          <w:color w:val="auto"/>
          <w:sz w:val="24"/>
          <w:szCs w:val="24"/>
          <w:highlight w:val="none"/>
          <w:lang w:val="hr-HR"/>
        </w:rPr>
        <w:t>负责人为同一人或者存在</w:t>
      </w:r>
      <w:r>
        <w:rPr>
          <w:rFonts w:hint="eastAsia" w:ascii="宋体" w:hAnsi="宋体" w:eastAsia="宋体" w:cs="宋体"/>
          <w:color w:val="auto"/>
          <w:sz w:val="24"/>
          <w:szCs w:val="24"/>
          <w:highlight w:val="none"/>
          <w:lang w:val="en-US" w:eastAsia="zh-CN"/>
        </w:rPr>
        <w:t>直接</w:t>
      </w:r>
      <w:r>
        <w:rPr>
          <w:rFonts w:hint="eastAsia" w:ascii="宋体" w:hAnsi="宋体" w:eastAsia="宋体" w:cs="宋体"/>
          <w:color w:val="auto"/>
          <w:sz w:val="24"/>
          <w:szCs w:val="24"/>
          <w:highlight w:val="none"/>
          <w:lang w:val="hr-HR"/>
        </w:rPr>
        <w:t>控股、管理关系的</w:t>
      </w:r>
      <w:r>
        <w:rPr>
          <w:rFonts w:hint="eastAsia" w:ascii="宋体" w:hAnsi="宋体" w:eastAsia="宋体" w:cs="宋体"/>
          <w:color w:val="auto"/>
          <w:sz w:val="24"/>
          <w:szCs w:val="24"/>
          <w:highlight w:val="none"/>
          <w:lang w:val="en-US" w:eastAsia="zh-CN"/>
        </w:rPr>
        <w:t>不同供应商</w:t>
      </w:r>
      <w:r>
        <w:rPr>
          <w:rFonts w:hint="eastAsia" w:ascii="宋体" w:hAnsi="宋体" w:eastAsia="宋体" w:cs="宋体"/>
          <w:color w:val="auto"/>
          <w:sz w:val="24"/>
          <w:szCs w:val="24"/>
          <w:highlight w:val="none"/>
          <w:lang w:val="hr-HR"/>
        </w:rPr>
        <w:t>，不得参加同一合同项下的政府采购活动。</w:t>
      </w:r>
    </w:p>
    <w:p w14:paraId="68099EEC">
      <w:pPr>
        <w:pStyle w:val="38"/>
        <w:spacing w:line="360" w:lineRule="auto"/>
        <w:rPr>
          <w:rFonts w:hint="eastAsia" w:ascii="宋体" w:hAnsi="宋体" w:eastAsia="宋体" w:cs="宋体"/>
          <w:color w:val="auto"/>
          <w:sz w:val="24"/>
          <w:szCs w:val="24"/>
          <w:highlight w:val="none"/>
          <w:lang w:val="hr-HR"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hr-HR"/>
        </w:rPr>
        <w:t>除单一来源采购项目外，为采购项目提供整体设计、规范编制或者项目管理、监理、检测等服务的供应商，不得再参加该采购项目的其他采购活动。</w:t>
      </w:r>
    </w:p>
    <w:p w14:paraId="1F555688">
      <w:pPr>
        <w:spacing w:line="360" w:lineRule="auto"/>
        <w:ind w:firstLine="480" w:firstLineChars="200"/>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lang w:val="hr-HR"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hr-HR"/>
        </w:rPr>
        <w:t>供应商的信用行为</w:t>
      </w:r>
      <w:r>
        <w:rPr>
          <w:rFonts w:hint="eastAsia" w:ascii="宋体" w:hAnsi="宋体" w:eastAsia="宋体" w:cs="宋体"/>
          <w:color w:val="auto"/>
          <w:sz w:val="24"/>
          <w:szCs w:val="24"/>
          <w:highlight w:val="none"/>
          <w:lang w:val="hr-HR" w:eastAsia="zh-CN"/>
        </w:rPr>
        <w:t>：</w:t>
      </w:r>
      <w:r>
        <w:rPr>
          <w:rFonts w:hint="eastAsia" w:ascii="宋体" w:hAnsi="宋体" w:eastAsia="宋体" w:cs="宋体"/>
          <w:color w:val="auto"/>
          <w:sz w:val="24"/>
          <w:szCs w:val="24"/>
          <w:highlight w:val="none"/>
          <w:lang w:val="hr-HR"/>
        </w:rPr>
        <w:t>在</w:t>
      </w:r>
      <w:r>
        <w:rPr>
          <w:rFonts w:hint="eastAsia" w:ascii="宋体" w:hAnsi="宋体" w:eastAsia="宋体" w:cs="宋体"/>
          <w:color w:val="auto"/>
          <w:sz w:val="24"/>
          <w:szCs w:val="24"/>
          <w:highlight w:val="none"/>
          <w:lang w:val="en-US" w:eastAsia="zh-CN"/>
        </w:rPr>
        <w:t>资格审查阶段经查询，未被列入“失信被执行人”、“重大税收违法失信主体”、“政府采购严重违法失信行为记录名单”其中之一</w:t>
      </w:r>
      <w:r>
        <w:rPr>
          <w:rFonts w:hint="eastAsia" w:ascii="宋体" w:hAnsi="宋体" w:eastAsia="宋体" w:cs="宋体"/>
          <w:color w:val="auto"/>
          <w:sz w:val="24"/>
          <w:szCs w:val="24"/>
          <w:highlight w:val="none"/>
          <w:lang w:val="hr-HR"/>
        </w:rPr>
        <w:t>。如有以上不良信用记录</w:t>
      </w:r>
      <w:r>
        <w:rPr>
          <w:rFonts w:hint="eastAsia" w:ascii="宋体" w:hAnsi="宋体" w:eastAsia="宋体" w:cs="宋体"/>
          <w:color w:val="auto"/>
          <w:sz w:val="24"/>
          <w:szCs w:val="24"/>
          <w:highlight w:val="none"/>
          <w:lang w:val="en-US" w:eastAsia="zh-CN"/>
        </w:rPr>
        <w:t>之一的，</w:t>
      </w:r>
      <w:r>
        <w:rPr>
          <w:rFonts w:hint="eastAsia" w:ascii="宋体" w:hAnsi="宋体" w:eastAsia="宋体" w:cs="宋体"/>
          <w:color w:val="auto"/>
          <w:sz w:val="24"/>
          <w:szCs w:val="24"/>
          <w:highlight w:val="none"/>
          <w:lang w:val="hr-HR"/>
        </w:rPr>
        <w:t>其</w:t>
      </w:r>
      <w:r>
        <w:rPr>
          <w:rFonts w:hint="eastAsia" w:ascii="宋体" w:hAnsi="宋体" w:eastAsia="宋体" w:cs="宋体"/>
          <w:b/>
          <w:bCs/>
          <w:color w:val="auto"/>
          <w:sz w:val="24"/>
          <w:szCs w:val="24"/>
          <w:highlight w:val="none"/>
          <w:lang w:val="hr-HR"/>
        </w:rPr>
        <w:t>投标</w:t>
      </w:r>
      <w:r>
        <w:rPr>
          <w:rFonts w:hint="eastAsia" w:ascii="宋体" w:hAnsi="宋体" w:eastAsia="宋体" w:cs="宋体"/>
          <w:b/>
          <w:bCs/>
          <w:color w:val="auto"/>
          <w:sz w:val="24"/>
          <w:szCs w:val="24"/>
          <w:highlight w:val="none"/>
          <w:lang w:val="en-US" w:eastAsia="zh-CN"/>
        </w:rPr>
        <w:t>无效</w:t>
      </w:r>
      <w:r>
        <w:rPr>
          <w:rFonts w:hint="eastAsia" w:ascii="宋体" w:hAnsi="宋体" w:eastAsia="宋体" w:cs="宋体"/>
          <w:color w:val="auto"/>
          <w:sz w:val="24"/>
          <w:szCs w:val="24"/>
          <w:highlight w:val="none"/>
          <w:lang w:val="hr-HR"/>
        </w:rPr>
        <w:t>。</w:t>
      </w:r>
      <w:r>
        <w:rPr>
          <w:rFonts w:hint="eastAsia" w:ascii="宋体" w:hAnsi="宋体" w:eastAsia="宋体" w:cs="宋体"/>
          <w:color w:val="auto"/>
          <w:sz w:val="24"/>
          <w:szCs w:val="24"/>
          <w:highlight w:val="none"/>
          <w:u w:val="none"/>
          <w:lang w:val="en-US" w:eastAsia="zh-CN"/>
        </w:rPr>
        <w:t xml:space="preserve">              </w:t>
      </w:r>
    </w:p>
    <w:bookmarkEnd w:id="30"/>
    <w:p w14:paraId="17F1ED43">
      <w:pPr>
        <w:pStyle w:val="2"/>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420" w:leftChars="0" w:hanging="420" w:firstLineChars="0"/>
        <w:textAlignment w:val="auto"/>
        <w:rPr>
          <w:rFonts w:hint="eastAsia" w:ascii="宋体" w:hAnsi="宋体" w:eastAsia="宋体" w:cs="宋体"/>
          <w:b/>
          <w:bCs/>
          <w:color w:val="auto"/>
          <w:kern w:val="2"/>
          <w:sz w:val="24"/>
          <w:szCs w:val="24"/>
          <w:highlight w:val="none"/>
          <w:lang w:val="hr-HR" w:eastAsia="zh-CN" w:bidi="ar-SA"/>
        </w:rPr>
      </w:pPr>
      <w:bookmarkStart w:id="36" w:name="_Toc27149"/>
      <w:bookmarkStart w:id="37" w:name="_Toc109900250"/>
      <w:bookmarkStart w:id="38" w:name="_Toc109899412"/>
      <w:bookmarkStart w:id="39" w:name="_Toc155185862"/>
      <w:bookmarkStart w:id="40" w:name="_Toc109899831"/>
      <w:bookmarkStart w:id="41" w:name="_Toc140132747"/>
      <w:r>
        <w:rPr>
          <w:rFonts w:hint="eastAsia" w:ascii="宋体" w:hAnsi="宋体" w:eastAsia="宋体" w:cs="宋体"/>
          <w:b/>
          <w:bCs/>
          <w:color w:val="auto"/>
          <w:kern w:val="2"/>
          <w:sz w:val="24"/>
          <w:szCs w:val="24"/>
          <w:highlight w:val="none"/>
          <w:lang w:val="en-US" w:eastAsia="zh-CN" w:bidi="ar-SA"/>
        </w:rPr>
        <w:t>三、</w:t>
      </w:r>
      <w:r>
        <w:rPr>
          <w:rFonts w:hint="eastAsia" w:ascii="宋体" w:hAnsi="宋体" w:eastAsia="宋体" w:cs="宋体"/>
          <w:b/>
          <w:bCs/>
          <w:color w:val="auto"/>
          <w:kern w:val="2"/>
          <w:sz w:val="24"/>
          <w:szCs w:val="24"/>
          <w:highlight w:val="none"/>
          <w:lang w:val="hr-HR" w:eastAsia="zh-CN" w:bidi="ar-SA"/>
        </w:rPr>
        <w:t>获取招标文件</w:t>
      </w:r>
      <w:bookmarkEnd w:id="31"/>
      <w:bookmarkEnd w:id="32"/>
      <w:bookmarkEnd w:id="33"/>
      <w:bookmarkEnd w:id="34"/>
      <w:bookmarkEnd w:id="35"/>
      <w:bookmarkEnd w:id="36"/>
      <w:bookmarkEnd w:id="37"/>
      <w:bookmarkEnd w:id="38"/>
      <w:bookmarkEnd w:id="39"/>
      <w:bookmarkEnd w:id="40"/>
      <w:bookmarkEnd w:id="41"/>
      <w:r>
        <w:rPr>
          <w:rFonts w:hint="eastAsia" w:ascii="宋体" w:hAnsi="宋体" w:eastAsia="宋体" w:cs="宋体"/>
          <w:b/>
          <w:bCs/>
          <w:color w:val="auto"/>
          <w:kern w:val="2"/>
          <w:sz w:val="24"/>
          <w:szCs w:val="24"/>
          <w:highlight w:val="none"/>
          <w:lang w:val="hr-HR" w:eastAsia="zh-CN" w:bidi="ar-SA"/>
        </w:rPr>
        <w:t xml:space="preserve"> </w:t>
      </w:r>
    </w:p>
    <w:p w14:paraId="7F0135DE">
      <w:pPr>
        <w:pStyle w:val="38"/>
        <w:spacing w:line="360" w:lineRule="auto"/>
        <w:rPr>
          <w:rFonts w:hint="eastAsia" w:ascii="宋体" w:hAnsi="宋体" w:eastAsia="宋体" w:cs="宋体"/>
          <w:color w:val="auto"/>
          <w:sz w:val="24"/>
          <w:szCs w:val="24"/>
          <w:highlight w:val="none"/>
          <w:lang w:val="hr-HR"/>
        </w:rPr>
      </w:pPr>
      <w:bookmarkStart w:id="42" w:name="_Hlk130457234"/>
      <w:bookmarkStart w:id="43" w:name="_Toc35393632"/>
      <w:bookmarkStart w:id="44" w:name="_Hlk130457327"/>
      <w:bookmarkStart w:id="45" w:name="_Toc28359092"/>
      <w:bookmarkStart w:id="46" w:name="_Toc35393801"/>
      <w:bookmarkStart w:id="47" w:name="_Hlk130457261"/>
      <w:bookmarkStart w:id="48" w:name="_Toc28359015"/>
      <w:r>
        <w:rPr>
          <w:rFonts w:hint="eastAsia" w:ascii="宋体" w:hAnsi="宋体" w:eastAsia="宋体" w:cs="宋体"/>
          <w:color w:val="auto"/>
          <w:sz w:val="24"/>
          <w:szCs w:val="24"/>
          <w:highlight w:val="none"/>
          <w:lang w:val="hr-HR"/>
        </w:rPr>
        <w:t>1.时间：</w:t>
      </w:r>
      <w:r>
        <w:rPr>
          <w:rFonts w:hint="eastAsia" w:cs="宋体"/>
          <w:i w:val="0"/>
          <w:iCs w:val="0"/>
          <w:color w:val="auto"/>
          <w:sz w:val="24"/>
          <w:szCs w:val="24"/>
          <w:highlight w:val="none"/>
          <w:u w:val="single"/>
          <w:lang w:val="en-US" w:eastAsia="zh-CN"/>
        </w:rPr>
        <w:t>2025</w:t>
      </w:r>
      <w:r>
        <w:rPr>
          <w:rFonts w:hint="eastAsia" w:ascii="宋体" w:hAnsi="宋体" w:eastAsia="宋体" w:cs="宋体"/>
          <w:i w:val="0"/>
          <w:iCs w:val="0"/>
          <w:color w:val="auto"/>
          <w:sz w:val="24"/>
          <w:szCs w:val="24"/>
          <w:highlight w:val="none"/>
          <w:u w:val="single"/>
        </w:rPr>
        <w:t xml:space="preserve"> 年</w:t>
      </w:r>
      <w:r>
        <w:rPr>
          <w:rFonts w:hint="eastAsia" w:cs="宋体"/>
          <w:i w:val="0"/>
          <w:iCs w:val="0"/>
          <w:color w:val="auto"/>
          <w:sz w:val="24"/>
          <w:szCs w:val="24"/>
          <w:highlight w:val="none"/>
          <w:u w:val="single"/>
          <w:lang w:val="en-US" w:eastAsia="zh-CN"/>
        </w:rPr>
        <w:t>6</w:t>
      </w:r>
      <w:r>
        <w:rPr>
          <w:rFonts w:hint="eastAsia" w:ascii="宋体" w:hAnsi="宋体" w:eastAsia="宋体" w:cs="宋体"/>
          <w:i w:val="0"/>
          <w:iCs w:val="0"/>
          <w:color w:val="auto"/>
          <w:sz w:val="24"/>
          <w:szCs w:val="24"/>
          <w:highlight w:val="none"/>
          <w:u w:val="single"/>
        </w:rPr>
        <w:t>月</w:t>
      </w:r>
      <w:r>
        <w:rPr>
          <w:rFonts w:hint="eastAsia" w:ascii="宋体" w:hAnsi="宋体" w:eastAsia="宋体" w:cs="宋体"/>
          <w:i w:val="0"/>
          <w:iCs w:val="0"/>
          <w:color w:val="auto"/>
          <w:sz w:val="24"/>
          <w:szCs w:val="24"/>
          <w:highlight w:val="none"/>
          <w:u w:val="single"/>
          <w:lang w:val="en-US" w:eastAsia="zh-CN"/>
        </w:rPr>
        <w:t>18</w:t>
      </w:r>
      <w:r>
        <w:rPr>
          <w:rFonts w:hint="eastAsia" w:ascii="宋体" w:hAnsi="宋体" w:eastAsia="宋体" w:cs="宋体"/>
          <w:i w:val="0"/>
          <w:iCs w:val="0"/>
          <w:color w:val="auto"/>
          <w:sz w:val="24"/>
          <w:szCs w:val="24"/>
          <w:highlight w:val="none"/>
          <w:u w:val="single"/>
        </w:rPr>
        <w:t>日</w:t>
      </w:r>
      <w:r>
        <w:rPr>
          <w:rFonts w:hint="eastAsia" w:ascii="宋体" w:hAnsi="宋体" w:eastAsia="宋体" w:cs="宋体"/>
          <w:i w:val="0"/>
          <w:iCs w:val="0"/>
          <w:color w:val="auto"/>
          <w:sz w:val="24"/>
          <w:szCs w:val="24"/>
          <w:highlight w:val="none"/>
          <w:u w:val="none"/>
        </w:rPr>
        <w:t>至</w:t>
      </w:r>
      <w:r>
        <w:rPr>
          <w:rFonts w:hint="eastAsia" w:cs="宋体"/>
          <w:i w:val="0"/>
          <w:iCs w:val="0"/>
          <w:color w:val="auto"/>
          <w:sz w:val="24"/>
          <w:szCs w:val="24"/>
          <w:highlight w:val="none"/>
          <w:u w:val="single"/>
          <w:lang w:val="en-US" w:eastAsia="zh-CN"/>
        </w:rPr>
        <w:t>2025 年7月17日</w:t>
      </w:r>
      <w:r>
        <w:rPr>
          <w:rFonts w:hint="eastAsia" w:ascii="宋体" w:hAnsi="宋体" w:eastAsia="宋体" w:cs="宋体"/>
          <w:i w:val="0"/>
          <w:iCs w:val="0"/>
          <w:color w:val="auto"/>
          <w:sz w:val="24"/>
          <w:szCs w:val="24"/>
          <w:highlight w:val="none"/>
          <w:u w:val="none"/>
        </w:rPr>
        <w:t>，每天上午</w:t>
      </w:r>
      <w:r>
        <w:rPr>
          <w:rFonts w:hint="eastAsia" w:cs="宋体"/>
          <w:i w:val="0"/>
          <w:iCs w:val="0"/>
          <w:color w:val="auto"/>
          <w:sz w:val="24"/>
          <w:szCs w:val="24"/>
          <w:highlight w:val="none"/>
          <w:u w:val="single"/>
          <w:lang w:val="en-US" w:eastAsia="zh-CN"/>
        </w:rPr>
        <w:t>00:00</w:t>
      </w:r>
      <w:r>
        <w:rPr>
          <w:rFonts w:hint="eastAsia" w:ascii="宋体" w:hAnsi="宋体" w:eastAsia="宋体" w:cs="宋体"/>
          <w:i w:val="0"/>
          <w:iCs w:val="0"/>
          <w:color w:val="auto"/>
          <w:sz w:val="24"/>
          <w:szCs w:val="24"/>
          <w:highlight w:val="none"/>
          <w:u w:val="none"/>
        </w:rPr>
        <w:t>至</w:t>
      </w:r>
      <w:r>
        <w:rPr>
          <w:rFonts w:hint="eastAsia" w:cs="宋体"/>
          <w:i w:val="0"/>
          <w:iCs w:val="0"/>
          <w:color w:val="auto"/>
          <w:sz w:val="24"/>
          <w:szCs w:val="24"/>
          <w:highlight w:val="none"/>
          <w:u w:val="single"/>
          <w:lang w:val="en-US" w:eastAsia="zh-CN"/>
        </w:rPr>
        <w:t>12:00</w:t>
      </w:r>
      <w:r>
        <w:rPr>
          <w:rFonts w:hint="eastAsia" w:ascii="宋体" w:hAnsi="宋体" w:eastAsia="宋体" w:cs="宋体"/>
          <w:i w:val="0"/>
          <w:iCs w:val="0"/>
          <w:color w:val="auto"/>
          <w:sz w:val="24"/>
          <w:szCs w:val="24"/>
          <w:highlight w:val="none"/>
          <w:u w:val="none"/>
        </w:rPr>
        <w:t>，下午</w:t>
      </w:r>
      <w:r>
        <w:rPr>
          <w:rFonts w:hint="eastAsia" w:cs="宋体"/>
          <w:i w:val="0"/>
          <w:iCs w:val="0"/>
          <w:color w:val="auto"/>
          <w:sz w:val="24"/>
          <w:szCs w:val="24"/>
          <w:highlight w:val="none"/>
          <w:u w:val="single"/>
          <w:lang w:val="en-US" w:eastAsia="zh-CN"/>
        </w:rPr>
        <w:t>12:00</w:t>
      </w:r>
      <w:r>
        <w:rPr>
          <w:rFonts w:hint="eastAsia" w:ascii="宋体" w:hAnsi="宋体" w:eastAsia="宋体" w:cs="宋体"/>
          <w:i w:val="0"/>
          <w:iCs w:val="0"/>
          <w:color w:val="auto"/>
          <w:sz w:val="24"/>
          <w:szCs w:val="24"/>
          <w:highlight w:val="none"/>
          <w:u w:val="none"/>
        </w:rPr>
        <w:t>至</w:t>
      </w:r>
      <w:r>
        <w:rPr>
          <w:rFonts w:hint="eastAsia" w:cs="宋体"/>
          <w:i w:val="0"/>
          <w:iCs w:val="0"/>
          <w:color w:val="auto"/>
          <w:sz w:val="24"/>
          <w:szCs w:val="24"/>
          <w:highlight w:val="none"/>
          <w:u w:val="single"/>
          <w:lang w:val="en-US" w:eastAsia="zh-CN"/>
        </w:rPr>
        <w:t>23:59</w:t>
      </w:r>
      <w:r>
        <w:rPr>
          <w:rFonts w:hint="eastAsia" w:ascii="宋体" w:hAnsi="宋体" w:eastAsia="宋体" w:cs="宋体"/>
          <w:color w:val="auto"/>
          <w:sz w:val="24"/>
          <w:szCs w:val="24"/>
          <w:highlight w:val="none"/>
          <w:lang w:val="hr-HR"/>
        </w:rPr>
        <w:t>（北京时间）。</w:t>
      </w:r>
    </w:p>
    <w:bookmarkEnd w:id="42"/>
    <w:p w14:paraId="34FD69CE">
      <w:pPr>
        <w:pStyle w:val="38"/>
        <w:spacing w:line="360" w:lineRule="auto"/>
        <w:rPr>
          <w:rFonts w:hint="eastAsia" w:ascii="宋体" w:hAnsi="宋体" w:eastAsia="宋体" w:cs="宋体"/>
          <w:color w:val="auto"/>
          <w:sz w:val="24"/>
          <w:szCs w:val="24"/>
          <w:highlight w:val="none"/>
          <w:lang w:val="hr-HR"/>
        </w:rPr>
      </w:pPr>
      <w:r>
        <w:rPr>
          <w:rFonts w:hint="eastAsia" w:ascii="宋体" w:hAnsi="宋体" w:eastAsia="宋体" w:cs="宋体"/>
          <w:color w:val="auto"/>
          <w:sz w:val="24"/>
          <w:szCs w:val="24"/>
          <w:highlight w:val="none"/>
          <w:lang w:val="hr-HR"/>
        </w:rPr>
        <w:t>2.</w:t>
      </w: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lang w:val="hr-HR"/>
        </w:rPr>
        <w:t>：</w:t>
      </w:r>
      <w:bookmarkStart w:id="49" w:name="_Hlk89807779"/>
      <w:r>
        <w:rPr>
          <w:rFonts w:hint="eastAsia" w:ascii="宋体" w:hAnsi="宋体" w:eastAsia="宋体" w:cs="宋体"/>
          <w:color w:val="auto"/>
          <w:sz w:val="24"/>
          <w:szCs w:val="24"/>
          <w:highlight w:val="none"/>
          <w:lang w:val="en-US"/>
        </w:rPr>
        <w:t>兵团</w:t>
      </w:r>
      <w:r>
        <w:rPr>
          <w:rFonts w:hint="eastAsia" w:ascii="宋体" w:hAnsi="宋体" w:eastAsia="宋体" w:cs="宋体"/>
          <w:color w:val="auto"/>
          <w:sz w:val="24"/>
          <w:szCs w:val="24"/>
          <w:highlight w:val="none"/>
        </w:rPr>
        <w:t>政府采购</w:t>
      </w:r>
      <w:r>
        <w:rPr>
          <w:rFonts w:hint="eastAsia" w:ascii="宋体" w:hAnsi="宋体" w:eastAsia="宋体" w:cs="宋体"/>
          <w:color w:val="auto"/>
          <w:sz w:val="24"/>
          <w:szCs w:val="24"/>
          <w:highlight w:val="none"/>
          <w:lang w:val="en-US"/>
        </w:rPr>
        <w:t>电子交易云</w:t>
      </w:r>
      <w:r>
        <w:rPr>
          <w:rFonts w:hint="eastAsia" w:ascii="宋体" w:hAnsi="宋体" w:eastAsia="宋体" w:cs="宋体"/>
          <w:color w:val="auto"/>
          <w:sz w:val="24"/>
          <w:szCs w:val="24"/>
          <w:highlight w:val="none"/>
        </w:rPr>
        <w:t>平台</w:t>
      </w:r>
      <w:r>
        <w:rPr>
          <w:rFonts w:hint="eastAsia" w:ascii="宋体" w:hAnsi="宋体" w:eastAsia="宋体" w:cs="宋体"/>
          <w:color w:val="auto"/>
          <w:sz w:val="24"/>
          <w:szCs w:val="24"/>
          <w:highlight w:val="none"/>
          <w:lang w:val="hr-HR"/>
        </w:rPr>
        <w:t>（</w:t>
      </w:r>
      <w:r>
        <w:rPr>
          <w:rFonts w:hint="eastAsia" w:ascii="宋体" w:hAnsi="宋体" w:eastAsia="宋体" w:cs="宋体"/>
          <w:color w:val="auto"/>
          <w:sz w:val="24"/>
          <w:szCs w:val="24"/>
          <w:highlight w:val="none"/>
        </w:rPr>
        <w:t>网址</w:t>
      </w:r>
      <w:r>
        <w:rPr>
          <w:rFonts w:hint="eastAsia" w:ascii="宋体" w:hAnsi="宋体" w:eastAsia="宋体" w:cs="宋体"/>
          <w:color w:val="auto"/>
          <w:sz w:val="24"/>
          <w:szCs w:val="24"/>
          <w:highlight w:val="none"/>
          <w:lang w:val="hr-HR"/>
        </w:rPr>
        <w:t>：https://www.zcygov.cn/）</w:t>
      </w:r>
      <w:r>
        <w:rPr>
          <w:rFonts w:hint="eastAsia" w:ascii="宋体" w:hAnsi="宋体" w:eastAsia="宋体" w:cs="宋体"/>
          <w:color w:val="auto"/>
          <w:sz w:val="24"/>
          <w:szCs w:val="24"/>
          <w:highlight w:val="none"/>
        </w:rPr>
        <w:t>。</w:t>
      </w:r>
      <w:bookmarkEnd w:id="49"/>
    </w:p>
    <w:p w14:paraId="5DDD414F">
      <w:pPr>
        <w:pStyle w:val="38"/>
        <w:spacing w:line="360" w:lineRule="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hr-HR"/>
        </w:rPr>
        <w:t>3.</w:t>
      </w:r>
      <w:r>
        <w:rPr>
          <w:rFonts w:hint="eastAsia" w:ascii="宋体" w:hAnsi="宋体" w:eastAsia="宋体" w:cs="宋体"/>
          <w:color w:val="auto"/>
          <w:sz w:val="24"/>
          <w:szCs w:val="24"/>
          <w:highlight w:val="none"/>
        </w:rPr>
        <w:t>方式</w:t>
      </w:r>
      <w:r>
        <w:rPr>
          <w:rFonts w:hint="eastAsia" w:ascii="宋体" w:hAnsi="宋体" w:eastAsia="宋体" w:cs="宋体"/>
          <w:color w:val="auto"/>
          <w:sz w:val="24"/>
          <w:szCs w:val="24"/>
          <w:highlight w:val="none"/>
          <w:lang w:val="hr-HR"/>
        </w:rPr>
        <w:t>：</w:t>
      </w:r>
      <w:r>
        <w:rPr>
          <w:rFonts w:hint="eastAsia" w:ascii="宋体" w:hAnsi="宋体" w:eastAsia="宋体" w:cs="宋体"/>
          <w:color w:val="auto"/>
          <w:sz w:val="24"/>
          <w:szCs w:val="24"/>
          <w:highlight w:val="none"/>
          <w:lang w:val="en-US"/>
        </w:rPr>
        <w:t>投标供应商登录政采云平台</w:t>
      </w:r>
      <w:r>
        <w:rPr>
          <w:rFonts w:hint="eastAsia" w:ascii="宋体" w:hAnsi="宋体" w:eastAsia="宋体" w:cs="宋体"/>
          <w:color w:val="auto"/>
          <w:sz w:val="24"/>
          <w:szCs w:val="24"/>
          <w:highlight w:val="none"/>
          <w:lang w:val="hr-HR"/>
        </w:rPr>
        <w:t>https://www.zcygov.cn/</w:t>
      </w:r>
      <w:r>
        <w:rPr>
          <w:rFonts w:hint="eastAsia" w:ascii="宋体" w:hAnsi="宋体" w:eastAsia="宋体" w:cs="宋体"/>
          <w:color w:val="auto"/>
          <w:sz w:val="24"/>
          <w:szCs w:val="24"/>
          <w:highlight w:val="none"/>
          <w:lang w:val="en-US"/>
        </w:rPr>
        <w:t>在线申请</w:t>
      </w:r>
      <w:r>
        <w:rPr>
          <w:rFonts w:hint="eastAsia" w:ascii="宋体" w:hAnsi="宋体" w:eastAsia="宋体" w:cs="宋体"/>
          <w:color w:val="auto"/>
          <w:sz w:val="24"/>
          <w:szCs w:val="24"/>
          <w:highlight w:val="none"/>
          <w:lang w:val="en-US" w:eastAsia="zh-CN"/>
        </w:rPr>
        <w:t>，免费</w:t>
      </w:r>
      <w:r>
        <w:rPr>
          <w:rFonts w:hint="eastAsia" w:ascii="宋体" w:hAnsi="宋体" w:eastAsia="宋体" w:cs="宋体"/>
          <w:color w:val="auto"/>
          <w:sz w:val="24"/>
          <w:szCs w:val="24"/>
          <w:highlight w:val="none"/>
          <w:lang w:val="en-US"/>
        </w:rPr>
        <w:t>获取</w:t>
      </w:r>
      <w:r>
        <w:rPr>
          <w:rFonts w:hint="eastAsia" w:ascii="宋体" w:hAnsi="宋体" w:eastAsia="宋体" w:cs="宋体"/>
          <w:color w:val="auto"/>
          <w:sz w:val="24"/>
          <w:szCs w:val="24"/>
          <w:highlight w:val="none"/>
          <w:lang w:val="en-US" w:eastAsia="zh-CN"/>
        </w:rPr>
        <w:t>电子</w:t>
      </w:r>
      <w:r>
        <w:rPr>
          <w:rFonts w:hint="eastAsia" w:ascii="宋体" w:hAnsi="宋体" w:eastAsia="宋体" w:cs="宋体"/>
          <w:color w:val="auto"/>
          <w:sz w:val="24"/>
          <w:szCs w:val="24"/>
          <w:highlight w:val="none"/>
          <w:lang w:val="en-US"/>
        </w:rPr>
        <w:t>采购文件</w:t>
      </w:r>
      <w:r>
        <w:rPr>
          <w:rFonts w:hint="eastAsia" w:ascii="宋体" w:hAnsi="宋体" w:eastAsia="宋体" w:cs="宋体"/>
          <w:color w:val="auto"/>
          <w:sz w:val="24"/>
          <w:szCs w:val="24"/>
          <w:highlight w:val="none"/>
          <w:lang w:val="hr-HR"/>
        </w:rPr>
        <w:t>（</w:t>
      </w:r>
      <w:r>
        <w:rPr>
          <w:rFonts w:hint="eastAsia" w:ascii="宋体" w:hAnsi="宋体" w:eastAsia="宋体" w:cs="宋体"/>
          <w:color w:val="auto"/>
          <w:sz w:val="24"/>
          <w:szCs w:val="24"/>
          <w:highlight w:val="none"/>
          <w:lang w:val="en-US"/>
        </w:rPr>
        <w:t>进入</w:t>
      </w:r>
      <w:r>
        <w:rPr>
          <w:rFonts w:hint="eastAsia" w:ascii="宋体" w:hAnsi="宋体" w:eastAsia="宋体" w:cs="宋体"/>
          <w:color w:val="auto"/>
          <w:sz w:val="24"/>
          <w:szCs w:val="24"/>
          <w:highlight w:val="none"/>
          <w:lang w:val="hr-HR"/>
        </w:rPr>
        <w:t>“</w:t>
      </w:r>
      <w:r>
        <w:rPr>
          <w:rFonts w:hint="eastAsia" w:ascii="宋体" w:hAnsi="宋体" w:eastAsia="宋体" w:cs="宋体"/>
          <w:color w:val="auto"/>
          <w:sz w:val="24"/>
          <w:szCs w:val="24"/>
          <w:highlight w:val="none"/>
          <w:lang w:val="en-US"/>
        </w:rPr>
        <w:t>项目采购</w:t>
      </w:r>
      <w:r>
        <w:rPr>
          <w:rFonts w:hint="eastAsia" w:ascii="宋体" w:hAnsi="宋体" w:eastAsia="宋体" w:cs="宋体"/>
          <w:color w:val="auto"/>
          <w:sz w:val="24"/>
          <w:szCs w:val="24"/>
          <w:highlight w:val="none"/>
          <w:lang w:val="hr-HR"/>
        </w:rPr>
        <w:t>”</w:t>
      </w:r>
      <w:r>
        <w:rPr>
          <w:rFonts w:hint="eastAsia" w:ascii="宋体" w:hAnsi="宋体" w:eastAsia="宋体" w:cs="宋体"/>
          <w:color w:val="auto"/>
          <w:sz w:val="24"/>
          <w:szCs w:val="24"/>
          <w:highlight w:val="none"/>
          <w:lang w:val="en-US"/>
        </w:rPr>
        <w:t>应用</w:t>
      </w:r>
      <w:r>
        <w:rPr>
          <w:rFonts w:hint="eastAsia" w:ascii="宋体" w:hAnsi="宋体" w:eastAsia="宋体" w:cs="宋体"/>
          <w:color w:val="auto"/>
          <w:sz w:val="24"/>
          <w:szCs w:val="24"/>
          <w:highlight w:val="none"/>
          <w:lang w:val="hr-HR"/>
        </w:rPr>
        <w:t>，</w:t>
      </w:r>
      <w:r>
        <w:rPr>
          <w:rFonts w:hint="eastAsia" w:ascii="宋体" w:hAnsi="宋体" w:eastAsia="宋体" w:cs="宋体"/>
          <w:color w:val="auto"/>
          <w:sz w:val="24"/>
          <w:szCs w:val="24"/>
          <w:highlight w:val="none"/>
          <w:lang w:val="en-US"/>
        </w:rPr>
        <w:t>在获取采购文件菜单中选择项目</w:t>
      </w:r>
      <w:r>
        <w:rPr>
          <w:rFonts w:hint="eastAsia" w:ascii="宋体" w:hAnsi="宋体" w:eastAsia="宋体" w:cs="宋体"/>
          <w:color w:val="auto"/>
          <w:sz w:val="24"/>
          <w:szCs w:val="24"/>
          <w:highlight w:val="none"/>
          <w:lang w:val="hr-HR"/>
        </w:rPr>
        <w:t>，</w:t>
      </w:r>
      <w:r>
        <w:rPr>
          <w:rFonts w:hint="eastAsia" w:ascii="宋体" w:hAnsi="宋体" w:eastAsia="宋体" w:cs="宋体"/>
          <w:color w:val="auto"/>
          <w:sz w:val="24"/>
          <w:szCs w:val="24"/>
          <w:highlight w:val="none"/>
          <w:lang w:val="en-US"/>
        </w:rPr>
        <w:t>申请获取采购文件</w:t>
      </w:r>
      <w:r>
        <w:rPr>
          <w:rFonts w:hint="eastAsia" w:ascii="宋体" w:hAnsi="宋体" w:eastAsia="宋体" w:cs="宋体"/>
          <w:color w:val="auto"/>
          <w:sz w:val="24"/>
          <w:szCs w:val="24"/>
          <w:highlight w:val="none"/>
          <w:lang w:val="hr-HR"/>
        </w:rPr>
        <w:t>）</w:t>
      </w:r>
      <w:r>
        <w:rPr>
          <w:rFonts w:hint="eastAsia" w:ascii="宋体" w:hAnsi="宋体" w:eastAsia="宋体" w:cs="宋体"/>
          <w:color w:val="auto"/>
          <w:sz w:val="24"/>
          <w:szCs w:val="24"/>
          <w:highlight w:val="none"/>
          <w:lang w:val="en-US"/>
        </w:rPr>
        <w:t>。</w:t>
      </w:r>
    </w:p>
    <w:p w14:paraId="42A40251">
      <w:pPr>
        <w:pStyle w:val="38"/>
        <w:spacing w:line="360" w:lineRule="auto"/>
        <w:rPr>
          <w:rFonts w:hint="eastAsia" w:ascii="宋体" w:hAnsi="宋体" w:eastAsia="宋体" w:cs="宋体"/>
          <w:color w:val="auto"/>
          <w:sz w:val="24"/>
          <w:szCs w:val="24"/>
          <w:highlight w:val="none"/>
          <w:lang w:val="hr-HR"/>
        </w:rPr>
      </w:pPr>
      <w:r>
        <w:rPr>
          <w:rFonts w:hint="eastAsia" w:ascii="宋体" w:hAnsi="宋体" w:eastAsia="宋体" w:cs="宋体"/>
          <w:color w:val="auto"/>
          <w:sz w:val="24"/>
          <w:szCs w:val="24"/>
          <w:highlight w:val="none"/>
          <w:lang w:val="en-US" w:eastAsia="zh-CN"/>
        </w:rPr>
        <w:t>4.售价：0元。</w:t>
      </w:r>
      <w:r>
        <w:rPr>
          <w:rFonts w:hint="eastAsia" w:ascii="宋体" w:hAnsi="宋体" w:eastAsia="宋体" w:cs="宋体"/>
          <w:color w:val="auto"/>
          <w:sz w:val="24"/>
          <w:szCs w:val="24"/>
          <w:highlight w:val="none"/>
          <w:lang w:val="hr-HR"/>
        </w:rPr>
        <w:t xml:space="preserve"> </w:t>
      </w:r>
    </w:p>
    <w:bookmarkEnd w:id="43"/>
    <w:bookmarkEnd w:id="44"/>
    <w:bookmarkEnd w:id="45"/>
    <w:bookmarkEnd w:id="46"/>
    <w:bookmarkEnd w:id="47"/>
    <w:bookmarkEnd w:id="48"/>
    <w:p w14:paraId="62F53623">
      <w:pPr>
        <w:pStyle w:val="2"/>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420" w:leftChars="0" w:hanging="420" w:firstLineChars="0"/>
        <w:textAlignment w:val="auto"/>
        <w:rPr>
          <w:rFonts w:hint="eastAsia" w:ascii="宋体" w:hAnsi="宋体" w:eastAsia="宋体" w:cs="宋体"/>
          <w:b/>
          <w:bCs/>
          <w:color w:val="auto"/>
          <w:kern w:val="2"/>
          <w:sz w:val="24"/>
          <w:szCs w:val="24"/>
          <w:highlight w:val="none"/>
          <w:lang w:val="hr-HR" w:eastAsia="zh-CN" w:bidi="ar-SA"/>
        </w:rPr>
      </w:pPr>
      <w:bookmarkStart w:id="50" w:name="_Toc109900251"/>
      <w:bookmarkStart w:id="51" w:name="_Toc109899413"/>
      <w:bookmarkStart w:id="52" w:name="_Toc109899832"/>
      <w:bookmarkStart w:id="53" w:name="_Toc155185863"/>
      <w:bookmarkStart w:id="54" w:name="_Toc140132748"/>
      <w:bookmarkStart w:id="55" w:name="_Toc13809"/>
      <w:bookmarkStart w:id="56" w:name="_Hlk130457395"/>
      <w:bookmarkStart w:id="57" w:name="_Toc44583633"/>
      <w:bookmarkStart w:id="58" w:name="_Toc35393634"/>
      <w:bookmarkStart w:id="59" w:name="_Toc28359094"/>
      <w:bookmarkStart w:id="60" w:name="_Toc28359017"/>
      <w:bookmarkStart w:id="61" w:name="_Toc35393803"/>
      <w:r>
        <w:rPr>
          <w:rFonts w:hint="eastAsia" w:ascii="宋体" w:hAnsi="宋体" w:eastAsia="宋体" w:cs="宋体"/>
          <w:b/>
          <w:bCs/>
          <w:color w:val="auto"/>
          <w:kern w:val="2"/>
          <w:sz w:val="24"/>
          <w:szCs w:val="24"/>
          <w:highlight w:val="none"/>
          <w:lang w:val="en-US" w:eastAsia="zh-CN" w:bidi="ar-SA"/>
        </w:rPr>
        <w:t>四、</w:t>
      </w:r>
      <w:bookmarkEnd w:id="50"/>
      <w:bookmarkEnd w:id="51"/>
      <w:bookmarkEnd w:id="52"/>
      <w:bookmarkEnd w:id="53"/>
      <w:bookmarkEnd w:id="54"/>
      <w:r>
        <w:rPr>
          <w:rFonts w:hint="eastAsia" w:ascii="宋体" w:hAnsi="宋体" w:eastAsia="宋体" w:cs="宋体"/>
          <w:b/>
          <w:bCs/>
          <w:color w:val="auto"/>
          <w:kern w:val="2"/>
          <w:sz w:val="24"/>
          <w:szCs w:val="24"/>
          <w:highlight w:val="none"/>
          <w:lang w:val="hr-HR" w:eastAsia="zh-CN" w:bidi="ar-SA"/>
        </w:rPr>
        <w:t>提交投标文件截止时间</w:t>
      </w:r>
      <w:r>
        <w:rPr>
          <w:rFonts w:hint="eastAsia" w:ascii="宋体" w:hAnsi="宋体" w:eastAsia="宋体" w:cs="宋体"/>
          <w:b/>
          <w:bCs/>
          <w:color w:val="auto"/>
          <w:kern w:val="2"/>
          <w:sz w:val="24"/>
          <w:szCs w:val="24"/>
          <w:highlight w:val="none"/>
          <w:lang w:val="en-US" w:eastAsia="zh-CN" w:bidi="ar-SA"/>
        </w:rPr>
        <w:t>/</w:t>
      </w:r>
      <w:r>
        <w:rPr>
          <w:rFonts w:hint="eastAsia" w:ascii="宋体" w:hAnsi="宋体" w:eastAsia="宋体" w:cs="宋体"/>
          <w:b/>
          <w:bCs/>
          <w:color w:val="auto"/>
          <w:kern w:val="2"/>
          <w:sz w:val="24"/>
          <w:szCs w:val="24"/>
          <w:highlight w:val="none"/>
          <w:lang w:val="hr-HR" w:eastAsia="zh-CN" w:bidi="ar-SA"/>
        </w:rPr>
        <w:t>开标时间、递交方式和</w:t>
      </w:r>
      <w:r>
        <w:rPr>
          <w:rFonts w:hint="eastAsia" w:ascii="宋体" w:hAnsi="宋体" w:eastAsia="宋体" w:cs="宋体"/>
          <w:b/>
          <w:bCs/>
          <w:color w:val="auto"/>
          <w:kern w:val="2"/>
          <w:sz w:val="24"/>
          <w:szCs w:val="24"/>
          <w:highlight w:val="none"/>
          <w:lang w:val="en-US" w:eastAsia="zh-CN" w:bidi="ar-SA"/>
        </w:rPr>
        <w:t>开标</w:t>
      </w:r>
      <w:r>
        <w:rPr>
          <w:rFonts w:hint="eastAsia" w:ascii="宋体" w:hAnsi="宋体" w:eastAsia="宋体" w:cs="宋体"/>
          <w:b/>
          <w:bCs/>
          <w:color w:val="auto"/>
          <w:kern w:val="2"/>
          <w:sz w:val="24"/>
          <w:szCs w:val="24"/>
          <w:highlight w:val="none"/>
          <w:lang w:val="hr-HR" w:eastAsia="zh-CN" w:bidi="ar-SA"/>
        </w:rPr>
        <w:t>地点</w:t>
      </w:r>
      <w:bookmarkEnd w:id="55"/>
    </w:p>
    <w:p w14:paraId="2D110B47">
      <w:pPr>
        <w:pStyle w:val="38"/>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1.截止时间</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rPr>
        <w:t>开标时间</w:t>
      </w:r>
      <w:r>
        <w:rPr>
          <w:rFonts w:hint="eastAsia" w:cs="宋体"/>
          <w:i w:val="0"/>
          <w:iCs w:val="0"/>
          <w:color w:val="auto"/>
          <w:sz w:val="24"/>
          <w:szCs w:val="24"/>
          <w:highlight w:val="none"/>
          <w:u w:val="single"/>
          <w:lang w:val="en-US" w:eastAsia="zh-CN"/>
        </w:rPr>
        <w:t>2025 年7月18日</w:t>
      </w:r>
      <w:r>
        <w:rPr>
          <w:rFonts w:hint="eastAsia" w:cs="宋体"/>
          <w:color w:val="auto"/>
          <w:sz w:val="24"/>
          <w:szCs w:val="24"/>
          <w:highlight w:val="none"/>
          <w:u w:val="single"/>
          <w:lang w:val="en-US" w:eastAsia="zh-CN"/>
        </w:rPr>
        <w:t>11</w:t>
      </w:r>
      <w:r>
        <w:rPr>
          <w:rFonts w:hint="eastAsia" w:ascii="宋体" w:hAnsi="宋体" w:eastAsia="宋体" w:cs="宋体"/>
          <w:color w:val="auto"/>
          <w:sz w:val="24"/>
          <w:szCs w:val="24"/>
          <w:highlight w:val="none"/>
          <w:u w:val="single"/>
        </w:rPr>
        <w:t>时</w:t>
      </w:r>
      <w:r>
        <w:rPr>
          <w:rFonts w:hint="eastAsia" w:cs="宋体"/>
          <w:color w:val="auto"/>
          <w:sz w:val="24"/>
          <w:szCs w:val="24"/>
          <w:highlight w:val="none"/>
          <w:u w:val="single"/>
          <w:lang w:val="en-US" w:eastAsia="zh-CN"/>
        </w:rPr>
        <w:t>00</w:t>
      </w:r>
      <w:r>
        <w:rPr>
          <w:rFonts w:hint="eastAsia" w:ascii="宋体" w:hAnsi="宋体" w:eastAsia="宋体" w:cs="宋体"/>
          <w:color w:val="auto"/>
          <w:sz w:val="24"/>
          <w:szCs w:val="24"/>
          <w:highlight w:val="none"/>
          <w:u w:val="single"/>
        </w:rPr>
        <w:t>分</w:t>
      </w:r>
      <w:r>
        <w:rPr>
          <w:rFonts w:hint="eastAsia" w:ascii="宋体" w:hAnsi="宋体" w:eastAsia="宋体" w:cs="宋体"/>
          <w:color w:val="auto"/>
          <w:sz w:val="24"/>
          <w:szCs w:val="24"/>
          <w:highlight w:val="none"/>
        </w:rPr>
        <w:t>（北京时间）。</w:t>
      </w:r>
    </w:p>
    <w:p w14:paraId="51B173F3">
      <w:pPr>
        <w:pStyle w:val="38"/>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2.递交方式：</w:t>
      </w:r>
      <w:bookmarkStart w:id="62" w:name="_Hlk89807823"/>
      <w:r>
        <w:rPr>
          <w:rFonts w:hint="eastAsia" w:ascii="宋体" w:hAnsi="宋体" w:eastAsia="宋体" w:cs="宋体"/>
          <w:color w:val="auto"/>
          <w:sz w:val="24"/>
          <w:szCs w:val="24"/>
          <w:highlight w:val="none"/>
        </w:rPr>
        <w:t>在兵团政府采购电子交易云平台（网址：https://www.zcygov.cn/）进入“项目采购”应用，在投标文件上传菜单中选择项目进行上传。</w:t>
      </w:r>
      <w:bookmarkEnd w:id="62"/>
    </w:p>
    <w:p w14:paraId="276D3E17">
      <w:pPr>
        <w:pStyle w:val="38"/>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3.开标</w:t>
      </w:r>
      <w:r>
        <w:rPr>
          <w:rFonts w:hint="eastAsia" w:ascii="宋体" w:hAnsi="宋体" w:eastAsia="宋体" w:cs="宋体"/>
          <w:color w:val="auto"/>
          <w:sz w:val="24"/>
          <w:szCs w:val="24"/>
          <w:highlight w:val="none"/>
          <w:lang w:val="en-US"/>
        </w:rPr>
        <w:t>地点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lang w:val="en-US"/>
        </w:rPr>
        <w:t>登录政采云平台https</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//www.zcygov.cn/，进入项目采购</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rPr>
        <w:t>开</w:t>
      </w:r>
      <w:r>
        <w:rPr>
          <w:rFonts w:hint="eastAsia" w:ascii="宋体" w:hAnsi="宋体" w:eastAsia="宋体" w:cs="宋体"/>
          <w:color w:val="auto"/>
          <w:sz w:val="24"/>
          <w:szCs w:val="24"/>
          <w:highlight w:val="none"/>
          <w:lang w:val="en-US" w:eastAsia="zh-CN"/>
        </w:rPr>
        <w:t>标</w:t>
      </w:r>
      <w:r>
        <w:rPr>
          <w:rFonts w:hint="eastAsia" w:ascii="宋体" w:hAnsi="宋体" w:eastAsia="宋体" w:cs="宋体"/>
          <w:color w:val="auto"/>
          <w:sz w:val="24"/>
          <w:szCs w:val="24"/>
          <w:highlight w:val="none"/>
          <w:lang w:val="en-US"/>
        </w:rPr>
        <w:t>评标</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rPr>
        <w:t>右边选择对应项目点击“进入项目”进入开标大厅</w:t>
      </w:r>
      <w:r>
        <w:rPr>
          <w:rFonts w:hint="eastAsia" w:ascii="宋体" w:hAnsi="宋体" w:eastAsia="宋体" w:cs="宋体"/>
          <w:color w:val="auto"/>
          <w:sz w:val="24"/>
          <w:szCs w:val="24"/>
          <w:highlight w:val="none"/>
        </w:rPr>
        <w:t>。</w:t>
      </w:r>
    </w:p>
    <w:bookmarkEnd w:id="56"/>
    <w:p w14:paraId="679A69E0">
      <w:pPr>
        <w:pStyle w:val="2"/>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420" w:leftChars="0" w:hanging="420" w:firstLineChars="0"/>
        <w:textAlignment w:val="auto"/>
        <w:rPr>
          <w:rFonts w:hint="eastAsia" w:ascii="宋体" w:hAnsi="宋体" w:eastAsia="宋体" w:cs="宋体"/>
          <w:b/>
          <w:bCs/>
          <w:color w:val="auto"/>
          <w:kern w:val="2"/>
          <w:sz w:val="24"/>
          <w:szCs w:val="24"/>
          <w:highlight w:val="none"/>
          <w:lang w:val="hr-HR" w:eastAsia="zh-CN" w:bidi="ar-SA"/>
        </w:rPr>
      </w:pPr>
      <w:bookmarkStart w:id="63" w:name="_Toc109900252"/>
      <w:bookmarkStart w:id="64" w:name="_Toc155185864"/>
      <w:bookmarkStart w:id="65" w:name="_Toc140132749"/>
      <w:bookmarkStart w:id="66" w:name="_Toc109899833"/>
      <w:bookmarkStart w:id="67" w:name="_Toc109899414"/>
      <w:bookmarkStart w:id="68" w:name="_Toc8144"/>
      <w:r>
        <w:rPr>
          <w:rFonts w:hint="eastAsia" w:ascii="宋体" w:hAnsi="宋体" w:eastAsia="宋体" w:cs="宋体"/>
          <w:b/>
          <w:bCs/>
          <w:color w:val="auto"/>
          <w:kern w:val="2"/>
          <w:sz w:val="24"/>
          <w:szCs w:val="24"/>
          <w:highlight w:val="none"/>
          <w:lang w:val="en-US" w:eastAsia="zh-CN" w:bidi="ar-SA"/>
        </w:rPr>
        <w:t>五、</w:t>
      </w:r>
      <w:r>
        <w:rPr>
          <w:rFonts w:hint="eastAsia" w:ascii="宋体" w:hAnsi="宋体" w:eastAsia="宋体" w:cs="宋体"/>
          <w:b/>
          <w:bCs/>
          <w:color w:val="auto"/>
          <w:kern w:val="2"/>
          <w:sz w:val="24"/>
          <w:szCs w:val="24"/>
          <w:highlight w:val="none"/>
          <w:lang w:val="hr-HR" w:eastAsia="zh-CN" w:bidi="ar-SA"/>
        </w:rPr>
        <w:t>公告期限</w:t>
      </w:r>
      <w:bookmarkEnd w:id="57"/>
      <w:bookmarkEnd w:id="58"/>
      <w:bookmarkEnd w:id="59"/>
      <w:bookmarkEnd w:id="60"/>
      <w:bookmarkEnd w:id="61"/>
      <w:bookmarkEnd w:id="63"/>
      <w:bookmarkEnd w:id="64"/>
      <w:bookmarkEnd w:id="65"/>
      <w:bookmarkEnd w:id="66"/>
      <w:bookmarkEnd w:id="67"/>
      <w:bookmarkEnd w:id="68"/>
    </w:p>
    <w:p w14:paraId="32028F42">
      <w:pPr>
        <w:pStyle w:val="38"/>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自招标公告发布之日起5个工作日。</w:t>
      </w:r>
    </w:p>
    <w:p w14:paraId="20DD1AA0">
      <w:pPr>
        <w:pStyle w:val="2"/>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420" w:leftChars="0" w:hanging="420" w:firstLineChars="0"/>
        <w:textAlignment w:val="auto"/>
        <w:rPr>
          <w:rFonts w:hint="eastAsia" w:ascii="宋体" w:hAnsi="宋体" w:eastAsia="宋体" w:cs="宋体"/>
          <w:b/>
          <w:bCs/>
          <w:color w:val="auto"/>
          <w:kern w:val="2"/>
          <w:sz w:val="24"/>
          <w:szCs w:val="24"/>
          <w:highlight w:val="none"/>
          <w:lang w:val="hr-HR" w:eastAsia="zh-CN" w:bidi="ar-SA"/>
        </w:rPr>
      </w:pPr>
      <w:bookmarkStart w:id="69" w:name="_Toc35393635"/>
      <w:bookmarkStart w:id="70" w:name="_Toc109899834"/>
      <w:bookmarkStart w:id="71" w:name="_Toc44583634"/>
      <w:bookmarkStart w:id="72" w:name="_Toc35393804"/>
      <w:bookmarkStart w:id="73" w:name="_Toc109900253"/>
      <w:bookmarkStart w:id="74" w:name="_Toc140132750"/>
      <w:bookmarkStart w:id="75" w:name="_Toc155185865"/>
      <w:bookmarkStart w:id="76" w:name="_Toc109899415"/>
      <w:bookmarkStart w:id="77" w:name="_Toc26687"/>
      <w:bookmarkStart w:id="78" w:name="_Toc28359019"/>
      <w:bookmarkStart w:id="79" w:name="_Toc35393637"/>
      <w:bookmarkStart w:id="80" w:name="_Toc35393806"/>
      <w:bookmarkStart w:id="81" w:name="_Toc28359096"/>
      <w:r>
        <w:rPr>
          <w:rFonts w:hint="eastAsia" w:ascii="宋体" w:hAnsi="宋体" w:eastAsia="宋体" w:cs="宋体"/>
          <w:b/>
          <w:bCs/>
          <w:color w:val="auto"/>
          <w:kern w:val="2"/>
          <w:sz w:val="24"/>
          <w:szCs w:val="24"/>
          <w:highlight w:val="none"/>
          <w:lang w:val="en-US" w:eastAsia="zh-CN" w:bidi="ar-SA"/>
        </w:rPr>
        <w:t>六、</w:t>
      </w:r>
      <w:r>
        <w:rPr>
          <w:rFonts w:hint="eastAsia" w:ascii="宋体" w:hAnsi="宋体" w:eastAsia="宋体" w:cs="宋体"/>
          <w:b/>
          <w:bCs/>
          <w:color w:val="auto"/>
          <w:kern w:val="2"/>
          <w:sz w:val="24"/>
          <w:szCs w:val="24"/>
          <w:highlight w:val="none"/>
          <w:lang w:val="hr-HR" w:eastAsia="zh-CN" w:bidi="ar-SA"/>
        </w:rPr>
        <w:t>其他补充事宜</w:t>
      </w:r>
      <w:bookmarkEnd w:id="69"/>
      <w:bookmarkEnd w:id="70"/>
      <w:bookmarkEnd w:id="71"/>
      <w:bookmarkEnd w:id="72"/>
      <w:bookmarkEnd w:id="73"/>
      <w:bookmarkEnd w:id="74"/>
      <w:bookmarkEnd w:id="75"/>
      <w:bookmarkEnd w:id="76"/>
      <w:r>
        <w:rPr>
          <w:rFonts w:hint="eastAsia" w:ascii="宋体" w:hAnsi="宋体" w:eastAsia="宋体" w:cs="宋体"/>
          <w:b/>
          <w:bCs/>
          <w:color w:val="auto"/>
          <w:kern w:val="2"/>
          <w:sz w:val="24"/>
          <w:szCs w:val="24"/>
          <w:highlight w:val="none"/>
          <w:lang w:val="hr-HR" w:eastAsia="zh-CN" w:bidi="ar-SA"/>
        </w:rPr>
        <w:t>【如政采云平台信息内容更新，按最新内容自行修改】</w:t>
      </w:r>
      <w:bookmarkEnd w:id="77"/>
    </w:p>
    <w:p w14:paraId="743BCBD0">
      <w:pPr>
        <w:pStyle w:val="38"/>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1、本项目实行网上投标，采用电子投标文件；</w:t>
      </w:r>
    </w:p>
    <w:p w14:paraId="1175B44A">
      <w:pPr>
        <w:pStyle w:val="38"/>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各投标人应在开标前应确保成为政采云平台供应商，并完成CA数字证书（符合国密标准）申领。因未注册入库、未办理CA数字证书等原因造成无法投标或投标失败等后果由投标人自行承担。有意向参与兵团区域电子开评标的投标人，可访问兵团政府采购网-办事指南-操作指南-CA证书办理操作指南或点击链接：http://ccgp-bingtuan.gov.cn/site/detail?parentId=189171&amp;articleId=CZ0bD526ZE+CHX5isJvt0w==&amp;utm=site.site-PC-4840.633-pc-websitegroup-secondlevelpage-front.1.2e96d52081d811eebbd67dd2372c0b9a自行进行申领。</w:t>
      </w:r>
    </w:p>
    <w:p w14:paraId="34AAF104">
      <w:pPr>
        <w:pStyle w:val="38"/>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投标人将政采云电子交易客户端下载、安装完成后，可通过账号密码或CA登录客户端进行投标文件的制作。在使用政采云投标客户端时，建议使用WIN7（64位）及以上操作系统。客户端请至兵团政府采购网（http://ccgp-bingtuan.gov.cn/）下载专区查看，如有问题可拨打政采云客户服务热线95763进行咨询。如因投标人自身原因导致在规定时间内无法正常解密的（如：浏览器故障、未安装相关驱动、网络故障、加密CA与解密CA不一致等），视为投标人自动弃标。</w:t>
      </w:r>
    </w:p>
    <w:p w14:paraId="548B7FB7">
      <w:pPr>
        <w:pStyle w:val="38"/>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bookmarkEnd w:id="2"/>
    <w:bookmarkEnd w:id="78"/>
    <w:bookmarkEnd w:id="79"/>
    <w:bookmarkEnd w:id="80"/>
    <w:bookmarkEnd w:id="81"/>
    <w:p w14:paraId="723251BD">
      <w:pPr>
        <w:pStyle w:val="2"/>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420" w:leftChars="0" w:hanging="420" w:firstLineChars="0"/>
        <w:textAlignment w:val="auto"/>
        <w:rPr>
          <w:rFonts w:hint="eastAsia" w:ascii="宋体" w:hAnsi="宋体" w:eastAsia="宋体" w:cs="宋体"/>
          <w:b/>
          <w:bCs/>
          <w:color w:val="auto"/>
          <w:kern w:val="2"/>
          <w:sz w:val="24"/>
          <w:szCs w:val="24"/>
          <w:highlight w:val="none"/>
          <w:lang w:val="hr-HR" w:eastAsia="zh-CN" w:bidi="ar-SA"/>
        </w:rPr>
      </w:pPr>
      <w:bookmarkStart w:id="82" w:name="_Toc44583635"/>
      <w:bookmarkStart w:id="83" w:name="_Toc109899835"/>
      <w:bookmarkStart w:id="84" w:name="_Toc28359095"/>
      <w:bookmarkStart w:id="85" w:name="_Toc109900254"/>
      <w:bookmarkStart w:id="86" w:name="_Toc28359018"/>
      <w:bookmarkStart w:id="87" w:name="_Toc109899416"/>
      <w:bookmarkStart w:id="88" w:name="_Toc35393636"/>
      <w:bookmarkStart w:id="89" w:name="_Toc155185866"/>
      <w:bookmarkStart w:id="90" w:name="_Toc140132751"/>
      <w:bookmarkStart w:id="91" w:name="_Toc35393805"/>
      <w:bookmarkStart w:id="92" w:name="_Toc28862"/>
      <w:r>
        <w:rPr>
          <w:rFonts w:hint="eastAsia" w:ascii="宋体" w:hAnsi="宋体" w:eastAsia="宋体" w:cs="宋体"/>
          <w:b/>
          <w:bCs/>
          <w:color w:val="auto"/>
          <w:kern w:val="2"/>
          <w:sz w:val="24"/>
          <w:szCs w:val="24"/>
          <w:highlight w:val="none"/>
          <w:lang w:val="en-US" w:eastAsia="zh-CN" w:bidi="ar-SA"/>
        </w:rPr>
        <w:t>七、</w:t>
      </w:r>
      <w:bookmarkEnd w:id="82"/>
      <w:bookmarkEnd w:id="83"/>
      <w:bookmarkEnd w:id="84"/>
      <w:bookmarkEnd w:id="85"/>
      <w:bookmarkEnd w:id="86"/>
      <w:bookmarkEnd w:id="87"/>
      <w:bookmarkEnd w:id="88"/>
      <w:bookmarkEnd w:id="89"/>
      <w:bookmarkEnd w:id="90"/>
      <w:bookmarkEnd w:id="91"/>
      <w:r>
        <w:rPr>
          <w:rFonts w:hint="eastAsia" w:ascii="宋体" w:hAnsi="宋体" w:eastAsia="宋体" w:cs="宋体"/>
          <w:b/>
          <w:bCs/>
          <w:color w:val="auto"/>
          <w:kern w:val="2"/>
          <w:sz w:val="24"/>
          <w:szCs w:val="24"/>
          <w:highlight w:val="none"/>
          <w:lang w:val="hr-HR" w:eastAsia="zh-CN" w:bidi="ar-SA"/>
        </w:rPr>
        <w:t>对本次</w:t>
      </w:r>
      <w:r>
        <w:rPr>
          <w:rFonts w:hint="eastAsia" w:ascii="宋体" w:hAnsi="宋体" w:eastAsia="宋体" w:cs="宋体"/>
          <w:b/>
          <w:bCs/>
          <w:color w:val="auto"/>
          <w:kern w:val="2"/>
          <w:sz w:val="24"/>
          <w:szCs w:val="24"/>
          <w:highlight w:val="none"/>
          <w:lang w:val="en-US" w:eastAsia="zh-CN" w:bidi="ar-SA"/>
        </w:rPr>
        <w:t>招标</w:t>
      </w:r>
      <w:r>
        <w:rPr>
          <w:rFonts w:hint="eastAsia" w:ascii="宋体" w:hAnsi="宋体" w:eastAsia="宋体" w:cs="宋体"/>
          <w:b/>
          <w:bCs/>
          <w:color w:val="auto"/>
          <w:kern w:val="2"/>
          <w:sz w:val="24"/>
          <w:szCs w:val="24"/>
          <w:highlight w:val="none"/>
          <w:lang w:val="hr-HR" w:eastAsia="zh-CN" w:bidi="ar-SA"/>
        </w:rPr>
        <w:t>提出询问，请按以下方式联系</w:t>
      </w:r>
      <w:bookmarkEnd w:id="92"/>
    </w:p>
    <w:p w14:paraId="74D4D291">
      <w:pPr>
        <w:pStyle w:val="38"/>
        <w:keepNext w:val="0"/>
        <w:keepLines w:val="0"/>
        <w:pageBreakBefore w:val="0"/>
        <w:widowControl w:val="0"/>
        <w:kinsoku/>
        <w:wordWrap w:val="0"/>
        <w:overflowPunct/>
        <w:topLinePunct w:val="0"/>
        <w:autoSpaceDE/>
        <w:autoSpaceDN/>
        <w:bidi w:val="0"/>
        <w:adjustRightInd/>
        <w:snapToGrid/>
        <w:spacing w:line="400" w:lineRule="exact"/>
        <w:ind w:firstLine="482"/>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1.采购人信息</w:t>
      </w:r>
    </w:p>
    <w:p w14:paraId="699333D4">
      <w:pPr>
        <w:pStyle w:val="38"/>
        <w:keepNext w:val="0"/>
        <w:keepLines w:val="0"/>
        <w:pageBreakBefore w:val="0"/>
        <w:widowControl w:val="0"/>
        <w:kinsoku/>
        <w:wordWrap w:val="0"/>
        <w:overflowPunct/>
        <w:topLinePunct w:val="0"/>
        <w:autoSpaceDE/>
        <w:autoSpaceDN/>
        <w:bidi w:val="0"/>
        <w:adjustRightInd/>
        <w:snapToGrid/>
        <w:spacing w:line="400" w:lineRule="exact"/>
        <w:ind w:firstLine="482"/>
        <w:textAlignment w:val="auto"/>
        <w:rPr>
          <w:rFonts w:hint="default" w:ascii="宋体" w:hAnsi="宋体" w:eastAsia="微软雅黑"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rPr>
        <w:t>名称：</w:t>
      </w:r>
      <w:r>
        <w:rPr>
          <w:rFonts w:hint="eastAsia" w:ascii="Calibri" w:hAnsi="Calibri" w:eastAsia="宋体"/>
          <w:color w:val="000000"/>
          <w:kern w:val="2"/>
          <w:sz w:val="24"/>
          <w:szCs w:val="24"/>
          <w:u w:val="single"/>
          <w:lang w:val="en-US" w:eastAsia="zh-CN" w:bidi="ar-SA"/>
        </w:rPr>
        <w:t xml:space="preserve">新疆生产建设兵团第四师第一中学 </w:t>
      </w:r>
      <w:r>
        <w:rPr>
          <w:rFonts w:hint="eastAsia" w:ascii="微软雅黑" w:hAnsi="微软雅黑" w:eastAsia="微软雅黑" w:cs="微软雅黑"/>
          <w:i w:val="0"/>
          <w:iCs w:val="0"/>
          <w:caps w:val="0"/>
          <w:color w:val="333333"/>
          <w:spacing w:val="0"/>
          <w:sz w:val="21"/>
          <w:szCs w:val="21"/>
          <w:u w:val="single"/>
          <w:shd w:val="clear" w:fill="FFFFFF"/>
          <w:lang w:val="en-US" w:eastAsia="zh-CN"/>
        </w:rPr>
        <w:t xml:space="preserve">   </w:t>
      </w:r>
    </w:p>
    <w:p w14:paraId="04F1E9D3">
      <w:pPr>
        <w:pStyle w:val="38"/>
        <w:keepNext w:val="0"/>
        <w:keepLines w:val="0"/>
        <w:pageBreakBefore w:val="0"/>
        <w:widowControl w:val="0"/>
        <w:kinsoku/>
        <w:wordWrap w:val="0"/>
        <w:overflowPunct/>
        <w:topLinePunct w:val="0"/>
        <w:autoSpaceDE/>
        <w:autoSpaceDN/>
        <w:bidi w:val="0"/>
        <w:adjustRightInd/>
        <w:snapToGrid/>
        <w:spacing w:line="400" w:lineRule="exact"/>
        <w:ind w:firstLine="482"/>
        <w:textAlignment w:val="auto"/>
        <w:rPr>
          <w:rFonts w:hint="eastAsia" w:ascii="Calibri" w:hAnsi="Calibri" w:eastAsia="宋体"/>
          <w:color w:val="000000"/>
          <w:kern w:val="2"/>
          <w:sz w:val="24"/>
          <w:szCs w:val="24"/>
          <w:u w:val="single"/>
          <w:lang w:val="en-US" w:eastAsia="zh-CN" w:bidi="ar-SA"/>
        </w:rPr>
      </w:pPr>
      <w:r>
        <w:rPr>
          <w:rFonts w:hint="eastAsia" w:ascii="宋体" w:hAnsi="宋体" w:eastAsia="宋体" w:cs="宋体"/>
          <w:i w:val="0"/>
          <w:iCs w:val="0"/>
          <w:color w:val="auto"/>
          <w:sz w:val="24"/>
          <w:szCs w:val="24"/>
          <w:highlight w:val="none"/>
        </w:rPr>
        <w:t>地址：</w:t>
      </w:r>
      <w:r>
        <w:rPr>
          <w:rFonts w:hint="eastAsia" w:ascii="Calibri" w:hAnsi="Calibri" w:eastAsia="宋体"/>
          <w:color w:val="000000"/>
          <w:kern w:val="2"/>
          <w:sz w:val="24"/>
          <w:szCs w:val="24"/>
          <w:u w:val="single"/>
          <w:lang w:val="en-US" w:eastAsia="zh-CN" w:bidi="ar-SA"/>
        </w:rPr>
        <w:t xml:space="preserve">可克达拉市镇江西路1952号 </w:t>
      </w:r>
    </w:p>
    <w:p w14:paraId="6089A94B">
      <w:pPr>
        <w:pStyle w:val="38"/>
        <w:keepNext w:val="0"/>
        <w:keepLines w:val="0"/>
        <w:pageBreakBefore w:val="0"/>
        <w:widowControl w:val="0"/>
        <w:kinsoku/>
        <w:wordWrap w:val="0"/>
        <w:overflowPunct/>
        <w:topLinePunct w:val="0"/>
        <w:autoSpaceDE/>
        <w:autoSpaceDN/>
        <w:bidi w:val="0"/>
        <w:adjustRightInd/>
        <w:snapToGrid/>
        <w:spacing w:line="400" w:lineRule="exact"/>
        <w:ind w:firstLine="482"/>
        <w:textAlignment w:val="auto"/>
        <w:rPr>
          <w:rFonts w:hint="default" w:ascii="Calibri" w:hAnsi="Calibri" w:eastAsia="宋体"/>
          <w:color w:val="000000"/>
          <w:kern w:val="2"/>
          <w:sz w:val="24"/>
          <w:szCs w:val="24"/>
          <w:u w:val="single"/>
          <w:lang w:val="en-US" w:eastAsia="zh-CN" w:bidi="ar-SA"/>
        </w:rPr>
      </w:pPr>
      <w:bookmarkStart w:id="93" w:name="_Toc35393807"/>
      <w:bookmarkStart w:id="94" w:name="_Toc28359020"/>
      <w:bookmarkStart w:id="95" w:name="_Toc28359097"/>
      <w:bookmarkStart w:id="96" w:name="_Toc35393638"/>
      <w:r>
        <w:rPr>
          <w:rFonts w:hint="eastAsia" w:ascii="Calibri" w:hAnsi="Calibri" w:eastAsia="宋体"/>
          <w:color w:val="000000"/>
          <w:kern w:val="2"/>
          <w:sz w:val="24"/>
          <w:szCs w:val="24"/>
          <w:u w:val="none"/>
          <w:lang w:val="en-US" w:eastAsia="zh-CN" w:bidi="ar-SA"/>
        </w:rPr>
        <w:t>联系人：</w:t>
      </w:r>
      <w:r>
        <w:rPr>
          <w:rFonts w:hint="eastAsia" w:ascii="Calibri" w:hAnsi="Calibri" w:eastAsia="宋体"/>
          <w:color w:val="000000"/>
          <w:kern w:val="2"/>
          <w:sz w:val="24"/>
          <w:szCs w:val="24"/>
          <w:u w:val="single"/>
          <w:lang w:val="en-US" w:eastAsia="zh-CN" w:bidi="ar-SA"/>
        </w:rPr>
        <w:t xml:space="preserve">李嘉全     </w:t>
      </w:r>
      <w:r>
        <w:rPr>
          <w:rFonts w:hint="eastAsia" w:ascii="Calibri" w:hAnsi="Calibri"/>
          <w:color w:val="000000"/>
          <w:kern w:val="2"/>
          <w:sz w:val="24"/>
          <w:szCs w:val="24"/>
          <w:u w:val="single"/>
          <w:lang w:val="en-US" w:eastAsia="zh-CN" w:bidi="ar-SA"/>
        </w:rPr>
        <w:t xml:space="preserve">                  </w:t>
      </w:r>
    </w:p>
    <w:p w14:paraId="72918DDE">
      <w:pPr>
        <w:pStyle w:val="38"/>
        <w:keepNext w:val="0"/>
        <w:keepLines w:val="0"/>
        <w:pageBreakBefore w:val="0"/>
        <w:widowControl w:val="0"/>
        <w:shd w:val="clear"/>
        <w:kinsoku/>
        <w:wordWrap w:val="0"/>
        <w:overflowPunct/>
        <w:topLinePunct w:val="0"/>
        <w:autoSpaceDE/>
        <w:autoSpaceDN/>
        <w:bidi w:val="0"/>
        <w:adjustRightInd/>
        <w:snapToGrid/>
        <w:spacing w:line="400" w:lineRule="exact"/>
        <w:ind w:firstLine="482"/>
        <w:textAlignment w:val="auto"/>
        <w:rPr>
          <w:rFonts w:hint="default" w:ascii="Calibri" w:hAnsi="Calibri" w:eastAsia="宋体"/>
          <w:color w:val="000000"/>
          <w:kern w:val="2"/>
          <w:sz w:val="24"/>
          <w:szCs w:val="24"/>
          <w:highlight w:val="none"/>
          <w:u w:val="single"/>
          <w:lang w:val="en-US" w:eastAsia="zh-CN" w:bidi="ar-SA"/>
        </w:rPr>
      </w:pPr>
      <w:r>
        <w:rPr>
          <w:rFonts w:hint="eastAsia" w:ascii="Calibri" w:hAnsi="Calibri" w:eastAsia="宋体"/>
          <w:color w:val="000000"/>
          <w:kern w:val="2"/>
          <w:sz w:val="24"/>
          <w:szCs w:val="24"/>
          <w:highlight w:val="none"/>
          <w:u w:val="none"/>
          <w:lang w:val="en-US" w:eastAsia="zh-CN" w:bidi="ar-SA"/>
        </w:rPr>
        <w:t>联系方式：</w:t>
      </w:r>
      <w:bookmarkStart w:id="97" w:name="_Hlk46775675"/>
      <w:r>
        <w:rPr>
          <w:rFonts w:hint="eastAsia" w:ascii="Calibri" w:hAnsi="Calibri" w:eastAsia="宋体"/>
          <w:color w:val="000000"/>
          <w:kern w:val="2"/>
          <w:sz w:val="24"/>
          <w:szCs w:val="24"/>
          <w:u w:val="single"/>
          <w:lang w:val="en-US" w:eastAsia="zh-CN" w:bidi="ar-SA"/>
        </w:rPr>
        <w:t xml:space="preserve">13909997113     </w:t>
      </w:r>
      <w:r>
        <w:rPr>
          <w:rFonts w:hint="eastAsia" w:cs="Calibri"/>
          <w:highlight w:val="none"/>
          <w:u w:val="single"/>
          <w:lang w:val="en-US" w:eastAsia="zh-CN"/>
        </w:rPr>
        <w:t xml:space="preserve">           </w:t>
      </w:r>
    </w:p>
    <w:bookmarkEnd w:id="97"/>
    <w:p w14:paraId="7B446FC3">
      <w:pPr>
        <w:pStyle w:val="38"/>
        <w:keepNext w:val="0"/>
        <w:keepLines w:val="0"/>
        <w:pageBreakBefore w:val="0"/>
        <w:widowControl w:val="0"/>
        <w:kinsoku/>
        <w:wordWrap w:val="0"/>
        <w:overflowPunct/>
        <w:topLinePunct w:val="0"/>
        <w:autoSpaceDE/>
        <w:autoSpaceDN/>
        <w:bidi w:val="0"/>
        <w:adjustRightInd/>
        <w:snapToGrid/>
        <w:spacing w:line="400" w:lineRule="exact"/>
        <w:ind w:firstLine="482"/>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2.采购代理机构信息</w:t>
      </w:r>
      <w:bookmarkEnd w:id="93"/>
      <w:bookmarkEnd w:id="94"/>
      <w:bookmarkEnd w:id="95"/>
      <w:bookmarkEnd w:id="96"/>
    </w:p>
    <w:p w14:paraId="2C92D90D">
      <w:pPr>
        <w:pStyle w:val="38"/>
        <w:keepNext w:val="0"/>
        <w:keepLines w:val="0"/>
        <w:pageBreakBefore w:val="0"/>
        <w:widowControl w:val="0"/>
        <w:shd w:val="clear"/>
        <w:kinsoku/>
        <w:wordWrap w:val="0"/>
        <w:overflowPunct/>
        <w:topLinePunct w:val="0"/>
        <w:autoSpaceDE/>
        <w:autoSpaceDN/>
        <w:bidi w:val="0"/>
        <w:adjustRightInd/>
        <w:snapToGrid/>
        <w:spacing w:line="360" w:lineRule="auto"/>
        <w:ind w:firstLine="482"/>
        <w:textAlignment w:val="auto"/>
        <w:rPr>
          <w:rFonts w:hint="default" w:ascii="宋体" w:hAnsi="宋体" w:eastAsia="宋体" w:cs="宋体"/>
          <w:sz w:val="24"/>
          <w:szCs w:val="24"/>
          <w:highlight w:val="none"/>
          <w:u w:val="single"/>
          <w:lang w:val="en-US" w:eastAsia="zh-CN"/>
        </w:rPr>
      </w:pPr>
      <w:r>
        <w:rPr>
          <w:rFonts w:hint="eastAsia" w:ascii="宋体" w:hAnsi="宋体" w:eastAsia="宋体" w:cs="宋体"/>
          <w:i w:val="0"/>
          <w:iCs w:val="0"/>
          <w:color w:val="auto"/>
          <w:sz w:val="24"/>
          <w:szCs w:val="24"/>
          <w:highlight w:val="none"/>
        </w:rPr>
        <w:t>名称：</w:t>
      </w:r>
      <w:r>
        <w:rPr>
          <w:rFonts w:hint="eastAsia" w:ascii="宋体" w:hAnsi="宋体" w:eastAsia="宋体" w:cs="宋体"/>
          <w:sz w:val="24"/>
          <w:szCs w:val="24"/>
          <w:highlight w:val="none"/>
          <w:u w:val="single"/>
          <w:lang w:val="en-US" w:eastAsia="zh-CN"/>
        </w:rPr>
        <w:t xml:space="preserve">兵团公共资源交易中心第四分中心 </w:t>
      </w:r>
    </w:p>
    <w:p w14:paraId="6F21770B">
      <w:pPr>
        <w:pStyle w:val="38"/>
        <w:keepNext w:val="0"/>
        <w:keepLines w:val="0"/>
        <w:pageBreakBefore w:val="0"/>
        <w:widowControl w:val="0"/>
        <w:shd w:val="clear"/>
        <w:kinsoku/>
        <w:wordWrap w:val="0"/>
        <w:overflowPunct/>
        <w:topLinePunct w:val="0"/>
        <w:autoSpaceDE/>
        <w:autoSpaceDN/>
        <w:bidi w:val="0"/>
        <w:adjustRightInd/>
        <w:snapToGrid/>
        <w:spacing w:line="360" w:lineRule="auto"/>
        <w:ind w:firstLine="482"/>
        <w:textAlignment w:val="auto"/>
        <w:rPr>
          <w:rFonts w:hint="eastAsia" w:ascii="宋体" w:hAnsi="宋体" w:eastAsia="宋体" w:cs="宋体"/>
          <w:i w:val="0"/>
          <w:iCs w:val="0"/>
          <w:color w:val="auto"/>
          <w:sz w:val="24"/>
          <w:szCs w:val="24"/>
          <w:highlight w:val="none"/>
        </w:rPr>
      </w:pPr>
      <w:r>
        <w:rPr>
          <w:rFonts w:hint="eastAsia" w:ascii="宋体" w:hAnsi="宋体" w:eastAsia="宋体" w:cs="宋体"/>
          <w:color w:val="auto"/>
          <w:sz w:val="24"/>
          <w:highlight w:val="none"/>
        </w:rPr>
        <w:t>地址：</w:t>
      </w:r>
      <w:r>
        <w:rPr>
          <w:rFonts w:hint="eastAsia" w:ascii="宋体" w:hAnsi="宋体" w:eastAsia="宋体" w:cs="宋体"/>
          <w:sz w:val="24"/>
          <w:szCs w:val="24"/>
          <w:highlight w:val="none"/>
          <w:u w:val="single"/>
          <w:lang w:val="en-US" w:eastAsia="zh-CN"/>
        </w:rPr>
        <w:t>第四师可克达拉市镇江西路1166号</w:t>
      </w:r>
    </w:p>
    <w:p w14:paraId="4CD64284">
      <w:pPr>
        <w:pStyle w:val="38"/>
        <w:keepNext w:val="0"/>
        <w:keepLines w:val="0"/>
        <w:pageBreakBefore w:val="0"/>
        <w:widowControl w:val="0"/>
        <w:shd w:val="clear"/>
        <w:kinsoku/>
        <w:wordWrap w:val="0"/>
        <w:overflowPunct/>
        <w:topLinePunct w:val="0"/>
        <w:autoSpaceDE/>
        <w:autoSpaceDN/>
        <w:bidi w:val="0"/>
        <w:adjustRightInd/>
        <w:snapToGrid/>
        <w:spacing w:line="400" w:lineRule="exact"/>
        <w:ind w:firstLine="482"/>
        <w:textAlignment w:val="auto"/>
        <w:rPr>
          <w:rFonts w:hint="default" w:ascii="宋体" w:hAnsi="宋体" w:eastAsia="宋体" w:cs="宋体"/>
          <w:i w:val="0"/>
          <w:iCs w:val="0"/>
          <w:color w:val="auto"/>
          <w:sz w:val="24"/>
          <w:szCs w:val="24"/>
          <w:highlight w:val="none"/>
          <w:u w:val="single"/>
          <w:lang w:val="en-US" w:eastAsia="zh-CN"/>
        </w:rPr>
      </w:pPr>
      <w:r>
        <w:rPr>
          <w:rFonts w:hint="eastAsia" w:ascii="宋体" w:hAnsi="宋体" w:eastAsia="宋体" w:cs="宋体"/>
          <w:i w:val="0"/>
          <w:iCs w:val="0"/>
          <w:color w:val="auto"/>
          <w:sz w:val="24"/>
          <w:szCs w:val="24"/>
          <w:highlight w:val="none"/>
        </w:rPr>
        <w:t>联系人：</w:t>
      </w:r>
      <w:r>
        <w:rPr>
          <w:rFonts w:hint="eastAsia" w:cs="宋体"/>
          <w:i w:val="0"/>
          <w:iCs w:val="0"/>
          <w:color w:val="auto"/>
          <w:sz w:val="24"/>
          <w:szCs w:val="24"/>
          <w:highlight w:val="none"/>
          <w:u w:val="single"/>
          <w:lang w:val="en-US" w:eastAsia="zh-CN"/>
        </w:rPr>
        <w:t xml:space="preserve">曹琛琛、刘明薇、王新军       </w:t>
      </w:r>
    </w:p>
    <w:p w14:paraId="2EA1B0E7">
      <w:pPr>
        <w:pStyle w:val="38"/>
        <w:keepNext w:val="0"/>
        <w:keepLines w:val="0"/>
        <w:pageBreakBefore w:val="0"/>
        <w:widowControl w:val="0"/>
        <w:kinsoku/>
        <w:wordWrap w:val="0"/>
        <w:overflowPunct/>
        <w:topLinePunct w:val="0"/>
        <w:autoSpaceDE/>
        <w:autoSpaceDN/>
        <w:bidi w:val="0"/>
        <w:adjustRightInd/>
        <w:snapToGrid/>
        <w:spacing w:line="400" w:lineRule="exact"/>
        <w:ind w:firstLine="482"/>
        <w:textAlignment w:val="auto"/>
        <w:rPr>
          <w:rFonts w:hint="default"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rPr>
        <w:t>联系方式：</w:t>
      </w:r>
      <w:r>
        <w:rPr>
          <w:rFonts w:hint="eastAsia" w:cs="宋体"/>
          <w:i w:val="0"/>
          <w:iCs w:val="0"/>
          <w:color w:val="auto"/>
          <w:sz w:val="24"/>
          <w:szCs w:val="24"/>
          <w:highlight w:val="none"/>
          <w:u w:val="single"/>
          <w:lang w:val="en-US" w:eastAsia="zh-CN"/>
        </w:rPr>
        <w:t xml:space="preserve">0999-8189765 </w:t>
      </w:r>
      <w:r>
        <w:rPr>
          <w:rFonts w:hint="eastAsia" w:ascii="宋体" w:hAnsi="宋体" w:eastAsia="宋体" w:cs="宋体"/>
          <w:i w:val="0"/>
          <w:iCs w:val="0"/>
          <w:color w:val="auto"/>
          <w:sz w:val="24"/>
          <w:szCs w:val="24"/>
          <w:highlight w:val="none"/>
          <w:u w:val="single"/>
        </w:rPr>
        <w:t xml:space="preserve">       </w:t>
      </w:r>
      <w:r>
        <w:rPr>
          <w:rFonts w:hint="eastAsia" w:cs="宋体"/>
          <w:i w:val="0"/>
          <w:iCs w:val="0"/>
          <w:color w:val="auto"/>
          <w:sz w:val="24"/>
          <w:szCs w:val="24"/>
          <w:highlight w:val="none"/>
          <w:u w:val="single"/>
          <w:lang w:val="en-US" w:eastAsia="zh-CN"/>
        </w:rPr>
        <w:t xml:space="preserve">       </w:t>
      </w:r>
    </w:p>
    <w:p w14:paraId="1FABF4B3">
      <w:pPr>
        <w:pStyle w:val="38"/>
        <w:keepNext w:val="0"/>
        <w:keepLines w:val="0"/>
        <w:pageBreakBefore w:val="0"/>
        <w:widowControl w:val="0"/>
        <w:shd w:val="clear"/>
        <w:kinsoku/>
        <w:wordWrap w:val="0"/>
        <w:overflowPunct/>
        <w:topLinePunct w:val="0"/>
        <w:autoSpaceDE/>
        <w:autoSpaceDN/>
        <w:bidi w:val="0"/>
        <w:adjustRightInd/>
        <w:snapToGrid/>
        <w:spacing w:line="400" w:lineRule="exact"/>
        <w:ind w:firstLine="482"/>
        <w:textAlignment w:val="auto"/>
        <w:rPr>
          <w:rFonts w:hint="eastAsia" w:ascii="宋体" w:hAnsi="宋体" w:eastAsia="宋体" w:cs="宋体"/>
          <w:i w:val="0"/>
          <w:iCs w:val="0"/>
          <w:color w:val="auto"/>
          <w:sz w:val="24"/>
          <w:szCs w:val="24"/>
          <w:highlight w:val="none"/>
          <w:lang w:eastAsia="zh-CN"/>
        </w:rPr>
      </w:pPr>
      <w:r>
        <w:rPr>
          <w:rFonts w:hint="eastAsia" w:cs="宋体"/>
          <w:i w:val="0"/>
          <w:iCs w:val="0"/>
          <w:color w:val="auto"/>
          <w:sz w:val="24"/>
          <w:szCs w:val="24"/>
          <w:highlight w:val="none"/>
          <w:lang w:val="en-US" w:eastAsia="zh-CN"/>
        </w:rPr>
        <w:t>3</w:t>
      </w:r>
      <w:r>
        <w:rPr>
          <w:rFonts w:hint="eastAsia" w:ascii="宋体" w:hAnsi="宋体" w:eastAsia="宋体" w:cs="宋体"/>
          <w:i w:val="0"/>
          <w:iCs w:val="0"/>
          <w:color w:val="auto"/>
          <w:sz w:val="24"/>
          <w:szCs w:val="24"/>
          <w:highlight w:val="none"/>
        </w:rPr>
        <w:t>.</w:t>
      </w:r>
      <w:r>
        <w:rPr>
          <w:rFonts w:hint="eastAsia" w:cs="宋体"/>
          <w:i w:val="0"/>
          <w:iCs w:val="0"/>
          <w:color w:val="auto"/>
          <w:sz w:val="24"/>
          <w:szCs w:val="24"/>
          <w:highlight w:val="none"/>
          <w:lang w:eastAsia="zh-CN"/>
        </w:rPr>
        <w:t>监督部门信息</w:t>
      </w:r>
    </w:p>
    <w:p w14:paraId="174DEB0D">
      <w:pPr>
        <w:pStyle w:val="38"/>
        <w:keepNext w:val="0"/>
        <w:keepLines w:val="0"/>
        <w:pageBreakBefore w:val="0"/>
        <w:widowControl w:val="0"/>
        <w:shd w:val="clear"/>
        <w:kinsoku/>
        <w:wordWrap w:val="0"/>
        <w:overflowPunct/>
        <w:topLinePunct w:val="0"/>
        <w:autoSpaceDE/>
        <w:autoSpaceDN/>
        <w:bidi w:val="0"/>
        <w:adjustRightInd/>
        <w:snapToGrid/>
        <w:spacing w:line="400" w:lineRule="exact"/>
        <w:ind w:firstLine="482"/>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名称：</w:t>
      </w:r>
      <w:r>
        <w:rPr>
          <w:rFonts w:hint="eastAsia" w:ascii="宋体" w:hAnsi="宋体" w:eastAsia="宋体" w:cs="宋体"/>
          <w:color w:val="000000"/>
          <w:kern w:val="2"/>
          <w:sz w:val="24"/>
          <w:szCs w:val="24"/>
          <w:highlight w:val="none"/>
          <w:u w:val="single"/>
          <w:lang w:val="en-US" w:eastAsia="zh-CN" w:bidi="ar-SA"/>
        </w:rPr>
        <w:t>新疆生产建设兵团第四师财政局</w:t>
      </w:r>
      <w:r>
        <w:rPr>
          <w:rFonts w:hint="eastAsia" w:cs="宋体"/>
          <w:color w:val="000000"/>
          <w:kern w:val="2"/>
          <w:sz w:val="24"/>
          <w:szCs w:val="24"/>
          <w:highlight w:val="none"/>
          <w:u w:val="single"/>
          <w:lang w:val="en-US" w:eastAsia="zh-CN" w:bidi="ar-SA"/>
        </w:rPr>
        <w:t xml:space="preserve">   </w:t>
      </w:r>
      <w:r>
        <w:rPr>
          <w:rFonts w:hint="eastAsia" w:ascii="宋体" w:hAnsi="宋体" w:eastAsia="宋体" w:cs="宋体"/>
          <w:i w:val="0"/>
          <w:iCs w:val="0"/>
          <w:color w:val="auto"/>
          <w:sz w:val="24"/>
          <w:szCs w:val="24"/>
          <w:highlight w:val="none"/>
          <w:lang w:val="en-US" w:eastAsia="zh-CN"/>
        </w:rPr>
        <w:t xml:space="preserve"> </w:t>
      </w:r>
      <w:r>
        <w:rPr>
          <w:rFonts w:hint="eastAsia" w:cs="宋体"/>
          <w:i w:val="0"/>
          <w:iCs w:val="0"/>
          <w:color w:val="auto"/>
          <w:sz w:val="24"/>
          <w:szCs w:val="24"/>
          <w:highlight w:val="none"/>
          <w:lang w:val="en-US" w:eastAsia="zh-CN"/>
        </w:rPr>
        <w:t xml:space="preserve"> </w:t>
      </w:r>
      <w:r>
        <w:rPr>
          <w:rFonts w:hint="eastAsia" w:ascii="宋体" w:hAnsi="宋体" w:eastAsia="宋体" w:cs="宋体"/>
          <w:i w:val="0"/>
          <w:iCs w:val="0"/>
          <w:color w:val="auto"/>
          <w:sz w:val="24"/>
          <w:szCs w:val="24"/>
          <w:highlight w:val="none"/>
          <w:lang w:val="en-US" w:eastAsia="zh-CN"/>
        </w:rPr>
        <w:t xml:space="preserve">         </w:t>
      </w:r>
    </w:p>
    <w:p w14:paraId="00D3279E">
      <w:pPr>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i w:val="0"/>
          <w:iCs w:val="0"/>
          <w:color w:val="auto"/>
          <w:sz w:val="24"/>
          <w:szCs w:val="24"/>
          <w:highlight w:val="none"/>
          <w:lang w:val="en-US" w:eastAsia="zh-CN"/>
        </w:rPr>
        <w:t>联系方式</w:t>
      </w:r>
      <w:r>
        <w:rPr>
          <w:rFonts w:hint="eastAsia"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u w:val="single"/>
          <w:lang w:val="en-US" w:eastAsia="zh-CN"/>
        </w:rPr>
        <w:t>0999-81</w:t>
      </w:r>
      <w:r>
        <w:rPr>
          <w:rFonts w:hint="eastAsia" w:cs="宋体"/>
          <w:i w:val="0"/>
          <w:iCs w:val="0"/>
          <w:color w:val="auto"/>
          <w:sz w:val="24"/>
          <w:szCs w:val="24"/>
          <w:highlight w:val="none"/>
          <w:u w:val="single"/>
          <w:lang w:val="en-US" w:eastAsia="zh-CN"/>
        </w:rPr>
        <w:t xml:space="preserve">86025              </w:t>
      </w:r>
    </w:p>
    <w:p w14:paraId="3ADF3AE0">
      <w:pPr>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rPr>
      </w:pPr>
    </w:p>
    <w:p w14:paraId="3B793992">
      <w:pPr>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rPr>
      </w:pPr>
    </w:p>
    <w:p w14:paraId="34A5BC61">
      <w:pPr>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rPr>
      </w:pPr>
    </w:p>
    <w:p w14:paraId="353479CE">
      <w:pPr>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rPr>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p>
    <w:p w14:paraId="6A56ADB8">
      <w:pPr>
        <w:pStyle w:val="3"/>
        <w:keepNext/>
        <w:keepLines/>
        <w:pageBreakBefore w:val="0"/>
        <w:widowControl w:val="0"/>
        <w:numPr>
          <w:ilvl w:val="0"/>
          <w:numId w:val="0"/>
        </w:numPr>
        <w:kinsoku/>
        <w:wordWrap/>
        <w:overflowPunct/>
        <w:topLinePunct w:val="0"/>
        <w:autoSpaceDE/>
        <w:autoSpaceDN/>
        <w:bidi w:val="0"/>
        <w:adjustRightInd/>
        <w:snapToGrid/>
        <w:spacing w:before="220" w:after="220" w:line="480" w:lineRule="auto"/>
        <w:ind w:left="420" w:leftChars="0" w:hanging="420" w:firstLineChars="0"/>
        <w:textAlignment w:val="auto"/>
        <w:rPr>
          <w:rFonts w:hint="eastAsia" w:ascii="宋体" w:hAnsi="宋体" w:eastAsia="宋体" w:cs="宋体"/>
          <w:b/>
          <w:bCs/>
          <w:color w:val="auto"/>
          <w:kern w:val="44"/>
          <w:sz w:val="36"/>
          <w:szCs w:val="36"/>
          <w:highlight w:val="none"/>
          <w:lang w:val="en-US" w:eastAsia="zh-CN" w:bidi="ar-SA"/>
        </w:rPr>
      </w:pPr>
      <w:bookmarkStart w:id="98" w:name="_Toc14358"/>
      <w:bookmarkStart w:id="99" w:name="_Toc155185867"/>
      <w:bookmarkStart w:id="100" w:name="_Toc5645"/>
      <w:r>
        <w:rPr>
          <w:rFonts w:hint="eastAsia" w:ascii="宋体" w:hAnsi="宋体" w:eastAsia="宋体" w:cs="宋体"/>
          <w:b/>
          <w:bCs/>
          <w:color w:val="auto"/>
          <w:kern w:val="44"/>
          <w:sz w:val="36"/>
          <w:szCs w:val="36"/>
          <w:highlight w:val="none"/>
          <w:lang w:val="en-US" w:eastAsia="zh-CN" w:bidi="ar-SA"/>
        </w:rPr>
        <w:t>第二章 投标人须知</w:t>
      </w:r>
      <w:bookmarkEnd w:id="98"/>
      <w:bookmarkEnd w:id="99"/>
      <w:bookmarkEnd w:id="100"/>
    </w:p>
    <w:p w14:paraId="75B79534">
      <w:pPr>
        <w:pStyle w:val="2"/>
        <w:keepNext/>
        <w:keepLines/>
        <w:pageBreakBefore w:val="0"/>
        <w:widowControl w:val="0"/>
        <w:numPr>
          <w:ilvl w:val="0"/>
          <w:numId w:val="0"/>
        </w:numPr>
        <w:kinsoku/>
        <w:wordWrap/>
        <w:overflowPunct/>
        <w:topLinePunct w:val="0"/>
        <w:autoSpaceDE/>
        <w:autoSpaceDN/>
        <w:bidi w:val="0"/>
        <w:adjustRightInd/>
        <w:snapToGrid/>
        <w:spacing w:before="80" w:after="80" w:line="360" w:lineRule="auto"/>
        <w:ind w:left="420" w:leftChars="0" w:hanging="420" w:firstLineChars="0"/>
        <w:textAlignment w:val="auto"/>
        <w:rPr>
          <w:rFonts w:hint="eastAsia" w:eastAsia="宋体" w:asciiTheme="majorHAnsi" w:hAnsiTheme="majorHAnsi" w:cstheme="majorBidi"/>
          <w:b/>
          <w:bCs/>
          <w:color w:val="auto"/>
          <w:kern w:val="2"/>
          <w:sz w:val="28"/>
          <w:szCs w:val="28"/>
          <w:highlight w:val="none"/>
          <w:lang w:val="en-US" w:eastAsia="zh-CN" w:bidi="ar-SA"/>
        </w:rPr>
      </w:pPr>
      <w:bookmarkStart w:id="101" w:name="_Toc32038"/>
      <w:bookmarkStart w:id="102" w:name="_Toc155185868"/>
      <w:r>
        <w:rPr>
          <w:rFonts w:hint="eastAsia" w:eastAsia="宋体" w:asciiTheme="majorHAnsi" w:hAnsiTheme="majorHAnsi" w:cstheme="majorBidi"/>
          <w:b/>
          <w:bCs/>
          <w:color w:val="auto"/>
          <w:kern w:val="2"/>
          <w:sz w:val="28"/>
          <w:szCs w:val="28"/>
          <w:highlight w:val="none"/>
          <w:lang w:val="en-US" w:eastAsia="zh-CN" w:bidi="ar-SA"/>
        </w:rPr>
        <w:t>一、投标人须知前附表</w:t>
      </w:r>
      <w:bookmarkEnd w:id="101"/>
      <w:bookmarkEnd w:id="102"/>
    </w:p>
    <w:p w14:paraId="7F3ACB7A">
      <w:pPr>
        <w:pStyle w:val="38"/>
        <w:keepNext w:val="0"/>
        <w:keepLines w:val="0"/>
        <w:pageBreakBefore w:val="0"/>
        <w:widowControl w:val="0"/>
        <w:kinsoku/>
        <w:overflowPunct/>
        <w:topLinePunct w:val="0"/>
        <w:autoSpaceDE/>
        <w:autoSpaceDN/>
        <w:bidi w:val="0"/>
        <w:adjustRightInd/>
        <w:snapToGrid/>
        <w:textAlignment w:val="auto"/>
        <w:rPr>
          <w:rFonts w:hint="default" w:eastAsia="宋体"/>
          <w:color w:val="auto"/>
          <w:highlight w:val="none"/>
          <w:lang w:val="en-US" w:eastAsia="zh-CN"/>
        </w:rPr>
      </w:pPr>
      <w:r>
        <w:rPr>
          <w:rFonts w:hint="eastAsia"/>
          <w:color w:val="auto"/>
          <w:sz w:val="24"/>
          <w:szCs w:val="24"/>
          <w:highlight w:val="none"/>
        </w:rPr>
        <w:t>投标人应仔细阅读本招标文件的第二章“投标人须知”，下面所列资料是对“投标人须知”的具体补充和说明</w:t>
      </w:r>
      <w:r>
        <w:rPr>
          <w:rFonts w:hint="eastAsia"/>
          <w:color w:val="auto"/>
          <w:sz w:val="24"/>
          <w:szCs w:val="24"/>
          <w:highlight w:val="none"/>
          <w:lang w:eastAsia="zh-CN"/>
        </w:rPr>
        <w:t>，</w:t>
      </w:r>
      <w:r>
        <w:rPr>
          <w:rFonts w:hint="eastAsia"/>
          <w:color w:val="auto"/>
          <w:sz w:val="24"/>
          <w:szCs w:val="24"/>
          <w:highlight w:val="none"/>
        </w:rPr>
        <w:t>如有矛盾，应以本表为准。</w:t>
      </w:r>
      <w:r>
        <w:rPr>
          <w:rFonts w:hint="eastAsia"/>
          <w:color w:val="auto"/>
          <w:sz w:val="24"/>
          <w:szCs w:val="24"/>
          <w:highlight w:val="none"/>
          <w:lang w:val="en-US" w:eastAsia="zh-CN"/>
        </w:rPr>
        <w:t>标记“</w:t>
      </w:r>
      <w:r>
        <w:rPr>
          <w:rFonts w:hint="eastAsia" w:ascii="宋体" w:hAnsi="宋体" w:eastAsia="宋体"/>
          <w:color w:val="auto"/>
          <w:sz w:val="24"/>
          <w:szCs w:val="24"/>
          <w:highlight w:val="none"/>
          <w:lang w:val="en-US" w:eastAsia="zh-CN"/>
        </w:rPr>
        <w:t>☑”的选项意为适用于本项目，标记“□”的选项意为不适用于本项目</w:t>
      </w:r>
      <w:r>
        <w:rPr>
          <w:rFonts w:hint="eastAsia" w:ascii="宋体" w:hAnsi="宋体" w:eastAsia="宋体"/>
          <w:color w:val="auto"/>
          <w:highlight w:val="none"/>
          <w:lang w:val="en-US" w:eastAsia="zh-CN"/>
        </w:rPr>
        <w:t>。</w:t>
      </w:r>
    </w:p>
    <w:tbl>
      <w:tblPr>
        <w:tblStyle w:val="31"/>
        <w:tblW w:w="9408" w:type="dxa"/>
        <w:tblInd w:w="-35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108" w:type="dxa"/>
          <w:bottom w:w="57" w:type="dxa"/>
          <w:right w:w="108" w:type="dxa"/>
        </w:tblCellMar>
      </w:tblPr>
      <w:tblGrid>
        <w:gridCol w:w="970"/>
        <w:gridCol w:w="1738"/>
        <w:gridCol w:w="6700"/>
      </w:tblGrid>
      <w:tr w14:paraId="1B64B2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373" w:hRule="atLeast"/>
          <w:tblHeader/>
        </w:trPr>
        <w:tc>
          <w:tcPr>
            <w:tcW w:w="97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4C4440DB">
            <w:pPr>
              <w:pStyle w:val="5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条款号</w:t>
            </w:r>
          </w:p>
        </w:tc>
        <w:tc>
          <w:tcPr>
            <w:tcW w:w="1738"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0B9EABEB">
            <w:pPr>
              <w:pStyle w:val="5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条款名称</w:t>
            </w:r>
          </w:p>
        </w:tc>
        <w:tc>
          <w:tcPr>
            <w:tcW w:w="670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5C7B3B70">
            <w:pPr>
              <w:pStyle w:val="5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内  容</w:t>
            </w:r>
          </w:p>
        </w:tc>
      </w:tr>
      <w:tr w14:paraId="46137A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725" w:hRule="atLeast"/>
        </w:trPr>
        <w:tc>
          <w:tcPr>
            <w:tcW w:w="970" w:type="dxa"/>
            <w:vAlign w:val="center"/>
          </w:tcPr>
          <w:p w14:paraId="60441C76">
            <w:pPr>
              <w:pStyle w:val="50"/>
              <w:jc w:val="center"/>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1</w:t>
            </w:r>
          </w:p>
        </w:tc>
        <w:tc>
          <w:tcPr>
            <w:tcW w:w="1738" w:type="dxa"/>
            <w:shd w:val="clear" w:color="auto" w:fill="auto"/>
            <w:vAlign w:val="center"/>
          </w:tcPr>
          <w:p w14:paraId="3D9DB5F0">
            <w:pPr>
              <w:pStyle w:val="5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服务包含的内容</w:t>
            </w:r>
          </w:p>
        </w:tc>
        <w:tc>
          <w:tcPr>
            <w:tcW w:w="6700" w:type="dxa"/>
            <w:shd w:val="clear" w:color="auto" w:fill="auto"/>
            <w:vAlign w:val="center"/>
          </w:tcPr>
          <w:p w14:paraId="15D5290A">
            <w:pPr>
              <w:pStyle w:val="50"/>
              <w:rPr>
                <w:rFonts w:hint="default" w:ascii="宋体" w:hAnsi="宋体" w:eastAsia="宋体" w:cs="宋体"/>
                <w:color w:val="auto"/>
                <w:kern w:val="2"/>
                <w:sz w:val="24"/>
                <w:szCs w:val="24"/>
                <w:highlight w:val="none"/>
                <w:lang w:val="en-US" w:eastAsia="zh-CN" w:bidi="ar-SA"/>
              </w:rPr>
            </w:pPr>
            <w:r>
              <w:rPr>
                <w:rFonts w:hint="eastAsia" w:cs="宋体"/>
                <w:color w:val="auto"/>
                <w:kern w:val="2"/>
                <w:sz w:val="24"/>
                <w:szCs w:val="24"/>
                <w:highlight w:val="none"/>
                <w:lang w:val="en-US" w:eastAsia="zh-CN" w:bidi="ar-SA"/>
              </w:rPr>
              <w:t>服务中心、保安、保洁、</w:t>
            </w:r>
            <w:r>
              <w:rPr>
                <w:rFonts w:hint="eastAsia" w:cs="Calibri"/>
                <w:bCs/>
                <w:color w:val="auto"/>
                <w:szCs w:val="21"/>
                <w:highlight w:val="none"/>
                <w:lang w:val="en-US" w:eastAsia="zh-CN"/>
              </w:rPr>
              <w:t>公共设施设备维护服务、绿化、宿管</w:t>
            </w:r>
          </w:p>
        </w:tc>
      </w:tr>
      <w:tr w14:paraId="25C468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222" w:hRule="atLeast"/>
        </w:trPr>
        <w:tc>
          <w:tcPr>
            <w:tcW w:w="970" w:type="dxa"/>
            <w:vAlign w:val="center"/>
          </w:tcPr>
          <w:p w14:paraId="3A136892">
            <w:pPr>
              <w:pStyle w:val="50"/>
              <w:jc w:val="center"/>
              <w:rPr>
                <w:rFonts w:hint="eastAsia" w:ascii="宋体" w:hAnsi="宋体" w:eastAsia="宋体" w:cs="宋体"/>
                <w:color w:val="auto"/>
                <w:sz w:val="24"/>
                <w:szCs w:val="24"/>
                <w:highlight w:val="none"/>
                <w:lang w:eastAsia="zh-CN"/>
              </w:rPr>
            </w:pPr>
            <w:r>
              <w:rPr>
                <w:rFonts w:hint="eastAsia" w:cs="宋体"/>
                <w:color w:val="auto"/>
                <w:sz w:val="24"/>
                <w:szCs w:val="24"/>
                <w:highlight w:val="none"/>
                <w:lang w:val="en-US" w:eastAsia="zh-CN"/>
              </w:rPr>
              <w:t>2</w:t>
            </w:r>
          </w:p>
        </w:tc>
        <w:tc>
          <w:tcPr>
            <w:tcW w:w="1738" w:type="dxa"/>
            <w:vAlign w:val="center"/>
          </w:tcPr>
          <w:p w14:paraId="117C18AE">
            <w:pPr>
              <w:pStyle w:val="50"/>
              <w:rPr>
                <w:rFonts w:hint="eastAsia" w:ascii="宋体" w:hAnsi="宋体" w:eastAsia="宋体" w:cs="宋体"/>
                <w:color w:val="auto"/>
                <w:sz w:val="24"/>
                <w:szCs w:val="24"/>
                <w:highlight w:val="none"/>
              </w:rPr>
            </w:pPr>
            <w:bookmarkStart w:id="103" w:name="_Hlk143529175"/>
            <w:r>
              <w:rPr>
                <w:rFonts w:hint="eastAsia" w:ascii="宋体" w:hAnsi="宋体" w:eastAsia="宋体" w:cs="宋体"/>
                <w:color w:val="auto"/>
                <w:sz w:val="24"/>
                <w:szCs w:val="24"/>
                <w:highlight w:val="none"/>
              </w:rPr>
              <w:t>现场考察</w:t>
            </w:r>
            <w:bookmarkEnd w:id="103"/>
          </w:p>
        </w:tc>
        <w:tc>
          <w:tcPr>
            <w:tcW w:w="6700" w:type="dxa"/>
            <w:vAlign w:val="center"/>
          </w:tcPr>
          <w:p w14:paraId="36549596">
            <w:pPr>
              <w:pStyle w:val="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不组织，投标人自行前往</w:t>
            </w:r>
            <w:r>
              <w:rPr>
                <w:rFonts w:hint="eastAsia" w:ascii="宋体" w:hAnsi="宋体" w:eastAsia="宋体" w:cs="宋体"/>
                <w:color w:val="auto"/>
                <w:sz w:val="24"/>
                <w:szCs w:val="24"/>
                <w:highlight w:val="none"/>
                <w:lang w:eastAsia="zh-CN"/>
              </w:rPr>
              <w:t>。</w:t>
            </w:r>
          </w:p>
          <w:p w14:paraId="6FE8AF39">
            <w:pPr>
              <w:pStyle w:val="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组织</w:t>
            </w:r>
          </w:p>
        </w:tc>
      </w:tr>
      <w:tr w14:paraId="1938D8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011" w:hRule="atLeast"/>
        </w:trPr>
        <w:tc>
          <w:tcPr>
            <w:tcW w:w="970" w:type="dxa"/>
            <w:shd w:val="clear" w:color="auto" w:fill="auto"/>
            <w:vAlign w:val="center"/>
          </w:tcPr>
          <w:p w14:paraId="72B7B10E">
            <w:pPr>
              <w:pStyle w:val="50"/>
              <w:jc w:val="center"/>
              <w:rPr>
                <w:rFonts w:hint="eastAsia" w:ascii="宋体" w:hAnsi="宋体" w:eastAsia="宋体" w:cs="宋体"/>
                <w:color w:val="auto"/>
                <w:kern w:val="2"/>
                <w:sz w:val="24"/>
                <w:szCs w:val="24"/>
                <w:highlight w:val="none"/>
                <w:lang w:val="en-US" w:eastAsia="zh-CN" w:bidi="ar-SA"/>
              </w:rPr>
            </w:pPr>
            <w:r>
              <w:rPr>
                <w:rFonts w:hint="eastAsia" w:cs="宋体"/>
                <w:color w:val="auto"/>
                <w:sz w:val="24"/>
                <w:szCs w:val="24"/>
                <w:highlight w:val="none"/>
                <w:lang w:val="en-US" w:eastAsia="zh-CN"/>
              </w:rPr>
              <w:t>3</w:t>
            </w:r>
          </w:p>
        </w:tc>
        <w:tc>
          <w:tcPr>
            <w:tcW w:w="1738" w:type="dxa"/>
            <w:shd w:val="clear" w:color="auto" w:fill="auto"/>
            <w:vAlign w:val="center"/>
          </w:tcPr>
          <w:p w14:paraId="52021959">
            <w:pPr>
              <w:pStyle w:val="5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答疑会</w:t>
            </w:r>
          </w:p>
        </w:tc>
        <w:tc>
          <w:tcPr>
            <w:tcW w:w="6700" w:type="dxa"/>
            <w:shd w:val="clear" w:color="auto" w:fill="auto"/>
            <w:vAlign w:val="center"/>
          </w:tcPr>
          <w:p w14:paraId="632E2EEB">
            <w:pPr>
              <w:pStyle w:val="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不组织</w:t>
            </w:r>
          </w:p>
          <w:p w14:paraId="28CC81D0">
            <w:pPr>
              <w:pStyle w:val="5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组织</w:t>
            </w:r>
          </w:p>
        </w:tc>
      </w:tr>
      <w:tr w14:paraId="58EAFC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vAlign w:val="center"/>
          </w:tcPr>
          <w:p w14:paraId="09017C90">
            <w:pPr>
              <w:pStyle w:val="50"/>
              <w:jc w:val="center"/>
              <w:rPr>
                <w:rFonts w:hint="eastAsia" w:ascii="宋体" w:hAnsi="宋体" w:eastAsia="宋体" w:cs="宋体"/>
                <w:color w:val="auto"/>
                <w:kern w:val="2"/>
                <w:sz w:val="24"/>
                <w:szCs w:val="24"/>
                <w:highlight w:val="none"/>
                <w:lang w:val="en-US" w:eastAsia="zh-CN" w:bidi="ar-SA"/>
              </w:rPr>
            </w:pPr>
            <w:r>
              <w:rPr>
                <w:rFonts w:hint="eastAsia" w:cs="宋体"/>
                <w:color w:val="auto"/>
                <w:sz w:val="24"/>
                <w:szCs w:val="24"/>
                <w:highlight w:val="none"/>
                <w:lang w:val="en-US" w:eastAsia="zh-CN"/>
              </w:rPr>
              <w:t>4</w:t>
            </w:r>
          </w:p>
        </w:tc>
        <w:tc>
          <w:tcPr>
            <w:tcW w:w="1738" w:type="dxa"/>
            <w:vAlign w:val="center"/>
          </w:tcPr>
          <w:p w14:paraId="14B3667D">
            <w:pPr>
              <w:pStyle w:val="5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询问</w:t>
            </w:r>
          </w:p>
        </w:tc>
        <w:tc>
          <w:tcPr>
            <w:tcW w:w="6700" w:type="dxa"/>
            <w:vAlign w:val="center"/>
          </w:tcPr>
          <w:p w14:paraId="3D637E0D">
            <w:pPr>
              <w:pStyle w:val="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方式：</w:t>
            </w:r>
          </w:p>
          <w:p w14:paraId="0DD19460">
            <w:pPr>
              <w:pStyle w:val="50"/>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在供应商客户端中按照格式填写询问函，并在生成询问函后加盖电子印章提交</w:t>
            </w:r>
          </w:p>
          <w:p w14:paraId="09E4A188">
            <w:pPr>
              <w:pStyle w:val="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lang w:val="en-US" w:eastAsia="zh-CN"/>
              </w:rPr>
              <w:t>要求</w:t>
            </w:r>
            <w:r>
              <w:rPr>
                <w:rFonts w:hint="eastAsia" w:ascii="宋体" w:hAnsi="宋体" w:eastAsia="宋体" w:cs="宋体"/>
                <w:color w:val="auto"/>
                <w:sz w:val="24"/>
                <w:szCs w:val="24"/>
                <w:highlight w:val="none"/>
                <w:lang w:eastAsia="zh-CN"/>
              </w:rPr>
              <w:t>：</w:t>
            </w:r>
            <w:r>
              <w:rPr>
                <w:rFonts w:hint="eastAsia" w:cs="宋体"/>
                <w:color w:val="auto"/>
                <w:sz w:val="24"/>
                <w:szCs w:val="24"/>
                <w:highlight w:val="none"/>
                <w:u w:val="single"/>
                <w:lang w:val="en-US" w:eastAsia="zh-CN"/>
              </w:rPr>
              <w:t>工作时间</w:t>
            </w:r>
            <w:r>
              <w:rPr>
                <w:rFonts w:hint="eastAsia" w:ascii="宋体" w:hAnsi="宋体" w:eastAsia="宋体" w:cs="宋体"/>
                <w:color w:val="auto"/>
                <w:sz w:val="24"/>
                <w:szCs w:val="24"/>
                <w:highlight w:val="none"/>
              </w:rPr>
              <w:t>。</w:t>
            </w:r>
          </w:p>
        </w:tc>
      </w:tr>
      <w:tr w14:paraId="67C3BC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vAlign w:val="center"/>
          </w:tcPr>
          <w:p w14:paraId="1A104107">
            <w:pPr>
              <w:pStyle w:val="50"/>
              <w:jc w:val="center"/>
              <w:rPr>
                <w:rFonts w:hint="eastAsia" w:ascii="宋体" w:hAnsi="宋体" w:eastAsia="宋体" w:cs="宋体"/>
                <w:color w:val="auto"/>
                <w:sz w:val="24"/>
                <w:szCs w:val="24"/>
                <w:highlight w:val="none"/>
                <w:lang w:eastAsia="zh-CN"/>
              </w:rPr>
            </w:pPr>
            <w:r>
              <w:rPr>
                <w:rFonts w:hint="eastAsia" w:cs="宋体"/>
                <w:color w:val="auto"/>
                <w:sz w:val="24"/>
                <w:szCs w:val="24"/>
                <w:highlight w:val="none"/>
                <w:lang w:val="en-US" w:eastAsia="zh-CN"/>
              </w:rPr>
              <w:t>5</w:t>
            </w:r>
          </w:p>
        </w:tc>
        <w:tc>
          <w:tcPr>
            <w:tcW w:w="1738" w:type="dxa"/>
            <w:vAlign w:val="center"/>
          </w:tcPr>
          <w:p w14:paraId="79A1D807">
            <w:pPr>
              <w:pStyle w:val="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w:t>
            </w:r>
          </w:p>
        </w:tc>
        <w:tc>
          <w:tcPr>
            <w:tcW w:w="6700" w:type="dxa"/>
            <w:vAlign w:val="center"/>
          </w:tcPr>
          <w:p w14:paraId="41DD7733">
            <w:pPr>
              <w:pStyle w:val="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投标截止</w:t>
            </w:r>
            <w:r>
              <w:rPr>
                <w:rFonts w:hint="eastAsia" w:ascii="宋体" w:hAnsi="宋体" w:eastAsia="宋体" w:cs="宋体"/>
                <w:color w:val="auto"/>
                <w:sz w:val="24"/>
                <w:szCs w:val="24"/>
                <w:highlight w:val="none"/>
                <w:lang w:val="en-US" w:eastAsia="zh-CN"/>
              </w:rPr>
              <w:t>时间</w:t>
            </w:r>
            <w:r>
              <w:rPr>
                <w:rFonts w:hint="eastAsia" w:ascii="宋体" w:hAnsi="宋体" w:eastAsia="宋体" w:cs="宋体"/>
                <w:color w:val="auto"/>
                <w:sz w:val="24"/>
                <w:szCs w:val="24"/>
                <w:highlight w:val="none"/>
              </w:rPr>
              <w:t>后</w:t>
            </w:r>
            <w:r>
              <w:rPr>
                <w:rFonts w:hint="eastAsia" w:ascii="宋体" w:hAnsi="宋体" w:eastAsia="宋体" w:cs="宋体"/>
                <w:color w:val="auto"/>
                <w:sz w:val="24"/>
                <w:szCs w:val="24"/>
                <w:highlight w:val="none"/>
                <w:u w:val="single"/>
              </w:rPr>
              <w:t>90</w:t>
            </w:r>
            <w:r>
              <w:rPr>
                <w:rFonts w:hint="eastAsia" w:ascii="宋体" w:hAnsi="宋体" w:eastAsia="宋体" w:cs="宋体"/>
                <w:color w:val="auto"/>
                <w:sz w:val="24"/>
                <w:szCs w:val="24"/>
                <w:highlight w:val="none"/>
              </w:rPr>
              <w:t>日历日。</w:t>
            </w:r>
          </w:p>
        </w:tc>
      </w:tr>
      <w:tr w14:paraId="05426B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vAlign w:val="center"/>
          </w:tcPr>
          <w:p w14:paraId="3DB59B05">
            <w:pPr>
              <w:pStyle w:val="50"/>
              <w:jc w:val="center"/>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6</w:t>
            </w:r>
          </w:p>
        </w:tc>
        <w:tc>
          <w:tcPr>
            <w:tcW w:w="1738" w:type="dxa"/>
            <w:vAlign w:val="center"/>
          </w:tcPr>
          <w:p w14:paraId="02D54664">
            <w:pPr>
              <w:pStyle w:val="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投标保证金</w:t>
            </w:r>
          </w:p>
        </w:tc>
        <w:tc>
          <w:tcPr>
            <w:tcW w:w="6700" w:type="dxa"/>
            <w:vAlign w:val="center"/>
          </w:tcPr>
          <w:p w14:paraId="69B999EE">
            <w:pPr>
              <w:pStyle w:val="6"/>
              <w:keepNext w:val="0"/>
              <w:keepLines w:val="0"/>
              <w:pageBreakBefore w:val="0"/>
              <w:widowControl w:val="0"/>
              <w:shd w:val="clear" w:color="auto" w:fill="auto"/>
              <w:kinsoku/>
              <w:wordWrap/>
              <w:overflowPunct/>
              <w:topLinePunct w:val="0"/>
              <w:autoSpaceDE/>
              <w:autoSpaceDN/>
              <w:bidi w:val="0"/>
              <w:adjustRightInd/>
              <w:snapToGrid/>
              <w:spacing w:line="34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w:t>
            </w:r>
            <w:r>
              <w:rPr>
                <w:rFonts w:hint="eastAsia" w:ascii="宋体" w:hAnsi="宋体" w:eastAsia="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rPr>
              <w:t>金额：</w:t>
            </w:r>
          </w:p>
          <w:p w14:paraId="4627FBC7">
            <w:pPr>
              <w:pStyle w:val="6"/>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240" w:firstLineChars="100"/>
              <w:textAlignment w:val="auto"/>
              <w:rPr>
                <w:rFonts w:hint="eastAsia" w:ascii="宋体" w:hAnsi="宋体" w:eastAsia="宋体" w:cs="宋体"/>
                <w:i w:val="0"/>
                <w:iCs w:val="0"/>
                <w:color w:val="auto"/>
                <w:sz w:val="24"/>
                <w:szCs w:val="24"/>
                <w:highlight w:val="none"/>
              </w:rPr>
            </w:pPr>
            <w:r>
              <w:rPr>
                <w:rFonts w:hint="eastAsia" w:ascii="宋体" w:hAnsi="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免收</w:t>
            </w:r>
          </w:p>
          <w:p w14:paraId="46BB5961">
            <w:pPr>
              <w:pStyle w:val="6"/>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240" w:firstLineChars="100"/>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预算金额</w:t>
            </w:r>
            <w:r>
              <w:rPr>
                <w:rFonts w:hint="eastAsia" w:ascii="宋体" w:hAnsi="宋体" w:eastAsia="宋体" w:cs="宋体"/>
                <w:i w:val="0"/>
                <w:iCs w:val="0"/>
                <w:color w:val="auto"/>
                <w:sz w:val="24"/>
                <w:szCs w:val="24"/>
                <w:highlight w:val="none"/>
              </w:rPr>
              <w:t>的</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lang w:eastAsia="zh-CN"/>
              </w:rPr>
              <w:t>。</w:t>
            </w:r>
          </w:p>
          <w:p w14:paraId="42AEAA32">
            <w:pPr>
              <w:pStyle w:val="6"/>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定额收取：</w:t>
            </w:r>
            <w:r>
              <w:rPr>
                <w:rFonts w:hint="eastAsia" w:ascii="宋体" w:hAnsi="宋体" w:eastAsia="宋体" w:cs="宋体"/>
                <w:i w:val="0"/>
                <w:iCs w:val="0"/>
                <w:color w:val="auto"/>
                <w:sz w:val="24"/>
                <w:szCs w:val="24"/>
                <w:highlight w:val="none"/>
                <w:u w:val="single"/>
              </w:rPr>
              <w:t xml:space="preserve">人民币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rPr>
              <w:t xml:space="preserve">    元</w:t>
            </w:r>
            <w:r>
              <w:rPr>
                <w:rFonts w:hint="eastAsia" w:ascii="宋体" w:hAnsi="宋体" w:eastAsia="宋体" w:cs="宋体"/>
                <w:i w:val="0"/>
                <w:iCs w:val="0"/>
                <w:color w:val="auto"/>
                <w:sz w:val="24"/>
                <w:szCs w:val="24"/>
                <w:highlight w:val="none"/>
                <w:lang w:eastAsia="zh-CN"/>
              </w:rPr>
              <w:t>。</w:t>
            </w:r>
          </w:p>
        </w:tc>
      </w:tr>
      <w:tr w14:paraId="4501EC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618" w:hRule="atLeast"/>
        </w:trPr>
        <w:tc>
          <w:tcPr>
            <w:tcW w:w="970" w:type="dxa"/>
            <w:vAlign w:val="center"/>
          </w:tcPr>
          <w:p w14:paraId="0FAEE6C9">
            <w:pPr>
              <w:pStyle w:val="50"/>
              <w:jc w:val="center"/>
              <w:rPr>
                <w:rFonts w:hint="eastAsia" w:ascii="宋体" w:hAnsi="宋体" w:eastAsia="宋体" w:cs="宋体"/>
                <w:color w:val="auto"/>
                <w:sz w:val="24"/>
                <w:szCs w:val="24"/>
                <w:highlight w:val="none"/>
                <w:lang w:eastAsia="zh-CN"/>
              </w:rPr>
            </w:pPr>
            <w:r>
              <w:rPr>
                <w:rFonts w:hint="eastAsia" w:cs="宋体"/>
                <w:color w:val="auto"/>
                <w:sz w:val="24"/>
                <w:szCs w:val="24"/>
                <w:highlight w:val="none"/>
                <w:lang w:val="en-US" w:eastAsia="zh-CN"/>
              </w:rPr>
              <w:t>7</w:t>
            </w:r>
          </w:p>
        </w:tc>
        <w:tc>
          <w:tcPr>
            <w:tcW w:w="1738" w:type="dxa"/>
            <w:vAlign w:val="center"/>
          </w:tcPr>
          <w:p w14:paraId="1A5D11C5">
            <w:pPr>
              <w:pStyle w:val="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实物样品</w:t>
            </w:r>
          </w:p>
        </w:tc>
        <w:tc>
          <w:tcPr>
            <w:tcW w:w="6700" w:type="dxa"/>
            <w:vAlign w:val="center"/>
          </w:tcPr>
          <w:p w14:paraId="29F70D2B">
            <w:pPr>
              <w:pStyle w:val="50"/>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投标样品递交： </w:t>
            </w:r>
          </w:p>
          <w:p w14:paraId="08448385">
            <w:pPr>
              <w:pStyle w:val="50"/>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 xml:space="preserve">不需要 </w:t>
            </w:r>
          </w:p>
          <w:p w14:paraId="75ABDCC9">
            <w:pPr>
              <w:pStyle w:val="50"/>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□需要，具体要求如下： </w:t>
            </w:r>
          </w:p>
          <w:p w14:paraId="5F60BBB0">
            <w:pPr>
              <w:pStyle w:val="50"/>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highlight w:val="none"/>
              </w:rPr>
            </w:pPr>
          </w:p>
        </w:tc>
      </w:tr>
      <w:tr w14:paraId="1C643F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vAlign w:val="center"/>
          </w:tcPr>
          <w:p w14:paraId="03DA43E2">
            <w:pPr>
              <w:pStyle w:val="50"/>
              <w:jc w:val="center"/>
              <w:rPr>
                <w:rFonts w:hint="eastAsia" w:ascii="宋体" w:hAnsi="宋体" w:eastAsia="宋体" w:cs="宋体"/>
                <w:color w:val="auto"/>
                <w:sz w:val="24"/>
                <w:szCs w:val="24"/>
                <w:highlight w:val="none"/>
                <w:lang w:eastAsia="zh-CN"/>
              </w:rPr>
            </w:pPr>
            <w:r>
              <w:rPr>
                <w:rFonts w:hint="eastAsia" w:cs="宋体"/>
                <w:color w:val="auto"/>
                <w:sz w:val="24"/>
                <w:szCs w:val="24"/>
                <w:highlight w:val="none"/>
                <w:lang w:val="en-US" w:eastAsia="zh-CN"/>
              </w:rPr>
              <w:t>8</w:t>
            </w:r>
          </w:p>
        </w:tc>
        <w:tc>
          <w:tcPr>
            <w:tcW w:w="1738" w:type="dxa"/>
            <w:vAlign w:val="center"/>
          </w:tcPr>
          <w:p w14:paraId="22504622">
            <w:pPr>
              <w:pStyle w:val="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演示</w:t>
            </w:r>
          </w:p>
        </w:tc>
        <w:tc>
          <w:tcPr>
            <w:tcW w:w="6700" w:type="dxa"/>
            <w:vAlign w:val="center"/>
          </w:tcPr>
          <w:p w14:paraId="7B2FDAC1">
            <w:pPr>
              <w:pStyle w:val="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sym w:font="Wingdings" w:char="00FE"/>
            </w:r>
            <w:r>
              <w:rPr>
                <w:rFonts w:hint="eastAsia" w:ascii="宋体" w:hAnsi="宋体" w:eastAsia="宋体" w:cs="宋体"/>
                <w:color w:val="auto"/>
                <w:sz w:val="24"/>
                <w:szCs w:val="24"/>
                <w:highlight w:val="none"/>
              </w:rPr>
              <w:t>不进行</w:t>
            </w:r>
          </w:p>
          <w:p w14:paraId="34ED7966">
            <w:pPr>
              <w:pStyle w:val="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进行，远程线上演示/现场演示</w:t>
            </w:r>
          </w:p>
        </w:tc>
      </w:tr>
      <w:tr w14:paraId="097642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90" w:hRule="atLeast"/>
        </w:trPr>
        <w:tc>
          <w:tcPr>
            <w:tcW w:w="970" w:type="dxa"/>
            <w:vAlign w:val="center"/>
          </w:tcPr>
          <w:p w14:paraId="4CE72DC4">
            <w:pPr>
              <w:pStyle w:val="50"/>
              <w:jc w:val="center"/>
              <w:rPr>
                <w:rFonts w:hint="eastAsia" w:ascii="宋体" w:hAnsi="宋体" w:eastAsia="宋体" w:cs="宋体"/>
                <w:color w:val="auto"/>
                <w:sz w:val="24"/>
                <w:szCs w:val="24"/>
                <w:highlight w:val="none"/>
                <w:lang w:eastAsia="zh-CN"/>
              </w:rPr>
            </w:pPr>
            <w:r>
              <w:rPr>
                <w:rFonts w:hint="eastAsia" w:cs="宋体"/>
                <w:color w:val="auto"/>
                <w:sz w:val="24"/>
                <w:szCs w:val="24"/>
                <w:highlight w:val="none"/>
                <w:lang w:val="en-US" w:eastAsia="zh-CN"/>
              </w:rPr>
              <w:t>9</w:t>
            </w:r>
          </w:p>
        </w:tc>
        <w:tc>
          <w:tcPr>
            <w:tcW w:w="1738" w:type="dxa"/>
            <w:vAlign w:val="center"/>
          </w:tcPr>
          <w:p w14:paraId="35FB661A">
            <w:pPr>
              <w:pStyle w:val="5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解密投标文件的时限</w:t>
            </w:r>
          </w:p>
        </w:tc>
        <w:tc>
          <w:tcPr>
            <w:tcW w:w="6700" w:type="dxa"/>
            <w:vAlign w:val="center"/>
          </w:tcPr>
          <w:p w14:paraId="44601FEC">
            <w:pPr>
              <w:pStyle w:val="5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不见面开标默认解密时长：</w:t>
            </w:r>
            <w:r>
              <w:rPr>
                <w:rFonts w:hint="eastAsia" w:cs="宋体"/>
                <w:color w:val="auto"/>
                <w:sz w:val="24"/>
                <w:szCs w:val="24"/>
                <w:highlight w:val="none"/>
                <w:u w:val="single"/>
                <w:lang w:val="en-US" w:eastAsia="zh-CN"/>
              </w:rPr>
              <w:t>20</w:t>
            </w:r>
            <w:r>
              <w:rPr>
                <w:rFonts w:hint="eastAsia" w:ascii="宋体" w:hAnsi="宋体" w:eastAsia="宋体" w:cs="宋体"/>
                <w:color w:val="auto"/>
                <w:sz w:val="24"/>
                <w:szCs w:val="24"/>
                <w:highlight w:val="none"/>
                <w:lang w:val="en-US" w:eastAsia="zh-CN"/>
              </w:rPr>
              <w:t>分钟。</w:t>
            </w:r>
            <w:r>
              <w:rPr>
                <w:rFonts w:hint="eastAsia" w:ascii="宋体" w:hAnsi="宋体" w:eastAsia="宋体" w:cs="宋体"/>
                <w:color w:val="auto"/>
                <w:sz w:val="24"/>
                <w:szCs w:val="24"/>
                <w:highlight w:val="none"/>
              </w:rPr>
              <w:t xml:space="preserve"> </w:t>
            </w:r>
          </w:p>
          <w:p w14:paraId="4C7DC32D">
            <w:pPr>
              <w:pStyle w:val="5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除因交易平台发生故障导致投标文件无法按时解密外，投标文件未按时解密的，视为未按规定提交投标文件</w:t>
            </w:r>
            <w:r>
              <w:rPr>
                <w:rFonts w:hint="eastAsia" w:ascii="宋体" w:hAnsi="宋体" w:eastAsia="宋体" w:cs="宋体"/>
                <w:color w:val="auto"/>
                <w:sz w:val="24"/>
                <w:szCs w:val="24"/>
                <w:highlight w:val="none"/>
              </w:rPr>
              <w:t>。</w:t>
            </w:r>
          </w:p>
        </w:tc>
      </w:tr>
      <w:tr w14:paraId="79EC87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676" w:hRule="atLeast"/>
        </w:trPr>
        <w:tc>
          <w:tcPr>
            <w:tcW w:w="970" w:type="dxa"/>
            <w:vAlign w:val="center"/>
          </w:tcPr>
          <w:p w14:paraId="23FC94CD">
            <w:pPr>
              <w:pStyle w:val="50"/>
              <w:jc w:val="center"/>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10</w:t>
            </w:r>
          </w:p>
        </w:tc>
        <w:tc>
          <w:tcPr>
            <w:tcW w:w="1738" w:type="dxa"/>
            <w:vAlign w:val="center"/>
          </w:tcPr>
          <w:p w14:paraId="5A1E858C">
            <w:pPr>
              <w:pStyle w:val="5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评标方法</w:t>
            </w:r>
          </w:p>
        </w:tc>
        <w:tc>
          <w:tcPr>
            <w:tcW w:w="6700" w:type="dxa"/>
            <w:vAlign w:val="center"/>
          </w:tcPr>
          <w:p w14:paraId="49F2488F">
            <w:pPr>
              <w:pStyle w:val="5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lang w:val="en-US" w:eastAsia="zh-CN"/>
              </w:rPr>
              <w:t>综合评分法</w:t>
            </w:r>
          </w:p>
          <w:p w14:paraId="63A64BEE">
            <w:pPr>
              <w:pStyle w:val="5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lang w:val="en-US" w:eastAsia="zh-CN"/>
              </w:rPr>
              <w:t>最低评标价法</w:t>
            </w:r>
          </w:p>
        </w:tc>
      </w:tr>
      <w:tr w14:paraId="5A0872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513" w:hRule="atLeast"/>
        </w:trPr>
        <w:tc>
          <w:tcPr>
            <w:tcW w:w="970" w:type="dxa"/>
            <w:vAlign w:val="center"/>
          </w:tcPr>
          <w:p w14:paraId="42D57B39">
            <w:pPr>
              <w:pStyle w:val="50"/>
              <w:jc w:val="center"/>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11</w:t>
            </w:r>
          </w:p>
        </w:tc>
        <w:tc>
          <w:tcPr>
            <w:tcW w:w="1738" w:type="dxa"/>
            <w:vAlign w:val="center"/>
          </w:tcPr>
          <w:p w14:paraId="109515DE">
            <w:pPr>
              <w:pStyle w:val="50"/>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推荐中标候选人</w:t>
            </w:r>
          </w:p>
        </w:tc>
        <w:tc>
          <w:tcPr>
            <w:tcW w:w="6700" w:type="dxa"/>
            <w:vAlign w:val="center"/>
          </w:tcPr>
          <w:p w14:paraId="0DB0E73E">
            <w:pPr>
              <w:pStyle w:val="5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中标候选人数量</w:t>
            </w:r>
            <w:r>
              <w:rPr>
                <w:rFonts w:hint="eastAsia" w:cs="宋体"/>
                <w:color w:val="auto"/>
                <w:sz w:val="24"/>
                <w:szCs w:val="24"/>
                <w:highlight w:val="none"/>
                <w:u w:val="single"/>
                <w:lang w:val="en-US" w:eastAsia="zh-CN"/>
              </w:rPr>
              <w:t>3</w:t>
            </w:r>
            <w:r>
              <w:rPr>
                <w:rFonts w:hint="eastAsia" w:ascii="宋体" w:hAnsi="宋体" w:eastAsia="宋体" w:cs="宋体"/>
                <w:color w:val="auto"/>
                <w:sz w:val="24"/>
                <w:szCs w:val="24"/>
                <w:highlight w:val="none"/>
              </w:rPr>
              <w:t>家</w:t>
            </w:r>
          </w:p>
        </w:tc>
      </w:tr>
      <w:tr w14:paraId="176C1C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vAlign w:val="center"/>
          </w:tcPr>
          <w:p w14:paraId="4EEEE9B4">
            <w:pPr>
              <w:pStyle w:val="50"/>
              <w:jc w:val="center"/>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12</w:t>
            </w:r>
          </w:p>
        </w:tc>
        <w:tc>
          <w:tcPr>
            <w:tcW w:w="1738" w:type="dxa"/>
            <w:vAlign w:val="center"/>
          </w:tcPr>
          <w:p w14:paraId="266C355B">
            <w:pPr>
              <w:pStyle w:val="5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确定中标人</w:t>
            </w:r>
          </w:p>
        </w:tc>
        <w:tc>
          <w:tcPr>
            <w:tcW w:w="6700" w:type="dxa"/>
            <w:vAlign w:val="center"/>
          </w:tcPr>
          <w:p w14:paraId="3AF868A2">
            <w:pPr>
              <w:pStyle w:val="5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采购人按评审报告中推荐的中标候选人排序确定中标人。</w:t>
            </w:r>
          </w:p>
          <w:p w14:paraId="0911185A">
            <w:pPr>
              <w:pStyle w:val="5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采购人委托评标委员会直接确定中标人。</w:t>
            </w:r>
          </w:p>
        </w:tc>
      </w:tr>
      <w:tr w14:paraId="16D85F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shd w:val="clear" w:color="auto" w:fill="auto"/>
            <w:vAlign w:val="center"/>
          </w:tcPr>
          <w:p w14:paraId="1B46F00E">
            <w:pPr>
              <w:pStyle w:val="50"/>
              <w:jc w:val="center"/>
              <w:rPr>
                <w:rFonts w:hint="default" w:ascii="宋体" w:hAnsi="宋体" w:eastAsia="宋体" w:cs="宋体"/>
                <w:color w:val="auto"/>
                <w:kern w:val="2"/>
                <w:sz w:val="24"/>
                <w:szCs w:val="24"/>
                <w:highlight w:val="none"/>
                <w:lang w:val="en-US" w:eastAsia="zh-CN" w:bidi="ar-SA"/>
              </w:rPr>
            </w:pPr>
            <w:r>
              <w:rPr>
                <w:rFonts w:hint="eastAsia" w:cs="宋体"/>
                <w:color w:val="auto"/>
                <w:sz w:val="24"/>
                <w:szCs w:val="24"/>
                <w:highlight w:val="none"/>
                <w:lang w:val="en-US" w:eastAsia="zh-CN"/>
              </w:rPr>
              <w:t>13</w:t>
            </w:r>
          </w:p>
        </w:tc>
        <w:tc>
          <w:tcPr>
            <w:tcW w:w="1738" w:type="dxa"/>
            <w:shd w:val="clear" w:color="auto" w:fill="auto"/>
            <w:vAlign w:val="center"/>
          </w:tcPr>
          <w:p w14:paraId="2789643E">
            <w:pPr>
              <w:pStyle w:val="50"/>
              <w:spacing w:line="24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履约保证金</w:t>
            </w:r>
          </w:p>
        </w:tc>
        <w:tc>
          <w:tcPr>
            <w:tcW w:w="6700" w:type="dxa"/>
            <w:shd w:val="clear" w:color="auto" w:fill="auto"/>
            <w:vAlign w:val="center"/>
          </w:tcPr>
          <w:p w14:paraId="6976A72E">
            <w:pPr>
              <w:pStyle w:val="50"/>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金额：</w:t>
            </w:r>
          </w:p>
          <w:p w14:paraId="446453BE">
            <w:pPr>
              <w:pStyle w:val="50"/>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免收</w:t>
            </w:r>
          </w:p>
          <w:p w14:paraId="14858B73">
            <w:pPr>
              <w:pStyle w:val="50"/>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□合同价的   %</w:t>
            </w:r>
          </w:p>
          <w:p w14:paraId="257AE723">
            <w:pPr>
              <w:pStyle w:val="50"/>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□定额收取：人民币              元</w:t>
            </w:r>
          </w:p>
        </w:tc>
      </w:tr>
      <w:tr w14:paraId="6B1F02A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922" w:hRule="atLeast"/>
        </w:trPr>
        <w:tc>
          <w:tcPr>
            <w:tcW w:w="970" w:type="dxa"/>
            <w:vAlign w:val="center"/>
          </w:tcPr>
          <w:p w14:paraId="600814BC">
            <w:pPr>
              <w:pStyle w:val="50"/>
              <w:jc w:val="center"/>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14</w:t>
            </w:r>
          </w:p>
        </w:tc>
        <w:tc>
          <w:tcPr>
            <w:tcW w:w="1738" w:type="dxa"/>
            <w:vAlign w:val="center"/>
          </w:tcPr>
          <w:p w14:paraId="74D19386">
            <w:pPr>
              <w:pStyle w:val="5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中标后分包</w:t>
            </w:r>
          </w:p>
        </w:tc>
        <w:tc>
          <w:tcPr>
            <w:tcW w:w="6700" w:type="dxa"/>
            <w:vAlign w:val="center"/>
          </w:tcPr>
          <w:p w14:paraId="4344EC45">
            <w:pPr>
              <w:pStyle w:val="5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本项目的非主体、非关键性工作是否允许分包： </w:t>
            </w:r>
          </w:p>
          <w:p w14:paraId="3D901FC0">
            <w:pPr>
              <w:pStyle w:val="50"/>
              <w:ind w:firstLine="480" w:firstLineChars="200"/>
              <w:rPr>
                <w:rFonts w:hint="eastAsia" w:ascii="宋体" w:hAnsi="宋体" w:eastAsia="宋体" w:cs="宋体"/>
                <w:color w:val="auto"/>
                <w:kern w:val="2"/>
                <w:sz w:val="24"/>
                <w:szCs w:val="24"/>
                <w:highlight w:val="none"/>
                <w:lang w:val="en-US" w:eastAsia="zh-CN" w:bidi="ar-SA"/>
              </w:rPr>
            </w:pPr>
            <w:r>
              <w:rPr>
                <w:rFonts w:hint="eastAsia"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 xml:space="preserve">不允许 </w:t>
            </w:r>
          </w:p>
          <w:p w14:paraId="56DFA0F7">
            <w:pPr>
              <w:pStyle w:val="50"/>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□允许</w:t>
            </w:r>
          </w:p>
          <w:p w14:paraId="2F04DF99">
            <w:pPr>
              <w:pStyle w:val="50"/>
              <w:rPr>
                <w:rFonts w:hint="eastAsia" w:ascii="宋体" w:hAnsi="宋体" w:eastAsia="宋体" w:cs="宋体"/>
                <w:color w:val="auto"/>
                <w:kern w:val="2"/>
                <w:sz w:val="24"/>
                <w:szCs w:val="24"/>
                <w:highlight w:val="none"/>
                <w:lang w:val="en-US" w:eastAsia="zh-CN" w:bidi="ar-SA"/>
              </w:rPr>
            </w:pPr>
          </w:p>
        </w:tc>
      </w:tr>
      <w:tr w14:paraId="19B129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vAlign w:val="center"/>
          </w:tcPr>
          <w:p w14:paraId="5BFFADC2">
            <w:pPr>
              <w:pStyle w:val="50"/>
              <w:jc w:val="center"/>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15</w:t>
            </w:r>
          </w:p>
        </w:tc>
        <w:tc>
          <w:tcPr>
            <w:tcW w:w="1738" w:type="dxa"/>
            <w:vAlign w:val="center"/>
          </w:tcPr>
          <w:p w14:paraId="6B25F509">
            <w:pPr>
              <w:pStyle w:val="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质疑</w:t>
            </w:r>
          </w:p>
        </w:tc>
        <w:tc>
          <w:tcPr>
            <w:tcW w:w="6700" w:type="dxa"/>
            <w:vAlign w:val="center"/>
          </w:tcPr>
          <w:p w14:paraId="49C0416E">
            <w:pPr>
              <w:pStyle w:val="57"/>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递交方式：</w:t>
            </w:r>
            <w:r>
              <w:rPr>
                <w:rFonts w:hint="eastAsia" w:ascii="宋体" w:hAnsi="宋体" w:cs="宋体"/>
                <w:color w:val="auto"/>
                <w:sz w:val="24"/>
                <w:szCs w:val="24"/>
                <w:highlight w:val="none"/>
                <w:u w:val="single"/>
                <w:lang w:val="en-US" w:eastAsia="zh-CN"/>
              </w:rPr>
              <w:t>书面</w:t>
            </w:r>
            <w:r>
              <w:rPr>
                <w:rFonts w:hint="eastAsia" w:ascii="宋体" w:hAnsi="宋体" w:eastAsia="宋体" w:cs="宋体"/>
                <w:color w:val="auto"/>
                <w:kern w:val="2"/>
                <w:sz w:val="24"/>
                <w:szCs w:val="24"/>
                <w:highlight w:val="none"/>
                <w:lang w:val="zh-CN" w:eastAsia="zh-CN" w:bidi="ar-SA"/>
              </w:rPr>
              <w:t xml:space="preserve">              </w:t>
            </w:r>
          </w:p>
          <w:p w14:paraId="06F022B1">
            <w:pPr>
              <w:pStyle w:val="38"/>
              <w:keepNext w:val="0"/>
              <w:keepLines w:val="0"/>
              <w:pageBreakBefore w:val="0"/>
              <w:widowControl w:val="0"/>
              <w:kinsoku/>
              <w:wordWrap w:val="0"/>
              <w:overflowPunct/>
              <w:topLinePunct w:val="0"/>
              <w:autoSpaceDE/>
              <w:autoSpaceDN/>
              <w:bidi w:val="0"/>
              <w:adjustRightInd/>
              <w:snapToGrid/>
              <w:spacing w:line="240" w:lineRule="auto"/>
              <w:ind w:firstLine="0" w:firstLineChars="0"/>
              <w:textAlignment w:val="auto"/>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接受单位</w:t>
            </w:r>
            <w:r>
              <w:rPr>
                <w:rFonts w:hint="eastAsia" w:ascii="宋体" w:hAnsi="宋体" w:eastAsia="宋体" w:cs="宋体"/>
                <w:color w:val="auto"/>
                <w:sz w:val="24"/>
                <w:szCs w:val="24"/>
                <w:highlight w:val="none"/>
              </w:rPr>
              <w:t>：</w:t>
            </w:r>
            <w:r>
              <w:rPr>
                <w:rFonts w:hint="eastAsia" w:cs="宋体"/>
                <w:color w:val="auto"/>
                <w:sz w:val="24"/>
                <w:szCs w:val="24"/>
                <w:highlight w:val="none"/>
                <w:u w:val="single"/>
                <w:lang w:val="en-US" w:eastAsia="zh-CN"/>
              </w:rPr>
              <w:t>兵团公共资源交易中心第四分中心</w:t>
            </w:r>
          </w:p>
          <w:p w14:paraId="39F3C9D0">
            <w:pPr>
              <w:pStyle w:val="38"/>
              <w:keepNext w:val="0"/>
              <w:keepLines w:val="0"/>
              <w:pageBreakBefore w:val="0"/>
              <w:widowControl w:val="0"/>
              <w:kinsoku/>
              <w:wordWrap w:val="0"/>
              <w:overflowPunct/>
              <w:topLinePunct w:val="0"/>
              <w:autoSpaceDE/>
              <w:autoSpaceDN/>
              <w:bidi w:val="0"/>
              <w:adjustRightInd/>
              <w:snapToGrid/>
              <w:spacing w:line="240" w:lineRule="auto"/>
              <w:ind w:firstLine="0" w:firstLineChars="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地址：</w:t>
            </w:r>
            <w:r>
              <w:rPr>
                <w:rFonts w:hint="eastAsia" w:cs="宋体"/>
                <w:color w:val="auto"/>
                <w:sz w:val="24"/>
                <w:szCs w:val="24"/>
                <w:highlight w:val="none"/>
                <w:u w:val="single"/>
                <w:lang w:val="en-US" w:eastAsia="zh-CN"/>
              </w:rPr>
              <w:t>可克达拉市镇江西路1166号</w:t>
            </w:r>
          </w:p>
          <w:p w14:paraId="0C8A90C7">
            <w:pPr>
              <w:pStyle w:val="57"/>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highlight w:val="none"/>
              </w:rPr>
              <w:t>联系方式：</w:t>
            </w:r>
            <w:r>
              <w:rPr>
                <w:rFonts w:hint="eastAsia" w:cs="宋体"/>
                <w:color w:val="auto"/>
                <w:sz w:val="24"/>
                <w:szCs w:val="24"/>
                <w:highlight w:val="none"/>
                <w:u w:val="single"/>
                <w:lang w:val="en-US" w:eastAsia="zh-CN"/>
              </w:rPr>
              <w:t>0999-8189765</w:t>
            </w:r>
          </w:p>
        </w:tc>
      </w:tr>
      <w:tr w14:paraId="30DE59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751" w:hRule="atLeast"/>
        </w:trPr>
        <w:tc>
          <w:tcPr>
            <w:tcW w:w="970" w:type="dxa"/>
            <w:vAlign w:val="center"/>
          </w:tcPr>
          <w:p w14:paraId="6F1BF374">
            <w:pPr>
              <w:pStyle w:val="50"/>
              <w:jc w:val="center"/>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16</w:t>
            </w:r>
          </w:p>
        </w:tc>
        <w:tc>
          <w:tcPr>
            <w:tcW w:w="1738" w:type="dxa"/>
            <w:vAlign w:val="center"/>
          </w:tcPr>
          <w:p w14:paraId="5D860FC6">
            <w:pPr>
              <w:pStyle w:val="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是否接受进口产品</w:t>
            </w:r>
          </w:p>
        </w:tc>
        <w:tc>
          <w:tcPr>
            <w:tcW w:w="6700" w:type="dxa"/>
            <w:vAlign w:val="center"/>
          </w:tcPr>
          <w:p w14:paraId="438B47DA">
            <w:pPr>
              <w:pStyle w:val="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不接受</w:t>
            </w:r>
          </w:p>
          <w:p w14:paraId="1481386A">
            <w:pPr>
              <w:pStyle w:val="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lang w:val="zh-CN"/>
              </w:rPr>
              <w:t>接受</w:t>
            </w:r>
          </w:p>
        </w:tc>
      </w:tr>
      <w:tr w14:paraId="707AAB8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2478" w:hRule="atLeast"/>
        </w:trPr>
        <w:tc>
          <w:tcPr>
            <w:tcW w:w="970" w:type="dxa"/>
            <w:vAlign w:val="center"/>
          </w:tcPr>
          <w:p w14:paraId="3AAFC5B3">
            <w:pPr>
              <w:pStyle w:val="50"/>
              <w:jc w:val="center"/>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17</w:t>
            </w:r>
          </w:p>
        </w:tc>
        <w:tc>
          <w:tcPr>
            <w:tcW w:w="1738" w:type="dxa"/>
            <w:vAlign w:val="center"/>
          </w:tcPr>
          <w:p w14:paraId="59931474">
            <w:pPr>
              <w:pStyle w:val="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标的所属行业</w:t>
            </w:r>
          </w:p>
          <w:p w14:paraId="27995733">
            <w:pPr>
              <w:pStyle w:val="50"/>
              <w:rPr>
                <w:rFonts w:hint="eastAsia" w:ascii="宋体" w:hAnsi="宋体" w:eastAsia="宋体" w:cs="宋体"/>
                <w:color w:val="auto"/>
                <w:sz w:val="24"/>
                <w:szCs w:val="24"/>
                <w:highlight w:val="none"/>
                <w:lang w:val="en-US" w:eastAsia="zh-CN"/>
              </w:rPr>
            </w:pPr>
            <w:r>
              <w:rPr>
                <w:rStyle w:val="34"/>
                <w:rFonts w:hint="eastAsia" w:ascii="宋体" w:hAnsi="宋体" w:eastAsia="宋体" w:cs="宋体"/>
                <w:b w:val="0"/>
                <w:color w:val="auto"/>
                <w:sz w:val="24"/>
                <w:szCs w:val="24"/>
                <w:highlight w:val="none"/>
                <w:lang w:val="en-US" w:eastAsia="zh-CN"/>
              </w:rPr>
              <w:t>参照后附</w:t>
            </w:r>
            <w:r>
              <w:rPr>
                <w:rStyle w:val="34"/>
                <w:rFonts w:hint="eastAsia" w:ascii="宋体" w:hAnsi="宋体" w:eastAsia="宋体" w:cs="宋体"/>
                <w:b w:val="0"/>
                <w:color w:val="auto"/>
                <w:sz w:val="24"/>
                <w:szCs w:val="24"/>
                <w:highlight w:val="none"/>
                <w:lang w:eastAsia="zh-CN"/>
              </w:rPr>
              <w:t>《</w:t>
            </w:r>
            <w:r>
              <w:rPr>
                <w:rStyle w:val="34"/>
                <w:rFonts w:hint="eastAsia" w:ascii="宋体" w:hAnsi="宋体" w:eastAsia="宋体" w:cs="宋体"/>
                <w:b w:val="0"/>
                <w:color w:val="auto"/>
                <w:sz w:val="24"/>
                <w:szCs w:val="24"/>
                <w:highlight w:val="none"/>
              </w:rPr>
              <w:t>工信部联企业〔2011〕300号</w:t>
            </w:r>
            <w:r>
              <w:rPr>
                <w:rStyle w:val="34"/>
                <w:rFonts w:hint="eastAsia" w:ascii="宋体" w:hAnsi="宋体" w:eastAsia="宋体" w:cs="宋体"/>
                <w:b w:val="0"/>
                <w:color w:val="auto"/>
                <w:sz w:val="24"/>
                <w:szCs w:val="24"/>
                <w:highlight w:val="none"/>
                <w:lang w:eastAsia="zh-CN"/>
              </w:rPr>
              <w:t>》</w:t>
            </w:r>
          </w:p>
        </w:tc>
        <w:tc>
          <w:tcPr>
            <w:tcW w:w="6700" w:type="dxa"/>
            <w:vAlign w:val="center"/>
          </w:tcPr>
          <w:p w14:paraId="6804F69E">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本项目采购标的对应的中小企业划分标准所属行业： </w:t>
            </w:r>
          </w:p>
          <w:tbl>
            <w:tblPr>
              <w:tblStyle w:val="32"/>
              <w:tblW w:w="61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1824"/>
              <w:gridCol w:w="3245"/>
            </w:tblGrid>
            <w:tr w14:paraId="1CAAD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Align w:val="center"/>
                </w:tcPr>
                <w:p w14:paraId="7059451F">
                  <w:pPr>
                    <w:keepNext w:val="0"/>
                    <w:keepLines w:val="0"/>
                    <w:widowControl/>
                    <w:suppressLineNumbers w:val="0"/>
                    <w:jc w:val="center"/>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lang w:val="en-US" w:eastAsia="zh-CN" w:bidi="ar"/>
                    </w:rPr>
                    <w:t>包号</w:t>
                  </w:r>
                </w:p>
              </w:tc>
              <w:tc>
                <w:tcPr>
                  <w:tcW w:w="1824" w:type="dxa"/>
                  <w:vAlign w:val="center"/>
                </w:tcPr>
                <w:p w14:paraId="334359A5">
                  <w:pPr>
                    <w:keepNext w:val="0"/>
                    <w:keepLines w:val="0"/>
                    <w:widowControl/>
                    <w:suppressLineNumbers w:val="0"/>
                    <w:jc w:val="center"/>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lang w:val="en-US" w:eastAsia="zh-CN" w:bidi="ar"/>
                    </w:rPr>
                    <w:t>标的名称</w:t>
                  </w:r>
                </w:p>
              </w:tc>
              <w:tc>
                <w:tcPr>
                  <w:tcW w:w="3245" w:type="dxa"/>
                  <w:vAlign w:val="center"/>
                </w:tcPr>
                <w:p w14:paraId="6E9115BA">
                  <w:pPr>
                    <w:keepNext w:val="0"/>
                    <w:keepLines w:val="0"/>
                    <w:widowControl/>
                    <w:suppressLineNumbers w:val="0"/>
                    <w:jc w:val="center"/>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lang w:val="en-US" w:eastAsia="zh-CN" w:bidi="ar"/>
                    </w:rPr>
                    <w:t>中小企业划分标准所属行业</w:t>
                  </w:r>
                </w:p>
              </w:tc>
            </w:tr>
            <w:tr w14:paraId="585F9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Align w:val="center"/>
                </w:tcPr>
                <w:p w14:paraId="4BD03589">
                  <w:pPr>
                    <w:keepNext w:val="0"/>
                    <w:keepLines w:val="0"/>
                    <w:widowControl/>
                    <w:suppressLineNumbers w:val="0"/>
                    <w:jc w:val="center"/>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第1包</w:t>
                  </w:r>
                </w:p>
              </w:tc>
              <w:tc>
                <w:tcPr>
                  <w:tcW w:w="1824" w:type="dxa"/>
                  <w:vAlign w:val="center"/>
                </w:tcPr>
                <w:p w14:paraId="402B250B">
                  <w:pPr>
                    <w:keepNext w:val="0"/>
                    <w:keepLines w:val="0"/>
                    <w:widowControl/>
                    <w:suppressLineNumbers w:val="0"/>
                    <w:jc w:val="center"/>
                    <w:rPr>
                      <w:rFonts w:hint="default" w:ascii="宋体" w:hAnsi="宋体" w:eastAsia="宋体" w:cs="宋体"/>
                      <w:color w:val="auto"/>
                      <w:kern w:val="0"/>
                      <w:sz w:val="24"/>
                      <w:szCs w:val="24"/>
                      <w:highlight w:val="none"/>
                      <w:vertAlign w:val="baseline"/>
                      <w:lang w:val="en-US" w:eastAsia="zh-CN" w:bidi="ar"/>
                    </w:rPr>
                  </w:pPr>
                  <w:r>
                    <w:rPr>
                      <w:rFonts w:hint="eastAsia" w:cs="宋体"/>
                      <w:color w:val="auto"/>
                      <w:kern w:val="0"/>
                      <w:sz w:val="24"/>
                      <w:szCs w:val="24"/>
                      <w:highlight w:val="none"/>
                      <w:vertAlign w:val="baseline"/>
                      <w:lang w:val="en-US" w:eastAsia="zh-CN" w:bidi="ar"/>
                    </w:rPr>
                    <w:t>可市校区（物业服务）</w:t>
                  </w:r>
                </w:p>
              </w:tc>
              <w:tc>
                <w:tcPr>
                  <w:tcW w:w="3245" w:type="dxa"/>
                  <w:vAlign w:val="center"/>
                </w:tcPr>
                <w:p w14:paraId="6A9C8731">
                  <w:pPr>
                    <w:keepNext w:val="0"/>
                    <w:keepLines w:val="0"/>
                    <w:widowControl/>
                    <w:suppressLineNumbers w:val="0"/>
                    <w:jc w:val="center"/>
                    <w:rPr>
                      <w:rFonts w:hint="eastAsia" w:ascii="宋体" w:hAnsi="宋体" w:eastAsia="宋体" w:cs="宋体"/>
                      <w:color w:val="auto"/>
                      <w:kern w:val="0"/>
                      <w:sz w:val="24"/>
                      <w:szCs w:val="24"/>
                      <w:highlight w:val="none"/>
                      <w:vertAlign w:val="baseline"/>
                      <w:lang w:val="en-US" w:eastAsia="zh-CN" w:bidi="ar"/>
                    </w:rPr>
                  </w:pPr>
                  <w:r>
                    <w:rPr>
                      <w:rFonts w:hint="eastAsia" w:cs="宋体"/>
                      <w:color w:val="auto"/>
                      <w:kern w:val="0"/>
                      <w:sz w:val="24"/>
                      <w:szCs w:val="24"/>
                      <w:highlight w:val="none"/>
                      <w:vertAlign w:val="baseline"/>
                      <w:lang w:val="en-US" w:eastAsia="zh-CN" w:bidi="ar"/>
                    </w:rPr>
                    <w:t>物业服务</w:t>
                  </w:r>
                </w:p>
              </w:tc>
            </w:tr>
            <w:tr w14:paraId="12394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vAlign w:val="center"/>
                </w:tcPr>
                <w:p w14:paraId="0F8AAE75">
                  <w:pPr>
                    <w:keepNext w:val="0"/>
                    <w:keepLines w:val="0"/>
                    <w:widowControl/>
                    <w:suppressLineNumbers w:val="0"/>
                    <w:jc w:val="center"/>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第2包</w:t>
                  </w:r>
                </w:p>
              </w:tc>
              <w:tc>
                <w:tcPr>
                  <w:tcW w:w="1824" w:type="dxa"/>
                  <w:vAlign w:val="center"/>
                </w:tcPr>
                <w:p w14:paraId="1C0A0773">
                  <w:pPr>
                    <w:keepNext w:val="0"/>
                    <w:keepLines w:val="0"/>
                    <w:widowControl/>
                    <w:suppressLineNumbers w:val="0"/>
                    <w:jc w:val="center"/>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伊宁市校区（物业服务）</w:t>
                  </w:r>
                </w:p>
              </w:tc>
              <w:tc>
                <w:tcPr>
                  <w:tcW w:w="3245" w:type="dxa"/>
                  <w:vAlign w:val="center"/>
                </w:tcPr>
                <w:p w14:paraId="22AB6EE5">
                  <w:pPr>
                    <w:keepNext w:val="0"/>
                    <w:keepLines w:val="0"/>
                    <w:widowControl/>
                    <w:suppressLineNumbers w:val="0"/>
                    <w:jc w:val="center"/>
                    <w:rPr>
                      <w:rFonts w:hint="eastAsia" w:ascii="宋体" w:hAnsi="宋体" w:eastAsia="宋体" w:cs="宋体"/>
                      <w:color w:val="auto"/>
                      <w:kern w:val="0"/>
                      <w:sz w:val="24"/>
                      <w:szCs w:val="24"/>
                      <w:highlight w:val="none"/>
                      <w:vertAlign w:val="baseline"/>
                      <w:lang w:val="en-US" w:eastAsia="zh-CN" w:bidi="ar"/>
                    </w:rPr>
                  </w:pPr>
                  <w:r>
                    <w:rPr>
                      <w:rFonts w:hint="eastAsia" w:cs="宋体"/>
                      <w:color w:val="auto"/>
                      <w:kern w:val="0"/>
                      <w:sz w:val="24"/>
                      <w:szCs w:val="24"/>
                      <w:highlight w:val="none"/>
                      <w:vertAlign w:val="baseline"/>
                      <w:lang w:val="en-US" w:eastAsia="zh-CN" w:bidi="ar"/>
                    </w:rPr>
                    <w:t>物业服务</w:t>
                  </w:r>
                </w:p>
              </w:tc>
            </w:tr>
          </w:tbl>
          <w:p w14:paraId="56AC7DD6">
            <w:pPr>
              <w:pStyle w:val="50"/>
              <w:rPr>
                <w:rFonts w:hint="eastAsia" w:ascii="宋体" w:hAnsi="宋体" w:eastAsia="宋体" w:cs="宋体"/>
                <w:color w:val="auto"/>
                <w:sz w:val="24"/>
                <w:szCs w:val="24"/>
                <w:highlight w:val="none"/>
              </w:rPr>
            </w:pPr>
          </w:p>
        </w:tc>
      </w:tr>
      <w:tr w14:paraId="140D50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3774" w:hRule="atLeast"/>
        </w:trPr>
        <w:tc>
          <w:tcPr>
            <w:tcW w:w="970" w:type="dxa"/>
            <w:tcBorders>
              <w:right w:val="single" w:color="auto" w:sz="4" w:space="0"/>
            </w:tcBorders>
            <w:vAlign w:val="center"/>
          </w:tcPr>
          <w:p w14:paraId="08D3F63A">
            <w:pPr>
              <w:pStyle w:val="50"/>
              <w:jc w:val="center"/>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18</w:t>
            </w:r>
          </w:p>
        </w:tc>
        <w:tc>
          <w:tcPr>
            <w:tcW w:w="1738" w:type="dxa"/>
            <w:tcBorders>
              <w:left w:val="single" w:color="auto" w:sz="4" w:space="0"/>
              <w:right w:val="single" w:color="auto" w:sz="4" w:space="0"/>
            </w:tcBorders>
            <w:vAlign w:val="center"/>
          </w:tcPr>
          <w:p w14:paraId="651753DB">
            <w:pPr>
              <w:pStyle w:val="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w:t>
            </w:r>
          </w:p>
          <w:p w14:paraId="5E3751DF">
            <w:pPr>
              <w:pStyle w:val="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合同融资政策</w:t>
            </w:r>
          </w:p>
        </w:tc>
        <w:tc>
          <w:tcPr>
            <w:tcW w:w="6700" w:type="dxa"/>
            <w:tcBorders>
              <w:left w:val="single" w:color="auto" w:sz="4" w:space="0"/>
            </w:tcBorders>
            <w:vAlign w:val="center"/>
          </w:tcPr>
          <w:p w14:paraId="4377B3EE">
            <w:pPr>
              <w:pStyle w:val="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有融资需求的中标人在获得政府采购中标通知书后，即可向开展“政采贷”业务的金融机构提出申请，金融机构依据政府采购中标通知书和政府采购合同，为中小微企业提供融资服务。</w:t>
            </w:r>
          </w:p>
          <w:p w14:paraId="5D7FBF5F">
            <w:pPr>
              <w:pStyle w:val="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“政采贷”融资指引：在取得政府采购中标通知书后，可访问“</w:t>
            </w:r>
            <w:r>
              <w:rPr>
                <w:rFonts w:hint="eastAsia" w:ascii="宋体" w:hAnsi="宋体" w:eastAsia="宋体" w:cs="宋体"/>
                <w:color w:val="auto"/>
                <w:sz w:val="24"/>
                <w:szCs w:val="24"/>
                <w:highlight w:val="none"/>
                <w:lang w:val="en-US" w:eastAsia="zh-CN"/>
              </w:rPr>
              <w:t>兵团</w:t>
            </w:r>
            <w:r>
              <w:rPr>
                <w:rFonts w:hint="eastAsia" w:ascii="宋体" w:hAnsi="宋体" w:eastAsia="宋体" w:cs="宋体"/>
                <w:color w:val="auto"/>
                <w:sz w:val="24"/>
                <w:szCs w:val="24"/>
                <w:highlight w:val="none"/>
                <w:lang w:eastAsia="zh-CN"/>
              </w:rPr>
              <w:t>政采贷</w:t>
            </w:r>
            <w:r>
              <w:rPr>
                <w:rFonts w:hint="eastAsia" w:ascii="宋体" w:hAnsi="宋体" w:eastAsia="宋体" w:cs="宋体"/>
                <w:color w:val="auto"/>
                <w:sz w:val="24"/>
                <w:szCs w:val="24"/>
                <w:highlight w:val="none"/>
                <w:lang w:val="en-US" w:eastAsia="zh-CN"/>
              </w:rPr>
              <w:t>融资服务平台”</w:t>
            </w:r>
            <w:r>
              <w:rPr>
                <w:rFonts w:hint="eastAsia" w:ascii="宋体" w:hAnsi="宋体" w:eastAsia="宋体" w:cs="宋体"/>
                <w:color w:val="auto"/>
                <w:sz w:val="24"/>
                <w:szCs w:val="24"/>
                <w:highlight w:val="none"/>
                <w:lang w:eastAsia="zh-CN"/>
              </w:rPr>
              <w:t>，查看和联系第三方平台或者金融机构，商洽融资事项，确定融资意向。中标人签署政府采购中标合同后，登录“</w:t>
            </w:r>
            <w:r>
              <w:rPr>
                <w:rFonts w:hint="eastAsia" w:ascii="宋体" w:hAnsi="宋体" w:eastAsia="宋体" w:cs="宋体"/>
                <w:color w:val="auto"/>
                <w:sz w:val="24"/>
                <w:szCs w:val="24"/>
                <w:highlight w:val="none"/>
                <w:lang w:val="en-US" w:eastAsia="zh-CN"/>
              </w:rPr>
              <w:t>兵团</w:t>
            </w:r>
            <w:r>
              <w:rPr>
                <w:rFonts w:hint="eastAsia" w:ascii="宋体" w:hAnsi="宋体" w:eastAsia="宋体" w:cs="宋体"/>
                <w:color w:val="auto"/>
                <w:sz w:val="24"/>
                <w:szCs w:val="24"/>
                <w:highlight w:val="none"/>
                <w:lang w:eastAsia="zh-CN"/>
              </w:rPr>
              <w:t>政采贷</w:t>
            </w:r>
            <w:r>
              <w:rPr>
                <w:rFonts w:hint="eastAsia" w:ascii="宋体" w:hAnsi="宋体" w:eastAsia="宋体" w:cs="宋体"/>
                <w:color w:val="auto"/>
                <w:sz w:val="24"/>
                <w:szCs w:val="24"/>
                <w:highlight w:val="none"/>
                <w:lang w:val="en-US" w:eastAsia="zh-CN"/>
              </w:rPr>
              <w:t>融资服务平台”</w:t>
            </w:r>
            <w:r>
              <w:rPr>
                <w:rFonts w:hint="eastAsia" w:ascii="宋体" w:hAnsi="宋体" w:eastAsia="宋体" w:cs="宋体"/>
                <w:color w:val="auto"/>
                <w:sz w:val="24"/>
                <w:szCs w:val="24"/>
                <w:highlight w:val="none"/>
                <w:lang w:eastAsia="zh-CN"/>
              </w:rPr>
              <w:t>，选择意向产品进行申请，并填写相关信息，“</w:t>
            </w:r>
            <w:r>
              <w:rPr>
                <w:rFonts w:hint="eastAsia" w:ascii="宋体" w:hAnsi="宋体" w:eastAsia="宋体" w:cs="宋体"/>
                <w:color w:val="auto"/>
                <w:sz w:val="24"/>
                <w:szCs w:val="24"/>
                <w:highlight w:val="none"/>
                <w:lang w:val="en-US" w:eastAsia="zh-CN"/>
              </w:rPr>
              <w:t>兵团</w:t>
            </w:r>
            <w:r>
              <w:rPr>
                <w:rFonts w:hint="eastAsia" w:ascii="宋体" w:hAnsi="宋体" w:eastAsia="宋体" w:cs="宋体"/>
                <w:color w:val="auto"/>
                <w:sz w:val="24"/>
                <w:szCs w:val="24"/>
                <w:highlight w:val="none"/>
                <w:lang w:eastAsia="zh-CN"/>
              </w:rPr>
              <w:t>政采贷</w:t>
            </w:r>
            <w:r>
              <w:rPr>
                <w:rFonts w:hint="eastAsia" w:ascii="宋体" w:hAnsi="宋体" w:eastAsia="宋体" w:cs="宋体"/>
                <w:color w:val="auto"/>
                <w:sz w:val="24"/>
                <w:szCs w:val="24"/>
                <w:highlight w:val="none"/>
                <w:lang w:val="en-US" w:eastAsia="zh-CN"/>
              </w:rPr>
              <w:t>融资服务平台”</w:t>
            </w:r>
            <w:r>
              <w:rPr>
                <w:rFonts w:hint="eastAsia" w:ascii="宋体" w:hAnsi="宋体" w:eastAsia="宋体" w:cs="宋体"/>
                <w:color w:val="auto"/>
                <w:sz w:val="24"/>
                <w:szCs w:val="24"/>
                <w:highlight w:val="none"/>
                <w:lang w:eastAsia="zh-CN"/>
              </w:rPr>
              <w:t>将中标人融资申请信息推送第三方平台、意向金融机构。</w:t>
            </w:r>
          </w:p>
        </w:tc>
      </w:tr>
      <w:tr w14:paraId="48C9FD1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2460" w:hRule="atLeast"/>
        </w:trPr>
        <w:tc>
          <w:tcPr>
            <w:tcW w:w="970" w:type="dxa"/>
            <w:tcBorders>
              <w:right w:val="single" w:color="auto" w:sz="4" w:space="0"/>
            </w:tcBorders>
            <w:vAlign w:val="center"/>
          </w:tcPr>
          <w:p w14:paraId="59449E7E">
            <w:pPr>
              <w:pStyle w:val="50"/>
              <w:jc w:val="center"/>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19</w:t>
            </w:r>
          </w:p>
        </w:tc>
        <w:tc>
          <w:tcPr>
            <w:tcW w:w="1738" w:type="dxa"/>
            <w:tcBorders>
              <w:right w:val="single" w:color="auto" w:sz="4" w:space="0"/>
            </w:tcBorders>
            <w:vAlign w:val="center"/>
          </w:tcPr>
          <w:p w14:paraId="7068A1E1">
            <w:pPr>
              <w:pStyle w:val="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需要补充的其他内容</w:t>
            </w:r>
          </w:p>
        </w:tc>
        <w:tc>
          <w:tcPr>
            <w:tcW w:w="6700" w:type="dxa"/>
            <w:tcBorders>
              <w:left w:val="single" w:color="auto" w:sz="4" w:space="0"/>
            </w:tcBorders>
            <w:shd w:val="clear" w:color="auto" w:fill="auto"/>
            <w:vAlign w:val="center"/>
          </w:tcPr>
          <w:p w14:paraId="48509A24">
            <w:pPr>
              <w:pStyle w:val="50"/>
              <w:rPr>
                <w:rFonts w:hint="eastAsia" w:ascii="宋体" w:hAnsi="宋体" w:eastAsia="宋体" w:cs="宋体"/>
                <w:color w:val="auto"/>
                <w:kern w:val="2"/>
                <w:sz w:val="24"/>
                <w:szCs w:val="24"/>
                <w:highlight w:val="none"/>
                <w:lang w:val="en-US" w:eastAsia="zh-CN" w:bidi="ar-SA"/>
              </w:rPr>
            </w:pPr>
            <w:r>
              <w:rPr>
                <w:rFonts w:hint="eastAsia" w:cs="宋体"/>
                <w:color w:val="auto"/>
                <w:sz w:val="24"/>
                <w:szCs w:val="24"/>
                <w:highlight w:val="none"/>
                <w:lang w:val="en-US" w:eastAsia="zh-CN"/>
              </w:rPr>
              <w:t>评审专家</w:t>
            </w:r>
            <w:r>
              <w:rPr>
                <w:rFonts w:hint="eastAsia" w:ascii="宋体" w:hAnsi="宋体" w:eastAsia="宋体" w:cs="宋体"/>
                <w:color w:val="auto"/>
                <w:sz w:val="24"/>
                <w:szCs w:val="24"/>
                <w:highlight w:val="none"/>
                <w:lang w:val="en-US" w:eastAsia="zh-CN"/>
              </w:rPr>
              <w:t>小组</w:t>
            </w:r>
            <w:r>
              <w:rPr>
                <w:rFonts w:hint="default" w:ascii="宋体" w:hAnsi="宋体" w:eastAsia="宋体" w:cs="宋体"/>
                <w:color w:val="auto"/>
                <w:sz w:val="24"/>
                <w:szCs w:val="24"/>
                <w:highlight w:val="none"/>
              </w:rPr>
              <w:t>构成：</w:t>
            </w:r>
            <w:r>
              <w:rPr>
                <w:rFonts w:hint="eastAsia" w:cs="宋体"/>
                <w:color w:val="auto"/>
                <w:sz w:val="24"/>
                <w:szCs w:val="24"/>
                <w:highlight w:val="none"/>
                <w:lang w:val="en-US" w:eastAsia="zh-CN"/>
              </w:rPr>
              <w:t>5</w:t>
            </w:r>
            <w:r>
              <w:rPr>
                <w:rFonts w:hint="default" w:ascii="宋体" w:hAnsi="宋体" w:eastAsia="宋体" w:cs="宋体"/>
                <w:color w:val="auto"/>
                <w:sz w:val="24"/>
                <w:szCs w:val="24"/>
                <w:highlight w:val="none"/>
              </w:rPr>
              <w:t xml:space="preserve"> 人，其中</w:t>
            </w:r>
            <w:r>
              <w:rPr>
                <w:rFonts w:hint="eastAsia" w:ascii="宋体" w:hAnsi="宋体" w:eastAsia="宋体" w:cs="宋体"/>
                <w:color w:val="auto"/>
                <w:sz w:val="24"/>
                <w:szCs w:val="24"/>
                <w:highlight w:val="none"/>
                <w:lang w:val="en-US" w:eastAsia="zh-CN"/>
              </w:rPr>
              <w:t>采购</w:t>
            </w:r>
            <w:r>
              <w:rPr>
                <w:rFonts w:hint="default" w:ascii="宋体" w:hAnsi="宋体" w:eastAsia="宋体" w:cs="宋体"/>
                <w:color w:val="auto"/>
                <w:sz w:val="24"/>
                <w:szCs w:val="24"/>
                <w:highlight w:val="none"/>
              </w:rPr>
              <w:t xml:space="preserve">人代表 </w:t>
            </w:r>
            <w:r>
              <w:rPr>
                <w:rFonts w:hint="eastAsia" w:cs="宋体"/>
                <w:color w:val="auto"/>
                <w:sz w:val="24"/>
                <w:szCs w:val="24"/>
                <w:highlight w:val="none"/>
                <w:lang w:val="en-US" w:eastAsia="zh-CN"/>
              </w:rPr>
              <w:t>1</w:t>
            </w:r>
            <w:r>
              <w:rPr>
                <w:rFonts w:hint="default" w:ascii="宋体" w:hAnsi="宋体" w:eastAsia="宋体" w:cs="宋体"/>
                <w:color w:val="auto"/>
                <w:sz w:val="24"/>
                <w:szCs w:val="24"/>
                <w:highlight w:val="none"/>
              </w:rPr>
              <w:t xml:space="preserve"> 人 和</w:t>
            </w:r>
            <w:r>
              <w:rPr>
                <w:rFonts w:hint="eastAsia" w:cs="宋体"/>
                <w:color w:val="auto"/>
                <w:sz w:val="24"/>
                <w:szCs w:val="24"/>
                <w:highlight w:val="none"/>
                <w:lang w:val="en-US" w:eastAsia="zh-CN"/>
              </w:rPr>
              <w:t>评审</w:t>
            </w:r>
            <w:r>
              <w:rPr>
                <w:rFonts w:hint="eastAsia" w:ascii="宋体" w:hAnsi="宋体" w:eastAsia="宋体" w:cs="宋体"/>
                <w:color w:val="auto"/>
                <w:sz w:val="24"/>
                <w:szCs w:val="24"/>
                <w:highlight w:val="none"/>
                <w:lang w:val="en-US" w:eastAsia="zh-CN"/>
              </w:rPr>
              <w:t>小组专</w:t>
            </w:r>
            <w:r>
              <w:rPr>
                <w:rFonts w:hint="default" w:ascii="宋体" w:hAnsi="宋体" w:eastAsia="宋体" w:cs="宋体"/>
                <w:color w:val="auto"/>
                <w:sz w:val="24"/>
                <w:szCs w:val="24"/>
                <w:highlight w:val="none"/>
              </w:rPr>
              <w:t>家</w:t>
            </w:r>
            <w:r>
              <w:rPr>
                <w:rFonts w:hint="eastAsia" w:cs="宋体"/>
                <w:color w:val="auto"/>
                <w:sz w:val="24"/>
                <w:szCs w:val="24"/>
                <w:highlight w:val="none"/>
                <w:lang w:val="en-US" w:eastAsia="zh-CN"/>
              </w:rPr>
              <w:t>4</w:t>
            </w:r>
            <w:r>
              <w:rPr>
                <w:rFonts w:hint="default" w:ascii="宋体" w:hAnsi="宋体" w:eastAsia="宋体" w:cs="宋体"/>
                <w:color w:val="auto"/>
                <w:sz w:val="24"/>
                <w:szCs w:val="24"/>
                <w:highlight w:val="none"/>
              </w:rPr>
              <w:t>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磋商小组专家</w:t>
            </w:r>
            <w:r>
              <w:rPr>
                <w:rFonts w:hint="default" w:ascii="宋体" w:hAnsi="宋体" w:eastAsia="宋体" w:cs="宋体"/>
                <w:color w:val="auto"/>
                <w:sz w:val="24"/>
                <w:szCs w:val="24"/>
                <w:highlight w:val="none"/>
              </w:rPr>
              <w:t>确定方式：</w:t>
            </w:r>
            <w:r>
              <w:rPr>
                <w:rFonts w:hint="eastAsia" w:ascii="宋体" w:hAnsi="宋体" w:eastAsia="宋体" w:cs="宋体"/>
                <w:color w:val="auto"/>
                <w:sz w:val="24"/>
                <w:szCs w:val="24"/>
                <w:highlight w:val="none"/>
                <w:lang w:val="en-US" w:eastAsia="zh-CN"/>
              </w:rPr>
              <w:t>从</w:t>
            </w:r>
            <w:r>
              <w:rPr>
                <w:rFonts w:hint="default" w:ascii="宋体" w:hAnsi="宋体" w:eastAsia="宋体" w:cs="宋体"/>
                <w:color w:val="auto"/>
                <w:sz w:val="24"/>
                <w:szCs w:val="24"/>
                <w:highlight w:val="none"/>
              </w:rPr>
              <w:t>政府采购</w:t>
            </w:r>
            <w:r>
              <w:rPr>
                <w:rFonts w:hint="eastAsia" w:ascii="宋体" w:hAnsi="宋体" w:eastAsia="宋体" w:cs="宋体"/>
                <w:color w:val="auto"/>
                <w:sz w:val="24"/>
                <w:szCs w:val="24"/>
                <w:highlight w:val="none"/>
                <w:lang w:val="en-US" w:eastAsia="zh-CN"/>
              </w:rPr>
              <w:t>专家库</w:t>
            </w:r>
            <w:r>
              <w:rPr>
                <w:rFonts w:hint="default" w:ascii="宋体" w:hAnsi="宋体" w:eastAsia="宋体" w:cs="宋体"/>
                <w:color w:val="auto"/>
                <w:sz w:val="24"/>
                <w:szCs w:val="24"/>
                <w:highlight w:val="none"/>
              </w:rPr>
              <w:t>随机抽取</w:t>
            </w:r>
            <w:r>
              <w:rPr>
                <w:rFonts w:hint="eastAsia" w:ascii="宋体" w:hAnsi="宋体" w:eastAsia="宋体" w:cs="宋体"/>
                <w:color w:val="auto"/>
                <w:sz w:val="24"/>
                <w:szCs w:val="24"/>
                <w:highlight w:val="none"/>
                <w:lang w:eastAsia="zh-CN"/>
              </w:rPr>
              <w:t>，</w:t>
            </w:r>
            <w:r>
              <w:rPr>
                <w:rFonts w:hint="default" w:ascii="宋体" w:hAnsi="宋体" w:eastAsia="宋体" w:cs="宋体"/>
                <w:color w:val="auto"/>
                <w:sz w:val="24"/>
                <w:szCs w:val="24"/>
                <w:highlight w:val="none"/>
              </w:rPr>
              <w:t>语音通知方式</w:t>
            </w:r>
            <w:r>
              <w:rPr>
                <w:rFonts w:hint="eastAsia" w:ascii="宋体" w:hAnsi="宋体" w:eastAsia="宋体" w:cs="宋体"/>
                <w:color w:val="auto"/>
                <w:sz w:val="24"/>
                <w:szCs w:val="24"/>
                <w:highlight w:val="none"/>
                <w:lang w:val="en-US" w:eastAsia="zh-CN"/>
              </w:rPr>
              <w:t>确定。</w:t>
            </w:r>
          </w:p>
        </w:tc>
      </w:tr>
      <w:tr w14:paraId="0C2269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408" w:type="dxa"/>
            <w:gridSpan w:val="3"/>
            <w:vAlign w:val="center"/>
          </w:tcPr>
          <w:p w14:paraId="16CF3F9F">
            <w:pPr>
              <w:pStyle w:val="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w:t>
            </w:r>
          </w:p>
          <w:p w14:paraId="1ECD6A03">
            <w:pPr>
              <w:pStyle w:val="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除本招标文件另有规定外，招标文件中出现的类似于“近三年”或“前三年”、“近五年”或“前五年”均指递交投标文件</w:t>
            </w:r>
            <w:r>
              <w:rPr>
                <w:rFonts w:hint="eastAsia" w:ascii="宋体" w:hAnsi="宋体" w:eastAsia="宋体" w:cs="宋体"/>
                <w:color w:val="auto"/>
                <w:sz w:val="24"/>
                <w:szCs w:val="24"/>
                <w:highlight w:val="none"/>
                <w:lang w:val="en-US" w:eastAsia="zh-CN"/>
              </w:rPr>
              <w:t>截止</w:t>
            </w: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lang w:val="en-US" w:eastAsia="zh-CN"/>
              </w:rPr>
              <w:t>之</w:t>
            </w:r>
            <w:r>
              <w:rPr>
                <w:rFonts w:hint="eastAsia" w:ascii="宋体" w:hAnsi="宋体" w:eastAsia="宋体" w:cs="宋体"/>
                <w:color w:val="auto"/>
                <w:sz w:val="24"/>
                <w:szCs w:val="24"/>
                <w:highlight w:val="none"/>
              </w:rPr>
              <w:t>前三年或前五年，以此类推。如：递交投标文件时间为  年  月  日，则“近三年”是指  年  月  日至  年  月  日。</w:t>
            </w:r>
          </w:p>
          <w:p w14:paraId="6F66C892">
            <w:pPr>
              <w:pStyle w:val="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本招标文件所称的“以上”、“以下”、“内”、“以内”，包括本数；所称的“不足”，不包括本数。</w:t>
            </w:r>
          </w:p>
        </w:tc>
      </w:tr>
    </w:tbl>
    <w:p w14:paraId="1E49564A">
      <w:pPr>
        <w:rPr>
          <w:color w:val="auto"/>
          <w:highlight w:val="none"/>
        </w:rPr>
      </w:pPr>
    </w:p>
    <w:p w14:paraId="43A4992E">
      <w:pPr>
        <w:rPr>
          <w:rFonts w:hint="eastAsia" w:eastAsia="宋体" w:asciiTheme="majorHAnsi" w:hAnsiTheme="majorHAnsi" w:cstheme="majorBidi"/>
          <w:b/>
          <w:bCs/>
          <w:color w:val="auto"/>
          <w:kern w:val="2"/>
          <w:sz w:val="32"/>
          <w:szCs w:val="32"/>
          <w:highlight w:val="none"/>
          <w:lang w:val="en-US" w:eastAsia="zh-CN" w:bidi="ar-SA"/>
        </w:rPr>
      </w:pPr>
      <w:bookmarkStart w:id="104" w:name="_Toc155185869"/>
      <w:r>
        <w:rPr>
          <w:rFonts w:hint="eastAsia" w:eastAsia="宋体" w:asciiTheme="majorHAnsi" w:hAnsiTheme="majorHAnsi" w:cstheme="majorBidi"/>
          <w:b/>
          <w:bCs/>
          <w:color w:val="auto"/>
          <w:kern w:val="2"/>
          <w:sz w:val="32"/>
          <w:szCs w:val="32"/>
          <w:highlight w:val="none"/>
          <w:lang w:val="en-US" w:eastAsia="zh-CN" w:bidi="ar-SA"/>
        </w:rPr>
        <w:br w:type="page"/>
      </w:r>
    </w:p>
    <w:p w14:paraId="410914FC">
      <w:pPr>
        <w:pStyle w:val="2"/>
        <w:keepNext/>
        <w:keepLines/>
        <w:pageBreakBefore w:val="0"/>
        <w:widowControl w:val="0"/>
        <w:numPr>
          <w:ilvl w:val="0"/>
          <w:numId w:val="0"/>
        </w:numPr>
        <w:kinsoku/>
        <w:wordWrap/>
        <w:overflowPunct/>
        <w:topLinePunct w:val="0"/>
        <w:autoSpaceDE/>
        <w:autoSpaceDN/>
        <w:bidi w:val="0"/>
        <w:adjustRightInd/>
        <w:snapToGrid/>
        <w:spacing w:before="80" w:after="80" w:line="360" w:lineRule="auto"/>
        <w:ind w:left="420" w:leftChars="0" w:hanging="420" w:firstLineChars="0"/>
        <w:textAlignment w:val="auto"/>
        <w:rPr>
          <w:rFonts w:hint="eastAsia" w:eastAsia="宋体" w:asciiTheme="majorHAnsi" w:hAnsiTheme="majorHAnsi" w:cstheme="majorBidi"/>
          <w:b/>
          <w:bCs/>
          <w:color w:val="auto"/>
          <w:kern w:val="2"/>
          <w:sz w:val="28"/>
          <w:szCs w:val="28"/>
          <w:highlight w:val="none"/>
          <w:lang w:val="en-US" w:eastAsia="zh-CN" w:bidi="ar-SA"/>
        </w:rPr>
      </w:pPr>
      <w:bookmarkStart w:id="105" w:name="_Toc18554"/>
      <w:r>
        <w:rPr>
          <w:rFonts w:hint="eastAsia" w:eastAsia="宋体" w:asciiTheme="majorHAnsi" w:hAnsiTheme="majorHAnsi" w:cstheme="majorBidi"/>
          <w:b/>
          <w:bCs/>
          <w:color w:val="auto"/>
          <w:kern w:val="2"/>
          <w:sz w:val="28"/>
          <w:szCs w:val="28"/>
          <w:highlight w:val="none"/>
          <w:lang w:val="en-US" w:eastAsia="zh-CN" w:bidi="ar-SA"/>
        </w:rPr>
        <w:t>二、投标人须知</w:t>
      </w:r>
      <w:bookmarkEnd w:id="104"/>
      <w:bookmarkEnd w:id="105"/>
    </w:p>
    <w:p w14:paraId="604D77A9">
      <w:pPr>
        <w:pStyle w:val="4"/>
        <w:keepNext w:val="0"/>
        <w:keepLines w:val="0"/>
        <w:pageBreakBefore w:val="0"/>
        <w:widowControl w:val="0"/>
        <w:numPr>
          <w:ilvl w:val="0"/>
          <w:numId w:val="0"/>
        </w:numPr>
        <w:kinsoku/>
        <w:wordWrap/>
        <w:overflowPunct/>
        <w:topLinePunct w:val="0"/>
        <w:autoSpaceDE/>
        <w:autoSpaceDN/>
        <w:bidi w:val="0"/>
        <w:adjustRightInd/>
        <w:snapToGrid/>
        <w:spacing w:before="120" w:after="12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106" w:name="_Toc28135"/>
      <w:bookmarkStart w:id="107" w:name="_Toc5011"/>
      <w:bookmarkStart w:id="108" w:name="_Toc155185870"/>
      <w:bookmarkStart w:id="109" w:name="_Toc9308"/>
      <w:bookmarkStart w:id="110" w:name="_Toc163492822"/>
      <w:r>
        <w:rPr>
          <w:rFonts w:hint="eastAsia" w:ascii="宋体" w:hAnsi="宋体" w:eastAsia="宋体" w:cs="宋体"/>
          <w:b/>
          <w:bCs/>
          <w:color w:val="auto"/>
          <w:kern w:val="2"/>
          <w:sz w:val="24"/>
          <w:szCs w:val="24"/>
          <w:highlight w:val="none"/>
          <w:lang w:val="en-US" w:eastAsia="zh-CN" w:bidi="ar-SA"/>
        </w:rPr>
        <w:t>（一）总则</w:t>
      </w:r>
      <w:bookmarkEnd w:id="106"/>
      <w:bookmarkEnd w:id="107"/>
      <w:bookmarkEnd w:id="108"/>
      <w:bookmarkEnd w:id="109"/>
      <w:bookmarkEnd w:id="110"/>
    </w:p>
    <w:p w14:paraId="788765C9">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111" w:name="_Toc1399"/>
      <w:bookmarkStart w:id="112" w:name="_Toc155095689"/>
      <w:bookmarkStart w:id="113" w:name="_Toc109900469"/>
      <w:bookmarkStart w:id="114" w:name="_Toc31233"/>
      <w:bookmarkStart w:id="115" w:name="_Toc109899631"/>
      <w:bookmarkStart w:id="116" w:name="_Toc163492823"/>
      <w:bookmarkStart w:id="117" w:name="_Toc22777"/>
      <w:bookmarkStart w:id="118" w:name="_Toc24126"/>
      <w:bookmarkStart w:id="119" w:name="_Toc109900050"/>
      <w:bookmarkStart w:id="120" w:name="_Toc109897532"/>
      <w:r>
        <w:rPr>
          <w:rFonts w:hint="eastAsia" w:ascii="宋体" w:hAnsi="宋体" w:eastAsia="宋体" w:cs="宋体"/>
          <w:b/>
          <w:bCs/>
          <w:color w:val="auto"/>
          <w:kern w:val="2"/>
          <w:sz w:val="24"/>
          <w:szCs w:val="24"/>
          <w:highlight w:val="none"/>
          <w:lang w:val="en-US" w:eastAsia="zh-CN" w:bidi="ar-SA"/>
        </w:rPr>
        <w:t>1.适用范围</w:t>
      </w:r>
      <w:bookmarkEnd w:id="111"/>
      <w:bookmarkEnd w:id="112"/>
      <w:bookmarkEnd w:id="113"/>
      <w:bookmarkEnd w:id="114"/>
      <w:bookmarkEnd w:id="115"/>
      <w:bookmarkEnd w:id="116"/>
      <w:bookmarkEnd w:id="117"/>
      <w:bookmarkEnd w:id="118"/>
      <w:bookmarkEnd w:id="119"/>
      <w:bookmarkEnd w:id="120"/>
    </w:p>
    <w:p w14:paraId="38963635">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1.1本招标文件仅适用于本项目的采购活动。</w:t>
      </w:r>
    </w:p>
    <w:p w14:paraId="34F08411">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121" w:name="_Toc11043"/>
      <w:bookmarkStart w:id="122" w:name="_Toc163492824"/>
      <w:bookmarkStart w:id="123" w:name="_Toc8394"/>
      <w:bookmarkStart w:id="124" w:name="_Toc11954"/>
      <w:r>
        <w:rPr>
          <w:rFonts w:hint="eastAsia" w:ascii="宋体" w:hAnsi="宋体" w:eastAsia="宋体" w:cs="宋体"/>
          <w:b/>
          <w:bCs/>
          <w:color w:val="auto"/>
          <w:kern w:val="2"/>
          <w:sz w:val="24"/>
          <w:szCs w:val="24"/>
          <w:highlight w:val="none"/>
          <w:lang w:val="en-US" w:eastAsia="zh-CN" w:bidi="ar-SA"/>
        </w:rPr>
        <w:t>2.基本定义</w:t>
      </w:r>
      <w:bookmarkEnd w:id="121"/>
      <w:bookmarkEnd w:id="122"/>
      <w:bookmarkEnd w:id="123"/>
      <w:bookmarkEnd w:id="124"/>
    </w:p>
    <w:p w14:paraId="768D70C2">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2.1根据《中华人民共和国政府采购法》及其实施条例等有关法律、法规和规章的规定，制定本招标文件。</w:t>
      </w:r>
    </w:p>
    <w:p w14:paraId="342EC44E">
      <w:pPr>
        <w:keepNext w:val="0"/>
        <w:keepLines w:val="0"/>
        <w:pageBreakBefore w:val="0"/>
        <w:widowControl w:val="0"/>
        <w:suppressLineNumbers w:val="0"/>
        <w:kinsoku/>
        <w:overflowPunct/>
        <w:topLinePunct w:val="0"/>
        <w:autoSpaceDE/>
        <w:autoSpaceDN/>
        <w:bidi w:val="0"/>
        <w:adjustRightIn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2.2采购人：</w:t>
      </w:r>
      <w:r>
        <w:rPr>
          <w:rFonts w:hint="eastAsia" w:ascii="宋体" w:hAnsi="宋体" w:eastAsia="宋体" w:cs="宋体"/>
          <w:color w:val="auto"/>
          <w:kern w:val="0"/>
          <w:sz w:val="24"/>
          <w:szCs w:val="24"/>
          <w:highlight w:val="none"/>
          <w:lang w:val="en-US" w:eastAsia="zh-CN" w:bidi="ar"/>
        </w:rPr>
        <w:t>指依法进行政府采购的国家机关、事业单位、团体组织</w:t>
      </w:r>
      <w:r>
        <w:rPr>
          <w:rFonts w:hint="eastAsia" w:ascii="宋体" w:hAnsi="宋体" w:eastAsia="宋体" w:cs="宋体"/>
          <w:color w:val="auto"/>
          <w:sz w:val="24"/>
          <w:szCs w:val="24"/>
          <w:highlight w:val="none"/>
        </w:rPr>
        <w:t>。</w:t>
      </w:r>
    </w:p>
    <w:p w14:paraId="429A3EF6">
      <w:pPr>
        <w:keepNext w:val="0"/>
        <w:keepLines w:val="0"/>
        <w:pageBreakBefore w:val="0"/>
        <w:widowControl w:val="0"/>
        <w:suppressLineNumbers w:val="0"/>
        <w:kinsoku/>
        <w:overflowPunct/>
        <w:topLinePunct w:val="0"/>
        <w:autoSpaceDE/>
        <w:autoSpaceDN/>
        <w:bidi w:val="0"/>
        <w:adjustRightInd/>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2.3采购代理机构：</w:t>
      </w:r>
      <w:r>
        <w:rPr>
          <w:rFonts w:hint="eastAsia" w:ascii="宋体" w:hAnsi="宋体" w:eastAsia="宋体" w:cs="宋体"/>
          <w:color w:val="auto"/>
          <w:kern w:val="0"/>
          <w:sz w:val="24"/>
          <w:szCs w:val="24"/>
          <w:highlight w:val="none"/>
          <w:lang w:val="en-US" w:eastAsia="zh-CN" w:bidi="ar"/>
        </w:rPr>
        <w:t>指依法进行政府采购的国家机关、事业单位、团体组织</w:t>
      </w:r>
      <w:r>
        <w:rPr>
          <w:rFonts w:hint="eastAsia" w:ascii="宋体" w:hAnsi="宋体" w:eastAsia="宋体" w:cs="宋体"/>
          <w:color w:val="auto"/>
          <w:sz w:val="24"/>
          <w:szCs w:val="24"/>
          <w:highlight w:val="none"/>
          <w:lang w:val="en-US" w:eastAsia="zh-CN"/>
        </w:rPr>
        <w:t>委托的采购代理机构</w:t>
      </w:r>
      <w:r>
        <w:rPr>
          <w:rFonts w:hint="eastAsia" w:ascii="宋体" w:hAnsi="宋体" w:eastAsia="宋体" w:cs="宋体"/>
          <w:color w:val="auto"/>
          <w:sz w:val="24"/>
          <w:szCs w:val="24"/>
          <w:highlight w:val="none"/>
        </w:rPr>
        <w:t>。</w:t>
      </w:r>
    </w:p>
    <w:p w14:paraId="26D50742">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2.4政府采购监督管理部门：各级人民政府财政部门是负责政府采购监督管理的部门，依法履行对政府采购活动的监督管理职责。各级人民政府其他有关部门依法履行与政府采购活动有关的监督管理职责。</w:t>
      </w:r>
    </w:p>
    <w:p w14:paraId="18E21DAA">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 服务包含的内容见</w:t>
      </w:r>
      <w:r>
        <w:rPr>
          <w:rFonts w:hint="eastAsia" w:ascii="宋体" w:hAnsi="宋体" w:eastAsia="宋体" w:cs="宋体"/>
          <w:color w:val="auto"/>
          <w:sz w:val="24"/>
          <w:szCs w:val="24"/>
          <w:highlight w:val="none"/>
        </w:rPr>
        <w:t>“投标人须知前附表”</w:t>
      </w:r>
      <w:r>
        <w:rPr>
          <w:rFonts w:hint="eastAsia" w:ascii="宋体" w:hAnsi="宋体" w:eastAsia="宋体" w:cs="宋体"/>
          <w:color w:val="auto"/>
          <w:sz w:val="24"/>
          <w:szCs w:val="24"/>
          <w:highlight w:val="none"/>
          <w:lang w:val="en-US" w:eastAsia="zh-CN"/>
        </w:rPr>
        <w:t>。</w:t>
      </w:r>
    </w:p>
    <w:p w14:paraId="214DD75F">
      <w:pPr>
        <w:ind w:firstLine="480" w:firstLineChars="200"/>
        <w:rPr>
          <w:rFonts w:hint="eastAsia" w:ascii="宋体" w:hAnsi="宋体" w:eastAsia="宋体" w:cs="宋体"/>
          <w:color w:val="auto"/>
          <w:sz w:val="24"/>
          <w:szCs w:val="24"/>
          <w:highlight w:val="none"/>
        </w:rPr>
      </w:pPr>
      <w:r>
        <w:rPr>
          <w:rFonts w:hint="eastAsia" w:ascii="宋体" w:hAnsi="宋体" w:eastAsia="宋体" w:cs="宋体"/>
          <w:iCs/>
          <w:color w:val="auto"/>
          <w:sz w:val="24"/>
          <w:szCs w:val="24"/>
          <w:highlight w:val="none"/>
          <w:shd w:val="clear" w:color="auto" w:fill="FFFFFF" w:themeFill="background1"/>
        </w:rPr>
        <w:t>2.6投标人（也称“供应商”、“申请人”）：指向采购人提供货物、工程或者服务的法人、其他组织或者自然人。</w:t>
      </w:r>
      <w:r>
        <w:rPr>
          <w:rFonts w:hint="eastAsia" w:ascii="宋体" w:hAnsi="宋体" w:eastAsia="宋体" w:cs="宋体"/>
          <w:color w:val="auto"/>
          <w:sz w:val="24"/>
          <w:szCs w:val="24"/>
          <w:highlight w:val="none"/>
        </w:rPr>
        <w:t>分支机构不得参加政府采购活动，但银行、保险、石油石化、电力、电信等</w:t>
      </w:r>
      <w:r>
        <w:rPr>
          <w:rFonts w:hint="eastAsia" w:ascii="宋体" w:hAnsi="宋体" w:eastAsia="宋体" w:cs="宋体"/>
          <w:color w:val="auto"/>
          <w:sz w:val="24"/>
          <w:szCs w:val="24"/>
          <w:highlight w:val="none"/>
          <w:lang w:val="en-US" w:eastAsia="zh-CN"/>
        </w:rPr>
        <w:t>有</w:t>
      </w:r>
      <w:r>
        <w:rPr>
          <w:rFonts w:hint="eastAsia" w:ascii="宋体" w:hAnsi="宋体" w:eastAsia="宋体" w:cs="宋体"/>
          <w:color w:val="auto"/>
          <w:sz w:val="24"/>
          <w:szCs w:val="24"/>
          <w:highlight w:val="none"/>
        </w:rPr>
        <w:t>行业特殊</w:t>
      </w:r>
      <w:r>
        <w:rPr>
          <w:rFonts w:hint="eastAsia" w:ascii="宋体" w:hAnsi="宋体" w:eastAsia="宋体" w:cs="宋体"/>
          <w:color w:val="auto"/>
          <w:sz w:val="24"/>
          <w:szCs w:val="24"/>
          <w:highlight w:val="none"/>
          <w:lang w:val="en-US" w:eastAsia="zh-CN"/>
        </w:rPr>
        <w:t>情况的</w:t>
      </w:r>
      <w:r>
        <w:rPr>
          <w:rFonts w:hint="eastAsia" w:ascii="宋体" w:hAnsi="宋体" w:eastAsia="宋体" w:cs="宋体"/>
          <w:color w:val="auto"/>
          <w:sz w:val="24"/>
          <w:szCs w:val="24"/>
          <w:highlight w:val="none"/>
        </w:rPr>
        <w:t>除外。本项目的投标人须满足以下条件：</w:t>
      </w:r>
    </w:p>
    <w:p w14:paraId="2518C535">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2.6.1具备《中华人民共和国政府采购法》第二十二条规定的条件，遵守本项目采购人本级和上级财政部门政府采购的有关规定。</w:t>
      </w:r>
    </w:p>
    <w:p w14:paraId="76745163">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2.6.2以招标公告中发布的方式依法获得了本项目的招标文件。</w:t>
      </w:r>
    </w:p>
    <w:p w14:paraId="0DE24F0D">
      <w:pPr>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2.6.3符合本招标文件规定并参加投标的供应商。</w:t>
      </w:r>
    </w:p>
    <w:p w14:paraId="5FC27D1B">
      <w:pPr>
        <w:pStyle w:val="38"/>
        <w:keepNext w:val="0"/>
        <w:keepLines w:val="0"/>
        <w:pageBreakBefore w:val="0"/>
        <w:widowControl w:val="0"/>
        <w:kinsoku/>
        <w:overflowPunct/>
        <w:topLinePunct w:val="0"/>
        <w:autoSpaceDE/>
        <w:autoSpaceDN/>
        <w:bidi w:val="0"/>
        <w:adjustRightInd/>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2.7</w:t>
      </w:r>
      <w:r>
        <w:rPr>
          <w:rFonts w:hint="eastAsia" w:ascii="宋体" w:hAnsi="宋体" w:eastAsia="宋体" w:cs="宋体"/>
          <w:iCs/>
          <w:color w:val="auto"/>
          <w:sz w:val="24"/>
          <w:szCs w:val="24"/>
          <w:highlight w:val="none"/>
          <w:shd w:val="clear" w:color="auto" w:fill="FFFFFF" w:themeFill="background1"/>
        </w:rPr>
        <w:t>潜在投标人、潜在供应商</w:t>
      </w:r>
      <w:r>
        <w:rPr>
          <w:rFonts w:hint="eastAsia" w:ascii="宋体" w:hAnsi="宋体" w:eastAsia="宋体" w:cs="宋体"/>
          <w:iCs/>
          <w:color w:val="auto"/>
          <w:sz w:val="24"/>
          <w:szCs w:val="24"/>
          <w:highlight w:val="none"/>
          <w:shd w:val="clear" w:color="auto" w:fill="FFFFFF" w:themeFill="background1"/>
          <w:lang w:eastAsia="zh-CN"/>
        </w:rPr>
        <w:t>：</w:t>
      </w:r>
      <w:r>
        <w:rPr>
          <w:rFonts w:hint="eastAsia" w:ascii="宋体" w:hAnsi="宋体" w:eastAsia="宋体" w:cs="宋体"/>
          <w:iCs/>
          <w:color w:val="auto"/>
          <w:sz w:val="24"/>
          <w:szCs w:val="24"/>
          <w:highlight w:val="none"/>
          <w:shd w:val="clear" w:color="auto" w:fill="FFFFFF" w:themeFill="background1"/>
          <w:lang w:val="en-US" w:eastAsia="zh-CN"/>
        </w:rPr>
        <w:t>指</w:t>
      </w:r>
      <w:r>
        <w:rPr>
          <w:rFonts w:hint="eastAsia" w:ascii="宋体" w:hAnsi="宋体" w:eastAsia="宋体" w:cs="宋体"/>
          <w:color w:val="auto"/>
          <w:sz w:val="24"/>
          <w:szCs w:val="24"/>
          <w:highlight w:val="none"/>
          <w:lang w:val="en-US" w:eastAsia="zh-CN"/>
        </w:rPr>
        <w:t>符合本招标文件规定的供应商</w:t>
      </w:r>
      <w:r>
        <w:rPr>
          <w:rFonts w:hint="eastAsia" w:ascii="宋体" w:hAnsi="宋体" w:eastAsia="宋体" w:cs="宋体"/>
          <w:color w:val="auto"/>
          <w:sz w:val="24"/>
          <w:szCs w:val="24"/>
          <w:highlight w:val="none"/>
        </w:rPr>
        <w:t>。</w:t>
      </w:r>
    </w:p>
    <w:p w14:paraId="7BECD896">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125" w:name="_Toc140132758"/>
      <w:bookmarkStart w:id="126" w:name="_Toc15923"/>
      <w:bookmarkStart w:id="127" w:name="_Toc27150"/>
      <w:bookmarkStart w:id="128" w:name="_Toc22315"/>
      <w:bookmarkStart w:id="129" w:name="_Toc163492825"/>
      <w:r>
        <w:rPr>
          <w:rFonts w:hint="eastAsia" w:ascii="宋体" w:hAnsi="宋体" w:eastAsia="宋体" w:cs="宋体"/>
          <w:b/>
          <w:bCs/>
          <w:color w:val="auto"/>
          <w:kern w:val="2"/>
          <w:sz w:val="24"/>
          <w:szCs w:val="24"/>
          <w:highlight w:val="none"/>
          <w:lang w:val="en-US" w:eastAsia="zh-CN" w:bidi="ar-SA"/>
        </w:rPr>
        <w:t>3.资金来源</w:t>
      </w:r>
      <w:bookmarkEnd w:id="125"/>
      <w:bookmarkEnd w:id="126"/>
      <w:bookmarkEnd w:id="127"/>
      <w:bookmarkEnd w:id="128"/>
      <w:bookmarkEnd w:id="129"/>
    </w:p>
    <w:p w14:paraId="76E8C14F">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3.1资金来源：</w:t>
      </w:r>
      <w:r>
        <w:rPr>
          <w:rFonts w:hint="eastAsia" w:ascii="宋体" w:hAnsi="宋体" w:eastAsia="宋体" w:cs="宋体"/>
          <w:color w:val="auto"/>
          <w:sz w:val="24"/>
          <w:szCs w:val="24"/>
          <w:highlight w:val="none"/>
          <w:lang w:val="en-US" w:eastAsia="zh-CN"/>
        </w:rPr>
        <w:t>为财政性资金即</w:t>
      </w:r>
      <w:r>
        <w:rPr>
          <w:rFonts w:hint="eastAsia" w:ascii="宋体" w:hAnsi="宋体" w:eastAsia="宋体" w:cs="宋体"/>
          <w:color w:val="auto"/>
          <w:sz w:val="24"/>
          <w:szCs w:val="24"/>
          <w:highlight w:val="none"/>
        </w:rPr>
        <w:t>纳入预算管理的资金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以财政性资金作为还款来源的借贷资金，视同财政性资金。财政性资金与非财政性资金无法分割采购的，统一适用《中华人民共和国政府采购法》及其实施条例。</w:t>
      </w:r>
    </w:p>
    <w:p w14:paraId="17722C40">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130" w:name="_Toc4285"/>
      <w:bookmarkStart w:id="131" w:name="_Toc140132760"/>
      <w:bookmarkStart w:id="132" w:name="_Toc163492826"/>
      <w:bookmarkStart w:id="133" w:name="_Toc15559"/>
      <w:bookmarkStart w:id="134" w:name="_Toc21872"/>
      <w:r>
        <w:rPr>
          <w:rFonts w:hint="eastAsia" w:ascii="宋体" w:hAnsi="宋体" w:eastAsia="宋体" w:cs="宋体"/>
          <w:b/>
          <w:bCs/>
          <w:color w:val="auto"/>
          <w:kern w:val="2"/>
          <w:sz w:val="24"/>
          <w:szCs w:val="24"/>
          <w:highlight w:val="none"/>
          <w:lang w:val="en-US" w:eastAsia="zh-CN" w:bidi="ar-SA"/>
        </w:rPr>
        <w:t>4.投标人资格要求</w:t>
      </w:r>
      <w:bookmarkEnd w:id="130"/>
      <w:bookmarkEnd w:id="131"/>
      <w:bookmarkEnd w:id="132"/>
      <w:bookmarkEnd w:id="133"/>
      <w:bookmarkEnd w:id="134"/>
    </w:p>
    <w:p w14:paraId="522AD9C1">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4.1投标人资格要求：见“</w:t>
      </w:r>
      <w:r>
        <w:rPr>
          <w:rFonts w:hint="eastAsia" w:ascii="宋体" w:hAnsi="宋体" w:eastAsia="宋体" w:cs="宋体"/>
          <w:color w:val="auto"/>
          <w:sz w:val="24"/>
          <w:szCs w:val="24"/>
          <w:highlight w:val="none"/>
          <w:lang w:val="en-US" w:eastAsia="zh-CN"/>
        </w:rPr>
        <w:t>第一章 招标公告</w:t>
      </w:r>
      <w:r>
        <w:rPr>
          <w:rFonts w:hint="eastAsia" w:ascii="宋体" w:hAnsi="宋体" w:eastAsia="宋体" w:cs="宋体"/>
          <w:color w:val="auto"/>
          <w:sz w:val="24"/>
          <w:szCs w:val="24"/>
          <w:highlight w:val="none"/>
        </w:rPr>
        <w:t>”；</w:t>
      </w:r>
    </w:p>
    <w:p w14:paraId="3B57853B">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第一章 招标公告</w:t>
      </w:r>
      <w:r>
        <w:rPr>
          <w:rFonts w:hint="eastAsia" w:ascii="宋体" w:hAnsi="宋体" w:eastAsia="宋体" w:cs="宋体"/>
          <w:color w:val="auto"/>
          <w:sz w:val="24"/>
          <w:szCs w:val="24"/>
          <w:highlight w:val="none"/>
          <w:lang w:val="zh-CN" w:eastAsia="zh-CN"/>
        </w:rPr>
        <w:t>”规定接受联合体投标的，还应遵守以下规定：</w:t>
      </w:r>
    </w:p>
    <w:p w14:paraId="512308FF">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Cs/>
          <w:color w:val="auto"/>
          <w:kern w:val="2"/>
          <w:sz w:val="24"/>
          <w:szCs w:val="24"/>
          <w:highlight w:val="none"/>
          <w:shd w:val="clear" w:color="auto" w:fill="FFFFFF" w:themeFill="background1"/>
          <w:lang w:val="zh-CN" w:eastAsia="zh-CN" w:bidi="ar-SA"/>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eastAsia="zh-CN"/>
        </w:rPr>
        <w:t>1两个以上的自然人、法人或者其他组织可以组成一个联合体，以一个</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zh-CN" w:eastAsia="zh-CN"/>
        </w:rPr>
        <w:t>的身份共同参加政府采购。</w:t>
      </w:r>
      <w:r>
        <w:rPr>
          <w:rFonts w:hint="eastAsia" w:ascii="宋体" w:hAnsi="宋体" w:eastAsia="宋体" w:cs="宋体"/>
          <w:iCs/>
          <w:color w:val="auto"/>
          <w:kern w:val="2"/>
          <w:sz w:val="24"/>
          <w:szCs w:val="24"/>
          <w:highlight w:val="none"/>
          <w:shd w:val="clear" w:color="auto" w:fill="FFFFFF" w:themeFill="background1"/>
          <w:lang w:val="zh-CN" w:eastAsia="zh-CN" w:bidi="ar-SA"/>
        </w:rPr>
        <w:t>以联合体形式进行政府采购的，参加联合体的供应商均应当具备《</w:t>
      </w:r>
      <w:r>
        <w:rPr>
          <w:rFonts w:hint="eastAsia" w:ascii="宋体" w:hAnsi="宋体" w:eastAsia="宋体" w:cs="宋体"/>
          <w:color w:val="auto"/>
          <w:sz w:val="24"/>
          <w:szCs w:val="24"/>
          <w:highlight w:val="none"/>
        </w:rPr>
        <w:t>中华人民共和国政府采购法</w:t>
      </w:r>
      <w:r>
        <w:rPr>
          <w:rFonts w:hint="eastAsia" w:ascii="宋体" w:hAnsi="宋体" w:eastAsia="宋体" w:cs="宋体"/>
          <w:iCs/>
          <w:color w:val="auto"/>
          <w:kern w:val="2"/>
          <w:sz w:val="24"/>
          <w:szCs w:val="24"/>
          <w:highlight w:val="none"/>
          <w:shd w:val="clear" w:color="auto" w:fill="FFFFFF" w:themeFill="background1"/>
          <w:lang w:val="zh-CN" w:eastAsia="zh-CN" w:bidi="ar-SA"/>
        </w:rPr>
        <w:t>》第二十二条规定的条件。</w:t>
      </w:r>
    </w:p>
    <w:p w14:paraId="7EFB49B3">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Cs/>
          <w:color w:val="auto"/>
          <w:kern w:val="2"/>
          <w:sz w:val="24"/>
          <w:szCs w:val="24"/>
          <w:highlight w:val="none"/>
          <w:shd w:val="clear" w:color="auto" w:fill="FFFFFF" w:themeFill="background1"/>
          <w:lang w:val="zh-CN" w:eastAsia="zh-CN" w:bidi="ar-SA"/>
        </w:rPr>
      </w:pPr>
      <w:r>
        <w:rPr>
          <w:rFonts w:hint="eastAsia" w:ascii="宋体" w:hAnsi="宋体" w:eastAsia="宋体" w:cs="宋体"/>
          <w:iCs/>
          <w:color w:val="auto"/>
          <w:kern w:val="2"/>
          <w:sz w:val="24"/>
          <w:szCs w:val="24"/>
          <w:highlight w:val="none"/>
          <w:shd w:val="clear" w:color="auto" w:fill="FFFFFF" w:themeFill="background1"/>
          <w:lang w:val="en-US" w:eastAsia="zh-CN" w:bidi="ar-SA"/>
        </w:rPr>
        <w:t>4</w:t>
      </w:r>
      <w:r>
        <w:rPr>
          <w:rFonts w:hint="eastAsia" w:ascii="宋体" w:hAnsi="宋体" w:eastAsia="宋体" w:cs="宋体"/>
          <w:iCs/>
          <w:color w:val="auto"/>
          <w:kern w:val="2"/>
          <w:sz w:val="24"/>
          <w:szCs w:val="24"/>
          <w:highlight w:val="none"/>
          <w:shd w:val="clear" w:color="auto" w:fill="FFFFFF" w:themeFill="background1"/>
          <w:lang w:val="zh-CN" w:eastAsia="zh-CN" w:bidi="ar-SA"/>
        </w:rPr>
        <w:t>.</w:t>
      </w:r>
      <w:r>
        <w:rPr>
          <w:rFonts w:hint="eastAsia" w:ascii="宋体" w:hAnsi="宋体" w:eastAsia="宋体" w:cs="宋体"/>
          <w:iCs/>
          <w:color w:val="auto"/>
          <w:kern w:val="2"/>
          <w:sz w:val="24"/>
          <w:szCs w:val="24"/>
          <w:highlight w:val="none"/>
          <w:shd w:val="clear" w:color="auto" w:fill="FFFFFF" w:themeFill="background1"/>
          <w:lang w:val="en-US" w:eastAsia="zh-CN" w:bidi="ar-SA"/>
        </w:rPr>
        <w:t>2.2</w:t>
      </w:r>
      <w:r>
        <w:rPr>
          <w:rFonts w:hint="eastAsia" w:ascii="宋体" w:hAnsi="宋体" w:eastAsia="宋体" w:cs="宋体"/>
          <w:iCs/>
          <w:color w:val="auto"/>
          <w:kern w:val="2"/>
          <w:sz w:val="24"/>
          <w:szCs w:val="24"/>
          <w:highlight w:val="none"/>
          <w:shd w:val="clear" w:color="auto" w:fill="FFFFFF" w:themeFill="background1"/>
          <w:lang w:val="zh-CN" w:eastAsia="zh-CN" w:bidi="ar-SA"/>
        </w:rPr>
        <w:t>联合体各方应按招标文件提供的格式签订联合</w:t>
      </w:r>
      <w:r>
        <w:rPr>
          <w:rFonts w:hint="eastAsia" w:ascii="宋体" w:hAnsi="宋体" w:eastAsia="宋体" w:cs="宋体"/>
          <w:iCs/>
          <w:color w:val="auto"/>
          <w:kern w:val="2"/>
          <w:sz w:val="24"/>
          <w:szCs w:val="24"/>
          <w:highlight w:val="none"/>
          <w:shd w:val="clear" w:color="auto" w:fill="FFFFFF" w:themeFill="background1"/>
          <w:lang w:val="en-US" w:eastAsia="zh-CN" w:bidi="ar-SA"/>
        </w:rPr>
        <w:t>体</w:t>
      </w:r>
      <w:r>
        <w:rPr>
          <w:rFonts w:hint="eastAsia" w:ascii="宋体" w:hAnsi="宋体" w:eastAsia="宋体" w:cs="宋体"/>
          <w:iCs/>
          <w:color w:val="auto"/>
          <w:kern w:val="2"/>
          <w:sz w:val="24"/>
          <w:szCs w:val="24"/>
          <w:highlight w:val="none"/>
          <w:shd w:val="clear" w:color="auto" w:fill="FFFFFF" w:themeFill="background1"/>
          <w:lang w:val="zh-CN" w:eastAsia="zh-CN" w:bidi="ar-SA"/>
        </w:rPr>
        <w:t>协议</w:t>
      </w:r>
      <w:r>
        <w:rPr>
          <w:rFonts w:hint="eastAsia" w:ascii="宋体" w:hAnsi="宋体" w:eastAsia="宋体" w:cs="宋体"/>
          <w:iCs/>
          <w:color w:val="auto"/>
          <w:kern w:val="2"/>
          <w:sz w:val="24"/>
          <w:szCs w:val="24"/>
          <w:highlight w:val="none"/>
          <w:shd w:val="clear" w:color="auto" w:fill="FFFFFF" w:themeFill="background1"/>
          <w:lang w:val="en-US" w:eastAsia="zh-CN" w:bidi="ar-SA"/>
        </w:rPr>
        <w:t>书</w:t>
      </w:r>
      <w:r>
        <w:rPr>
          <w:rFonts w:hint="eastAsia" w:ascii="宋体" w:hAnsi="宋体" w:eastAsia="宋体" w:cs="宋体"/>
          <w:iCs/>
          <w:color w:val="auto"/>
          <w:kern w:val="2"/>
          <w:sz w:val="24"/>
          <w:szCs w:val="24"/>
          <w:highlight w:val="none"/>
          <w:shd w:val="clear" w:color="auto" w:fill="FFFFFF" w:themeFill="background1"/>
          <w:lang w:val="zh-CN" w:eastAsia="zh-CN" w:bidi="ar-SA"/>
        </w:rPr>
        <w:t>，明确约定联合体各方承担的工作和相应的责任，并将联合</w:t>
      </w:r>
      <w:r>
        <w:rPr>
          <w:rFonts w:hint="eastAsia" w:ascii="宋体" w:hAnsi="宋体" w:eastAsia="宋体" w:cs="宋体"/>
          <w:iCs/>
          <w:color w:val="auto"/>
          <w:kern w:val="2"/>
          <w:sz w:val="24"/>
          <w:szCs w:val="24"/>
          <w:highlight w:val="none"/>
          <w:shd w:val="clear" w:color="auto" w:fill="FFFFFF" w:themeFill="background1"/>
          <w:lang w:val="en-US" w:eastAsia="zh-CN" w:bidi="ar-SA"/>
        </w:rPr>
        <w:t>体</w:t>
      </w:r>
      <w:r>
        <w:rPr>
          <w:rFonts w:hint="eastAsia" w:ascii="宋体" w:hAnsi="宋体" w:eastAsia="宋体" w:cs="宋体"/>
          <w:iCs/>
          <w:color w:val="auto"/>
          <w:kern w:val="2"/>
          <w:sz w:val="24"/>
          <w:szCs w:val="24"/>
          <w:highlight w:val="none"/>
          <w:shd w:val="clear" w:color="auto" w:fill="FFFFFF" w:themeFill="background1"/>
          <w:lang w:val="zh-CN" w:eastAsia="zh-CN" w:bidi="ar-SA"/>
        </w:rPr>
        <w:t>协议</w:t>
      </w:r>
      <w:r>
        <w:rPr>
          <w:rFonts w:hint="eastAsia" w:ascii="宋体" w:hAnsi="宋体" w:eastAsia="宋体" w:cs="宋体"/>
          <w:iCs/>
          <w:color w:val="auto"/>
          <w:kern w:val="2"/>
          <w:sz w:val="24"/>
          <w:szCs w:val="24"/>
          <w:highlight w:val="none"/>
          <w:shd w:val="clear" w:color="auto" w:fill="FFFFFF" w:themeFill="background1"/>
          <w:lang w:val="en-US" w:eastAsia="zh-CN" w:bidi="ar-SA"/>
        </w:rPr>
        <w:t>书</w:t>
      </w:r>
      <w:r>
        <w:rPr>
          <w:rFonts w:hint="eastAsia" w:ascii="宋体" w:hAnsi="宋体" w:eastAsia="宋体" w:cs="宋体"/>
          <w:iCs/>
          <w:color w:val="auto"/>
          <w:kern w:val="2"/>
          <w:sz w:val="24"/>
          <w:szCs w:val="24"/>
          <w:highlight w:val="none"/>
          <w:shd w:val="clear" w:color="auto" w:fill="FFFFFF" w:themeFill="background1"/>
          <w:lang w:val="zh-CN" w:eastAsia="zh-CN" w:bidi="ar-SA"/>
        </w:rPr>
        <w:t>作为投标文件的一部分提交，该协议书对联合</w:t>
      </w:r>
      <w:r>
        <w:rPr>
          <w:rFonts w:hint="eastAsia" w:ascii="宋体" w:hAnsi="宋体" w:eastAsia="宋体" w:cs="宋体"/>
          <w:iCs/>
          <w:color w:val="auto"/>
          <w:kern w:val="2"/>
          <w:sz w:val="24"/>
          <w:szCs w:val="24"/>
          <w:highlight w:val="none"/>
          <w:shd w:val="clear" w:color="auto" w:fill="FFFFFF" w:themeFill="background1"/>
          <w:lang w:val="en-US" w:eastAsia="zh-CN" w:bidi="ar-SA"/>
        </w:rPr>
        <w:t>体所有成员</w:t>
      </w:r>
      <w:r>
        <w:rPr>
          <w:rFonts w:hint="eastAsia" w:ascii="宋体" w:hAnsi="宋体" w:eastAsia="宋体" w:cs="宋体"/>
          <w:iCs/>
          <w:color w:val="auto"/>
          <w:kern w:val="2"/>
          <w:sz w:val="24"/>
          <w:szCs w:val="24"/>
          <w:highlight w:val="none"/>
          <w:shd w:val="clear" w:color="auto" w:fill="FFFFFF" w:themeFill="background1"/>
          <w:lang w:val="zh-CN" w:eastAsia="zh-CN" w:bidi="ar-SA"/>
        </w:rPr>
        <w:t>均具有法律约束力。</w:t>
      </w:r>
    </w:p>
    <w:p w14:paraId="5343E5B5">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Cs/>
          <w:color w:val="auto"/>
          <w:kern w:val="2"/>
          <w:sz w:val="24"/>
          <w:szCs w:val="24"/>
          <w:highlight w:val="none"/>
          <w:shd w:val="clear" w:color="auto" w:fill="FFFFFF" w:themeFill="background1"/>
          <w:lang w:val="zh-CN" w:eastAsia="zh-CN" w:bidi="ar-SA"/>
        </w:rPr>
      </w:pPr>
      <w:r>
        <w:rPr>
          <w:rFonts w:hint="eastAsia" w:ascii="宋体" w:hAnsi="宋体" w:eastAsia="宋体" w:cs="宋体"/>
          <w:iCs/>
          <w:color w:val="auto"/>
          <w:kern w:val="2"/>
          <w:sz w:val="24"/>
          <w:szCs w:val="24"/>
          <w:highlight w:val="none"/>
          <w:shd w:val="clear" w:color="auto" w:fill="FFFFFF" w:themeFill="background1"/>
          <w:lang w:val="en-US" w:eastAsia="zh-CN" w:bidi="ar-SA"/>
        </w:rPr>
        <w:t>4.2.3</w:t>
      </w:r>
      <w:r>
        <w:rPr>
          <w:rFonts w:hint="eastAsia" w:ascii="宋体" w:hAnsi="宋体" w:eastAsia="宋体" w:cs="宋体"/>
          <w:iCs/>
          <w:color w:val="auto"/>
          <w:kern w:val="2"/>
          <w:sz w:val="24"/>
          <w:szCs w:val="24"/>
          <w:highlight w:val="none"/>
          <w:shd w:val="clear" w:color="auto" w:fill="FFFFFF" w:themeFill="background1"/>
          <w:lang w:val="zh-CN" w:eastAsia="zh-CN" w:bidi="ar-SA"/>
        </w:rPr>
        <w:t>联合体中有同类资质的供应商按照联合体分工承担相同工作的，应当按照资质等级较低的供应商确定资质等级。</w:t>
      </w:r>
    </w:p>
    <w:p w14:paraId="21D444C4">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Cs/>
          <w:color w:val="auto"/>
          <w:kern w:val="2"/>
          <w:sz w:val="24"/>
          <w:szCs w:val="24"/>
          <w:highlight w:val="none"/>
          <w:shd w:val="clear" w:color="auto" w:fill="FFFFFF" w:themeFill="background1"/>
          <w:lang w:val="zh-CN" w:eastAsia="zh-CN" w:bidi="ar-SA"/>
        </w:rPr>
      </w:pPr>
      <w:r>
        <w:rPr>
          <w:rFonts w:hint="eastAsia" w:ascii="宋体" w:hAnsi="宋体" w:eastAsia="宋体" w:cs="宋体"/>
          <w:iCs/>
          <w:color w:val="auto"/>
          <w:kern w:val="2"/>
          <w:sz w:val="24"/>
          <w:szCs w:val="24"/>
          <w:highlight w:val="none"/>
          <w:shd w:val="clear" w:color="auto" w:fill="FFFFFF" w:themeFill="background1"/>
          <w:lang w:val="en-US" w:eastAsia="zh-CN" w:bidi="ar-SA"/>
        </w:rPr>
        <w:t>4.2</w:t>
      </w:r>
      <w:r>
        <w:rPr>
          <w:rFonts w:hint="eastAsia" w:ascii="宋体" w:hAnsi="宋体" w:eastAsia="宋体" w:cs="宋体"/>
          <w:iCs/>
          <w:color w:val="auto"/>
          <w:kern w:val="2"/>
          <w:sz w:val="24"/>
          <w:szCs w:val="24"/>
          <w:highlight w:val="none"/>
          <w:shd w:val="clear" w:color="auto" w:fill="FFFFFF" w:themeFill="background1"/>
          <w:lang w:val="zh-CN" w:eastAsia="zh-CN" w:bidi="ar-SA"/>
        </w:rPr>
        <w:t>.</w:t>
      </w:r>
      <w:r>
        <w:rPr>
          <w:rFonts w:hint="eastAsia" w:ascii="宋体" w:hAnsi="宋体" w:eastAsia="宋体" w:cs="宋体"/>
          <w:iCs/>
          <w:color w:val="auto"/>
          <w:kern w:val="2"/>
          <w:sz w:val="24"/>
          <w:szCs w:val="24"/>
          <w:highlight w:val="none"/>
          <w:shd w:val="clear" w:color="auto" w:fill="FFFFFF" w:themeFill="background1"/>
          <w:lang w:val="en-US" w:eastAsia="zh-CN" w:bidi="ar-SA"/>
        </w:rPr>
        <w:t>4</w:t>
      </w:r>
      <w:r>
        <w:rPr>
          <w:rFonts w:hint="eastAsia" w:ascii="宋体" w:hAnsi="宋体" w:eastAsia="宋体" w:cs="宋体"/>
          <w:iCs/>
          <w:color w:val="auto"/>
          <w:kern w:val="2"/>
          <w:sz w:val="24"/>
          <w:szCs w:val="24"/>
          <w:highlight w:val="none"/>
          <w:shd w:val="clear" w:color="auto" w:fill="FFFFFF" w:themeFill="background1"/>
          <w:lang w:val="zh-CN" w:eastAsia="zh-CN" w:bidi="ar-SA"/>
        </w:rPr>
        <w:t>以联合体形式参加政府采购活动的，联合体各方不得再单独参加或者与其他供应商另外组成联合体参加</w:t>
      </w:r>
      <w:r>
        <w:rPr>
          <w:rFonts w:hint="eastAsia" w:ascii="宋体" w:hAnsi="宋体" w:eastAsia="宋体" w:cs="宋体"/>
          <w:iCs/>
          <w:color w:val="auto"/>
          <w:kern w:val="2"/>
          <w:sz w:val="24"/>
          <w:szCs w:val="24"/>
          <w:highlight w:val="none"/>
          <w:shd w:val="clear" w:color="auto" w:fill="FFFFFF" w:themeFill="background1"/>
          <w:lang w:val="en-US" w:eastAsia="zh-CN" w:bidi="ar-SA"/>
        </w:rPr>
        <w:t>同一合同项下的</w:t>
      </w:r>
      <w:r>
        <w:rPr>
          <w:rFonts w:hint="eastAsia" w:ascii="宋体" w:hAnsi="宋体" w:eastAsia="宋体" w:cs="宋体"/>
          <w:iCs/>
          <w:color w:val="auto"/>
          <w:kern w:val="2"/>
          <w:sz w:val="24"/>
          <w:szCs w:val="24"/>
          <w:highlight w:val="none"/>
          <w:shd w:val="clear" w:color="auto" w:fill="FFFFFF" w:themeFill="background1"/>
          <w:lang w:val="zh-CN" w:eastAsia="zh-CN" w:bidi="ar-SA"/>
        </w:rPr>
        <w:t>投标，否则相关投标将被认定为</w:t>
      </w:r>
      <w:r>
        <w:rPr>
          <w:rFonts w:hint="eastAsia" w:ascii="宋体" w:hAnsi="宋体" w:eastAsia="宋体" w:cs="宋体"/>
          <w:b/>
          <w:bCs/>
          <w:iCs/>
          <w:color w:val="auto"/>
          <w:kern w:val="2"/>
          <w:sz w:val="24"/>
          <w:szCs w:val="24"/>
          <w:highlight w:val="none"/>
          <w:shd w:val="clear" w:color="auto" w:fill="FFFFFF" w:themeFill="background1"/>
          <w:lang w:val="zh-CN" w:eastAsia="zh-CN" w:bidi="ar-SA"/>
        </w:rPr>
        <w:t>投标无效</w:t>
      </w:r>
      <w:r>
        <w:rPr>
          <w:rFonts w:hint="eastAsia" w:ascii="宋体" w:hAnsi="宋体" w:eastAsia="宋体" w:cs="宋体"/>
          <w:iCs/>
          <w:color w:val="auto"/>
          <w:kern w:val="2"/>
          <w:sz w:val="24"/>
          <w:szCs w:val="24"/>
          <w:highlight w:val="none"/>
          <w:shd w:val="clear" w:color="auto" w:fill="FFFFFF" w:themeFill="background1"/>
          <w:lang w:val="zh-CN" w:eastAsia="zh-CN" w:bidi="ar-SA"/>
        </w:rPr>
        <w:t>。</w:t>
      </w:r>
    </w:p>
    <w:p w14:paraId="2E60D00D">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Cs/>
          <w:color w:val="auto"/>
          <w:kern w:val="2"/>
          <w:sz w:val="24"/>
          <w:szCs w:val="24"/>
          <w:highlight w:val="none"/>
          <w:shd w:val="clear" w:color="auto" w:fill="FFFFFF" w:themeFill="background1"/>
          <w:lang w:val="zh-CN" w:eastAsia="zh-CN" w:bidi="ar-SA"/>
        </w:rPr>
      </w:pPr>
      <w:r>
        <w:rPr>
          <w:rFonts w:hint="eastAsia" w:ascii="宋体" w:hAnsi="宋体" w:eastAsia="宋体" w:cs="宋体"/>
          <w:iCs/>
          <w:color w:val="auto"/>
          <w:kern w:val="2"/>
          <w:sz w:val="24"/>
          <w:szCs w:val="24"/>
          <w:highlight w:val="none"/>
          <w:shd w:val="clear" w:color="auto" w:fill="FFFFFF" w:themeFill="background1"/>
          <w:lang w:val="en-US" w:eastAsia="zh-CN" w:bidi="ar-SA"/>
        </w:rPr>
        <w:t>4.2</w:t>
      </w:r>
      <w:r>
        <w:rPr>
          <w:rFonts w:hint="eastAsia" w:ascii="宋体" w:hAnsi="宋体" w:eastAsia="宋体" w:cs="宋体"/>
          <w:iCs/>
          <w:color w:val="auto"/>
          <w:kern w:val="2"/>
          <w:sz w:val="24"/>
          <w:szCs w:val="24"/>
          <w:highlight w:val="none"/>
          <w:shd w:val="clear" w:color="auto" w:fill="FFFFFF" w:themeFill="background1"/>
          <w:lang w:val="zh-CN" w:eastAsia="zh-CN" w:bidi="ar-SA"/>
        </w:rPr>
        <w:t>.5大中型企业、其他自然人、法人或者非法人组织与小型、微型企业组成联合体共同参加投标</w:t>
      </w:r>
      <w:r>
        <w:rPr>
          <w:rFonts w:hint="eastAsia" w:ascii="宋体" w:hAnsi="宋体" w:eastAsia="宋体" w:cs="宋体"/>
          <w:iCs/>
          <w:color w:val="auto"/>
          <w:kern w:val="2"/>
          <w:sz w:val="24"/>
          <w:szCs w:val="24"/>
          <w:highlight w:val="none"/>
          <w:shd w:val="clear" w:color="auto" w:fill="FFFFFF" w:themeFill="background1"/>
          <w:lang w:val="en-US" w:eastAsia="zh-CN" w:bidi="ar-SA"/>
        </w:rPr>
        <w:t>的</w:t>
      </w:r>
      <w:r>
        <w:rPr>
          <w:rFonts w:hint="eastAsia" w:ascii="宋体" w:hAnsi="宋体" w:eastAsia="宋体" w:cs="宋体"/>
          <w:iCs/>
          <w:color w:val="auto"/>
          <w:kern w:val="2"/>
          <w:sz w:val="24"/>
          <w:szCs w:val="24"/>
          <w:highlight w:val="none"/>
          <w:shd w:val="clear" w:color="auto" w:fill="FFFFFF" w:themeFill="background1"/>
          <w:lang w:val="zh-CN" w:eastAsia="zh-CN" w:bidi="ar-SA"/>
        </w:rPr>
        <w:t>，联合</w:t>
      </w:r>
      <w:r>
        <w:rPr>
          <w:rFonts w:hint="eastAsia" w:ascii="宋体" w:hAnsi="宋体" w:eastAsia="宋体" w:cs="宋体"/>
          <w:iCs/>
          <w:color w:val="auto"/>
          <w:kern w:val="2"/>
          <w:sz w:val="24"/>
          <w:szCs w:val="24"/>
          <w:highlight w:val="none"/>
          <w:shd w:val="clear" w:color="auto" w:fill="FFFFFF" w:themeFill="background1"/>
          <w:lang w:val="en-US" w:eastAsia="zh-CN" w:bidi="ar-SA"/>
        </w:rPr>
        <w:t>体</w:t>
      </w:r>
      <w:r>
        <w:rPr>
          <w:rFonts w:hint="eastAsia" w:ascii="宋体" w:hAnsi="宋体" w:eastAsia="宋体" w:cs="宋体"/>
          <w:iCs/>
          <w:color w:val="auto"/>
          <w:kern w:val="2"/>
          <w:sz w:val="24"/>
          <w:szCs w:val="24"/>
          <w:highlight w:val="none"/>
          <w:shd w:val="clear" w:color="auto" w:fill="FFFFFF" w:themeFill="background1"/>
          <w:lang w:val="zh-CN" w:eastAsia="zh-CN" w:bidi="ar-SA"/>
        </w:rPr>
        <w:t>协议</w:t>
      </w:r>
      <w:r>
        <w:rPr>
          <w:rFonts w:hint="eastAsia" w:ascii="宋体" w:hAnsi="宋体" w:eastAsia="宋体" w:cs="宋体"/>
          <w:iCs/>
          <w:color w:val="auto"/>
          <w:kern w:val="2"/>
          <w:sz w:val="24"/>
          <w:szCs w:val="24"/>
          <w:highlight w:val="none"/>
          <w:shd w:val="clear" w:color="auto" w:fill="FFFFFF" w:themeFill="background1"/>
          <w:lang w:val="en-US" w:eastAsia="zh-CN" w:bidi="ar-SA"/>
        </w:rPr>
        <w:t>书</w:t>
      </w:r>
      <w:r>
        <w:rPr>
          <w:rFonts w:hint="eastAsia" w:ascii="宋体" w:hAnsi="宋体" w:eastAsia="宋体" w:cs="宋体"/>
          <w:iCs/>
          <w:color w:val="auto"/>
          <w:kern w:val="2"/>
          <w:sz w:val="24"/>
          <w:szCs w:val="24"/>
          <w:highlight w:val="none"/>
          <w:shd w:val="clear" w:color="auto" w:fill="FFFFFF" w:themeFill="background1"/>
          <w:lang w:val="zh-CN" w:eastAsia="zh-CN" w:bidi="ar-SA"/>
        </w:rPr>
        <w:t>中应写明小型、微型企业的合同金额占到联合</w:t>
      </w:r>
      <w:r>
        <w:rPr>
          <w:rFonts w:hint="eastAsia" w:ascii="宋体" w:hAnsi="宋体" w:eastAsia="宋体" w:cs="宋体"/>
          <w:iCs/>
          <w:color w:val="auto"/>
          <w:kern w:val="2"/>
          <w:sz w:val="24"/>
          <w:szCs w:val="24"/>
          <w:highlight w:val="none"/>
          <w:shd w:val="clear" w:color="auto" w:fill="FFFFFF" w:themeFill="background1"/>
          <w:lang w:val="en-US" w:eastAsia="zh-CN" w:bidi="ar-SA"/>
        </w:rPr>
        <w:t>体</w:t>
      </w:r>
      <w:r>
        <w:rPr>
          <w:rFonts w:hint="eastAsia" w:ascii="宋体" w:hAnsi="宋体" w:eastAsia="宋体" w:cs="宋体"/>
          <w:iCs/>
          <w:color w:val="auto"/>
          <w:kern w:val="2"/>
          <w:sz w:val="24"/>
          <w:szCs w:val="24"/>
          <w:highlight w:val="none"/>
          <w:shd w:val="clear" w:color="auto" w:fill="FFFFFF" w:themeFill="background1"/>
          <w:lang w:val="zh-CN" w:eastAsia="zh-CN" w:bidi="ar-SA"/>
        </w:rPr>
        <w:t>投标</w:t>
      </w:r>
      <w:r>
        <w:rPr>
          <w:rFonts w:hint="eastAsia" w:ascii="宋体" w:hAnsi="宋体" w:eastAsia="宋体" w:cs="宋体"/>
          <w:iCs/>
          <w:color w:val="auto"/>
          <w:kern w:val="2"/>
          <w:sz w:val="24"/>
          <w:szCs w:val="24"/>
          <w:highlight w:val="none"/>
          <w:shd w:val="clear" w:color="auto" w:fill="FFFFFF" w:themeFill="background1"/>
          <w:lang w:val="en-US" w:eastAsia="zh-CN" w:bidi="ar-SA"/>
        </w:rPr>
        <w:t>合同</w:t>
      </w:r>
      <w:r>
        <w:rPr>
          <w:rFonts w:hint="eastAsia" w:ascii="宋体" w:hAnsi="宋体" w:eastAsia="宋体" w:cs="宋体"/>
          <w:iCs/>
          <w:color w:val="auto"/>
          <w:kern w:val="2"/>
          <w:sz w:val="24"/>
          <w:szCs w:val="24"/>
          <w:highlight w:val="none"/>
          <w:shd w:val="clear" w:color="auto" w:fill="FFFFFF" w:themeFill="background1"/>
          <w:lang w:val="zh-CN" w:eastAsia="zh-CN" w:bidi="ar-SA"/>
        </w:rPr>
        <w:t>总金额的比例。</w:t>
      </w:r>
    </w:p>
    <w:p w14:paraId="7127D169">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Cs/>
          <w:color w:val="auto"/>
          <w:kern w:val="2"/>
          <w:sz w:val="24"/>
          <w:szCs w:val="24"/>
          <w:highlight w:val="none"/>
          <w:shd w:val="clear" w:color="auto" w:fill="FFFFFF" w:themeFill="background1"/>
          <w:lang w:val="zh-CN" w:eastAsia="zh-CN" w:bidi="ar-SA"/>
        </w:rPr>
      </w:pPr>
      <w:r>
        <w:rPr>
          <w:rFonts w:hint="eastAsia" w:ascii="宋体" w:hAnsi="宋体" w:eastAsia="宋体" w:cs="宋体"/>
          <w:iCs/>
          <w:color w:val="auto"/>
          <w:kern w:val="2"/>
          <w:sz w:val="24"/>
          <w:szCs w:val="24"/>
          <w:highlight w:val="none"/>
          <w:shd w:val="clear" w:color="auto" w:fill="FFFFFF" w:themeFill="background1"/>
          <w:lang w:val="zh-CN" w:eastAsia="zh-CN" w:bidi="ar-SA"/>
        </w:rPr>
        <w:t>4.2</w:t>
      </w:r>
      <w:r>
        <w:rPr>
          <w:rFonts w:hint="eastAsia" w:ascii="宋体" w:hAnsi="宋体" w:eastAsia="宋体" w:cs="宋体"/>
          <w:iCs/>
          <w:color w:val="auto"/>
          <w:kern w:val="2"/>
          <w:sz w:val="24"/>
          <w:szCs w:val="24"/>
          <w:highlight w:val="none"/>
          <w:shd w:val="clear" w:color="auto" w:fill="FFFFFF" w:themeFill="background1"/>
          <w:lang w:val="en-US" w:eastAsia="zh-CN" w:bidi="ar-SA"/>
        </w:rPr>
        <w:t>.6</w:t>
      </w:r>
      <w:r>
        <w:rPr>
          <w:rFonts w:hint="eastAsia" w:ascii="宋体" w:hAnsi="宋体" w:eastAsia="宋体" w:cs="宋体"/>
          <w:iCs/>
          <w:color w:val="auto"/>
          <w:kern w:val="2"/>
          <w:sz w:val="24"/>
          <w:szCs w:val="24"/>
          <w:highlight w:val="none"/>
          <w:shd w:val="clear" w:color="auto" w:fill="FFFFFF" w:themeFill="background1"/>
          <w:lang w:val="zh-CN" w:eastAsia="zh-CN" w:bidi="ar-SA"/>
        </w:rPr>
        <w:t>联合体中标</w:t>
      </w:r>
      <w:r>
        <w:rPr>
          <w:rFonts w:hint="eastAsia" w:ascii="宋体" w:hAnsi="宋体" w:eastAsia="宋体" w:cs="宋体"/>
          <w:iCs/>
          <w:color w:val="auto"/>
          <w:kern w:val="2"/>
          <w:sz w:val="24"/>
          <w:szCs w:val="24"/>
          <w:highlight w:val="none"/>
          <w:shd w:val="clear" w:color="auto" w:fill="FFFFFF" w:themeFill="background1"/>
          <w:lang w:val="en-US" w:eastAsia="zh-CN" w:bidi="ar-SA"/>
        </w:rPr>
        <w:t>的</w:t>
      </w:r>
      <w:r>
        <w:rPr>
          <w:rFonts w:hint="eastAsia" w:ascii="宋体" w:hAnsi="宋体" w:eastAsia="宋体" w:cs="宋体"/>
          <w:iCs/>
          <w:color w:val="auto"/>
          <w:kern w:val="2"/>
          <w:sz w:val="24"/>
          <w:szCs w:val="24"/>
          <w:highlight w:val="none"/>
          <w:shd w:val="clear" w:color="auto" w:fill="FFFFFF" w:themeFill="background1"/>
          <w:lang w:val="zh-CN" w:eastAsia="zh-CN" w:bidi="ar-SA"/>
        </w:rPr>
        <w:t>，</w:t>
      </w:r>
      <w:r>
        <w:rPr>
          <w:rFonts w:hint="eastAsia" w:ascii="宋体" w:hAnsi="宋体" w:eastAsia="宋体" w:cs="宋体"/>
          <w:iCs/>
          <w:color w:val="auto"/>
          <w:kern w:val="2"/>
          <w:sz w:val="24"/>
          <w:szCs w:val="24"/>
          <w:highlight w:val="none"/>
          <w:shd w:val="clear" w:color="auto" w:fill="FFFFFF" w:themeFill="background1"/>
          <w:lang w:val="en-US" w:eastAsia="zh-CN" w:bidi="ar-SA"/>
        </w:rPr>
        <w:t>采购</w:t>
      </w:r>
      <w:r>
        <w:rPr>
          <w:rFonts w:hint="eastAsia" w:ascii="宋体" w:hAnsi="宋体" w:eastAsia="宋体" w:cs="宋体"/>
          <w:iCs/>
          <w:color w:val="auto"/>
          <w:kern w:val="2"/>
          <w:sz w:val="24"/>
          <w:szCs w:val="24"/>
          <w:highlight w:val="none"/>
          <w:shd w:val="clear" w:color="auto" w:fill="FFFFFF" w:themeFill="background1"/>
          <w:lang w:val="zh-CN" w:eastAsia="zh-CN" w:bidi="ar-SA"/>
        </w:rPr>
        <w:t>合同应由</w:t>
      </w:r>
      <w:r>
        <w:rPr>
          <w:rFonts w:hint="eastAsia" w:ascii="宋体" w:hAnsi="宋体" w:eastAsia="宋体" w:cs="宋体"/>
          <w:iCs/>
          <w:color w:val="auto"/>
          <w:kern w:val="2"/>
          <w:sz w:val="24"/>
          <w:szCs w:val="24"/>
          <w:highlight w:val="none"/>
          <w:shd w:val="clear" w:color="auto" w:fill="FFFFFF" w:themeFill="background1"/>
          <w:lang w:val="en-US" w:eastAsia="zh-CN" w:bidi="ar-SA"/>
        </w:rPr>
        <w:t>联合体</w:t>
      </w:r>
      <w:r>
        <w:rPr>
          <w:rFonts w:hint="eastAsia" w:ascii="宋体" w:hAnsi="宋体" w:eastAsia="宋体" w:cs="宋体"/>
          <w:iCs/>
          <w:color w:val="auto"/>
          <w:kern w:val="2"/>
          <w:sz w:val="24"/>
          <w:szCs w:val="24"/>
          <w:highlight w:val="none"/>
          <w:shd w:val="clear" w:color="auto" w:fill="FFFFFF" w:themeFill="background1"/>
          <w:lang w:val="zh-CN" w:eastAsia="zh-CN" w:bidi="ar-SA"/>
        </w:rPr>
        <w:t>各成员的合法授权代表签字</w:t>
      </w:r>
      <w:r>
        <w:rPr>
          <w:rFonts w:hint="eastAsia" w:ascii="宋体" w:hAnsi="宋体" w:eastAsia="宋体" w:cs="宋体"/>
          <w:iCs/>
          <w:color w:val="auto"/>
          <w:kern w:val="2"/>
          <w:sz w:val="24"/>
          <w:szCs w:val="24"/>
          <w:highlight w:val="none"/>
          <w:shd w:val="clear" w:color="auto" w:fill="FFFFFF" w:themeFill="background1"/>
          <w:lang w:val="en-US" w:eastAsia="zh-CN" w:bidi="ar-SA"/>
        </w:rPr>
        <w:t>及</w:t>
      </w:r>
      <w:r>
        <w:rPr>
          <w:rFonts w:hint="eastAsia" w:ascii="宋体" w:hAnsi="宋体" w:eastAsia="宋体" w:cs="宋体"/>
          <w:iCs/>
          <w:color w:val="auto"/>
          <w:kern w:val="2"/>
          <w:sz w:val="24"/>
          <w:szCs w:val="24"/>
          <w:highlight w:val="none"/>
          <w:shd w:val="clear" w:color="auto" w:fill="FFFFFF" w:themeFill="background1"/>
          <w:lang w:val="zh-CN" w:eastAsia="zh-CN" w:bidi="ar-SA"/>
        </w:rPr>
        <w:t>加盖</w:t>
      </w:r>
      <w:r>
        <w:rPr>
          <w:rFonts w:hint="eastAsia" w:ascii="宋体" w:hAnsi="宋体" w:eastAsia="宋体" w:cs="宋体"/>
          <w:iCs/>
          <w:color w:val="auto"/>
          <w:kern w:val="2"/>
          <w:sz w:val="24"/>
          <w:szCs w:val="24"/>
          <w:highlight w:val="none"/>
          <w:shd w:val="clear" w:color="auto" w:fill="FFFFFF" w:themeFill="background1"/>
          <w:lang w:val="en-US" w:eastAsia="zh-CN" w:bidi="ar-SA"/>
        </w:rPr>
        <w:t>联合体</w:t>
      </w:r>
      <w:r>
        <w:rPr>
          <w:rFonts w:hint="eastAsia" w:ascii="宋体" w:hAnsi="宋体" w:eastAsia="宋体" w:cs="宋体"/>
          <w:iCs/>
          <w:color w:val="auto"/>
          <w:kern w:val="2"/>
          <w:sz w:val="24"/>
          <w:szCs w:val="24"/>
          <w:highlight w:val="none"/>
          <w:shd w:val="clear" w:color="auto" w:fill="FFFFFF" w:themeFill="background1"/>
          <w:lang w:val="zh-CN" w:eastAsia="zh-CN" w:bidi="ar-SA"/>
        </w:rPr>
        <w:t>各成员公章，</w:t>
      </w:r>
      <w:r>
        <w:rPr>
          <w:rFonts w:hint="eastAsia" w:ascii="宋体" w:hAnsi="宋体" w:eastAsia="宋体" w:cs="宋体"/>
          <w:iCs/>
          <w:color w:val="auto"/>
          <w:kern w:val="2"/>
          <w:sz w:val="24"/>
          <w:szCs w:val="24"/>
          <w:highlight w:val="none"/>
          <w:shd w:val="clear" w:color="auto" w:fill="FFFFFF" w:themeFill="background1"/>
          <w:lang w:val="en-US" w:eastAsia="zh-CN" w:bidi="ar-SA"/>
        </w:rPr>
        <w:t>并</w:t>
      </w:r>
      <w:r>
        <w:rPr>
          <w:rFonts w:hint="eastAsia" w:ascii="宋体" w:hAnsi="宋体" w:eastAsia="宋体" w:cs="宋体"/>
          <w:iCs/>
          <w:color w:val="auto"/>
          <w:kern w:val="2"/>
          <w:sz w:val="24"/>
          <w:szCs w:val="24"/>
          <w:highlight w:val="none"/>
          <w:shd w:val="clear" w:color="auto" w:fill="FFFFFF" w:themeFill="background1"/>
          <w:lang w:val="zh-CN" w:eastAsia="zh-CN" w:bidi="ar-SA"/>
        </w:rPr>
        <w:t>对联合体成员作为整体和他们各自作为独立体均具有法律约束力，但若该签字或公章不齐全或缺乏，该联合体的牵头人的签署或类似的意思表示人具有代表该联合体的签署或意思表示的法律效力，并且据此各成员为履行合同应向采购人与采购代理机构承担连带责任。</w:t>
      </w:r>
    </w:p>
    <w:p w14:paraId="72C3CFE0">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Cs/>
          <w:color w:val="auto"/>
          <w:kern w:val="2"/>
          <w:sz w:val="24"/>
          <w:szCs w:val="24"/>
          <w:highlight w:val="none"/>
          <w:shd w:val="clear" w:color="auto" w:fill="FFFFFF" w:themeFill="background1"/>
          <w:lang w:val="zh-CN" w:eastAsia="zh-CN" w:bidi="ar-SA"/>
        </w:rPr>
      </w:pPr>
      <w:r>
        <w:rPr>
          <w:rFonts w:hint="eastAsia" w:ascii="宋体" w:hAnsi="宋体" w:eastAsia="宋体" w:cs="宋体"/>
          <w:iCs/>
          <w:color w:val="auto"/>
          <w:kern w:val="2"/>
          <w:sz w:val="24"/>
          <w:szCs w:val="24"/>
          <w:highlight w:val="none"/>
          <w:shd w:val="clear" w:color="auto" w:fill="FFFFFF" w:themeFill="background1"/>
          <w:lang w:val="zh-CN" w:eastAsia="zh-CN" w:bidi="ar-SA"/>
        </w:rPr>
        <w:t>4.2</w:t>
      </w:r>
      <w:r>
        <w:rPr>
          <w:rFonts w:hint="eastAsia" w:ascii="宋体" w:hAnsi="宋体" w:eastAsia="宋体" w:cs="宋体"/>
          <w:iCs/>
          <w:color w:val="auto"/>
          <w:kern w:val="2"/>
          <w:sz w:val="24"/>
          <w:szCs w:val="24"/>
          <w:highlight w:val="none"/>
          <w:shd w:val="clear" w:color="auto" w:fill="FFFFFF" w:themeFill="background1"/>
          <w:lang w:val="en-US" w:eastAsia="zh-CN" w:bidi="ar-SA"/>
        </w:rPr>
        <w:t>.7</w:t>
      </w:r>
      <w:r>
        <w:rPr>
          <w:rFonts w:hint="eastAsia" w:ascii="宋体" w:hAnsi="宋体" w:eastAsia="宋体" w:cs="宋体"/>
          <w:iCs/>
          <w:color w:val="auto"/>
          <w:kern w:val="2"/>
          <w:sz w:val="24"/>
          <w:szCs w:val="24"/>
          <w:highlight w:val="none"/>
          <w:shd w:val="clear" w:color="auto" w:fill="FFFFFF" w:themeFill="background1"/>
          <w:lang w:val="zh-CN" w:eastAsia="zh-CN" w:bidi="ar-SA"/>
        </w:rPr>
        <w:t>联合体或其成员不得将其在合同项下的权利或义务全部或部分转让给第三人，有关分包事项须事先取得采购</w:t>
      </w:r>
      <w:r>
        <w:rPr>
          <w:rFonts w:hint="eastAsia" w:ascii="宋体" w:hAnsi="宋体" w:eastAsia="宋体" w:cs="宋体"/>
          <w:iCs/>
          <w:color w:val="auto"/>
          <w:kern w:val="2"/>
          <w:sz w:val="24"/>
          <w:szCs w:val="24"/>
          <w:highlight w:val="none"/>
          <w:shd w:val="clear" w:color="auto" w:fill="FFFFFF" w:themeFill="background1"/>
          <w:lang w:val="en-US" w:eastAsia="zh-CN" w:bidi="ar-SA"/>
        </w:rPr>
        <w:t>人</w:t>
      </w:r>
      <w:r>
        <w:rPr>
          <w:rFonts w:hint="eastAsia" w:ascii="宋体" w:hAnsi="宋体" w:eastAsia="宋体" w:cs="宋体"/>
          <w:iCs/>
          <w:color w:val="auto"/>
          <w:kern w:val="2"/>
          <w:sz w:val="24"/>
          <w:szCs w:val="24"/>
          <w:highlight w:val="none"/>
          <w:shd w:val="clear" w:color="auto" w:fill="FFFFFF" w:themeFill="background1"/>
          <w:lang w:val="zh-CN" w:eastAsia="zh-CN" w:bidi="ar-SA"/>
        </w:rPr>
        <w:t>书面同意并且须遵守相关法律、法规、本次招标的全部相关规定。</w:t>
      </w:r>
    </w:p>
    <w:p w14:paraId="7D2803AB">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iCs/>
          <w:color w:val="auto"/>
          <w:kern w:val="2"/>
          <w:sz w:val="24"/>
          <w:szCs w:val="24"/>
          <w:highlight w:val="none"/>
          <w:shd w:val="clear" w:color="auto" w:fill="FFFFFF" w:themeFill="background1"/>
          <w:lang w:val="zh-CN" w:eastAsia="zh-CN" w:bidi="ar-SA"/>
        </w:rPr>
      </w:pPr>
      <w:r>
        <w:rPr>
          <w:rFonts w:hint="eastAsia" w:ascii="宋体" w:hAnsi="宋体" w:eastAsia="宋体" w:cs="宋体"/>
          <w:iCs/>
          <w:color w:val="auto"/>
          <w:kern w:val="2"/>
          <w:sz w:val="24"/>
          <w:szCs w:val="24"/>
          <w:highlight w:val="none"/>
          <w:shd w:val="clear" w:color="auto" w:fill="FFFFFF" w:themeFill="background1"/>
          <w:lang w:val="en-US" w:eastAsia="zh-CN" w:bidi="ar-SA"/>
        </w:rPr>
        <w:t>4.2</w:t>
      </w:r>
      <w:r>
        <w:rPr>
          <w:rFonts w:hint="eastAsia" w:ascii="宋体" w:hAnsi="宋体" w:eastAsia="宋体" w:cs="宋体"/>
          <w:iCs/>
          <w:color w:val="auto"/>
          <w:kern w:val="2"/>
          <w:sz w:val="24"/>
          <w:szCs w:val="24"/>
          <w:highlight w:val="none"/>
          <w:shd w:val="clear" w:color="auto" w:fill="FFFFFF" w:themeFill="background1"/>
          <w:lang w:val="zh-CN" w:eastAsia="zh-CN" w:bidi="ar-SA"/>
        </w:rPr>
        <w:t>.</w:t>
      </w:r>
      <w:r>
        <w:rPr>
          <w:rFonts w:hint="eastAsia" w:ascii="宋体" w:hAnsi="宋体" w:eastAsia="宋体" w:cs="宋体"/>
          <w:iCs/>
          <w:color w:val="auto"/>
          <w:kern w:val="2"/>
          <w:sz w:val="24"/>
          <w:szCs w:val="24"/>
          <w:highlight w:val="none"/>
          <w:shd w:val="clear" w:color="auto" w:fill="FFFFFF" w:themeFill="background1"/>
          <w:lang w:val="en-US" w:eastAsia="zh-CN" w:bidi="ar-SA"/>
        </w:rPr>
        <w:t>8</w:t>
      </w:r>
      <w:r>
        <w:rPr>
          <w:rFonts w:hint="eastAsia" w:ascii="宋体" w:hAnsi="宋体" w:eastAsia="宋体" w:cs="宋体"/>
          <w:iCs/>
          <w:color w:val="auto"/>
          <w:kern w:val="2"/>
          <w:sz w:val="24"/>
          <w:szCs w:val="24"/>
          <w:highlight w:val="none"/>
          <w:shd w:val="clear" w:color="auto" w:fill="FFFFFF" w:themeFill="background1"/>
          <w:lang w:val="zh-CN" w:eastAsia="zh-CN" w:bidi="ar-SA"/>
        </w:rPr>
        <w:t>对联合体投标的其他资格要求见</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第一章 招标公告</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中的“二、</w:t>
      </w:r>
      <w:r>
        <w:rPr>
          <w:rFonts w:hint="eastAsia" w:ascii="宋体" w:hAnsi="宋体" w:eastAsia="宋体" w:cs="宋体"/>
          <w:iCs/>
          <w:color w:val="auto"/>
          <w:kern w:val="2"/>
          <w:sz w:val="24"/>
          <w:szCs w:val="24"/>
          <w:highlight w:val="none"/>
          <w:shd w:val="clear" w:color="auto" w:fill="FFFFFF" w:themeFill="background1"/>
          <w:lang w:val="en-US" w:eastAsia="zh-CN" w:bidi="ar-SA"/>
        </w:rPr>
        <w:t>申请人的</w:t>
      </w:r>
      <w:r>
        <w:rPr>
          <w:rFonts w:hint="eastAsia" w:ascii="宋体" w:hAnsi="宋体" w:eastAsia="宋体" w:cs="宋体"/>
          <w:iCs/>
          <w:color w:val="auto"/>
          <w:kern w:val="2"/>
          <w:sz w:val="24"/>
          <w:szCs w:val="24"/>
          <w:highlight w:val="none"/>
          <w:shd w:val="clear" w:color="auto" w:fill="FFFFFF" w:themeFill="background1"/>
          <w:lang w:val="zh-CN" w:eastAsia="zh-CN" w:bidi="ar-SA"/>
        </w:rPr>
        <w:t>资格</w:t>
      </w:r>
      <w:r>
        <w:rPr>
          <w:rFonts w:hint="eastAsia" w:ascii="宋体" w:hAnsi="宋体" w:eastAsia="宋体" w:cs="宋体"/>
          <w:iCs/>
          <w:color w:val="auto"/>
          <w:kern w:val="2"/>
          <w:sz w:val="24"/>
          <w:szCs w:val="24"/>
          <w:highlight w:val="none"/>
          <w:shd w:val="clear" w:color="auto" w:fill="FFFFFF" w:themeFill="background1"/>
          <w:lang w:val="en-US" w:eastAsia="zh-CN" w:bidi="ar-SA"/>
        </w:rPr>
        <w:t>要求”</w:t>
      </w:r>
      <w:r>
        <w:rPr>
          <w:rFonts w:hint="eastAsia" w:ascii="宋体" w:hAnsi="宋体" w:eastAsia="宋体" w:cs="宋体"/>
          <w:iCs/>
          <w:color w:val="auto"/>
          <w:kern w:val="2"/>
          <w:sz w:val="24"/>
          <w:szCs w:val="24"/>
          <w:highlight w:val="none"/>
          <w:shd w:val="clear" w:color="auto" w:fill="FFFFFF" w:themeFill="background1"/>
          <w:lang w:val="zh-CN" w:eastAsia="zh-CN" w:bidi="ar-SA"/>
        </w:rPr>
        <w:t>。</w:t>
      </w:r>
    </w:p>
    <w:p w14:paraId="4DE6446D">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135" w:name="_Toc163492827"/>
      <w:bookmarkStart w:id="136" w:name="_Toc19194"/>
      <w:bookmarkStart w:id="137" w:name="_Toc18213"/>
      <w:bookmarkStart w:id="138" w:name="_Toc1799"/>
      <w:r>
        <w:rPr>
          <w:rFonts w:hint="eastAsia" w:ascii="宋体" w:hAnsi="宋体" w:eastAsia="宋体" w:cs="宋体"/>
          <w:b/>
          <w:bCs/>
          <w:color w:val="auto"/>
          <w:kern w:val="2"/>
          <w:sz w:val="24"/>
          <w:szCs w:val="24"/>
          <w:highlight w:val="none"/>
          <w:lang w:val="en-US" w:eastAsia="zh-CN" w:bidi="ar-SA"/>
        </w:rPr>
        <w:t>5.费用承担</w:t>
      </w:r>
      <w:bookmarkEnd w:id="135"/>
      <w:bookmarkEnd w:id="136"/>
      <w:bookmarkEnd w:id="137"/>
      <w:bookmarkEnd w:id="138"/>
    </w:p>
    <w:p w14:paraId="3C6741ED">
      <w:pPr>
        <w:pStyle w:val="38"/>
        <w:keepNext w:val="0"/>
        <w:keepLines w:val="0"/>
        <w:pageBreakBefore w:val="0"/>
        <w:widowControl w:val="0"/>
        <w:kinsoku/>
        <w:overflowPunct/>
        <w:topLinePunct w:val="0"/>
        <w:autoSpaceDE/>
        <w:autoSpaceDN/>
        <w:bidi w:val="0"/>
        <w:adjustRightInd/>
        <w:snapToGri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w:t>
      </w:r>
      <w:r>
        <w:rPr>
          <w:rFonts w:hint="eastAsia" w:ascii="宋体" w:hAnsi="宋体" w:eastAsia="宋体" w:cs="宋体"/>
          <w:color w:val="auto"/>
          <w:sz w:val="24"/>
          <w:szCs w:val="24"/>
          <w:highlight w:val="none"/>
          <w:lang w:val="en-US" w:eastAsia="zh-CN"/>
        </w:rPr>
        <w:t>不论投标的结果如何，投标人应承担所有与准备和参加投标有关的费用。</w:t>
      </w:r>
    </w:p>
    <w:p w14:paraId="0CE9ACA3">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139" w:name="_Toc12320"/>
      <w:bookmarkStart w:id="140" w:name="_Toc140132761"/>
      <w:bookmarkStart w:id="141" w:name="_Toc163492828"/>
      <w:bookmarkStart w:id="142" w:name="_Toc29375"/>
      <w:bookmarkStart w:id="143" w:name="_Toc19870"/>
      <w:r>
        <w:rPr>
          <w:rFonts w:hint="eastAsia" w:ascii="宋体" w:hAnsi="宋体" w:eastAsia="宋体" w:cs="宋体"/>
          <w:b/>
          <w:bCs/>
          <w:color w:val="auto"/>
          <w:kern w:val="2"/>
          <w:sz w:val="24"/>
          <w:szCs w:val="24"/>
          <w:highlight w:val="none"/>
          <w:lang w:val="en-US" w:eastAsia="zh-CN" w:bidi="ar-SA"/>
        </w:rPr>
        <w:t>6.保密</w:t>
      </w:r>
      <w:bookmarkEnd w:id="139"/>
      <w:bookmarkEnd w:id="140"/>
      <w:bookmarkEnd w:id="141"/>
      <w:bookmarkEnd w:id="142"/>
      <w:bookmarkEnd w:id="143"/>
    </w:p>
    <w:p w14:paraId="7CBA93F7">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参与招标投标活动的各方应对招标文件和投标文件中的商业和技术等秘密保密，否则应承担相应的法律责任。</w:t>
      </w:r>
    </w:p>
    <w:p w14:paraId="2947ABFF">
      <w:pPr>
        <w:pStyle w:val="54"/>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6</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val="en-US" w:eastAsia="zh-CN"/>
        </w:rPr>
        <w:t xml:space="preserve">2 </w:t>
      </w:r>
      <w:r>
        <w:rPr>
          <w:rFonts w:hint="eastAsia" w:ascii="宋体" w:hAnsi="宋体" w:eastAsia="宋体" w:cs="宋体"/>
          <w:color w:val="auto"/>
          <w:kern w:val="2"/>
          <w:sz w:val="24"/>
          <w:szCs w:val="24"/>
          <w:highlight w:val="none"/>
        </w:rPr>
        <w:t>投标人自领取招标文件之日起，须承担本招标项目保密义务，不得将因本次招标获得的信息向第三人外传。由采购人向投标人提供的图纸、详细资料、样品、模型、模件和所有其它资料，被视为保密资料，仅被用于它所规定的用途。除非得到采购人的同意，不能向任何第三方透露。开标结束后，应采购人要求，投标人应归还所有从采购人处获得的保密资料。</w:t>
      </w:r>
    </w:p>
    <w:p w14:paraId="38BD9605">
      <w:pPr>
        <w:pStyle w:val="54"/>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6</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val="en-US" w:eastAsia="zh-CN"/>
        </w:rPr>
        <w:t xml:space="preserve">3 </w:t>
      </w:r>
      <w:r>
        <w:rPr>
          <w:rFonts w:hint="eastAsia" w:ascii="宋体" w:hAnsi="宋体" w:eastAsia="宋体" w:cs="宋体"/>
          <w:color w:val="auto"/>
          <w:kern w:val="2"/>
          <w:sz w:val="24"/>
          <w:szCs w:val="24"/>
          <w:highlight w:val="none"/>
        </w:rPr>
        <w:t>采购代理机构有权将投标人提供的所有资料向有关政府部门或评审</w:t>
      </w:r>
      <w:r>
        <w:rPr>
          <w:rFonts w:hint="eastAsia" w:ascii="宋体" w:hAnsi="宋体" w:eastAsia="宋体" w:cs="宋体"/>
          <w:color w:val="auto"/>
          <w:kern w:val="2"/>
          <w:sz w:val="24"/>
          <w:szCs w:val="24"/>
          <w:highlight w:val="none"/>
          <w:lang w:val="en-US" w:eastAsia="zh-CN"/>
        </w:rPr>
        <w:t>投标文件</w:t>
      </w:r>
      <w:r>
        <w:rPr>
          <w:rFonts w:hint="eastAsia" w:ascii="宋体" w:hAnsi="宋体" w:eastAsia="宋体" w:cs="宋体"/>
          <w:color w:val="auto"/>
          <w:kern w:val="2"/>
          <w:sz w:val="24"/>
          <w:szCs w:val="24"/>
          <w:highlight w:val="none"/>
        </w:rPr>
        <w:t>的有关人员披露。</w:t>
      </w:r>
    </w:p>
    <w:p w14:paraId="0EE6357E">
      <w:pPr>
        <w:pStyle w:val="54"/>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6</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val="en-US" w:eastAsia="zh-CN"/>
        </w:rPr>
        <w:t>4 各级人民政府财政部门对政府采购活动进行监督检查，有权查阅、复制有关文件、资料，相关单位和人员应当予以配合</w:t>
      </w:r>
      <w:r>
        <w:rPr>
          <w:rFonts w:hint="eastAsia" w:ascii="宋体" w:hAnsi="宋体" w:eastAsia="宋体" w:cs="宋体"/>
          <w:color w:val="auto"/>
          <w:kern w:val="2"/>
          <w:sz w:val="24"/>
          <w:szCs w:val="24"/>
          <w:highlight w:val="none"/>
        </w:rPr>
        <w:t>。</w:t>
      </w:r>
    </w:p>
    <w:p w14:paraId="284B114B">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144" w:name="_Toc2247"/>
      <w:bookmarkStart w:id="145" w:name="_Toc489"/>
      <w:bookmarkStart w:id="146" w:name="_Toc140132762"/>
      <w:bookmarkStart w:id="147" w:name="_Toc23819"/>
      <w:bookmarkStart w:id="148" w:name="_Toc163492829"/>
      <w:r>
        <w:rPr>
          <w:rFonts w:hint="eastAsia" w:ascii="宋体" w:hAnsi="宋体" w:eastAsia="宋体" w:cs="宋体"/>
          <w:b/>
          <w:bCs/>
          <w:color w:val="auto"/>
          <w:kern w:val="2"/>
          <w:sz w:val="24"/>
          <w:szCs w:val="24"/>
          <w:highlight w:val="none"/>
          <w:lang w:val="en-US" w:eastAsia="zh-CN" w:bidi="ar-SA"/>
        </w:rPr>
        <w:t>7.语言文字</w:t>
      </w:r>
      <w:bookmarkEnd w:id="144"/>
      <w:bookmarkEnd w:id="145"/>
      <w:bookmarkEnd w:id="146"/>
      <w:bookmarkEnd w:id="147"/>
      <w:bookmarkEnd w:id="148"/>
    </w:p>
    <w:p w14:paraId="25140936">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7.1招标投标</w:t>
      </w:r>
      <w:r>
        <w:rPr>
          <w:rFonts w:hint="eastAsia" w:ascii="宋体" w:hAnsi="宋体" w:eastAsia="宋体" w:cs="宋体"/>
          <w:color w:val="auto"/>
          <w:sz w:val="24"/>
          <w:szCs w:val="24"/>
          <w:highlight w:val="none"/>
          <w:lang w:val="en-US" w:eastAsia="zh-CN"/>
        </w:rPr>
        <w:t>过程</w:t>
      </w:r>
      <w:r>
        <w:rPr>
          <w:rFonts w:hint="eastAsia" w:ascii="宋体" w:hAnsi="宋体" w:eastAsia="宋体" w:cs="宋体"/>
          <w:color w:val="auto"/>
          <w:sz w:val="24"/>
          <w:szCs w:val="24"/>
          <w:highlight w:val="none"/>
        </w:rPr>
        <w:t>文件使用的语言文字为中文。专用术语使用外文的，应附有中文注释。</w:t>
      </w:r>
      <w:r>
        <w:rPr>
          <w:rFonts w:hint="eastAsia" w:ascii="宋体" w:hAnsi="宋体" w:eastAsia="宋体" w:cs="宋体"/>
          <w:color w:val="auto"/>
          <w:sz w:val="24"/>
          <w:szCs w:val="24"/>
          <w:highlight w:val="none"/>
          <w:lang w:val="en-US" w:eastAsia="zh-CN"/>
        </w:rPr>
        <w:t>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2F336166">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149" w:name="_Toc140132763"/>
      <w:bookmarkStart w:id="150" w:name="_Toc163492830"/>
      <w:bookmarkStart w:id="151" w:name="_Toc23417"/>
      <w:bookmarkStart w:id="152" w:name="_Toc18687"/>
      <w:bookmarkStart w:id="153" w:name="_Toc9364"/>
      <w:r>
        <w:rPr>
          <w:rFonts w:hint="eastAsia" w:ascii="宋体" w:hAnsi="宋体" w:eastAsia="宋体" w:cs="宋体"/>
          <w:b/>
          <w:bCs/>
          <w:color w:val="auto"/>
          <w:kern w:val="2"/>
          <w:sz w:val="24"/>
          <w:szCs w:val="24"/>
          <w:highlight w:val="none"/>
          <w:lang w:val="en-US" w:eastAsia="zh-CN" w:bidi="ar-SA"/>
        </w:rPr>
        <w:t>8.计量单位</w:t>
      </w:r>
      <w:bookmarkEnd w:id="149"/>
      <w:bookmarkEnd w:id="150"/>
      <w:bookmarkEnd w:id="151"/>
      <w:bookmarkEnd w:id="152"/>
      <w:bookmarkEnd w:id="153"/>
    </w:p>
    <w:p w14:paraId="45A7AE57">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8.1所有计量均采用中华人民共和国法定计量单位。</w:t>
      </w:r>
    </w:p>
    <w:p w14:paraId="099F3EF6">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154" w:name="_Toc140132764"/>
      <w:bookmarkStart w:id="155" w:name="_Toc163492831"/>
      <w:bookmarkStart w:id="156" w:name="_Toc31192"/>
      <w:bookmarkStart w:id="157" w:name="_Toc11023"/>
      <w:bookmarkStart w:id="158" w:name="_Toc11937"/>
      <w:r>
        <w:rPr>
          <w:rFonts w:hint="eastAsia" w:ascii="宋体" w:hAnsi="宋体" w:eastAsia="宋体" w:cs="宋体"/>
          <w:b/>
          <w:bCs/>
          <w:color w:val="auto"/>
          <w:kern w:val="2"/>
          <w:sz w:val="24"/>
          <w:szCs w:val="24"/>
          <w:highlight w:val="none"/>
          <w:lang w:val="en-US" w:eastAsia="zh-CN" w:bidi="ar-SA"/>
        </w:rPr>
        <w:t>9.现场考察和答疑会</w:t>
      </w:r>
      <w:bookmarkEnd w:id="154"/>
      <w:bookmarkEnd w:id="155"/>
      <w:bookmarkEnd w:id="156"/>
      <w:bookmarkEnd w:id="157"/>
      <w:bookmarkEnd w:id="158"/>
    </w:p>
    <w:p w14:paraId="5A8B8C45">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bookmarkStart w:id="159" w:name="_Hlk143529198"/>
      <w:r>
        <w:rPr>
          <w:rFonts w:hint="eastAsia" w:ascii="宋体" w:hAnsi="宋体" w:eastAsia="宋体" w:cs="宋体"/>
          <w:color w:val="auto"/>
          <w:sz w:val="24"/>
          <w:szCs w:val="24"/>
          <w:highlight w:val="none"/>
        </w:rPr>
        <w:t xml:space="preserve">9.1 “投标人须知前附表”规定组织现场考察的，采购代理机构按“投标人须知前附表”规定的时间、地点组织投标人项目现场考察。 </w:t>
      </w:r>
    </w:p>
    <w:p w14:paraId="5F8A235F">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 投标人现场考察发生的费用自理。</w:t>
      </w:r>
    </w:p>
    <w:p w14:paraId="199A48B2">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 在现场考察中，因投标人自身原因发生的人员伤亡和财产损失，由投标人自行负责。</w:t>
      </w:r>
    </w:p>
    <w:p w14:paraId="6F1F6A2D">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9.4 采购人在现场考察中介绍的项目场地和相关的周边环境情况，仅供投标人在编制投标文件时参考，采购人和采购代理机构不对投标人据此作出的判断和决策负责。</w:t>
      </w:r>
    </w:p>
    <w:p w14:paraId="0E249AE3">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9.5 “投标人须知前附表”规定召开答疑会的，采购代理机构按“投标人须知前附表”规定的时间和地点召开答疑会，澄清投标人提出的问题。</w:t>
      </w:r>
    </w:p>
    <w:p w14:paraId="00943847">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9.6 由于未参加现场考察或未参加标前答疑会而导致对项目实际情况不了解，影响投标文件编制、投标报价准确性、综合因素响应不全面等问题的，由投标人自行承担不利评审后果。</w:t>
      </w:r>
    </w:p>
    <w:bookmarkEnd w:id="159"/>
    <w:p w14:paraId="015C1ED3">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160" w:name="_Toc24524"/>
      <w:bookmarkStart w:id="161" w:name="_Toc155185858"/>
      <w:bookmarkStart w:id="162" w:name="_Toc3693"/>
      <w:bookmarkStart w:id="163" w:name="_Toc163492833"/>
      <w:bookmarkStart w:id="164" w:name="_Toc28644"/>
      <w:bookmarkStart w:id="165" w:name="_Toc155185871"/>
      <w:r>
        <w:rPr>
          <w:rFonts w:hint="eastAsia" w:ascii="宋体" w:hAnsi="宋体" w:eastAsia="宋体" w:cs="宋体"/>
          <w:b/>
          <w:bCs/>
          <w:color w:val="auto"/>
          <w:kern w:val="2"/>
          <w:sz w:val="24"/>
          <w:szCs w:val="24"/>
          <w:highlight w:val="none"/>
          <w:lang w:val="en-US" w:eastAsia="zh-CN" w:bidi="ar-SA"/>
        </w:rPr>
        <w:t>10.电子投标说明</w:t>
      </w:r>
      <w:bookmarkEnd w:id="160"/>
      <w:bookmarkEnd w:id="161"/>
      <w:bookmarkEnd w:id="162"/>
      <w:bookmarkEnd w:id="163"/>
      <w:bookmarkEnd w:id="164"/>
      <w:r>
        <w:rPr>
          <w:rFonts w:hint="eastAsia" w:ascii="宋体" w:hAnsi="宋体" w:eastAsia="宋体" w:cs="宋体"/>
          <w:b/>
          <w:bCs/>
          <w:color w:val="auto"/>
          <w:kern w:val="2"/>
          <w:sz w:val="24"/>
          <w:szCs w:val="24"/>
          <w:highlight w:val="none"/>
          <w:lang w:val="en-US" w:eastAsia="zh-CN" w:bidi="ar-SA"/>
        </w:rPr>
        <w:t xml:space="preserve">   </w:t>
      </w:r>
    </w:p>
    <w:p w14:paraId="1885013F">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10.1 </w:t>
      </w:r>
      <w:r>
        <w:rPr>
          <w:rFonts w:hint="eastAsia" w:ascii="宋体" w:hAnsi="宋体" w:eastAsia="宋体" w:cs="宋体"/>
          <w:color w:val="auto"/>
          <w:sz w:val="24"/>
          <w:szCs w:val="24"/>
          <w:highlight w:val="none"/>
        </w:rPr>
        <w:t>本次采购采用电子交易方式，电子交易平台为</w:t>
      </w:r>
      <w:r>
        <w:rPr>
          <w:rFonts w:hint="eastAsia" w:ascii="宋体" w:hAnsi="宋体" w:eastAsia="宋体" w:cs="宋体"/>
          <w:color w:val="auto"/>
          <w:sz w:val="24"/>
          <w:szCs w:val="24"/>
          <w:highlight w:val="none"/>
          <w:lang w:val="en-US"/>
        </w:rPr>
        <w:t>兵团</w:t>
      </w:r>
      <w:r>
        <w:rPr>
          <w:rFonts w:hint="eastAsia" w:ascii="宋体" w:hAnsi="宋体" w:eastAsia="宋体" w:cs="宋体"/>
          <w:color w:val="auto"/>
          <w:sz w:val="24"/>
          <w:szCs w:val="24"/>
          <w:highlight w:val="none"/>
        </w:rPr>
        <w:t>政府采购</w:t>
      </w:r>
      <w:r>
        <w:rPr>
          <w:rFonts w:hint="eastAsia" w:ascii="宋体" w:hAnsi="宋体" w:eastAsia="宋体" w:cs="宋体"/>
          <w:color w:val="auto"/>
          <w:sz w:val="24"/>
          <w:szCs w:val="24"/>
          <w:highlight w:val="none"/>
          <w:lang w:val="en-US"/>
        </w:rPr>
        <w:t>电子交易云</w:t>
      </w:r>
      <w:r>
        <w:rPr>
          <w:rFonts w:hint="eastAsia" w:ascii="宋体" w:hAnsi="宋体" w:eastAsia="宋体" w:cs="宋体"/>
          <w:color w:val="auto"/>
          <w:sz w:val="24"/>
          <w:szCs w:val="24"/>
          <w:highlight w:val="none"/>
        </w:rPr>
        <w:t>平台</w:t>
      </w:r>
      <w:r>
        <w:rPr>
          <w:rFonts w:hint="eastAsia" w:ascii="宋体" w:hAnsi="宋体" w:eastAsia="宋体" w:cs="宋体"/>
          <w:color w:val="auto"/>
          <w:sz w:val="24"/>
          <w:szCs w:val="24"/>
          <w:highlight w:val="none"/>
          <w:lang w:val="hr-HR"/>
        </w:rPr>
        <w:t>（</w:t>
      </w:r>
      <w:r>
        <w:rPr>
          <w:rFonts w:hint="eastAsia" w:ascii="宋体" w:hAnsi="宋体" w:eastAsia="宋体" w:cs="宋体"/>
          <w:color w:val="auto"/>
          <w:sz w:val="24"/>
          <w:szCs w:val="24"/>
          <w:highlight w:val="none"/>
        </w:rPr>
        <w:t>网址</w:t>
      </w:r>
      <w:r>
        <w:rPr>
          <w:rFonts w:hint="eastAsia" w:ascii="宋体" w:hAnsi="宋体" w:eastAsia="宋体" w:cs="宋体"/>
          <w:color w:val="auto"/>
          <w:sz w:val="24"/>
          <w:szCs w:val="24"/>
          <w:highlight w:val="none"/>
          <w:lang w:val="hr-HR"/>
        </w:rPr>
        <w:t>：https://www.zcygov.cn/）</w:t>
      </w:r>
      <w:r>
        <w:rPr>
          <w:rFonts w:hint="eastAsia" w:ascii="宋体" w:hAnsi="宋体" w:eastAsia="宋体" w:cs="宋体"/>
          <w:color w:val="auto"/>
          <w:sz w:val="24"/>
          <w:szCs w:val="24"/>
          <w:highlight w:val="none"/>
        </w:rPr>
        <w:t>。投标人参与本项目电子交易活动前，应</w:t>
      </w:r>
      <w:r>
        <w:rPr>
          <w:rFonts w:hint="eastAsia" w:ascii="宋体" w:hAnsi="宋体" w:eastAsia="宋体" w:cs="宋体"/>
          <w:color w:val="auto"/>
          <w:sz w:val="24"/>
          <w:szCs w:val="24"/>
          <w:highlight w:val="none"/>
          <w:lang w:val="en-US" w:eastAsia="zh-CN"/>
        </w:rPr>
        <w:t>在</w:t>
      </w:r>
      <w:r>
        <w:rPr>
          <w:rFonts w:hint="eastAsia" w:ascii="宋体" w:hAnsi="宋体" w:eastAsia="宋体" w:cs="宋体"/>
          <w:color w:val="auto"/>
          <w:sz w:val="24"/>
          <w:szCs w:val="24"/>
          <w:highlight w:val="none"/>
        </w:rPr>
        <w:t>政</w:t>
      </w:r>
      <w:r>
        <w:rPr>
          <w:rFonts w:hint="eastAsia" w:ascii="宋体" w:hAnsi="宋体" w:eastAsia="宋体" w:cs="宋体"/>
          <w:color w:val="auto"/>
          <w:sz w:val="24"/>
          <w:szCs w:val="24"/>
          <w:highlight w:val="none"/>
          <w:lang w:val="en-US" w:eastAsia="zh-CN"/>
        </w:rPr>
        <w:t>采</w:t>
      </w:r>
      <w:r>
        <w:rPr>
          <w:rFonts w:hint="eastAsia" w:ascii="宋体" w:hAnsi="宋体" w:eastAsia="宋体" w:cs="宋体"/>
          <w:color w:val="auto"/>
          <w:sz w:val="24"/>
          <w:szCs w:val="24"/>
          <w:highlight w:val="none"/>
          <w:lang w:val="en-US"/>
        </w:rPr>
        <w:t>云</w:t>
      </w:r>
      <w:r>
        <w:rPr>
          <w:rFonts w:hint="eastAsia" w:ascii="宋体" w:hAnsi="宋体" w:eastAsia="宋体" w:cs="宋体"/>
          <w:color w:val="auto"/>
          <w:sz w:val="24"/>
          <w:szCs w:val="24"/>
          <w:highlight w:val="none"/>
        </w:rPr>
        <w:t>平台</w:t>
      </w:r>
      <w:r>
        <w:rPr>
          <w:rFonts w:hint="eastAsia" w:ascii="宋体" w:hAnsi="宋体" w:eastAsia="宋体" w:cs="宋体"/>
          <w:color w:val="auto"/>
          <w:sz w:val="24"/>
          <w:szCs w:val="24"/>
          <w:highlight w:val="none"/>
          <w:lang w:val="en-US" w:eastAsia="zh-CN"/>
        </w:rPr>
        <w:t>上</w:t>
      </w:r>
      <w:r>
        <w:rPr>
          <w:rFonts w:hint="eastAsia" w:ascii="宋体" w:hAnsi="宋体" w:eastAsia="宋体" w:cs="宋体"/>
          <w:color w:val="auto"/>
          <w:sz w:val="24"/>
          <w:szCs w:val="24"/>
          <w:highlight w:val="none"/>
        </w:rPr>
        <w:t>注册</w:t>
      </w:r>
      <w:r>
        <w:rPr>
          <w:rFonts w:hint="eastAsia" w:ascii="宋体" w:hAnsi="宋体" w:eastAsia="宋体" w:cs="宋体"/>
          <w:color w:val="auto"/>
          <w:sz w:val="24"/>
          <w:szCs w:val="24"/>
          <w:highlight w:val="none"/>
          <w:lang w:val="en-US" w:eastAsia="zh-CN"/>
        </w:rPr>
        <w:t>供应商账号</w:t>
      </w:r>
      <w:r>
        <w:rPr>
          <w:rFonts w:hint="eastAsia" w:ascii="宋体" w:hAnsi="宋体" w:eastAsia="宋体" w:cs="宋体"/>
          <w:color w:val="auto"/>
          <w:sz w:val="24"/>
          <w:szCs w:val="24"/>
          <w:highlight w:val="none"/>
        </w:rPr>
        <w:t>。编制电子</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文件前还需</w:t>
      </w:r>
      <w:r>
        <w:rPr>
          <w:rFonts w:hint="eastAsia" w:ascii="宋体" w:hAnsi="宋体" w:eastAsia="宋体" w:cs="宋体"/>
          <w:color w:val="auto"/>
          <w:sz w:val="24"/>
          <w:szCs w:val="24"/>
          <w:highlight w:val="none"/>
          <w:lang w:val="en-US" w:eastAsia="zh-CN"/>
        </w:rPr>
        <w:t>申领CA证书并绑定帐号。投标人应充分考虑完成平台注册、申领CA证书等所需的时间。</w:t>
      </w:r>
      <w:r>
        <w:rPr>
          <w:rFonts w:hint="eastAsia" w:ascii="宋体" w:hAnsi="宋体" w:eastAsia="宋体" w:cs="宋体"/>
          <w:color w:val="auto"/>
          <w:sz w:val="24"/>
          <w:szCs w:val="24"/>
          <w:highlight w:val="none"/>
          <w:lang w:val="zh-CN" w:eastAsia="zh-CN"/>
        </w:rPr>
        <w:t>潜在投标人领取文件须提前完成注册、CA证书和电子签章申领和绑定、下载投标客户端。因未办理CA数字证书、CA证书故障、操作不当等原因造成无法投标或投标失败等后果由投标人自行承担。</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zh-CN" w:eastAsia="zh-CN"/>
        </w:rPr>
        <w:t>登录兵团政府采购网“供应商注册”—“新疆生产建设兵团政府采购供应商入驻登记”—“立即登记”进行自助注册绑定。</w:t>
      </w:r>
    </w:p>
    <w:p w14:paraId="091665A0">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投标人将</w:t>
      </w:r>
      <w:r>
        <w:rPr>
          <w:rFonts w:hint="eastAsia" w:ascii="宋体" w:hAnsi="宋体" w:eastAsia="宋体" w:cs="宋体"/>
          <w:color w:val="auto"/>
          <w:sz w:val="24"/>
          <w:szCs w:val="24"/>
          <w:highlight w:val="none"/>
          <w:lang w:val="en-US"/>
        </w:rPr>
        <w:t>兵团</w:t>
      </w:r>
      <w:r>
        <w:rPr>
          <w:rFonts w:hint="eastAsia" w:ascii="宋体" w:hAnsi="宋体" w:eastAsia="宋体" w:cs="宋体"/>
          <w:color w:val="auto"/>
          <w:sz w:val="24"/>
          <w:szCs w:val="24"/>
          <w:highlight w:val="none"/>
        </w:rPr>
        <w:t>政府采购</w:t>
      </w:r>
      <w:r>
        <w:rPr>
          <w:rFonts w:hint="eastAsia" w:ascii="宋体" w:hAnsi="宋体" w:eastAsia="宋体" w:cs="宋体"/>
          <w:color w:val="auto"/>
          <w:sz w:val="24"/>
          <w:szCs w:val="24"/>
          <w:highlight w:val="none"/>
          <w:lang w:val="en-US"/>
        </w:rPr>
        <w:t>电子交易云</w:t>
      </w:r>
      <w:r>
        <w:rPr>
          <w:rFonts w:hint="eastAsia" w:ascii="宋体" w:hAnsi="宋体" w:eastAsia="宋体" w:cs="宋体"/>
          <w:color w:val="auto"/>
          <w:sz w:val="24"/>
          <w:szCs w:val="24"/>
          <w:highlight w:val="none"/>
        </w:rPr>
        <w:t>平台电子交易客户端下载、安装完成后，可通过账号密码或CA登录客户端进行</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制作。在使用政采云投标客户端时，建议使用WIN7及以上操作系统。</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登录兵团政府采购网“下载专区”—“电子招投标客户端下载”下载相关客户端，如有问题可拨打政采云客户服务热线95763进行咨询。</w:t>
      </w:r>
    </w:p>
    <w:p w14:paraId="1A54E8FA">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加密的电子</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应在</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递交截止时间前通过政采云平台上传完成。逾期上传或者未上传指定地点的</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，不予受理。</w:t>
      </w:r>
    </w:p>
    <w:p w14:paraId="02317D05">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投标人在开标前须提前配置好电脑</w:t>
      </w:r>
      <w:r>
        <w:rPr>
          <w:rFonts w:hint="eastAsia" w:ascii="宋体" w:hAnsi="宋体" w:eastAsia="宋体" w:cs="宋体"/>
          <w:color w:val="auto"/>
          <w:sz w:val="24"/>
          <w:szCs w:val="24"/>
          <w:highlight w:val="none"/>
          <w:lang w:val="en-US" w:eastAsia="zh-CN"/>
        </w:rPr>
        <w:t>及</w:t>
      </w:r>
      <w:r>
        <w:rPr>
          <w:rFonts w:hint="eastAsia" w:ascii="宋体" w:hAnsi="宋体" w:eastAsia="宋体" w:cs="宋体"/>
          <w:color w:val="auto"/>
          <w:sz w:val="24"/>
          <w:szCs w:val="24"/>
          <w:highlight w:val="none"/>
        </w:rPr>
        <w:t>浏览器，开标时请使用制作加密电子</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的CA锁进行解密及报价确认。本项目</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解密时间</w:t>
      </w:r>
      <w:r>
        <w:rPr>
          <w:rFonts w:hint="eastAsia" w:ascii="宋体" w:hAnsi="宋体" w:eastAsia="宋体" w:cs="宋体"/>
          <w:color w:val="auto"/>
          <w:sz w:val="24"/>
          <w:szCs w:val="24"/>
          <w:highlight w:val="none"/>
          <w:lang w:val="en-US" w:eastAsia="zh-CN"/>
        </w:rPr>
        <w:t>详见“投标人须知前附表”</w:t>
      </w:r>
      <w:r>
        <w:rPr>
          <w:rFonts w:hint="eastAsia" w:ascii="宋体" w:hAnsi="宋体" w:eastAsia="宋体" w:cs="宋体"/>
          <w:color w:val="auto"/>
          <w:sz w:val="24"/>
          <w:szCs w:val="24"/>
          <w:highlight w:val="none"/>
        </w:rPr>
        <w:t>，如因自身原因导致无法正常解密，后果由投标人自行承担。</w:t>
      </w:r>
    </w:p>
    <w:p w14:paraId="6EDA7167">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如遇“</w:t>
      </w:r>
      <w:r>
        <w:rPr>
          <w:rFonts w:hint="eastAsia" w:ascii="宋体" w:hAnsi="宋体" w:eastAsia="宋体" w:cs="宋体"/>
          <w:color w:val="auto"/>
          <w:sz w:val="24"/>
          <w:szCs w:val="24"/>
          <w:highlight w:val="none"/>
          <w:lang w:val="en-US"/>
        </w:rPr>
        <w:t>兵团</w:t>
      </w:r>
      <w:r>
        <w:rPr>
          <w:rFonts w:hint="eastAsia" w:ascii="宋体" w:hAnsi="宋体" w:eastAsia="宋体" w:cs="宋体"/>
          <w:color w:val="auto"/>
          <w:sz w:val="24"/>
          <w:szCs w:val="24"/>
          <w:highlight w:val="none"/>
        </w:rPr>
        <w:t>政府采购</w:t>
      </w:r>
      <w:r>
        <w:rPr>
          <w:rFonts w:hint="eastAsia" w:ascii="宋体" w:hAnsi="宋体" w:eastAsia="宋体" w:cs="宋体"/>
          <w:color w:val="auto"/>
          <w:sz w:val="24"/>
          <w:szCs w:val="24"/>
          <w:highlight w:val="none"/>
          <w:lang w:val="en-US"/>
        </w:rPr>
        <w:t>电子交易云</w:t>
      </w:r>
      <w:r>
        <w:rPr>
          <w:rFonts w:hint="eastAsia" w:ascii="宋体" w:hAnsi="宋体" w:eastAsia="宋体" w:cs="宋体"/>
          <w:color w:val="auto"/>
          <w:sz w:val="24"/>
          <w:szCs w:val="24"/>
          <w:highlight w:val="none"/>
        </w:rPr>
        <w:t>平台</w:t>
      </w:r>
      <w:r>
        <w:rPr>
          <w:rFonts w:hint="eastAsia" w:ascii="宋体" w:hAnsi="宋体" w:eastAsia="宋体" w:cs="宋体"/>
          <w:color w:val="auto"/>
          <w:sz w:val="24"/>
          <w:szCs w:val="24"/>
          <w:highlight w:val="none"/>
          <w:lang w:val="hr-HR"/>
        </w:rPr>
        <w:t>（</w:t>
      </w:r>
      <w:r>
        <w:rPr>
          <w:rFonts w:hint="eastAsia" w:ascii="宋体" w:hAnsi="宋体" w:eastAsia="宋体" w:cs="宋体"/>
          <w:color w:val="auto"/>
          <w:sz w:val="24"/>
          <w:szCs w:val="24"/>
          <w:highlight w:val="none"/>
        </w:rPr>
        <w:t>网址</w:t>
      </w:r>
      <w:r>
        <w:rPr>
          <w:rFonts w:hint="eastAsia" w:ascii="宋体" w:hAnsi="宋体" w:eastAsia="宋体" w:cs="宋体"/>
          <w:color w:val="auto"/>
          <w:sz w:val="24"/>
          <w:szCs w:val="24"/>
          <w:highlight w:val="none"/>
          <w:lang w:val="hr-HR"/>
        </w:rPr>
        <w:t>：https://www.zcygov.cn/）</w:t>
      </w:r>
      <w:r>
        <w:rPr>
          <w:rFonts w:hint="eastAsia" w:ascii="宋体" w:hAnsi="宋体" w:eastAsia="宋体" w:cs="宋体"/>
          <w:color w:val="auto"/>
          <w:sz w:val="24"/>
          <w:szCs w:val="24"/>
          <w:highlight w:val="none"/>
        </w:rPr>
        <w:t>”电子交易规则调整，以最新要求为准。</w:t>
      </w:r>
    </w:p>
    <w:p w14:paraId="733157BB">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10.6 电子交易系统咨询：投标人应当充分考虑到电子投标可能会发生的各种问题和风险，特别是投标文件签署、提交等问题，可按照“第一章 招标公告”的联系方式咨询相关人员。</w:t>
      </w:r>
    </w:p>
    <w:p w14:paraId="06DEE05F">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10.7 由于本项目采用电子招标方式，潜在投标人的名单将在提交投标文件截止时间后才会解密。因此，采购人或采购代理机构无法通过传统的传真或邮件方式，将招标文件的澄清或修改内容逐一通知到每位已获取招标文件的潜在投标人。为确保信息的及时性和准确性，澄清或修改的内容将仅在政采云平台以更正公告的形式发布。潜在投标人需密切关注该网站，及时查看并下载相关更正公告。若因潜在投标人未能及时查看或下载相关更正公告，而导致的一切后果，将由潜在投标人自行承担。</w:t>
      </w:r>
    </w:p>
    <w:p w14:paraId="7A306C00">
      <w:pPr>
        <w:pStyle w:val="4"/>
        <w:keepNext w:val="0"/>
        <w:keepLines w:val="0"/>
        <w:pageBreakBefore w:val="0"/>
        <w:widowControl w:val="0"/>
        <w:numPr>
          <w:ilvl w:val="0"/>
          <w:numId w:val="0"/>
        </w:numPr>
        <w:kinsoku/>
        <w:wordWrap/>
        <w:overflowPunct/>
        <w:topLinePunct w:val="0"/>
        <w:autoSpaceDE/>
        <w:autoSpaceDN/>
        <w:bidi w:val="0"/>
        <w:adjustRightInd/>
        <w:snapToGrid/>
        <w:spacing w:before="120" w:after="12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166" w:name="_Toc28416"/>
      <w:bookmarkStart w:id="167" w:name="_Toc26264"/>
      <w:bookmarkStart w:id="168" w:name="_Toc163492834"/>
      <w:bookmarkStart w:id="169" w:name="_Toc2746"/>
      <w:r>
        <w:rPr>
          <w:rFonts w:hint="eastAsia" w:ascii="宋体" w:hAnsi="宋体" w:eastAsia="宋体" w:cs="宋体"/>
          <w:b/>
          <w:bCs/>
          <w:color w:val="auto"/>
          <w:kern w:val="2"/>
          <w:sz w:val="24"/>
          <w:szCs w:val="24"/>
          <w:highlight w:val="none"/>
          <w:lang w:val="en-US" w:eastAsia="zh-CN" w:bidi="ar-SA"/>
        </w:rPr>
        <w:t>（二）招标文件</w:t>
      </w:r>
      <w:bookmarkEnd w:id="165"/>
      <w:bookmarkEnd w:id="166"/>
      <w:bookmarkEnd w:id="167"/>
      <w:bookmarkEnd w:id="168"/>
      <w:bookmarkEnd w:id="169"/>
    </w:p>
    <w:p w14:paraId="08A2C6A4">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170" w:name="_Toc140132768"/>
      <w:bookmarkStart w:id="171" w:name="_Toc24748"/>
      <w:bookmarkStart w:id="172" w:name="_Toc163492835"/>
      <w:bookmarkStart w:id="173" w:name="_Toc8199"/>
      <w:bookmarkStart w:id="174" w:name="_Toc21231"/>
      <w:r>
        <w:rPr>
          <w:rFonts w:hint="eastAsia" w:ascii="宋体" w:hAnsi="宋体" w:eastAsia="宋体" w:cs="宋体"/>
          <w:b/>
          <w:bCs/>
          <w:color w:val="auto"/>
          <w:kern w:val="2"/>
          <w:sz w:val="24"/>
          <w:szCs w:val="24"/>
          <w:highlight w:val="none"/>
          <w:lang w:val="en-US" w:eastAsia="zh-CN" w:bidi="ar-SA"/>
        </w:rPr>
        <w:t>11.招标文件的组成</w:t>
      </w:r>
      <w:bookmarkEnd w:id="170"/>
      <w:bookmarkEnd w:id="171"/>
      <w:bookmarkEnd w:id="172"/>
      <w:bookmarkEnd w:id="173"/>
      <w:bookmarkEnd w:id="174"/>
    </w:p>
    <w:p w14:paraId="0FCCC628">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.1本招标文件包括下列文件及根据本章第9款、第1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款对招标文件所作的澄清或者修改。</w:t>
      </w:r>
    </w:p>
    <w:p w14:paraId="5876B8A3">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第一章 </w:t>
      </w:r>
      <w:r>
        <w:rPr>
          <w:rFonts w:hint="eastAsia" w:ascii="宋体" w:hAnsi="宋体" w:eastAsia="宋体" w:cs="宋体"/>
          <w:color w:val="auto"/>
          <w:sz w:val="24"/>
          <w:szCs w:val="24"/>
          <w:highlight w:val="none"/>
          <w:lang w:val="en-US" w:eastAsia="zh-CN"/>
        </w:rPr>
        <w:t>招标公告</w:t>
      </w:r>
    </w:p>
    <w:p w14:paraId="626801D6">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第二章 投标人须知</w:t>
      </w:r>
    </w:p>
    <w:p w14:paraId="5E339F13">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第三章 采购需求</w:t>
      </w:r>
    </w:p>
    <w:p w14:paraId="750A6D4C">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第四章 资格审查</w:t>
      </w:r>
    </w:p>
    <w:p w14:paraId="08BF9358">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第五章 评标</w:t>
      </w:r>
      <w:r>
        <w:rPr>
          <w:rFonts w:hint="eastAsia" w:ascii="宋体" w:hAnsi="宋体" w:eastAsia="宋体" w:cs="宋体"/>
          <w:color w:val="auto"/>
          <w:sz w:val="24"/>
          <w:szCs w:val="24"/>
          <w:highlight w:val="none"/>
          <w:lang w:val="en-US" w:eastAsia="zh-CN"/>
        </w:rPr>
        <w:t>方</w:t>
      </w:r>
      <w:r>
        <w:rPr>
          <w:rFonts w:hint="eastAsia" w:ascii="宋体" w:hAnsi="宋体" w:eastAsia="宋体" w:cs="宋体"/>
          <w:color w:val="auto"/>
          <w:sz w:val="24"/>
          <w:szCs w:val="24"/>
          <w:highlight w:val="none"/>
        </w:rPr>
        <w:t>法及标准</w:t>
      </w:r>
    </w:p>
    <w:p w14:paraId="3F57501F">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第六章 合同草案</w:t>
      </w:r>
    </w:p>
    <w:p w14:paraId="5855AFA7">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第七章 投标文件的格式</w:t>
      </w:r>
    </w:p>
    <w:p w14:paraId="78CADEE1">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175" w:name="_Toc1043"/>
      <w:bookmarkStart w:id="176" w:name="_Toc23749"/>
      <w:bookmarkStart w:id="177" w:name="_Toc140132769"/>
      <w:bookmarkStart w:id="178" w:name="_Toc163492836"/>
      <w:bookmarkStart w:id="179" w:name="_Toc19359"/>
      <w:r>
        <w:rPr>
          <w:rFonts w:hint="eastAsia" w:ascii="宋体" w:hAnsi="宋体" w:eastAsia="宋体" w:cs="宋体"/>
          <w:b/>
          <w:bCs/>
          <w:color w:val="auto"/>
          <w:kern w:val="2"/>
          <w:sz w:val="24"/>
          <w:szCs w:val="24"/>
          <w:highlight w:val="none"/>
          <w:lang w:val="en-US" w:eastAsia="zh-CN" w:bidi="ar-SA"/>
        </w:rPr>
        <w:t>12.招标文件的询问、澄清或者修改</w:t>
      </w:r>
      <w:bookmarkEnd w:id="175"/>
      <w:bookmarkEnd w:id="176"/>
      <w:bookmarkEnd w:id="177"/>
      <w:bookmarkEnd w:id="178"/>
      <w:bookmarkEnd w:id="179"/>
    </w:p>
    <w:p w14:paraId="3A36B8C0">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 投标人对采购项目有疑问的，可以按照“投标人须知前附表”中的规定提出询问。提出后，请投标人及时通过交易平台“答疑文件下载”栏目查看答疑文件或澄清文件。必要时，采购代理机构将组织相关专家召开答疑会，如召开，答疑会安排另行通知。采购人或采购代理机构将在收到询问后依法予以答复。对招标文件询问的答复，在必要时将以澄清形式推送给每个获取招标文件的潜在投标人(答复中不包括问题的来源)。</w:t>
      </w:r>
    </w:p>
    <w:p w14:paraId="56F4138C">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投标人在规定的时间内未对招标文件提出疑问或要求澄清的，采购代理机构将视其为同意，对在“投标人须知前附表”中“</w:t>
      </w:r>
      <w:r>
        <w:rPr>
          <w:rFonts w:hint="eastAsia" w:ascii="宋体" w:hAnsi="宋体" w:eastAsia="宋体" w:cs="宋体"/>
          <w:color w:val="auto"/>
          <w:sz w:val="24"/>
          <w:szCs w:val="24"/>
          <w:highlight w:val="none"/>
          <w:lang w:val="en-US" w:eastAsia="zh-CN"/>
        </w:rPr>
        <w:t>提出询问的</w:t>
      </w: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lang w:val="en-US" w:eastAsia="zh-CN"/>
        </w:rPr>
        <w:t>要求</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之</w:t>
      </w:r>
      <w:r>
        <w:rPr>
          <w:rFonts w:hint="eastAsia" w:ascii="宋体" w:hAnsi="宋体" w:eastAsia="宋体" w:cs="宋体"/>
          <w:color w:val="auto"/>
          <w:sz w:val="24"/>
          <w:szCs w:val="24"/>
          <w:highlight w:val="none"/>
        </w:rPr>
        <w:t>后就招标文件内容提出的疑问及澄清要求将不予受理。</w:t>
      </w:r>
    </w:p>
    <w:p w14:paraId="4A5FAB87">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 采购人或者采购代理机构可以对已发出的招标文件进行必要的澄清或者修改。澄清或修改的内容为招标文件的组成部分，并对所有获取招标文件的潜在投标人具有约束力。</w:t>
      </w:r>
    </w:p>
    <w:p w14:paraId="1EB83C80">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.3 招标文件的澄清或者修改以当面交接、邮寄、传真或电子邮件、网站披露等其中至少一种方式，发给所有领取招标文件的</w:t>
      </w:r>
      <w:r>
        <w:rPr>
          <w:rFonts w:hint="eastAsia" w:ascii="宋体" w:hAnsi="宋体" w:eastAsia="宋体" w:cs="宋体"/>
          <w:color w:val="auto"/>
          <w:sz w:val="24"/>
          <w:szCs w:val="24"/>
          <w:highlight w:val="none"/>
          <w:lang w:val="en-US" w:eastAsia="zh-CN"/>
        </w:rPr>
        <w:t>潜在</w:t>
      </w:r>
      <w:r>
        <w:rPr>
          <w:rFonts w:hint="eastAsia" w:ascii="宋体" w:hAnsi="宋体" w:eastAsia="宋体" w:cs="宋体"/>
          <w:color w:val="auto"/>
          <w:sz w:val="24"/>
          <w:szCs w:val="24"/>
          <w:highlight w:val="none"/>
        </w:rPr>
        <w:t>投标人，但不包括问题的来源。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6F274E6E">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.4 </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投标人须知”所称“书面形式”包括系统消息、政府采购</w:t>
      </w:r>
      <w:r>
        <w:rPr>
          <w:rFonts w:hint="eastAsia" w:ascii="宋体" w:hAnsi="宋体" w:eastAsia="宋体" w:cs="宋体"/>
          <w:color w:val="auto"/>
          <w:sz w:val="24"/>
          <w:szCs w:val="24"/>
          <w:highlight w:val="none"/>
          <w:lang w:val="en-US" w:eastAsia="zh-CN"/>
        </w:rPr>
        <w:t>云平台</w:t>
      </w:r>
      <w:r>
        <w:rPr>
          <w:rFonts w:hint="eastAsia" w:ascii="宋体" w:hAnsi="宋体" w:eastAsia="宋体" w:cs="宋体"/>
          <w:color w:val="auto"/>
          <w:sz w:val="24"/>
          <w:szCs w:val="24"/>
          <w:highlight w:val="none"/>
        </w:rPr>
        <w:t>发布的公告。</w:t>
      </w:r>
    </w:p>
    <w:p w14:paraId="1E6D774C">
      <w:pPr>
        <w:pStyle w:val="54"/>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w:t>
      </w:r>
      <w:r>
        <w:rPr>
          <w:rFonts w:hint="eastAsia" w:ascii="宋体" w:hAnsi="宋体" w:eastAsia="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rPr>
        <w:t>采购代理机构一旦对招标文件作出了澄清、修改，即刻发生效力，采购代理机构有关的澄清、修改文件，将作为招标文件的组成部分，对所有现实的或潜在的投标人均具有约束力，而无论是否已经实际收到上述文件。同时，采购代理机构和投标人的权利及义务将受到新的截止期的约束。</w:t>
      </w:r>
    </w:p>
    <w:p w14:paraId="39FCE417">
      <w:pPr>
        <w:pStyle w:val="54"/>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w:t>
      </w:r>
      <w:r>
        <w:rPr>
          <w:rFonts w:hint="eastAsia" w:ascii="宋体" w:hAnsi="宋体" w:eastAsia="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val="en-US" w:eastAsia="zh-CN"/>
        </w:rPr>
        <w:t>6</w:t>
      </w:r>
      <w:r>
        <w:rPr>
          <w:rFonts w:hint="eastAsia" w:ascii="宋体" w:hAnsi="宋体" w:eastAsia="宋体" w:cs="宋体"/>
          <w:color w:val="auto"/>
          <w:kern w:val="2"/>
          <w:sz w:val="24"/>
          <w:szCs w:val="24"/>
          <w:highlight w:val="none"/>
        </w:rPr>
        <w:t>采购代理机构对招标文件作出的澄清、修改在平台内进行披露，请投标人及时关注并获取相关资料。因登记有误、线路故障或其它任何意外情形，导致投标人未及时获取的，采购代理机构不因此承担任何责任，且有关的招标活动继续有效地进行。当招标文件的澄清、修改及进行其他答复等就同一内容的表述不一致时，以最后发布的内容为准。</w:t>
      </w:r>
    </w:p>
    <w:p w14:paraId="578320B0">
      <w:pPr>
        <w:pStyle w:val="4"/>
        <w:keepNext w:val="0"/>
        <w:keepLines w:val="0"/>
        <w:pageBreakBefore w:val="0"/>
        <w:widowControl w:val="0"/>
        <w:numPr>
          <w:ilvl w:val="0"/>
          <w:numId w:val="0"/>
        </w:numPr>
        <w:kinsoku/>
        <w:wordWrap/>
        <w:overflowPunct/>
        <w:topLinePunct w:val="0"/>
        <w:autoSpaceDE/>
        <w:autoSpaceDN/>
        <w:bidi w:val="0"/>
        <w:adjustRightInd/>
        <w:snapToGrid/>
        <w:spacing w:before="120" w:after="12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180" w:name="_Toc163492837"/>
      <w:bookmarkStart w:id="181" w:name="_Toc155185872"/>
      <w:bookmarkStart w:id="182" w:name="_Toc10238"/>
      <w:bookmarkStart w:id="183" w:name="_Toc21031"/>
      <w:bookmarkStart w:id="184" w:name="_Toc28118"/>
      <w:r>
        <w:rPr>
          <w:rFonts w:hint="eastAsia" w:ascii="宋体" w:hAnsi="宋体" w:eastAsia="宋体" w:cs="宋体"/>
          <w:b/>
          <w:bCs/>
          <w:color w:val="auto"/>
          <w:kern w:val="2"/>
          <w:sz w:val="24"/>
          <w:szCs w:val="24"/>
          <w:highlight w:val="none"/>
          <w:lang w:val="en-US" w:eastAsia="zh-CN" w:bidi="ar-SA"/>
        </w:rPr>
        <w:t>（三）投标文件</w:t>
      </w:r>
      <w:bookmarkEnd w:id="180"/>
      <w:bookmarkEnd w:id="181"/>
      <w:bookmarkEnd w:id="182"/>
      <w:bookmarkEnd w:id="183"/>
      <w:bookmarkEnd w:id="184"/>
    </w:p>
    <w:p w14:paraId="67D7EC68">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185" w:name="_Toc25559"/>
      <w:bookmarkStart w:id="186" w:name="_Toc163492838"/>
      <w:bookmarkStart w:id="187" w:name="_Toc10645"/>
      <w:bookmarkStart w:id="188" w:name="_Toc31491"/>
      <w:r>
        <w:rPr>
          <w:rFonts w:hint="eastAsia" w:ascii="宋体" w:hAnsi="宋体" w:eastAsia="宋体" w:cs="宋体"/>
          <w:b/>
          <w:bCs/>
          <w:color w:val="auto"/>
          <w:kern w:val="2"/>
          <w:sz w:val="24"/>
          <w:szCs w:val="24"/>
          <w:highlight w:val="none"/>
          <w:lang w:val="en-US" w:eastAsia="zh-CN" w:bidi="ar-SA"/>
        </w:rPr>
        <w:t>13.投标文件的组成</w:t>
      </w:r>
      <w:bookmarkEnd w:id="185"/>
      <w:bookmarkEnd w:id="186"/>
      <w:bookmarkEnd w:id="187"/>
      <w:bookmarkEnd w:id="188"/>
    </w:p>
    <w:p w14:paraId="174A0A3D">
      <w:pPr>
        <w:pStyle w:val="54"/>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highlight w:val="none"/>
        </w:rPr>
      </w:pPr>
      <w:bookmarkStart w:id="189" w:name="_Toc140132772"/>
      <w:bookmarkStart w:id="190" w:name="_Toc163492839"/>
      <w:r>
        <w:rPr>
          <w:rFonts w:hint="eastAsia" w:ascii="宋体" w:hAnsi="宋体" w:eastAsia="宋体" w:cs="宋体"/>
          <w:color w:val="auto"/>
          <w:kern w:val="2"/>
          <w:sz w:val="24"/>
          <w:szCs w:val="24"/>
          <w:highlight w:val="none"/>
          <w:lang w:val="en-US" w:eastAsia="zh-CN"/>
        </w:rPr>
        <w:t>13</w:t>
      </w:r>
      <w:r>
        <w:rPr>
          <w:rFonts w:hint="eastAsia" w:ascii="宋体" w:hAnsi="宋体" w:eastAsia="宋体" w:cs="宋体"/>
          <w:color w:val="auto"/>
          <w:kern w:val="2"/>
          <w:sz w:val="24"/>
          <w:szCs w:val="24"/>
          <w:highlight w:val="none"/>
        </w:rPr>
        <w:t>.1投标人应完整地按招标文件提供的投标文件格式及要求编写投标文件，具体内容详见</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 xml:space="preserve">第七章 </w:t>
      </w:r>
      <w:r>
        <w:rPr>
          <w:rFonts w:hint="eastAsia" w:ascii="宋体" w:hAnsi="宋体" w:eastAsia="宋体" w:cs="宋体"/>
          <w:color w:val="auto"/>
          <w:kern w:val="2"/>
          <w:sz w:val="24"/>
          <w:szCs w:val="24"/>
          <w:highlight w:val="none"/>
        </w:rPr>
        <w:t>投标文件格式</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的相关内容。</w:t>
      </w:r>
    </w:p>
    <w:p w14:paraId="3BB3A0B7">
      <w:pPr>
        <w:pStyle w:val="54"/>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13.2</w:t>
      </w:r>
      <w:r>
        <w:rPr>
          <w:rFonts w:hint="eastAsia" w:ascii="宋体" w:hAnsi="宋体" w:eastAsia="宋体" w:cs="宋体"/>
          <w:color w:val="auto"/>
          <w:kern w:val="2"/>
          <w:sz w:val="24"/>
          <w:szCs w:val="24"/>
          <w:highlight w:val="none"/>
        </w:rPr>
        <w:t>投标人应提交招标文件要求的证明文件，证明其投标内容符合招标文件规定</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该证明文件是投标文件的一部分</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证明文件</w:t>
      </w:r>
      <w:r>
        <w:rPr>
          <w:rFonts w:hint="eastAsia" w:ascii="宋体" w:hAnsi="宋体" w:eastAsia="宋体" w:cs="宋体"/>
          <w:color w:val="auto"/>
          <w:kern w:val="2"/>
          <w:sz w:val="24"/>
          <w:szCs w:val="24"/>
          <w:highlight w:val="none"/>
          <w:lang w:val="en-US" w:eastAsia="zh-CN"/>
        </w:rPr>
        <w:t>形式</w:t>
      </w:r>
      <w:r>
        <w:rPr>
          <w:rFonts w:hint="eastAsia" w:ascii="宋体" w:hAnsi="宋体" w:eastAsia="宋体" w:cs="宋体"/>
          <w:color w:val="auto"/>
          <w:kern w:val="2"/>
          <w:sz w:val="24"/>
          <w:szCs w:val="24"/>
          <w:highlight w:val="none"/>
        </w:rPr>
        <w:t>可以是文字资料、图纸和数据</w:t>
      </w:r>
      <w:bookmarkStart w:id="191" w:name="_Hlk11703583"/>
      <w:r>
        <w:rPr>
          <w:rFonts w:hint="eastAsia" w:ascii="宋体" w:hAnsi="宋体" w:eastAsia="宋体" w:cs="宋体"/>
          <w:color w:val="auto"/>
          <w:kern w:val="2"/>
          <w:sz w:val="24"/>
          <w:szCs w:val="24"/>
          <w:highlight w:val="none"/>
          <w:lang w:val="en-US" w:eastAsia="zh-CN"/>
        </w:rPr>
        <w:t>等。</w:t>
      </w:r>
    </w:p>
    <w:bookmarkEnd w:id="191"/>
    <w:p w14:paraId="781BBAEB">
      <w:pPr>
        <w:pStyle w:val="54"/>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13.3</w:t>
      </w:r>
      <w:r>
        <w:rPr>
          <w:rFonts w:hint="eastAsia" w:ascii="宋体" w:hAnsi="宋体" w:eastAsia="宋体" w:cs="宋体"/>
          <w:color w:val="auto"/>
          <w:kern w:val="2"/>
          <w:sz w:val="24"/>
          <w:szCs w:val="24"/>
          <w:highlight w:val="none"/>
        </w:rPr>
        <w:t>为保证公平公正，除非</w:t>
      </w:r>
      <w:r>
        <w:rPr>
          <w:rFonts w:hint="eastAsia" w:ascii="宋体" w:hAnsi="宋体" w:eastAsia="宋体" w:cs="宋体"/>
          <w:color w:val="auto"/>
          <w:kern w:val="2"/>
          <w:sz w:val="24"/>
          <w:szCs w:val="24"/>
          <w:highlight w:val="none"/>
          <w:lang w:val="en-US" w:eastAsia="zh-CN"/>
        </w:rPr>
        <w:t>本招标文件</w:t>
      </w:r>
      <w:r>
        <w:rPr>
          <w:rFonts w:hint="eastAsia" w:ascii="宋体" w:hAnsi="宋体" w:eastAsia="宋体" w:cs="宋体"/>
          <w:color w:val="auto"/>
          <w:kern w:val="2"/>
          <w:sz w:val="24"/>
          <w:szCs w:val="24"/>
          <w:highlight w:val="none"/>
        </w:rPr>
        <w:t>另有规定或说明，投标人对同一项目投标时，不得同时提供备选投标方案。</w:t>
      </w:r>
    </w:p>
    <w:p w14:paraId="2DB5A9E4">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192" w:name="_Toc27765"/>
      <w:bookmarkStart w:id="193" w:name="_Toc12829"/>
      <w:bookmarkStart w:id="194" w:name="_Toc24665"/>
      <w:r>
        <w:rPr>
          <w:rFonts w:hint="eastAsia" w:ascii="宋体" w:hAnsi="宋体" w:eastAsia="宋体" w:cs="宋体"/>
          <w:b/>
          <w:bCs/>
          <w:color w:val="auto"/>
          <w:kern w:val="2"/>
          <w:sz w:val="24"/>
          <w:szCs w:val="24"/>
          <w:highlight w:val="none"/>
          <w:lang w:val="en-US" w:eastAsia="zh-CN" w:bidi="ar-SA"/>
        </w:rPr>
        <w:t>14.投标报价</w:t>
      </w:r>
      <w:bookmarkEnd w:id="189"/>
      <w:bookmarkEnd w:id="190"/>
      <w:bookmarkEnd w:id="192"/>
      <w:bookmarkEnd w:id="193"/>
      <w:bookmarkEnd w:id="194"/>
    </w:p>
    <w:p w14:paraId="3BD2CDC3">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snapToGrid w:val="0"/>
          <w:color w:val="auto"/>
          <w:sz w:val="24"/>
          <w:szCs w:val="24"/>
          <w:highlight w:val="none"/>
          <w:lang w:val="zh-CN"/>
        </w:rPr>
      </w:pPr>
      <w:r>
        <w:rPr>
          <w:rFonts w:hint="eastAsia" w:ascii="宋体" w:hAnsi="宋体" w:eastAsia="宋体" w:cs="宋体"/>
          <w:snapToGrid w:val="0"/>
          <w:color w:val="auto"/>
          <w:sz w:val="24"/>
          <w:szCs w:val="24"/>
          <w:highlight w:val="none"/>
        </w:rPr>
        <w:t>1</w:t>
      </w:r>
      <w:r>
        <w:rPr>
          <w:rFonts w:hint="eastAsia" w:ascii="宋体" w:hAnsi="宋体" w:eastAsia="宋体" w:cs="宋体"/>
          <w:snapToGrid w:val="0"/>
          <w:color w:val="auto"/>
          <w:sz w:val="24"/>
          <w:szCs w:val="24"/>
          <w:highlight w:val="none"/>
          <w:lang w:val="en-US" w:eastAsia="zh-CN"/>
        </w:rPr>
        <w:t>4</w:t>
      </w:r>
      <w:r>
        <w:rPr>
          <w:rFonts w:hint="eastAsia" w:ascii="宋体" w:hAnsi="宋体" w:eastAsia="宋体" w:cs="宋体"/>
          <w:snapToGrid w:val="0"/>
          <w:color w:val="auto"/>
          <w:sz w:val="24"/>
          <w:szCs w:val="24"/>
          <w:highlight w:val="none"/>
        </w:rPr>
        <w:t xml:space="preserve">.1 </w:t>
      </w:r>
      <w:r>
        <w:rPr>
          <w:rFonts w:hint="eastAsia" w:ascii="宋体" w:hAnsi="宋体" w:eastAsia="宋体" w:cs="宋体"/>
          <w:snapToGrid w:val="0"/>
          <w:color w:val="auto"/>
          <w:sz w:val="24"/>
          <w:szCs w:val="24"/>
          <w:highlight w:val="none"/>
          <w:lang w:val="zh-CN"/>
        </w:rPr>
        <w:t>投标人的报价均应以人民币进行报价。</w:t>
      </w:r>
    </w:p>
    <w:p w14:paraId="6CC00543">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1</w:t>
      </w:r>
      <w:r>
        <w:rPr>
          <w:rFonts w:hint="eastAsia" w:ascii="宋体" w:hAnsi="宋体" w:eastAsia="宋体" w:cs="宋体"/>
          <w:snapToGrid w:val="0"/>
          <w:color w:val="auto"/>
          <w:sz w:val="24"/>
          <w:szCs w:val="24"/>
          <w:highlight w:val="none"/>
          <w:lang w:val="en-US" w:eastAsia="zh-CN"/>
        </w:rPr>
        <w:t>4</w:t>
      </w:r>
      <w:r>
        <w:rPr>
          <w:rFonts w:hint="eastAsia" w:ascii="宋体" w:hAnsi="宋体" w:eastAsia="宋体" w:cs="宋体"/>
          <w:snapToGrid w:val="0"/>
          <w:color w:val="auto"/>
          <w:sz w:val="24"/>
          <w:szCs w:val="24"/>
          <w:highlight w:val="none"/>
        </w:rPr>
        <w:t>.2 投标人应按照本招标文件规定的报价方式进行报价，投标报价中不得包含招标文件要求以外的内容，否则，在评标时不予核减。投标报价中也不得遗漏招标文件所要求的内容，否则其</w:t>
      </w:r>
      <w:r>
        <w:rPr>
          <w:rFonts w:hint="eastAsia" w:ascii="宋体" w:hAnsi="宋体" w:eastAsia="宋体" w:cs="宋体"/>
          <w:b/>
          <w:bCs/>
          <w:snapToGrid w:val="0"/>
          <w:color w:val="auto"/>
          <w:sz w:val="24"/>
          <w:szCs w:val="24"/>
          <w:highlight w:val="none"/>
        </w:rPr>
        <w:t>投标无效</w:t>
      </w:r>
      <w:r>
        <w:rPr>
          <w:rFonts w:hint="eastAsia" w:ascii="宋体" w:hAnsi="宋体" w:eastAsia="宋体" w:cs="宋体"/>
          <w:snapToGrid w:val="0"/>
          <w:color w:val="auto"/>
          <w:sz w:val="24"/>
          <w:szCs w:val="24"/>
          <w:highlight w:val="none"/>
        </w:rPr>
        <w:t>。</w:t>
      </w:r>
    </w:p>
    <w:p w14:paraId="1197AD09">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snapToGrid w:val="0"/>
          <w:color w:val="auto"/>
          <w:sz w:val="24"/>
          <w:szCs w:val="24"/>
          <w:highlight w:val="none"/>
        </w:rPr>
      </w:pPr>
      <w:r>
        <w:rPr>
          <w:rFonts w:hint="eastAsia" w:ascii="宋体" w:hAnsi="宋体" w:eastAsia="宋体" w:cs="宋体"/>
          <w:color w:val="auto"/>
          <w:kern w:val="2"/>
          <w:sz w:val="24"/>
          <w:szCs w:val="24"/>
          <w:highlight w:val="none"/>
          <w:lang w:val="en-US" w:eastAsia="zh-CN"/>
        </w:rPr>
        <w:t>14.3</w:t>
      </w:r>
      <w:r>
        <w:rPr>
          <w:rFonts w:hint="eastAsia" w:ascii="宋体" w:hAnsi="宋体" w:eastAsia="宋体" w:cs="宋体"/>
          <w:snapToGrid w:val="0"/>
          <w:color w:val="auto"/>
          <w:sz w:val="24"/>
          <w:szCs w:val="24"/>
          <w:highlight w:val="none"/>
          <w:lang w:val="en-US" w:eastAsia="zh-CN"/>
        </w:rPr>
        <w:t>投标人的报价应包括为完成本项目所发生的一切费用和税费，采购人将不再支付报价以外的任何费用。只要投报了一个确定数额的总价，无论分项价格是否全部填报了相应的金额或免费字样，报价应被视为已经包含了但并不限于本次招标全部采购需求所应提供的服务，以及伴随的货物和工程等的费用和所需缴纳的所有价格、税、费。在其他情况下，由于分项报价填报不完整、不清楚或存在其他任何失误，所导致的任何不利后果均应当由投标人自行承担</w:t>
      </w:r>
      <w:r>
        <w:rPr>
          <w:rFonts w:hint="eastAsia" w:ascii="宋体" w:hAnsi="宋体" w:eastAsia="宋体" w:cs="宋体"/>
          <w:snapToGrid w:val="0"/>
          <w:color w:val="auto"/>
          <w:sz w:val="24"/>
          <w:szCs w:val="24"/>
          <w:highlight w:val="none"/>
        </w:rPr>
        <w:t>。</w:t>
      </w:r>
    </w:p>
    <w:p w14:paraId="29AAB874">
      <w:pPr>
        <w:pStyle w:val="15"/>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14.4投标人的报价应包括但不限于按照招标文件要求完成本项目的全部相关费用。</w:t>
      </w:r>
    </w:p>
    <w:p w14:paraId="049AF5FA">
      <w:pPr>
        <w:ind w:firstLine="480" w:firstLineChars="200"/>
        <w:rPr>
          <w:rFonts w:hint="eastAsia" w:ascii="宋体" w:hAnsi="宋体" w:eastAsia="宋体" w:cs="宋体"/>
          <w:snapToGrid w:val="0"/>
          <w:color w:val="auto"/>
          <w:sz w:val="24"/>
          <w:szCs w:val="24"/>
          <w:highlight w:val="none"/>
          <w:lang w:val="zh-CN"/>
        </w:rPr>
      </w:pPr>
      <w:r>
        <w:rPr>
          <w:rFonts w:hint="eastAsia" w:ascii="宋体" w:hAnsi="宋体" w:eastAsia="宋体" w:cs="宋体"/>
          <w:color w:val="auto"/>
          <w:kern w:val="2"/>
          <w:sz w:val="24"/>
          <w:szCs w:val="24"/>
          <w:highlight w:val="none"/>
          <w:lang w:val="en-US" w:eastAsia="zh-CN" w:bidi="ar-SA"/>
        </w:rPr>
        <w:t>14.5 投标人须严格按照分项报价表规定的内容填写服务单价以及其他事项。</w:t>
      </w:r>
      <w:r>
        <w:rPr>
          <w:rFonts w:hint="eastAsia" w:ascii="宋体" w:hAnsi="宋体" w:eastAsia="宋体" w:cs="宋体"/>
          <w:snapToGrid w:val="0"/>
          <w:color w:val="auto"/>
          <w:sz w:val="24"/>
          <w:szCs w:val="24"/>
          <w:highlight w:val="none"/>
          <w:lang w:val="zh-CN"/>
        </w:rPr>
        <w:t>投标人应根据本招标文件的规定和要求、市场价格水平及其走势、投标人的管理水平、投标人的方案和由这些因素决定的投标人之于本项目的成本水平等提出自己的报价。报价应合理，并包含完成本招标文件采购需求全部内容的所有费用，所有根据本招标文件或其它原因应由投标人支付的税款和其他应交纳的费用都应包括在投标人提交的投标报价中。</w:t>
      </w:r>
    </w:p>
    <w:p w14:paraId="058EFD12">
      <w:pPr>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14.6 投标人在投标文件中注明免费的项目将视为包含在投标报价中。</w:t>
      </w:r>
    </w:p>
    <w:p w14:paraId="6DF8B2FA">
      <w:pPr>
        <w:pStyle w:val="15"/>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14.7 每一种采购内容只允许</w:t>
      </w:r>
      <w:r>
        <w:rPr>
          <w:rFonts w:hint="eastAsia" w:ascii="宋体" w:hAnsi="宋体" w:eastAsia="宋体" w:cs="宋体"/>
          <w:snapToGrid w:val="0"/>
          <w:color w:val="auto"/>
          <w:sz w:val="24"/>
          <w:szCs w:val="24"/>
          <w:highlight w:val="none"/>
        </w:rPr>
        <w:t>有一个报价，否则其</w:t>
      </w:r>
      <w:r>
        <w:rPr>
          <w:rFonts w:hint="eastAsia" w:ascii="宋体" w:hAnsi="宋体" w:eastAsia="宋体" w:cs="宋体"/>
          <w:b/>
          <w:bCs/>
          <w:snapToGrid w:val="0"/>
          <w:color w:val="auto"/>
          <w:sz w:val="24"/>
          <w:szCs w:val="24"/>
          <w:highlight w:val="none"/>
        </w:rPr>
        <w:t>投标无效</w:t>
      </w:r>
      <w:r>
        <w:rPr>
          <w:rFonts w:hint="eastAsia" w:ascii="宋体" w:hAnsi="宋体" w:eastAsia="宋体" w:cs="宋体"/>
          <w:snapToGrid w:val="0"/>
          <w:color w:val="auto"/>
          <w:sz w:val="24"/>
          <w:szCs w:val="24"/>
          <w:highlight w:val="none"/>
        </w:rPr>
        <w:t>。</w:t>
      </w:r>
      <w:r>
        <w:rPr>
          <w:rFonts w:hint="eastAsia" w:ascii="宋体" w:hAnsi="宋体" w:eastAsia="宋体" w:cs="宋体"/>
          <w:color w:val="auto"/>
          <w:kern w:val="2"/>
          <w:sz w:val="24"/>
          <w:szCs w:val="24"/>
          <w:highlight w:val="none"/>
        </w:rPr>
        <w:t>除非招标文件另有规定，不接受可选择或可调整的投标方案和报价，任何有选择的或可调整的投标方案和报价将被视为非</w:t>
      </w:r>
      <w:r>
        <w:rPr>
          <w:rFonts w:hint="eastAsia" w:ascii="宋体" w:hAnsi="宋体" w:eastAsia="宋体" w:cs="宋体"/>
          <w:color w:val="auto"/>
          <w:kern w:val="2"/>
          <w:sz w:val="24"/>
          <w:szCs w:val="24"/>
          <w:highlight w:val="none"/>
          <w:lang w:val="en-US" w:eastAsia="zh-CN"/>
        </w:rPr>
        <w:t>实质性</w:t>
      </w:r>
      <w:r>
        <w:rPr>
          <w:rFonts w:hint="eastAsia" w:ascii="宋体" w:hAnsi="宋体" w:eastAsia="宋体" w:cs="宋体"/>
          <w:color w:val="auto"/>
          <w:kern w:val="2"/>
          <w:sz w:val="24"/>
          <w:szCs w:val="24"/>
          <w:highlight w:val="none"/>
        </w:rPr>
        <w:t>响应</w:t>
      </w:r>
      <w:r>
        <w:rPr>
          <w:rFonts w:hint="eastAsia" w:ascii="宋体" w:hAnsi="宋体" w:eastAsia="宋体" w:cs="宋体"/>
          <w:color w:val="auto"/>
          <w:kern w:val="2"/>
          <w:sz w:val="24"/>
          <w:szCs w:val="24"/>
          <w:highlight w:val="none"/>
          <w:lang w:val="en-US" w:eastAsia="zh-CN"/>
        </w:rPr>
        <w:t>招标文件,其</w:t>
      </w:r>
      <w:r>
        <w:rPr>
          <w:rFonts w:hint="eastAsia" w:ascii="宋体" w:hAnsi="宋体" w:eastAsia="宋体" w:cs="宋体"/>
          <w:b/>
          <w:bCs/>
          <w:color w:val="auto"/>
          <w:kern w:val="2"/>
          <w:sz w:val="24"/>
          <w:szCs w:val="24"/>
          <w:highlight w:val="none"/>
          <w:lang w:eastAsia="zh-CN"/>
        </w:rPr>
        <w:t>投标无效</w:t>
      </w:r>
      <w:r>
        <w:rPr>
          <w:rFonts w:hint="eastAsia" w:ascii="宋体" w:hAnsi="宋体" w:eastAsia="宋体" w:cs="宋体"/>
          <w:color w:val="auto"/>
          <w:kern w:val="2"/>
          <w:sz w:val="24"/>
          <w:szCs w:val="24"/>
          <w:highlight w:val="none"/>
        </w:rPr>
        <w:t>。</w:t>
      </w:r>
    </w:p>
    <w:p w14:paraId="192E0BF0">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8 </w:t>
      </w:r>
      <w:r>
        <w:rPr>
          <w:rFonts w:hint="eastAsia" w:ascii="宋体" w:hAnsi="宋体" w:eastAsia="宋体" w:cs="宋体"/>
          <w:color w:val="auto"/>
          <w:sz w:val="24"/>
          <w:szCs w:val="24"/>
          <w:highlight w:val="none"/>
        </w:rPr>
        <w:t>投标报价不得超过“</w:t>
      </w:r>
      <w:r>
        <w:rPr>
          <w:rFonts w:hint="eastAsia" w:ascii="宋体" w:hAnsi="宋体" w:eastAsia="宋体" w:cs="宋体"/>
          <w:color w:val="auto"/>
          <w:sz w:val="24"/>
          <w:szCs w:val="24"/>
          <w:highlight w:val="none"/>
          <w:lang w:val="en-US" w:eastAsia="zh-CN"/>
        </w:rPr>
        <w:t>第一章 招标公告</w:t>
      </w:r>
      <w:r>
        <w:rPr>
          <w:rFonts w:hint="eastAsia" w:ascii="宋体" w:hAnsi="宋体" w:eastAsia="宋体" w:cs="宋体"/>
          <w:color w:val="auto"/>
          <w:sz w:val="24"/>
          <w:szCs w:val="24"/>
          <w:highlight w:val="none"/>
        </w:rPr>
        <w:t>”中规定的最高投标限价</w:t>
      </w:r>
      <w:r>
        <w:rPr>
          <w:rFonts w:hint="eastAsia" w:ascii="宋体" w:hAnsi="宋体" w:eastAsia="宋体" w:cs="宋体"/>
          <w:color w:val="auto"/>
          <w:sz w:val="24"/>
          <w:szCs w:val="24"/>
          <w:highlight w:val="none"/>
          <w:lang w:val="en-US" w:eastAsia="zh-CN"/>
        </w:rPr>
        <w:t>或者预算金额</w:t>
      </w:r>
      <w:r>
        <w:rPr>
          <w:rFonts w:hint="eastAsia" w:ascii="宋体" w:hAnsi="宋体" w:eastAsia="宋体" w:cs="宋体"/>
          <w:color w:val="auto"/>
          <w:sz w:val="24"/>
          <w:szCs w:val="24"/>
          <w:highlight w:val="none"/>
        </w:rPr>
        <w:t>，否则评标委员会将</w:t>
      </w:r>
      <w:r>
        <w:rPr>
          <w:rFonts w:hint="eastAsia" w:ascii="宋体" w:hAnsi="宋体" w:eastAsia="宋体" w:cs="宋体"/>
          <w:b w:val="0"/>
          <w:bCs w:val="0"/>
          <w:color w:val="auto"/>
          <w:sz w:val="24"/>
          <w:szCs w:val="24"/>
          <w:highlight w:val="none"/>
          <w:lang w:val="en-US" w:eastAsia="zh-CN"/>
        </w:rPr>
        <w:t>对</w:t>
      </w:r>
      <w:r>
        <w:rPr>
          <w:rFonts w:hint="eastAsia" w:ascii="宋体" w:hAnsi="宋体" w:eastAsia="宋体" w:cs="宋体"/>
          <w:b w:val="0"/>
          <w:bCs w:val="0"/>
          <w:color w:val="auto"/>
          <w:sz w:val="24"/>
          <w:szCs w:val="24"/>
          <w:highlight w:val="none"/>
        </w:rPr>
        <w:t>其</w:t>
      </w:r>
      <w:r>
        <w:rPr>
          <w:rFonts w:hint="eastAsia" w:ascii="宋体" w:hAnsi="宋体" w:eastAsia="宋体" w:cs="宋体"/>
          <w:b w:val="0"/>
          <w:bCs w:val="0"/>
          <w:color w:val="auto"/>
          <w:sz w:val="24"/>
          <w:szCs w:val="24"/>
          <w:highlight w:val="none"/>
          <w:lang w:val="en-US" w:eastAsia="zh-CN"/>
        </w:rPr>
        <w:t>作</w:t>
      </w:r>
      <w:r>
        <w:rPr>
          <w:rFonts w:hint="eastAsia" w:ascii="宋体" w:hAnsi="宋体" w:eastAsia="宋体" w:cs="宋体"/>
          <w:b/>
          <w:bCs/>
          <w:color w:val="auto"/>
          <w:sz w:val="24"/>
          <w:szCs w:val="24"/>
          <w:highlight w:val="none"/>
          <w:lang w:val="en-US" w:eastAsia="zh-CN"/>
        </w:rPr>
        <w:t>无效</w:t>
      </w:r>
      <w:r>
        <w:rPr>
          <w:rFonts w:hint="eastAsia" w:ascii="宋体" w:hAnsi="宋体" w:eastAsia="宋体" w:cs="宋体"/>
          <w:b/>
          <w:bCs/>
          <w:color w:val="auto"/>
          <w:sz w:val="24"/>
          <w:szCs w:val="24"/>
          <w:highlight w:val="none"/>
        </w:rPr>
        <w:t>投标</w:t>
      </w:r>
      <w:r>
        <w:rPr>
          <w:rFonts w:hint="eastAsia" w:ascii="宋体" w:hAnsi="宋体" w:eastAsia="宋体" w:cs="宋体"/>
          <w:b/>
          <w:bCs/>
          <w:color w:val="auto"/>
          <w:sz w:val="24"/>
          <w:szCs w:val="24"/>
          <w:highlight w:val="none"/>
          <w:lang w:val="en-US" w:eastAsia="zh-CN"/>
        </w:rPr>
        <w:t>处理</w:t>
      </w:r>
      <w:r>
        <w:rPr>
          <w:rFonts w:hint="eastAsia" w:ascii="宋体" w:hAnsi="宋体" w:eastAsia="宋体" w:cs="宋体"/>
          <w:color w:val="auto"/>
          <w:sz w:val="24"/>
          <w:szCs w:val="24"/>
          <w:highlight w:val="none"/>
        </w:rPr>
        <w:t>。</w:t>
      </w:r>
    </w:p>
    <w:p w14:paraId="1DC40C77">
      <w:pPr>
        <w:pStyle w:val="54"/>
        <w:pageBreakBefore w:val="0"/>
        <w:shd w:val="clear" w:color="auto" w:fill="auto"/>
        <w:kinsoku/>
        <w:wordWrap/>
        <w:overflowPunct/>
        <w:topLinePunct w:val="0"/>
        <w:bidi w:val="0"/>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w:t>
      </w:r>
      <w:r>
        <w:rPr>
          <w:rFonts w:hint="eastAsia" w:ascii="宋体" w:hAnsi="宋体" w:eastAsia="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val="en-US" w:eastAsia="zh-CN"/>
        </w:rPr>
        <w:t xml:space="preserve">9 </w:t>
      </w:r>
      <w:r>
        <w:rPr>
          <w:rFonts w:hint="eastAsia" w:ascii="宋体" w:hAnsi="宋体" w:eastAsia="宋体" w:cs="宋体"/>
          <w:color w:val="auto"/>
          <w:kern w:val="2"/>
          <w:sz w:val="24"/>
          <w:szCs w:val="24"/>
          <w:highlight w:val="none"/>
        </w:rPr>
        <w:t>投标人对投标报价若有说明应在投标文件中显著处注明。</w:t>
      </w:r>
    </w:p>
    <w:p w14:paraId="69F7C97A">
      <w:pPr>
        <w:pStyle w:val="54"/>
        <w:pageBreakBefore w:val="0"/>
        <w:shd w:val="clear" w:color="auto" w:fill="auto"/>
        <w:kinsoku/>
        <w:wordWrap/>
        <w:overflowPunct/>
        <w:topLinePunct w:val="0"/>
        <w:bidi w:val="0"/>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除政策性文件规定以外，投标人所报价格在合同实施期间不因市场变化因素而变动。</w:t>
      </w:r>
    </w:p>
    <w:p w14:paraId="3D2E52CC">
      <w:pPr>
        <w:pStyle w:val="54"/>
        <w:pageBreakBefore w:val="0"/>
        <w:shd w:val="clear" w:color="auto" w:fill="auto"/>
        <w:kinsoku/>
        <w:wordWrap/>
        <w:overflowPunct/>
        <w:topLinePunct w:val="0"/>
        <w:bidi w:val="0"/>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w:t>
      </w:r>
      <w:r>
        <w:rPr>
          <w:rFonts w:hint="eastAsia" w:ascii="宋体" w:hAnsi="宋体" w:eastAsia="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val="en-US" w:eastAsia="zh-CN"/>
        </w:rPr>
        <w:t xml:space="preserve">10 </w:t>
      </w:r>
      <w:r>
        <w:rPr>
          <w:rFonts w:hint="eastAsia" w:ascii="宋体" w:hAnsi="宋体" w:eastAsia="宋体" w:cs="宋体"/>
          <w:color w:val="auto"/>
          <w:kern w:val="2"/>
          <w:sz w:val="24"/>
          <w:szCs w:val="24"/>
          <w:highlight w:val="none"/>
        </w:rPr>
        <w:t>最低报价不能作为中标的保证。</w:t>
      </w:r>
    </w:p>
    <w:p w14:paraId="4F55CD6E">
      <w:pPr>
        <w:pStyle w:val="15"/>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14.11</w:t>
      </w:r>
      <w:r>
        <w:rPr>
          <w:rFonts w:hint="eastAsia" w:ascii="宋体" w:hAnsi="宋体" w:eastAsia="宋体" w:cs="宋体"/>
          <w:color w:val="auto"/>
          <w:kern w:val="0"/>
          <w:sz w:val="24"/>
          <w:szCs w:val="24"/>
          <w:highlight w:val="none"/>
          <w:lang w:val="en-US" w:eastAsia="zh-CN" w:bidi="ar"/>
        </w:rPr>
        <w:t>采购人不得向投标人索要或者接受其给予的赠品、回扣或者与采购无关的其他商品、服务。</w:t>
      </w:r>
    </w:p>
    <w:p w14:paraId="691BBD09">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195" w:name="_Toc9162"/>
      <w:bookmarkStart w:id="196" w:name="_Toc24520"/>
      <w:bookmarkStart w:id="197" w:name="_Toc24048"/>
      <w:bookmarkStart w:id="198" w:name="_Toc140132773"/>
      <w:bookmarkStart w:id="199" w:name="_Toc163492840"/>
      <w:r>
        <w:rPr>
          <w:rFonts w:hint="eastAsia" w:ascii="宋体" w:hAnsi="宋体" w:eastAsia="宋体" w:cs="宋体"/>
          <w:b/>
          <w:bCs/>
          <w:color w:val="auto"/>
          <w:kern w:val="2"/>
          <w:sz w:val="24"/>
          <w:szCs w:val="24"/>
          <w:highlight w:val="none"/>
          <w:lang w:val="en-US" w:eastAsia="zh-CN" w:bidi="ar-SA"/>
        </w:rPr>
        <w:t>15.投标有效期</w:t>
      </w:r>
      <w:bookmarkEnd w:id="195"/>
      <w:bookmarkEnd w:id="196"/>
      <w:bookmarkEnd w:id="197"/>
      <w:bookmarkEnd w:id="198"/>
      <w:bookmarkEnd w:id="199"/>
    </w:p>
    <w:p w14:paraId="13B2B164">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.1 </w:t>
      </w:r>
      <w:r>
        <w:rPr>
          <w:rFonts w:hint="eastAsia" w:ascii="宋体" w:hAnsi="宋体" w:eastAsia="宋体" w:cs="宋体"/>
          <w:color w:val="auto"/>
          <w:kern w:val="0"/>
          <w:sz w:val="24"/>
          <w:szCs w:val="24"/>
          <w:highlight w:val="none"/>
          <w:lang w:val="en"/>
        </w:rPr>
        <w:t>投标有效期</w:t>
      </w:r>
      <w:r>
        <w:rPr>
          <w:rFonts w:hint="eastAsia" w:ascii="宋体" w:hAnsi="宋体" w:eastAsia="宋体" w:cs="宋体"/>
          <w:color w:val="auto"/>
          <w:sz w:val="24"/>
          <w:szCs w:val="24"/>
          <w:highlight w:val="none"/>
        </w:rPr>
        <w:t>见“</w:t>
      </w:r>
      <w:r>
        <w:rPr>
          <w:rFonts w:hint="eastAsia" w:ascii="宋体" w:hAnsi="宋体" w:eastAsia="宋体" w:cs="宋体"/>
          <w:color w:val="auto"/>
          <w:sz w:val="24"/>
          <w:szCs w:val="24"/>
          <w:highlight w:val="none"/>
          <w:lang w:val="en-US" w:eastAsia="zh-CN"/>
        </w:rPr>
        <w:t xml:space="preserve">第二章 </w:t>
      </w:r>
      <w:r>
        <w:rPr>
          <w:rFonts w:hint="eastAsia" w:ascii="宋体" w:hAnsi="宋体" w:eastAsia="宋体" w:cs="宋体"/>
          <w:color w:val="auto"/>
          <w:sz w:val="24"/>
          <w:szCs w:val="24"/>
          <w:highlight w:val="none"/>
        </w:rPr>
        <w:t>投标人须知前附表”，投标人承诺的投标有效期</w:t>
      </w:r>
      <w:r>
        <w:rPr>
          <w:rFonts w:hint="eastAsia" w:ascii="宋体" w:hAnsi="宋体" w:eastAsia="宋体" w:cs="宋体"/>
          <w:snapToGrid w:val="0"/>
          <w:color w:val="auto"/>
          <w:sz w:val="24"/>
          <w:szCs w:val="24"/>
          <w:highlight w:val="none"/>
          <w:lang w:val="zh-CN" w:eastAsia="zh-CN"/>
        </w:rPr>
        <w:t>少于</w:t>
      </w:r>
      <w:r>
        <w:rPr>
          <w:rFonts w:hint="eastAsia" w:ascii="宋体" w:hAnsi="宋体" w:eastAsia="宋体" w:cs="宋体"/>
          <w:snapToGrid w:val="0"/>
          <w:color w:val="auto"/>
          <w:sz w:val="24"/>
          <w:szCs w:val="24"/>
          <w:highlight w:val="none"/>
          <w:lang w:val="en-US" w:eastAsia="zh-CN"/>
        </w:rPr>
        <w:t>招标</w:t>
      </w:r>
      <w:r>
        <w:rPr>
          <w:rFonts w:hint="eastAsia" w:ascii="宋体" w:hAnsi="宋体" w:eastAsia="宋体" w:cs="宋体"/>
          <w:snapToGrid w:val="0"/>
          <w:color w:val="auto"/>
          <w:sz w:val="24"/>
          <w:szCs w:val="24"/>
          <w:highlight w:val="none"/>
          <w:lang w:val="zh-CN" w:eastAsia="zh-CN"/>
        </w:rPr>
        <w:t>文件规定期限的，其</w:t>
      </w:r>
      <w:r>
        <w:rPr>
          <w:rFonts w:hint="eastAsia" w:ascii="宋体" w:hAnsi="宋体" w:eastAsia="宋体" w:cs="宋体"/>
          <w:b/>
          <w:bCs/>
          <w:snapToGrid w:val="0"/>
          <w:color w:val="auto"/>
          <w:sz w:val="24"/>
          <w:szCs w:val="24"/>
          <w:highlight w:val="none"/>
          <w:lang w:val="en-US" w:eastAsia="zh-CN"/>
        </w:rPr>
        <w:t>投标</w:t>
      </w:r>
      <w:r>
        <w:rPr>
          <w:rFonts w:hint="eastAsia" w:ascii="宋体" w:hAnsi="宋体" w:eastAsia="宋体" w:cs="宋体"/>
          <w:b/>
          <w:bCs/>
          <w:snapToGrid w:val="0"/>
          <w:color w:val="auto"/>
          <w:sz w:val="24"/>
          <w:szCs w:val="24"/>
          <w:highlight w:val="none"/>
          <w:lang w:val="zh-CN" w:eastAsia="zh-CN"/>
        </w:rPr>
        <w:t>无效</w:t>
      </w:r>
      <w:r>
        <w:rPr>
          <w:rFonts w:hint="eastAsia" w:ascii="宋体" w:hAnsi="宋体" w:eastAsia="宋体" w:cs="宋体"/>
          <w:snapToGrid w:val="0"/>
          <w:color w:val="auto"/>
          <w:sz w:val="24"/>
          <w:szCs w:val="24"/>
          <w:highlight w:val="none"/>
          <w:lang w:val="zh-CN" w:eastAsia="zh-CN"/>
        </w:rPr>
        <w:t>。</w:t>
      </w:r>
    </w:p>
    <w:p w14:paraId="6D112F8D">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15.2 投标有效期从提交投标文件的截止之日起算。投标文件中承诺的投标有效期应当不少于招标文件中载明的投标有效期。投标有效期内投标人撤销投标文件的，采购人或者采购代理机构可以不退还投标保证金。</w:t>
      </w:r>
    </w:p>
    <w:p w14:paraId="4457FE8E">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特殊情况下，在原投标文件有效期截止之前，采购代理机构或采购人可要求投标人延长投标有效期。需要延长投标有效期时，采购代理机构或采购人将以书面形式通知所有投标人，投标人应以书面形式答复是否同意延长投标有效期。</w:t>
      </w:r>
    </w:p>
    <w:p w14:paraId="2EF7720C">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投标人同意延长的，</w:t>
      </w:r>
      <w:r>
        <w:rPr>
          <w:rFonts w:hint="eastAsia" w:ascii="宋体" w:hAnsi="宋体" w:eastAsia="宋体" w:cs="宋体"/>
          <w:color w:val="auto"/>
          <w:kern w:val="2"/>
          <w:sz w:val="24"/>
          <w:szCs w:val="24"/>
          <w:highlight w:val="none"/>
          <w:lang w:val="en-US" w:eastAsia="zh-CN"/>
        </w:rPr>
        <w:t>其</w:t>
      </w:r>
      <w:r>
        <w:rPr>
          <w:rFonts w:hint="eastAsia" w:ascii="宋体" w:hAnsi="宋体" w:eastAsia="宋体" w:cs="宋体"/>
          <w:color w:val="auto"/>
          <w:kern w:val="2"/>
          <w:sz w:val="24"/>
          <w:szCs w:val="24"/>
          <w:highlight w:val="none"/>
        </w:rPr>
        <w:t>投标保证金的有效期也相应延长</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但</w:t>
      </w:r>
      <w:r>
        <w:rPr>
          <w:rFonts w:hint="eastAsia" w:ascii="宋体" w:hAnsi="宋体" w:eastAsia="宋体" w:cs="宋体"/>
          <w:color w:val="auto"/>
          <w:sz w:val="24"/>
          <w:szCs w:val="24"/>
          <w:highlight w:val="none"/>
        </w:rPr>
        <w:t>不得要求或被允许修改或撤销其投标文件；</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拒绝延长的，其投标文件在原投标有效期满后将不再有效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但其提交的投标保证金可予以退还</w:t>
      </w:r>
      <w:r>
        <w:rPr>
          <w:rFonts w:hint="eastAsia" w:ascii="宋体" w:hAnsi="宋体" w:eastAsia="宋体" w:cs="宋体"/>
          <w:color w:val="auto"/>
          <w:sz w:val="24"/>
          <w:szCs w:val="24"/>
          <w:highlight w:val="none"/>
        </w:rPr>
        <w:t>。</w:t>
      </w:r>
    </w:p>
    <w:p w14:paraId="51F7C8DB">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200" w:name="_Toc9620"/>
      <w:bookmarkStart w:id="201" w:name="_Toc163492841"/>
      <w:bookmarkStart w:id="202" w:name="_Toc140132774"/>
      <w:bookmarkStart w:id="203" w:name="_Toc17887"/>
      <w:bookmarkStart w:id="204" w:name="_Toc21362"/>
      <w:r>
        <w:rPr>
          <w:rFonts w:hint="eastAsia" w:ascii="宋体" w:hAnsi="宋体" w:eastAsia="宋体" w:cs="宋体"/>
          <w:b/>
          <w:bCs/>
          <w:color w:val="auto"/>
          <w:kern w:val="2"/>
          <w:sz w:val="24"/>
          <w:szCs w:val="24"/>
          <w:highlight w:val="none"/>
          <w:lang w:val="en-US" w:eastAsia="zh-CN" w:bidi="ar-SA"/>
        </w:rPr>
        <w:t>16.投标文件的编制</w:t>
      </w:r>
      <w:bookmarkEnd w:id="200"/>
      <w:bookmarkEnd w:id="201"/>
      <w:bookmarkEnd w:id="202"/>
      <w:bookmarkEnd w:id="203"/>
      <w:bookmarkEnd w:id="204"/>
    </w:p>
    <w:p w14:paraId="523C51E8">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.1投标文件应在供应商客户端中进行编制，在投标文件中要求加盖印章的，除有特殊说明之外，</w:t>
      </w:r>
      <w:r>
        <w:rPr>
          <w:rFonts w:hint="eastAsia" w:ascii="宋体" w:hAnsi="宋体" w:eastAsia="宋体" w:cs="宋体"/>
          <w:color w:val="auto"/>
          <w:sz w:val="24"/>
          <w:szCs w:val="24"/>
          <w:highlight w:val="none"/>
          <w:lang w:val="en-US" w:eastAsia="zh-CN"/>
        </w:rPr>
        <w:t>可</w:t>
      </w:r>
      <w:r>
        <w:rPr>
          <w:rFonts w:hint="eastAsia" w:ascii="宋体" w:hAnsi="宋体" w:eastAsia="宋体" w:cs="宋体"/>
          <w:color w:val="auto"/>
          <w:sz w:val="24"/>
          <w:szCs w:val="24"/>
          <w:highlight w:val="none"/>
        </w:rPr>
        <w:t>使用电子签章签署。</w:t>
      </w:r>
    </w:p>
    <w:p w14:paraId="540601F4">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bookmarkStart w:id="205" w:name="_Hlk143528557"/>
      <w:r>
        <w:rPr>
          <w:rFonts w:hint="eastAsia" w:ascii="宋体" w:hAnsi="宋体" w:eastAsia="宋体" w:cs="宋体"/>
          <w:color w:val="auto"/>
          <w:sz w:val="24"/>
          <w:szCs w:val="24"/>
          <w:highlight w:val="none"/>
        </w:rPr>
        <w:t>2投标人在供应商客户端中按照供应商客户端中的格式要求填写响应内容后，生成投标文件。投标人须按照招标文件的要求使用电子签章对要求加盖印章的部分逐一进行签章。</w:t>
      </w:r>
      <w:bookmarkEnd w:id="205"/>
    </w:p>
    <w:p w14:paraId="1A7BD123">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投标人应详细阅读招标文件的全部内容。投标文件须对招标文件中的内容作出实质性和完整的响应，如果投标文件填报的内容不详，或没有提供招标文件中所要求的全部资料及数据，将可能</w:t>
      </w:r>
      <w:r>
        <w:rPr>
          <w:rFonts w:hint="eastAsia" w:ascii="宋体" w:hAnsi="宋体" w:eastAsia="宋体" w:cs="宋体"/>
          <w:b/>
          <w:bCs/>
          <w:color w:val="auto"/>
          <w:sz w:val="24"/>
          <w:szCs w:val="24"/>
          <w:highlight w:val="none"/>
        </w:rPr>
        <w:t>导致</w:t>
      </w:r>
      <w:r>
        <w:rPr>
          <w:rFonts w:hint="eastAsia" w:ascii="宋体" w:hAnsi="宋体" w:eastAsia="宋体" w:cs="宋体"/>
          <w:b/>
          <w:bCs/>
          <w:color w:val="auto"/>
          <w:sz w:val="24"/>
          <w:szCs w:val="24"/>
          <w:highlight w:val="none"/>
          <w:lang w:val="en-US" w:eastAsia="zh-CN"/>
        </w:rPr>
        <w:t>其</w:t>
      </w:r>
      <w:r>
        <w:rPr>
          <w:rFonts w:hint="eastAsia" w:ascii="宋体" w:hAnsi="宋体" w:eastAsia="宋体" w:cs="宋体"/>
          <w:b/>
          <w:bCs/>
          <w:color w:val="auto"/>
          <w:sz w:val="24"/>
          <w:szCs w:val="24"/>
          <w:highlight w:val="none"/>
        </w:rPr>
        <w:t>投标</w:t>
      </w:r>
      <w:r>
        <w:rPr>
          <w:rFonts w:hint="eastAsia" w:ascii="宋体" w:hAnsi="宋体" w:eastAsia="宋体" w:cs="宋体"/>
          <w:b/>
          <w:bCs/>
          <w:color w:val="auto"/>
          <w:sz w:val="24"/>
          <w:szCs w:val="24"/>
          <w:highlight w:val="none"/>
          <w:lang w:val="en-US" w:eastAsia="zh-CN"/>
        </w:rPr>
        <w:t>无效</w:t>
      </w:r>
      <w:r>
        <w:rPr>
          <w:rFonts w:hint="eastAsia" w:ascii="宋体" w:hAnsi="宋体" w:eastAsia="宋体" w:cs="宋体"/>
          <w:color w:val="auto"/>
          <w:sz w:val="24"/>
          <w:szCs w:val="24"/>
          <w:highlight w:val="none"/>
        </w:rPr>
        <w:t>。</w:t>
      </w:r>
    </w:p>
    <w:p w14:paraId="7A6BB4B7">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投标文件须严格按照</w:t>
      </w:r>
      <w:r>
        <w:rPr>
          <w:rFonts w:hint="eastAsia" w:ascii="宋体" w:hAnsi="宋体" w:eastAsia="宋体" w:cs="宋体"/>
          <w:color w:val="auto"/>
          <w:sz w:val="24"/>
          <w:szCs w:val="24"/>
          <w:highlight w:val="none"/>
          <w:lang w:val="en-US" w:eastAsia="zh-CN"/>
        </w:rPr>
        <w:t>本</w:t>
      </w:r>
      <w:r>
        <w:rPr>
          <w:rFonts w:hint="eastAsia" w:ascii="宋体" w:hAnsi="宋体" w:eastAsia="宋体" w:cs="宋体"/>
          <w:color w:val="auto"/>
          <w:sz w:val="24"/>
          <w:szCs w:val="24"/>
          <w:highlight w:val="none"/>
        </w:rPr>
        <w:t>招标文件第</w:t>
      </w:r>
      <w:r>
        <w:rPr>
          <w:rFonts w:hint="eastAsia" w:ascii="宋体" w:hAnsi="宋体" w:eastAsia="宋体" w:cs="宋体"/>
          <w:color w:val="auto"/>
          <w:sz w:val="24"/>
          <w:szCs w:val="24"/>
          <w:highlight w:val="none"/>
          <w:lang w:val="en-US" w:eastAsia="zh-CN"/>
        </w:rPr>
        <w:t>七章</w:t>
      </w:r>
      <w:r>
        <w:rPr>
          <w:rFonts w:hint="eastAsia" w:ascii="宋体" w:hAnsi="宋体" w:eastAsia="宋体" w:cs="宋体"/>
          <w:color w:val="auto"/>
          <w:sz w:val="24"/>
          <w:szCs w:val="24"/>
          <w:highlight w:val="none"/>
        </w:rPr>
        <w:t>规定的格式提交，并按规定的统一格式逐项填写，不准有空项；无相应内容可填的项，应填写“无”、“未测试”、“没有相应指标”等明确的回答文字。由于编排混乱导致投标文件被误读或查找不到，其责任由投标人承担。</w:t>
      </w:r>
    </w:p>
    <w:p w14:paraId="4B72F25A">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开标一览表为在开标</w:t>
      </w:r>
      <w:r>
        <w:rPr>
          <w:rFonts w:hint="eastAsia" w:ascii="宋体" w:hAnsi="宋体" w:eastAsia="宋体" w:cs="宋体"/>
          <w:color w:val="auto"/>
          <w:sz w:val="24"/>
          <w:szCs w:val="24"/>
          <w:highlight w:val="none"/>
          <w:lang w:val="en-US" w:eastAsia="zh-CN"/>
        </w:rPr>
        <w:t>时</w:t>
      </w:r>
      <w:r>
        <w:rPr>
          <w:rFonts w:hint="eastAsia" w:ascii="宋体" w:hAnsi="宋体" w:eastAsia="宋体" w:cs="宋体"/>
          <w:color w:val="auto"/>
          <w:sz w:val="24"/>
          <w:szCs w:val="24"/>
          <w:highlight w:val="none"/>
        </w:rPr>
        <w:t>唱标的内容，要求按格式统一填写，不得自行增减内容。</w:t>
      </w:r>
    </w:p>
    <w:p w14:paraId="499D7059">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投标人须注意：为合理节约政府采购评审成本，提倡诚实信用的投标行为，特别要求投标人应本着诚信精神，在本次投标文件的偏离表中，均以审慎的态度明确、清楚地披露各项偏离。若投标人对某一事项是否存在或是否属于偏离不能确定，亦必须在偏离表中清楚地表明该偏离事项，并可以注明不能确定的字样。任何情况下，对于投标人没有在偏离表中明确、清楚地披露的事项，包括可能属于被投标人在偏离表中遗漏披露的事项，一旦在评审中被发现存在偏离或被认定为属于偏离，则评标委员会有权视具体情形评审时</w:t>
      </w:r>
      <w:r>
        <w:rPr>
          <w:rFonts w:hint="eastAsia" w:ascii="宋体" w:hAnsi="宋体" w:eastAsia="宋体" w:cs="宋体"/>
          <w:color w:val="auto"/>
          <w:sz w:val="24"/>
          <w:szCs w:val="24"/>
          <w:highlight w:val="none"/>
          <w:lang w:val="en-US" w:eastAsia="zh-CN"/>
        </w:rPr>
        <w:t>按</w:t>
      </w:r>
      <w:r>
        <w:rPr>
          <w:rFonts w:hint="eastAsia" w:ascii="宋体" w:hAnsi="宋体" w:eastAsia="宋体" w:cs="宋体"/>
          <w:b/>
          <w:bCs/>
          <w:color w:val="auto"/>
          <w:sz w:val="24"/>
          <w:szCs w:val="24"/>
          <w:highlight w:val="none"/>
          <w:lang w:val="en-US" w:eastAsia="zh-CN"/>
        </w:rPr>
        <w:t>无效投标</w:t>
      </w:r>
      <w:r>
        <w:rPr>
          <w:rFonts w:hint="eastAsia" w:ascii="宋体" w:hAnsi="宋体" w:eastAsia="宋体" w:cs="宋体"/>
          <w:color w:val="auto"/>
          <w:sz w:val="24"/>
          <w:szCs w:val="24"/>
          <w:highlight w:val="none"/>
        </w:rPr>
        <w:t>处理。</w:t>
      </w:r>
    </w:p>
    <w:p w14:paraId="7DBECB06">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投标人必须保证投标文件所提供的全部资料真实可靠，并接受采购</w:t>
      </w:r>
      <w:r>
        <w:rPr>
          <w:rFonts w:hint="eastAsia" w:ascii="宋体" w:hAnsi="宋体" w:eastAsia="宋体" w:cs="宋体"/>
          <w:color w:val="auto"/>
          <w:sz w:val="24"/>
          <w:szCs w:val="24"/>
          <w:highlight w:val="none"/>
          <w:lang w:val="en-US" w:eastAsia="zh-CN"/>
        </w:rPr>
        <w:t>人、采购</w:t>
      </w:r>
      <w:r>
        <w:rPr>
          <w:rFonts w:hint="eastAsia" w:ascii="宋体" w:hAnsi="宋体" w:eastAsia="宋体" w:cs="宋体"/>
          <w:color w:val="auto"/>
          <w:sz w:val="24"/>
          <w:szCs w:val="24"/>
          <w:highlight w:val="none"/>
        </w:rPr>
        <w:t>代理机构或评标委员会对其中任何资料进一步审查的要求。</w:t>
      </w:r>
    </w:p>
    <w:p w14:paraId="7AE3718F">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投标人在投标文件及相关文件的签订、履行、通知等事项的文件中的单位盖章、印章、公章等处均指与当事人全称相一致的标准公章，不得使用其他形式（如带有“专用章”等字样的印章）。不符合本条规定的按</w:t>
      </w:r>
      <w:r>
        <w:rPr>
          <w:rFonts w:hint="eastAsia" w:ascii="宋体" w:hAnsi="宋体" w:eastAsia="宋体" w:cs="宋体"/>
          <w:b/>
          <w:bCs/>
          <w:color w:val="auto"/>
          <w:sz w:val="24"/>
          <w:szCs w:val="24"/>
          <w:highlight w:val="none"/>
        </w:rPr>
        <w:t>无效投标</w:t>
      </w:r>
      <w:r>
        <w:rPr>
          <w:rFonts w:hint="eastAsia" w:ascii="宋体" w:hAnsi="宋体" w:eastAsia="宋体" w:cs="宋体"/>
          <w:color w:val="auto"/>
          <w:sz w:val="24"/>
          <w:szCs w:val="24"/>
          <w:highlight w:val="none"/>
        </w:rPr>
        <w:t>处理。</w:t>
      </w:r>
    </w:p>
    <w:p w14:paraId="323B93DE">
      <w:pPr>
        <w:pStyle w:val="54"/>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Cs/>
          <w:color w:val="auto"/>
          <w:kern w:val="2"/>
          <w:sz w:val="24"/>
          <w:szCs w:val="24"/>
          <w:highlight w:val="none"/>
          <w:shd w:val="clear" w:color="auto" w:fill="FFFFFF" w:themeFill="background1"/>
          <w:lang w:val="en-US" w:eastAsia="zh-CN" w:bidi="ar-SA"/>
        </w:rPr>
      </w:pPr>
      <w:r>
        <w:rPr>
          <w:rFonts w:hint="eastAsia" w:ascii="宋体" w:hAnsi="宋体" w:eastAsia="宋体" w:cs="宋体"/>
          <w:iCs/>
          <w:color w:val="auto"/>
          <w:kern w:val="2"/>
          <w:sz w:val="24"/>
          <w:szCs w:val="24"/>
          <w:highlight w:val="none"/>
          <w:shd w:val="clear" w:color="auto" w:fill="FFFFFF" w:themeFill="background1"/>
          <w:lang w:val="en-US" w:eastAsia="zh-CN" w:bidi="ar-SA"/>
        </w:rPr>
        <w:t>16.9电子投标文件的编制</w:t>
      </w:r>
    </w:p>
    <w:p w14:paraId="072DFFA4">
      <w:pPr>
        <w:pStyle w:val="54"/>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Cs/>
          <w:color w:val="auto"/>
          <w:kern w:val="2"/>
          <w:sz w:val="24"/>
          <w:szCs w:val="24"/>
          <w:highlight w:val="none"/>
          <w:shd w:val="clear" w:color="auto" w:fill="FFFFFF" w:themeFill="background1"/>
          <w:lang w:val="en-US" w:eastAsia="zh-CN" w:bidi="ar-SA"/>
        </w:rPr>
      </w:pPr>
      <w:r>
        <w:rPr>
          <w:rFonts w:hint="eastAsia" w:ascii="宋体" w:hAnsi="宋体" w:eastAsia="宋体" w:cs="宋体"/>
          <w:iCs/>
          <w:color w:val="auto"/>
          <w:kern w:val="2"/>
          <w:sz w:val="24"/>
          <w:szCs w:val="24"/>
          <w:highlight w:val="none"/>
          <w:shd w:val="clear" w:color="auto" w:fill="FFFFFF" w:themeFill="background1"/>
          <w:lang w:val="en-US" w:eastAsia="zh-CN" w:bidi="ar-SA"/>
        </w:rPr>
        <w:t xml:space="preserve">16.9.1电子投标文件需按招标文件要求进行制作编制。投标文件制作时，不同内容按标签提示制作导入，按照招标文件中明确的投标文件目录和格式进行编制，保证目录清晰、内容完整；           </w:t>
      </w:r>
    </w:p>
    <w:p w14:paraId="51F1928B">
      <w:pPr>
        <w:pStyle w:val="54"/>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Cs/>
          <w:color w:val="auto"/>
          <w:kern w:val="2"/>
          <w:sz w:val="24"/>
          <w:szCs w:val="24"/>
          <w:highlight w:val="none"/>
          <w:shd w:val="clear" w:color="auto" w:fill="FFFFFF" w:themeFill="background1"/>
          <w:lang w:val="en-US" w:eastAsia="zh-CN" w:bidi="ar-SA"/>
        </w:rPr>
      </w:pPr>
      <w:r>
        <w:rPr>
          <w:rFonts w:hint="eastAsia" w:ascii="宋体" w:hAnsi="宋体" w:eastAsia="宋体" w:cs="宋体"/>
          <w:iCs/>
          <w:color w:val="auto"/>
          <w:kern w:val="2"/>
          <w:sz w:val="24"/>
          <w:szCs w:val="24"/>
          <w:highlight w:val="none"/>
          <w:shd w:val="clear" w:color="auto" w:fill="FFFFFF" w:themeFill="background1"/>
          <w:lang w:val="en-US" w:eastAsia="zh-CN" w:bidi="ar-SA"/>
        </w:rPr>
        <w:t>16.9.2电子招投标文件具有法律效力，与其他形式的招投标文件在内容和格式上等同，若投标文件与招标文件要求不一致，其内容影响中标结果时，责任由投标人自行承担。投标人递交的电子投标文件因投标人自身原因而导致无法导入电子辅助评标系统，该投标文件视为无效投标文件，</w:t>
      </w:r>
      <w:r>
        <w:rPr>
          <w:rFonts w:hint="eastAsia" w:ascii="宋体" w:hAnsi="宋体" w:eastAsia="宋体" w:cs="宋体"/>
          <w:b/>
          <w:bCs/>
          <w:iCs/>
          <w:color w:val="auto"/>
          <w:kern w:val="2"/>
          <w:sz w:val="24"/>
          <w:szCs w:val="24"/>
          <w:highlight w:val="none"/>
          <w:shd w:val="clear" w:color="auto" w:fill="FFFFFF" w:themeFill="background1"/>
          <w:lang w:val="en-US" w:eastAsia="zh-CN" w:bidi="ar-SA"/>
        </w:rPr>
        <w:t>其投标无效</w:t>
      </w:r>
      <w:r>
        <w:rPr>
          <w:rFonts w:hint="eastAsia" w:ascii="宋体" w:hAnsi="宋体" w:eastAsia="宋体" w:cs="宋体"/>
          <w:iCs/>
          <w:color w:val="auto"/>
          <w:kern w:val="2"/>
          <w:sz w:val="24"/>
          <w:szCs w:val="24"/>
          <w:highlight w:val="none"/>
          <w:shd w:val="clear" w:color="auto" w:fill="FFFFFF" w:themeFill="background1"/>
          <w:lang w:val="en-US" w:eastAsia="zh-CN" w:bidi="ar-SA"/>
        </w:rPr>
        <w:t xml:space="preserve">。 </w:t>
      </w:r>
    </w:p>
    <w:p w14:paraId="6B2E6D6A">
      <w:pPr>
        <w:pStyle w:val="4"/>
        <w:keepNext w:val="0"/>
        <w:keepLines w:val="0"/>
        <w:pageBreakBefore w:val="0"/>
        <w:widowControl w:val="0"/>
        <w:numPr>
          <w:ilvl w:val="0"/>
          <w:numId w:val="0"/>
        </w:numPr>
        <w:kinsoku/>
        <w:wordWrap/>
        <w:overflowPunct/>
        <w:topLinePunct w:val="0"/>
        <w:autoSpaceDE/>
        <w:autoSpaceDN/>
        <w:bidi w:val="0"/>
        <w:adjustRightInd/>
        <w:snapToGrid/>
        <w:spacing w:before="120" w:after="12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206" w:name="_Toc22756"/>
      <w:bookmarkStart w:id="207" w:name="_Toc10210"/>
      <w:bookmarkStart w:id="208" w:name="_Toc163492842"/>
      <w:bookmarkStart w:id="209" w:name="_Toc155185873"/>
      <w:bookmarkStart w:id="210" w:name="_Toc20626"/>
      <w:r>
        <w:rPr>
          <w:rFonts w:hint="eastAsia" w:ascii="宋体" w:hAnsi="宋体" w:eastAsia="宋体" w:cs="宋体"/>
          <w:b/>
          <w:bCs/>
          <w:color w:val="auto"/>
          <w:kern w:val="2"/>
          <w:sz w:val="24"/>
          <w:szCs w:val="24"/>
          <w:highlight w:val="none"/>
          <w:lang w:val="en-US" w:eastAsia="zh-CN" w:bidi="ar-SA"/>
        </w:rPr>
        <w:t>（四）投标</w:t>
      </w:r>
      <w:bookmarkEnd w:id="206"/>
      <w:bookmarkEnd w:id="207"/>
      <w:bookmarkEnd w:id="208"/>
      <w:bookmarkEnd w:id="209"/>
      <w:bookmarkEnd w:id="210"/>
    </w:p>
    <w:p w14:paraId="386CC8EA">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211" w:name="_Toc32654"/>
      <w:bookmarkStart w:id="212" w:name="_Toc16487"/>
      <w:bookmarkStart w:id="213" w:name="_Toc27659"/>
      <w:bookmarkStart w:id="214" w:name="_Toc163492843"/>
      <w:r>
        <w:rPr>
          <w:rFonts w:hint="eastAsia" w:ascii="宋体" w:hAnsi="宋体" w:eastAsia="宋体" w:cs="宋体"/>
          <w:b/>
          <w:bCs/>
          <w:color w:val="auto"/>
          <w:kern w:val="2"/>
          <w:sz w:val="24"/>
          <w:szCs w:val="24"/>
          <w:highlight w:val="none"/>
          <w:lang w:val="en-US" w:eastAsia="zh-CN" w:bidi="ar-SA"/>
        </w:rPr>
        <w:t>17.投标保证金</w:t>
      </w:r>
      <w:bookmarkEnd w:id="211"/>
      <w:bookmarkEnd w:id="212"/>
      <w:bookmarkEnd w:id="213"/>
    </w:p>
    <w:p w14:paraId="1182B9BB">
      <w:pPr>
        <w:pStyle w:val="54"/>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Cs/>
          <w:color w:val="auto"/>
          <w:kern w:val="2"/>
          <w:sz w:val="24"/>
          <w:szCs w:val="24"/>
          <w:highlight w:val="none"/>
          <w:shd w:val="clear" w:color="auto" w:fill="FFFFFF" w:themeFill="background1"/>
          <w:lang w:val="en-US" w:eastAsia="zh-CN" w:bidi="ar-SA"/>
        </w:rPr>
      </w:pPr>
      <w:r>
        <w:rPr>
          <w:rFonts w:hint="eastAsia" w:ascii="宋体" w:hAnsi="宋体" w:eastAsia="宋体" w:cs="宋体"/>
          <w:iCs/>
          <w:color w:val="auto"/>
          <w:kern w:val="2"/>
          <w:sz w:val="24"/>
          <w:szCs w:val="24"/>
          <w:highlight w:val="none"/>
          <w:shd w:val="clear" w:color="auto" w:fill="FFFFFF" w:themeFill="background1"/>
          <w:lang w:val="en-US" w:eastAsia="zh-CN" w:bidi="ar-SA"/>
        </w:rPr>
        <w:t>17.1投标人应按照招标文件“第二章 投标人须知前附表”规定的金额及要求提交投标保证金。投标人自愿超额缴纳投标保证金的，投标文件不做无效处理。</w:t>
      </w:r>
    </w:p>
    <w:p w14:paraId="370C7C1E">
      <w:pPr>
        <w:keepNext w:val="0"/>
        <w:keepLines w:val="0"/>
        <w:pageBreakBefore w:val="0"/>
        <w:widowControl w:val="0"/>
        <w:suppressLineNumbers w:val="0"/>
        <w:kinsoku/>
        <w:overflowPunct/>
        <w:topLinePunct w:val="0"/>
        <w:autoSpaceDE/>
        <w:autoSpaceDN/>
        <w:bidi w:val="0"/>
        <w:adjustRightInd/>
        <w:ind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Cs/>
          <w:color w:val="auto"/>
          <w:kern w:val="2"/>
          <w:sz w:val="24"/>
          <w:szCs w:val="24"/>
          <w:highlight w:val="none"/>
          <w:shd w:val="clear" w:color="auto" w:fill="FFFFFF" w:themeFill="background1"/>
          <w:lang w:val="en-US" w:eastAsia="zh-CN" w:bidi="ar-SA"/>
        </w:rPr>
        <w:t>17.2提交投标保证金可采用的形式：政府采购法律法规接受的支票、汇票、本票、网上银行支付或者金融机构、担保机构出具的保函等非现金形式。</w:t>
      </w:r>
      <w:r>
        <w:rPr>
          <w:rFonts w:hint="eastAsia" w:ascii="宋体" w:hAnsi="宋体" w:eastAsia="宋体" w:cs="宋体"/>
          <w:color w:val="auto"/>
          <w:kern w:val="2"/>
          <w:sz w:val="24"/>
          <w:szCs w:val="24"/>
          <w:highlight w:val="none"/>
          <w:lang w:val="en-US" w:eastAsia="zh-CN" w:bidi="ar-SA"/>
        </w:rPr>
        <w:t>投标人未按照招标文件要求提交投标保证金的，其</w:t>
      </w:r>
      <w:r>
        <w:rPr>
          <w:rFonts w:hint="eastAsia" w:ascii="宋体" w:hAnsi="宋体" w:eastAsia="宋体" w:cs="宋体"/>
          <w:b/>
          <w:bCs/>
          <w:color w:val="auto"/>
          <w:kern w:val="2"/>
          <w:sz w:val="24"/>
          <w:szCs w:val="24"/>
          <w:highlight w:val="none"/>
          <w:lang w:val="en-US" w:eastAsia="zh-CN" w:bidi="ar-SA"/>
        </w:rPr>
        <w:t>投标无效</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sz w:val="24"/>
          <w:szCs w:val="24"/>
          <w:highlight w:val="none"/>
          <w:lang w:val="en-US" w:eastAsia="zh-CN"/>
        </w:rPr>
        <w:t>投标保证金有效期同投标有效期。</w:t>
      </w:r>
    </w:p>
    <w:p w14:paraId="54BD0912">
      <w:pPr>
        <w:pStyle w:val="15"/>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17.3投标保证金到账（保函提交）截止时间同投标截止时间。以支票、汇票、本票、网上银行支付等形式提交投标保证金的，应在投标截止时间前到账；以金融机构、担保机构出具的保函等形式提交投标保证金的，应在投标截止时间前将投标保证金支付原件扫描后作为投标文件的组成部分与投标文件一起上传。由于到账时间晚于投标截止时间，或者票据错误、印鉴不清等原因导致不能到账的，其</w:t>
      </w:r>
      <w:r>
        <w:rPr>
          <w:rFonts w:hint="eastAsia" w:ascii="宋体" w:hAnsi="宋体" w:eastAsia="宋体" w:cs="宋体"/>
          <w:b/>
          <w:bCs/>
          <w:color w:val="auto"/>
          <w:kern w:val="2"/>
          <w:sz w:val="24"/>
          <w:szCs w:val="24"/>
          <w:highlight w:val="none"/>
          <w:lang w:val="en-US" w:eastAsia="zh-CN"/>
        </w:rPr>
        <w:t>投标无效</w:t>
      </w:r>
      <w:r>
        <w:rPr>
          <w:rFonts w:hint="eastAsia" w:ascii="宋体" w:hAnsi="宋体" w:eastAsia="宋体" w:cs="宋体"/>
          <w:color w:val="auto"/>
          <w:kern w:val="2"/>
          <w:sz w:val="24"/>
          <w:szCs w:val="24"/>
          <w:highlight w:val="none"/>
          <w:lang w:val="en-US" w:eastAsia="zh-CN"/>
        </w:rPr>
        <w:t>。</w:t>
      </w:r>
    </w:p>
    <w:p w14:paraId="27BA1101">
      <w:pPr>
        <w:pStyle w:val="54"/>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Cs/>
          <w:color w:val="auto"/>
          <w:kern w:val="2"/>
          <w:sz w:val="24"/>
          <w:szCs w:val="24"/>
          <w:highlight w:val="none"/>
          <w:shd w:val="clear" w:color="auto" w:fill="FFFFFF" w:themeFill="background1"/>
          <w:lang w:val="en-US" w:eastAsia="zh-CN" w:bidi="ar-SA"/>
        </w:rPr>
      </w:pPr>
      <w:r>
        <w:rPr>
          <w:rFonts w:hint="eastAsia" w:ascii="宋体" w:hAnsi="宋体" w:eastAsia="宋体" w:cs="宋体"/>
          <w:iCs/>
          <w:color w:val="auto"/>
          <w:kern w:val="2"/>
          <w:sz w:val="24"/>
          <w:szCs w:val="24"/>
          <w:highlight w:val="none"/>
          <w:shd w:val="clear" w:color="auto" w:fill="FFFFFF" w:themeFill="background1"/>
          <w:lang w:val="en-US" w:eastAsia="zh-CN" w:bidi="ar-SA"/>
        </w:rPr>
        <w:t xml:space="preserve">17.4 投标人为联合体的，可以由联合体中的一方或者多方共同提交投标保证金，其提交的投标保证金对联合体各方均具有约束力。 </w:t>
      </w:r>
    </w:p>
    <w:p w14:paraId="45878AFC">
      <w:pPr>
        <w:pStyle w:val="54"/>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Cs/>
          <w:color w:val="auto"/>
          <w:kern w:val="2"/>
          <w:sz w:val="24"/>
          <w:szCs w:val="24"/>
          <w:highlight w:val="none"/>
          <w:shd w:val="clear" w:color="auto" w:fill="FFFFFF" w:themeFill="background1"/>
          <w:lang w:val="en-US" w:eastAsia="zh-CN" w:bidi="ar-SA"/>
        </w:rPr>
      </w:pPr>
      <w:r>
        <w:rPr>
          <w:rFonts w:hint="eastAsia" w:ascii="宋体" w:hAnsi="宋体" w:eastAsia="宋体" w:cs="宋体"/>
          <w:iCs/>
          <w:color w:val="auto"/>
          <w:kern w:val="2"/>
          <w:sz w:val="24"/>
          <w:szCs w:val="24"/>
          <w:highlight w:val="none"/>
          <w:shd w:val="clear" w:color="auto" w:fill="FFFFFF" w:themeFill="background1"/>
          <w:lang w:val="en-US" w:eastAsia="zh-CN" w:bidi="ar-SA"/>
        </w:rPr>
        <w:t xml:space="preserve"> 17.5采购人或者采购代理机构应当在采购活动结束后及时退还投标人的投标保证金，采用银行保函、担保机构担保函等形式递交的投标保证金，经投标人同意后采购人、采购代理机构可以不再退还，但因投标人自身原因导致无法及时退还的除外。未中标投标人的投标保证金应当自中标通知书发出之日起 5 个工作日内退还，中标投标人的投标保证金应当自采购合同签订之日起 5 个工作日内退还。 </w:t>
      </w:r>
    </w:p>
    <w:p w14:paraId="6CFB121F">
      <w:pPr>
        <w:pStyle w:val="54"/>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Cs/>
          <w:color w:val="auto"/>
          <w:kern w:val="2"/>
          <w:sz w:val="24"/>
          <w:szCs w:val="24"/>
          <w:highlight w:val="none"/>
          <w:shd w:val="clear" w:color="auto" w:fill="FFFFFF" w:themeFill="background1"/>
          <w:lang w:val="en-US" w:eastAsia="zh-CN" w:bidi="ar-SA"/>
        </w:rPr>
      </w:pPr>
      <w:r>
        <w:rPr>
          <w:rFonts w:hint="eastAsia" w:ascii="宋体" w:hAnsi="宋体" w:eastAsia="宋体" w:cs="宋体"/>
          <w:iCs/>
          <w:color w:val="auto"/>
          <w:kern w:val="2"/>
          <w:sz w:val="24"/>
          <w:szCs w:val="24"/>
          <w:highlight w:val="none"/>
          <w:shd w:val="clear" w:color="auto" w:fill="FFFFFF" w:themeFill="background1"/>
          <w:lang w:val="en-US" w:eastAsia="zh-CN" w:bidi="ar-SA"/>
        </w:rPr>
        <w:t xml:space="preserve">17.6 投标人在投标截止时间前撤回已提交的投标文件的，自收到投标人书面撤回通知之日起 5 个工作日内，退还已收取的投标保证金，但因投标人自身原因导致无法及时退还的除外。 </w:t>
      </w:r>
    </w:p>
    <w:p w14:paraId="5EB3FE3B">
      <w:pPr>
        <w:pStyle w:val="54"/>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Cs/>
          <w:color w:val="auto"/>
          <w:kern w:val="2"/>
          <w:sz w:val="24"/>
          <w:szCs w:val="24"/>
          <w:highlight w:val="none"/>
          <w:shd w:val="clear" w:color="auto" w:fill="FFFFFF" w:themeFill="background1"/>
          <w:lang w:val="en-US" w:eastAsia="zh-CN" w:bidi="ar-SA"/>
        </w:rPr>
      </w:pPr>
      <w:r>
        <w:rPr>
          <w:rFonts w:hint="eastAsia" w:ascii="宋体" w:hAnsi="宋体" w:eastAsia="宋体" w:cs="宋体"/>
          <w:iCs/>
          <w:color w:val="auto"/>
          <w:kern w:val="2"/>
          <w:sz w:val="24"/>
          <w:szCs w:val="24"/>
          <w:highlight w:val="none"/>
          <w:shd w:val="clear" w:color="auto" w:fill="FFFFFF" w:themeFill="background1"/>
          <w:lang w:val="en-US" w:eastAsia="zh-CN" w:bidi="ar-SA"/>
        </w:rPr>
        <w:t>17.7 终止招标项目已经收取投标保证金的，自终止采购活动后 5 个工作日内退还已收取的投标保证金及其在银行产生的孳息。</w:t>
      </w:r>
    </w:p>
    <w:p w14:paraId="0B6A028F">
      <w:pPr>
        <w:pStyle w:val="54"/>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Cs/>
          <w:color w:val="auto"/>
          <w:kern w:val="2"/>
          <w:sz w:val="24"/>
          <w:szCs w:val="24"/>
          <w:highlight w:val="none"/>
          <w:shd w:val="clear" w:color="auto" w:fill="FFFFFF" w:themeFill="background1"/>
          <w:lang w:val="en-US" w:eastAsia="zh-CN" w:bidi="ar-SA"/>
        </w:rPr>
      </w:pPr>
      <w:r>
        <w:rPr>
          <w:rFonts w:hint="eastAsia" w:ascii="宋体" w:hAnsi="宋体" w:eastAsia="宋体" w:cs="宋体"/>
          <w:iCs/>
          <w:color w:val="auto"/>
          <w:kern w:val="2"/>
          <w:sz w:val="24"/>
          <w:szCs w:val="24"/>
          <w:highlight w:val="none"/>
          <w:shd w:val="clear" w:color="auto" w:fill="FFFFFF" w:themeFill="background1"/>
          <w:lang w:val="en-US" w:eastAsia="zh-CN" w:bidi="ar-SA"/>
        </w:rPr>
        <w:t>17.8 有下列情形之一的，采购人或采购代理机构可以不予退还投标保证金,</w:t>
      </w:r>
      <w:r>
        <w:rPr>
          <w:rFonts w:hint="eastAsia" w:ascii="宋体" w:hAnsi="宋体" w:eastAsia="宋体" w:cs="宋体"/>
          <w:color w:val="auto"/>
          <w:kern w:val="2"/>
          <w:sz w:val="24"/>
          <w:szCs w:val="24"/>
          <w:highlight w:val="none"/>
        </w:rPr>
        <w:t>情节严重的将其列入不良记录名单</w:t>
      </w:r>
      <w:r>
        <w:rPr>
          <w:rFonts w:hint="eastAsia" w:ascii="宋体" w:hAnsi="宋体" w:eastAsia="宋体" w:cs="宋体"/>
          <w:iCs/>
          <w:color w:val="auto"/>
          <w:kern w:val="2"/>
          <w:sz w:val="24"/>
          <w:szCs w:val="24"/>
          <w:highlight w:val="none"/>
          <w:shd w:val="clear" w:color="auto" w:fill="FFFFFF" w:themeFill="background1"/>
          <w:lang w:val="en-US" w:eastAsia="zh-CN" w:bidi="ar-SA"/>
        </w:rPr>
        <w:t xml:space="preserve">： </w:t>
      </w:r>
    </w:p>
    <w:p w14:paraId="02F7ADEB">
      <w:pPr>
        <w:pStyle w:val="54"/>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Cs/>
          <w:color w:val="auto"/>
          <w:kern w:val="2"/>
          <w:sz w:val="24"/>
          <w:szCs w:val="24"/>
          <w:highlight w:val="none"/>
          <w:shd w:val="clear" w:color="auto" w:fill="FFFFFF" w:themeFill="background1"/>
          <w:lang w:val="en-US" w:eastAsia="zh-CN" w:bidi="ar-SA"/>
        </w:rPr>
      </w:pPr>
      <w:r>
        <w:rPr>
          <w:rFonts w:hint="eastAsia" w:ascii="宋体" w:hAnsi="宋体" w:eastAsia="宋体" w:cs="宋体"/>
          <w:iCs/>
          <w:color w:val="auto"/>
          <w:kern w:val="2"/>
          <w:sz w:val="24"/>
          <w:szCs w:val="24"/>
          <w:highlight w:val="none"/>
          <w:shd w:val="clear" w:color="auto" w:fill="FFFFFF" w:themeFill="background1"/>
          <w:lang w:val="en-US" w:eastAsia="zh-CN" w:bidi="ar-SA"/>
        </w:rPr>
        <w:t xml:space="preserve">17.8.1 </w:t>
      </w:r>
      <w:r>
        <w:rPr>
          <w:rFonts w:hint="eastAsia" w:ascii="宋体" w:hAnsi="宋体" w:eastAsia="宋体" w:cs="宋体"/>
          <w:color w:val="auto"/>
          <w:kern w:val="2"/>
          <w:sz w:val="24"/>
          <w:szCs w:val="24"/>
          <w:highlight w:val="none"/>
        </w:rPr>
        <w:t>开标后在投标有效期内，投标人撤</w:t>
      </w:r>
      <w:r>
        <w:rPr>
          <w:rFonts w:hint="eastAsia" w:ascii="宋体" w:hAnsi="宋体" w:eastAsia="宋体" w:cs="宋体"/>
          <w:color w:val="auto"/>
          <w:kern w:val="2"/>
          <w:sz w:val="24"/>
          <w:szCs w:val="24"/>
          <w:highlight w:val="none"/>
          <w:lang w:val="en-US" w:eastAsia="zh-CN"/>
        </w:rPr>
        <w:t>销</w:t>
      </w:r>
      <w:r>
        <w:rPr>
          <w:rFonts w:hint="eastAsia" w:ascii="宋体" w:hAnsi="宋体" w:eastAsia="宋体" w:cs="宋体"/>
          <w:color w:val="auto"/>
          <w:kern w:val="2"/>
          <w:sz w:val="24"/>
          <w:szCs w:val="24"/>
          <w:highlight w:val="none"/>
        </w:rPr>
        <w:t>其投标</w:t>
      </w:r>
      <w:r>
        <w:rPr>
          <w:rFonts w:hint="eastAsia" w:ascii="宋体" w:hAnsi="宋体" w:eastAsia="宋体" w:cs="宋体"/>
          <w:color w:val="auto"/>
          <w:kern w:val="2"/>
          <w:sz w:val="24"/>
          <w:szCs w:val="24"/>
          <w:highlight w:val="none"/>
          <w:lang w:val="en-US" w:eastAsia="zh-CN"/>
        </w:rPr>
        <w:t>的</w:t>
      </w:r>
      <w:r>
        <w:rPr>
          <w:rFonts w:hint="eastAsia" w:ascii="宋体" w:hAnsi="宋体" w:eastAsia="宋体" w:cs="宋体"/>
          <w:color w:val="auto"/>
          <w:kern w:val="2"/>
          <w:sz w:val="24"/>
          <w:szCs w:val="24"/>
          <w:highlight w:val="none"/>
        </w:rPr>
        <w:t>；</w:t>
      </w:r>
      <w:r>
        <w:rPr>
          <w:rFonts w:hint="eastAsia" w:ascii="宋体" w:hAnsi="宋体" w:eastAsia="宋体" w:cs="宋体"/>
          <w:iCs/>
          <w:color w:val="auto"/>
          <w:kern w:val="2"/>
          <w:sz w:val="24"/>
          <w:szCs w:val="24"/>
          <w:highlight w:val="none"/>
          <w:shd w:val="clear" w:color="auto" w:fill="FFFFFF" w:themeFill="background1"/>
          <w:lang w:val="en-US" w:eastAsia="zh-CN" w:bidi="ar-SA"/>
        </w:rPr>
        <w:t xml:space="preserve"> </w:t>
      </w:r>
    </w:p>
    <w:p w14:paraId="36FC9D74">
      <w:pPr>
        <w:pStyle w:val="54"/>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Cs/>
          <w:color w:val="auto"/>
          <w:kern w:val="2"/>
          <w:sz w:val="24"/>
          <w:szCs w:val="24"/>
          <w:highlight w:val="none"/>
          <w:shd w:val="clear" w:color="auto" w:fill="FFFFFF" w:themeFill="background1"/>
          <w:lang w:val="en-US" w:eastAsia="zh-CN" w:bidi="ar-SA"/>
        </w:rPr>
      </w:pPr>
      <w:r>
        <w:rPr>
          <w:rFonts w:hint="eastAsia" w:ascii="宋体" w:hAnsi="宋体" w:eastAsia="宋体" w:cs="宋体"/>
          <w:iCs/>
          <w:color w:val="auto"/>
          <w:kern w:val="2"/>
          <w:sz w:val="24"/>
          <w:szCs w:val="24"/>
          <w:highlight w:val="none"/>
          <w:shd w:val="clear" w:color="auto" w:fill="FFFFFF" w:themeFill="background1"/>
          <w:lang w:val="en-US" w:eastAsia="zh-CN" w:bidi="ar-SA"/>
        </w:rPr>
        <w:t xml:space="preserve">17.8.2 </w:t>
      </w:r>
      <w:r>
        <w:rPr>
          <w:rFonts w:hint="eastAsia" w:ascii="宋体" w:hAnsi="宋体" w:eastAsia="宋体" w:cs="宋体"/>
          <w:color w:val="auto"/>
          <w:kern w:val="2"/>
          <w:sz w:val="24"/>
          <w:szCs w:val="24"/>
          <w:highlight w:val="none"/>
        </w:rPr>
        <w:t>中标后无正当理由不与采购人签订合同的；</w:t>
      </w:r>
    </w:p>
    <w:p w14:paraId="3694295C">
      <w:pPr>
        <w:pStyle w:val="54"/>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iCs/>
          <w:color w:val="auto"/>
          <w:kern w:val="2"/>
          <w:sz w:val="24"/>
          <w:szCs w:val="24"/>
          <w:highlight w:val="none"/>
          <w:shd w:val="clear" w:color="auto" w:fill="FFFFFF" w:themeFill="background1"/>
          <w:lang w:val="en-US" w:eastAsia="zh-CN" w:bidi="ar-SA"/>
        </w:rPr>
        <w:t xml:space="preserve">17.8.3 </w:t>
      </w:r>
      <w:r>
        <w:rPr>
          <w:rFonts w:hint="eastAsia" w:ascii="宋体" w:hAnsi="宋体" w:eastAsia="宋体" w:cs="宋体"/>
          <w:color w:val="auto"/>
          <w:kern w:val="2"/>
          <w:sz w:val="24"/>
          <w:szCs w:val="24"/>
          <w:highlight w:val="none"/>
        </w:rPr>
        <w:t>中标人与采购人订立背离合同实质性内容的其他协议；</w:t>
      </w:r>
    </w:p>
    <w:p w14:paraId="54583F23">
      <w:pPr>
        <w:pStyle w:val="54"/>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iCs/>
          <w:color w:val="auto"/>
          <w:kern w:val="2"/>
          <w:sz w:val="24"/>
          <w:szCs w:val="24"/>
          <w:highlight w:val="none"/>
          <w:shd w:val="clear" w:color="auto" w:fill="FFFFFF" w:themeFill="background1"/>
          <w:lang w:val="en-US" w:eastAsia="zh-CN" w:bidi="ar-SA"/>
        </w:rPr>
        <w:t>17.8.</w:t>
      </w:r>
      <w:r>
        <w:rPr>
          <w:rFonts w:hint="eastAsia" w:ascii="宋体" w:hAnsi="宋体" w:eastAsia="宋体" w:cs="宋体"/>
          <w:color w:val="auto"/>
          <w:kern w:val="2"/>
          <w:sz w:val="24"/>
          <w:szCs w:val="24"/>
          <w:highlight w:val="none"/>
        </w:rPr>
        <w:t>4</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将中标项目转让给他人，或者在投标文件中未说明，且未经采购</w:t>
      </w:r>
      <w:r>
        <w:rPr>
          <w:rFonts w:hint="eastAsia" w:ascii="宋体" w:hAnsi="宋体" w:eastAsia="宋体" w:cs="宋体"/>
          <w:color w:val="auto"/>
          <w:kern w:val="2"/>
          <w:sz w:val="24"/>
          <w:szCs w:val="24"/>
          <w:highlight w:val="none"/>
          <w:lang w:val="en-US" w:eastAsia="zh-CN"/>
        </w:rPr>
        <w:t>人</w:t>
      </w:r>
      <w:r>
        <w:rPr>
          <w:rFonts w:hint="eastAsia" w:ascii="宋体" w:hAnsi="宋体" w:eastAsia="宋体" w:cs="宋体"/>
          <w:color w:val="auto"/>
          <w:kern w:val="2"/>
          <w:sz w:val="24"/>
          <w:szCs w:val="24"/>
          <w:highlight w:val="none"/>
        </w:rPr>
        <w:t>同意，将中标项目分包给他人的；</w:t>
      </w:r>
    </w:p>
    <w:p w14:paraId="433DB211">
      <w:pPr>
        <w:pStyle w:val="54"/>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iCs/>
          <w:color w:val="auto"/>
          <w:kern w:val="2"/>
          <w:sz w:val="24"/>
          <w:szCs w:val="24"/>
          <w:highlight w:val="none"/>
          <w:shd w:val="clear" w:color="auto" w:fill="FFFFFF" w:themeFill="background1"/>
          <w:lang w:val="en-US" w:eastAsia="zh-CN" w:bidi="ar-SA"/>
        </w:rPr>
        <w:t>17.8.</w:t>
      </w:r>
      <w:r>
        <w:rPr>
          <w:rFonts w:hint="eastAsia" w:ascii="宋体" w:hAnsi="宋体" w:eastAsia="宋体" w:cs="宋体"/>
          <w:color w:val="auto"/>
          <w:kern w:val="2"/>
          <w:sz w:val="24"/>
          <w:szCs w:val="24"/>
          <w:highlight w:val="none"/>
        </w:rPr>
        <w:t>5</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存在串通投标行为的；</w:t>
      </w:r>
    </w:p>
    <w:p w14:paraId="0A3E2CC4">
      <w:pPr>
        <w:pStyle w:val="54"/>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iCs/>
          <w:color w:val="auto"/>
          <w:kern w:val="2"/>
          <w:sz w:val="24"/>
          <w:szCs w:val="24"/>
          <w:highlight w:val="none"/>
          <w:shd w:val="clear" w:color="auto" w:fill="FFFFFF" w:themeFill="background1"/>
          <w:lang w:val="en-US" w:eastAsia="zh-CN" w:bidi="ar-SA"/>
        </w:rPr>
        <w:t>17.8.</w:t>
      </w:r>
      <w:r>
        <w:rPr>
          <w:rFonts w:hint="eastAsia" w:ascii="宋体" w:hAnsi="宋体" w:eastAsia="宋体" w:cs="宋体"/>
          <w:color w:val="auto"/>
          <w:kern w:val="2"/>
          <w:sz w:val="24"/>
          <w:szCs w:val="24"/>
          <w:highlight w:val="none"/>
        </w:rPr>
        <w:t>6</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存在弄虚作假或提供虚假材料谋取中标的；</w:t>
      </w:r>
    </w:p>
    <w:p w14:paraId="3CBF915F">
      <w:pPr>
        <w:pStyle w:val="54"/>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iCs/>
          <w:color w:val="auto"/>
          <w:kern w:val="2"/>
          <w:sz w:val="24"/>
          <w:szCs w:val="24"/>
          <w:highlight w:val="none"/>
          <w:shd w:val="clear" w:color="auto" w:fill="FFFFFF" w:themeFill="background1"/>
          <w:lang w:val="en-US" w:eastAsia="zh-CN" w:bidi="ar-SA"/>
        </w:rPr>
        <w:t>17.8.</w:t>
      </w:r>
      <w:r>
        <w:rPr>
          <w:rFonts w:hint="eastAsia" w:ascii="宋体" w:hAnsi="宋体" w:eastAsia="宋体" w:cs="宋体"/>
          <w:color w:val="auto"/>
          <w:kern w:val="2"/>
          <w:sz w:val="24"/>
          <w:szCs w:val="24"/>
          <w:highlight w:val="none"/>
        </w:rPr>
        <w:t>7</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投标人其他未按招标文件规定和合同约定履行义务的行为。</w:t>
      </w:r>
    </w:p>
    <w:p w14:paraId="330E240F">
      <w:pPr>
        <w:pStyle w:val="54"/>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Cs/>
          <w:color w:val="auto"/>
          <w:kern w:val="2"/>
          <w:sz w:val="24"/>
          <w:szCs w:val="24"/>
          <w:highlight w:val="none"/>
          <w:shd w:val="clear" w:color="auto" w:fill="FFFFFF" w:themeFill="background1"/>
          <w:lang w:val="en-US" w:eastAsia="zh-CN" w:bidi="ar-SA"/>
        </w:rPr>
      </w:pPr>
      <w:r>
        <w:rPr>
          <w:rFonts w:hint="eastAsia" w:ascii="宋体" w:hAnsi="宋体" w:eastAsia="宋体" w:cs="宋体"/>
          <w:iCs/>
          <w:color w:val="auto"/>
          <w:kern w:val="2"/>
          <w:sz w:val="24"/>
          <w:szCs w:val="24"/>
          <w:highlight w:val="none"/>
          <w:shd w:val="clear" w:color="auto" w:fill="FFFFFF" w:themeFill="background1"/>
          <w:lang w:val="en-US" w:eastAsia="zh-CN" w:bidi="ar-SA"/>
        </w:rPr>
        <w:t>17.9如开标时投标人对本单位投标保证金缴纳情况有疑义，投标人应在开标结束前向采购人提交书面申请核实保证金缴纳情况。由银行或保险公司核实后出具书面材料予以答复。</w:t>
      </w:r>
    </w:p>
    <w:p w14:paraId="7018BCE4">
      <w:pPr>
        <w:pStyle w:val="54"/>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Cs/>
          <w:color w:val="auto"/>
          <w:kern w:val="2"/>
          <w:sz w:val="24"/>
          <w:szCs w:val="24"/>
          <w:highlight w:val="none"/>
          <w:shd w:val="clear" w:color="auto" w:fill="FFFFFF" w:themeFill="background1"/>
          <w:lang w:val="en-US" w:eastAsia="zh-CN" w:bidi="ar-SA"/>
        </w:rPr>
      </w:pPr>
      <w:r>
        <w:rPr>
          <w:rFonts w:hint="eastAsia" w:ascii="宋体" w:hAnsi="宋体" w:eastAsia="宋体" w:cs="宋体"/>
          <w:iCs/>
          <w:color w:val="auto"/>
          <w:kern w:val="2"/>
          <w:sz w:val="24"/>
          <w:szCs w:val="24"/>
          <w:highlight w:val="none"/>
          <w:shd w:val="clear" w:color="auto" w:fill="FFFFFF" w:themeFill="background1"/>
          <w:lang w:val="en-US" w:eastAsia="zh-CN" w:bidi="ar-SA"/>
        </w:rPr>
        <w:t>17.10为支持和促进中小企业发展，进一步发挥政府采购政策功能，鼓励投标供应商使用电子保函代替现金缴纳投标保证金，在线完成保函的申请、审核、开票、出函等环节，投标企业注意区分办理保函类型，并确认投标有效期，如采用政采云电子保函，可登录“兵团政府采购网”—顶部通栏“信用融资”或者“兵团政府采购网”首页“政采贷｜电子保函”快捷模块查看：</w:t>
      </w:r>
    </w:p>
    <w:p w14:paraId="1F3A8C5E">
      <w:pPr>
        <w:pStyle w:val="54"/>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Cs/>
          <w:color w:val="auto"/>
          <w:kern w:val="2"/>
          <w:sz w:val="24"/>
          <w:szCs w:val="24"/>
          <w:highlight w:val="none"/>
          <w:shd w:val="clear" w:color="auto" w:fill="FFFFFF" w:themeFill="background1"/>
          <w:lang w:val="en-US" w:eastAsia="zh-CN" w:bidi="ar-SA"/>
        </w:rPr>
      </w:pPr>
      <w:r>
        <w:rPr>
          <w:rFonts w:hint="eastAsia" w:ascii="宋体" w:hAnsi="宋体" w:eastAsia="宋体" w:cs="宋体"/>
          <w:iCs/>
          <w:color w:val="auto"/>
          <w:kern w:val="2"/>
          <w:sz w:val="24"/>
          <w:szCs w:val="24"/>
          <w:highlight w:val="none"/>
          <w:shd w:val="clear" w:color="auto" w:fill="FFFFFF" w:themeFill="background1"/>
          <w:lang w:val="en-US" w:eastAsia="zh-CN" w:bidi="ar-SA"/>
        </w:rPr>
        <w:t>直达链接（电子保函）：</w:t>
      </w:r>
    </w:p>
    <w:p w14:paraId="15E30E92">
      <w:pPr>
        <w:pStyle w:val="54"/>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Cs/>
          <w:color w:val="auto"/>
          <w:kern w:val="2"/>
          <w:sz w:val="24"/>
          <w:szCs w:val="24"/>
          <w:highlight w:val="none"/>
          <w:shd w:val="clear" w:color="auto" w:fill="FFFFFF" w:themeFill="background1"/>
          <w:lang w:val="en-US" w:eastAsia="zh-CN" w:bidi="ar-SA"/>
        </w:rPr>
      </w:pPr>
      <w:r>
        <w:rPr>
          <w:rFonts w:hint="eastAsia" w:ascii="宋体" w:hAnsi="宋体" w:eastAsia="宋体" w:cs="宋体"/>
          <w:iCs/>
          <w:color w:val="auto"/>
          <w:kern w:val="2"/>
          <w:sz w:val="24"/>
          <w:szCs w:val="24"/>
          <w:highlight w:val="none"/>
          <w:shd w:val="clear" w:color="auto" w:fill="FFFFFF" w:themeFill="background1"/>
          <w:lang w:val="en-US" w:eastAsia="zh-CN" w:bidi="ar-SA"/>
        </w:rPr>
        <w:t>https://jinrong.zcygov.cn/luban/finance/xinjiang?utm=site.site-PC-4838.1473-pc-wsg-customFloatWindow-front.1.b9d627301e6311efb796b33a13fe0d0a</w:t>
      </w:r>
    </w:p>
    <w:p w14:paraId="071DFFA7">
      <w:pPr>
        <w:pStyle w:val="54"/>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iCs/>
          <w:color w:val="auto"/>
          <w:kern w:val="2"/>
          <w:sz w:val="24"/>
          <w:szCs w:val="24"/>
          <w:highlight w:val="none"/>
          <w:shd w:val="clear" w:color="auto" w:fill="FFFFFF" w:themeFill="background1"/>
          <w:lang w:val="en-US" w:eastAsia="zh-CN" w:bidi="ar-SA"/>
        </w:rPr>
      </w:pPr>
      <w:r>
        <w:rPr>
          <w:rFonts w:hint="eastAsia" w:ascii="宋体" w:hAnsi="宋体" w:eastAsia="宋体" w:cs="宋体"/>
          <w:iCs/>
          <w:color w:val="auto"/>
          <w:kern w:val="2"/>
          <w:sz w:val="24"/>
          <w:szCs w:val="24"/>
          <w:highlight w:val="none"/>
          <w:shd w:val="clear" w:color="auto" w:fill="FFFFFF" w:themeFill="background1"/>
          <w:lang w:val="en-US" w:eastAsia="zh-CN" w:bidi="ar-SA"/>
        </w:rPr>
        <w:t>金融服务支撑热线：</w:t>
      </w:r>
      <w:r>
        <w:rPr>
          <w:rFonts w:hint="eastAsia" w:ascii="宋体" w:hAnsi="宋体" w:eastAsia="宋体" w:cs="宋体"/>
          <w:b/>
          <w:bCs/>
          <w:iCs/>
          <w:color w:val="auto"/>
          <w:kern w:val="2"/>
          <w:sz w:val="24"/>
          <w:szCs w:val="24"/>
          <w:highlight w:val="none"/>
          <w:shd w:val="clear" w:color="auto" w:fill="FFFFFF" w:themeFill="background1"/>
          <w:lang w:val="en-US" w:eastAsia="zh-CN" w:bidi="ar-SA"/>
        </w:rPr>
        <w:t>0991-2661159</w:t>
      </w:r>
      <w:r>
        <w:rPr>
          <w:rFonts w:hint="eastAsia" w:ascii="宋体" w:hAnsi="宋体" w:eastAsia="宋体" w:cs="宋体"/>
          <w:iCs/>
          <w:color w:val="auto"/>
          <w:kern w:val="2"/>
          <w:sz w:val="24"/>
          <w:szCs w:val="24"/>
          <w:highlight w:val="none"/>
          <w:shd w:val="clear" w:color="auto" w:fill="FFFFFF" w:themeFill="background1"/>
          <w:lang w:val="en-US" w:eastAsia="zh-CN" w:bidi="ar-SA"/>
        </w:rPr>
        <w:t xml:space="preserve">     </w:t>
      </w:r>
    </w:p>
    <w:p w14:paraId="3586E853">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215" w:name="_Toc27604"/>
      <w:bookmarkStart w:id="216" w:name="_Toc11437"/>
      <w:bookmarkStart w:id="217" w:name="_Toc22547"/>
      <w:r>
        <w:rPr>
          <w:rFonts w:hint="eastAsia" w:ascii="宋体" w:hAnsi="宋体" w:eastAsia="宋体" w:cs="宋体"/>
          <w:b/>
          <w:bCs/>
          <w:color w:val="auto"/>
          <w:kern w:val="2"/>
          <w:sz w:val="24"/>
          <w:szCs w:val="24"/>
          <w:highlight w:val="none"/>
          <w:lang w:val="en-US" w:eastAsia="zh-CN" w:bidi="ar-SA"/>
        </w:rPr>
        <w:t>18.投标文件的加密</w:t>
      </w:r>
      <w:bookmarkEnd w:id="214"/>
      <w:bookmarkEnd w:id="215"/>
      <w:bookmarkEnd w:id="216"/>
      <w:bookmarkEnd w:id="217"/>
    </w:p>
    <w:p w14:paraId="7CFFC076">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u w:val="single"/>
        </w:rPr>
      </w:pPr>
      <w:bookmarkStart w:id="218" w:name="_Hlk143531864"/>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.1投标人在供应商客户端中生成投标文件并完成签章之后，使用CA证书在供应商客户端中对投标文件进行加密。</w:t>
      </w:r>
    </w:p>
    <w:p w14:paraId="20075D69">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.2投标人应在供应商客户端中对加密的投标文件进行解密验证，以防止投标文件加密异常，在开标时无法解密。</w:t>
      </w:r>
    </w:p>
    <w:p w14:paraId="60E84957">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.3 投标人应保证加密投标文件的CA证书有效期在开标时间之前。若CA证书有效期临近开标时间，建议投标人提前办理CA证书续期，以免开标时无法进行解密。</w:t>
      </w:r>
    </w:p>
    <w:p w14:paraId="4D80B003">
      <w:pPr>
        <w:keepNext w:val="0"/>
        <w:keepLines w:val="0"/>
        <w:pageBreakBefore w:val="0"/>
        <w:widowControl w:val="0"/>
        <w:kinsoku/>
        <w:wordWrap w:val="0"/>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递交截</w:t>
      </w:r>
      <w:r>
        <w:rPr>
          <w:rFonts w:hint="eastAsia" w:ascii="宋体" w:hAnsi="宋体" w:eastAsia="宋体" w:cs="宋体"/>
          <w:color w:val="auto"/>
          <w:sz w:val="24"/>
          <w:szCs w:val="24"/>
          <w:highlight w:val="none"/>
          <w:lang w:val="en-US" w:eastAsia="zh-CN"/>
        </w:rPr>
        <w:t>止</w:t>
      </w:r>
      <w:r>
        <w:rPr>
          <w:rFonts w:hint="eastAsia" w:ascii="宋体" w:hAnsi="宋体" w:eastAsia="宋体" w:cs="宋体"/>
          <w:color w:val="auto"/>
          <w:sz w:val="24"/>
          <w:szCs w:val="24"/>
          <w:highlight w:val="none"/>
        </w:rPr>
        <w:t>时间前通过</w:t>
      </w:r>
      <w:r>
        <w:rPr>
          <w:rFonts w:hint="eastAsia" w:ascii="宋体" w:hAnsi="宋体" w:eastAsia="宋体" w:cs="宋体"/>
          <w:color w:val="auto"/>
          <w:sz w:val="24"/>
          <w:szCs w:val="24"/>
          <w:highlight w:val="none"/>
          <w:lang w:val="en-US" w:eastAsia="zh-CN"/>
        </w:rPr>
        <w:t>兵团</w:t>
      </w:r>
      <w:r>
        <w:rPr>
          <w:rFonts w:hint="eastAsia" w:ascii="宋体" w:hAnsi="宋体" w:eastAsia="宋体" w:cs="宋体"/>
          <w:color w:val="auto"/>
          <w:sz w:val="24"/>
          <w:szCs w:val="24"/>
          <w:highlight w:val="none"/>
        </w:rPr>
        <w:t>政府采购网（http://ccgp-bingtuan.gov.cn/）的”政采云登录入口”登录后，将加密电子</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（为.jmbs后缀格式）上传到对应项目的指定位置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投标人认为有必要提交的其他资料请于投标截止时间前一并提交。</w:t>
      </w:r>
    </w:p>
    <w:p w14:paraId="7FD09881">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如果投标人未按上述要求</w:t>
      </w:r>
      <w:r>
        <w:rPr>
          <w:rFonts w:hint="eastAsia" w:ascii="宋体" w:hAnsi="宋体" w:eastAsia="宋体" w:cs="宋体"/>
          <w:color w:val="auto"/>
          <w:sz w:val="24"/>
          <w:szCs w:val="24"/>
          <w:highlight w:val="none"/>
          <w:lang w:val="en-US" w:eastAsia="zh-CN"/>
        </w:rPr>
        <w:t>加密并上传</w:t>
      </w:r>
      <w:r>
        <w:rPr>
          <w:rFonts w:hint="eastAsia" w:ascii="宋体" w:hAnsi="宋体" w:eastAsia="宋体" w:cs="宋体"/>
          <w:color w:val="auto"/>
          <w:sz w:val="24"/>
          <w:szCs w:val="24"/>
          <w:highlight w:val="none"/>
        </w:rPr>
        <w:t>，采购代理机构对投标文件的误投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无法解密、传输错误等问题</w:t>
      </w:r>
      <w:r>
        <w:rPr>
          <w:rFonts w:hint="eastAsia" w:ascii="宋体" w:hAnsi="宋体" w:eastAsia="宋体" w:cs="宋体"/>
          <w:color w:val="auto"/>
          <w:sz w:val="24"/>
          <w:szCs w:val="24"/>
          <w:highlight w:val="none"/>
        </w:rPr>
        <w:t>概不负责。对由此造成</w:t>
      </w:r>
      <w:r>
        <w:rPr>
          <w:rFonts w:hint="eastAsia" w:ascii="宋体" w:hAnsi="宋体" w:eastAsia="宋体" w:cs="宋体"/>
          <w:color w:val="auto"/>
          <w:sz w:val="24"/>
          <w:szCs w:val="24"/>
          <w:highlight w:val="none"/>
          <w:lang w:val="en-US" w:eastAsia="zh-CN"/>
        </w:rPr>
        <w:t>无法正常开启</w:t>
      </w:r>
      <w:r>
        <w:rPr>
          <w:rFonts w:hint="eastAsia" w:ascii="宋体" w:hAnsi="宋体" w:eastAsia="宋体" w:cs="宋体"/>
          <w:color w:val="auto"/>
          <w:sz w:val="24"/>
          <w:szCs w:val="24"/>
          <w:highlight w:val="none"/>
        </w:rPr>
        <w:t>的投标文件，采购代理机构有权予以拒绝，并退回投标人。</w:t>
      </w:r>
    </w:p>
    <w:p w14:paraId="23051441">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本项目采用不见面开标，无需提供电子投标文件U盘。</w:t>
      </w:r>
    </w:p>
    <w:bookmarkEnd w:id="218"/>
    <w:p w14:paraId="31ED663E">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219" w:name="_Toc140132777"/>
      <w:bookmarkStart w:id="220" w:name="_Toc163492844"/>
      <w:bookmarkStart w:id="221" w:name="_Toc18403"/>
      <w:bookmarkStart w:id="222" w:name="_Toc18936"/>
      <w:bookmarkStart w:id="223" w:name="_Toc13225"/>
      <w:r>
        <w:rPr>
          <w:rFonts w:hint="eastAsia" w:ascii="宋体" w:hAnsi="宋体" w:eastAsia="宋体" w:cs="宋体"/>
          <w:b/>
          <w:bCs/>
          <w:color w:val="auto"/>
          <w:kern w:val="2"/>
          <w:sz w:val="24"/>
          <w:szCs w:val="24"/>
          <w:highlight w:val="none"/>
          <w:lang w:val="en-US" w:eastAsia="zh-CN" w:bidi="ar-SA"/>
        </w:rPr>
        <w:t>19.投标文件的递交</w:t>
      </w:r>
      <w:bookmarkEnd w:id="219"/>
      <w:r>
        <w:rPr>
          <w:rFonts w:hint="eastAsia" w:ascii="宋体" w:hAnsi="宋体" w:eastAsia="宋体" w:cs="宋体"/>
          <w:b/>
          <w:bCs/>
          <w:color w:val="auto"/>
          <w:kern w:val="2"/>
          <w:sz w:val="24"/>
          <w:szCs w:val="24"/>
          <w:highlight w:val="none"/>
          <w:lang w:val="en-US" w:eastAsia="zh-CN" w:bidi="ar-SA"/>
        </w:rPr>
        <w:t>（上传）</w:t>
      </w:r>
      <w:bookmarkEnd w:id="220"/>
      <w:bookmarkEnd w:id="221"/>
      <w:bookmarkEnd w:id="222"/>
      <w:bookmarkEnd w:id="223"/>
    </w:p>
    <w:p w14:paraId="68ADD5DF">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bookmarkStart w:id="224" w:name="_Hlk143531977"/>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.1 投标人应在“</w:t>
      </w:r>
      <w:r>
        <w:rPr>
          <w:rFonts w:hint="eastAsia" w:ascii="宋体" w:hAnsi="宋体" w:eastAsia="宋体" w:cs="宋体"/>
          <w:color w:val="auto"/>
          <w:sz w:val="24"/>
          <w:szCs w:val="24"/>
          <w:highlight w:val="none"/>
          <w:lang w:val="en-US" w:eastAsia="zh-CN"/>
        </w:rPr>
        <w:t>第一章 招标公告</w:t>
      </w:r>
      <w:r>
        <w:rPr>
          <w:rFonts w:hint="eastAsia" w:ascii="宋体" w:hAnsi="宋体" w:eastAsia="宋体" w:cs="宋体"/>
          <w:color w:val="auto"/>
          <w:sz w:val="24"/>
          <w:szCs w:val="24"/>
          <w:highlight w:val="none"/>
        </w:rPr>
        <w:t>”规定的投标截止时间前递交（上传）投标文件。</w:t>
      </w:r>
    </w:p>
    <w:p w14:paraId="0686D9A3">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.2 投标人递交（上传）投标文件的地点见“</w:t>
      </w:r>
      <w:r>
        <w:rPr>
          <w:rFonts w:hint="eastAsia" w:ascii="宋体" w:hAnsi="宋体" w:eastAsia="宋体" w:cs="宋体"/>
          <w:color w:val="auto"/>
          <w:sz w:val="24"/>
          <w:szCs w:val="24"/>
          <w:highlight w:val="none"/>
          <w:lang w:val="en-US" w:eastAsia="zh-CN"/>
        </w:rPr>
        <w:t>第一章 招标公告</w:t>
      </w:r>
      <w:r>
        <w:rPr>
          <w:rFonts w:hint="eastAsia" w:ascii="宋体" w:hAnsi="宋体" w:eastAsia="宋体" w:cs="宋体"/>
          <w:color w:val="auto"/>
          <w:sz w:val="24"/>
          <w:szCs w:val="24"/>
          <w:highlight w:val="none"/>
        </w:rPr>
        <w:t>”。</w:t>
      </w:r>
    </w:p>
    <w:p w14:paraId="6AE6974A">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.3投标人应充分评估集中同时投标带来的网络影响，尽量避开投标高峰时间，错峰进行电子投标。投标人递交全部的投标文件后可在政采云平台（项目采购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投标文件上传）中获取投标文件递交回执单。</w:t>
      </w:r>
    </w:p>
    <w:p w14:paraId="66FB688C">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.4 投标人应在供应商客户端中下载未加密且完成签章的投标文件妥善保存，以便启动应急开标程序时使用。</w:t>
      </w:r>
    </w:p>
    <w:p w14:paraId="4469D505">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.5投标人所递交的投标文件不予退还。</w:t>
      </w:r>
    </w:p>
    <w:bookmarkEnd w:id="224"/>
    <w:p w14:paraId="6AD70963">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225" w:name="_Toc19314"/>
      <w:bookmarkStart w:id="226" w:name="_Toc9803"/>
      <w:bookmarkStart w:id="227" w:name="_Toc163492845"/>
      <w:bookmarkStart w:id="228" w:name="_Toc19457"/>
      <w:r>
        <w:rPr>
          <w:rFonts w:hint="eastAsia" w:ascii="宋体" w:hAnsi="宋体" w:eastAsia="宋体" w:cs="宋体"/>
          <w:b/>
          <w:bCs/>
          <w:color w:val="auto"/>
          <w:kern w:val="2"/>
          <w:sz w:val="24"/>
          <w:szCs w:val="24"/>
          <w:highlight w:val="none"/>
          <w:lang w:val="en-US" w:eastAsia="zh-CN" w:bidi="ar-SA"/>
        </w:rPr>
        <w:t>20.拒收</w:t>
      </w:r>
      <w:bookmarkEnd w:id="225"/>
      <w:bookmarkEnd w:id="226"/>
      <w:bookmarkEnd w:id="227"/>
      <w:bookmarkEnd w:id="228"/>
    </w:p>
    <w:p w14:paraId="163AD542">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.1 超过投标文件提交截止时间</w:t>
      </w:r>
      <w:bookmarkStart w:id="229" w:name="_Hlk143532404"/>
      <w:r>
        <w:rPr>
          <w:rFonts w:hint="eastAsia" w:ascii="宋体" w:hAnsi="宋体" w:eastAsia="宋体" w:cs="宋体"/>
          <w:color w:val="auto"/>
          <w:sz w:val="24"/>
          <w:szCs w:val="24"/>
          <w:highlight w:val="none"/>
        </w:rPr>
        <w:t>或者不按照本章要求加密的投标文件，交易系统应当拒收</w:t>
      </w:r>
      <w:bookmarkEnd w:id="229"/>
      <w:r>
        <w:rPr>
          <w:rFonts w:hint="eastAsia" w:ascii="宋体" w:hAnsi="宋体" w:eastAsia="宋体" w:cs="宋体"/>
          <w:color w:val="auto"/>
          <w:sz w:val="24"/>
          <w:szCs w:val="24"/>
          <w:highlight w:val="none"/>
        </w:rPr>
        <w:t>。</w:t>
      </w:r>
    </w:p>
    <w:p w14:paraId="03561218">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230" w:name="_Toc20710"/>
      <w:bookmarkStart w:id="231" w:name="_Toc140132778"/>
      <w:bookmarkStart w:id="232" w:name="_Toc163492846"/>
      <w:bookmarkStart w:id="233" w:name="_Toc31714"/>
      <w:bookmarkStart w:id="234" w:name="_Toc17912"/>
      <w:r>
        <w:rPr>
          <w:rFonts w:hint="eastAsia" w:ascii="宋体" w:hAnsi="宋体" w:eastAsia="宋体" w:cs="宋体"/>
          <w:b/>
          <w:bCs/>
          <w:color w:val="auto"/>
          <w:kern w:val="2"/>
          <w:sz w:val="24"/>
          <w:szCs w:val="24"/>
          <w:highlight w:val="none"/>
          <w:lang w:val="en-US" w:eastAsia="zh-CN" w:bidi="ar-SA"/>
        </w:rPr>
        <w:t>21.投标文件的修改与撤回</w:t>
      </w:r>
      <w:bookmarkEnd w:id="230"/>
      <w:bookmarkEnd w:id="231"/>
      <w:bookmarkEnd w:id="232"/>
      <w:bookmarkEnd w:id="233"/>
      <w:bookmarkEnd w:id="234"/>
    </w:p>
    <w:p w14:paraId="7DBF29E0">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.1</w:t>
      </w:r>
      <w:bookmarkStart w:id="235" w:name="_Hlk143532466"/>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第一章 招标公告</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规定的</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递交截止时间之前，可在兵团政府采购电子交易云平台上随时撤回已上传的电子</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，将修改好的电子</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递交截止时间前重新上传到兵团政府采购电子交易云平台的</w:t>
      </w:r>
      <w:r>
        <w:rPr>
          <w:rFonts w:hint="eastAsia" w:ascii="宋体" w:hAnsi="宋体" w:eastAsia="宋体" w:cs="宋体"/>
          <w:color w:val="auto"/>
          <w:sz w:val="24"/>
          <w:szCs w:val="24"/>
          <w:highlight w:val="none"/>
          <w:lang w:val="en-US" w:eastAsia="zh-CN"/>
        </w:rPr>
        <w:t>指</w:t>
      </w:r>
      <w:r>
        <w:rPr>
          <w:rFonts w:hint="eastAsia" w:ascii="宋体" w:hAnsi="宋体" w:eastAsia="宋体" w:cs="宋体"/>
          <w:color w:val="auto"/>
          <w:sz w:val="24"/>
          <w:szCs w:val="24"/>
          <w:highlight w:val="none"/>
        </w:rPr>
        <w:t>定位置。</w:t>
      </w:r>
    </w:p>
    <w:bookmarkEnd w:id="235"/>
    <w:p w14:paraId="20434D8C">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236" w:name="_Toc6030"/>
      <w:bookmarkStart w:id="237" w:name="_Toc163492847"/>
      <w:bookmarkStart w:id="238" w:name="_Toc20864"/>
      <w:bookmarkStart w:id="239" w:name="_Toc18728"/>
      <w:bookmarkStart w:id="240" w:name="_Toc155185874"/>
      <w:r>
        <w:rPr>
          <w:rFonts w:hint="eastAsia" w:ascii="宋体" w:hAnsi="宋体" w:eastAsia="宋体" w:cs="宋体"/>
          <w:b/>
          <w:bCs/>
          <w:color w:val="auto"/>
          <w:kern w:val="2"/>
          <w:sz w:val="24"/>
          <w:szCs w:val="24"/>
          <w:highlight w:val="none"/>
          <w:lang w:val="en-US" w:eastAsia="zh-CN" w:bidi="ar-SA"/>
        </w:rPr>
        <w:t>22.实物样品</w:t>
      </w:r>
      <w:bookmarkEnd w:id="236"/>
      <w:bookmarkEnd w:id="237"/>
      <w:bookmarkEnd w:id="238"/>
      <w:bookmarkEnd w:id="239"/>
      <w:bookmarkEnd w:id="240"/>
    </w:p>
    <w:p w14:paraId="52D4EAF6">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.1“投标人须知前附表”要求提供样品的，样品的具体要求及评审详见“第三章 采购需求”和“第五章 评标</w:t>
      </w:r>
      <w:r>
        <w:rPr>
          <w:rFonts w:hint="eastAsia" w:ascii="宋体" w:hAnsi="宋体" w:eastAsia="宋体" w:cs="宋体"/>
          <w:snapToGrid w:val="0"/>
          <w:color w:val="auto"/>
          <w:sz w:val="24"/>
          <w:szCs w:val="24"/>
          <w:highlight w:val="none"/>
          <w:lang w:val="en-US" w:eastAsia="zh-CN"/>
        </w:rPr>
        <w:t>方</w:t>
      </w:r>
      <w:r>
        <w:rPr>
          <w:rFonts w:hint="eastAsia" w:ascii="宋体" w:hAnsi="宋体" w:eastAsia="宋体" w:cs="宋体"/>
          <w:color w:val="auto"/>
          <w:sz w:val="24"/>
          <w:szCs w:val="24"/>
          <w:highlight w:val="none"/>
        </w:rPr>
        <w:t>法及标准”。</w:t>
      </w:r>
    </w:p>
    <w:p w14:paraId="2D6ED3FC">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.2样品退还：未中标的投标人应</w:t>
      </w:r>
      <w:r>
        <w:rPr>
          <w:rFonts w:hint="eastAsia" w:ascii="宋体" w:hAnsi="宋体" w:eastAsia="宋体" w:cs="宋体"/>
          <w:color w:val="auto"/>
          <w:sz w:val="24"/>
          <w:szCs w:val="24"/>
          <w:highlight w:val="none"/>
          <w:lang w:val="en-US" w:eastAsia="zh-CN"/>
        </w:rPr>
        <w:t>按照</w:t>
      </w:r>
      <w:r>
        <w:rPr>
          <w:rFonts w:hint="eastAsia" w:ascii="宋体" w:hAnsi="宋体" w:eastAsia="宋体" w:cs="宋体"/>
          <w:color w:val="auto"/>
          <w:sz w:val="24"/>
          <w:szCs w:val="24"/>
          <w:highlight w:val="none"/>
        </w:rPr>
        <w:t>“投标人须知前附表”</w:t>
      </w:r>
      <w:r>
        <w:rPr>
          <w:rFonts w:hint="eastAsia" w:ascii="宋体" w:hAnsi="宋体" w:eastAsia="宋体" w:cs="宋体"/>
          <w:color w:val="auto"/>
          <w:sz w:val="24"/>
          <w:szCs w:val="24"/>
          <w:highlight w:val="none"/>
          <w:lang w:val="en-US" w:eastAsia="zh-CN"/>
        </w:rPr>
        <w:t>要求</w:t>
      </w:r>
      <w:r>
        <w:rPr>
          <w:rFonts w:hint="eastAsia" w:ascii="宋体" w:hAnsi="宋体" w:eastAsia="宋体" w:cs="宋体"/>
          <w:color w:val="auto"/>
          <w:sz w:val="24"/>
          <w:szCs w:val="24"/>
          <w:highlight w:val="none"/>
        </w:rPr>
        <w:t>自行联系采购人取回投标样品；中标人的样品由采购人进行保管、封存，并作为履约验收的参考（招标文件另有规定的从其规定）。</w:t>
      </w:r>
    </w:p>
    <w:p w14:paraId="7DD3C31F">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241" w:name="_Toc155185875"/>
      <w:bookmarkStart w:id="242" w:name="_Toc30367"/>
      <w:bookmarkStart w:id="243" w:name="_Toc3586"/>
      <w:bookmarkStart w:id="244" w:name="_Toc11533"/>
      <w:bookmarkStart w:id="245" w:name="_Toc163492848"/>
      <w:r>
        <w:rPr>
          <w:rFonts w:hint="eastAsia" w:ascii="宋体" w:hAnsi="宋体" w:eastAsia="宋体" w:cs="宋体"/>
          <w:b/>
          <w:bCs/>
          <w:color w:val="auto"/>
          <w:kern w:val="2"/>
          <w:sz w:val="24"/>
          <w:szCs w:val="24"/>
          <w:highlight w:val="none"/>
          <w:lang w:val="en-US" w:eastAsia="zh-CN" w:bidi="ar-SA"/>
        </w:rPr>
        <w:t>23.演示</w:t>
      </w:r>
      <w:bookmarkEnd w:id="241"/>
      <w:bookmarkEnd w:id="242"/>
      <w:bookmarkEnd w:id="243"/>
      <w:bookmarkEnd w:id="244"/>
      <w:bookmarkEnd w:id="245"/>
    </w:p>
    <w:p w14:paraId="1A234B38">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.1要求投标人进行演示的，演示要求详见“投标人须知前附表”。</w:t>
      </w:r>
    </w:p>
    <w:p w14:paraId="527E9036">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.2演示的评审详见“第三章 采购需求”和“第五章 评标</w:t>
      </w:r>
      <w:r>
        <w:rPr>
          <w:rFonts w:hint="eastAsia" w:ascii="宋体" w:hAnsi="宋体" w:eastAsia="宋体" w:cs="宋体"/>
          <w:color w:val="auto"/>
          <w:sz w:val="24"/>
          <w:szCs w:val="24"/>
          <w:highlight w:val="none"/>
          <w:lang w:val="en-US" w:eastAsia="zh-CN"/>
        </w:rPr>
        <w:t>方</w:t>
      </w:r>
      <w:r>
        <w:rPr>
          <w:rFonts w:hint="eastAsia" w:ascii="宋体" w:hAnsi="宋体" w:eastAsia="宋体" w:cs="宋体"/>
          <w:color w:val="auto"/>
          <w:sz w:val="24"/>
          <w:szCs w:val="24"/>
          <w:highlight w:val="none"/>
        </w:rPr>
        <w:t>法及标准”。</w:t>
      </w:r>
    </w:p>
    <w:p w14:paraId="44828689">
      <w:pPr>
        <w:pStyle w:val="4"/>
        <w:keepNext w:val="0"/>
        <w:keepLines w:val="0"/>
        <w:pageBreakBefore w:val="0"/>
        <w:widowControl w:val="0"/>
        <w:numPr>
          <w:ilvl w:val="0"/>
          <w:numId w:val="0"/>
        </w:numPr>
        <w:kinsoku/>
        <w:wordWrap/>
        <w:overflowPunct/>
        <w:topLinePunct w:val="0"/>
        <w:autoSpaceDE/>
        <w:autoSpaceDN/>
        <w:bidi w:val="0"/>
        <w:adjustRightInd/>
        <w:snapToGrid/>
        <w:spacing w:before="120" w:after="12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246" w:name="_Toc13245"/>
      <w:bookmarkStart w:id="247" w:name="_Toc163492849"/>
      <w:bookmarkStart w:id="248" w:name="_Toc8231"/>
      <w:bookmarkStart w:id="249" w:name="_Toc140132779"/>
      <w:bookmarkStart w:id="250" w:name="_Toc155185876"/>
      <w:bookmarkStart w:id="251" w:name="_Toc23023"/>
      <w:r>
        <w:rPr>
          <w:rFonts w:hint="eastAsia" w:ascii="宋体" w:hAnsi="宋体" w:eastAsia="宋体" w:cs="宋体"/>
          <w:b/>
          <w:bCs/>
          <w:color w:val="auto"/>
          <w:kern w:val="2"/>
          <w:sz w:val="24"/>
          <w:szCs w:val="24"/>
          <w:highlight w:val="none"/>
          <w:lang w:val="en-US" w:eastAsia="zh-CN" w:bidi="ar-SA"/>
        </w:rPr>
        <w:t>（五）开标</w:t>
      </w:r>
      <w:bookmarkEnd w:id="246"/>
      <w:bookmarkEnd w:id="247"/>
      <w:bookmarkEnd w:id="248"/>
      <w:bookmarkEnd w:id="249"/>
      <w:bookmarkEnd w:id="250"/>
      <w:bookmarkEnd w:id="251"/>
    </w:p>
    <w:p w14:paraId="1705A8FF">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252" w:name="_Toc8612"/>
      <w:bookmarkStart w:id="253" w:name="_Toc140132780"/>
      <w:bookmarkStart w:id="254" w:name="_Toc163492850"/>
      <w:bookmarkStart w:id="255" w:name="_Toc21393"/>
      <w:bookmarkStart w:id="256" w:name="_Toc22613"/>
      <w:r>
        <w:rPr>
          <w:rFonts w:hint="eastAsia" w:ascii="宋体" w:hAnsi="宋体" w:eastAsia="宋体" w:cs="宋体"/>
          <w:b/>
          <w:bCs/>
          <w:color w:val="auto"/>
          <w:kern w:val="2"/>
          <w:sz w:val="24"/>
          <w:szCs w:val="24"/>
          <w:highlight w:val="none"/>
          <w:lang w:val="en-US" w:eastAsia="zh-CN" w:bidi="ar-SA"/>
        </w:rPr>
        <w:t>24.开标会议</w:t>
      </w:r>
      <w:bookmarkEnd w:id="252"/>
      <w:bookmarkEnd w:id="253"/>
      <w:bookmarkEnd w:id="254"/>
      <w:bookmarkEnd w:id="255"/>
      <w:bookmarkEnd w:id="256"/>
    </w:p>
    <w:p w14:paraId="43376441">
      <w:pPr>
        <w:keepNext w:val="0"/>
        <w:keepLines w:val="0"/>
        <w:pageBreakBefore w:val="0"/>
        <w:widowControl w:val="0"/>
        <w:kinsoku/>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highlight w:val="none"/>
          <w:lang w:eastAsia="zh-CN"/>
        </w:rPr>
      </w:pPr>
      <w:bookmarkStart w:id="257" w:name="_Toc140132781"/>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开标会按“</w:t>
      </w:r>
      <w:r>
        <w:rPr>
          <w:rFonts w:hint="eastAsia" w:ascii="宋体" w:hAnsi="宋体" w:eastAsia="宋体" w:cs="宋体"/>
          <w:color w:val="auto"/>
          <w:sz w:val="24"/>
          <w:szCs w:val="24"/>
          <w:highlight w:val="none"/>
          <w:lang w:val="en-US" w:eastAsia="zh-CN"/>
        </w:rPr>
        <w:t>第一章 招标公告</w:t>
      </w:r>
      <w:r>
        <w:rPr>
          <w:rFonts w:hint="eastAsia" w:ascii="宋体" w:hAnsi="宋体" w:eastAsia="宋体" w:cs="宋体"/>
          <w:color w:val="auto"/>
          <w:sz w:val="24"/>
          <w:szCs w:val="24"/>
          <w:highlight w:val="none"/>
        </w:rPr>
        <w:t>”规定的开标时间和地点准时举行，采购人、采购代理机构邀请所有投标人准时参加开标会。投标人应按照</w:t>
      </w:r>
      <w:r>
        <w:rPr>
          <w:rFonts w:hint="eastAsia" w:ascii="宋体" w:hAnsi="宋体" w:eastAsia="宋体" w:cs="宋体"/>
          <w:color w:val="auto"/>
          <w:sz w:val="24"/>
          <w:szCs w:val="24"/>
          <w:highlight w:val="none"/>
          <w:lang w:val="en-US" w:eastAsia="zh-CN"/>
        </w:rPr>
        <w:t>招标文件</w:t>
      </w:r>
      <w:r>
        <w:rPr>
          <w:rFonts w:hint="eastAsia" w:ascii="宋体" w:hAnsi="宋体" w:eastAsia="宋体" w:cs="宋体"/>
          <w:color w:val="auto"/>
          <w:sz w:val="24"/>
          <w:szCs w:val="24"/>
          <w:highlight w:val="none"/>
        </w:rPr>
        <w:t>的要求参与</w:t>
      </w:r>
      <w:r>
        <w:rPr>
          <w:rFonts w:hint="eastAsia" w:ascii="宋体" w:hAnsi="宋体" w:eastAsia="宋体" w:cs="宋体"/>
          <w:color w:val="auto"/>
          <w:sz w:val="24"/>
          <w:szCs w:val="24"/>
          <w:highlight w:val="none"/>
          <w:lang w:val="en-US" w:eastAsia="zh-CN"/>
        </w:rPr>
        <w:t>不见面开标</w:t>
      </w:r>
      <w:r>
        <w:rPr>
          <w:rFonts w:hint="eastAsia" w:ascii="宋体" w:hAnsi="宋体" w:eastAsia="宋体" w:cs="宋体"/>
          <w:color w:val="auto"/>
          <w:sz w:val="24"/>
          <w:szCs w:val="24"/>
          <w:highlight w:val="none"/>
        </w:rPr>
        <w:t>。</w:t>
      </w:r>
    </w:p>
    <w:p w14:paraId="60A061F0">
      <w:pPr>
        <w:keepNext w:val="0"/>
        <w:keepLines w:val="0"/>
        <w:pageBreakBefore w:val="0"/>
        <w:widowControl w:val="0"/>
        <w:kinsoku/>
        <w:wordWrap w:val="0"/>
        <w:overflowPunct/>
        <w:topLinePunct w:val="0"/>
        <w:autoSpaceDE/>
        <w:autoSpaceDN/>
        <w:bidi w:val="0"/>
        <w:adjustRightInd/>
        <w:snapToGrid/>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w:t>
      </w:r>
      <w:bookmarkEnd w:id="257"/>
      <w:r>
        <w:rPr>
          <w:rFonts w:hint="eastAsia" w:ascii="宋体" w:hAnsi="宋体" w:eastAsia="宋体" w:cs="宋体"/>
          <w:color w:val="auto"/>
          <w:kern w:val="2"/>
          <w:sz w:val="24"/>
          <w:szCs w:val="24"/>
          <w:highlight w:val="none"/>
        </w:rPr>
        <w:t>采购代理机构按照招标文件规定的时间、地点主持开标。采购人在规定的</w:t>
      </w:r>
      <w:r>
        <w:rPr>
          <w:rFonts w:hint="eastAsia" w:ascii="宋体" w:hAnsi="宋体" w:eastAsia="宋体" w:cs="宋体"/>
          <w:color w:val="auto"/>
          <w:kern w:val="2"/>
          <w:sz w:val="24"/>
          <w:szCs w:val="24"/>
          <w:highlight w:val="none"/>
          <w:lang w:eastAsia="zh-CN"/>
        </w:rPr>
        <w:t>投标文件</w:t>
      </w:r>
      <w:r>
        <w:rPr>
          <w:rFonts w:hint="eastAsia" w:ascii="宋体" w:hAnsi="宋体" w:eastAsia="宋体" w:cs="宋体"/>
          <w:color w:val="auto"/>
          <w:kern w:val="2"/>
          <w:sz w:val="24"/>
          <w:szCs w:val="24"/>
          <w:highlight w:val="none"/>
        </w:rPr>
        <w:t>递交截止时间（开标时间）和地点进行不见面远程开标。</w:t>
      </w:r>
      <w:r>
        <w:rPr>
          <w:rFonts w:hint="eastAsia" w:ascii="宋体" w:hAnsi="宋体" w:eastAsia="宋体" w:cs="宋体"/>
          <w:color w:val="auto"/>
          <w:kern w:val="2"/>
          <w:sz w:val="24"/>
          <w:szCs w:val="24"/>
          <w:highlight w:val="none"/>
          <w:lang w:eastAsia="zh-CN"/>
        </w:rPr>
        <w:t>投标人</w:t>
      </w:r>
      <w:r>
        <w:rPr>
          <w:rFonts w:hint="eastAsia" w:ascii="宋体" w:hAnsi="宋体" w:eastAsia="宋体" w:cs="宋体"/>
          <w:color w:val="auto"/>
          <w:kern w:val="2"/>
          <w:sz w:val="24"/>
          <w:szCs w:val="24"/>
          <w:highlight w:val="none"/>
        </w:rPr>
        <w:t>的法定代表人或其委托代理人无需到达开标现场，仅需在任意地点通过</w:t>
      </w:r>
      <w:r>
        <w:rPr>
          <w:rFonts w:hint="eastAsia" w:ascii="宋体" w:hAnsi="宋体" w:eastAsia="宋体" w:cs="宋体"/>
          <w:color w:val="auto"/>
          <w:kern w:val="2"/>
          <w:sz w:val="24"/>
          <w:szCs w:val="24"/>
          <w:highlight w:val="none"/>
          <w:lang w:val="en-US" w:eastAsia="zh-CN"/>
        </w:rPr>
        <w:t>兵团政府采购电子交易云平台（网址：https://www.zcygov.cn/）</w:t>
      </w:r>
      <w:r>
        <w:rPr>
          <w:rFonts w:hint="eastAsia" w:ascii="宋体" w:hAnsi="宋体" w:eastAsia="宋体" w:cs="宋体"/>
          <w:color w:val="auto"/>
          <w:kern w:val="2"/>
          <w:sz w:val="24"/>
          <w:szCs w:val="24"/>
          <w:highlight w:val="none"/>
        </w:rPr>
        <w:t>的</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政采云登录入口”登录后，进入“政采云远程开标大厅”参加开标会议，并使用CA密钥完成远程解密、提疑澄清、开标唱标、结果公布等交互环节。</w:t>
      </w:r>
    </w:p>
    <w:p w14:paraId="4F83B05F">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 xml:space="preserve">24.3开标过程将宣布投标人名称、投标价格和招标文件规定的需要宣布的其他内容并进行记录，并由参加开标的各投标人确认。投标人未在规定时间内提 出疑义或确认一览表的，视同认可开标结果。 </w:t>
      </w:r>
    </w:p>
    <w:p w14:paraId="63FB5E60">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258" w:name="_Toc163492852"/>
      <w:bookmarkStart w:id="259" w:name="_Toc30858"/>
      <w:bookmarkStart w:id="260" w:name="_Toc22024"/>
      <w:bookmarkStart w:id="261" w:name="_Toc140132783"/>
      <w:bookmarkStart w:id="262" w:name="_Toc6135"/>
      <w:r>
        <w:rPr>
          <w:rFonts w:hint="eastAsia" w:ascii="宋体" w:hAnsi="宋体" w:eastAsia="宋体" w:cs="宋体"/>
          <w:b/>
          <w:bCs/>
          <w:color w:val="auto"/>
          <w:kern w:val="2"/>
          <w:sz w:val="24"/>
          <w:szCs w:val="24"/>
          <w:highlight w:val="none"/>
          <w:lang w:val="en-US" w:eastAsia="zh-CN" w:bidi="ar-SA"/>
        </w:rPr>
        <w:t>25.开标程序</w:t>
      </w:r>
      <w:bookmarkEnd w:id="258"/>
      <w:bookmarkEnd w:id="259"/>
      <w:bookmarkEnd w:id="260"/>
      <w:bookmarkEnd w:id="261"/>
      <w:bookmarkEnd w:id="262"/>
    </w:p>
    <w:p w14:paraId="60F7948B">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 投标人不足3家的，不得开标。</w:t>
      </w:r>
    </w:p>
    <w:p w14:paraId="5B4EFA66">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.2 评标委员会成员不得参加开标活动。</w:t>
      </w:r>
    </w:p>
    <w:p w14:paraId="6EDD80B3">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.3主持人按下列程序进行开标：</w:t>
      </w:r>
    </w:p>
    <w:p w14:paraId="02BF7803">
      <w:pPr>
        <w:keepNext w:val="0"/>
        <w:keepLines w:val="0"/>
        <w:pageBreakBefore w:val="0"/>
        <w:widowControl w:val="0"/>
        <w:kinsoku/>
        <w:overflowPunct/>
        <w:topLinePunct w:val="0"/>
        <w:autoSpaceDE/>
        <w:autoSpaceDN/>
        <w:bidi w:val="0"/>
        <w:adjustRightInd/>
        <w:ind w:firstLine="398" w:firstLineChars="16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（1）宣布开标会纪律；</w:t>
      </w:r>
    </w:p>
    <w:p w14:paraId="06FE8596">
      <w:pPr>
        <w:keepNext w:val="0"/>
        <w:keepLines w:val="0"/>
        <w:pageBreakBefore w:val="0"/>
        <w:widowControl w:val="0"/>
        <w:kinsoku/>
        <w:overflowPunct/>
        <w:topLinePunct w:val="0"/>
        <w:autoSpaceDE/>
        <w:autoSpaceDN/>
        <w:bidi w:val="0"/>
        <w:adjustRightInd/>
        <w:ind w:firstLine="398" w:firstLineChars="16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（2）介绍参加开标会的单位和人员；</w:t>
      </w:r>
    </w:p>
    <w:p w14:paraId="69CFC68B">
      <w:pPr>
        <w:keepNext w:val="0"/>
        <w:keepLines w:val="0"/>
        <w:pageBreakBefore w:val="0"/>
        <w:widowControl w:val="0"/>
        <w:kinsoku/>
        <w:overflowPunct/>
        <w:topLinePunct w:val="0"/>
        <w:autoSpaceDE/>
        <w:autoSpaceDN/>
        <w:bidi w:val="0"/>
        <w:adjustRightInd/>
        <w:ind w:firstLine="398" w:firstLineChars="16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（3）发起投标文件解密。投标人应在“投标人须知前附表”规定的时间内使用加密投标文件的CA证书在系统中完成投标文件的解密；</w:t>
      </w:r>
    </w:p>
    <w:p w14:paraId="30C058B0">
      <w:pPr>
        <w:keepNext w:val="0"/>
        <w:keepLines w:val="0"/>
        <w:pageBreakBefore w:val="0"/>
        <w:widowControl w:val="0"/>
        <w:kinsoku/>
        <w:overflowPunct/>
        <w:topLinePunct w:val="0"/>
        <w:autoSpaceDE/>
        <w:autoSpaceDN/>
        <w:bidi w:val="0"/>
        <w:adjustRightInd/>
        <w:ind w:firstLine="398" w:firstLineChars="16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（4）解密完成后，系统自动显示投标人名称、投标价格和招标文件规定的需要宣布的其他内容；</w:t>
      </w:r>
    </w:p>
    <w:p w14:paraId="102D4E44">
      <w:pPr>
        <w:keepNext w:val="0"/>
        <w:keepLines w:val="0"/>
        <w:pageBreakBefore w:val="0"/>
        <w:widowControl w:val="0"/>
        <w:kinsoku/>
        <w:overflowPunct/>
        <w:topLinePunct w:val="0"/>
        <w:autoSpaceDE/>
        <w:autoSpaceDN/>
        <w:bidi w:val="0"/>
        <w:adjustRightInd/>
        <w:ind w:left="564" w:leftChars="200" w:hanging="84" w:hangingChars="35"/>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（5）系统自动生成开标记录表，供应商应在线对开标记录进行签署确认</w:t>
      </w:r>
      <w:r>
        <w:rPr>
          <w:rFonts w:hint="eastAsia" w:ascii="宋体" w:hAnsi="宋体" w:eastAsia="宋体" w:cs="宋体"/>
          <w:color w:val="auto"/>
          <w:sz w:val="24"/>
          <w:szCs w:val="24"/>
          <w:highlight w:val="none"/>
          <w:lang w:val="en-US" w:eastAsia="zh-CN"/>
        </w:rPr>
        <w:t>；</w:t>
      </w:r>
    </w:p>
    <w:p w14:paraId="1E68785D">
      <w:pPr>
        <w:keepNext w:val="0"/>
        <w:keepLines w:val="0"/>
        <w:pageBreakBefore w:val="0"/>
        <w:widowControl w:val="0"/>
        <w:kinsoku/>
        <w:overflowPunct/>
        <w:topLinePunct w:val="0"/>
        <w:autoSpaceDE/>
        <w:autoSpaceDN/>
        <w:bidi w:val="0"/>
        <w:adjustRightInd/>
        <w:ind w:left="564" w:leftChars="200" w:hanging="84" w:hangingChars="3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（6）开标会结束。</w:t>
      </w:r>
      <w:bookmarkStart w:id="263" w:name="_Toc140132784"/>
      <w:bookmarkStart w:id="264" w:name="_Toc163492853"/>
    </w:p>
    <w:p w14:paraId="459D358F">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265" w:name="_Toc8830"/>
      <w:bookmarkStart w:id="266" w:name="_Toc6699"/>
      <w:bookmarkStart w:id="267" w:name="_Toc8444"/>
      <w:r>
        <w:rPr>
          <w:rFonts w:hint="eastAsia" w:ascii="宋体" w:hAnsi="宋体" w:eastAsia="宋体" w:cs="宋体"/>
          <w:b/>
          <w:bCs/>
          <w:color w:val="auto"/>
          <w:kern w:val="2"/>
          <w:sz w:val="24"/>
          <w:szCs w:val="24"/>
          <w:highlight w:val="none"/>
          <w:lang w:val="en-US" w:eastAsia="zh-CN" w:bidi="ar-SA"/>
        </w:rPr>
        <w:t>26.开标疑义及回避情形</w:t>
      </w:r>
      <w:bookmarkEnd w:id="263"/>
      <w:bookmarkEnd w:id="264"/>
      <w:bookmarkEnd w:id="265"/>
      <w:bookmarkEnd w:id="266"/>
      <w:bookmarkEnd w:id="267"/>
    </w:p>
    <w:p w14:paraId="04573EB2">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投标人代表对开标过程和开标记录有疑义，以及认为采购人、采购代理机构相关工作人员有需要回避的情形的，应在开标会议中提出询问或者回避申请。采购人、采购代理机构对投标人授权代表提出的询问或者回避申请应当及时处理。</w:t>
      </w:r>
    </w:p>
    <w:p w14:paraId="4E69EE01">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.2投标人未参加开标的，视同认可开标结果。</w:t>
      </w:r>
    </w:p>
    <w:p w14:paraId="55D243EF">
      <w:pPr>
        <w:pStyle w:val="4"/>
        <w:keepNext w:val="0"/>
        <w:keepLines w:val="0"/>
        <w:pageBreakBefore w:val="0"/>
        <w:widowControl w:val="0"/>
        <w:numPr>
          <w:ilvl w:val="0"/>
          <w:numId w:val="0"/>
        </w:numPr>
        <w:kinsoku/>
        <w:wordWrap/>
        <w:overflowPunct/>
        <w:topLinePunct w:val="0"/>
        <w:autoSpaceDE/>
        <w:autoSpaceDN/>
        <w:bidi w:val="0"/>
        <w:adjustRightInd/>
        <w:snapToGrid/>
        <w:spacing w:before="120" w:after="12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268" w:name="_Toc140132785"/>
      <w:bookmarkStart w:id="269" w:name="_Toc9049"/>
      <w:bookmarkStart w:id="270" w:name="_Toc22271"/>
      <w:bookmarkStart w:id="271" w:name="_Toc163492854"/>
      <w:bookmarkStart w:id="272" w:name="_Toc15018"/>
      <w:bookmarkStart w:id="273" w:name="_Toc155185877"/>
      <w:r>
        <w:rPr>
          <w:rFonts w:hint="eastAsia" w:ascii="宋体" w:hAnsi="宋体" w:eastAsia="宋体" w:cs="宋体"/>
          <w:b/>
          <w:bCs/>
          <w:color w:val="auto"/>
          <w:kern w:val="2"/>
          <w:sz w:val="24"/>
          <w:szCs w:val="24"/>
          <w:highlight w:val="none"/>
          <w:lang w:val="en-US" w:eastAsia="zh-CN" w:bidi="ar-SA"/>
        </w:rPr>
        <w:t>（六）资格审查</w:t>
      </w:r>
      <w:bookmarkEnd w:id="268"/>
      <w:bookmarkEnd w:id="269"/>
      <w:bookmarkEnd w:id="270"/>
      <w:bookmarkEnd w:id="271"/>
      <w:bookmarkEnd w:id="272"/>
      <w:bookmarkEnd w:id="273"/>
    </w:p>
    <w:p w14:paraId="2C1B5FD6">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274" w:name="_Toc16245"/>
      <w:bookmarkStart w:id="275" w:name="_Toc163492855"/>
      <w:bookmarkStart w:id="276" w:name="_Toc9539"/>
      <w:bookmarkStart w:id="277" w:name="_Toc507"/>
      <w:r>
        <w:rPr>
          <w:rFonts w:hint="eastAsia" w:ascii="宋体" w:hAnsi="宋体" w:eastAsia="宋体" w:cs="宋体"/>
          <w:b/>
          <w:bCs/>
          <w:color w:val="auto"/>
          <w:kern w:val="2"/>
          <w:sz w:val="24"/>
          <w:szCs w:val="24"/>
          <w:highlight w:val="none"/>
          <w:lang w:val="en-US" w:eastAsia="zh-CN" w:bidi="ar-SA"/>
        </w:rPr>
        <w:t>27.资格审查及审查主体</w:t>
      </w:r>
      <w:bookmarkEnd w:id="274"/>
      <w:bookmarkEnd w:id="275"/>
      <w:bookmarkEnd w:id="276"/>
      <w:bookmarkEnd w:id="277"/>
    </w:p>
    <w:p w14:paraId="3F6E8AD4">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bookmarkStart w:id="278" w:name="_Toc140132786"/>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.1</w:t>
      </w:r>
      <w:bookmarkEnd w:id="278"/>
      <w:r>
        <w:rPr>
          <w:rFonts w:hint="eastAsia" w:ascii="宋体" w:hAnsi="宋体" w:eastAsia="宋体" w:cs="宋体"/>
          <w:color w:val="auto"/>
          <w:sz w:val="24"/>
          <w:szCs w:val="24"/>
          <w:highlight w:val="none"/>
        </w:rPr>
        <w:t>开标结束后，采购人或者采购代理机构应当依法对投标人的资格进行审查。</w:t>
      </w:r>
    </w:p>
    <w:p w14:paraId="6F7626D3">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bookmarkStart w:id="279" w:name="_Toc140132787"/>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.2资格审查按“第四章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资格审查”的规定进行。</w:t>
      </w:r>
      <w:bookmarkEnd w:id="279"/>
    </w:p>
    <w:p w14:paraId="44D43B82">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bookmarkStart w:id="280" w:name="_Toc140132788"/>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.3资格审查结束后，应及时对资格审查结果进行复核，对资格审查错误进行及时纠正并记录。</w:t>
      </w:r>
      <w:bookmarkEnd w:id="280"/>
    </w:p>
    <w:p w14:paraId="272F167A">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27.4</w:t>
      </w:r>
      <w:r>
        <w:rPr>
          <w:rFonts w:hint="eastAsia" w:ascii="宋体" w:hAnsi="宋体" w:eastAsia="宋体" w:cs="宋体"/>
          <w:color w:val="auto"/>
          <w:sz w:val="24"/>
          <w:szCs w:val="24"/>
          <w:highlight w:val="none"/>
        </w:rPr>
        <w:t>资格审查合格投标人不足3家的，不得评标。</w:t>
      </w:r>
    </w:p>
    <w:p w14:paraId="7A1F7D21">
      <w:pPr>
        <w:pStyle w:val="4"/>
        <w:keepNext w:val="0"/>
        <w:keepLines w:val="0"/>
        <w:pageBreakBefore w:val="0"/>
        <w:widowControl w:val="0"/>
        <w:numPr>
          <w:ilvl w:val="0"/>
          <w:numId w:val="0"/>
        </w:numPr>
        <w:kinsoku/>
        <w:wordWrap/>
        <w:overflowPunct/>
        <w:topLinePunct w:val="0"/>
        <w:autoSpaceDE/>
        <w:autoSpaceDN/>
        <w:bidi w:val="0"/>
        <w:adjustRightInd/>
        <w:snapToGrid/>
        <w:spacing w:before="120" w:after="12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281" w:name="_Toc163492856"/>
      <w:bookmarkStart w:id="282" w:name="_Toc9489"/>
      <w:bookmarkStart w:id="283" w:name="_Toc3464"/>
      <w:bookmarkStart w:id="284" w:name="_Toc11390"/>
      <w:bookmarkStart w:id="285" w:name="_Toc155185878"/>
      <w:bookmarkStart w:id="286" w:name="_Toc140132789"/>
      <w:r>
        <w:rPr>
          <w:rFonts w:hint="eastAsia" w:ascii="宋体" w:hAnsi="宋体" w:eastAsia="宋体" w:cs="宋体"/>
          <w:b/>
          <w:bCs/>
          <w:color w:val="auto"/>
          <w:kern w:val="2"/>
          <w:sz w:val="24"/>
          <w:szCs w:val="24"/>
          <w:highlight w:val="none"/>
          <w:lang w:val="en-US" w:eastAsia="zh-CN" w:bidi="ar-SA"/>
        </w:rPr>
        <w:t>（七）评标</w:t>
      </w:r>
      <w:bookmarkEnd w:id="281"/>
      <w:bookmarkEnd w:id="282"/>
      <w:bookmarkEnd w:id="283"/>
      <w:bookmarkEnd w:id="284"/>
      <w:bookmarkEnd w:id="285"/>
      <w:bookmarkEnd w:id="286"/>
    </w:p>
    <w:p w14:paraId="7EBE7ABE">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287" w:name="_Toc195"/>
      <w:bookmarkStart w:id="288" w:name="_Toc13920"/>
      <w:bookmarkStart w:id="289" w:name="_Toc140132790"/>
      <w:bookmarkStart w:id="290" w:name="_Toc14310"/>
      <w:bookmarkStart w:id="291" w:name="_Toc163492857"/>
      <w:r>
        <w:rPr>
          <w:rFonts w:hint="eastAsia" w:ascii="宋体" w:hAnsi="宋体" w:eastAsia="宋体" w:cs="宋体"/>
          <w:b/>
          <w:bCs/>
          <w:color w:val="auto"/>
          <w:kern w:val="2"/>
          <w:sz w:val="24"/>
          <w:szCs w:val="24"/>
          <w:highlight w:val="none"/>
          <w:lang w:val="en-US" w:eastAsia="zh-CN" w:bidi="ar-SA"/>
        </w:rPr>
        <w:t>28.评标委员会</w:t>
      </w:r>
      <w:bookmarkEnd w:id="287"/>
      <w:bookmarkEnd w:id="288"/>
      <w:bookmarkEnd w:id="289"/>
      <w:bookmarkEnd w:id="290"/>
      <w:bookmarkEnd w:id="291"/>
    </w:p>
    <w:p w14:paraId="1EA2B13D">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.1 评标由采购人依法组建的评标委员会负责。评标委员会由采购人代表和评审专家组成</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成员人数应当为5</w:t>
      </w:r>
      <w:r>
        <w:rPr>
          <w:rFonts w:hint="eastAsia" w:ascii="宋体" w:hAnsi="宋体" w:eastAsia="宋体" w:cs="宋体"/>
          <w:color w:val="auto"/>
          <w:sz w:val="24"/>
          <w:szCs w:val="24"/>
          <w:highlight w:val="none"/>
        </w:rPr>
        <w:t>人以上单数，其中</w:t>
      </w:r>
      <w:r>
        <w:rPr>
          <w:rFonts w:hint="eastAsia" w:ascii="宋体" w:hAnsi="宋体" w:eastAsia="宋体" w:cs="宋体"/>
          <w:color w:val="auto"/>
          <w:sz w:val="24"/>
          <w:szCs w:val="24"/>
          <w:highlight w:val="none"/>
          <w:lang w:val="en-US" w:eastAsia="zh-CN"/>
        </w:rPr>
        <w:t>评审</w:t>
      </w:r>
      <w:r>
        <w:rPr>
          <w:rFonts w:hint="eastAsia" w:ascii="宋体" w:hAnsi="宋体" w:eastAsia="宋体" w:cs="宋体"/>
          <w:color w:val="auto"/>
          <w:sz w:val="24"/>
          <w:szCs w:val="24"/>
          <w:highlight w:val="none"/>
        </w:rPr>
        <w:t>专家不</w:t>
      </w:r>
      <w:r>
        <w:rPr>
          <w:rFonts w:hint="eastAsia" w:ascii="宋体" w:hAnsi="宋体" w:eastAsia="宋体" w:cs="宋体"/>
          <w:color w:val="auto"/>
          <w:sz w:val="24"/>
          <w:szCs w:val="24"/>
          <w:highlight w:val="none"/>
          <w:lang w:val="en-US" w:eastAsia="zh-CN"/>
        </w:rPr>
        <w:t>得</w:t>
      </w:r>
      <w:r>
        <w:rPr>
          <w:rFonts w:hint="eastAsia" w:ascii="宋体" w:hAnsi="宋体" w:eastAsia="宋体" w:cs="宋体"/>
          <w:color w:val="auto"/>
          <w:sz w:val="24"/>
          <w:szCs w:val="24"/>
          <w:highlight w:val="none"/>
        </w:rPr>
        <w:t>少于</w:t>
      </w:r>
      <w:r>
        <w:rPr>
          <w:rFonts w:hint="eastAsia" w:ascii="宋体" w:hAnsi="宋体" w:eastAsia="宋体" w:cs="宋体"/>
          <w:color w:val="auto"/>
          <w:sz w:val="24"/>
          <w:szCs w:val="24"/>
          <w:highlight w:val="none"/>
          <w:lang w:val="en-US" w:eastAsia="zh-CN"/>
        </w:rPr>
        <w:t>成员总数的</w:t>
      </w:r>
      <w:r>
        <w:rPr>
          <w:rFonts w:hint="eastAsia" w:ascii="宋体" w:hAnsi="宋体" w:eastAsia="宋体" w:cs="宋体"/>
          <w:color w:val="auto"/>
          <w:sz w:val="24"/>
          <w:szCs w:val="24"/>
          <w:highlight w:val="none"/>
        </w:rPr>
        <w:t>三分之二。</w:t>
      </w:r>
      <w:r>
        <w:rPr>
          <w:rFonts w:hint="eastAsia" w:ascii="宋体" w:hAnsi="宋体" w:eastAsia="宋体" w:cs="宋体"/>
          <w:color w:val="auto"/>
          <w:sz w:val="24"/>
          <w:szCs w:val="24"/>
          <w:highlight w:val="none"/>
          <w:lang w:val="en-US" w:eastAsia="zh-CN"/>
        </w:rPr>
        <w:t>采购人或者采购代理机构应当从省级以上财政部门设立的政府采购评审专家库中，通过随机方式抽取评审专家。</w:t>
      </w:r>
    </w:p>
    <w:p w14:paraId="32DE7801">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28.2 采购项目符合下列情形之一的，评标委员会成员人数应当为7人以上单数：</w:t>
      </w:r>
    </w:p>
    <w:p w14:paraId="05C639B0">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（1）采购预算金额在1000万元以上；</w:t>
      </w:r>
    </w:p>
    <w:p w14:paraId="67DFE620">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（2）技术复杂；</w:t>
      </w:r>
    </w:p>
    <w:p w14:paraId="6B9FB10B">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（3）社会影响较大。</w:t>
      </w:r>
    </w:p>
    <w:p w14:paraId="4590A674">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28.3评审专家对本单位的采购项目只能作为采购人代表参与评标，对技术复杂、专业性强的采购项目，通过随机方式难以确定合适评审专家的，经主管预算单位同意，采购人可以自行选定相应专业领域的评审专家。采购代理机构工作人员不得参加由本机构代理的政府采购项目的评标。</w:t>
      </w:r>
    </w:p>
    <w:p w14:paraId="16E92807">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28.4评标委员会成员名单在评标结果公告前应当保密。</w:t>
      </w:r>
    </w:p>
    <w:p w14:paraId="2F8842E2">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28.5评标中因评标委员会成员缺席、回避或者健康等特殊原因导致评标委员会组成不符合本办法规定的，采购人或者采购代理机构应当依法补足后继续评标。被更换的评标委员会成员所作出的评标意见无效。</w:t>
      </w:r>
    </w:p>
    <w:p w14:paraId="28948BF7">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28.6无法及时补足评标委员会成员的，采购人或者采购代理机构应当停止评标活动，封存所有投标文件和开标、评标资料，依法重新组建评标委员会进行评标。原评标委员会所作出的评标意见无效。</w:t>
      </w:r>
    </w:p>
    <w:p w14:paraId="320EF104">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 xml:space="preserve"> 评标委员会成员有下列情形之一的，应当回避：</w:t>
      </w:r>
    </w:p>
    <w:p w14:paraId="53666710">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（1）参加采购活动前3年内与投标人存在劳动关系；</w:t>
      </w:r>
    </w:p>
    <w:p w14:paraId="4B33BA4E">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（2）参加采购活动前3年内担任投标人的董事、监事；</w:t>
      </w:r>
    </w:p>
    <w:p w14:paraId="271CA224">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（3）参加采购活动前3年内是投标人的控股股东或实际控制人；</w:t>
      </w:r>
    </w:p>
    <w:p w14:paraId="0F31540C">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（4）与投标人的法定代表人或者负责人有夫妻、直系血亲、三代以内旁系血亲或者近姻亲关系；</w:t>
      </w:r>
    </w:p>
    <w:p w14:paraId="20FB9B78">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（5）与投标人有其他可能影响采购活动公平、公正进行的关系。</w:t>
      </w:r>
    </w:p>
    <w:p w14:paraId="25BEA5A7">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292" w:name="_Toc163492858"/>
      <w:bookmarkStart w:id="293" w:name="_Toc140132791"/>
      <w:bookmarkStart w:id="294" w:name="_Toc7854"/>
      <w:bookmarkStart w:id="295" w:name="_Toc167"/>
      <w:bookmarkStart w:id="296" w:name="_Toc4052"/>
      <w:r>
        <w:rPr>
          <w:rFonts w:hint="eastAsia" w:ascii="宋体" w:hAnsi="宋体" w:eastAsia="宋体" w:cs="宋体"/>
          <w:b/>
          <w:bCs/>
          <w:color w:val="auto"/>
          <w:kern w:val="2"/>
          <w:sz w:val="24"/>
          <w:szCs w:val="24"/>
          <w:highlight w:val="none"/>
          <w:lang w:val="en-US" w:eastAsia="zh-CN" w:bidi="ar-SA"/>
        </w:rPr>
        <w:t>29.评标</w:t>
      </w:r>
      <w:bookmarkEnd w:id="292"/>
      <w:bookmarkEnd w:id="293"/>
      <w:bookmarkEnd w:id="294"/>
      <w:bookmarkEnd w:id="295"/>
      <w:bookmarkEnd w:id="296"/>
    </w:p>
    <w:p w14:paraId="6D0B095D">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29</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 xml:space="preserve"> 评标方法分为综合评分法和</w:t>
      </w:r>
      <w:r>
        <w:rPr>
          <w:rFonts w:hint="eastAsia" w:ascii="宋体" w:hAnsi="宋体" w:eastAsia="宋体" w:cs="宋体"/>
          <w:color w:val="auto"/>
          <w:sz w:val="24"/>
          <w:szCs w:val="24"/>
          <w:highlight w:val="none"/>
        </w:rPr>
        <w:t>最低评标价法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本项目评标</w:t>
      </w:r>
      <w:r>
        <w:rPr>
          <w:rFonts w:hint="eastAsia" w:ascii="宋体" w:hAnsi="宋体" w:eastAsia="宋体" w:cs="宋体"/>
          <w:color w:val="auto"/>
          <w:sz w:val="24"/>
          <w:szCs w:val="24"/>
          <w:highlight w:val="none"/>
          <w:lang w:val="en-US" w:eastAsia="zh-CN"/>
        </w:rPr>
        <w:t>方法详见</w:t>
      </w:r>
      <w:r>
        <w:rPr>
          <w:rFonts w:hint="eastAsia" w:ascii="宋体" w:hAnsi="宋体" w:eastAsia="宋体" w:cs="宋体"/>
          <w:color w:val="auto"/>
          <w:sz w:val="24"/>
          <w:szCs w:val="24"/>
          <w:highlight w:val="none"/>
        </w:rPr>
        <w:t>“投标人须知前附表”</w:t>
      </w:r>
      <w:r>
        <w:rPr>
          <w:rFonts w:hint="eastAsia" w:ascii="宋体" w:hAnsi="宋体" w:eastAsia="宋体" w:cs="宋体"/>
          <w:color w:val="auto"/>
          <w:sz w:val="24"/>
          <w:szCs w:val="24"/>
          <w:highlight w:val="none"/>
          <w:lang w:eastAsia="zh-CN"/>
        </w:rPr>
        <w:t>。</w:t>
      </w:r>
    </w:p>
    <w:p w14:paraId="2BC22B3E">
      <w:pPr>
        <w:pStyle w:val="3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9.1.1</w:t>
      </w:r>
      <w:r>
        <w:rPr>
          <w:rFonts w:hint="eastAsia" w:ascii="宋体" w:hAnsi="宋体" w:eastAsia="宋体" w:cs="宋体"/>
          <w:color w:val="auto"/>
          <w:sz w:val="24"/>
          <w:szCs w:val="24"/>
          <w:highlight w:val="none"/>
        </w:rPr>
        <w:t>综合评分法，是指投标文件满足招标文件全部实质性要求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且按照评审因素的量化指标评审得分最高的投标人为中标候选人的评标方法。</w:t>
      </w:r>
    </w:p>
    <w:p w14:paraId="0E3867EE">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29.1.2.</w:t>
      </w:r>
      <w:r>
        <w:rPr>
          <w:rFonts w:hint="eastAsia" w:ascii="宋体" w:hAnsi="宋体" w:eastAsia="宋体" w:cs="宋体"/>
          <w:color w:val="auto"/>
          <w:sz w:val="24"/>
          <w:szCs w:val="24"/>
          <w:highlight w:val="none"/>
        </w:rPr>
        <w:t>最低评标价法，是指投标文件满足招标文件全部实质性要求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且投标报价最低的投标人为中标候选人的评标方法。</w:t>
      </w:r>
    </w:p>
    <w:p w14:paraId="418DE4CD">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29</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2 </w:t>
      </w:r>
      <w:r>
        <w:rPr>
          <w:rFonts w:hint="eastAsia" w:ascii="宋体" w:hAnsi="宋体" w:eastAsia="宋体" w:cs="宋体"/>
          <w:color w:val="auto"/>
          <w:sz w:val="24"/>
          <w:szCs w:val="24"/>
          <w:highlight w:val="none"/>
        </w:rPr>
        <w:t>评标委员会按照“第五章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评标</w:t>
      </w:r>
      <w:r>
        <w:rPr>
          <w:rFonts w:hint="eastAsia" w:ascii="宋体" w:hAnsi="宋体" w:eastAsia="宋体" w:cs="宋体"/>
          <w:color w:val="auto"/>
          <w:sz w:val="24"/>
          <w:szCs w:val="24"/>
          <w:highlight w:val="none"/>
          <w:lang w:val="en-US" w:eastAsia="zh-CN"/>
        </w:rPr>
        <w:t>方</w:t>
      </w:r>
      <w:r>
        <w:rPr>
          <w:rFonts w:hint="eastAsia" w:ascii="宋体" w:hAnsi="宋体" w:eastAsia="宋体" w:cs="宋体"/>
          <w:color w:val="auto"/>
          <w:sz w:val="24"/>
          <w:szCs w:val="24"/>
          <w:highlight w:val="none"/>
        </w:rPr>
        <w:t>法及标准”</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规定对投标文件进行评审。“第五章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评标</w:t>
      </w:r>
      <w:r>
        <w:rPr>
          <w:rFonts w:hint="eastAsia" w:ascii="宋体" w:hAnsi="宋体" w:eastAsia="宋体" w:cs="宋体"/>
          <w:color w:val="auto"/>
          <w:sz w:val="24"/>
          <w:szCs w:val="24"/>
          <w:highlight w:val="none"/>
          <w:lang w:val="en-US" w:eastAsia="zh-CN"/>
        </w:rPr>
        <w:t>方</w:t>
      </w:r>
      <w:r>
        <w:rPr>
          <w:rFonts w:hint="eastAsia" w:ascii="宋体" w:hAnsi="宋体" w:eastAsia="宋体" w:cs="宋体"/>
          <w:color w:val="auto"/>
          <w:sz w:val="24"/>
          <w:szCs w:val="24"/>
          <w:highlight w:val="none"/>
        </w:rPr>
        <w:t>法及标准”没有规定的方法、评审因素和标准，不作为评标依据。</w:t>
      </w:r>
    </w:p>
    <w:p w14:paraId="1A9007D8">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29</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3 </w:t>
      </w:r>
      <w:r>
        <w:rPr>
          <w:rFonts w:hint="eastAsia" w:ascii="宋体" w:hAnsi="宋体" w:eastAsia="宋体" w:cs="宋体"/>
          <w:color w:val="auto"/>
          <w:sz w:val="24"/>
          <w:szCs w:val="24"/>
          <w:highlight w:val="none"/>
        </w:rPr>
        <w:t>评标委员会按“投标人须知前附表”规定的中标候选人数量在评标报告中向采购人推荐中标候选人。</w:t>
      </w:r>
    </w:p>
    <w:p w14:paraId="1E63454C">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29.4 开标之后，直到签订合同止，凡是属于审查、澄清、评价和比较投标的有关资料以及定标意向等，均不得向投标人或者其他与评标无关的人员透露。</w:t>
      </w:r>
    </w:p>
    <w:p w14:paraId="57927CBE">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29.5 在确定中标人之前，投标人试图在投标文件审查、澄清、比较和评标时对评标委员会、采购人和采购代理机构施加任何影响都可能导致其</w:t>
      </w:r>
      <w:r>
        <w:rPr>
          <w:rFonts w:hint="eastAsia" w:ascii="宋体" w:hAnsi="宋体" w:eastAsia="宋体" w:cs="宋体"/>
          <w:b/>
          <w:bCs/>
          <w:color w:val="auto"/>
          <w:sz w:val="24"/>
          <w:szCs w:val="24"/>
          <w:highlight w:val="none"/>
          <w:lang w:val="en-US" w:eastAsia="zh-CN"/>
        </w:rPr>
        <w:t>投标无效</w:t>
      </w:r>
      <w:r>
        <w:rPr>
          <w:rFonts w:hint="eastAsia" w:ascii="宋体" w:hAnsi="宋体" w:eastAsia="宋体" w:cs="宋体"/>
          <w:color w:val="auto"/>
          <w:sz w:val="24"/>
          <w:szCs w:val="24"/>
          <w:highlight w:val="none"/>
          <w:lang w:val="en-US" w:eastAsia="zh-CN"/>
        </w:rPr>
        <w:t>。</w:t>
      </w:r>
    </w:p>
    <w:p w14:paraId="32A32003">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29.6 电子招投标的应急措施</w:t>
      </w:r>
    </w:p>
    <w:p w14:paraId="52525CD6">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29.6.1电子开标、评标如出现下列原因，导致系统无法正常运行或无法正常评标时，应采取应急措施。</w:t>
      </w:r>
    </w:p>
    <w:p w14:paraId="3D99F562">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（1）系统服务器发生故障，无法访问或无法使用系统；</w:t>
      </w:r>
    </w:p>
    <w:p w14:paraId="518B308A">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（2）系统的软件或数据库出现错误，不能进行正常操作；</w:t>
      </w:r>
    </w:p>
    <w:p w14:paraId="657BA7B3">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（3）系统发现有安全漏洞，有潜在的泄密危险；</w:t>
      </w:r>
    </w:p>
    <w:p w14:paraId="26B15397">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（4）病毒发作或受到外来病毒的攻击；</w:t>
      </w:r>
    </w:p>
    <w:p w14:paraId="6BCA43D9">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（5）出现其他不可抗拒的客观原因造成开评标系统无法正常使用。</w:t>
      </w:r>
    </w:p>
    <w:p w14:paraId="2BA3CE00">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出现上述情况时，应对未开标的暂停开标。已在系统内开标、评标的立即停止。采取应急措施时，必须对原有资料及信息作出妥善保密处理。</w:t>
      </w:r>
    </w:p>
    <w:p w14:paraId="791CC4F0">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29.6.2因系统原因导致投标人均无法解密电子投标文件时，采购代理机构可在开标现场直接导入投标人在投标截止时间前递交的未加密的电子投标文件进行开标、评标。</w:t>
      </w:r>
    </w:p>
    <w:p w14:paraId="28CD45E0">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29.7 投标人瑕疵滞后发现的处理规则</w:t>
      </w:r>
    </w:p>
    <w:p w14:paraId="11E85EAD">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29.7.1无论基于何种原因，各项本应作</w:t>
      </w:r>
      <w:r>
        <w:rPr>
          <w:rFonts w:hint="eastAsia" w:ascii="宋体" w:hAnsi="宋体" w:eastAsia="宋体" w:cs="宋体"/>
          <w:b/>
          <w:bCs/>
          <w:color w:val="auto"/>
          <w:sz w:val="24"/>
          <w:szCs w:val="24"/>
          <w:highlight w:val="none"/>
          <w:lang w:val="en-US" w:eastAsia="zh-CN"/>
        </w:rPr>
        <w:t>无效投标</w:t>
      </w:r>
      <w:r>
        <w:rPr>
          <w:rFonts w:hint="eastAsia" w:ascii="宋体" w:hAnsi="宋体" w:eastAsia="宋体" w:cs="宋体"/>
          <w:color w:val="auto"/>
          <w:sz w:val="24"/>
          <w:szCs w:val="24"/>
          <w:highlight w:val="none"/>
          <w:lang w:val="en-US" w:eastAsia="zh-CN"/>
        </w:rPr>
        <w:t>处理的情形即便未被及时发现而使该投标人进入初审、综合评审或其他后续程序，包括已经签订合同的情形，一旦该投标人的投标作无效投标处理或该投标人的此前评议结果被取消，其现有的位置将被其他投标人依序替代，相关的一切损失均由该投标人承担。</w:t>
      </w:r>
    </w:p>
    <w:p w14:paraId="34027149">
      <w:pPr>
        <w:pStyle w:val="4"/>
        <w:keepNext w:val="0"/>
        <w:keepLines w:val="0"/>
        <w:pageBreakBefore w:val="0"/>
        <w:widowControl w:val="0"/>
        <w:numPr>
          <w:ilvl w:val="0"/>
          <w:numId w:val="0"/>
        </w:numPr>
        <w:kinsoku/>
        <w:wordWrap/>
        <w:overflowPunct/>
        <w:topLinePunct w:val="0"/>
        <w:autoSpaceDE/>
        <w:autoSpaceDN/>
        <w:bidi w:val="0"/>
        <w:adjustRightInd/>
        <w:snapToGrid/>
        <w:spacing w:before="120" w:after="12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297" w:name="_Toc24173"/>
      <w:bookmarkStart w:id="298" w:name="_Toc16712"/>
      <w:bookmarkStart w:id="299" w:name="_Toc140132792"/>
      <w:bookmarkStart w:id="300" w:name="_Toc155185879"/>
      <w:bookmarkStart w:id="301" w:name="_Toc163492859"/>
      <w:bookmarkStart w:id="302" w:name="_Toc11591"/>
      <w:r>
        <w:rPr>
          <w:rFonts w:hint="eastAsia" w:ascii="宋体" w:hAnsi="宋体" w:eastAsia="宋体" w:cs="宋体"/>
          <w:b/>
          <w:bCs/>
          <w:color w:val="auto"/>
          <w:kern w:val="2"/>
          <w:sz w:val="24"/>
          <w:szCs w:val="24"/>
          <w:highlight w:val="none"/>
          <w:lang w:val="en-US" w:eastAsia="zh-CN" w:bidi="ar-SA"/>
        </w:rPr>
        <w:t>（八）中标</w:t>
      </w:r>
      <w:bookmarkEnd w:id="297"/>
      <w:bookmarkEnd w:id="298"/>
      <w:bookmarkEnd w:id="299"/>
      <w:bookmarkEnd w:id="300"/>
      <w:bookmarkEnd w:id="301"/>
      <w:bookmarkEnd w:id="302"/>
    </w:p>
    <w:p w14:paraId="37B6B950">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303" w:name="_Toc163492860"/>
      <w:bookmarkStart w:id="304" w:name="_Toc5728"/>
      <w:bookmarkStart w:id="305" w:name="_Toc11832"/>
      <w:bookmarkStart w:id="306" w:name="_Toc18980"/>
      <w:bookmarkStart w:id="307" w:name="_Toc140132793"/>
      <w:r>
        <w:rPr>
          <w:rFonts w:hint="eastAsia" w:ascii="宋体" w:hAnsi="宋体" w:eastAsia="宋体" w:cs="宋体"/>
          <w:b/>
          <w:bCs/>
          <w:color w:val="auto"/>
          <w:kern w:val="2"/>
          <w:sz w:val="24"/>
          <w:szCs w:val="24"/>
          <w:highlight w:val="none"/>
          <w:lang w:val="en-US" w:eastAsia="zh-CN" w:bidi="ar-SA"/>
        </w:rPr>
        <w:t>30.确定中标人</w:t>
      </w:r>
      <w:bookmarkEnd w:id="303"/>
      <w:bookmarkEnd w:id="304"/>
      <w:bookmarkEnd w:id="305"/>
      <w:bookmarkEnd w:id="306"/>
      <w:bookmarkEnd w:id="307"/>
    </w:p>
    <w:p w14:paraId="23CC2B81">
      <w:pPr>
        <w:keepNext w:val="0"/>
        <w:keepLines w:val="0"/>
        <w:pageBreakBefore w:val="0"/>
        <w:widowControl w:val="0"/>
        <w:suppressLineNumbers w:val="0"/>
        <w:kinsoku/>
        <w:overflowPunct/>
        <w:topLinePunct w:val="0"/>
        <w:autoSpaceDE/>
        <w:autoSpaceDN/>
        <w:bidi w:val="0"/>
        <w:adjustRightInd/>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lang w:val="en-US" w:eastAsia="zh-CN"/>
        </w:rPr>
        <w:t>30.1</w:t>
      </w:r>
      <w:r>
        <w:rPr>
          <w:rFonts w:hint="eastAsia" w:ascii="宋体" w:hAnsi="宋体" w:eastAsia="宋体" w:cs="宋体"/>
          <w:color w:val="auto"/>
          <w:kern w:val="0"/>
          <w:sz w:val="24"/>
          <w:szCs w:val="24"/>
          <w:highlight w:val="none"/>
          <w:lang w:val="en-US" w:eastAsia="zh-CN" w:bidi="ar"/>
        </w:rPr>
        <w:t>采购人将在评标报告确定的中标候选人名单中按顺序确定中标人，中标候选人并列的，按照</w:t>
      </w:r>
      <w:r>
        <w:rPr>
          <w:rFonts w:hint="eastAsia" w:ascii="宋体" w:hAnsi="宋体" w:eastAsia="宋体" w:cs="宋体"/>
          <w:color w:val="auto"/>
          <w:sz w:val="24"/>
          <w:szCs w:val="24"/>
          <w:highlight w:val="none"/>
        </w:rPr>
        <w:t>“投标人须知前附表”</w:t>
      </w:r>
      <w:r>
        <w:rPr>
          <w:rFonts w:hint="eastAsia" w:ascii="宋体" w:hAnsi="宋体" w:eastAsia="宋体" w:cs="宋体"/>
          <w:color w:val="auto"/>
          <w:kern w:val="0"/>
          <w:sz w:val="24"/>
          <w:szCs w:val="24"/>
          <w:highlight w:val="none"/>
          <w:lang w:val="en-US" w:eastAsia="zh-CN" w:bidi="ar"/>
        </w:rPr>
        <w:t>确定中标人；招标文件未规定的，采取随机抽取的方式确定。采购人是否委托评标委员会直接确定中标人，见</w:t>
      </w:r>
      <w:r>
        <w:rPr>
          <w:rFonts w:hint="eastAsia" w:ascii="宋体" w:hAnsi="宋体" w:eastAsia="宋体" w:cs="宋体"/>
          <w:color w:val="auto"/>
          <w:sz w:val="24"/>
          <w:szCs w:val="24"/>
          <w:highlight w:val="none"/>
        </w:rPr>
        <w:t>“投标人须知前附表”</w:t>
      </w:r>
      <w:r>
        <w:rPr>
          <w:rFonts w:hint="eastAsia" w:ascii="宋体" w:hAnsi="宋体" w:eastAsia="宋体" w:cs="宋体"/>
          <w:color w:val="auto"/>
          <w:kern w:val="0"/>
          <w:sz w:val="24"/>
          <w:szCs w:val="24"/>
          <w:highlight w:val="none"/>
          <w:lang w:val="en-US" w:eastAsia="zh-CN" w:bidi="ar"/>
        </w:rPr>
        <w:t>。</w:t>
      </w:r>
    </w:p>
    <w:p w14:paraId="18971451">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308" w:name="_Toc140132794"/>
      <w:bookmarkStart w:id="309" w:name="_Toc163492861"/>
      <w:bookmarkStart w:id="310" w:name="_Toc15642"/>
      <w:bookmarkStart w:id="311" w:name="_Toc16181"/>
      <w:bookmarkStart w:id="312" w:name="_Toc6680"/>
      <w:r>
        <w:rPr>
          <w:rFonts w:hint="eastAsia" w:ascii="宋体" w:hAnsi="宋体" w:eastAsia="宋体" w:cs="宋体"/>
          <w:b/>
          <w:bCs/>
          <w:color w:val="auto"/>
          <w:kern w:val="2"/>
          <w:sz w:val="24"/>
          <w:szCs w:val="24"/>
          <w:highlight w:val="none"/>
          <w:lang w:val="en-US" w:eastAsia="zh-CN" w:bidi="ar-SA"/>
        </w:rPr>
        <w:t>31.中标结果公告</w:t>
      </w:r>
      <w:bookmarkEnd w:id="308"/>
      <w:bookmarkEnd w:id="309"/>
      <w:bookmarkEnd w:id="310"/>
      <w:bookmarkEnd w:id="311"/>
      <w:bookmarkEnd w:id="312"/>
    </w:p>
    <w:p w14:paraId="5975ECA2">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3</w:t>
      </w:r>
      <w:r>
        <w:rPr>
          <w:rFonts w:hint="eastAsia" w:ascii="宋体" w:hAnsi="宋体" w:eastAsia="宋体" w:cs="宋体"/>
          <w:bCs/>
          <w:color w:val="auto"/>
          <w:sz w:val="24"/>
          <w:szCs w:val="24"/>
          <w:highlight w:val="none"/>
          <w:lang w:val="en-US" w:eastAsia="zh-CN"/>
        </w:rPr>
        <w:t>1</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采购人或</w:t>
      </w:r>
      <w:r>
        <w:rPr>
          <w:rFonts w:hint="eastAsia" w:ascii="宋体" w:hAnsi="宋体" w:eastAsia="宋体" w:cs="宋体"/>
          <w:color w:val="auto"/>
          <w:sz w:val="24"/>
          <w:szCs w:val="24"/>
          <w:highlight w:val="none"/>
        </w:rPr>
        <w:t>采购代理机构应当自中标人确定之日起2个工作日内，在</w:t>
      </w:r>
      <w:r>
        <w:rPr>
          <w:rFonts w:hint="eastAsia" w:ascii="宋体" w:hAnsi="宋体" w:eastAsia="宋体" w:cs="宋体"/>
          <w:color w:val="auto"/>
          <w:sz w:val="24"/>
          <w:szCs w:val="24"/>
          <w:highlight w:val="none"/>
          <w:lang w:val="en-US" w:eastAsia="zh-CN"/>
        </w:rPr>
        <w:t>发布招标公告的同一</w:t>
      </w:r>
      <w:r>
        <w:rPr>
          <w:rFonts w:hint="eastAsia" w:ascii="宋体" w:hAnsi="宋体" w:eastAsia="宋体" w:cs="宋体"/>
          <w:color w:val="auto"/>
          <w:sz w:val="24"/>
          <w:szCs w:val="24"/>
          <w:highlight w:val="none"/>
        </w:rPr>
        <w:t>媒体上发布中标结果公告，</w:t>
      </w:r>
      <w:r>
        <w:rPr>
          <w:rFonts w:hint="eastAsia" w:ascii="宋体" w:hAnsi="宋体" w:eastAsia="宋体" w:cs="宋体"/>
          <w:color w:val="auto"/>
          <w:sz w:val="24"/>
          <w:szCs w:val="24"/>
          <w:highlight w:val="none"/>
          <w:lang w:val="en-US" w:eastAsia="zh-CN"/>
        </w:rPr>
        <w:t>同时向中标人</w:t>
      </w:r>
      <w:r>
        <w:rPr>
          <w:rFonts w:hint="eastAsia" w:ascii="宋体" w:hAnsi="宋体" w:eastAsia="宋体" w:cs="宋体"/>
          <w:color w:val="auto"/>
          <w:sz w:val="24"/>
          <w:szCs w:val="24"/>
          <w:highlight w:val="none"/>
        </w:rPr>
        <w:t>发出中标通知书</w:t>
      </w:r>
      <w:r>
        <w:rPr>
          <w:rFonts w:hint="eastAsia" w:ascii="宋体" w:hAnsi="宋体" w:eastAsia="宋体" w:cs="宋体"/>
          <w:color w:val="auto"/>
          <w:sz w:val="24"/>
          <w:szCs w:val="24"/>
          <w:highlight w:val="none"/>
          <w:lang w:eastAsia="zh-CN"/>
        </w:rPr>
        <w:t>。招标文件随中标结果同时公告，</w:t>
      </w:r>
      <w:r>
        <w:rPr>
          <w:rFonts w:hint="eastAsia" w:ascii="宋体" w:hAnsi="宋体" w:eastAsia="宋体" w:cs="宋体"/>
          <w:color w:val="auto"/>
          <w:sz w:val="24"/>
          <w:szCs w:val="24"/>
          <w:highlight w:val="none"/>
        </w:rPr>
        <w:t>中标结果公告期限为1个工作日。</w:t>
      </w:r>
    </w:p>
    <w:p w14:paraId="5352A1FC">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3</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eastAsia="zh-CN"/>
        </w:rPr>
        <w:t>中标供应商为中小企业</w:t>
      </w:r>
      <w:r>
        <w:rPr>
          <w:rFonts w:hint="eastAsia" w:ascii="宋体" w:hAnsi="宋体" w:eastAsia="宋体" w:cs="宋体"/>
          <w:bCs/>
          <w:color w:val="auto"/>
          <w:sz w:val="24"/>
          <w:szCs w:val="24"/>
          <w:highlight w:val="none"/>
          <w:lang w:val="en-US" w:eastAsia="zh-CN"/>
        </w:rPr>
        <w:t>享受中小企业扶持政策的</w:t>
      </w:r>
      <w:r>
        <w:rPr>
          <w:rFonts w:hint="eastAsia" w:ascii="宋体" w:hAnsi="宋体" w:eastAsia="宋体" w:cs="宋体"/>
          <w:bCs/>
          <w:color w:val="auto"/>
          <w:sz w:val="24"/>
          <w:szCs w:val="24"/>
          <w:highlight w:val="none"/>
          <w:lang w:eastAsia="zh-CN"/>
        </w:rPr>
        <w:t>，其“中小企业声明函”随中标结果同时公告。中标供应商为残疾人福利性单位的，其“残疾人福利性单位声明函”随中标结果同时公告。</w:t>
      </w:r>
    </w:p>
    <w:p w14:paraId="3302A7DA">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31.3</w:t>
      </w:r>
      <w:r>
        <w:rPr>
          <w:rFonts w:hint="eastAsia" w:ascii="宋体" w:hAnsi="宋体" w:eastAsia="宋体" w:cs="宋体"/>
          <w:color w:val="auto"/>
          <w:sz w:val="24"/>
          <w:szCs w:val="24"/>
          <w:highlight w:val="none"/>
        </w:rPr>
        <w:t>项目采购采用最低评标价法的，公告中标结果时同时公告因落实政府采购政策等原因进行价格扣除后中标供应商的评审报价；项目采购采用综合评分法的，公告中标结果时同时公告中标供应商的评审总得分。</w:t>
      </w:r>
    </w:p>
    <w:p w14:paraId="24E8EB4D">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313" w:name="_Toc140132795"/>
      <w:bookmarkStart w:id="314" w:name="_Toc163492862"/>
      <w:bookmarkStart w:id="315" w:name="_Toc6163"/>
      <w:bookmarkStart w:id="316" w:name="_Toc19467"/>
      <w:bookmarkStart w:id="317" w:name="_Toc6353"/>
      <w:r>
        <w:rPr>
          <w:rFonts w:hint="eastAsia" w:ascii="宋体" w:hAnsi="宋体" w:eastAsia="宋体" w:cs="宋体"/>
          <w:b/>
          <w:bCs/>
          <w:color w:val="auto"/>
          <w:kern w:val="2"/>
          <w:sz w:val="24"/>
          <w:szCs w:val="24"/>
          <w:highlight w:val="none"/>
          <w:lang w:val="en-US" w:eastAsia="zh-CN" w:bidi="ar-SA"/>
        </w:rPr>
        <w:t>32.中标通知</w:t>
      </w:r>
      <w:bookmarkEnd w:id="313"/>
      <w:bookmarkEnd w:id="314"/>
      <w:bookmarkEnd w:id="315"/>
      <w:bookmarkEnd w:id="316"/>
      <w:bookmarkEnd w:id="317"/>
    </w:p>
    <w:p w14:paraId="41D33E18">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3</w:t>
      </w:r>
      <w:r>
        <w:rPr>
          <w:rFonts w:hint="eastAsia" w:ascii="宋体" w:hAnsi="宋体" w:eastAsia="宋体" w:cs="宋体"/>
          <w:bCs/>
          <w:color w:val="auto"/>
          <w:sz w:val="24"/>
          <w:szCs w:val="24"/>
          <w:highlight w:val="none"/>
          <w:lang w:val="en-US" w:eastAsia="zh-CN"/>
        </w:rPr>
        <w:t>2</w:t>
      </w:r>
      <w:r>
        <w:rPr>
          <w:rFonts w:hint="eastAsia" w:ascii="宋体" w:hAnsi="宋体" w:eastAsia="宋体" w:cs="宋体"/>
          <w:color w:val="auto"/>
          <w:sz w:val="24"/>
          <w:szCs w:val="24"/>
          <w:highlight w:val="none"/>
        </w:rPr>
        <w:t>.1采购人和采购代理机构以书面形式向中标人发出中标通知书，同时将招标结果通知未中标的投标人。对未通过资格审查的投标人，应当告知其未通过的原因；采用综合评分法评审的，还应当告知未中标人本人的评审得分与排序。</w:t>
      </w:r>
    </w:p>
    <w:p w14:paraId="67E9F9A5">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32.2中标通知书对采购人和中标供应商均具有法律效力。中标通知书发出后，采购人改变中标结果的，或者中标供应商放弃中标项目的，应当依法承担法律责任。</w:t>
      </w:r>
    </w:p>
    <w:p w14:paraId="004C264E">
      <w:pPr>
        <w:pStyle w:val="4"/>
        <w:keepNext w:val="0"/>
        <w:keepLines w:val="0"/>
        <w:pageBreakBefore w:val="0"/>
        <w:widowControl w:val="0"/>
        <w:numPr>
          <w:ilvl w:val="0"/>
          <w:numId w:val="0"/>
        </w:numPr>
        <w:kinsoku/>
        <w:wordWrap/>
        <w:overflowPunct/>
        <w:topLinePunct w:val="0"/>
        <w:autoSpaceDE/>
        <w:autoSpaceDN/>
        <w:bidi w:val="0"/>
        <w:adjustRightInd/>
        <w:snapToGrid/>
        <w:spacing w:before="120" w:after="12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318" w:name="_Toc30315"/>
      <w:bookmarkStart w:id="319" w:name="_Toc812"/>
      <w:bookmarkStart w:id="320" w:name="_Toc163492863"/>
      <w:bookmarkStart w:id="321" w:name="_Toc27187"/>
      <w:r>
        <w:rPr>
          <w:rFonts w:hint="eastAsia" w:ascii="宋体" w:hAnsi="宋体" w:eastAsia="宋体" w:cs="宋体"/>
          <w:b/>
          <w:bCs/>
          <w:color w:val="auto"/>
          <w:kern w:val="2"/>
          <w:sz w:val="24"/>
          <w:szCs w:val="24"/>
          <w:highlight w:val="none"/>
          <w:lang w:val="en-US" w:eastAsia="zh-CN" w:bidi="ar-SA"/>
        </w:rPr>
        <w:t>（九）签订</w:t>
      </w:r>
      <w:bookmarkStart w:id="322" w:name="_Toc155185880"/>
      <w:bookmarkStart w:id="323" w:name="_Toc140132796"/>
      <w:r>
        <w:rPr>
          <w:rFonts w:hint="eastAsia" w:ascii="宋体" w:hAnsi="宋体" w:eastAsia="宋体" w:cs="宋体"/>
          <w:b/>
          <w:bCs/>
          <w:color w:val="auto"/>
          <w:kern w:val="2"/>
          <w:sz w:val="24"/>
          <w:szCs w:val="24"/>
          <w:highlight w:val="none"/>
          <w:lang w:val="en-US" w:eastAsia="zh-CN" w:bidi="ar-SA"/>
        </w:rPr>
        <w:t>合同</w:t>
      </w:r>
      <w:bookmarkEnd w:id="318"/>
      <w:bookmarkEnd w:id="319"/>
      <w:bookmarkEnd w:id="320"/>
      <w:bookmarkEnd w:id="321"/>
      <w:bookmarkEnd w:id="322"/>
      <w:bookmarkEnd w:id="323"/>
    </w:p>
    <w:p w14:paraId="547E6B99">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324" w:name="_Toc21817"/>
      <w:bookmarkStart w:id="325" w:name="_Toc3030"/>
      <w:bookmarkStart w:id="326" w:name="_Toc1439"/>
      <w:bookmarkStart w:id="327" w:name="_Toc140132797"/>
      <w:bookmarkStart w:id="328" w:name="_Toc163492864"/>
      <w:r>
        <w:rPr>
          <w:rFonts w:hint="eastAsia" w:ascii="宋体" w:hAnsi="宋体" w:eastAsia="宋体" w:cs="宋体"/>
          <w:b/>
          <w:bCs/>
          <w:color w:val="auto"/>
          <w:kern w:val="2"/>
          <w:sz w:val="24"/>
          <w:szCs w:val="24"/>
          <w:highlight w:val="none"/>
          <w:lang w:val="en-US" w:eastAsia="zh-CN" w:bidi="ar-SA"/>
        </w:rPr>
        <w:t>33.履约保证金</w:t>
      </w:r>
      <w:bookmarkEnd w:id="324"/>
      <w:bookmarkEnd w:id="325"/>
      <w:bookmarkEnd w:id="326"/>
      <w:bookmarkEnd w:id="327"/>
      <w:bookmarkEnd w:id="328"/>
    </w:p>
    <w:p w14:paraId="77717F01">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3</w:t>
      </w:r>
      <w:r>
        <w:rPr>
          <w:rFonts w:hint="eastAsia" w:ascii="宋体" w:hAnsi="宋体" w:eastAsia="宋体" w:cs="宋体"/>
          <w:bCs/>
          <w:color w:val="auto"/>
          <w:sz w:val="24"/>
          <w:szCs w:val="24"/>
          <w:highlight w:val="none"/>
          <w:lang w:val="en-US" w:eastAsia="zh-CN"/>
        </w:rPr>
        <w:t>3</w:t>
      </w:r>
      <w:r>
        <w:rPr>
          <w:rFonts w:hint="eastAsia" w:ascii="宋体" w:hAnsi="宋体" w:eastAsia="宋体" w:cs="宋体"/>
          <w:color w:val="auto"/>
          <w:sz w:val="24"/>
          <w:szCs w:val="24"/>
          <w:highlight w:val="none"/>
        </w:rPr>
        <w:t>.1在签订合同前，中标人应按“投标人须知前附表”规定的金额、担保形式和采购人认可的履约担保格式向采购人提交履约保证金。</w:t>
      </w:r>
    </w:p>
    <w:p w14:paraId="73BC7DAF">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3</w:t>
      </w:r>
      <w:r>
        <w:rPr>
          <w:rFonts w:hint="eastAsia" w:ascii="宋体" w:hAnsi="宋体" w:eastAsia="宋体" w:cs="宋体"/>
          <w:bCs/>
          <w:color w:val="auto"/>
          <w:sz w:val="24"/>
          <w:szCs w:val="24"/>
          <w:highlight w:val="none"/>
          <w:lang w:val="en-US" w:eastAsia="zh-CN"/>
        </w:rPr>
        <w:t>3</w:t>
      </w:r>
      <w:r>
        <w:rPr>
          <w:rFonts w:hint="eastAsia" w:ascii="宋体" w:hAnsi="宋体" w:eastAsia="宋体" w:cs="宋体"/>
          <w:color w:val="auto"/>
          <w:sz w:val="24"/>
          <w:szCs w:val="24"/>
          <w:highlight w:val="none"/>
        </w:rPr>
        <w:t>.2中标人不能按本章第3</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.1项要求提交履约担保的，视为放弃中标，给采购人造成损失的，中标人还应当承担民事责任。</w:t>
      </w:r>
    </w:p>
    <w:p w14:paraId="4B3DD6F8">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329" w:name="_Toc12603"/>
      <w:bookmarkStart w:id="330" w:name="_Toc140132798"/>
      <w:bookmarkStart w:id="331" w:name="_Toc10817"/>
      <w:bookmarkStart w:id="332" w:name="_Toc163492865"/>
      <w:bookmarkStart w:id="333" w:name="_Toc1975"/>
      <w:r>
        <w:rPr>
          <w:rFonts w:hint="eastAsia" w:ascii="宋体" w:hAnsi="宋体" w:eastAsia="宋体" w:cs="宋体"/>
          <w:b/>
          <w:bCs/>
          <w:color w:val="auto"/>
          <w:kern w:val="2"/>
          <w:sz w:val="24"/>
          <w:szCs w:val="24"/>
          <w:highlight w:val="none"/>
          <w:lang w:val="en-US" w:eastAsia="zh-CN" w:bidi="ar-SA"/>
        </w:rPr>
        <w:t>34.签订合同</w:t>
      </w:r>
      <w:bookmarkEnd w:id="329"/>
      <w:bookmarkEnd w:id="330"/>
      <w:bookmarkEnd w:id="331"/>
      <w:bookmarkEnd w:id="332"/>
      <w:bookmarkEnd w:id="333"/>
    </w:p>
    <w:p w14:paraId="77507EBB">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3</w:t>
      </w:r>
      <w:r>
        <w:rPr>
          <w:rFonts w:hint="eastAsia" w:ascii="宋体" w:hAnsi="宋体" w:eastAsia="宋体" w:cs="宋体"/>
          <w:bCs/>
          <w:color w:val="auto"/>
          <w:sz w:val="24"/>
          <w:szCs w:val="24"/>
          <w:highlight w:val="none"/>
          <w:lang w:val="en-US" w:eastAsia="zh-CN"/>
        </w:rPr>
        <w:t>4</w:t>
      </w:r>
      <w:r>
        <w:rPr>
          <w:rFonts w:hint="eastAsia" w:ascii="宋体" w:hAnsi="宋体" w:eastAsia="宋体" w:cs="宋体"/>
          <w:color w:val="auto"/>
          <w:sz w:val="24"/>
          <w:szCs w:val="24"/>
          <w:highlight w:val="none"/>
        </w:rPr>
        <w:t>.1 采购人和中标人应当自中标通知书发出之日起</w:t>
      </w: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天内，根据招标文件和中标人的投标文件订立书面合同。采购人因不可抗力原因迟延签订合同的，应当自不可抗力事由消除之日起7日内完成合同签订事宜。所签订的合同不得对招标文件和中标人投标文件作实质性修改。中标人无正当理由拒签合同，给采购人造成损失的，中标人还应当承担民事责任。</w:t>
      </w:r>
    </w:p>
    <w:p w14:paraId="72CF4FDD">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34.2 中标人拒绝与采购人签订合同的，采购人可以按照评标报告推荐的中标候选人名单排序，确定下一候选人为中标人，也可以重新开展政府采购活动。</w:t>
      </w:r>
    </w:p>
    <w:p w14:paraId="0D3421B6">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3</w:t>
      </w:r>
      <w:r>
        <w:rPr>
          <w:rFonts w:hint="eastAsia" w:ascii="宋体" w:hAnsi="宋体" w:eastAsia="宋体" w:cs="宋体"/>
          <w:bCs/>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采购人和中标人不得向对方提出任何不合理的要求，作为签订合同的条件，双方不得私下订立背离合同实质性内容的协议。</w:t>
      </w:r>
    </w:p>
    <w:p w14:paraId="5551DDAE">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34.4 联合体中标的，联合体各方应当共同与采购人签订合同，就采购合同约定的事项向采购人承担连带责任。</w:t>
      </w:r>
    </w:p>
    <w:p w14:paraId="2BA187E8">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34.5 本项目的非主体、非关键性工作是否允许分包，见“投标人须知前附表”。采购人允许采用分包方式履行合同的，中标人可以依法在中标后将中标项目的非主体、非关键性工作采取分包方式履行合同。政府采购合同分包履行的，应当在投标文件中载明分包承担主体，分包承担主体应当具备相应资质条件且不得再次分包，否则</w:t>
      </w:r>
      <w:r>
        <w:rPr>
          <w:rFonts w:hint="eastAsia" w:ascii="宋体" w:hAnsi="宋体" w:eastAsia="宋体" w:cs="宋体"/>
          <w:b/>
          <w:bCs/>
          <w:color w:val="auto"/>
          <w:sz w:val="24"/>
          <w:szCs w:val="24"/>
          <w:highlight w:val="none"/>
          <w:lang w:val="en-US" w:eastAsia="zh-CN"/>
        </w:rPr>
        <w:t>投标无效</w:t>
      </w:r>
      <w:r>
        <w:rPr>
          <w:rFonts w:hint="eastAsia" w:ascii="宋体" w:hAnsi="宋体" w:eastAsia="宋体" w:cs="宋体"/>
          <w:color w:val="auto"/>
          <w:sz w:val="24"/>
          <w:szCs w:val="24"/>
          <w:highlight w:val="none"/>
          <w:lang w:val="en-US" w:eastAsia="zh-CN"/>
        </w:rPr>
        <w:t>。中标人就采购项目和分包项目向采购人负责，分包供应商就分包项目承担责任。</w:t>
      </w:r>
      <w:r>
        <w:rPr>
          <w:rFonts w:hint="eastAsia" w:ascii="宋体" w:hAnsi="宋体" w:eastAsia="宋体" w:cs="宋体"/>
          <w:b/>
          <w:bCs/>
          <w:color w:val="auto"/>
          <w:sz w:val="24"/>
          <w:szCs w:val="24"/>
          <w:highlight w:val="none"/>
          <w:lang w:val="en-US" w:eastAsia="zh-CN"/>
        </w:rPr>
        <w:t>政府采购合同不能转包。</w:t>
      </w:r>
    </w:p>
    <w:p w14:paraId="13D12B87">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3</w:t>
      </w:r>
      <w:r>
        <w:rPr>
          <w:rFonts w:hint="eastAsia" w:ascii="宋体" w:hAnsi="宋体" w:eastAsia="宋体" w:cs="宋体"/>
          <w:bCs/>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采购合同履行中，采购人需追加与合同标的相同的</w:t>
      </w:r>
      <w:r>
        <w:rPr>
          <w:rFonts w:hint="eastAsia" w:ascii="宋体" w:hAnsi="宋体" w:eastAsia="宋体" w:cs="宋体"/>
          <w:color w:val="auto"/>
          <w:sz w:val="24"/>
          <w:szCs w:val="24"/>
          <w:highlight w:val="none"/>
          <w:lang w:val="en-US" w:eastAsia="zh-CN"/>
        </w:rPr>
        <w:t>货物、工程或者服务</w:t>
      </w:r>
      <w:r>
        <w:rPr>
          <w:rFonts w:hint="eastAsia" w:ascii="宋体" w:hAnsi="宋体" w:eastAsia="宋体" w:cs="宋体"/>
          <w:color w:val="auto"/>
          <w:sz w:val="24"/>
          <w:szCs w:val="24"/>
          <w:highlight w:val="none"/>
        </w:rPr>
        <w:t>的，在不改变合同其他条款的前提下，可以与中标人协商签订补充合同，但所有补充合同的采购金额不得超过原合同采购金额的百分之十。</w:t>
      </w:r>
    </w:p>
    <w:p w14:paraId="259D0E8B">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34.7 采购人应于签订合同之日起2个工作日内在政采云平台备案公示。</w:t>
      </w:r>
    </w:p>
    <w:p w14:paraId="12490EB6">
      <w:pPr>
        <w:pStyle w:val="4"/>
        <w:keepNext w:val="0"/>
        <w:keepLines w:val="0"/>
        <w:pageBreakBefore w:val="0"/>
        <w:widowControl w:val="0"/>
        <w:numPr>
          <w:ilvl w:val="0"/>
          <w:numId w:val="0"/>
        </w:numPr>
        <w:kinsoku/>
        <w:wordWrap/>
        <w:overflowPunct/>
        <w:topLinePunct w:val="0"/>
        <w:autoSpaceDE/>
        <w:autoSpaceDN/>
        <w:bidi w:val="0"/>
        <w:adjustRightInd/>
        <w:snapToGrid/>
        <w:spacing w:before="120" w:after="12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334" w:name="_Toc163492866"/>
      <w:bookmarkStart w:id="335" w:name="_Toc140132799"/>
      <w:bookmarkStart w:id="336" w:name="_Toc14069"/>
      <w:bookmarkStart w:id="337" w:name="_Toc3645"/>
      <w:bookmarkStart w:id="338" w:name="_Toc22067"/>
      <w:bookmarkStart w:id="339" w:name="_Toc155185881"/>
      <w:r>
        <w:rPr>
          <w:rFonts w:hint="eastAsia" w:ascii="宋体" w:hAnsi="宋体" w:eastAsia="宋体" w:cs="宋体"/>
          <w:b/>
          <w:bCs/>
          <w:color w:val="auto"/>
          <w:kern w:val="2"/>
          <w:sz w:val="24"/>
          <w:szCs w:val="24"/>
          <w:highlight w:val="none"/>
          <w:lang w:val="en-US" w:eastAsia="zh-CN" w:bidi="ar-SA"/>
        </w:rPr>
        <w:t>（十）质疑和投诉</w:t>
      </w:r>
      <w:bookmarkEnd w:id="334"/>
      <w:bookmarkEnd w:id="335"/>
      <w:bookmarkEnd w:id="336"/>
      <w:bookmarkEnd w:id="337"/>
      <w:bookmarkEnd w:id="338"/>
      <w:bookmarkEnd w:id="339"/>
    </w:p>
    <w:p w14:paraId="23BE6A9F">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340" w:name="_Toc5521"/>
      <w:bookmarkStart w:id="341" w:name="_Toc140132800"/>
      <w:bookmarkStart w:id="342" w:name="_Toc17195"/>
      <w:bookmarkStart w:id="343" w:name="_Toc163492867"/>
      <w:bookmarkStart w:id="344" w:name="_Toc6362"/>
      <w:r>
        <w:rPr>
          <w:rFonts w:hint="eastAsia" w:ascii="宋体" w:hAnsi="宋体" w:eastAsia="宋体" w:cs="宋体"/>
          <w:b/>
          <w:bCs/>
          <w:color w:val="auto"/>
          <w:kern w:val="2"/>
          <w:sz w:val="24"/>
          <w:szCs w:val="24"/>
          <w:highlight w:val="none"/>
          <w:lang w:val="en-US" w:eastAsia="zh-CN" w:bidi="ar-SA"/>
        </w:rPr>
        <w:t>35.质疑</w:t>
      </w:r>
      <w:bookmarkEnd w:id="340"/>
      <w:bookmarkEnd w:id="341"/>
      <w:bookmarkEnd w:id="342"/>
      <w:bookmarkEnd w:id="343"/>
      <w:bookmarkEnd w:id="344"/>
    </w:p>
    <w:p w14:paraId="097AA162">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.1供应商认为采购文件、采购过程、中标结果使自己的权益受到损害的，可以在知道或者应知其权益受到损害之日起7个工作日内，以书面形式向采购人、采购代理机构提出质疑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详见“投标人须知前附表”</w:t>
      </w:r>
      <w:r>
        <w:rPr>
          <w:rFonts w:hint="eastAsia" w:ascii="宋体" w:hAnsi="宋体" w:eastAsia="宋体" w:cs="宋体"/>
          <w:color w:val="auto"/>
          <w:sz w:val="24"/>
          <w:szCs w:val="24"/>
          <w:highlight w:val="none"/>
        </w:rPr>
        <w:t>。供应商在法定质疑期内一次性提出针对同一采购程序环节的质疑。</w:t>
      </w:r>
    </w:p>
    <w:p w14:paraId="492A54F6">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.2提出质疑的供应商（以下简称质疑供应商）应当是参与所质疑项目采购活动的供应商。</w:t>
      </w:r>
    </w:p>
    <w:p w14:paraId="6503DC74">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35.3</w:t>
      </w:r>
      <w:r>
        <w:rPr>
          <w:rFonts w:hint="eastAsia" w:ascii="宋体" w:hAnsi="宋体" w:eastAsia="宋体" w:cs="宋体"/>
          <w:color w:val="auto"/>
          <w:sz w:val="24"/>
          <w:szCs w:val="24"/>
          <w:highlight w:val="none"/>
        </w:rPr>
        <w:t>潜在供应商已依法获取其可质疑的采购文件的，可以对该文件提出质疑。对采购文件提出质疑的，应当在获取采购文件或者采购文件公告期限届满之日起7个工作日内提出。</w:t>
      </w:r>
    </w:p>
    <w:p w14:paraId="58321ED8">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35.4</w:t>
      </w:r>
      <w:r>
        <w:rPr>
          <w:rFonts w:hint="eastAsia" w:ascii="宋体" w:hAnsi="宋体" w:eastAsia="宋体" w:cs="宋体"/>
          <w:color w:val="auto"/>
          <w:sz w:val="24"/>
          <w:szCs w:val="24"/>
          <w:highlight w:val="none"/>
        </w:rPr>
        <w:t>供应商提出质疑应当提交质疑函和必要的证明材料。质疑函应当包括下列内容：</w:t>
      </w:r>
    </w:p>
    <w:p w14:paraId="682A84DB">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）供应商的姓名或者名称、地址、邮编、联系人及联系电话；</w:t>
      </w:r>
    </w:p>
    <w:p w14:paraId="388DB77B">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）质疑项目的名称、</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编号</w:t>
      </w:r>
      <w:r>
        <w:rPr>
          <w:rFonts w:hint="eastAsia"/>
          <w:color w:val="auto"/>
          <w:sz w:val="24"/>
          <w:highlight w:val="none"/>
          <w:lang w:val="en-US" w:eastAsia="zh-CN"/>
        </w:rPr>
        <w:t>/包号</w:t>
      </w:r>
      <w:r>
        <w:rPr>
          <w:rFonts w:hint="eastAsia" w:ascii="宋体" w:hAnsi="宋体" w:eastAsia="宋体" w:cs="宋体"/>
          <w:color w:val="auto"/>
          <w:sz w:val="24"/>
          <w:szCs w:val="24"/>
          <w:highlight w:val="none"/>
        </w:rPr>
        <w:t>；</w:t>
      </w:r>
    </w:p>
    <w:p w14:paraId="7C9D4714">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）具体、明确的质疑事项和与质疑事项相关的请求；</w:t>
      </w:r>
    </w:p>
    <w:p w14:paraId="3C52874F">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）事实依据；</w:t>
      </w:r>
    </w:p>
    <w:p w14:paraId="3EEC5BF9">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）必要的法律依据；</w:t>
      </w:r>
    </w:p>
    <w:p w14:paraId="2E14DE4D">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）提出质疑的日期。</w:t>
      </w:r>
    </w:p>
    <w:p w14:paraId="553B627B">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供应商为自然人的，应当由本人签字；供应商为法人或者其他组织的，应当由法定代表人、主要负责人，或者其授权代表签字或者盖章，并加盖公章。</w:t>
      </w:r>
    </w:p>
    <w:p w14:paraId="5BBD16A6">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.5质疑函不符合上述要求的，采购人或代理机构应书面告知具体事项，质疑人应当按要求进行修改或补充，并在质疑有效期限内提交。</w:t>
      </w:r>
    </w:p>
    <w:p w14:paraId="4A4B9243">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3</w:t>
      </w:r>
      <w:r>
        <w:rPr>
          <w:rFonts w:hint="eastAsia" w:ascii="宋体" w:hAnsi="宋体" w:eastAsia="宋体" w:cs="宋体"/>
          <w:snapToGrid w:val="0"/>
          <w:color w:val="auto"/>
          <w:sz w:val="24"/>
          <w:szCs w:val="24"/>
          <w:highlight w:val="none"/>
          <w:lang w:val="en-US" w:eastAsia="zh-CN"/>
        </w:rPr>
        <w:t>5</w:t>
      </w:r>
      <w:r>
        <w:rPr>
          <w:rFonts w:hint="eastAsia" w:ascii="宋体" w:hAnsi="宋体" w:eastAsia="宋体" w:cs="宋体"/>
          <w:snapToGrid w:val="0"/>
          <w:color w:val="auto"/>
          <w:sz w:val="24"/>
          <w:szCs w:val="24"/>
          <w:highlight w:val="none"/>
        </w:rPr>
        <w:t>.</w:t>
      </w:r>
      <w:r>
        <w:rPr>
          <w:rFonts w:hint="eastAsia" w:ascii="宋体" w:hAnsi="宋体" w:eastAsia="宋体" w:cs="宋体"/>
          <w:snapToGrid w:val="0"/>
          <w:color w:val="auto"/>
          <w:sz w:val="24"/>
          <w:szCs w:val="24"/>
          <w:highlight w:val="none"/>
          <w:lang w:val="en-US" w:eastAsia="zh-CN"/>
        </w:rPr>
        <w:t>6</w:t>
      </w:r>
      <w:r>
        <w:rPr>
          <w:rFonts w:hint="eastAsia" w:ascii="宋体" w:hAnsi="宋体" w:eastAsia="宋体" w:cs="宋体"/>
          <w:snapToGrid w:val="0"/>
          <w:color w:val="auto"/>
          <w:sz w:val="24"/>
          <w:szCs w:val="24"/>
          <w:highlight w:val="none"/>
        </w:rPr>
        <w:t>投标人进行虚假和恶意</w:t>
      </w:r>
      <w:r>
        <w:rPr>
          <w:rFonts w:hint="eastAsia" w:ascii="宋体" w:hAnsi="宋体" w:eastAsia="宋体" w:cs="宋体"/>
          <w:snapToGrid w:val="0"/>
          <w:color w:val="auto"/>
          <w:sz w:val="24"/>
          <w:szCs w:val="24"/>
          <w:highlight w:val="none"/>
          <w:lang w:val="en-US" w:eastAsia="zh-CN"/>
        </w:rPr>
        <w:t>质疑投诉</w:t>
      </w:r>
      <w:r>
        <w:rPr>
          <w:rFonts w:hint="eastAsia" w:ascii="宋体" w:hAnsi="宋体" w:eastAsia="宋体" w:cs="宋体"/>
          <w:snapToGrid w:val="0"/>
          <w:color w:val="auto"/>
          <w:sz w:val="24"/>
          <w:szCs w:val="24"/>
          <w:highlight w:val="none"/>
        </w:rPr>
        <w:t>的，采购代理机构将提请有关部门将其列入不良记录名单，在一至三年内禁止参加政府采购活动，并将处理决定在相关政府采购媒体上公布。</w:t>
      </w:r>
    </w:p>
    <w:p w14:paraId="184C71DC">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lang w:val="en-US" w:eastAsia="zh-CN"/>
        </w:rPr>
        <w:t>35.7</w:t>
      </w:r>
      <w:r>
        <w:rPr>
          <w:rFonts w:hint="eastAsia" w:ascii="宋体" w:hAnsi="宋体" w:eastAsia="宋体" w:cs="宋体"/>
          <w:color w:val="auto"/>
          <w:sz w:val="24"/>
          <w:szCs w:val="24"/>
          <w:highlight w:val="none"/>
        </w:rPr>
        <w:t>质疑函</w:t>
      </w:r>
      <w:r>
        <w:rPr>
          <w:rFonts w:hint="eastAsia" w:ascii="宋体" w:hAnsi="宋体" w:eastAsia="宋体" w:cs="宋体"/>
          <w:color w:val="auto"/>
          <w:sz w:val="24"/>
          <w:szCs w:val="24"/>
          <w:highlight w:val="none"/>
          <w:lang w:val="en-US" w:eastAsia="zh-CN"/>
        </w:rPr>
        <w:t>应当使用中文，并采用财政部门制定的范本。</w:t>
      </w:r>
    </w:p>
    <w:p w14:paraId="6E7964C0">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345" w:name="_Toc30183"/>
      <w:bookmarkStart w:id="346" w:name="_Toc163492868"/>
      <w:bookmarkStart w:id="347" w:name="_Toc140132801"/>
      <w:bookmarkStart w:id="348" w:name="_Toc7060"/>
      <w:bookmarkStart w:id="349" w:name="_Toc2308"/>
      <w:r>
        <w:rPr>
          <w:rFonts w:hint="eastAsia" w:ascii="宋体" w:hAnsi="宋体" w:eastAsia="宋体" w:cs="宋体"/>
          <w:b/>
          <w:bCs/>
          <w:color w:val="auto"/>
          <w:kern w:val="2"/>
          <w:sz w:val="24"/>
          <w:szCs w:val="24"/>
          <w:highlight w:val="none"/>
          <w:lang w:val="en-US" w:eastAsia="zh-CN" w:bidi="ar-SA"/>
        </w:rPr>
        <w:t>36.质疑答复</w:t>
      </w:r>
      <w:bookmarkEnd w:id="345"/>
      <w:bookmarkEnd w:id="346"/>
      <w:bookmarkEnd w:id="347"/>
      <w:bookmarkEnd w:id="348"/>
      <w:bookmarkEnd w:id="349"/>
    </w:p>
    <w:p w14:paraId="43D7F91D">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bookmarkStart w:id="350" w:name="_Toc140132802"/>
      <w:bookmarkStart w:id="351" w:name="_Toc163492869"/>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.1采购人、采购代理机构不得拒收质疑供应商在法定质疑期内发出的质疑函，应当在收到质疑函后7个工作日内作出答复，并以书面形式通知质疑供应商和其他有关供应商。</w:t>
      </w:r>
    </w:p>
    <w:p w14:paraId="4E9D6E2D">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36.2供应商对评审过程、中标结果提出质疑的，采购人、采购代理机构可以组织原评标委员会协助答复质疑。</w:t>
      </w:r>
    </w:p>
    <w:p w14:paraId="0056DA51">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质疑答复应当包括下列内容：</w:t>
      </w:r>
    </w:p>
    <w:p w14:paraId="34339C8A">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eastAsia="zh-CN"/>
        </w:rPr>
        <w:t>）质疑供应商的姓名或者名称；</w:t>
      </w:r>
    </w:p>
    <w:p w14:paraId="2F251724">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eastAsia="zh-CN"/>
        </w:rPr>
        <w:t>）收到质疑函的日期、质疑项目名称及</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lang w:val="zh-CN" w:eastAsia="zh-CN"/>
        </w:rPr>
        <w:t>编号</w:t>
      </w:r>
      <w:r>
        <w:rPr>
          <w:rFonts w:hint="eastAsia"/>
          <w:color w:val="auto"/>
          <w:sz w:val="24"/>
          <w:highlight w:val="none"/>
          <w:lang w:val="en-US" w:eastAsia="zh-CN"/>
        </w:rPr>
        <w:t>/包号</w:t>
      </w:r>
      <w:r>
        <w:rPr>
          <w:rFonts w:hint="eastAsia" w:ascii="宋体" w:hAnsi="宋体" w:eastAsia="宋体" w:cs="宋体"/>
          <w:color w:val="auto"/>
          <w:sz w:val="24"/>
          <w:szCs w:val="24"/>
          <w:highlight w:val="none"/>
          <w:lang w:val="zh-CN" w:eastAsia="zh-CN"/>
        </w:rPr>
        <w:t>；</w:t>
      </w:r>
    </w:p>
    <w:p w14:paraId="1365ED73">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eastAsia="zh-CN"/>
        </w:rPr>
        <w:t>）质疑事项、质疑答复的具体内容、事实依据和法律依据；</w:t>
      </w:r>
    </w:p>
    <w:p w14:paraId="3C71AFF8">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eastAsia="zh-CN"/>
        </w:rPr>
        <w:t>）告知质疑供应商依法投诉的权利；</w:t>
      </w:r>
    </w:p>
    <w:p w14:paraId="77F64A38">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zh-CN" w:eastAsia="zh-CN"/>
        </w:rPr>
        <w:t>）质疑答复人名称；</w:t>
      </w:r>
    </w:p>
    <w:p w14:paraId="52743A2B">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zh-CN" w:eastAsia="zh-CN"/>
        </w:rPr>
        <w:t>）答复质疑的日期。</w:t>
      </w:r>
    </w:p>
    <w:p w14:paraId="56A5E1E9">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质疑答复的内容不得涉及商业秘密。</w:t>
      </w:r>
    </w:p>
    <w:p w14:paraId="631FD1E7">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352" w:name="_Toc8648"/>
      <w:bookmarkStart w:id="353" w:name="_Toc13241"/>
      <w:bookmarkStart w:id="354" w:name="_Toc4201"/>
      <w:r>
        <w:rPr>
          <w:rFonts w:hint="eastAsia" w:ascii="宋体" w:hAnsi="宋体" w:eastAsia="宋体" w:cs="宋体"/>
          <w:b/>
          <w:bCs/>
          <w:color w:val="auto"/>
          <w:kern w:val="2"/>
          <w:sz w:val="24"/>
          <w:szCs w:val="24"/>
          <w:highlight w:val="none"/>
          <w:lang w:val="en-US" w:eastAsia="zh-CN" w:bidi="ar-SA"/>
        </w:rPr>
        <w:t>37.投诉</w:t>
      </w:r>
      <w:bookmarkEnd w:id="350"/>
      <w:bookmarkEnd w:id="351"/>
      <w:bookmarkEnd w:id="352"/>
      <w:bookmarkEnd w:id="353"/>
      <w:bookmarkEnd w:id="354"/>
    </w:p>
    <w:p w14:paraId="34C5EAA0">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37.1</w:t>
      </w:r>
      <w:r>
        <w:rPr>
          <w:rFonts w:hint="eastAsia" w:ascii="宋体" w:hAnsi="宋体" w:eastAsia="宋体" w:cs="宋体"/>
          <w:color w:val="auto"/>
          <w:sz w:val="24"/>
          <w:szCs w:val="24"/>
          <w:highlight w:val="none"/>
        </w:rPr>
        <w:t>质疑供应商对采购人、采购代理机构的答复不满意，或者采购人、采购代理机构未在规定时间内作出答复的，可以在答复期满后15个工作日内向</w:t>
      </w:r>
      <w:r>
        <w:rPr>
          <w:rFonts w:hint="eastAsia" w:ascii="宋体" w:hAnsi="宋体" w:eastAsia="宋体" w:cs="宋体"/>
          <w:color w:val="auto"/>
          <w:sz w:val="24"/>
          <w:szCs w:val="24"/>
          <w:highlight w:val="none"/>
          <w:lang w:val="en-US" w:eastAsia="zh-CN"/>
        </w:rPr>
        <w:t>同级政府采购监督管理部门</w:t>
      </w:r>
      <w:r>
        <w:rPr>
          <w:rFonts w:hint="eastAsia" w:ascii="宋体" w:hAnsi="宋体" w:eastAsia="宋体" w:cs="宋体"/>
          <w:color w:val="auto"/>
          <w:sz w:val="24"/>
          <w:szCs w:val="24"/>
          <w:highlight w:val="none"/>
        </w:rPr>
        <w:t>提起投诉。</w:t>
      </w:r>
    </w:p>
    <w:p w14:paraId="7AE3C0F6">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37.2</w:t>
      </w:r>
      <w:r>
        <w:rPr>
          <w:rFonts w:hint="eastAsia" w:ascii="宋体" w:hAnsi="宋体" w:eastAsia="宋体" w:cs="宋体"/>
          <w:color w:val="auto"/>
          <w:sz w:val="24"/>
          <w:szCs w:val="24"/>
          <w:highlight w:val="none"/>
        </w:rPr>
        <w:t>投诉人投诉时,应当提交投诉书和必要的证明材料，并按照被投诉采购人、采购代理机构（以下简称被投诉人）和与投诉事项有关的供应商数量提供投诉书的副本。投诉书应当包括下列内容：</w:t>
      </w:r>
    </w:p>
    <w:p w14:paraId="49546547">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）投诉人和被投诉人的姓名或者名称、通讯地址、邮编、联系人及联系电话；</w:t>
      </w:r>
    </w:p>
    <w:p w14:paraId="1A65A103">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）质疑和质疑答复情况说明及相关证明材料；</w:t>
      </w:r>
    </w:p>
    <w:p w14:paraId="675A6D97">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）具体、明确的投诉事项和与投诉事项相关的投诉请求；</w:t>
      </w:r>
    </w:p>
    <w:p w14:paraId="4A0C1598">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）事实依据；</w:t>
      </w:r>
    </w:p>
    <w:p w14:paraId="4CFD3E01">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）法律依据；</w:t>
      </w:r>
    </w:p>
    <w:p w14:paraId="35FA6A4A">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）提起投诉的日期。</w:t>
      </w:r>
    </w:p>
    <w:p w14:paraId="4FC7C3AB">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投诉人为自然人的，应当由本人签字；投诉人为法人或者其他组织的，应当由法定代表人、主要负责人，或者其授权代表签字或者盖章，并加盖公章。</w:t>
      </w:r>
    </w:p>
    <w:p w14:paraId="4DF335BD">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37.3</w:t>
      </w: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val="en-US" w:eastAsia="zh-CN"/>
        </w:rPr>
        <w:t>质疑、</w:t>
      </w:r>
      <w:r>
        <w:rPr>
          <w:rFonts w:hint="eastAsia" w:ascii="宋体" w:hAnsi="宋体" w:eastAsia="宋体" w:cs="宋体"/>
          <w:color w:val="auto"/>
          <w:sz w:val="24"/>
          <w:szCs w:val="24"/>
          <w:highlight w:val="none"/>
        </w:rPr>
        <w:t>投诉</w:t>
      </w:r>
      <w:r>
        <w:rPr>
          <w:rFonts w:hint="eastAsia" w:ascii="宋体" w:hAnsi="宋体" w:eastAsia="宋体" w:cs="宋体"/>
          <w:color w:val="auto"/>
          <w:sz w:val="24"/>
          <w:szCs w:val="24"/>
          <w:highlight w:val="none"/>
          <w:lang w:val="en-US" w:eastAsia="zh-CN"/>
        </w:rPr>
        <w:t>应当有明确的请求和必要的证明材料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供应商投诉的事项不得超出</w:t>
      </w:r>
      <w:r>
        <w:rPr>
          <w:rFonts w:hint="eastAsia" w:ascii="宋体" w:hAnsi="宋体" w:eastAsia="宋体" w:cs="宋体"/>
          <w:color w:val="auto"/>
          <w:sz w:val="24"/>
          <w:szCs w:val="24"/>
          <w:highlight w:val="none"/>
          <w:lang w:val="en-US" w:eastAsia="zh-CN"/>
        </w:rPr>
        <w:t>已</w:t>
      </w:r>
      <w:r>
        <w:rPr>
          <w:rFonts w:hint="eastAsia" w:ascii="宋体" w:hAnsi="宋体" w:eastAsia="宋体" w:cs="宋体"/>
          <w:color w:val="auto"/>
          <w:sz w:val="24"/>
          <w:szCs w:val="24"/>
          <w:highlight w:val="none"/>
        </w:rPr>
        <w:t>质疑事项的范围，但基于质疑答复内容提出的投诉事项除外</w:t>
      </w:r>
      <w:r>
        <w:rPr>
          <w:rFonts w:hint="eastAsia" w:ascii="宋体" w:hAnsi="宋体" w:eastAsia="宋体" w:cs="宋体"/>
          <w:bCs/>
          <w:color w:val="auto"/>
          <w:sz w:val="24"/>
          <w:szCs w:val="24"/>
          <w:highlight w:val="none"/>
        </w:rPr>
        <w:t>。</w:t>
      </w:r>
    </w:p>
    <w:p w14:paraId="0C7738C6">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bCs/>
          <w:color w:val="auto"/>
          <w:sz w:val="24"/>
          <w:szCs w:val="24"/>
          <w:highlight w:val="none"/>
        </w:rPr>
      </w:pPr>
      <w:r>
        <w:rPr>
          <w:rFonts w:hint="eastAsia" w:ascii="宋体" w:hAnsi="宋体" w:eastAsia="宋体" w:cs="宋体"/>
          <w:snapToGrid w:val="0"/>
          <w:color w:val="auto"/>
          <w:sz w:val="24"/>
          <w:szCs w:val="24"/>
          <w:highlight w:val="none"/>
          <w:lang w:val="en-US" w:eastAsia="zh-CN"/>
        </w:rPr>
        <w:t>37.4</w:t>
      </w:r>
      <w:r>
        <w:rPr>
          <w:rFonts w:hint="eastAsia" w:ascii="宋体" w:hAnsi="宋体" w:eastAsia="宋体" w:cs="宋体"/>
          <w:color w:val="auto"/>
          <w:sz w:val="24"/>
          <w:szCs w:val="24"/>
          <w:highlight w:val="none"/>
          <w:lang w:val="en-US" w:eastAsia="zh-CN"/>
        </w:rPr>
        <w:t>投诉书应当使用中文，并采用财政部门制定的范本。</w:t>
      </w:r>
    </w:p>
    <w:p w14:paraId="076E00EB">
      <w:pPr>
        <w:pStyle w:val="4"/>
        <w:keepNext w:val="0"/>
        <w:keepLines w:val="0"/>
        <w:pageBreakBefore w:val="0"/>
        <w:widowControl w:val="0"/>
        <w:numPr>
          <w:ilvl w:val="0"/>
          <w:numId w:val="0"/>
        </w:numPr>
        <w:kinsoku/>
        <w:wordWrap/>
        <w:overflowPunct/>
        <w:topLinePunct w:val="0"/>
        <w:autoSpaceDE/>
        <w:autoSpaceDN/>
        <w:bidi w:val="0"/>
        <w:adjustRightInd/>
        <w:snapToGrid/>
        <w:spacing w:before="120" w:after="12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355" w:name="_Toc26619"/>
      <w:bookmarkStart w:id="356" w:name="_Toc140132803"/>
      <w:bookmarkStart w:id="357" w:name="_Toc19407"/>
      <w:bookmarkStart w:id="358" w:name="_Toc155185882"/>
      <w:bookmarkStart w:id="359" w:name="_Toc25532"/>
      <w:bookmarkStart w:id="360" w:name="_Toc163492870"/>
      <w:r>
        <w:rPr>
          <w:rFonts w:hint="eastAsia" w:ascii="宋体" w:hAnsi="宋体" w:eastAsia="宋体" w:cs="宋体"/>
          <w:b/>
          <w:bCs/>
          <w:color w:val="auto"/>
          <w:kern w:val="2"/>
          <w:sz w:val="24"/>
          <w:szCs w:val="24"/>
          <w:highlight w:val="none"/>
          <w:lang w:val="en-US" w:eastAsia="zh-CN" w:bidi="ar-SA"/>
        </w:rPr>
        <w:t>（十一）采购代理服务费</w:t>
      </w:r>
      <w:bookmarkEnd w:id="355"/>
      <w:bookmarkEnd w:id="356"/>
      <w:bookmarkEnd w:id="357"/>
      <w:bookmarkEnd w:id="358"/>
      <w:bookmarkEnd w:id="359"/>
      <w:bookmarkEnd w:id="360"/>
    </w:p>
    <w:p w14:paraId="3EF5B76A">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361" w:name="_Toc163492871"/>
      <w:bookmarkStart w:id="362" w:name="_Toc16138"/>
      <w:bookmarkStart w:id="363" w:name="_Toc21533"/>
      <w:bookmarkStart w:id="364" w:name="_Toc140132804"/>
      <w:bookmarkStart w:id="365" w:name="_Toc16634"/>
      <w:r>
        <w:rPr>
          <w:rFonts w:hint="eastAsia" w:ascii="宋体" w:hAnsi="宋体" w:eastAsia="宋体" w:cs="宋体"/>
          <w:b/>
          <w:bCs/>
          <w:color w:val="auto"/>
          <w:kern w:val="2"/>
          <w:sz w:val="24"/>
          <w:szCs w:val="24"/>
          <w:highlight w:val="none"/>
          <w:lang w:val="en-US" w:eastAsia="zh-CN" w:bidi="ar-SA"/>
        </w:rPr>
        <w:t>38.收取方式和标准</w:t>
      </w:r>
      <w:bookmarkEnd w:id="361"/>
      <w:bookmarkEnd w:id="362"/>
      <w:bookmarkEnd w:id="363"/>
      <w:bookmarkEnd w:id="364"/>
      <w:bookmarkEnd w:id="365"/>
    </w:p>
    <w:p w14:paraId="0FDD9E25">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3</w:t>
      </w:r>
      <w:r>
        <w:rPr>
          <w:rFonts w:hint="eastAsia" w:ascii="宋体" w:hAnsi="宋体" w:eastAsia="宋体" w:cs="宋体"/>
          <w:bCs/>
          <w:color w:val="auto"/>
          <w:sz w:val="24"/>
          <w:szCs w:val="24"/>
          <w:highlight w:val="none"/>
          <w:lang w:val="en-US" w:eastAsia="zh-CN"/>
        </w:rPr>
        <w:t>8</w:t>
      </w:r>
      <w:r>
        <w:rPr>
          <w:rFonts w:hint="eastAsia" w:ascii="宋体" w:hAnsi="宋体" w:eastAsia="宋体" w:cs="宋体"/>
          <w:color w:val="auto"/>
          <w:sz w:val="24"/>
          <w:szCs w:val="24"/>
          <w:highlight w:val="none"/>
        </w:rPr>
        <w:t>.1采购代理机构按“投标人须知前附表”规定的方式和标准收取采购代理服务费。</w:t>
      </w:r>
    </w:p>
    <w:p w14:paraId="3ED844E1">
      <w:pPr>
        <w:pStyle w:val="4"/>
        <w:keepNext w:val="0"/>
        <w:keepLines w:val="0"/>
        <w:pageBreakBefore w:val="0"/>
        <w:widowControl w:val="0"/>
        <w:numPr>
          <w:ilvl w:val="0"/>
          <w:numId w:val="0"/>
        </w:numPr>
        <w:kinsoku/>
        <w:wordWrap/>
        <w:overflowPunct/>
        <w:topLinePunct w:val="0"/>
        <w:autoSpaceDE/>
        <w:autoSpaceDN/>
        <w:bidi w:val="0"/>
        <w:adjustRightInd/>
        <w:snapToGrid/>
        <w:spacing w:before="120" w:after="12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366" w:name="_Toc140132805"/>
      <w:bookmarkStart w:id="367" w:name="_Toc163492872"/>
      <w:bookmarkStart w:id="368" w:name="_Toc15853"/>
      <w:bookmarkStart w:id="369" w:name="_Toc26455"/>
      <w:bookmarkStart w:id="370" w:name="_Toc7566"/>
      <w:bookmarkStart w:id="371" w:name="_Toc155185883"/>
      <w:r>
        <w:rPr>
          <w:rFonts w:hint="eastAsia" w:ascii="宋体" w:hAnsi="宋体" w:eastAsia="宋体" w:cs="宋体"/>
          <w:b/>
          <w:bCs/>
          <w:color w:val="auto"/>
          <w:kern w:val="2"/>
          <w:sz w:val="24"/>
          <w:szCs w:val="24"/>
          <w:highlight w:val="none"/>
          <w:lang w:val="en-US" w:eastAsia="zh-CN" w:bidi="ar-SA"/>
        </w:rPr>
        <w:t>（十二）无效投标和废标</w:t>
      </w:r>
      <w:bookmarkEnd w:id="366"/>
      <w:bookmarkEnd w:id="367"/>
      <w:bookmarkEnd w:id="368"/>
      <w:bookmarkEnd w:id="369"/>
      <w:bookmarkEnd w:id="370"/>
      <w:bookmarkEnd w:id="371"/>
    </w:p>
    <w:p w14:paraId="25869235">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372" w:name="_Toc23298"/>
      <w:bookmarkStart w:id="373" w:name="_Toc9909"/>
      <w:bookmarkStart w:id="374" w:name="_Toc32022"/>
      <w:bookmarkStart w:id="375" w:name="_Toc163492873"/>
      <w:bookmarkStart w:id="376" w:name="_Toc140132806"/>
      <w:r>
        <w:rPr>
          <w:rFonts w:hint="eastAsia" w:ascii="宋体" w:hAnsi="宋体" w:eastAsia="宋体" w:cs="宋体"/>
          <w:b/>
          <w:bCs/>
          <w:color w:val="auto"/>
          <w:kern w:val="2"/>
          <w:sz w:val="24"/>
          <w:szCs w:val="24"/>
          <w:highlight w:val="none"/>
          <w:lang w:val="en-US" w:eastAsia="zh-CN" w:bidi="ar-SA"/>
        </w:rPr>
        <w:t>39.无效投标</w:t>
      </w:r>
      <w:bookmarkEnd w:id="372"/>
      <w:bookmarkEnd w:id="373"/>
      <w:bookmarkEnd w:id="374"/>
      <w:bookmarkEnd w:id="375"/>
      <w:bookmarkEnd w:id="376"/>
    </w:p>
    <w:p w14:paraId="0EBD1306">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39</w:t>
      </w:r>
      <w:r>
        <w:rPr>
          <w:rFonts w:hint="eastAsia" w:ascii="宋体" w:hAnsi="宋体" w:eastAsia="宋体" w:cs="宋体"/>
          <w:color w:val="auto"/>
          <w:sz w:val="24"/>
          <w:szCs w:val="24"/>
          <w:highlight w:val="none"/>
        </w:rPr>
        <w:t>.1投标文件存在“第四章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资格审查”、“第五章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评标</w:t>
      </w:r>
      <w:r>
        <w:rPr>
          <w:rFonts w:hint="eastAsia" w:ascii="宋体" w:hAnsi="宋体" w:eastAsia="宋体" w:cs="宋体"/>
          <w:color w:val="auto"/>
          <w:sz w:val="24"/>
          <w:szCs w:val="24"/>
          <w:highlight w:val="none"/>
          <w:lang w:val="en-US" w:eastAsia="zh-CN"/>
        </w:rPr>
        <w:t>方</w:t>
      </w:r>
      <w:r>
        <w:rPr>
          <w:rFonts w:hint="eastAsia" w:ascii="宋体" w:hAnsi="宋体" w:eastAsia="宋体" w:cs="宋体"/>
          <w:color w:val="auto"/>
          <w:sz w:val="24"/>
          <w:szCs w:val="24"/>
          <w:highlight w:val="none"/>
        </w:rPr>
        <w:t>法及标准”</w:t>
      </w:r>
      <w:r>
        <w:rPr>
          <w:rFonts w:hint="eastAsia" w:ascii="宋体" w:hAnsi="宋体" w:eastAsia="宋体" w:cs="宋体"/>
          <w:color w:val="auto"/>
          <w:sz w:val="24"/>
          <w:szCs w:val="24"/>
          <w:highlight w:val="none"/>
          <w:lang w:val="en-US" w:eastAsia="zh-CN"/>
        </w:rPr>
        <w:t>及本招标文件</w:t>
      </w:r>
      <w:r>
        <w:rPr>
          <w:rFonts w:hint="eastAsia" w:ascii="宋体" w:hAnsi="宋体" w:eastAsia="宋体" w:cs="宋体"/>
          <w:color w:val="auto"/>
          <w:sz w:val="24"/>
          <w:szCs w:val="24"/>
          <w:highlight w:val="none"/>
        </w:rPr>
        <w:t>规定的投标无效情形的，其</w:t>
      </w:r>
      <w:r>
        <w:rPr>
          <w:rFonts w:hint="eastAsia" w:ascii="宋体" w:hAnsi="宋体" w:eastAsia="宋体" w:cs="宋体"/>
          <w:b/>
          <w:bCs/>
          <w:color w:val="auto"/>
          <w:sz w:val="24"/>
          <w:szCs w:val="24"/>
          <w:highlight w:val="none"/>
        </w:rPr>
        <w:t>投标无效</w:t>
      </w:r>
      <w:r>
        <w:rPr>
          <w:rFonts w:hint="eastAsia" w:ascii="宋体" w:hAnsi="宋体" w:eastAsia="宋体" w:cs="宋体"/>
          <w:color w:val="auto"/>
          <w:sz w:val="24"/>
          <w:szCs w:val="24"/>
          <w:highlight w:val="none"/>
        </w:rPr>
        <w:t>。</w:t>
      </w:r>
    </w:p>
    <w:p w14:paraId="7306E47B">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377" w:name="_Toc18467"/>
      <w:bookmarkStart w:id="378" w:name="_Toc140132807"/>
      <w:bookmarkStart w:id="379" w:name="_Toc15799"/>
      <w:bookmarkStart w:id="380" w:name="_Toc163492874"/>
      <w:bookmarkStart w:id="381" w:name="_Toc3107"/>
      <w:r>
        <w:rPr>
          <w:rFonts w:hint="eastAsia" w:ascii="宋体" w:hAnsi="宋体" w:eastAsia="宋体" w:cs="宋体"/>
          <w:b/>
          <w:bCs/>
          <w:color w:val="auto"/>
          <w:kern w:val="2"/>
          <w:sz w:val="24"/>
          <w:szCs w:val="24"/>
          <w:highlight w:val="none"/>
          <w:lang w:val="en-US" w:eastAsia="zh-CN" w:bidi="ar-SA"/>
        </w:rPr>
        <w:t>40.废标</w:t>
      </w:r>
      <w:bookmarkEnd w:id="377"/>
      <w:bookmarkEnd w:id="378"/>
      <w:bookmarkEnd w:id="379"/>
      <w:bookmarkEnd w:id="380"/>
      <w:bookmarkEnd w:id="381"/>
    </w:p>
    <w:p w14:paraId="7B569749">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.1在招标采购中出现有“第五章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评标</w:t>
      </w:r>
      <w:r>
        <w:rPr>
          <w:rFonts w:hint="eastAsia" w:ascii="宋体" w:hAnsi="宋体" w:eastAsia="宋体" w:cs="宋体"/>
          <w:color w:val="auto"/>
          <w:sz w:val="24"/>
          <w:szCs w:val="24"/>
          <w:highlight w:val="none"/>
          <w:lang w:val="en-US" w:eastAsia="zh-CN"/>
        </w:rPr>
        <w:t>方</w:t>
      </w:r>
      <w:r>
        <w:rPr>
          <w:rFonts w:hint="eastAsia" w:ascii="宋体" w:hAnsi="宋体" w:eastAsia="宋体" w:cs="宋体"/>
          <w:color w:val="auto"/>
          <w:sz w:val="24"/>
          <w:szCs w:val="24"/>
          <w:highlight w:val="none"/>
        </w:rPr>
        <w:t>法及标准”</w:t>
      </w:r>
      <w:r>
        <w:rPr>
          <w:rFonts w:hint="eastAsia" w:ascii="宋体" w:hAnsi="宋体" w:eastAsia="宋体" w:cs="宋体"/>
          <w:color w:val="auto"/>
          <w:sz w:val="24"/>
          <w:szCs w:val="24"/>
          <w:highlight w:val="none"/>
          <w:lang w:val="en-US" w:eastAsia="zh-CN"/>
        </w:rPr>
        <w:t>及本招标文件</w:t>
      </w:r>
      <w:r>
        <w:rPr>
          <w:rFonts w:hint="eastAsia" w:ascii="宋体" w:hAnsi="宋体" w:eastAsia="宋体" w:cs="宋体"/>
          <w:color w:val="auto"/>
          <w:sz w:val="24"/>
          <w:szCs w:val="24"/>
          <w:highlight w:val="none"/>
        </w:rPr>
        <w:t>规定的废标情形的，应予以</w:t>
      </w:r>
      <w:r>
        <w:rPr>
          <w:rFonts w:hint="eastAsia" w:ascii="宋体" w:hAnsi="宋体" w:eastAsia="宋体" w:cs="宋体"/>
          <w:b/>
          <w:bCs/>
          <w:color w:val="auto"/>
          <w:sz w:val="24"/>
          <w:szCs w:val="24"/>
          <w:highlight w:val="none"/>
        </w:rPr>
        <w:t>废标</w:t>
      </w:r>
      <w:r>
        <w:rPr>
          <w:rFonts w:hint="eastAsia" w:ascii="宋体" w:hAnsi="宋体" w:eastAsia="宋体" w:cs="宋体"/>
          <w:color w:val="auto"/>
          <w:sz w:val="24"/>
          <w:szCs w:val="24"/>
          <w:highlight w:val="none"/>
          <w:lang w:eastAsia="zh-CN"/>
        </w:rPr>
        <w:t>。</w:t>
      </w:r>
    </w:p>
    <w:p w14:paraId="0C4DEC92">
      <w:pPr>
        <w:pStyle w:val="4"/>
        <w:keepNext w:val="0"/>
        <w:keepLines w:val="0"/>
        <w:pageBreakBefore w:val="0"/>
        <w:widowControl w:val="0"/>
        <w:numPr>
          <w:ilvl w:val="0"/>
          <w:numId w:val="0"/>
        </w:numPr>
        <w:kinsoku/>
        <w:wordWrap/>
        <w:overflowPunct/>
        <w:topLinePunct w:val="0"/>
        <w:autoSpaceDE/>
        <w:autoSpaceDN/>
        <w:bidi w:val="0"/>
        <w:adjustRightInd/>
        <w:snapToGrid/>
        <w:spacing w:before="120" w:after="12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382" w:name="_Toc140132766"/>
      <w:bookmarkStart w:id="383" w:name="_Toc163492875"/>
      <w:bookmarkStart w:id="384" w:name="_Toc3516"/>
      <w:bookmarkStart w:id="385" w:name="_Toc22480"/>
      <w:bookmarkStart w:id="386" w:name="_Toc16271"/>
      <w:bookmarkStart w:id="387" w:name="_Toc155185884"/>
      <w:bookmarkStart w:id="388" w:name="_Toc140132808"/>
      <w:r>
        <w:rPr>
          <w:rFonts w:hint="eastAsia" w:ascii="宋体" w:hAnsi="宋体" w:eastAsia="宋体" w:cs="宋体"/>
          <w:b/>
          <w:bCs/>
          <w:color w:val="auto"/>
          <w:kern w:val="2"/>
          <w:sz w:val="24"/>
          <w:szCs w:val="24"/>
          <w:highlight w:val="none"/>
          <w:lang w:val="en-US" w:eastAsia="zh-CN" w:bidi="ar-SA"/>
        </w:rPr>
        <w:t>（十三）落实政府采购政策</w:t>
      </w:r>
      <w:bookmarkEnd w:id="382"/>
      <w:bookmarkEnd w:id="383"/>
      <w:r>
        <w:rPr>
          <w:rFonts w:hint="eastAsia" w:ascii="宋体" w:hAnsi="宋体" w:eastAsia="宋体" w:cs="宋体"/>
          <w:b/>
          <w:bCs/>
          <w:color w:val="auto"/>
          <w:kern w:val="2"/>
          <w:sz w:val="24"/>
          <w:szCs w:val="24"/>
          <w:highlight w:val="none"/>
          <w:lang w:val="en-US" w:eastAsia="zh-CN" w:bidi="ar-SA"/>
        </w:rPr>
        <w:t>（包括但不限于下列具体政策要求）</w:t>
      </w:r>
      <w:bookmarkEnd w:id="384"/>
      <w:bookmarkEnd w:id="385"/>
      <w:bookmarkEnd w:id="386"/>
    </w:p>
    <w:p w14:paraId="5800BCE0">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389" w:name="_Toc163492876"/>
      <w:bookmarkStart w:id="390" w:name="_Toc12045"/>
      <w:bookmarkStart w:id="391" w:name="_Toc21216"/>
      <w:bookmarkStart w:id="392" w:name="_Toc23969"/>
      <w:r>
        <w:rPr>
          <w:rFonts w:hint="eastAsia" w:ascii="宋体" w:hAnsi="宋体" w:eastAsia="宋体" w:cs="宋体"/>
          <w:b/>
          <w:bCs/>
          <w:color w:val="auto"/>
          <w:kern w:val="2"/>
          <w:sz w:val="24"/>
          <w:szCs w:val="24"/>
          <w:highlight w:val="none"/>
          <w:lang w:val="en-US" w:eastAsia="zh-CN" w:bidi="ar-SA"/>
        </w:rPr>
        <w:t>41.支持国产和进口产品审批</w:t>
      </w:r>
      <w:bookmarkEnd w:id="389"/>
      <w:bookmarkEnd w:id="390"/>
      <w:bookmarkEnd w:id="391"/>
      <w:bookmarkEnd w:id="392"/>
    </w:p>
    <w:p w14:paraId="26D924DD">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4</w:t>
      </w:r>
      <w:r>
        <w:rPr>
          <w:rFonts w:hint="eastAsia" w:ascii="宋体" w:hAnsi="宋体" w:eastAsia="宋体" w:cs="宋体"/>
          <w:snapToGrid w:val="0"/>
          <w:color w:val="auto"/>
          <w:sz w:val="24"/>
          <w:szCs w:val="24"/>
          <w:highlight w:val="none"/>
          <w:lang w:val="en-US" w:eastAsia="zh-CN"/>
        </w:rPr>
        <w:t>1</w:t>
      </w:r>
      <w:r>
        <w:rPr>
          <w:rFonts w:hint="eastAsia" w:ascii="宋体" w:hAnsi="宋体" w:eastAsia="宋体" w:cs="宋体"/>
          <w:snapToGrid w:val="0"/>
          <w:color w:val="auto"/>
          <w:sz w:val="24"/>
          <w:szCs w:val="24"/>
          <w:highlight w:val="none"/>
        </w:rPr>
        <w:t>.1除“投标人须知前附表”另有规定外，政府采购应当采购本国</w:t>
      </w:r>
      <w:r>
        <w:rPr>
          <w:rFonts w:hint="eastAsia" w:ascii="宋体" w:hAnsi="宋体" w:eastAsia="宋体" w:cs="宋体"/>
          <w:snapToGrid w:val="0"/>
          <w:color w:val="auto"/>
          <w:sz w:val="24"/>
          <w:szCs w:val="24"/>
          <w:highlight w:val="none"/>
          <w:lang w:val="en-US" w:eastAsia="zh-CN"/>
        </w:rPr>
        <w:t>货物、工程和服务</w:t>
      </w:r>
      <w:r>
        <w:rPr>
          <w:rFonts w:hint="eastAsia" w:ascii="宋体" w:hAnsi="宋体" w:eastAsia="宋体" w:cs="宋体"/>
          <w:snapToGrid w:val="0"/>
          <w:color w:val="auto"/>
          <w:sz w:val="24"/>
          <w:szCs w:val="24"/>
          <w:highlight w:val="none"/>
        </w:rPr>
        <w:t>，确需采购进口产品的，采购人应当按照</w:t>
      </w:r>
      <w:r>
        <w:rPr>
          <w:rFonts w:hint="eastAsia" w:ascii="宋体" w:hAnsi="宋体" w:eastAsia="宋体" w:cs="宋体"/>
          <w:snapToGrid w:val="0"/>
          <w:color w:val="auto"/>
          <w:sz w:val="24"/>
          <w:szCs w:val="24"/>
          <w:highlight w:val="none"/>
          <w:lang w:val="en-US" w:eastAsia="zh-CN"/>
        </w:rPr>
        <w:t>《政府采购进口产品管理办法》（财库〔2007〕119 号文）、</w:t>
      </w:r>
      <w:r>
        <w:rPr>
          <w:rFonts w:hint="eastAsia" w:ascii="宋体" w:hAnsi="宋体" w:eastAsia="宋体" w:cs="宋体"/>
          <w:snapToGrid w:val="0"/>
          <w:color w:val="auto"/>
          <w:sz w:val="24"/>
          <w:szCs w:val="24"/>
          <w:highlight w:val="none"/>
        </w:rPr>
        <w:t>《关于政府采购进口产品管理有关问题的通知》（财办库〔2008〕248号）规定执行（进口产品审批制，科研院所监管部门另有规定的从其规定）。项目若涉及采购进口产品的，具体要求详见“第三章 采购需求”。</w:t>
      </w:r>
    </w:p>
    <w:p w14:paraId="201F13F9">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 xml:space="preserve">41.2进口产品指通过中国海关报关验放进入中国境内且产自关境外的产品，包括已经进入中国境内的进口产品。 </w:t>
      </w:r>
    </w:p>
    <w:p w14:paraId="0C404CE2">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41.3若采购需求中写明允许采购进口产品，投标人应保证所投产品可履行合法报通关手续进入中国关境内。</w:t>
      </w:r>
    </w:p>
    <w:p w14:paraId="50A8DE9A">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41.4若采购需求中未写明允许采购进口产品，如投标人所投产品为进口产品，其投标将被认定为</w:t>
      </w:r>
      <w:r>
        <w:rPr>
          <w:rFonts w:hint="eastAsia" w:ascii="宋体" w:hAnsi="宋体" w:eastAsia="宋体" w:cs="宋体"/>
          <w:b/>
          <w:bCs/>
          <w:snapToGrid w:val="0"/>
          <w:color w:val="auto"/>
          <w:sz w:val="24"/>
          <w:szCs w:val="24"/>
          <w:highlight w:val="none"/>
          <w:lang w:val="en-US" w:eastAsia="zh-CN"/>
        </w:rPr>
        <w:t>投标无效</w:t>
      </w:r>
      <w:r>
        <w:rPr>
          <w:rFonts w:hint="eastAsia" w:ascii="宋体" w:hAnsi="宋体" w:eastAsia="宋体" w:cs="宋体"/>
          <w:snapToGrid w:val="0"/>
          <w:color w:val="auto"/>
          <w:sz w:val="24"/>
          <w:szCs w:val="24"/>
          <w:highlight w:val="none"/>
          <w:lang w:val="en-US" w:eastAsia="zh-CN"/>
        </w:rPr>
        <w:t>。</w:t>
      </w:r>
    </w:p>
    <w:p w14:paraId="6764F885">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393" w:name="_Toc163492877"/>
      <w:bookmarkStart w:id="394" w:name="_Toc13373"/>
      <w:bookmarkStart w:id="395" w:name="_Toc17933"/>
      <w:bookmarkStart w:id="396" w:name="_Toc3349"/>
      <w:r>
        <w:rPr>
          <w:rFonts w:hint="eastAsia" w:ascii="宋体" w:hAnsi="宋体" w:eastAsia="宋体" w:cs="宋体"/>
          <w:b/>
          <w:bCs/>
          <w:color w:val="auto"/>
          <w:kern w:val="2"/>
          <w:sz w:val="24"/>
          <w:szCs w:val="24"/>
          <w:highlight w:val="none"/>
          <w:lang w:val="en-US" w:eastAsia="zh-CN" w:bidi="ar-SA"/>
        </w:rPr>
        <w:t>42.中小企业、监狱企业及残疾人福利性单位</w:t>
      </w:r>
      <w:bookmarkEnd w:id="393"/>
      <w:bookmarkEnd w:id="394"/>
      <w:bookmarkEnd w:id="395"/>
      <w:bookmarkEnd w:id="396"/>
    </w:p>
    <w:p w14:paraId="6CF3C244">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lang w:val="en-US" w:eastAsia="zh-CN"/>
        </w:rPr>
        <w:t>42</w:t>
      </w:r>
      <w:r>
        <w:rPr>
          <w:rFonts w:hint="eastAsia" w:ascii="宋体" w:hAnsi="宋体" w:eastAsia="宋体" w:cs="宋体"/>
          <w:snapToGrid w:val="0"/>
          <w:color w:val="auto"/>
          <w:sz w:val="24"/>
          <w:szCs w:val="24"/>
          <w:highlight w:val="none"/>
        </w:rPr>
        <w:t>.</w:t>
      </w:r>
      <w:r>
        <w:rPr>
          <w:rFonts w:hint="eastAsia" w:ascii="宋体" w:hAnsi="宋体" w:eastAsia="宋体" w:cs="宋体"/>
          <w:snapToGrid w:val="0"/>
          <w:color w:val="auto"/>
          <w:sz w:val="24"/>
          <w:szCs w:val="24"/>
          <w:highlight w:val="none"/>
          <w:lang w:val="en-US" w:eastAsia="zh-CN"/>
        </w:rPr>
        <w:t xml:space="preserve">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 号）、《政府采购促进中小企业发展管理办法》（财库〔2020〕46 号）、《关于印发中小企业划型标准规定的通知》（工信部联企业〔2011〕300 号）、《金融业企业划型标准规定》（〔2015〕309 号）等国务院批准的中小企业划分标准执行。 </w:t>
      </w:r>
    </w:p>
    <w:p w14:paraId="775C3158">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lang w:val="en-US" w:eastAsia="zh-CN"/>
        </w:rPr>
        <w:t>42</w:t>
      </w:r>
      <w:r>
        <w:rPr>
          <w:rFonts w:hint="eastAsia" w:ascii="宋体" w:hAnsi="宋体" w:eastAsia="宋体" w:cs="宋体"/>
          <w:snapToGrid w:val="0"/>
          <w:color w:val="auto"/>
          <w:sz w:val="24"/>
          <w:szCs w:val="24"/>
          <w:highlight w:val="none"/>
        </w:rPr>
        <w:t>.</w:t>
      </w:r>
      <w:r>
        <w:rPr>
          <w:rFonts w:hint="eastAsia" w:ascii="宋体" w:hAnsi="宋体" w:eastAsia="宋体" w:cs="宋体"/>
          <w:snapToGrid w:val="0"/>
          <w:color w:val="auto"/>
          <w:sz w:val="24"/>
          <w:szCs w:val="24"/>
          <w:highlight w:val="none"/>
          <w:lang w:val="en-US" w:eastAsia="zh-CN"/>
        </w:rPr>
        <w:t>2</w:t>
      </w:r>
      <w:r>
        <w:rPr>
          <w:rFonts w:hint="eastAsia" w:ascii="宋体" w:hAnsi="宋体" w:eastAsia="宋体" w:cs="宋体"/>
          <w:snapToGrid w:val="0"/>
          <w:color w:val="auto"/>
          <w:sz w:val="24"/>
          <w:szCs w:val="24"/>
          <w:highlight w:val="none"/>
        </w:rPr>
        <w:t>为促进中小企业发展，依据《关于印发&lt;政府采购促进中小企业发展管理办法&gt;的通知》（财库〔2020〕46号）、《财政部 司法部关于政府采购支持监狱企业发展有关问题的通知》（财库〔2014〕68号）、《关于促进残疾人就业政府采购政策的通知》（财库〔2017〕141号）的规定，本项目供应商如</w:t>
      </w:r>
      <w:r>
        <w:rPr>
          <w:rFonts w:hint="eastAsia" w:ascii="宋体" w:hAnsi="宋体" w:eastAsia="宋体" w:cs="宋体"/>
          <w:snapToGrid w:val="0"/>
          <w:color w:val="auto"/>
          <w:sz w:val="24"/>
          <w:szCs w:val="24"/>
          <w:highlight w:val="none"/>
          <w:lang w:eastAsia="zh-CN"/>
        </w:rPr>
        <w:t>需享受中小企业相关政策的，且</w:t>
      </w:r>
      <w:r>
        <w:rPr>
          <w:rFonts w:hint="eastAsia" w:ascii="宋体" w:hAnsi="宋体" w:eastAsia="宋体" w:cs="宋体"/>
          <w:snapToGrid w:val="0"/>
          <w:color w:val="auto"/>
          <w:sz w:val="24"/>
          <w:szCs w:val="24"/>
          <w:highlight w:val="none"/>
        </w:rPr>
        <w:t>符合上述文件规定的，</w:t>
      </w:r>
      <w:r>
        <w:rPr>
          <w:rFonts w:hint="eastAsia" w:ascii="宋体" w:hAnsi="宋体" w:eastAsia="宋体" w:cs="宋体"/>
          <w:snapToGrid w:val="0"/>
          <w:color w:val="auto"/>
          <w:sz w:val="24"/>
          <w:szCs w:val="24"/>
          <w:highlight w:val="none"/>
          <w:lang w:eastAsia="zh-CN"/>
        </w:rPr>
        <w:t>应按本</w:t>
      </w:r>
      <w:r>
        <w:rPr>
          <w:rFonts w:hint="eastAsia" w:ascii="宋体" w:hAnsi="宋体" w:eastAsia="宋体" w:cs="宋体"/>
          <w:snapToGrid w:val="0"/>
          <w:color w:val="auto"/>
          <w:sz w:val="24"/>
          <w:szCs w:val="24"/>
          <w:highlight w:val="none"/>
          <w:lang w:val="en-US" w:eastAsia="zh-CN"/>
        </w:rPr>
        <w:t>招标</w:t>
      </w:r>
      <w:r>
        <w:rPr>
          <w:rFonts w:hint="eastAsia" w:ascii="宋体" w:hAnsi="宋体" w:eastAsia="宋体" w:cs="宋体"/>
          <w:snapToGrid w:val="0"/>
          <w:color w:val="auto"/>
          <w:sz w:val="24"/>
          <w:szCs w:val="24"/>
          <w:highlight w:val="none"/>
          <w:lang w:eastAsia="zh-CN"/>
        </w:rPr>
        <w:t>文件规定格式</w:t>
      </w:r>
      <w:r>
        <w:rPr>
          <w:rFonts w:hint="eastAsia" w:ascii="宋体" w:hAnsi="宋体" w:eastAsia="宋体" w:cs="宋体"/>
          <w:snapToGrid w:val="0"/>
          <w:color w:val="auto"/>
          <w:sz w:val="24"/>
          <w:szCs w:val="24"/>
          <w:highlight w:val="none"/>
        </w:rPr>
        <w:t>提供</w:t>
      </w:r>
      <w:r>
        <w:rPr>
          <w:rFonts w:hint="eastAsia" w:ascii="宋体" w:hAnsi="宋体" w:eastAsia="宋体" w:cs="宋体"/>
          <w:snapToGrid w:val="0"/>
          <w:color w:val="auto"/>
          <w:sz w:val="24"/>
          <w:szCs w:val="24"/>
          <w:highlight w:val="none"/>
          <w:lang w:eastAsia="zh-CN"/>
        </w:rPr>
        <w:t>“</w:t>
      </w:r>
      <w:r>
        <w:rPr>
          <w:rFonts w:hint="eastAsia" w:ascii="宋体" w:hAnsi="宋体" w:eastAsia="宋体" w:cs="宋体"/>
          <w:snapToGrid w:val="0"/>
          <w:color w:val="auto"/>
          <w:sz w:val="24"/>
          <w:szCs w:val="24"/>
          <w:highlight w:val="none"/>
        </w:rPr>
        <w:t>中小企业声明函</w:t>
      </w:r>
      <w:r>
        <w:rPr>
          <w:rFonts w:hint="eastAsia" w:ascii="宋体" w:hAnsi="宋体" w:eastAsia="宋体" w:cs="宋体"/>
          <w:snapToGrid w:val="0"/>
          <w:color w:val="auto"/>
          <w:sz w:val="24"/>
          <w:szCs w:val="24"/>
          <w:highlight w:val="none"/>
          <w:lang w:eastAsia="zh-CN"/>
        </w:rPr>
        <w:t>”</w:t>
      </w:r>
      <w:r>
        <w:rPr>
          <w:rFonts w:hint="eastAsia" w:ascii="宋体" w:hAnsi="宋体" w:eastAsia="宋体" w:cs="宋体"/>
          <w:snapToGrid w:val="0"/>
          <w:color w:val="auto"/>
          <w:sz w:val="24"/>
          <w:szCs w:val="24"/>
          <w:highlight w:val="none"/>
          <w:lang w:val="en-US" w:eastAsia="zh-CN"/>
        </w:rPr>
        <w:t>或“</w:t>
      </w:r>
      <w:r>
        <w:rPr>
          <w:rFonts w:hint="eastAsia" w:ascii="宋体" w:hAnsi="宋体" w:eastAsia="宋体" w:cs="宋体"/>
          <w:snapToGrid w:val="0"/>
          <w:color w:val="auto"/>
          <w:sz w:val="24"/>
          <w:szCs w:val="24"/>
          <w:highlight w:val="none"/>
        </w:rPr>
        <w:t>监狱企业证明文件</w:t>
      </w:r>
      <w:r>
        <w:rPr>
          <w:rFonts w:hint="eastAsia" w:ascii="宋体" w:hAnsi="宋体" w:eastAsia="宋体" w:cs="宋体"/>
          <w:snapToGrid w:val="0"/>
          <w:color w:val="auto"/>
          <w:sz w:val="24"/>
          <w:szCs w:val="24"/>
          <w:highlight w:val="none"/>
          <w:lang w:eastAsia="zh-CN"/>
        </w:rPr>
        <w:t>”</w:t>
      </w:r>
      <w:r>
        <w:rPr>
          <w:rFonts w:hint="eastAsia" w:ascii="宋体" w:hAnsi="宋体" w:eastAsia="宋体" w:cs="宋体"/>
          <w:snapToGrid w:val="0"/>
          <w:color w:val="auto"/>
          <w:sz w:val="24"/>
          <w:szCs w:val="24"/>
          <w:highlight w:val="none"/>
          <w:lang w:val="en-US" w:eastAsia="zh-CN"/>
        </w:rPr>
        <w:t>或</w:t>
      </w:r>
      <w:r>
        <w:rPr>
          <w:rFonts w:hint="eastAsia" w:ascii="宋体" w:hAnsi="宋体" w:eastAsia="宋体" w:cs="宋体"/>
          <w:snapToGrid w:val="0"/>
          <w:color w:val="auto"/>
          <w:sz w:val="24"/>
          <w:szCs w:val="24"/>
          <w:highlight w:val="none"/>
          <w:lang w:eastAsia="zh-CN"/>
        </w:rPr>
        <w:t>“</w:t>
      </w:r>
      <w:r>
        <w:rPr>
          <w:rFonts w:hint="eastAsia" w:ascii="宋体" w:hAnsi="宋体" w:eastAsia="宋体" w:cs="宋体"/>
          <w:snapToGrid w:val="0"/>
          <w:color w:val="auto"/>
          <w:sz w:val="24"/>
          <w:szCs w:val="24"/>
          <w:highlight w:val="none"/>
        </w:rPr>
        <w:t>残疾人福利性单位声明函</w:t>
      </w:r>
      <w:r>
        <w:rPr>
          <w:rFonts w:hint="eastAsia" w:ascii="宋体" w:hAnsi="宋体" w:eastAsia="宋体" w:cs="宋体"/>
          <w:snapToGrid w:val="0"/>
          <w:color w:val="auto"/>
          <w:sz w:val="24"/>
          <w:szCs w:val="24"/>
          <w:highlight w:val="none"/>
          <w:lang w:eastAsia="zh-CN"/>
        </w:rPr>
        <w:t>”</w:t>
      </w:r>
      <w:r>
        <w:rPr>
          <w:rFonts w:hint="eastAsia" w:ascii="宋体" w:hAnsi="宋体" w:eastAsia="宋体" w:cs="宋体"/>
          <w:snapToGrid w:val="0"/>
          <w:color w:val="auto"/>
          <w:sz w:val="24"/>
          <w:szCs w:val="24"/>
          <w:highlight w:val="none"/>
        </w:rPr>
        <w:t>，评审时，</w:t>
      </w:r>
      <w:r>
        <w:rPr>
          <w:rFonts w:hint="eastAsia" w:ascii="宋体" w:hAnsi="宋体" w:eastAsia="宋体" w:cs="宋体"/>
          <w:snapToGrid w:val="0"/>
          <w:color w:val="auto"/>
          <w:sz w:val="24"/>
          <w:szCs w:val="24"/>
          <w:highlight w:val="none"/>
          <w:lang w:val="en-US" w:eastAsia="zh-CN"/>
        </w:rPr>
        <w:t>评标委员会</w:t>
      </w:r>
      <w:r>
        <w:rPr>
          <w:rFonts w:hint="eastAsia" w:ascii="宋体" w:hAnsi="宋体" w:eastAsia="宋体" w:cs="宋体"/>
          <w:snapToGrid w:val="0"/>
          <w:color w:val="auto"/>
          <w:sz w:val="24"/>
          <w:szCs w:val="24"/>
          <w:highlight w:val="none"/>
        </w:rPr>
        <w:t>将依据</w:t>
      </w:r>
      <w:r>
        <w:rPr>
          <w:rFonts w:hint="eastAsia" w:ascii="宋体" w:hAnsi="宋体" w:eastAsia="宋体" w:cs="宋体"/>
          <w:snapToGrid w:val="0"/>
          <w:color w:val="auto"/>
          <w:sz w:val="24"/>
          <w:szCs w:val="24"/>
          <w:highlight w:val="none"/>
          <w:lang w:eastAsia="zh-CN"/>
        </w:rPr>
        <w:t>本</w:t>
      </w:r>
      <w:r>
        <w:rPr>
          <w:rFonts w:hint="eastAsia" w:ascii="宋体" w:hAnsi="宋体" w:eastAsia="宋体" w:cs="宋体"/>
          <w:snapToGrid w:val="0"/>
          <w:color w:val="auto"/>
          <w:sz w:val="24"/>
          <w:szCs w:val="24"/>
          <w:highlight w:val="none"/>
          <w:lang w:val="en-US" w:eastAsia="zh-CN"/>
        </w:rPr>
        <w:t>招标</w:t>
      </w:r>
      <w:r>
        <w:rPr>
          <w:rFonts w:hint="eastAsia" w:ascii="宋体" w:hAnsi="宋体" w:eastAsia="宋体" w:cs="宋体"/>
          <w:snapToGrid w:val="0"/>
          <w:color w:val="auto"/>
          <w:sz w:val="24"/>
          <w:szCs w:val="24"/>
          <w:highlight w:val="none"/>
          <w:lang w:eastAsia="zh-CN"/>
        </w:rPr>
        <w:t>文件</w:t>
      </w:r>
      <w:r>
        <w:rPr>
          <w:rFonts w:hint="eastAsia" w:ascii="宋体" w:hAnsi="宋体" w:eastAsia="宋体" w:cs="宋体"/>
          <w:snapToGrid w:val="0"/>
          <w:color w:val="auto"/>
          <w:sz w:val="24"/>
          <w:szCs w:val="24"/>
          <w:highlight w:val="none"/>
        </w:rPr>
        <w:t>“</w:t>
      </w:r>
      <w:r>
        <w:rPr>
          <w:rFonts w:hint="eastAsia" w:ascii="宋体" w:hAnsi="宋体" w:eastAsia="宋体" w:cs="宋体"/>
          <w:snapToGrid w:val="0"/>
          <w:color w:val="auto"/>
          <w:sz w:val="24"/>
          <w:szCs w:val="24"/>
          <w:highlight w:val="none"/>
          <w:lang w:val="en-US" w:eastAsia="zh-CN"/>
        </w:rPr>
        <w:t>投标人</w:t>
      </w:r>
      <w:r>
        <w:rPr>
          <w:rFonts w:hint="eastAsia" w:ascii="宋体" w:hAnsi="宋体" w:eastAsia="宋体" w:cs="宋体"/>
          <w:snapToGrid w:val="0"/>
          <w:color w:val="auto"/>
          <w:sz w:val="24"/>
          <w:szCs w:val="24"/>
          <w:highlight w:val="none"/>
        </w:rPr>
        <w:t>须知前附表”规定的报价扣除比例，对供应商报价进行价格扣除，用扣除后的价格参与评审</w:t>
      </w:r>
      <w:r>
        <w:rPr>
          <w:rFonts w:hint="eastAsia" w:ascii="宋体" w:hAnsi="宋体" w:eastAsia="宋体" w:cs="宋体"/>
          <w:snapToGrid w:val="0"/>
          <w:color w:val="auto"/>
          <w:sz w:val="24"/>
          <w:szCs w:val="24"/>
          <w:highlight w:val="none"/>
          <w:lang w:eastAsia="zh-CN"/>
        </w:rPr>
        <w:t>；</w:t>
      </w:r>
      <w:r>
        <w:rPr>
          <w:rFonts w:hint="eastAsia" w:ascii="宋体" w:hAnsi="宋体" w:eastAsia="宋体" w:cs="宋体"/>
          <w:snapToGrid w:val="0"/>
          <w:color w:val="auto"/>
          <w:sz w:val="24"/>
          <w:szCs w:val="24"/>
          <w:highlight w:val="none"/>
          <w:lang w:val="en-US" w:eastAsia="zh-CN"/>
        </w:rPr>
        <w:t>招标</w:t>
      </w:r>
      <w:r>
        <w:rPr>
          <w:rFonts w:hint="eastAsia" w:ascii="宋体" w:hAnsi="宋体" w:eastAsia="宋体" w:cs="宋体"/>
          <w:snapToGrid w:val="0"/>
          <w:color w:val="auto"/>
          <w:sz w:val="24"/>
          <w:szCs w:val="24"/>
          <w:highlight w:val="none"/>
          <w:lang w:eastAsia="zh-CN"/>
        </w:rPr>
        <w:t>公告中明确项目专门面向中小企业采购的，“</w:t>
      </w:r>
      <w:r>
        <w:rPr>
          <w:rFonts w:hint="eastAsia" w:ascii="宋体" w:hAnsi="宋体" w:eastAsia="宋体" w:cs="宋体"/>
          <w:snapToGrid w:val="0"/>
          <w:color w:val="auto"/>
          <w:sz w:val="24"/>
          <w:szCs w:val="24"/>
          <w:highlight w:val="none"/>
        </w:rPr>
        <w:t>中小企业声明函</w:t>
      </w:r>
      <w:r>
        <w:rPr>
          <w:rFonts w:hint="eastAsia" w:ascii="宋体" w:hAnsi="宋体" w:eastAsia="宋体" w:cs="宋体"/>
          <w:snapToGrid w:val="0"/>
          <w:color w:val="auto"/>
          <w:sz w:val="24"/>
          <w:szCs w:val="24"/>
          <w:highlight w:val="none"/>
          <w:lang w:eastAsia="zh-CN"/>
        </w:rPr>
        <w:t>”为资格要求文件，</w:t>
      </w:r>
      <w:r>
        <w:rPr>
          <w:rFonts w:hint="eastAsia" w:ascii="宋体" w:hAnsi="宋体" w:eastAsia="宋体" w:cs="宋体"/>
          <w:snapToGrid w:val="0"/>
          <w:color w:val="auto"/>
          <w:sz w:val="24"/>
          <w:szCs w:val="24"/>
          <w:highlight w:val="none"/>
        </w:rPr>
        <w:t>供应商</w:t>
      </w:r>
      <w:r>
        <w:rPr>
          <w:rFonts w:hint="eastAsia" w:ascii="宋体" w:hAnsi="宋体" w:eastAsia="宋体" w:cs="宋体"/>
          <w:snapToGrid w:val="0"/>
          <w:color w:val="auto"/>
          <w:sz w:val="24"/>
          <w:szCs w:val="24"/>
          <w:highlight w:val="none"/>
          <w:lang w:eastAsia="zh-CN"/>
        </w:rPr>
        <w:t>参与</w:t>
      </w:r>
      <w:r>
        <w:rPr>
          <w:rFonts w:hint="eastAsia" w:ascii="宋体" w:hAnsi="宋体" w:eastAsia="宋体" w:cs="宋体"/>
          <w:snapToGrid w:val="0"/>
          <w:color w:val="auto"/>
          <w:sz w:val="24"/>
          <w:szCs w:val="24"/>
          <w:highlight w:val="none"/>
          <w:lang w:val="en-US" w:eastAsia="zh-CN"/>
        </w:rPr>
        <w:t>投标</w:t>
      </w:r>
      <w:r>
        <w:rPr>
          <w:rFonts w:hint="eastAsia" w:ascii="宋体" w:hAnsi="宋体" w:eastAsia="宋体" w:cs="宋体"/>
          <w:snapToGrid w:val="0"/>
          <w:color w:val="auto"/>
          <w:sz w:val="24"/>
          <w:szCs w:val="24"/>
          <w:highlight w:val="none"/>
          <w:lang w:eastAsia="zh-CN"/>
        </w:rPr>
        <w:t>须按本</w:t>
      </w:r>
      <w:r>
        <w:rPr>
          <w:rFonts w:hint="eastAsia" w:ascii="宋体" w:hAnsi="宋体" w:eastAsia="宋体" w:cs="宋体"/>
          <w:snapToGrid w:val="0"/>
          <w:color w:val="auto"/>
          <w:sz w:val="24"/>
          <w:szCs w:val="24"/>
          <w:highlight w:val="none"/>
          <w:lang w:val="en-US" w:eastAsia="zh-CN"/>
        </w:rPr>
        <w:t>招标</w:t>
      </w:r>
      <w:r>
        <w:rPr>
          <w:rFonts w:hint="eastAsia" w:ascii="宋体" w:hAnsi="宋体" w:eastAsia="宋体" w:cs="宋体"/>
          <w:snapToGrid w:val="0"/>
          <w:color w:val="auto"/>
          <w:sz w:val="24"/>
          <w:szCs w:val="24"/>
          <w:highlight w:val="none"/>
          <w:lang w:eastAsia="zh-CN"/>
        </w:rPr>
        <w:t>文件规定格式</w:t>
      </w:r>
      <w:r>
        <w:rPr>
          <w:rFonts w:hint="eastAsia" w:ascii="宋体" w:hAnsi="宋体" w:eastAsia="宋体" w:cs="宋体"/>
          <w:snapToGrid w:val="0"/>
          <w:color w:val="auto"/>
          <w:sz w:val="24"/>
          <w:szCs w:val="24"/>
          <w:highlight w:val="none"/>
        </w:rPr>
        <w:t>提供</w:t>
      </w:r>
      <w:r>
        <w:rPr>
          <w:rFonts w:hint="eastAsia" w:ascii="宋体" w:hAnsi="宋体" w:eastAsia="宋体" w:cs="宋体"/>
          <w:snapToGrid w:val="0"/>
          <w:color w:val="auto"/>
          <w:sz w:val="24"/>
          <w:szCs w:val="24"/>
          <w:highlight w:val="none"/>
          <w:lang w:eastAsia="zh-CN"/>
        </w:rPr>
        <w:t>“</w:t>
      </w:r>
      <w:r>
        <w:rPr>
          <w:rFonts w:hint="eastAsia" w:ascii="宋体" w:hAnsi="宋体" w:eastAsia="宋体" w:cs="宋体"/>
          <w:snapToGrid w:val="0"/>
          <w:color w:val="auto"/>
          <w:sz w:val="24"/>
          <w:szCs w:val="24"/>
          <w:highlight w:val="none"/>
        </w:rPr>
        <w:t>中小企业声明函</w:t>
      </w:r>
      <w:r>
        <w:rPr>
          <w:rFonts w:hint="eastAsia" w:ascii="宋体" w:hAnsi="宋体" w:eastAsia="宋体" w:cs="宋体"/>
          <w:snapToGrid w:val="0"/>
          <w:color w:val="auto"/>
          <w:sz w:val="24"/>
          <w:szCs w:val="24"/>
          <w:highlight w:val="none"/>
          <w:lang w:eastAsia="zh-CN"/>
        </w:rPr>
        <w:t>”</w:t>
      </w:r>
      <w:r>
        <w:rPr>
          <w:rFonts w:hint="eastAsia" w:ascii="宋体" w:hAnsi="宋体" w:eastAsia="宋体" w:cs="宋体"/>
          <w:snapToGrid w:val="0"/>
          <w:color w:val="auto"/>
          <w:sz w:val="24"/>
          <w:szCs w:val="24"/>
          <w:highlight w:val="none"/>
          <w:lang w:val="en-US" w:eastAsia="zh-CN"/>
        </w:rPr>
        <w:t>或“</w:t>
      </w:r>
      <w:r>
        <w:rPr>
          <w:rFonts w:hint="eastAsia" w:ascii="宋体" w:hAnsi="宋体" w:eastAsia="宋体" w:cs="宋体"/>
          <w:snapToGrid w:val="0"/>
          <w:color w:val="auto"/>
          <w:sz w:val="24"/>
          <w:szCs w:val="24"/>
          <w:highlight w:val="none"/>
        </w:rPr>
        <w:t>监狱企业证明文件</w:t>
      </w:r>
      <w:r>
        <w:rPr>
          <w:rFonts w:hint="eastAsia" w:ascii="宋体" w:hAnsi="宋体" w:eastAsia="宋体" w:cs="宋体"/>
          <w:snapToGrid w:val="0"/>
          <w:color w:val="auto"/>
          <w:sz w:val="24"/>
          <w:szCs w:val="24"/>
          <w:highlight w:val="none"/>
          <w:lang w:eastAsia="zh-CN"/>
        </w:rPr>
        <w:t>”</w:t>
      </w:r>
      <w:r>
        <w:rPr>
          <w:rFonts w:hint="eastAsia" w:ascii="宋体" w:hAnsi="宋体" w:eastAsia="宋体" w:cs="宋体"/>
          <w:snapToGrid w:val="0"/>
          <w:color w:val="auto"/>
          <w:sz w:val="24"/>
          <w:szCs w:val="24"/>
          <w:highlight w:val="none"/>
          <w:lang w:val="en-US" w:eastAsia="zh-CN"/>
        </w:rPr>
        <w:t>或</w:t>
      </w:r>
      <w:r>
        <w:rPr>
          <w:rFonts w:hint="eastAsia" w:ascii="宋体" w:hAnsi="宋体" w:eastAsia="宋体" w:cs="宋体"/>
          <w:snapToGrid w:val="0"/>
          <w:color w:val="auto"/>
          <w:sz w:val="24"/>
          <w:szCs w:val="24"/>
          <w:highlight w:val="none"/>
          <w:lang w:eastAsia="zh-CN"/>
        </w:rPr>
        <w:t>“</w:t>
      </w:r>
      <w:r>
        <w:rPr>
          <w:rFonts w:hint="eastAsia" w:ascii="宋体" w:hAnsi="宋体" w:eastAsia="宋体" w:cs="宋体"/>
          <w:snapToGrid w:val="0"/>
          <w:color w:val="auto"/>
          <w:sz w:val="24"/>
          <w:szCs w:val="24"/>
          <w:highlight w:val="none"/>
        </w:rPr>
        <w:t>残疾人福利性单位声明函</w:t>
      </w:r>
      <w:r>
        <w:rPr>
          <w:rFonts w:hint="eastAsia" w:ascii="宋体" w:hAnsi="宋体" w:eastAsia="宋体" w:cs="宋体"/>
          <w:snapToGrid w:val="0"/>
          <w:color w:val="auto"/>
          <w:sz w:val="24"/>
          <w:szCs w:val="24"/>
          <w:highlight w:val="none"/>
          <w:lang w:eastAsia="zh-CN"/>
        </w:rPr>
        <w:t>”等作为资格证明文件。</w:t>
      </w:r>
      <w:r>
        <w:rPr>
          <w:rFonts w:hint="eastAsia" w:ascii="宋体" w:hAnsi="宋体" w:eastAsia="宋体" w:cs="宋体"/>
          <w:snapToGrid w:val="0"/>
          <w:color w:val="auto"/>
          <w:sz w:val="24"/>
          <w:szCs w:val="24"/>
          <w:highlight w:val="none"/>
          <w:lang w:val="en-US" w:eastAsia="zh-CN"/>
        </w:rPr>
        <w:t xml:space="preserve"> </w:t>
      </w:r>
    </w:p>
    <w:p w14:paraId="743E5E0E">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lang w:val="en-US" w:eastAsia="zh-CN"/>
        </w:rPr>
        <w:t xml:space="preserve">42.3 供应商提供的货物、工程或者服务符合下列情形的，享受中小企业扶持政策： </w:t>
      </w:r>
    </w:p>
    <w:p w14:paraId="07E7A00A">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lang w:val="en-US" w:eastAsia="zh-CN"/>
        </w:rPr>
        <w:t xml:space="preserve">（1）在货物采购项目中，货物由中小企业制造，即货物由中小企业生产且使用该中小企业商号或者注册商标； </w:t>
      </w:r>
    </w:p>
    <w:p w14:paraId="128FB5A1">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lang w:val="en-US" w:eastAsia="zh-CN"/>
        </w:rPr>
        <w:t xml:space="preserve">（2）在工程采购项目中，工程由中小企业承建，即工程施工单位为中小企业； </w:t>
      </w:r>
    </w:p>
    <w:p w14:paraId="4557B965">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lang w:val="en-US" w:eastAsia="zh-CN"/>
        </w:rPr>
        <w:t>（3）在服务采购项目中，服务由中小企业承接，即提供服务的人员为中小企业依照《中华人民共和国劳动合同法》订立劳动合同的从业人员。</w:t>
      </w:r>
    </w:p>
    <w:p w14:paraId="5C38B69F">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lang w:val="en-US" w:eastAsia="zh-CN"/>
        </w:rPr>
        <w:t xml:space="preserve">42.4 在服务采购项目中，供应商提供的服务既有中小企业承接，也有大型企业承接的，不享受中小企业扶持政策。 </w:t>
      </w:r>
    </w:p>
    <w:p w14:paraId="31F905A3">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42.5 以联合体形式参加政府采购活动，联合体各方均为中小企业的，联合体视同中小企业。其中，联合体各方均为小微企业的，联合体视同小微企业。</w:t>
      </w:r>
    </w:p>
    <w:p w14:paraId="589A89E3">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lang w:val="en-US" w:eastAsia="zh-CN"/>
        </w:rPr>
        <w:t xml:space="preserve">42.6 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 </w:t>
      </w:r>
    </w:p>
    <w:p w14:paraId="1EF9D90B">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lang w:val="en-US" w:eastAsia="zh-CN"/>
        </w:rPr>
        <w:t xml:space="preserve">42.7 在政府采购活动中，残疾人福利性单位视同小型、微型企业，享受预留份额、评审中价格扣除等促进中小企业发展的政府采购政策。残疾人福利性单位定义：享受政府采购支持政策的残疾人福利性单位应当同时满足以下条件： </w:t>
      </w:r>
    </w:p>
    <w:p w14:paraId="2EADF7DB">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lang w:val="en-US" w:eastAsia="zh-CN"/>
        </w:rPr>
        <w:t xml:space="preserve">42.7.1 安置的残疾人占本单位在职职工人数的比例不低于 25% （含 25%），并且安置的残疾人人数不少于 10 人（含 10人）； </w:t>
      </w:r>
    </w:p>
    <w:p w14:paraId="5B128E6C">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lang w:val="en-US" w:eastAsia="zh-CN"/>
        </w:rPr>
        <w:t xml:space="preserve">42.7.2 依法与安置的每位残疾人签订了1年以上（含1年）的劳动合同或服务协议； </w:t>
      </w:r>
    </w:p>
    <w:p w14:paraId="750299D4">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lang w:val="en-US" w:eastAsia="zh-CN"/>
        </w:rPr>
        <w:t xml:space="preserve">42.7.3 为安置的每位残疾人按月足额缴纳了基本养老保险、基本医疗保险、失业保险、工伤保险和生育保险等社会保险费； </w:t>
      </w:r>
    </w:p>
    <w:p w14:paraId="5494926D">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lang w:val="en-US" w:eastAsia="zh-CN"/>
        </w:rPr>
        <w:t xml:space="preserve">42.7.4 通过银行等金融机构向安置的每位残疾人，按月支付了不低于单位所在区县适用的经省级人民政府批准的月最低工资标准的工资； </w:t>
      </w:r>
    </w:p>
    <w:p w14:paraId="6AD696D2">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lang w:val="en-US" w:eastAsia="zh-CN"/>
        </w:rPr>
        <w:t xml:space="preserve">42.7.5 提供本单位制造的货物、承担的工程或者服务（以下简称产品），或者提供其他残疾人福利性单位制造的货物（不包括使用非残疾人福利性单位注册商标的货物）； </w:t>
      </w:r>
    </w:p>
    <w:p w14:paraId="6F6930A8">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lang w:val="en-US" w:eastAsia="zh-CN"/>
        </w:rPr>
        <w:t xml:space="preserve">42.7.6 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级）》的自然人，包括具有劳动条件和劳动意愿的精神残疾人。在职职工人数是指与残疾人福利性单位建立劳动关系并依法签订劳动合同或服务协议的雇员人数。 </w:t>
      </w:r>
    </w:p>
    <w:p w14:paraId="50A69BFA">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lang w:val="en-US" w:eastAsia="zh-CN"/>
        </w:rPr>
        <w:t xml:space="preserve">42.8 本项目是否专门面向中小企业预留采购份额见“第一章 </w:t>
      </w:r>
      <w:r>
        <w:rPr>
          <w:rFonts w:hint="eastAsia" w:ascii="宋体" w:hAnsi="宋体" w:eastAsia="宋体" w:cs="宋体"/>
          <w:color w:val="auto"/>
          <w:sz w:val="24"/>
          <w:szCs w:val="24"/>
          <w:highlight w:val="none"/>
          <w:lang w:val="en-US" w:eastAsia="zh-CN"/>
        </w:rPr>
        <w:t>招标公告</w:t>
      </w:r>
      <w:r>
        <w:rPr>
          <w:rFonts w:hint="eastAsia" w:ascii="宋体" w:hAnsi="宋体" w:eastAsia="宋体" w:cs="宋体"/>
          <w:snapToGrid w:val="0"/>
          <w:color w:val="auto"/>
          <w:sz w:val="24"/>
          <w:szCs w:val="24"/>
          <w:highlight w:val="none"/>
          <w:lang w:val="en-US" w:eastAsia="zh-CN"/>
        </w:rPr>
        <w:t>”。    42.9 采购标的对应的中小企业划分标准所属行业见“投标人须知前附表”。    42.10 小微企业价格评审优惠的政策调整：见“投标人须知前附表”及“第五章 评标方法及标准”。</w:t>
      </w:r>
    </w:p>
    <w:p w14:paraId="17DD5FF7">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397" w:name="_Toc23996"/>
      <w:bookmarkStart w:id="398" w:name="_Toc5861"/>
      <w:bookmarkStart w:id="399" w:name="_Toc163492878"/>
      <w:bookmarkStart w:id="400" w:name="_Toc15890"/>
      <w:r>
        <w:rPr>
          <w:rFonts w:hint="eastAsia" w:ascii="宋体" w:hAnsi="宋体" w:eastAsia="宋体" w:cs="宋体"/>
          <w:b/>
          <w:bCs/>
          <w:color w:val="auto"/>
          <w:kern w:val="2"/>
          <w:sz w:val="24"/>
          <w:szCs w:val="24"/>
          <w:highlight w:val="none"/>
          <w:lang w:val="en-US" w:eastAsia="zh-CN" w:bidi="ar-SA"/>
        </w:rPr>
        <w:t>43.政府采购节能产品、环境标志产品</w:t>
      </w:r>
      <w:bookmarkEnd w:id="397"/>
      <w:bookmarkEnd w:id="398"/>
      <w:bookmarkEnd w:id="399"/>
      <w:bookmarkEnd w:id="400"/>
    </w:p>
    <w:p w14:paraId="741E7E7A">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lang w:val="en-US" w:eastAsia="zh-CN"/>
        </w:rPr>
        <w:t>43.1 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关于政府采购节能产品、环境标志产品的相关规定依据《关于调整优化节能产品、环境标志产品政府采购执行机制的通知》（财库〔2019〕9 号）、《关于印发环境标志产品政府采购品目清单的通知》（财库〔2019〕18号）、《关于印发节能产品政府采购品目清单的通知》（财库〔2019〕19号）的规定。</w:t>
      </w:r>
    </w:p>
    <w:p w14:paraId="2EC4C51A">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lang w:val="en-US" w:eastAsia="zh-CN"/>
        </w:rPr>
        <w:t xml:space="preserve">43.2 采购人拟采购的产品属于品目清单范围的，采购人及其委托的采购代理机构依据国家确定的认证机构出具的、处于有效期之内的节能产品、环境标志产品认证证书，对获得证书的产品实施政府优先采购或强制采购。 </w:t>
      </w:r>
    </w:p>
    <w:p w14:paraId="25CFE0EE">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lang w:val="en-US" w:eastAsia="zh-CN"/>
        </w:rPr>
        <w:t>43.3 如本项目采购产品属于实施政府强制采购品目清单范围的节能产品，则投标人所报产品必须获得国家确定的认证机构出具的、处于有效期之内的节能产品认证证书，否则</w:t>
      </w:r>
      <w:r>
        <w:rPr>
          <w:rFonts w:hint="eastAsia" w:ascii="宋体" w:hAnsi="宋体" w:eastAsia="宋体" w:cs="宋体"/>
          <w:b/>
          <w:bCs/>
          <w:snapToGrid w:val="0"/>
          <w:color w:val="auto"/>
          <w:sz w:val="24"/>
          <w:szCs w:val="24"/>
          <w:highlight w:val="none"/>
          <w:lang w:val="en-US" w:eastAsia="zh-CN"/>
        </w:rPr>
        <w:t>投标无效</w:t>
      </w:r>
      <w:r>
        <w:rPr>
          <w:rFonts w:hint="eastAsia" w:ascii="宋体" w:hAnsi="宋体" w:eastAsia="宋体" w:cs="宋体"/>
          <w:snapToGrid w:val="0"/>
          <w:color w:val="auto"/>
          <w:sz w:val="24"/>
          <w:szCs w:val="24"/>
          <w:highlight w:val="none"/>
          <w:lang w:val="en-US" w:eastAsia="zh-CN"/>
        </w:rPr>
        <w:t xml:space="preserve">。 </w:t>
      </w:r>
    </w:p>
    <w:p w14:paraId="04E599F1">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lang w:val="en-US" w:eastAsia="zh-CN"/>
        </w:rPr>
        <w:t>43.4 非政府强制采购的节能产品或环境标志产品，依据品目清单和认证证书实施政府优先采购。优先采购的具体规定见“第五章 评标方法及标准”（如涉及）。</w:t>
      </w:r>
    </w:p>
    <w:p w14:paraId="51B3D928">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snapToGrid w:val="0"/>
          <w:color w:val="auto"/>
          <w:sz w:val="24"/>
          <w:szCs w:val="24"/>
          <w:highlight w:val="none"/>
          <w:lang w:val="en-US" w:eastAsia="zh-CN"/>
        </w:rPr>
        <w:t xml:space="preserve">43.5 </w:t>
      </w:r>
      <w:r>
        <w:rPr>
          <w:rFonts w:hint="eastAsia" w:ascii="宋体" w:hAnsi="宋体" w:eastAsia="宋体" w:cs="宋体"/>
          <w:snapToGrid w:val="0"/>
          <w:color w:val="auto"/>
          <w:sz w:val="24"/>
          <w:szCs w:val="24"/>
          <w:highlight w:val="none"/>
        </w:rPr>
        <w:t>投标人所投产品如属于节能产品政府采购品目清单、环境标志产品政府采购品目清单范围的，须提供国家确定的认证机构出具的、处于有效期内的产品认证证书，认证证书的产品型号与所投产品不一致的，视为未提供。属于政府强制采购产品的，已作为投标时强制性要求不再给予</w:t>
      </w:r>
      <w:r>
        <w:rPr>
          <w:rFonts w:hint="eastAsia" w:ascii="宋体" w:hAnsi="宋体" w:eastAsia="宋体" w:cs="宋体"/>
          <w:snapToGrid w:val="0"/>
          <w:color w:val="auto"/>
          <w:sz w:val="24"/>
          <w:szCs w:val="24"/>
          <w:highlight w:val="none"/>
          <w:lang w:val="en-US" w:eastAsia="zh-CN"/>
        </w:rPr>
        <w:t>价格评审优惠</w:t>
      </w:r>
      <w:r>
        <w:rPr>
          <w:rFonts w:hint="eastAsia" w:ascii="宋体" w:hAnsi="宋体" w:eastAsia="宋体" w:cs="宋体"/>
          <w:snapToGrid w:val="0"/>
          <w:color w:val="auto"/>
          <w:sz w:val="24"/>
          <w:szCs w:val="24"/>
          <w:highlight w:val="none"/>
        </w:rPr>
        <w:t>，未提供认证证书的视为</w:t>
      </w:r>
      <w:r>
        <w:rPr>
          <w:rFonts w:hint="eastAsia" w:ascii="宋体" w:hAnsi="宋体" w:eastAsia="宋体" w:cs="宋体"/>
          <w:b/>
          <w:bCs/>
          <w:snapToGrid w:val="0"/>
          <w:color w:val="auto"/>
          <w:sz w:val="24"/>
          <w:szCs w:val="24"/>
          <w:highlight w:val="none"/>
          <w:lang w:val="en-US" w:eastAsia="zh-CN"/>
        </w:rPr>
        <w:t>投标</w:t>
      </w:r>
      <w:r>
        <w:rPr>
          <w:rFonts w:hint="eastAsia" w:ascii="宋体" w:hAnsi="宋体" w:eastAsia="宋体" w:cs="宋体"/>
          <w:b/>
          <w:bCs/>
          <w:snapToGrid w:val="0"/>
          <w:color w:val="auto"/>
          <w:sz w:val="24"/>
          <w:szCs w:val="24"/>
          <w:highlight w:val="none"/>
        </w:rPr>
        <w:t>无效</w:t>
      </w:r>
      <w:r>
        <w:rPr>
          <w:rFonts w:hint="eastAsia" w:ascii="宋体" w:hAnsi="宋体" w:eastAsia="宋体" w:cs="宋体"/>
          <w:snapToGrid w:val="0"/>
          <w:color w:val="auto"/>
          <w:sz w:val="24"/>
          <w:szCs w:val="24"/>
          <w:highlight w:val="none"/>
        </w:rPr>
        <w:t>。属于</w:t>
      </w:r>
      <w:r>
        <w:rPr>
          <w:rFonts w:hint="eastAsia" w:ascii="宋体" w:hAnsi="宋体" w:eastAsia="宋体" w:cs="宋体"/>
          <w:snapToGrid w:val="0"/>
          <w:color w:val="auto"/>
          <w:sz w:val="24"/>
          <w:szCs w:val="24"/>
          <w:highlight w:val="none"/>
          <w:lang w:val="en-US" w:eastAsia="zh-CN"/>
        </w:rPr>
        <w:t>优先采购</w:t>
      </w:r>
      <w:r>
        <w:rPr>
          <w:rFonts w:hint="eastAsia" w:ascii="宋体" w:hAnsi="宋体" w:eastAsia="宋体" w:cs="宋体"/>
          <w:snapToGrid w:val="0"/>
          <w:color w:val="auto"/>
          <w:sz w:val="24"/>
          <w:szCs w:val="24"/>
          <w:highlight w:val="none"/>
        </w:rPr>
        <w:t>节能产品政府采购品目清单、环境标志产品政府采购品目清单</w:t>
      </w:r>
      <w:r>
        <w:rPr>
          <w:rFonts w:hint="eastAsia" w:ascii="宋体" w:hAnsi="宋体" w:eastAsia="宋体" w:cs="宋体"/>
          <w:snapToGrid w:val="0"/>
          <w:color w:val="auto"/>
          <w:sz w:val="24"/>
          <w:szCs w:val="24"/>
          <w:highlight w:val="none"/>
          <w:lang w:eastAsia="zh-CN"/>
        </w:rPr>
        <w:t>、</w:t>
      </w:r>
      <w:r>
        <w:rPr>
          <w:rFonts w:hint="eastAsia" w:ascii="宋体" w:hAnsi="宋体" w:eastAsia="宋体" w:cs="宋体"/>
          <w:snapToGrid w:val="0"/>
          <w:color w:val="auto"/>
          <w:sz w:val="24"/>
          <w:szCs w:val="24"/>
          <w:highlight w:val="none"/>
          <w:lang w:val="en-US" w:eastAsia="zh-CN"/>
        </w:rPr>
        <w:t>创新产品</w:t>
      </w:r>
      <w:r>
        <w:rPr>
          <w:rFonts w:hint="eastAsia" w:ascii="宋体" w:hAnsi="宋体" w:eastAsia="宋体" w:cs="宋体"/>
          <w:snapToGrid w:val="0"/>
          <w:color w:val="auto"/>
          <w:sz w:val="24"/>
          <w:szCs w:val="24"/>
          <w:highlight w:val="none"/>
        </w:rPr>
        <w:t>范围的，按照“</w:t>
      </w:r>
      <w:r>
        <w:rPr>
          <w:rFonts w:hint="eastAsia" w:ascii="宋体" w:hAnsi="宋体" w:eastAsia="宋体" w:cs="宋体"/>
          <w:color w:val="auto"/>
          <w:sz w:val="24"/>
          <w:szCs w:val="24"/>
          <w:highlight w:val="none"/>
          <w:lang w:val="en-US" w:eastAsia="zh-CN"/>
        </w:rPr>
        <w:t>第五章 评标方法及标准</w:t>
      </w:r>
      <w:r>
        <w:rPr>
          <w:rFonts w:hint="eastAsia" w:ascii="宋体" w:hAnsi="宋体" w:eastAsia="宋体" w:cs="宋体"/>
          <w:snapToGrid w:val="0"/>
          <w:color w:val="auto"/>
          <w:sz w:val="24"/>
          <w:szCs w:val="24"/>
          <w:highlight w:val="none"/>
        </w:rPr>
        <w:t>”中相关规定</w:t>
      </w:r>
      <w:r>
        <w:rPr>
          <w:rFonts w:hint="eastAsia" w:ascii="宋体" w:hAnsi="宋体" w:eastAsia="宋体" w:cs="宋体"/>
          <w:color w:val="auto"/>
          <w:sz w:val="24"/>
          <w:szCs w:val="24"/>
          <w:highlight w:val="none"/>
          <w:lang w:val="en-US" w:eastAsia="zh-CN"/>
        </w:rPr>
        <w:t>在评审时给予价格评审优惠，具体详见</w:t>
      </w:r>
      <w:r>
        <w:rPr>
          <w:rFonts w:hint="eastAsia" w:ascii="宋体" w:hAnsi="宋体" w:eastAsia="宋体" w:cs="宋体"/>
          <w:snapToGrid w:val="0"/>
          <w:color w:val="auto"/>
          <w:sz w:val="24"/>
          <w:szCs w:val="24"/>
          <w:highlight w:val="none"/>
          <w:lang w:val="en-US" w:eastAsia="zh-CN"/>
        </w:rPr>
        <w:t>“投标人须知前附表”及</w:t>
      </w:r>
      <w:r>
        <w:rPr>
          <w:rFonts w:hint="eastAsia" w:ascii="宋体" w:hAnsi="宋体" w:eastAsia="宋体" w:cs="宋体"/>
          <w:color w:val="auto"/>
          <w:sz w:val="24"/>
          <w:szCs w:val="24"/>
          <w:highlight w:val="none"/>
          <w:lang w:val="en-US" w:eastAsia="zh-CN"/>
        </w:rPr>
        <w:t>“第五章 评标方法及标准”</w:t>
      </w:r>
      <w:r>
        <w:rPr>
          <w:rFonts w:hint="eastAsia" w:ascii="宋体" w:hAnsi="宋体" w:eastAsia="宋体" w:cs="宋体"/>
          <w:color w:val="auto"/>
          <w:sz w:val="24"/>
          <w:szCs w:val="24"/>
          <w:highlight w:val="none"/>
        </w:rPr>
        <w:t>。</w:t>
      </w:r>
    </w:p>
    <w:p w14:paraId="5F04C72A">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401" w:name="_Toc5777"/>
      <w:bookmarkStart w:id="402" w:name="_Toc8054"/>
      <w:bookmarkStart w:id="403" w:name="_Toc22896"/>
      <w:bookmarkStart w:id="404" w:name="_Toc163492879"/>
      <w:r>
        <w:rPr>
          <w:rFonts w:hint="eastAsia" w:ascii="宋体" w:hAnsi="宋体" w:eastAsia="宋体" w:cs="宋体"/>
          <w:b/>
          <w:bCs/>
          <w:color w:val="auto"/>
          <w:kern w:val="2"/>
          <w:sz w:val="24"/>
          <w:szCs w:val="24"/>
          <w:highlight w:val="none"/>
          <w:lang w:val="en-US" w:eastAsia="zh-CN" w:bidi="ar-SA"/>
        </w:rPr>
        <w:t>44.正版软件</w:t>
      </w:r>
      <w:bookmarkEnd w:id="401"/>
      <w:bookmarkEnd w:id="402"/>
      <w:bookmarkEnd w:id="403"/>
      <w:r>
        <w:rPr>
          <w:rFonts w:hint="eastAsia" w:ascii="宋体" w:hAnsi="宋体" w:eastAsia="宋体" w:cs="宋体"/>
          <w:b/>
          <w:bCs/>
          <w:color w:val="auto"/>
          <w:kern w:val="2"/>
          <w:sz w:val="24"/>
          <w:szCs w:val="24"/>
          <w:highlight w:val="none"/>
          <w:lang w:val="en-US" w:eastAsia="zh-CN" w:bidi="ar-SA"/>
        </w:rPr>
        <w:t xml:space="preserve">  </w:t>
      </w:r>
    </w:p>
    <w:p w14:paraId="415973C1">
      <w:pPr>
        <w:pStyle w:val="38"/>
        <w:keepNext w:val="0"/>
        <w:keepLines w:val="0"/>
        <w:pageBreakBefore w:val="0"/>
        <w:widowControl w:val="0"/>
        <w:kinsoku/>
        <w:overflowPunct/>
        <w:topLinePunct w:val="0"/>
        <w:autoSpaceDE/>
        <w:autoSpaceDN/>
        <w:bidi w:val="0"/>
        <w:adjustRightInd/>
        <w:snapToGrid/>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44.1 依据《财政部 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15629.11/1102）并通过国家产品认证的产品。其中，国家有特殊信息安全要求的项目必须采购认证产品，否则</w:t>
      </w:r>
      <w:r>
        <w:rPr>
          <w:rFonts w:hint="eastAsia" w:ascii="宋体" w:hAnsi="宋体" w:eastAsia="宋体" w:cs="宋体"/>
          <w:b/>
          <w:bCs/>
          <w:snapToGrid w:val="0"/>
          <w:color w:val="auto"/>
          <w:sz w:val="24"/>
          <w:szCs w:val="24"/>
          <w:highlight w:val="none"/>
          <w:lang w:val="en-US" w:eastAsia="zh-CN"/>
        </w:rPr>
        <w:t>投标无效</w:t>
      </w:r>
      <w:r>
        <w:rPr>
          <w:rFonts w:hint="eastAsia" w:ascii="宋体" w:hAnsi="宋体" w:eastAsia="宋体" w:cs="宋体"/>
          <w:snapToGrid w:val="0"/>
          <w:color w:val="auto"/>
          <w:sz w:val="24"/>
          <w:szCs w:val="24"/>
          <w:highlight w:val="none"/>
          <w:lang w:val="en-US" w:eastAsia="zh-CN"/>
        </w:rPr>
        <w:t xml:space="preserve">。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 </w:t>
      </w:r>
    </w:p>
    <w:p w14:paraId="7504E407">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44.2 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号）、《国务院办公厅关于印发政府机关使用正版软件管理办法的通知》国办发〔2013〕88号。</w:t>
      </w:r>
    </w:p>
    <w:p w14:paraId="139B1CB1">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405" w:name="_Toc15694"/>
      <w:bookmarkStart w:id="406" w:name="_Toc7834"/>
      <w:bookmarkStart w:id="407" w:name="_Toc27611"/>
      <w:r>
        <w:rPr>
          <w:rFonts w:hint="eastAsia" w:ascii="宋体" w:hAnsi="宋体" w:eastAsia="宋体" w:cs="宋体"/>
          <w:b/>
          <w:bCs/>
          <w:color w:val="auto"/>
          <w:kern w:val="2"/>
          <w:sz w:val="24"/>
          <w:szCs w:val="24"/>
          <w:highlight w:val="none"/>
          <w:lang w:val="en-US" w:eastAsia="zh-CN" w:bidi="ar-SA"/>
        </w:rPr>
        <w:t>45.网络安全专用产品</w:t>
      </w:r>
      <w:bookmarkEnd w:id="405"/>
      <w:bookmarkEnd w:id="406"/>
      <w:bookmarkEnd w:id="407"/>
      <w:r>
        <w:rPr>
          <w:rFonts w:hint="eastAsia" w:ascii="宋体" w:hAnsi="宋体" w:eastAsia="宋体" w:cs="宋体"/>
          <w:b/>
          <w:bCs/>
          <w:color w:val="auto"/>
          <w:kern w:val="2"/>
          <w:sz w:val="24"/>
          <w:szCs w:val="24"/>
          <w:highlight w:val="none"/>
          <w:lang w:val="en-US" w:eastAsia="zh-CN" w:bidi="ar-SA"/>
        </w:rPr>
        <w:t xml:space="preserve">   </w:t>
      </w:r>
    </w:p>
    <w:p w14:paraId="13C08773">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45.1本项目中如涉及网络关键设备或网络安全专用产品的，应严格执行国家互联网信息办公室、工业和信息化部、公安部、财政部和国家认证认可监督管理委员会 2023年第 1 号《关于调整网络安全专用产品安全管理有关事项的公告》及国家互联网信息办公室、工业和信息化部、公安部和国家认证认可监督管理委员会 2023 年第 2号《关于调整&lt;网络关键设备和网络安全专用产品目录&gt;的公告》等相关文件要求，所投标（响应）设备或产品至少符合以下条件之一：一是已由具备资格的机构安全认证合格或安全检测符合要求；二是已获得《计算机信息系统安全专用产品销售许可证》，且在有效期内。采购人、中标(成交)人双方签订合同及验收环节，应包含上述网络安全要求的条款。</w:t>
      </w:r>
    </w:p>
    <w:p w14:paraId="575DAF11">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 xml:space="preserve">45.2本项目中如涉及国家强制性产品认证证书（CCC 认证证书）、电信设备进网许可证、无线电发射设备核准证等市场准入类资质的，应严格执行国家相关法律法规的要求。采购人、中标(成交)人双方签订合同及验收环节，应包含上述市场准入类资质要求的条款。 </w:t>
      </w:r>
    </w:p>
    <w:p w14:paraId="567E703D">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408" w:name="_Toc11862"/>
      <w:bookmarkStart w:id="409" w:name="_Toc5974"/>
      <w:bookmarkStart w:id="410" w:name="_Toc27892"/>
      <w:r>
        <w:rPr>
          <w:rFonts w:hint="eastAsia" w:ascii="宋体" w:hAnsi="宋体" w:eastAsia="宋体" w:cs="宋体"/>
          <w:b/>
          <w:bCs/>
          <w:color w:val="auto"/>
          <w:kern w:val="2"/>
          <w:sz w:val="24"/>
          <w:szCs w:val="24"/>
          <w:highlight w:val="none"/>
          <w:lang w:val="en-US" w:eastAsia="zh-CN" w:bidi="ar-SA"/>
        </w:rPr>
        <w:t>46.采购需求标准</w:t>
      </w:r>
      <w:bookmarkEnd w:id="408"/>
      <w:bookmarkEnd w:id="409"/>
      <w:bookmarkEnd w:id="410"/>
      <w:r>
        <w:rPr>
          <w:rFonts w:hint="eastAsia" w:ascii="宋体" w:hAnsi="宋体" w:eastAsia="宋体" w:cs="宋体"/>
          <w:b/>
          <w:bCs/>
          <w:color w:val="auto"/>
          <w:kern w:val="2"/>
          <w:sz w:val="24"/>
          <w:szCs w:val="24"/>
          <w:highlight w:val="none"/>
          <w:lang w:val="en-US" w:eastAsia="zh-CN" w:bidi="ar-SA"/>
        </w:rPr>
        <w:t xml:space="preserve">   </w:t>
      </w:r>
    </w:p>
    <w:p w14:paraId="77C63652">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 xml:space="preserve">46.1 商品包装、快递包装政府采购需求标准（试行） </w:t>
      </w:r>
    </w:p>
    <w:p w14:paraId="3DA94789">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 xml:space="preserve">为助力打好污染防治攻坚战，推广使用绿色包装，根据财政部关于印发《商品包装政府采购需求标准（试行）》、《快递包装政府采购需求标准（试行）》的通知（财办库〔2020〕123 号），本项目如涉及商品包装和快递包装的，则其具体要求见第三章《采购需求》。 </w:t>
      </w:r>
    </w:p>
    <w:p w14:paraId="27B020C7">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 xml:space="preserve">46.2 绿色数据中心政府采购需求标准（试行） </w:t>
      </w:r>
    </w:p>
    <w:p w14:paraId="16173830">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 xml:space="preserve">为加快数据中心绿色转型，根据财政部 生态环境部 工业和信息化部关于印发《绿色数据中心政府采购需求标准（试行）》的通知（财库〔2023〕7 号），本项目如涉及绿色数据中心，则具体要求见第三章《采购需求》。 </w:t>
      </w:r>
    </w:p>
    <w:p w14:paraId="752FA939">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46.3台式计算机政府采购需求标准</w:t>
      </w:r>
    </w:p>
    <w:p w14:paraId="3830872B">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为提高台式计算机政府采购需求管理的科学化、规范化水平，进一步落实政府采购公平竞争原则，优化营商环境，营造良好的产业生态，财政部 工业和信息化部关于印发《台式计算机政府采购需求标准（2023年版）》的通知（财库〔2023〕29号），本项目如涉及台式计算机采购，则具体要求见第三章《采购需求》。</w:t>
      </w:r>
    </w:p>
    <w:p w14:paraId="3E8B3153">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46.4便携式计算机政府采购需求标准</w:t>
      </w:r>
    </w:p>
    <w:p w14:paraId="2DDABA79">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为提高便携式计算机政府采购需求管理的科学化、规范化水平，进一步落实政府采购公平竞争原则，优化营商环境，营造良好的产业生态，财政部 工业和信息化部关于印发《便携式计算机政府采购需求标准（2023年版）》的通知（财库〔2023〕30号），本项目如涉及便携式计算机采购，则具体要求见第三章《采购需求》。</w:t>
      </w:r>
    </w:p>
    <w:p w14:paraId="385FE90A">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46.5一体式计算机政府采购需求标准</w:t>
      </w:r>
    </w:p>
    <w:p w14:paraId="30E81396">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为提高一体式计算机政府采购需求管理的科学化、规范化水平，进一步落实政府采购公平竞争原则，优化营商环境，营造良好的产业生态，财政部 工业和信息化部关于印发《一体式计算机政府采购需求标准（2023年版）》的通知（财库〔2023〕31号），本项目如涉及一体式计算机采购，则具体要求见第三章《采购需求》。</w:t>
      </w:r>
    </w:p>
    <w:p w14:paraId="07FD3B31">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46.6工作站政府采购需求标准</w:t>
      </w:r>
    </w:p>
    <w:p w14:paraId="23F8A15A">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为提高工作站政府采购需求管理的科学化、规范化水平，进一步落实政府采购公平竞争原则，优化营商环境，营造良好的产业生态，财政部 工业和信息化部关于印发《工作站政府采购需求标准（2023年版）》的通知（财库〔2023〕32号），本项目如涉及工作站采购，则具体要求见第三章《采购需求》。</w:t>
      </w:r>
    </w:p>
    <w:p w14:paraId="6FE6E6D6">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46.7通用服务器政府采购需求标准</w:t>
      </w:r>
    </w:p>
    <w:p w14:paraId="2DC5EFFC">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为提高通用服务器政府采购需求管理的科学化、规范化水平，进一步落实政府采购公平竞争原则，优化营商环境，营造良好的产业生态，财政部 工业和信息化部关于印发《通用服务器政府采购需求标准（2023年版）》的通知（财库〔2023〕33号），本项目如涉及通用服务器采购，则具体要求见第三章《采购需求》。</w:t>
      </w:r>
    </w:p>
    <w:p w14:paraId="5822E475">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46.8操作系统政府采购需求标准</w:t>
      </w:r>
    </w:p>
    <w:p w14:paraId="0C0F87EE">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为提高操作系统政府采购需求管理的科学化、规范化水平，进一步落实政府采购公平竞争原则，优化营商环境，营造良好的产业生态，财政部 工业和信息化部关于印发《操作系统政府采购需求标准（2023年版）》的通知（财库〔2023〕34号），本项目如涉及操作系统采购，则具体要求见第三章《采购需求》。</w:t>
      </w:r>
    </w:p>
    <w:p w14:paraId="1177BDB0">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46.9数据库政府采购需求标准</w:t>
      </w:r>
    </w:p>
    <w:p w14:paraId="45BE4E61">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为提高数据库政府采购需求管理的科学化、规范化水平，进一步落实政府采购公平竞争原则，优化营商环境，营造良好的产业生态，财政部 工业和信息化部关于印发《数据库政府采购需求标准（2023年版）》的通知（财库〔2023〕35号），本项目如涉及数据库采购，则具体要求见第三章《采购需求》。</w:t>
      </w:r>
    </w:p>
    <w:p w14:paraId="116745F5">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46.10物业管理服务政府采购需求标准（办公场所类）（试行）</w:t>
      </w:r>
    </w:p>
    <w:p w14:paraId="0169F247">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为贯彻落实中央全面深化改革委员会审议通过的《深化政府采购制度改革方案》有关要求，推动政府采购需求标准建设，财政部办公厅关于印发《物业管理服务政府采购需求标准（办公场所类）（试行）》的通知（财办库〔2024〕113号），本项目如涉及物业管理服务采购，则具体要求见第三章《采购需求》。</w:t>
      </w:r>
    </w:p>
    <w:p w14:paraId="07C1DA2C">
      <w:pPr>
        <w:pStyle w:val="4"/>
        <w:keepNext w:val="0"/>
        <w:keepLines w:val="0"/>
        <w:pageBreakBefore w:val="0"/>
        <w:widowControl w:val="0"/>
        <w:numPr>
          <w:ilvl w:val="0"/>
          <w:numId w:val="0"/>
        </w:numPr>
        <w:kinsoku/>
        <w:wordWrap/>
        <w:overflowPunct/>
        <w:topLinePunct w:val="0"/>
        <w:autoSpaceDE/>
        <w:autoSpaceDN/>
        <w:bidi w:val="0"/>
        <w:adjustRightInd/>
        <w:snapToGrid/>
        <w:spacing w:before="120" w:after="12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411" w:name="_Toc18589"/>
      <w:bookmarkStart w:id="412" w:name="_Toc17357"/>
      <w:bookmarkStart w:id="413" w:name="_Toc27566"/>
      <w:r>
        <w:rPr>
          <w:rFonts w:hint="eastAsia" w:ascii="宋体" w:hAnsi="宋体" w:eastAsia="宋体" w:cs="宋体"/>
          <w:b/>
          <w:bCs/>
          <w:color w:val="auto"/>
          <w:kern w:val="2"/>
          <w:sz w:val="24"/>
          <w:szCs w:val="24"/>
          <w:highlight w:val="none"/>
          <w:lang w:val="en-US" w:eastAsia="zh-CN" w:bidi="ar-SA"/>
        </w:rPr>
        <w:t>（十四）政府采购合同融资政策</w:t>
      </w:r>
      <w:bookmarkEnd w:id="387"/>
      <w:bookmarkEnd w:id="388"/>
      <w:bookmarkEnd w:id="404"/>
      <w:bookmarkEnd w:id="411"/>
      <w:bookmarkEnd w:id="412"/>
      <w:bookmarkEnd w:id="413"/>
    </w:p>
    <w:p w14:paraId="7CF32745">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414" w:name="_Toc16609"/>
      <w:bookmarkStart w:id="415" w:name="_Toc163492880"/>
      <w:bookmarkStart w:id="416" w:name="_Toc10283"/>
      <w:bookmarkStart w:id="417" w:name="_Toc10372"/>
      <w:r>
        <w:rPr>
          <w:rFonts w:hint="eastAsia" w:ascii="宋体" w:hAnsi="宋体" w:eastAsia="宋体" w:cs="宋体"/>
          <w:b/>
          <w:bCs/>
          <w:color w:val="auto"/>
          <w:kern w:val="2"/>
          <w:sz w:val="24"/>
          <w:szCs w:val="24"/>
          <w:highlight w:val="none"/>
          <w:lang w:val="en-US" w:eastAsia="zh-CN" w:bidi="ar-SA"/>
        </w:rPr>
        <w:t>47.政府采购合同融资政策</w:t>
      </w:r>
      <w:bookmarkEnd w:id="414"/>
      <w:bookmarkEnd w:id="415"/>
      <w:bookmarkEnd w:id="416"/>
      <w:bookmarkEnd w:id="417"/>
    </w:p>
    <w:p w14:paraId="2F908697">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.1政府采购合同融资政策：见投标人须知前附表。</w:t>
      </w:r>
    </w:p>
    <w:p w14:paraId="198FC626">
      <w:pPr>
        <w:pStyle w:val="4"/>
        <w:keepNext w:val="0"/>
        <w:keepLines w:val="0"/>
        <w:pageBreakBefore w:val="0"/>
        <w:widowControl w:val="0"/>
        <w:numPr>
          <w:ilvl w:val="0"/>
          <w:numId w:val="0"/>
        </w:numPr>
        <w:kinsoku/>
        <w:wordWrap/>
        <w:overflowPunct/>
        <w:topLinePunct w:val="0"/>
        <w:autoSpaceDE/>
        <w:autoSpaceDN/>
        <w:bidi w:val="0"/>
        <w:adjustRightInd/>
        <w:snapToGrid/>
        <w:spacing w:before="120" w:after="12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418" w:name="_Toc6921"/>
      <w:bookmarkStart w:id="419" w:name="_Toc21672"/>
      <w:bookmarkStart w:id="420" w:name="_Toc163492881"/>
      <w:bookmarkStart w:id="421" w:name="_Toc25511"/>
      <w:r>
        <w:rPr>
          <w:rFonts w:hint="eastAsia" w:ascii="宋体" w:hAnsi="宋体" w:eastAsia="宋体" w:cs="宋体"/>
          <w:b/>
          <w:bCs/>
          <w:color w:val="auto"/>
          <w:kern w:val="2"/>
          <w:sz w:val="24"/>
          <w:szCs w:val="24"/>
          <w:highlight w:val="none"/>
          <w:lang w:val="en-US" w:eastAsia="zh-CN" w:bidi="ar-SA"/>
        </w:rPr>
        <w:t>（十五）其他</w:t>
      </w:r>
      <w:bookmarkEnd w:id="418"/>
      <w:bookmarkEnd w:id="419"/>
      <w:bookmarkEnd w:id="420"/>
      <w:bookmarkEnd w:id="421"/>
    </w:p>
    <w:p w14:paraId="370F802C">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422" w:name="_Toc1148"/>
      <w:bookmarkStart w:id="423" w:name="_Toc163492882"/>
      <w:bookmarkStart w:id="424" w:name="_Toc19852"/>
      <w:bookmarkStart w:id="425" w:name="_Toc28158"/>
      <w:r>
        <w:rPr>
          <w:rFonts w:hint="eastAsia" w:ascii="宋体" w:hAnsi="宋体" w:eastAsia="宋体" w:cs="宋体"/>
          <w:b/>
          <w:bCs/>
          <w:color w:val="auto"/>
          <w:kern w:val="2"/>
          <w:sz w:val="24"/>
          <w:szCs w:val="24"/>
          <w:highlight w:val="none"/>
          <w:lang w:val="en-US" w:eastAsia="zh-CN" w:bidi="ar-SA"/>
        </w:rPr>
        <w:t>48.需要补充的其他内容</w:t>
      </w:r>
      <w:bookmarkEnd w:id="422"/>
      <w:bookmarkEnd w:id="423"/>
      <w:bookmarkEnd w:id="424"/>
      <w:bookmarkEnd w:id="425"/>
    </w:p>
    <w:p w14:paraId="32516407">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.1需要补充的其他内容：见投标人须知前附表。</w:t>
      </w:r>
    </w:p>
    <w:p w14:paraId="1BD29CBA">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426" w:name="_Toc11583"/>
      <w:bookmarkStart w:id="427" w:name="_Toc140132810"/>
      <w:bookmarkStart w:id="428" w:name="_Toc746"/>
      <w:bookmarkStart w:id="429" w:name="_Toc155185886"/>
      <w:bookmarkStart w:id="430" w:name="_Toc24080"/>
      <w:bookmarkStart w:id="431" w:name="_Toc163492883"/>
      <w:r>
        <w:rPr>
          <w:rFonts w:hint="eastAsia" w:ascii="宋体" w:hAnsi="宋体" w:eastAsia="宋体" w:cs="宋体"/>
          <w:b/>
          <w:bCs/>
          <w:color w:val="auto"/>
          <w:kern w:val="2"/>
          <w:sz w:val="24"/>
          <w:szCs w:val="24"/>
          <w:highlight w:val="none"/>
          <w:lang w:val="en-US" w:eastAsia="zh-CN" w:bidi="ar-SA"/>
        </w:rPr>
        <w:t>49.适用法律</w:t>
      </w:r>
      <w:bookmarkEnd w:id="426"/>
      <w:bookmarkEnd w:id="427"/>
      <w:bookmarkEnd w:id="428"/>
      <w:bookmarkEnd w:id="429"/>
      <w:bookmarkEnd w:id="430"/>
      <w:bookmarkEnd w:id="431"/>
    </w:p>
    <w:p w14:paraId="0953B8AD">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lang w:val="en-US" w:eastAsia="zh-CN"/>
        </w:rPr>
        <w:t>49</w:t>
      </w:r>
      <w:r>
        <w:rPr>
          <w:rFonts w:hint="eastAsia" w:ascii="宋体" w:hAnsi="宋体" w:eastAsia="宋体" w:cs="宋体"/>
          <w:snapToGrid w:val="0"/>
          <w:color w:val="auto"/>
          <w:sz w:val="24"/>
          <w:szCs w:val="24"/>
          <w:highlight w:val="none"/>
        </w:rPr>
        <w:t>.1采购人、采购代理机构及投标人的一切采购活动均适用《中华人民共和国政府采购法》、《中华人民共和国政府采购法实施条例》、《政府采购货物和服务招标投标管理办法》（财政部令第87号）及相关法律法规。</w:t>
      </w:r>
    </w:p>
    <w:p w14:paraId="6AD32247">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szCs w:val="24"/>
          <w:highlight w:val="none"/>
        </w:rPr>
      </w:pPr>
      <w:r>
        <w:rPr>
          <w:rFonts w:hint="eastAsia" w:ascii="宋体" w:hAnsi="宋体" w:eastAsia="宋体" w:cs="宋体"/>
          <w:snapToGrid w:val="0"/>
          <w:color w:val="auto"/>
          <w:sz w:val="24"/>
          <w:szCs w:val="24"/>
          <w:highlight w:val="none"/>
          <w:lang w:val="en-US" w:eastAsia="zh-CN"/>
        </w:rPr>
        <w:t>49</w:t>
      </w:r>
      <w:r>
        <w:rPr>
          <w:rFonts w:hint="eastAsia" w:ascii="宋体" w:hAnsi="宋体" w:eastAsia="宋体" w:cs="宋体"/>
          <w:snapToGrid w:val="0"/>
          <w:color w:val="auto"/>
          <w:sz w:val="24"/>
          <w:szCs w:val="24"/>
          <w:highlight w:val="none"/>
        </w:rPr>
        <w:t>.2政府采购合同的履行、违约责任和解决争议的方法等适用《中华人民共和国民法典》。</w:t>
      </w:r>
    </w:p>
    <w:p w14:paraId="468836B9">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60" w:line="240" w:lineRule="auto"/>
        <w:ind w:left="420" w:leftChars="0" w:hanging="420" w:firstLineChars="0"/>
        <w:textAlignment w:val="auto"/>
        <w:rPr>
          <w:rFonts w:hint="eastAsia" w:ascii="宋体" w:hAnsi="宋体" w:eastAsia="宋体" w:cs="宋体"/>
          <w:b/>
          <w:bCs/>
          <w:color w:val="auto"/>
          <w:kern w:val="2"/>
          <w:sz w:val="24"/>
          <w:szCs w:val="24"/>
          <w:highlight w:val="none"/>
          <w:lang w:val="en-US" w:eastAsia="zh-CN" w:bidi="ar-SA"/>
        </w:rPr>
      </w:pPr>
      <w:bookmarkStart w:id="432" w:name="_Toc155185887"/>
      <w:bookmarkStart w:id="433" w:name="_Toc7856"/>
      <w:bookmarkStart w:id="434" w:name="_Toc163492884"/>
      <w:bookmarkStart w:id="435" w:name="_Toc17601"/>
      <w:bookmarkStart w:id="436" w:name="_Toc17546"/>
      <w:r>
        <w:rPr>
          <w:rFonts w:hint="eastAsia" w:ascii="宋体" w:hAnsi="宋体" w:eastAsia="宋体" w:cs="宋体"/>
          <w:b/>
          <w:bCs/>
          <w:color w:val="auto"/>
          <w:kern w:val="2"/>
          <w:sz w:val="24"/>
          <w:szCs w:val="24"/>
          <w:highlight w:val="none"/>
          <w:lang w:val="en-US" w:eastAsia="zh-CN" w:bidi="ar-SA"/>
        </w:rPr>
        <w:t>50.解释权</w:t>
      </w:r>
      <w:bookmarkEnd w:id="432"/>
      <w:bookmarkEnd w:id="433"/>
      <w:bookmarkEnd w:id="434"/>
      <w:bookmarkEnd w:id="435"/>
      <w:bookmarkEnd w:id="436"/>
    </w:p>
    <w:p w14:paraId="5C6D27F8">
      <w:pPr>
        <w:pStyle w:val="38"/>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lang w:val="en-US" w:eastAsia="zh-CN"/>
        </w:rPr>
        <w:t>50</w:t>
      </w:r>
      <w:r>
        <w:rPr>
          <w:rFonts w:hint="eastAsia" w:ascii="宋体" w:hAnsi="宋体" w:eastAsia="宋体" w:cs="宋体"/>
          <w:snapToGrid w:val="0"/>
          <w:color w:val="auto"/>
          <w:sz w:val="24"/>
          <w:szCs w:val="24"/>
          <w:highlight w:val="none"/>
        </w:rPr>
        <w:t>.1本招标文件最终解释权归采购人或采购代理机构所有。</w:t>
      </w:r>
    </w:p>
    <w:p w14:paraId="3C497DAE">
      <w:pPr>
        <w:pStyle w:val="38"/>
        <w:keepNext w:val="0"/>
        <w:keepLines w:val="0"/>
        <w:pageBreakBefore w:val="0"/>
        <w:widowControl w:val="0"/>
        <w:kinsoku/>
        <w:overflowPunct/>
        <w:topLinePunct w:val="0"/>
        <w:autoSpaceDE/>
        <w:autoSpaceDN/>
        <w:bidi w:val="0"/>
        <w:adjustRightInd/>
        <w:textAlignment w:val="auto"/>
        <w:rPr>
          <w:rFonts w:hint="eastAsia"/>
          <w:snapToGrid w:val="0"/>
          <w:color w:val="auto"/>
          <w:highlight w:val="none"/>
        </w:rPr>
      </w:pPr>
    </w:p>
    <w:p w14:paraId="5FD6489E">
      <w:pPr>
        <w:pStyle w:val="38"/>
        <w:keepNext w:val="0"/>
        <w:keepLines w:val="0"/>
        <w:pageBreakBefore w:val="0"/>
        <w:widowControl w:val="0"/>
        <w:kinsoku/>
        <w:overflowPunct/>
        <w:topLinePunct w:val="0"/>
        <w:autoSpaceDE/>
        <w:autoSpaceDN/>
        <w:bidi w:val="0"/>
        <w:adjustRightInd/>
        <w:textAlignment w:val="auto"/>
        <w:rPr>
          <w:rFonts w:hint="eastAsia"/>
          <w:snapToGrid w:val="0"/>
          <w:color w:val="auto"/>
          <w:highlight w:val="none"/>
        </w:rPr>
      </w:pPr>
    </w:p>
    <w:p w14:paraId="53956D8C">
      <w:pPr>
        <w:pStyle w:val="38"/>
        <w:keepNext w:val="0"/>
        <w:keepLines w:val="0"/>
        <w:pageBreakBefore w:val="0"/>
        <w:widowControl w:val="0"/>
        <w:kinsoku/>
        <w:overflowPunct/>
        <w:topLinePunct w:val="0"/>
        <w:autoSpaceDE/>
        <w:autoSpaceDN/>
        <w:bidi w:val="0"/>
        <w:adjustRightInd/>
        <w:textAlignment w:val="auto"/>
        <w:rPr>
          <w:rFonts w:hint="eastAsia"/>
          <w:snapToGrid w:val="0"/>
          <w:color w:val="auto"/>
          <w:highlight w:val="none"/>
        </w:rPr>
      </w:pPr>
    </w:p>
    <w:p w14:paraId="76853F8C">
      <w:pPr>
        <w:pStyle w:val="38"/>
        <w:keepNext w:val="0"/>
        <w:keepLines w:val="0"/>
        <w:pageBreakBefore w:val="0"/>
        <w:widowControl w:val="0"/>
        <w:kinsoku/>
        <w:overflowPunct/>
        <w:topLinePunct w:val="0"/>
        <w:autoSpaceDE/>
        <w:autoSpaceDN/>
        <w:bidi w:val="0"/>
        <w:adjustRightInd/>
        <w:textAlignment w:val="auto"/>
        <w:rPr>
          <w:rFonts w:hint="eastAsia"/>
          <w:snapToGrid w:val="0"/>
          <w:color w:val="auto"/>
          <w:highlight w:val="none"/>
        </w:rPr>
      </w:pPr>
    </w:p>
    <w:p w14:paraId="4B168E8B">
      <w:pPr>
        <w:pStyle w:val="38"/>
        <w:keepNext w:val="0"/>
        <w:keepLines w:val="0"/>
        <w:pageBreakBefore w:val="0"/>
        <w:widowControl w:val="0"/>
        <w:kinsoku/>
        <w:overflowPunct/>
        <w:topLinePunct w:val="0"/>
        <w:autoSpaceDE/>
        <w:autoSpaceDN/>
        <w:bidi w:val="0"/>
        <w:adjustRightInd/>
        <w:textAlignment w:val="auto"/>
        <w:rPr>
          <w:rFonts w:hint="eastAsia"/>
          <w:snapToGrid w:val="0"/>
          <w:color w:val="auto"/>
          <w:highlight w:val="none"/>
        </w:rPr>
      </w:pPr>
    </w:p>
    <w:p w14:paraId="334BC83B">
      <w:pPr>
        <w:pStyle w:val="38"/>
        <w:keepNext w:val="0"/>
        <w:keepLines w:val="0"/>
        <w:pageBreakBefore w:val="0"/>
        <w:widowControl w:val="0"/>
        <w:kinsoku/>
        <w:overflowPunct/>
        <w:topLinePunct w:val="0"/>
        <w:autoSpaceDE/>
        <w:autoSpaceDN/>
        <w:bidi w:val="0"/>
        <w:adjustRightInd/>
        <w:textAlignment w:val="auto"/>
        <w:rPr>
          <w:rFonts w:hint="eastAsia"/>
          <w:snapToGrid w:val="0"/>
          <w:color w:val="auto"/>
          <w:highlight w:val="none"/>
        </w:rPr>
      </w:pPr>
    </w:p>
    <w:p w14:paraId="5833B9FA">
      <w:pPr>
        <w:pStyle w:val="38"/>
        <w:keepNext w:val="0"/>
        <w:keepLines w:val="0"/>
        <w:pageBreakBefore w:val="0"/>
        <w:widowControl w:val="0"/>
        <w:kinsoku/>
        <w:overflowPunct/>
        <w:topLinePunct w:val="0"/>
        <w:autoSpaceDE/>
        <w:autoSpaceDN/>
        <w:bidi w:val="0"/>
        <w:adjustRightInd/>
        <w:textAlignment w:val="auto"/>
        <w:rPr>
          <w:rFonts w:hint="eastAsia"/>
          <w:snapToGrid w:val="0"/>
          <w:color w:val="auto"/>
          <w:highlight w:val="none"/>
        </w:rPr>
      </w:pPr>
    </w:p>
    <w:p w14:paraId="7F68D20B">
      <w:pPr>
        <w:pStyle w:val="38"/>
        <w:keepNext w:val="0"/>
        <w:keepLines w:val="0"/>
        <w:pageBreakBefore w:val="0"/>
        <w:widowControl w:val="0"/>
        <w:kinsoku/>
        <w:overflowPunct/>
        <w:topLinePunct w:val="0"/>
        <w:autoSpaceDE/>
        <w:autoSpaceDN/>
        <w:bidi w:val="0"/>
        <w:adjustRightInd/>
        <w:textAlignment w:val="auto"/>
        <w:rPr>
          <w:rFonts w:hint="eastAsia"/>
          <w:snapToGrid w:val="0"/>
          <w:color w:val="auto"/>
          <w:highlight w:val="none"/>
        </w:rPr>
      </w:pPr>
    </w:p>
    <w:p w14:paraId="70704BD1">
      <w:pPr>
        <w:pStyle w:val="3"/>
        <w:keepNext/>
        <w:keepLines/>
        <w:pageBreakBefore w:val="0"/>
        <w:widowControl w:val="0"/>
        <w:numPr>
          <w:ilvl w:val="0"/>
          <w:numId w:val="0"/>
        </w:numPr>
        <w:kinsoku/>
        <w:wordWrap/>
        <w:overflowPunct/>
        <w:topLinePunct w:val="0"/>
        <w:autoSpaceDE/>
        <w:autoSpaceDN/>
        <w:bidi w:val="0"/>
        <w:adjustRightInd/>
        <w:snapToGrid/>
        <w:spacing w:before="220" w:after="220" w:line="480" w:lineRule="auto"/>
        <w:ind w:left="420" w:leftChars="0" w:hanging="420" w:firstLineChars="0"/>
        <w:textAlignment w:val="auto"/>
        <w:rPr>
          <w:rFonts w:hint="eastAsia" w:ascii="宋体" w:hAnsi="宋体" w:eastAsia="宋体" w:cs="宋体"/>
          <w:b/>
          <w:bCs/>
          <w:color w:val="auto"/>
          <w:kern w:val="44"/>
          <w:sz w:val="36"/>
          <w:szCs w:val="36"/>
          <w:highlight w:val="none"/>
          <w:lang w:val="en-US" w:eastAsia="zh-CN" w:bidi="ar-SA"/>
        </w:rPr>
      </w:pPr>
      <w:bookmarkStart w:id="437" w:name="_Toc11135"/>
      <w:bookmarkStart w:id="438" w:name="_Toc155185888"/>
      <w:bookmarkStart w:id="439" w:name="_Toc21746"/>
      <w:r>
        <w:rPr>
          <w:rFonts w:hint="eastAsia" w:ascii="宋体" w:hAnsi="宋体" w:eastAsia="宋体" w:cs="宋体"/>
          <w:b/>
          <w:bCs/>
          <w:color w:val="auto"/>
          <w:kern w:val="44"/>
          <w:sz w:val="36"/>
          <w:szCs w:val="36"/>
          <w:highlight w:val="none"/>
          <w:lang w:val="en-US" w:eastAsia="zh-CN" w:bidi="ar-SA"/>
        </w:rPr>
        <w:t>第三章 采购需求</w:t>
      </w:r>
      <w:bookmarkEnd w:id="437"/>
      <w:bookmarkEnd w:id="438"/>
      <w:bookmarkEnd w:id="439"/>
    </w:p>
    <w:p w14:paraId="31ED9A34">
      <w:pPr>
        <w:pStyle w:val="55"/>
        <w:pageBreakBefore w:val="0"/>
        <w:shd w:val="clear" w:color="auto" w:fill="auto"/>
        <w:kinsoku/>
        <w:wordWrap/>
        <w:overflowPunct/>
        <w:topLinePunct w:val="0"/>
        <w:bidi w:val="0"/>
        <w:spacing w:line="360" w:lineRule="auto"/>
        <w:ind w:firstLine="498" w:firstLineChars="177"/>
        <w:rPr>
          <w:rFonts w:hint="default"/>
        </w:rPr>
      </w:pPr>
      <w:bookmarkStart w:id="440" w:name="_Toc155185889"/>
      <w:bookmarkStart w:id="441" w:name="_Toc140132812"/>
      <w:r>
        <w:rPr>
          <w:rFonts w:hint="eastAsia" w:ascii="宋体" w:hAnsi="宋体" w:eastAsia="宋体" w:cs="宋体"/>
          <w:b/>
          <w:bCs/>
          <w:color w:val="auto"/>
          <w:kern w:val="44"/>
          <w:sz w:val="28"/>
          <w:szCs w:val="28"/>
          <w:highlight w:val="none"/>
          <w:lang w:val="en-US" w:eastAsia="zh-CN" w:bidi="ar-SA"/>
        </w:rPr>
        <w:t>包1：可市校区（物业服务）</w:t>
      </w:r>
      <w:bookmarkStart w:id="442" w:name="_Toc5112"/>
      <w:bookmarkStart w:id="443" w:name="_Toc2486"/>
    </w:p>
    <w:p w14:paraId="2F75C9CE">
      <w:pPr>
        <w:pStyle w:val="55"/>
        <w:pageBreakBefore w:val="0"/>
        <w:shd w:val="clear" w:color="auto" w:fill="auto"/>
        <w:kinsoku/>
        <w:wordWrap/>
        <w:overflowPunct/>
        <w:topLinePunct w:val="0"/>
        <w:bidi w:val="0"/>
        <w:spacing w:line="360" w:lineRule="auto"/>
        <w:ind w:firstLine="498" w:firstLineChars="177"/>
        <w:rPr>
          <w:rFonts w:hint="default" w:ascii="宋体" w:hAnsi="宋体" w:eastAsia="宋体" w:cs="宋体"/>
          <w:b/>
          <w:bCs/>
          <w:color w:val="auto"/>
          <w:kern w:val="44"/>
          <w:sz w:val="28"/>
          <w:szCs w:val="28"/>
          <w:highlight w:val="none"/>
          <w:lang w:val="en-US" w:eastAsia="zh-CN" w:bidi="ar-SA"/>
        </w:rPr>
      </w:pPr>
      <w:r>
        <w:rPr>
          <w:rFonts w:hint="default" w:ascii="宋体" w:hAnsi="宋体" w:eastAsia="宋体" w:cs="宋体"/>
          <w:b/>
          <w:bCs/>
          <w:color w:val="auto"/>
          <w:kern w:val="44"/>
          <w:sz w:val="28"/>
          <w:szCs w:val="28"/>
          <w:highlight w:val="none"/>
          <w:lang w:val="en-US" w:eastAsia="zh-CN" w:bidi="ar-SA"/>
        </w:rPr>
        <w:t>1.1物业情况</w:t>
      </w:r>
    </w:p>
    <w:tbl>
      <w:tblPr>
        <w:tblStyle w:val="32"/>
        <w:tblW w:w="293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3"/>
        <w:gridCol w:w="2594"/>
      </w:tblGrid>
      <w:tr w14:paraId="43575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06" w:type="dxa"/>
            <w:noWrap w:val="0"/>
            <w:vAlign w:val="center"/>
          </w:tcPr>
          <w:p w14:paraId="0319D4D0">
            <w:pPr>
              <w:pageBreakBefore w:val="0"/>
              <w:kinsoku/>
              <w:wordWrap/>
              <w:overflowPunct/>
              <w:topLinePunct w:val="0"/>
              <w:bidi w:val="0"/>
              <w:snapToGrid w:val="0"/>
              <w:spacing w:line="300" w:lineRule="auto"/>
              <w:rPr>
                <w:rFonts w:hint="default" w:ascii="Calibri" w:hAnsi="Calibri" w:eastAsia="宋体" w:cs="Calibri"/>
                <w:color w:val="auto"/>
                <w:szCs w:val="21"/>
                <w:highlight w:val="none"/>
              </w:rPr>
            </w:pPr>
            <w:r>
              <w:rPr>
                <w:rFonts w:hint="default" w:ascii="Calibri" w:hAnsi="Calibri" w:cs="Calibri"/>
                <w:highlight w:val="none"/>
              </w:rPr>
              <w:t>物业名称</w:t>
            </w:r>
          </w:p>
        </w:tc>
        <w:tc>
          <w:tcPr>
            <w:tcW w:w="4432" w:type="dxa"/>
            <w:noWrap w:val="0"/>
            <w:vAlign w:val="center"/>
          </w:tcPr>
          <w:p w14:paraId="1784439E">
            <w:pPr>
              <w:pageBreakBefore w:val="0"/>
              <w:kinsoku/>
              <w:wordWrap/>
              <w:overflowPunct/>
              <w:topLinePunct w:val="0"/>
              <w:bidi w:val="0"/>
              <w:snapToGrid w:val="0"/>
              <w:spacing w:line="300" w:lineRule="auto"/>
              <w:rPr>
                <w:rFonts w:hint="default" w:ascii="Calibri" w:hAnsi="Calibri" w:cs="Calibri"/>
                <w:highlight w:val="none"/>
              </w:rPr>
            </w:pPr>
            <w:r>
              <w:rPr>
                <w:rFonts w:hint="default" w:ascii="Calibri" w:hAnsi="Calibri" w:cs="Calibri"/>
                <w:highlight w:val="none"/>
              </w:rPr>
              <w:t>物业地址</w:t>
            </w:r>
          </w:p>
        </w:tc>
      </w:tr>
      <w:tr w14:paraId="12CB3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06" w:type="dxa"/>
            <w:noWrap w:val="0"/>
            <w:vAlign w:val="center"/>
          </w:tcPr>
          <w:p w14:paraId="5AACE936">
            <w:pPr>
              <w:pageBreakBefore w:val="0"/>
              <w:kinsoku/>
              <w:wordWrap/>
              <w:overflowPunct/>
              <w:topLinePunct w:val="0"/>
              <w:bidi w:val="0"/>
              <w:snapToGrid w:val="0"/>
              <w:spacing w:line="300" w:lineRule="auto"/>
              <w:rPr>
                <w:rFonts w:hint="default" w:ascii="Calibri" w:hAnsi="Calibri" w:cs="Calibri"/>
                <w:highlight w:val="none"/>
              </w:rPr>
            </w:pPr>
            <w:r>
              <w:rPr>
                <w:rFonts w:hint="default" w:ascii="Calibri" w:hAnsi="Calibri" w:cs="Calibri"/>
                <w:highlight w:val="none"/>
              </w:rPr>
              <w:t>物业名称1</w:t>
            </w:r>
          </w:p>
          <w:p w14:paraId="596F0840">
            <w:pPr>
              <w:pageBreakBefore w:val="0"/>
              <w:kinsoku/>
              <w:wordWrap/>
              <w:overflowPunct/>
              <w:topLinePunct w:val="0"/>
              <w:bidi w:val="0"/>
              <w:snapToGrid w:val="0"/>
              <w:spacing w:line="300" w:lineRule="auto"/>
              <w:rPr>
                <w:rFonts w:hint="default" w:ascii="Calibri" w:hAnsi="Calibri" w:eastAsia="宋体" w:cs="Calibri"/>
                <w:highlight w:val="none"/>
                <w:lang w:val="en-US" w:eastAsia="zh-CN"/>
              </w:rPr>
            </w:pPr>
            <w:r>
              <w:rPr>
                <w:rFonts w:hint="eastAsia" w:ascii="Calibri" w:hAnsi="Calibri" w:cs="Calibri"/>
                <w:highlight w:val="none"/>
                <w:lang w:val="en-US" w:eastAsia="zh-CN"/>
              </w:rPr>
              <w:t>新疆生产建设兵团第四师第一中学</w:t>
            </w:r>
            <w:r>
              <w:rPr>
                <w:rFonts w:hint="eastAsia" w:cs="Calibri"/>
                <w:highlight w:val="none"/>
                <w:lang w:val="en-US" w:eastAsia="zh-CN"/>
              </w:rPr>
              <w:t>（可市校区）</w:t>
            </w:r>
          </w:p>
        </w:tc>
        <w:tc>
          <w:tcPr>
            <w:tcW w:w="4432" w:type="dxa"/>
            <w:noWrap w:val="0"/>
            <w:vAlign w:val="center"/>
          </w:tcPr>
          <w:p w14:paraId="7F7D2F57">
            <w:pPr>
              <w:pageBreakBefore w:val="0"/>
              <w:kinsoku/>
              <w:wordWrap/>
              <w:overflowPunct/>
              <w:topLinePunct w:val="0"/>
              <w:bidi w:val="0"/>
              <w:snapToGrid w:val="0"/>
              <w:spacing w:line="300" w:lineRule="auto"/>
              <w:rPr>
                <w:rFonts w:hint="default" w:ascii="Calibri" w:hAnsi="Calibri" w:eastAsia="宋体" w:cs="Calibri"/>
                <w:highlight w:val="none"/>
                <w:lang w:val="en-US" w:eastAsia="zh-CN"/>
              </w:rPr>
            </w:pPr>
            <w:r>
              <w:rPr>
                <w:rFonts w:hint="eastAsia" w:cs="Calibri"/>
                <w:highlight w:val="none"/>
                <w:lang w:val="en-US" w:eastAsia="zh-CN"/>
              </w:rPr>
              <w:t>新疆可克达拉市镇江西路1952号</w:t>
            </w:r>
          </w:p>
        </w:tc>
      </w:tr>
    </w:tbl>
    <w:p w14:paraId="5FEA09EA">
      <w:pPr>
        <w:pStyle w:val="55"/>
        <w:pageBreakBefore w:val="0"/>
        <w:shd w:val="clear" w:color="auto" w:fill="auto"/>
        <w:kinsoku/>
        <w:wordWrap/>
        <w:overflowPunct/>
        <w:topLinePunct w:val="0"/>
        <w:bidi w:val="0"/>
        <w:spacing w:line="360" w:lineRule="auto"/>
        <w:ind w:firstLine="498" w:firstLineChars="177"/>
        <w:rPr>
          <w:rFonts w:hint="eastAsia" w:ascii="宋体" w:hAnsi="宋体" w:eastAsia="宋体" w:cs="宋体"/>
          <w:b/>
          <w:bCs/>
          <w:color w:val="auto"/>
          <w:kern w:val="44"/>
          <w:sz w:val="28"/>
          <w:szCs w:val="28"/>
          <w:highlight w:val="none"/>
          <w:lang w:val="en-US" w:eastAsia="zh-CN" w:bidi="ar-SA"/>
        </w:rPr>
      </w:pPr>
      <w:r>
        <w:rPr>
          <w:rFonts w:hint="eastAsia" w:ascii="宋体" w:hAnsi="宋体" w:eastAsia="宋体" w:cs="宋体"/>
          <w:b/>
          <w:bCs/>
          <w:color w:val="auto"/>
          <w:kern w:val="44"/>
          <w:sz w:val="28"/>
          <w:szCs w:val="28"/>
          <w:highlight w:val="none"/>
          <w:lang w:val="en-US" w:eastAsia="zh-CN" w:bidi="ar-SA"/>
        </w:rPr>
        <w:t>1.2采购人提供供应商使用的场地、设施、设备、材料等（结合“4.供应商履行合同所需的设备统筹考虑）</w:t>
      </w:r>
    </w:p>
    <w:p w14:paraId="70244198">
      <w:pPr>
        <w:pageBreakBefore w:val="0"/>
        <w:kinsoku/>
        <w:wordWrap/>
        <w:overflowPunct/>
        <w:topLinePunct w:val="0"/>
        <w:bidi w:val="0"/>
        <w:snapToGrid w:val="0"/>
        <w:spacing w:line="300" w:lineRule="auto"/>
        <w:ind w:firstLine="420" w:firstLineChars="200"/>
        <w:outlineLvl w:val="9"/>
        <w:rPr>
          <w:rFonts w:hint="eastAsia" w:cs="Calibri"/>
          <w:color w:val="auto"/>
          <w:kern w:val="2"/>
          <w:sz w:val="21"/>
          <w:szCs w:val="21"/>
          <w:highlight w:val="none"/>
          <w:u w:val="none"/>
          <w:lang w:val="en-US" w:eastAsia="zh-CN" w:bidi="ar-SA"/>
        </w:rPr>
      </w:pPr>
      <w:r>
        <w:rPr>
          <w:rFonts w:hint="eastAsia" w:cs="Calibri"/>
          <w:color w:val="auto"/>
          <w:kern w:val="2"/>
          <w:sz w:val="21"/>
          <w:szCs w:val="21"/>
          <w:highlight w:val="none"/>
          <w:u w:val="none"/>
          <w:lang w:val="en-US" w:eastAsia="zh-CN" w:bidi="ar-SA"/>
        </w:rPr>
        <w:t>如采购人拥有与物业管理服务有关的且可以无偿提供给供应商在本项目中使用的设施、设备、材料、场地等，可在此列明。</w:t>
      </w:r>
    </w:p>
    <w:p w14:paraId="0861915A">
      <w:pPr>
        <w:pStyle w:val="2"/>
        <w:bidi w:val="0"/>
        <w:rPr>
          <w:rFonts w:hint="eastAsia" w:cs="Calibri"/>
          <w:b w:val="0"/>
          <w:bCs w:val="0"/>
          <w:color w:val="auto"/>
          <w:kern w:val="2"/>
          <w:sz w:val="21"/>
          <w:szCs w:val="21"/>
          <w:highlight w:val="none"/>
          <w:u w:val="none"/>
          <w:lang w:val="en-US" w:eastAsia="zh-CN" w:bidi="ar-SA"/>
        </w:rPr>
      </w:pPr>
      <w:r>
        <w:rPr>
          <w:rFonts w:hint="eastAsia" w:cs="Calibri"/>
          <w:b w:val="0"/>
          <w:bCs w:val="0"/>
          <w:color w:val="auto"/>
          <w:kern w:val="2"/>
          <w:sz w:val="21"/>
          <w:szCs w:val="21"/>
          <w:highlight w:val="none"/>
          <w:u w:val="none"/>
          <w:lang w:val="en-US" w:eastAsia="zh-CN" w:bidi="ar-SA"/>
        </w:rPr>
        <w:t>(1)住宿场所可以无偿提供给供应商在本项目中使用，采购人可提供住宿(男宿两间、女宿两间)</w:t>
      </w:r>
    </w:p>
    <w:p w14:paraId="2A9B5CCD">
      <w:pPr>
        <w:pStyle w:val="2"/>
        <w:bidi w:val="0"/>
        <w:rPr>
          <w:rFonts w:hint="eastAsia" w:cs="Calibri"/>
          <w:b w:val="0"/>
          <w:bCs w:val="0"/>
          <w:color w:val="auto"/>
          <w:kern w:val="2"/>
          <w:sz w:val="21"/>
          <w:szCs w:val="21"/>
          <w:highlight w:val="none"/>
          <w:u w:val="none"/>
          <w:lang w:val="en-US" w:eastAsia="zh-CN" w:bidi="ar-SA"/>
        </w:rPr>
      </w:pPr>
      <w:r>
        <w:rPr>
          <w:rFonts w:hint="eastAsia" w:cs="Calibri"/>
          <w:b w:val="0"/>
          <w:bCs w:val="0"/>
          <w:color w:val="auto"/>
          <w:kern w:val="2"/>
          <w:sz w:val="21"/>
          <w:szCs w:val="21"/>
          <w:highlight w:val="none"/>
          <w:u w:val="none"/>
          <w:lang w:val="en-US" w:eastAsia="zh-CN" w:bidi="ar-SA"/>
        </w:rPr>
        <w:t>(2)采购人可提供的食堂就餐，餐费由供应商自理:</w:t>
      </w:r>
    </w:p>
    <w:p w14:paraId="1E1C5353">
      <w:pPr>
        <w:pStyle w:val="2"/>
        <w:bidi w:val="0"/>
        <w:rPr>
          <w:rFonts w:hint="eastAsia" w:cs="Calibri"/>
          <w:b w:val="0"/>
          <w:bCs w:val="0"/>
          <w:color w:val="auto"/>
          <w:kern w:val="2"/>
          <w:sz w:val="21"/>
          <w:szCs w:val="21"/>
          <w:highlight w:val="none"/>
          <w:u w:val="none"/>
          <w:lang w:val="en-US" w:eastAsia="zh-CN" w:bidi="ar-SA"/>
        </w:rPr>
      </w:pPr>
      <w:r>
        <w:rPr>
          <w:rFonts w:hint="eastAsia" w:cs="Calibri"/>
          <w:b w:val="0"/>
          <w:bCs w:val="0"/>
          <w:color w:val="auto"/>
          <w:kern w:val="2"/>
          <w:sz w:val="21"/>
          <w:szCs w:val="21"/>
          <w:highlight w:val="none"/>
          <w:u w:val="none"/>
          <w:lang w:val="en-US" w:eastAsia="zh-CN" w:bidi="ar-SA"/>
        </w:rPr>
        <w:t>(3)采购人可提供的零星维修材料(由学校采购)</w:t>
      </w:r>
    </w:p>
    <w:p w14:paraId="25F58ADF">
      <w:pPr>
        <w:pStyle w:val="2"/>
        <w:bidi w:val="0"/>
        <w:rPr>
          <w:rFonts w:hint="eastAsia"/>
          <w:b w:val="0"/>
          <w:bCs w:val="0"/>
          <w:highlight w:val="none"/>
          <w:lang w:val="en-US" w:eastAsia="zh-CN"/>
        </w:rPr>
      </w:pPr>
      <w:r>
        <w:rPr>
          <w:rFonts w:hint="eastAsia" w:cs="Calibri"/>
          <w:b w:val="0"/>
          <w:bCs w:val="0"/>
          <w:color w:val="auto"/>
          <w:kern w:val="2"/>
          <w:sz w:val="21"/>
          <w:szCs w:val="21"/>
          <w:highlight w:val="none"/>
          <w:u w:val="none"/>
          <w:lang w:val="en-US" w:eastAsia="zh-CN" w:bidi="ar-SA"/>
        </w:rPr>
        <w:t>供应商应当承担除以上所列场地、设施、设备、材料外，与物业管理服务有关的其他场地设施、设备、材料等。</w:t>
      </w:r>
    </w:p>
    <w:p w14:paraId="23D0C45F">
      <w:pPr>
        <w:pStyle w:val="55"/>
        <w:pageBreakBefore w:val="0"/>
        <w:shd w:val="clear" w:color="auto" w:fill="auto"/>
        <w:kinsoku/>
        <w:wordWrap/>
        <w:overflowPunct/>
        <w:topLinePunct w:val="0"/>
        <w:bidi w:val="0"/>
        <w:spacing w:line="360" w:lineRule="auto"/>
        <w:ind w:firstLine="498" w:firstLineChars="177"/>
        <w:rPr>
          <w:rFonts w:hint="eastAsia" w:ascii="宋体" w:hAnsi="宋体" w:eastAsia="宋体" w:cs="宋体"/>
          <w:b/>
          <w:bCs/>
          <w:color w:val="auto"/>
          <w:kern w:val="44"/>
          <w:sz w:val="28"/>
          <w:szCs w:val="28"/>
          <w:highlight w:val="none"/>
          <w:lang w:val="en-US" w:eastAsia="zh-CN" w:bidi="ar-SA"/>
        </w:rPr>
      </w:pPr>
      <w:r>
        <w:rPr>
          <w:rFonts w:hint="eastAsia" w:ascii="宋体" w:hAnsi="宋体" w:eastAsia="宋体" w:cs="宋体"/>
          <w:b/>
          <w:bCs/>
          <w:color w:val="auto"/>
          <w:kern w:val="44"/>
          <w:sz w:val="28"/>
          <w:szCs w:val="28"/>
          <w:highlight w:val="none"/>
          <w:lang w:val="en-US" w:eastAsia="zh-CN" w:bidi="ar-SA"/>
        </w:rPr>
        <w:t>2.物业服务范围</w:t>
      </w:r>
    </w:p>
    <w:p w14:paraId="6D25C5FA">
      <w:pPr>
        <w:pStyle w:val="55"/>
        <w:pageBreakBefore w:val="0"/>
        <w:shd w:val="clear" w:color="auto" w:fill="auto"/>
        <w:kinsoku/>
        <w:wordWrap/>
        <w:overflowPunct/>
        <w:topLinePunct w:val="0"/>
        <w:bidi w:val="0"/>
        <w:spacing w:line="360" w:lineRule="auto"/>
        <w:ind w:firstLine="498" w:firstLineChars="177"/>
        <w:rPr>
          <w:rFonts w:hint="default" w:ascii="宋体" w:hAnsi="宋体" w:eastAsia="宋体" w:cs="宋体"/>
          <w:b/>
          <w:bCs/>
          <w:color w:val="auto"/>
          <w:kern w:val="44"/>
          <w:sz w:val="28"/>
          <w:szCs w:val="28"/>
          <w:highlight w:val="none"/>
          <w:lang w:val="en-US" w:eastAsia="zh-CN" w:bidi="ar-SA"/>
        </w:rPr>
      </w:pPr>
      <w:r>
        <w:rPr>
          <w:rFonts w:hint="eastAsia" w:ascii="宋体" w:hAnsi="宋体" w:eastAsia="宋体" w:cs="宋体"/>
          <w:b/>
          <w:bCs/>
          <w:color w:val="auto"/>
          <w:kern w:val="44"/>
          <w:sz w:val="28"/>
          <w:szCs w:val="28"/>
          <w:highlight w:val="none"/>
          <w:lang w:val="en-US" w:eastAsia="zh-CN" w:bidi="ar-SA"/>
        </w:rPr>
        <w:t>（1）物业管理（建筑物）</w:t>
      </w:r>
    </w:p>
    <w:tbl>
      <w:tblPr>
        <w:tblStyle w:val="3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428"/>
        <w:gridCol w:w="3957"/>
        <w:gridCol w:w="2450"/>
      </w:tblGrid>
      <w:tr w14:paraId="1179E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13" w:type="dxa"/>
            <w:gridSpan w:val="2"/>
            <w:noWrap w:val="0"/>
            <w:vAlign w:val="center"/>
          </w:tcPr>
          <w:p w14:paraId="4BFD3C39">
            <w:pPr>
              <w:pageBreakBefore w:val="0"/>
              <w:kinsoku/>
              <w:wordWrap/>
              <w:overflowPunct/>
              <w:topLinePunct w:val="0"/>
              <w:bidi w:val="0"/>
              <w:snapToGrid w:val="0"/>
              <w:spacing w:line="300" w:lineRule="auto"/>
              <w:jc w:val="center"/>
              <w:rPr>
                <w:rFonts w:hint="default" w:ascii="Calibri" w:hAnsi="Calibri" w:eastAsia="宋体" w:cs="Calibri"/>
                <w:b/>
                <w:bCs/>
                <w:color w:val="auto"/>
                <w:szCs w:val="21"/>
                <w:highlight w:val="none"/>
              </w:rPr>
            </w:pPr>
            <w:r>
              <w:rPr>
                <w:rFonts w:hint="eastAsia" w:ascii="Calibri" w:hAnsi="Calibri" w:cs="Calibri"/>
                <w:b/>
                <w:bCs/>
                <w:highlight w:val="none"/>
                <w:lang w:val="en-US" w:eastAsia="zh-CN"/>
              </w:rPr>
              <w:t>名称</w:t>
            </w:r>
          </w:p>
        </w:tc>
        <w:tc>
          <w:tcPr>
            <w:tcW w:w="6761" w:type="dxa"/>
            <w:noWrap w:val="0"/>
            <w:vAlign w:val="center"/>
          </w:tcPr>
          <w:p w14:paraId="4995732A">
            <w:pPr>
              <w:pageBreakBefore w:val="0"/>
              <w:kinsoku/>
              <w:wordWrap/>
              <w:overflowPunct/>
              <w:topLinePunct w:val="0"/>
              <w:bidi w:val="0"/>
              <w:snapToGrid w:val="0"/>
              <w:spacing w:line="300" w:lineRule="auto"/>
              <w:jc w:val="center"/>
              <w:rPr>
                <w:rFonts w:hint="eastAsia" w:ascii="Calibri" w:hAnsi="Calibri" w:eastAsia="宋体" w:cs="Calibri"/>
                <w:b/>
                <w:bCs/>
                <w:color w:val="auto"/>
                <w:szCs w:val="21"/>
                <w:highlight w:val="none"/>
                <w:lang w:eastAsia="zh-CN"/>
              </w:rPr>
            </w:pPr>
            <w:r>
              <w:rPr>
                <w:rFonts w:hint="default" w:ascii="Calibri" w:hAnsi="Calibri" w:cs="Calibri"/>
                <w:b/>
                <w:bCs/>
                <w:highlight w:val="none"/>
              </w:rPr>
              <w:t>明细</w:t>
            </w:r>
          </w:p>
        </w:tc>
        <w:tc>
          <w:tcPr>
            <w:tcW w:w="4186" w:type="dxa"/>
            <w:noWrap w:val="0"/>
            <w:vAlign w:val="center"/>
          </w:tcPr>
          <w:p w14:paraId="4D34F647">
            <w:pPr>
              <w:pageBreakBefore w:val="0"/>
              <w:kinsoku/>
              <w:wordWrap/>
              <w:overflowPunct/>
              <w:topLinePunct w:val="0"/>
              <w:bidi w:val="0"/>
              <w:snapToGrid w:val="0"/>
              <w:spacing w:line="300" w:lineRule="auto"/>
              <w:jc w:val="center"/>
              <w:rPr>
                <w:rFonts w:hint="default" w:ascii="Calibri" w:hAnsi="Calibri" w:eastAsia="宋体" w:cs="Calibri"/>
                <w:b/>
                <w:bCs/>
                <w:highlight w:val="none"/>
                <w:lang w:val="en-US" w:eastAsia="zh-CN"/>
              </w:rPr>
            </w:pPr>
            <w:r>
              <w:rPr>
                <w:rFonts w:hint="eastAsia" w:cs="Calibri"/>
                <w:b/>
                <w:bCs/>
                <w:highlight w:val="none"/>
                <w:lang w:val="en-US" w:eastAsia="zh-CN"/>
              </w:rPr>
              <w:t>服务内容及标准</w:t>
            </w:r>
          </w:p>
        </w:tc>
      </w:tr>
      <w:tr w14:paraId="149C2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13" w:type="dxa"/>
            <w:gridSpan w:val="2"/>
            <w:noWrap w:val="0"/>
            <w:vAlign w:val="center"/>
          </w:tcPr>
          <w:p w14:paraId="1C4DD4FA">
            <w:pPr>
              <w:pageBreakBefore w:val="0"/>
              <w:kinsoku/>
              <w:wordWrap/>
              <w:overflowPunct/>
              <w:topLinePunct w:val="0"/>
              <w:bidi w:val="0"/>
              <w:snapToGrid w:val="0"/>
              <w:spacing w:line="300" w:lineRule="auto"/>
              <w:rPr>
                <w:rFonts w:hint="default" w:ascii="Calibri" w:hAnsi="Calibri" w:eastAsia="宋体" w:cs="Calibri"/>
                <w:color w:val="auto"/>
                <w:szCs w:val="21"/>
                <w:highlight w:val="none"/>
              </w:rPr>
            </w:pPr>
            <w:r>
              <w:rPr>
                <w:rFonts w:hint="eastAsia" w:ascii="Calibri" w:hAnsi="Calibri" w:cs="Calibri"/>
                <w:highlight w:val="none"/>
                <w:lang w:val="en-US" w:eastAsia="zh-CN"/>
              </w:rPr>
              <w:t>新疆生产建设兵团第四师第一中学</w:t>
            </w:r>
          </w:p>
        </w:tc>
        <w:tc>
          <w:tcPr>
            <w:tcW w:w="6761" w:type="dxa"/>
            <w:noWrap w:val="0"/>
            <w:vAlign w:val="center"/>
          </w:tcPr>
          <w:p w14:paraId="767574BD">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Calibri" w:hAnsi="Calibri" w:cs="Calibri"/>
                <w:highlight w:val="none"/>
                <w:lang w:val="en-US" w:eastAsia="zh-CN"/>
              </w:rPr>
              <w:t>新疆生产建设兵团第四师第一中学</w:t>
            </w:r>
            <w:r>
              <w:rPr>
                <w:rFonts w:hint="eastAsia" w:cs="Calibri"/>
                <w:highlight w:val="none"/>
                <w:lang w:val="en-US" w:eastAsia="zh-CN"/>
              </w:rPr>
              <w:t>（可市校区）</w:t>
            </w:r>
          </w:p>
        </w:tc>
        <w:tc>
          <w:tcPr>
            <w:tcW w:w="4186" w:type="dxa"/>
            <w:noWrap w:val="0"/>
            <w:vAlign w:val="center"/>
          </w:tcPr>
          <w:p w14:paraId="0B227F6B">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p>
        </w:tc>
      </w:tr>
      <w:tr w14:paraId="2FFF8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restart"/>
            <w:noWrap w:val="0"/>
            <w:vAlign w:val="center"/>
          </w:tcPr>
          <w:p w14:paraId="424A8B01">
            <w:pPr>
              <w:pageBreakBefore w:val="0"/>
              <w:kinsoku/>
              <w:wordWrap/>
              <w:overflowPunct/>
              <w:topLinePunct w:val="0"/>
              <w:bidi w:val="0"/>
              <w:snapToGrid w:val="0"/>
              <w:spacing w:line="300" w:lineRule="auto"/>
              <w:rPr>
                <w:rFonts w:hint="default" w:ascii="Calibri" w:hAnsi="Calibri" w:eastAsia="宋体" w:cs="Calibri"/>
                <w:color w:val="auto"/>
                <w:szCs w:val="21"/>
                <w:highlight w:val="none"/>
              </w:rPr>
            </w:pPr>
            <w:r>
              <w:rPr>
                <w:rFonts w:hint="eastAsia" w:cs="Calibri"/>
                <w:highlight w:val="none"/>
                <w:lang w:val="en-US" w:eastAsia="zh-CN"/>
              </w:rPr>
              <w:t>总面积</w:t>
            </w:r>
          </w:p>
        </w:tc>
        <w:tc>
          <w:tcPr>
            <w:tcW w:w="2440" w:type="dxa"/>
            <w:noWrap w:val="0"/>
            <w:vAlign w:val="center"/>
          </w:tcPr>
          <w:p w14:paraId="488C2863">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default" w:ascii="Calibri" w:hAnsi="Calibri" w:cs="Calibri"/>
                <w:highlight w:val="none"/>
              </w:rPr>
              <w:t>建筑面积</w:t>
            </w:r>
            <w:r>
              <w:rPr>
                <w:rFonts w:hint="default" w:ascii="Calibri" w:hAnsi="Calibri" w:cs="Calibri"/>
                <w:highlight w:val="none"/>
                <w:lang w:eastAsia="zh-CN"/>
              </w:rPr>
              <w:t>（</w:t>
            </w:r>
            <w:r>
              <w:rPr>
                <w:rFonts w:hint="default" w:ascii="Calibri" w:hAnsi="Calibri" w:cs="Calibri"/>
                <w:highlight w:val="none"/>
              </w:rPr>
              <w:t>㎡</w:t>
            </w:r>
            <w:r>
              <w:rPr>
                <w:rFonts w:hint="default" w:ascii="Calibri" w:hAnsi="Calibri" w:cs="Calibri"/>
                <w:highlight w:val="none"/>
                <w:lang w:eastAsia="zh-CN"/>
              </w:rPr>
              <w:t>）</w:t>
            </w:r>
          </w:p>
        </w:tc>
        <w:tc>
          <w:tcPr>
            <w:tcW w:w="6761" w:type="dxa"/>
            <w:noWrap w:val="0"/>
            <w:vAlign w:val="center"/>
          </w:tcPr>
          <w:p w14:paraId="3D15B64D">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eastAsia" w:ascii="楷体" w:hAnsi="楷体" w:eastAsia="楷体" w:cs="楷体"/>
                <w:highlight w:val="none"/>
                <w:lang w:val="en-US" w:eastAsia="zh-CN"/>
              </w:rPr>
              <w:t>72627.14㎡</w:t>
            </w:r>
          </w:p>
        </w:tc>
        <w:tc>
          <w:tcPr>
            <w:tcW w:w="4186" w:type="dxa"/>
            <w:noWrap w:val="0"/>
            <w:vAlign w:val="center"/>
          </w:tcPr>
          <w:p w14:paraId="273EF13A">
            <w:pPr>
              <w:pageBreakBefore w:val="0"/>
              <w:kinsoku/>
              <w:wordWrap/>
              <w:overflowPunct/>
              <w:topLinePunct w:val="0"/>
              <w:bidi w:val="0"/>
              <w:snapToGrid w:val="0"/>
              <w:spacing w:line="300" w:lineRule="auto"/>
              <w:rPr>
                <w:rFonts w:hint="default" w:ascii="楷体" w:hAnsi="楷体" w:eastAsia="楷体" w:cs="楷体"/>
                <w:highlight w:val="none"/>
                <w:lang w:val="en-US" w:eastAsia="zh-CN"/>
              </w:rPr>
            </w:pPr>
            <w:r>
              <w:rPr>
                <w:rFonts w:hint="eastAsia" w:ascii="Calibri" w:hAnsi="Calibri" w:eastAsia="宋体" w:cs="Calibri"/>
                <w:color w:val="auto"/>
                <w:highlight w:val="none"/>
                <w:lang w:val="en-US" w:eastAsia="zh-CN"/>
              </w:rPr>
              <w:t>见“3.6保安服务”</w:t>
            </w:r>
          </w:p>
        </w:tc>
      </w:tr>
      <w:tr w14:paraId="146E0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continue"/>
            <w:noWrap w:val="0"/>
            <w:vAlign w:val="center"/>
          </w:tcPr>
          <w:p w14:paraId="57D2312E">
            <w:pPr>
              <w:pageBreakBefore w:val="0"/>
              <w:kinsoku/>
              <w:wordWrap/>
              <w:overflowPunct/>
              <w:topLinePunct w:val="0"/>
              <w:bidi w:val="0"/>
              <w:snapToGrid w:val="0"/>
              <w:spacing w:line="300" w:lineRule="auto"/>
              <w:ind w:left="0" w:firstLine="0" w:firstLineChars="0"/>
              <w:jc w:val="center"/>
              <w:rPr>
                <w:rFonts w:hint="default" w:ascii="Calibri" w:hAnsi="Calibri" w:eastAsia="宋体" w:cs="Calibri"/>
                <w:color w:val="auto"/>
                <w:szCs w:val="21"/>
                <w:highlight w:val="none"/>
              </w:rPr>
            </w:pPr>
          </w:p>
        </w:tc>
        <w:tc>
          <w:tcPr>
            <w:tcW w:w="2440" w:type="dxa"/>
            <w:noWrap w:val="0"/>
            <w:vAlign w:val="center"/>
          </w:tcPr>
          <w:p w14:paraId="3BB9A3F0">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default" w:ascii="Calibri" w:hAnsi="Calibri" w:cs="Calibri"/>
                <w:highlight w:val="none"/>
              </w:rPr>
              <w:t>需保洁面积</w:t>
            </w:r>
            <w:r>
              <w:rPr>
                <w:rFonts w:hint="default" w:ascii="Calibri" w:hAnsi="Calibri" w:cs="Calibri"/>
                <w:highlight w:val="none"/>
                <w:lang w:eastAsia="zh-CN"/>
              </w:rPr>
              <w:t>（</w:t>
            </w:r>
            <w:r>
              <w:rPr>
                <w:rFonts w:hint="default" w:ascii="Calibri" w:hAnsi="Calibri" w:cs="Calibri"/>
                <w:highlight w:val="none"/>
              </w:rPr>
              <w:t>㎡</w:t>
            </w:r>
            <w:r>
              <w:rPr>
                <w:rFonts w:hint="default" w:ascii="Calibri" w:hAnsi="Calibri" w:cs="Calibri"/>
                <w:highlight w:val="none"/>
                <w:lang w:eastAsia="zh-CN"/>
              </w:rPr>
              <w:t>）</w:t>
            </w:r>
          </w:p>
        </w:tc>
        <w:tc>
          <w:tcPr>
            <w:tcW w:w="6761" w:type="dxa"/>
            <w:noWrap w:val="0"/>
            <w:vAlign w:val="center"/>
          </w:tcPr>
          <w:p w14:paraId="6EFB0A80">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eastAsia" w:ascii="楷体" w:hAnsi="楷体" w:eastAsia="楷体" w:cs="楷体"/>
                <w:highlight w:val="none"/>
                <w:lang w:val="en-US" w:eastAsia="zh-CN"/>
              </w:rPr>
              <w:t>72627.14㎡</w:t>
            </w:r>
          </w:p>
        </w:tc>
        <w:tc>
          <w:tcPr>
            <w:tcW w:w="4186" w:type="dxa"/>
            <w:noWrap w:val="0"/>
            <w:vAlign w:val="center"/>
          </w:tcPr>
          <w:p w14:paraId="095E9678">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eastAsia" w:eastAsia="宋体" w:cs="Calibri"/>
                <w:color w:val="auto"/>
                <w:kern w:val="2"/>
                <w:sz w:val="21"/>
                <w:szCs w:val="21"/>
                <w:highlight w:val="none"/>
                <w:lang w:val="en-US" w:eastAsia="zh-CN" w:bidi="ar-SA"/>
              </w:rPr>
              <w:t>见“3.4保洁服务”</w:t>
            </w:r>
          </w:p>
        </w:tc>
      </w:tr>
      <w:tr w14:paraId="10671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noWrap w:val="0"/>
            <w:vAlign w:val="center"/>
          </w:tcPr>
          <w:p w14:paraId="3F57742F">
            <w:pPr>
              <w:pageBreakBefore w:val="0"/>
              <w:kinsoku/>
              <w:wordWrap/>
              <w:overflowPunct/>
              <w:topLinePunct w:val="0"/>
              <w:bidi w:val="0"/>
              <w:snapToGrid w:val="0"/>
              <w:spacing w:line="300" w:lineRule="auto"/>
              <w:rPr>
                <w:rFonts w:hint="default" w:ascii="Calibri" w:hAnsi="Calibri" w:eastAsia="宋体" w:cs="Calibri"/>
                <w:color w:val="auto"/>
                <w:szCs w:val="21"/>
                <w:highlight w:val="none"/>
              </w:rPr>
            </w:pPr>
            <w:r>
              <w:rPr>
                <w:rFonts w:hint="eastAsia" w:cs="Calibri"/>
                <w:highlight w:val="none"/>
                <w:lang w:val="en-US" w:eastAsia="zh-CN"/>
              </w:rPr>
              <w:t>门窗</w:t>
            </w:r>
          </w:p>
        </w:tc>
        <w:tc>
          <w:tcPr>
            <w:tcW w:w="2440" w:type="dxa"/>
            <w:noWrap w:val="0"/>
            <w:vAlign w:val="center"/>
          </w:tcPr>
          <w:p w14:paraId="1E56C699">
            <w:pPr>
              <w:pageBreakBefore w:val="0"/>
              <w:kinsoku/>
              <w:wordWrap/>
              <w:overflowPunct/>
              <w:topLinePunct w:val="0"/>
              <w:bidi w:val="0"/>
              <w:snapToGrid w:val="0"/>
              <w:spacing w:line="300" w:lineRule="auto"/>
              <w:rPr>
                <w:rFonts w:hint="default" w:ascii="Calibri" w:hAnsi="Calibri" w:eastAsia="宋体" w:cs="Calibri"/>
                <w:kern w:val="2"/>
                <w:sz w:val="21"/>
                <w:szCs w:val="21"/>
                <w:highlight w:val="none"/>
                <w:lang w:val="en-US" w:eastAsia="zh-CN" w:bidi="ar-SA"/>
              </w:rPr>
            </w:pPr>
            <w:r>
              <w:rPr>
                <w:rFonts w:hint="eastAsia" w:cs="Calibri"/>
                <w:highlight w:val="none"/>
                <w:lang w:val="en-US" w:eastAsia="zh-CN"/>
              </w:rPr>
              <w:t>门窗</w:t>
            </w:r>
            <w:r>
              <w:rPr>
                <w:rFonts w:hint="eastAsia" w:ascii="Calibri" w:hAnsi="Calibri" w:cs="Calibri"/>
                <w:highlight w:val="none"/>
                <w:lang w:val="en-US" w:eastAsia="zh-CN"/>
              </w:rPr>
              <w:t>总数量（个）及总面积</w:t>
            </w:r>
            <w:r>
              <w:rPr>
                <w:rFonts w:hint="default" w:ascii="Calibri" w:hAnsi="Calibri" w:cs="Calibri"/>
                <w:highlight w:val="none"/>
                <w:lang w:eastAsia="zh-CN"/>
              </w:rPr>
              <w:t>（</w:t>
            </w:r>
            <w:r>
              <w:rPr>
                <w:rFonts w:hint="default" w:ascii="Calibri" w:hAnsi="Calibri" w:cs="Calibri"/>
                <w:highlight w:val="none"/>
              </w:rPr>
              <w:t>㎡</w:t>
            </w:r>
            <w:r>
              <w:rPr>
                <w:rFonts w:hint="default" w:ascii="Calibri" w:hAnsi="Calibri" w:cs="Calibri"/>
                <w:highlight w:val="none"/>
                <w:lang w:eastAsia="zh-CN"/>
              </w:rPr>
              <w:t>）</w:t>
            </w:r>
          </w:p>
        </w:tc>
        <w:tc>
          <w:tcPr>
            <w:tcW w:w="6761" w:type="dxa"/>
            <w:noWrap w:val="0"/>
            <w:vAlign w:val="center"/>
          </w:tcPr>
          <w:p w14:paraId="1639B40F">
            <w:pPr>
              <w:pageBreakBefore w:val="0"/>
              <w:kinsoku/>
              <w:wordWrap/>
              <w:overflowPunct/>
              <w:topLinePunct w:val="0"/>
              <w:bidi w:val="0"/>
              <w:snapToGrid w:val="0"/>
              <w:spacing w:line="300" w:lineRule="auto"/>
              <w:rPr>
                <w:rFonts w:hint="default" w:ascii="Calibri" w:hAnsi="Calibri" w:eastAsia="宋体" w:cs="Calibri"/>
                <w:kern w:val="2"/>
                <w:sz w:val="21"/>
                <w:szCs w:val="21"/>
                <w:highlight w:val="none"/>
                <w:lang w:val="en-US" w:eastAsia="zh-CN" w:bidi="ar-SA"/>
              </w:rPr>
            </w:pPr>
            <w:r>
              <w:rPr>
                <w:rFonts w:hint="eastAsia" w:ascii="楷体" w:hAnsi="楷体" w:eastAsia="楷体" w:cs="楷体"/>
                <w:highlight w:val="none"/>
                <w:lang w:val="en-US" w:eastAsia="zh-CN"/>
              </w:rPr>
              <w:t>4239个2231㎡</w:t>
            </w:r>
          </w:p>
        </w:tc>
        <w:tc>
          <w:tcPr>
            <w:tcW w:w="4186" w:type="dxa"/>
            <w:noWrap w:val="0"/>
            <w:vAlign w:val="center"/>
          </w:tcPr>
          <w:p w14:paraId="08685B55">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eastAsia="宋体" w:cs="Calibri"/>
                <w:color w:val="auto"/>
                <w:kern w:val="2"/>
                <w:sz w:val="21"/>
                <w:szCs w:val="21"/>
                <w:highlight w:val="none"/>
                <w:lang w:val="en-US" w:eastAsia="zh-CN" w:bidi="ar-SA"/>
              </w:rPr>
              <w:t>见“3.2房屋维护服务”“3.4保洁服务”</w:t>
            </w:r>
          </w:p>
        </w:tc>
      </w:tr>
      <w:tr w14:paraId="61D08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noWrap w:val="0"/>
            <w:vAlign w:val="center"/>
          </w:tcPr>
          <w:p w14:paraId="153BA656">
            <w:pPr>
              <w:pageBreakBefore w:val="0"/>
              <w:kinsoku/>
              <w:wordWrap/>
              <w:overflowPunct/>
              <w:topLinePunct w:val="0"/>
              <w:bidi w:val="0"/>
              <w:snapToGrid w:val="0"/>
              <w:spacing w:line="300" w:lineRule="auto"/>
              <w:rPr>
                <w:rFonts w:hint="default" w:ascii="Calibri" w:hAnsi="Calibri" w:eastAsia="宋体" w:cs="Calibri"/>
                <w:color w:val="auto"/>
                <w:szCs w:val="21"/>
                <w:highlight w:val="none"/>
              </w:rPr>
            </w:pPr>
            <w:r>
              <w:rPr>
                <w:rFonts w:hint="default" w:ascii="Calibri" w:hAnsi="Calibri" w:cs="Calibri"/>
                <w:highlight w:val="none"/>
              </w:rPr>
              <w:t>地面</w:t>
            </w:r>
          </w:p>
        </w:tc>
        <w:tc>
          <w:tcPr>
            <w:tcW w:w="2440" w:type="dxa"/>
            <w:noWrap w:val="0"/>
            <w:vAlign w:val="center"/>
          </w:tcPr>
          <w:p w14:paraId="7916E30D">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default" w:ascii="Calibri" w:hAnsi="Calibri" w:cs="Calibri"/>
                <w:highlight w:val="none"/>
              </w:rPr>
              <w:t>地面</w:t>
            </w:r>
            <w:r>
              <w:rPr>
                <w:rFonts w:hint="eastAsia" w:cs="Calibri"/>
                <w:highlight w:val="none"/>
                <w:lang w:val="en-US" w:eastAsia="zh-CN"/>
              </w:rPr>
              <w:t>各</w:t>
            </w:r>
            <w:r>
              <w:rPr>
                <w:rFonts w:hint="default" w:ascii="Calibri" w:hAnsi="Calibri" w:cs="Calibri"/>
                <w:highlight w:val="none"/>
              </w:rPr>
              <w:t>材质</w:t>
            </w:r>
            <w:r>
              <w:rPr>
                <w:rFonts w:hint="eastAsia" w:ascii="Calibri" w:hAnsi="Calibri" w:cs="Calibri"/>
                <w:highlight w:val="none"/>
                <w:lang w:val="en-US" w:eastAsia="zh-CN"/>
              </w:rPr>
              <w:t>及</w:t>
            </w:r>
            <w:r>
              <w:rPr>
                <w:rFonts w:hint="eastAsia" w:cs="Calibri"/>
                <w:highlight w:val="none"/>
                <w:lang w:val="en-US" w:eastAsia="zh-CN"/>
              </w:rPr>
              <w:t>总</w:t>
            </w:r>
            <w:r>
              <w:rPr>
                <w:rFonts w:hint="eastAsia" w:ascii="Calibri" w:hAnsi="Calibri" w:cs="Calibri"/>
                <w:highlight w:val="none"/>
                <w:lang w:val="en-US" w:eastAsia="zh-CN"/>
              </w:rPr>
              <w:t>面积</w:t>
            </w:r>
            <w:r>
              <w:rPr>
                <w:rFonts w:hint="default" w:ascii="Calibri" w:hAnsi="Calibri" w:cs="Calibri"/>
                <w:highlight w:val="none"/>
                <w:lang w:eastAsia="zh-CN"/>
              </w:rPr>
              <w:t>（</w:t>
            </w:r>
            <w:r>
              <w:rPr>
                <w:rFonts w:hint="default" w:ascii="Calibri" w:hAnsi="Calibri" w:cs="Calibri"/>
                <w:highlight w:val="none"/>
              </w:rPr>
              <w:t>㎡</w:t>
            </w:r>
            <w:r>
              <w:rPr>
                <w:rFonts w:hint="default" w:ascii="Calibri" w:hAnsi="Calibri" w:cs="Calibri"/>
                <w:highlight w:val="none"/>
                <w:lang w:eastAsia="zh-CN"/>
              </w:rPr>
              <w:t>）</w:t>
            </w:r>
          </w:p>
        </w:tc>
        <w:tc>
          <w:tcPr>
            <w:tcW w:w="6761" w:type="dxa"/>
            <w:noWrap w:val="0"/>
            <w:vAlign w:val="center"/>
          </w:tcPr>
          <w:p w14:paraId="657D995A">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eastAsia" w:ascii="楷体" w:hAnsi="楷体" w:eastAsia="楷体" w:cs="楷体"/>
                <w:highlight w:val="none"/>
                <w:lang w:val="en-US" w:eastAsia="zh-CN"/>
              </w:rPr>
              <w:t>石材、瓷砖总面积为72627.14㎡</w:t>
            </w:r>
          </w:p>
        </w:tc>
        <w:tc>
          <w:tcPr>
            <w:tcW w:w="4186" w:type="dxa"/>
            <w:noWrap w:val="0"/>
            <w:vAlign w:val="center"/>
          </w:tcPr>
          <w:p w14:paraId="37BB7188">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见“3.2房屋维护服务”“3.4保洁服务”</w:t>
            </w:r>
          </w:p>
        </w:tc>
      </w:tr>
      <w:tr w14:paraId="47BAE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noWrap w:val="0"/>
            <w:vAlign w:val="center"/>
          </w:tcPr>
          <w:p w14:paraId="6A3BD1E4">
            <w:pPr>
              <w:pageBreakBefore w:val="0"/>
              <w:kinsoku/>
              <w:wordWrap/>
              <w:overflowPunct/>
              <w:topLinePunct w:val="0"/>
              <w:bidi w:val="0"/>
              <w:snapToGrid w:val="0"/>
              <w:spacing w:line="300" w:lineRule="auto"/>
              <w:rPr>
                <w:rFonts w:hint="default" w:ascii="Calibri" w:hAnsi="Calibri" w:eastAsia="宋体" w:cs="Calibri"/>
                <w:highlight w:val="none"/>
                <w:lang w:val="en-US" w:eastAsia="zh-CN"/>
              </w:rPr>
            </w:pPr>
            <w:r>
              <w:rPr>
                <w:rFonts w:hint="default" w:eastAsia="宋体"/>
                <w:b w:val="0"/>
                <w:bCs w:val="0"/>
                <w:highlight w:val="none"/>
                <w:lang w:val="en-US" w:eastAsia="zh-CN"/>
              </w:rPr>
              <w:t>内墙饰面</w:t>
            </w:r>
          </w:p>
        </w:tc>
        <w:tc>
          <w:tcPr>
            <w:tcW w:w="2440" w:type="dxa"/>
            <w:noWrap w:val="0"/>
            <w:vAlign w:val="center"/>
          </w:tcPr>
          <w:p w14:paraId="6794E48F">
            <w:pPr>
              <w:pageBreakBefore w:val="0"/>
              <w:kinsoku/>
              <w:wordWrap/>
              <w:overflowPunct/>
              <w:topLinePunct w:val="0"/>
              <w:bidi w:val="0"/>
              <w:snapToGrid w:val="0"/>
              <w:spacing w:line="300" w:lineRule="auto"/>
              <w:rPr>
                <w:rFonts w:hint="default" w:ascii="Calibri" w:hAnsi="Calibri" w:eastAsia="宋体" w:cs="Calibri"/>
                <w:kern w:val="2"/>
                <w:sz w:val="21"/>
                <w:szCs w:val="21"/>
                <w:highlight w:val="none"/>
                <w:lang w:val="en-US" w:eastAsia="zh-CN" w:bidi="ar-SA"/>
              </w:rPr>
            </w:pPr>
            <w:r>
              <w:rPr>
                <w:rFonts w:hint="default" w:eastAsia="宋体"/>
                <w:b w:val="0"/>
                <w:bCs w:val="0"/>
                <w:highlight w:val="none"/>
                <w:lang w:val="en-US" w:eastAsia="zh-CN"/>
              </w:rPr>
              <w:t>内墙饰面</w:t>
            </w:r>
            <w:r>
              <w:rPr>
                <w:rFonts w:hint="default" w:ascii="Calibri" w:hAnsi="Calibri" w:eastAsia="宋体" w:cs="Calibri"/>
                <w:highlight w:val="none"/>
                <w:lang w:val="en-US" w:eastAsia="zh-CN"/>
              </w:rPr>
              <w:t>各</w:t>
            </w:r>
            <w:r>
              <w:rPr>
                <w:rFonts w:hint="default" w:ascii="Calibri" w:hAnsi="Calibri" w:eastAsia="宋体" w:cs="Calibri"/>
                <w:highlight w:val="none"/>
              </w:rPr>
              <w:t>材质</w:t>
            </w:r>
            <w:r>
              <w:rPr>
                <w:rFonts w:hint="default" w:ascii="Calibri" w:hAnsi="Calibri" w:eastAsia="宋体" w:cs="Calibri"/>
                <w:highlight w:val="none"/>
                <w:lang w:val="en-US" w:eastAsia="zh-CN"/>
              </w:rPr>
              <w:t>及</w:t>
            </w:r>
            <w:r>
              <w:rPr>
                <w:rFonts w:hint="default" w:eastAsia="宋体" w:cs="Calibri"/>
                <w:highlight w:val="none"/>
                <w:lang w:val="en-US" w:eastAsia="zh-CN"/>
              </w:rPr>
              <w:t>总</w:t>
            </w:r>
            <w:r>
              <w:rPr>
                <w:rFonts w:hint="default" w:ascii="Calibri" w:hAnsi="Calibri" w:eastAsia="宋体" w:cs="Calibri"/>
                <w:highlight w:val="none"/>
                <w:lang w:val="en-US" w:eastAsia="zh-CN"/>
              </w:rPr>
              <w:t>面积</w:t>
            </w:r>
            <w:r>
              <w:rPr>
                <w:rFonts w:hint="default" w:ascii="Calibri" w:hAnsi="Calibri" w:eastAsia="宋体" w:cs="Calibri"/>
                <w:highlight w:val="none"/>
                <w:lang w:eastAsia="zh-CN"/>
              </w:rPr>
              <w:t>（</w:t>
            </w:r>
            <w:r>
              <w:rPr>
                <w:rFonts w:hint="default" w:ascii="Calibri" w:hAnsi="Calibri" w:eastAsia="宋体" w:cs="Calibri"/>
                <w:highlight w:val="none"/>
              </w:rPr>
              <w:t>㎡</w:t>
            </w:r>
            <w:r>
              <w:rPr>
                <w:rFonts w:hint="default" w:ascii="Calibri" w:hAnsi="Calibri" w:eastAsia="宋体" w:cs="Calibri"/>
                <w:highlight w:val="none"/>
                <w:lang w:eastAsia="zh-CN"/>
              </w:rPr>
              <w:t>）</w:t>
            </w:r>
          </w:p>
        </w:tc>
        <w:tc>
          <w:tcPr>
            <w:tcW w:w="6761" w:type="dxa"/>
            <w:noWrap w:val="0"/>
            <w:vAlign w:val="center"/>
          </w:tcPr>
          <w:p w14:paraId="748FA34F">
            <w:pPr>
              <w:pageBreakBefore w:val="0"/>
              <w:kinsoku/>
              <w:wordWrap/>
              <w:overflowPunct/>
              <w:topLinePunct w:val="0"/>
              <w:bidi w:val="0"/>
              <w:snapToGrid w:val="0"/>
              <w:spacing w:line="300" w:lineRule="auto"/>
              <w:rPr>
                <w:rFonts w:hint="default" w:ascii="Calibri" w:hAnsi="Calibri" w:cs="Calibri"/>
                <w:highlight w:val="none"/>
              </w:rPr>
            </w:pPr>
            <w:r>
              <w:rPr>
                <w:rFonts w:hint="eastAsia" w:ascii="楷体" w:hAnsi="楷体" w:eastAsia="楷体" w:cs="楷体"/>
                <w:highlight w:val="none"/>
                <w:lang w:val="en-US" w:eastAsia="zh-CN"/>
              </w:rPr>
              <w:t>木饰面、石材、瓷砖墙裙总面积为72627.14㎡</w:t>
            </w:r>
          </w:p>
        </w:tc>
        <w:tc>
          <w:tcPr>
            <w:tcW w:w="4186" w:type="dxa"/>
            <w:noWrap w:val="0"/>
            <w:vAlign w:val="center"/>
          </w:tcPr>
          <w:p w14:paraId="540EBEE3">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见“3.2房屋维护服务”“3.4保洁服务”</w:t>
            </w:r>
          </w:p>
        </w:tc>
      </w:tr>
      <w:tr w14:paraId="2203F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noWrap w:val="0"/>
            <w:vAlign w:val="center"/>
          </w:tcPr>
          <w:p w14:paraId="120A2AF6">
            <w:pPr>
              <w:pageBreakBefore w:val="0"/>
              <w:kinsoku/>
              <w:wordWrap/>
              <w:overflowPunct/>
              <w:topLinePunct w:val="0"/>
              <w:bidi w:val="0"/>
              <w:snapToGrid w:val="0"/>
              <w:spacing w:line="300" w:lineRule="auto"/>
              <w:ind w:left="0" w:firstLine="0" w:firstLineChars="0"/>
              <w:jc w:val="left"/>
              <w:rPr>
                <w:rFonts w:hint="eastAsia" w:ascii="Calibri" w:hAnsi="Calibri" w:eastAsia="宋体" w:cs="Calibri"/>
                <w:color w:val="auto"/>
                <w:szCs w:val="21"/>
                <w:highlight w:val="none"/>
                <w:lang w:val="en-US" w:eastAsia="zh-CN"/>
              </w:rPr>
            </w:pPr>
            <w:r>
              <w:rPr>
                <w:rFonts w:hint="eastAsia" w:cs="Calibri"/>
                <w:color w:val="auto"/>
                <w:szCs w:val="21"/>
                <w:highlight w:val="none"/>
                <w:lang w:val="en-US" w:eastAsia="zh-CN"/>
              </w:rPr>
              <w:t>会议室</w:t>
            </w:r>
          </w:p>
        </w:tc>
        <w:tc>
          <w:tcPr>
            <w:tcW w:w="2440" w:type="dxa"/>
            <w:noWrap w:val="0"/>
            <w:vAlign w:val="center"/>
          </w:tcPr>
          <w:p w14:paraId="4ACEF733">
            <w:pPr>
              <w:pageBreakBefore w:val="0"/>
              <w:kinsoku/>
              <w:wordWrap/>
              <w:overflowPunct/>
              <w:topLinePunct w:val="0"/>
              <w:bidi w:val="0"/>
              <w:snapToGrid w:val="0"/>
              <w:spacing w:line="300" w:lineRule="auto"/>
              <w:rPr>
                <w:rFonts w:hint="default" w:ascii="Calibri" w:hAnsi="Calibri" w:eastAsia="宋体" w:cs="Calibri"/>
                <w:color w:val="auto"/>
                <w:szCs w:val="21"/>
                <w:highlight w:val="none"/>
                <w:lang w:val="en-US" w:eastAsia="zh-CN"/>
              </w:rPr>
            </w:pPr>
            <w:r>
              <w:rPr>
                <w:rFonts w:hint="eastAsia" w:ascii="Calibri" w:hAnsi="Calibri" w:cs="Calibri"/>
                <w:color w:val="auto"/>
                <w:szCs w:val="21"/>
                <w:highlight w:val="none"/>
                <w:lang w:val="en-US" w:eastAsia="zh-CN"/>
              </w:rPr>
              <w:t>会议室数量</w:t>
            </w:r>
            <w:r>
              <w:rPr>
                <w:rFonts w:hint="eastAsia" w:ascii="Calibri" w:hAnsi="Calibri" w:cs="Calibri"/>
                <w:highlight w:val="none"/>
                <w:lang w:val="en-US" w:eastAsia="zh-CN"/>
              </w:rPr>
              <w:t>（个）</w:t>
            </w:r>
            <w:r>
              <w:rPr>
                <w:rFonts w:hint="eastAsia" w:ascii="Calibri" w:hAnsi="Calibri" w:cs="Calibri"/>
                <w:color w:val="auto"/>
                <w:szCs w:val="21"/>
                <w:highlight w:val="none"/>
                <w:lang w:val="en-US" w:eastAsia="zh-CN"/>
              </w:rPr>
              <w:t>及总面积</w:t>
            </w:r>
            <w:r>
              <w:rPr>
                <w:rFonts w:hint="default" w:ascii="Calibri" w:hAnsi="Calibri" w:cs="Calibri"/>
                <w:highlight w:val="none"/>
                <w:lang w:eastAsia="zh-CN"/>
              </w:rPr>
              <w:t>（</w:t>
            </w:r>
            <w:r>
              <w:rPr>
                <w:rFonts w:hint="default" w:ascii="Calibri" w:hAnsi="Calibri" w:cs="Calibri"/>
                <w:highlight w:val="none"/>
              </w:rPr>
              <w:t>㎡</w:t>
            </w:r>
            <w:r>
              <w:rPr>
                <w:rFonts w:hint="default" w:ascii="Calibri" w:hAnsi="Calibri" w:cs="Calibri"/>
                <w:highlight w:val="none"/>
                <w:lang w:eastAsia="zh-CN"/>
              </w:rPr>
              <w:t>）</w:t>
            </w:r>
          </w:p>
        </w:tc>
        <w:tc>
          <w:tcPr>
            <w:tcW w:w="6761" w:type="dxa"/>
            <w:noWrap w:val="0"/>
            <w:vAlign w:val="center"/>
          </w:tcPr>
          <w:p w14:paraId="384630C2">
            <w:pPr>
              <w:pageBreakBefore w:val="0"/>
              <w:kinsoku/>
              <w:wordWrap/>
              <w:overflowPunct/>
              <w:topLinePunct w:val="0"/>
              <w:bidi w:val="0"/>
              <w:snapToGrid w:val="0"/>
              <w:spacing w:line="300" w:lineRule="auto"/>
              <w:rPr>
                <w:rFonts w:hint="default" w:ascii="Calibri" w:hAnsi="Calibri" w:eastAsia="宋体" w:cs="Calibri"/>
                <w:color w:val="auto"/>
                <w:szCs w:val="21"/>
                <w:highlight w:val="none"/>
              </w:rPr>
            </w:pPr>
            <w:r>
              <w:rPr>
                <w:rFonts w:hint="eastAsia" w:ascii="楷体" w:hAnsi="楷体" w:eastAsia="楷体" w:cs="楷体"/>
                <w:highlight w:val="none"/>
                <w:lang w:val="en-US" w:eastAsia="zh-CN"/>
              </w:rPr>
              <w:t>2个200㎡</w:t>
            </w:r>
          </w:p>
        </w:tc>
        <w:tc>
          <w:tcPr>
            <w:tcW w:w="4186" w:type="dxa"/>
            <w:noWrap w:val="0"/>
            <w:vAlign w:val="center"/>
          </w:tcPr>
          <w:p w14:paraId="7DF1385F">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见“3.4保洁服务”“3.7会议服务”</w:t>
            </w:r>
          </w:p>
        </w:tc>
      </w:tr>
      <w:tr w14:paraId="29443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noWrap w:val="0"/>
            <w:vAlign w:val="center"/>
          </w:tcPr>
          <w:p w14:paraId="278CF02C">
            <w:pPr>
              <w:pageBreakBefore w:val="0"/>
              <w:kinsoku/>
              <w:wordWrap/>
              <w:overflowPunct/>
              <w:topLinePunct w:val="0"/>
              <w:bidi w:val="0"/>
              <w:snapToGrid w:val="0"/>
              <w:spacing w:line="300" w:lineRule="auto"/>
              <w:ind w:left="0" w:firstLine="0" w:firstLineChars="0"/>
              <w:jc w:val="both"/>
              <w:rPr>
                <w:rFonts w:hint="eastAsia" w:ascii="Calibri" w:hAnsi="Calibri" w:eastAsia="宋体" w:cs="Calibri"/>
                <w:color w:val="auto"/>
                <w:szCs w:val="21"/>
                <w:highlight w:val="none"/>
                <w:lang w:val="en-US" w:eastAsia="zh-CN"/>
              </w:rPr>
            </w:pPr>
            <w:r>
              <w:rPr>
                <w:rFonts w:hint="eastAsia" w:cs="Calibri"/>
                <w:color w:val="auto"/>
                <w:szCs w:val="21"/>
                <w:highlight w:val="none"/>
                <w:lang w:val="en-US" w:eastAsia="zh-CN"/>
              </w:rPr>
              <w:t>报告厅</w:t>
            </w:r>
          </w:p>
        </w:tc>
        <w:tc>
          <w:tcPr>
            <w:tcW w:w="2440" w:type="dxa"/>
            <w:noWrap w:val="0"/>
            <w:vAlign w:val="center"/>
          </w:tcPr>
          <w:p w14:paraId="2892B3CE">
            <w:pPr>
              <w:pageBreakBefore w:val="0"/>
              <w:kinsoku/>
              <w:wordWrap/>
              <w:overflowPunct/>
              <w:topLinePunct w:val="0"/>
              <w:bidi w:val="0"/>
              <w:snapToGrid w:val="0"/>
              <w:spacing w:line="300" w:lineRule="auto"/>
              <w:rPr>
                <w:rFonts w:hint="eastAsia" w:ascii="Calibri" w:hAnsi="Calibri" w:cs="Calibri"/>
                <w:highlight w:val="none"/>
                <w:lang w:val="en-US" w:eastAsia="zh-CN"/>
              </w:rPr>
            </w:pPr>
            <w:r>
              <w:rPr>
                <w:rFonts w:hint="eastAsia" w:ascii="Calibri" w:hAnsi="Calibri" w:cs="Calibri"/>
                <w:color w:val="auto"/>
                <w:szCs w:val="21"/>
                <w:highlight w:val="none"/>
                <w:lang w:val="en-US" w:eastAsia="zh-CN"/>
              </w:rPr>
              <w:t>报告厅数量</w:t>
            </w:r>
            <w:r>
              <w:rPr>
                <w:rFonts w:hint="eastAsia" w:ascii="Calibri" w:hAnsi="Calibri" w:cs="Calibri"/>
                <w:highlight w:val="none"/>
                <w:lang w:val="en-US" w:eastAsia="zh-CN"/>
              </w:rPr>
              <w:t>（个）</w:t>
            </w:r>
            <w:r>
              <w:rPr>
                <w:rFonts w:hint="eastAsia" w:ascii="Calibri" w:hAnsi="Calibri" w:cs="Calibri"/>
                <w:color w:val="auto"/>
                <w:szCs w:val="21"/>
                <w:highlight w:val="none"/>
                <w:lang w:val="en-US" w:eastAsia="zh-CN"/>
              </w:rPr>
              <w:t>及总面积</w:t>
            </w:r>
            <w:r>
              <w:rPr>
                <w:rFonts w:hint="default" w:ascii="Calibri" w:hAnsi="Calibri" w:cs="Calibri"/>
                <w:highlight w:val="none"/>
                <w:lang w:eastAsia="zh-CN"/>
              </w:rPr>
              <w:t>（</w:t>
            </w:r>
            <w:r>
              <w:rPr>
                <w:rFonts w:hint="default" w:ascii="Calibri" w:hAnsi="Calibri" w:cs="Calibri"/>
                <w:highlight w:val="none"/>
              </w:rPr>
              <w:t>㎡</w:t>
            </w:r>
            <w:r>
              <w:rPr>
                <w:rFonts w:hint="default" w:ascii="Calibri" w:hAnsi="Calibri" w:cs="Calibri"/>
                <w:highlight w:val="none"/>
                <w:lang w:eastAsia="zh-CN"/>
              </w:rPr>
              <w:t>）</w:t>
            </w:r>
          </w:p>
        </w:tc>
        <w:tc>
          <w:tcPr>
            <w:tcW w:w="6761" w:type="dxa"/>
            <w:noWrap w:val="0"/>
            <w:vAlign w:val="center"/>
          </w:tcPr>
          <w:p w14:paraId="2C1AEF5B">
            <w:pPr>
              <w:pageBreakBefore w:val="0"/>
              <w:kinsoku/>
              <w:wordWrap/>
              <w:overflowPunct/>
              <w:topLinePunct w:val="0"/>
              <w:bidi w:val="0"/>
              <w:snapToGrid w:val="0"/>
              <w:spacing w:line="300" w:lineRule="auto"/>
              <w:rPr>
                <w:rFonts w:hint="default" w:ascii="Calibri" w:hAnsi="Calibri" w:cs="Calibri"/>
                <w:highlight w:val="none"/>
              </w:rPr>
            </w:pPr>
            <w:r>
              <w:rPr>
                <w:rFonts w:hint="eastAsia" w:ascii="楷体" w:hAnsi="楷体" w:eastAsia="楷体" w:cs="楷体"/>
                <w:highlight w:val="none"/>
                <w:lang w:val="en-US" w:eastAsia="zh-CN"/>
              </w:rPr>
              <w:t>2个6000㎡</w:t>
            </w:r>
          </w:p>
        </w:tc>
        <w:tc>
          <w:tcPr>
            <w:tcW w:w="4186" w:type="dxa"/>
            <w:noWrap w:val="0"/>
            <w:vAlign w:val="center"/>
          </w:tcPr>
          <w:p w14:paraId="7F67AE77">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见“3.4保洁服务”“3.7会议服务”</w:t>
            </w:r>
          </w:p>
        </w:tc>
      </w:tr>
      <w:tr w14:paraId="3D153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noWrap w:val="0"/>
            <w:vAlign w:val="center"/>
          </w:tcPr>
          <w:p w14:paraId="41A9CAED">
            <w:pPr>
              <w:pageBreakBefore w:val="0"/>
              <w:kinsoku/>
              <w:wordWrap/>
              <w:overflowPunct/>
              <w:topLinePunct w:val="0"/>
              <w:bidi w:val="0"/>
              <w:snapToGrid w:val="0"/>
              <w:spacing w:line="300" w:lineRule="auto"/>
              <w:ind w:left="0" w:firstLine="0" w:firstLineChars="0"/>
              <w:jc w:val="both"/>
              <w:rPr>
                <w:rFonts w:hint="default" w:ascii="Calibri" w:hAnsi="Calibri" w:eastAsia="宋体" w:cs="Calibri"/>
                <w:color w:val="auto"/>
                <w:szCs w:val="21"/>
                <w:highlight w:val="none"/>
                <w:lang w:val="en-US" w:eastAsia="zh-CN"/>
              </w:rPr>
            </w:pPr>
            <w:r>
              <w:rPr>
                <w:rFonts w:hint="eastAsia" w:ascii="Calibri" w:hAnsi="Calibri" w:cs="Calibri"/>
                <w:color w:val="auto"/>
                <w:szCs w:val="21"/>
                <w:highlight w:val="none"/>
                <w:lang w:val="en-US" w:eastAsia="zh-CN"/>
              </w:rPr>
              <w:t>卫生间</w:t>
            </w:r>
          </w:p>
        </w:tc>
        <w:tc>
          <w:tcPr>
            <w:tcW w:w="2440" w:type="dxa"/>
            <w:noWrap w:val="0"/>
            <w:vAlign w:val="center"/>
          </w:tcPr>
          <w:p w14:paraId="63F76F02">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eastAsia" w:ascii="Calibri" w:hAnsi="Calibri" w:cs="Calibri"/>
                <w:highlight w:val="none"/>
                <w:lang w:val="en-US" w:eastAsia="zh-CN"/>
              </w:rPr>
              <w:t>卫生间</w:t>
            </w:r>
            <w:r>
              <w:rPr>
                <w:rFonts w:hint="eastAsia" w:ascii="Calibri" w:hAnsi="Calibri" w:cs="Calibri"/>
                <w:color w:val="auto"/>
                <w:szCs w:val="21"/>
                <w:highlight w:val="none"/>
                <w:lang w:val="en-US" w:eastAsia="zh-CN"/>
              </w:rPr>
              <w:t>数量</w:t>
            </w:r>
            <w:r>
              <w:rPr>
                <w:rFonts w:hint="eastAsia" w:ascii="Calibri" w:hAnsi="Calibri" w:cs="Calibri"/>
                <w:highlight w:val="none"/>
                <w:lang w:val="en-US" w:eastAsia="zh-CN"/>
              </w:rPr>
              <w:t>（个）</w:t>
            </w:r>
            <w:r>
              <w:rPr>
                <w:rFonts w:hint="eastAsia" w:ascii="Calibri" w:hAnsi="Calibri" w:cs="Calibri"/>
                <w:color w:val="auto"/>
                <w:szCs w:val="21"/>
                <w:highlight w:val="none"/>
                <w:lang w:val="en-US" w:eastAsia="zh-CN"/>
              </w:rPr>
              <w:t>及总面积</w:t>
            </w:r>
            <w:r>
              <w:rPr>
                <w:rFonts w:hint="default" w:ascii="Calibri" w:hAnsi="Calibri" w:cs="Calibri"/>
                <w:highlight w:val="none"/>
                <w:lang w:eastAsia="zh-CN"/>
              </w:rPr>
              <w:t>（</w:t>
            </w:r>
            <w:r>
              <w:rPr>
                <w:rFonts w:hint="default" w:ascii="Calibri" w:hAnsi="Calibri" w:cs="Calibri"/>
                <w:highlight w:val="none"/>
              </w:rPr>
              <w:t>㎡</w:t>
            </w:r>
            <w:r>
              <w:rPr>
                <w:rFonts w:hint="default" w:ascii="Calibri" w:hAnsi="Calibri" w:cs="Calibri"/>
                <w:highlight w:val="none"/>
                <w:lang w:eastAsia="zh-CN"/>
              </w:rPr>
              <w:t>）</w:t>
            </w:r>
          </w:p>
        </w:tc>
        <w:tc>
          <w:tcPr>
            <w:tcW w:w="6761" w:type="dxa"/>
            <w:noWrap w:val="0"/>
            <w:vAlign w:val="center"/>
          </w:tcPr>
          <w:p w14:paraId="773E7D08">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eastAsia" w:ascii="楷体" w:hAnsi="楷体" w:eastAsia="楷体" w:cs="楷体"/>
                <w:highlight w:val="none"/>
                <w:lang w:val="en-US" w:eastAsia="zh-CN"/>
              </w:rPr>
              <w:t>676个20280㎡</w:t>
            </w:r>
          </w:p>
        </w:tc>
        <w:tc>
          <w:tcPr>
            <w:tcW w:w="4186" w:type="dxa"/>
            <w:noWrap w:val="0"/>
            <w:vAlign w:val="center"/>
          </w:tcPr>
          <w:p w14:paraId="49390E6C">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见“3.4保洁服务”</w:t>
            </w:r>
          </w:p>
        </w:tc>
      </w:tr>
      <w:tr w14:paraId="72362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173" w:type="dxa"/>
            <w:noWrap w:val="0"/>
            <w:vAlign w:val="center"/>
          </w:tcPr>
          <w:p w14:paraId="0CEF3C5C">
            <w:pPr>
              <w:pageBreakBefore w:val="0"/>
              <w:kinsoku/>
              <w:wordWrap/>
              <w:overflowPunct/>
              <w:topLinePunct w:val="0"/>
              <w:bidi w:val="0"/>
              <w:snapToGrid w:val="0"/>
              <w:spacing w:line="300" w:lineRule="auto"/>
              <w:ind w:left="0" w:firstLine="0" w:firstLineChars="0"/>
              <w:jc w:val="both"/>
              <w:rPr>
                <w:rFonts w:hint="default" w:ascii="Calibri" w:hAnsi="Calibri" w:cs="Calibri"/>
                <w:color w:val="auto"/>
                <w:szCs w:val="21"/>
                <w:highlight w:val="none"/>
                <w:lang w:val="en-US" w:eastAsia="zh-CN"/>
              </w:rPr>
            </w:pPr>
            <w:r>
              <w:rPr>
                <w:rFonts w:hint="eastAsia" w:ascii="Calibri" w:hAnsi="Calibri" w:cs="Calibri"/>
                <w:color w:val="auto"/>
                <w:szCs w:val="21"/>
                <w:highlight w:val="none"/>
                <w:lang w:val="en-US" w:eastAsia="zh-CN"/>
              </w:rPr>
              <w:t>垃圾存放点</w:t>
            </w:r>
          </w:p>
        </w:tc>
        <w:tc>
          <w:tcPr>
            <w:tcW w:w="2440" w:type="dxa"/>
            <w:noWrap w:val="0"/>
            <w:vAlign w:val="center"/>
          </w:tcPr>
          <w:p w14:paraId="76636BA0">
            <w:pPr>
              <w:pageBreakBefore w:val="0"/>
              <w:kinsoku/>
              <w:wordWrap/>
              <w:overflowPunct/>
              <w:topLinePunct w:val="0"/>
              <w:bidi w:val="0"/>
              <w:snapToGrid w:val="0"/>
              <w:spacing w:line="300" w:lineRule="auto"/>
              <w:rPr>
                <w:rFonts w:hint="default" w:ascii="Calibri" w:hAnsi="Calibri" w:eastAsia="宋体" w:cs="Calibri"/>
                <w:kern w:val="2"/>
                <w:sz w:val="21"/>
                <w:szCs w:val="24"/>
                <w:highlight w:val="none"/>
                <w:lang w:val="en-US" w:eastAsia="zh-CN" w:bidi="ar-SA"/>
              </w:rPr>
            </w:pPr>
            <w:r>
              <w:rPr>
                <w:rFonts w:hint="eastAsia" w:ascii="Calibri" w:hAnsi="Calibri" w:cs="Calibri"/>
                <w:highlight w:val="none"/>
                <w:lang w:val="en-US" w:eastAsia="zh-CN"/>
              </w:rPr>
              <w:t>各垃圾存放点位置、</w:t>
            </w:r>
            <w:r>
              <w:rPr>
                <w:rFonts w:hint="default" w:ascii="Calibri" w:hAnsi="Calibri" w:cs="Calibri"/>
                <w:highlight w:val="none"/>
              </w:rPr>
              <w:t>面积</w:t>
            </w:r>
            <w:r>
              <w:rPr>
                <w:rFonts w:hint="default" w:ascii="Calibri" w:hAnsi="Calibri" w:cs="Calibri"/>
                <w:highlight w:val="none"/>
                <w:lang w:eastAsia="zh-CN"/>
              </w:rPr>
              <w:t>（</w:t>
            </w:r>
            <w:r>
              <w:rPr>
                <w:rFonts w:hint="default" w:ascii="Calibri" w:hAnsi="Calibri" w:cs="Calibri"/>
                <w:highlight w:val="none"/>
              </w:rPr>
              <w:t>㎡</w:t>
            </w:r>
            <w:r>
              <w:rPr>
                <w:rFonts w:hint="default" w:ascii="Calibri" w:hAnsi="Calibri" w:cs="Calibri"/>
                <w:highlight w:val="none"/>
                <w:lang w:eastAsia="zh-CN"/>
              </w:rPr>
              <w:t>）</w:t>
            </w:r>
            <w:r>
              <w:rPr>
                <w:rFonts w:hint="eastAsia" w:ascii="Calibri" w:hAnsi="Calibri" w:cs="Calibri"/>
                <w:highlight w:val="none"/>
                <w:lang w:val="en-US" w:eastAsia="zh-CN"/>
              </w:rPr>
              <w:t>及数量（个）</w:t>
            </w:r>
          </w:p>
        </w:tc>
        <w:tc>
          <w:tcPr>
            <w:tcW w:w="6761" w:type="dxa"/>
            <w:noWrap w:val="0"/>
            <w:vAlign w:val="center"/>
          </w:tcPr>
          <w:p w14:paraId="4B2D3A59">
            <w:pPr>
              <w:pageBreakBefore w:val="0"/>
              <w:kinsoku/>
              <w:wordWrap/>
              <w:overflowPunct/>
              <w:topLinePunct w:val="0"/>
              <w:bidi w:val="0"/>
              <w:snapToGrid w:val="0"/>
              <w:spacing w:line="300" w:lineRule="auto"/>
              <w:rPr>
                <w:rFonts w:hint="default" w:ascii="Calibri" w:hAnsi="Calibri" w:eastAsia="宋体" w:cs="Calibri"/>
                <w:kern w:val="2"/>
                <w:sz w:val="21"/>
                <w:szCs w:val="24"/>
                <w:highlight w:val="none"/>
                <w:lang w:val="en-US" w:eastAsia="zh-CN" w:bidi="ar-SA"/>
              </w:rPr>
            </w:pPr>
            <w:r>
              <w:rPr>
                <w:rFonts w:hint="eastAsia" w:ascii="楷体" w:hAnsi="楷体" w:eastAsia="楷体" w:cs="楷体"/>
                <w:highlight w:val="none"/>
                <w:lang w:val="en-US" w:eastAsia="zh-CN"/>
              </w:rPr>
              <w:t>教学楼后面1个30㎡、男生宿舍楼北面1个30㎡</w:t>
            </w:r>
          </w:p>
        </w:tc>
        <w:tc>
          <w:tcPr>
            <w:tcW w:w="4186" w:type="dxa"/>
            <w:noWrap w:val="0"/>
            <w:vAlign w:val="center"/>
          </w:tcPr>
          <w:p w14:paraId="68F9D210">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见“3.4保洁服务”</w:t>
            </w:r>
          </w:p>
        </w:tc>
      </w:tr>
      <w:tr w14:paraId="10743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restart"/>
            <w:noWrap w:val="0"/>
            <w:vAlign w:val="center"/>
          </w:tcPr>
          <w:p w14:paraId="464092FE">
            <w:pPr>
              <w:pageBreakBefore w:val="0"/>
              <w:kinsoku/>
              <w:wordWrap/>
              <w:overflowPunct/>
              <w:topLinePunct w:val="0"/>
              <w:bidi w:val="0"/>
              <w:snapToGrid w:val="0"/>
              <w:spacing w:line="300" w:lineRule="auto"/>
              <w:ind w:left="0" w:firstLine="0" w:firstLineChars="0"/>
              <w:jc w:val="both"/>
              <w:rPr>
                <w:rFonts w:hint="default" w:ascii="Calibri" w:hAnsi="Calibri" w:cs="Calibri"/>
                <w:highlight w:val="none"/>
              </w:rPr>
            </w:pPr>
            <w:r>
              <w:rPr>
                <w:rFonts w:hint="default" w:ascii="Calibri" w:hAnsi="Calibri" w:cs="Calibri"/>
                <w:highlight w:val="none"/>
                <w:lang w:val="en-US" w:eastAsia="zh-CN"/>
              </w:rPr>
              <w:t>车行/人行口</w:t>
            </w:r>
          </w:p>
        </w:tc>
        <w:tc>
          <w:tcPr>
            <w:tcW w:w="2440" w:type="dxa"/>
            <w:noWrap w:val="0"/>
            <w:vAlign w:val="center"/>
          </w:tcPr>
          <w:p w14:paraId="35CBF839">
            <w:pPr>
              <w:pageBreakBefore w:val="0"/>
              <w:kinsoku/>
              <w:wordWrap/>
              <w:overflowPunct/>
              <w:topLinePunct w:val="0"/>
              <w:bidi w:val="0"/>
              <w:snapToGrid w:val="0"/>
              <w:spacing w:line="300" w:lineRule="auto"/>
              <w:ind w:left="0" w:leftChars="0" w:firstLine="0" w:firstLineChars="0"/>
              <w:jc w:val="both"/>
              <w:rPr>
                <w:rFonts w:hint="eastAsia" w:ascii="Calibri" w:hAnsi="Calibri" w:eastAsia="宋体" w:cs="Calibri"/>
                <w:kern w:val="2"/>
                <w:sz w:val="21"/>
                <w:szCs w:val="24"/>
                <w:highlight w:val="none"/>
                <w:lang w:val="en-US" w:eastAsia="zh-CN" w:bidi="ar-SA"/>
              </w:rPr>
            </w:pPr>
            <w:r>
              <w:rPr>
                <w:rFonts w:hint="default" w:ascii="Calibri" w:hAnsi="Calibri" w:cs="Calibri"/>
                <w:highlight w:val="none"/>
                <w:lang w:val="en-US" w:eastAsia="zh-CN"/>
              </w:rPr>
              <w:t>车行</w:t>
            </w:r>
            <w:r>
              <w:rPr>
                <w:rFonts w:hint="eastAsia" w:cs="Calibri"/>
                <w:highlight w:val="none"/>
                <w:lang w:val="en-US" w:eastAsia="zh-CN"/>
              </w:rPr>
              <w:t>口</w:t>
            </w:r>
          </w:p>
        </w:tc>
        <w:tc>
          <w:tcPr>
            <w:tcW w:w="6761" w:type="dxa"/>
            <w:noWrap w:val="0"/>
            <w:vAlign w:val="center"/>
          </w:tcPr>
          <w:p w14:paraId="0DC58F01">
            <w:pPr>
              <w:pageBreakBefore w:val="0"/>
              <w:kinsoku/>
              <w:wordWrap/>
              <w:overflowPunct/>
              <w:topLinePunct w:val="0"/>
              <w:bidi w:val="0"/>
              <w:snapToGrid w:val="0"/>
              <w:spacing w:line="300" w:lineRule="auto"/>
              <w:rPr>
                <w:rFonts w:hint="default" w:ascii="Calibri" w:hAnsi="Calibri" w:eastAsia="宋体" w:cs="Calibri"/>
                <w:kern w:val="2"/>
                <w:sz w:val="21"/>
                <w:szCs w:val="24"/>
                <w:highlight w:val="none"/>
                <w:lang w:val="en-US" w:eastAsia="zh-CN" w:bidi="ar-SA"/>
              </w:rPr>
            </w:pPr>
            <w:r>
              <w:rPr>
                <w:rFonts w:hint="eastAsia" w:ascii="楷体" w:hAnsi="楷体" w:eastAsia="楷体" w:cs="楷体"/>
                <w:highlight w:val="none"/>
                <w:lang w:val="en-US" w:eastAsia="zh-CN"/>
              </w:rPr>
              <w:t>2</w:t>
            </w:r>
          </w:p>
        </w:tc>
        <w:tc>
          <w:tcPr>
            <w:tcW w:w="4186" w:type="dxa"/>
            <w:noWrap w:val="0"/>
            <w:vAlign w:val="center"/>
          </w:tcPr>
          <w:p w14:paraId="2439EAB0">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ascii="Calibri" w:hAnsi="Calibri" w:eastAsia="宋体" w:cs="Calibri"/>
                <w:color w:val="auto"/>
                <w:highlight w:val="none"/>
                <w:lang w:val="en-US" w:eastAsia="zh-CN"/>
              </w:rPr>
              <w:t>见“3.6保安服务”</w:t>
            </w:r>
          </w:p>
        </w:tc>
      </w:tr>
      <w:tr w14:paraId="6F0D4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continue"/>
            <w:noWrap w:val="0"/>
            <w:vAlign w:val="center"/>
          </w:tcPr>
          <w:p w14:paraId="55B44031">
            <w:pPr>
              <w:pageBreakBefore w:val="0"/>
              <w:kinsoku/>
              <w:wordWrap/>
              <w:overflowPunct/>
              <w:topLinePunct w:val="0"/>
              <w:bidi w:val="0"/>
              <w:snapToGrid w:val="0"/>
              <w:spacing w:line="300" w:lineRule="auto"/>
              <w:ind w:left="0" w:firstLine="0" w:firstLineChars="0"/>
              <w:jc w:val="both"/>
              <w:rPr>
                <w:rFonts w:hint="default" w:ascii="Calibri" w:hAnsi="Calibri" w:cs="Calibri"/>
                <w:highlight w:val="none"/>
                <w:lang w:val="en-US" w:eastAsia="zh-CN"/>
              </w:rPr>
            </w:pPr>
          </w:p>
        </w:tc>
        <w:tc>
          <w:tcPr>
            <w:tcW w:w="2440" w:type="dxa"/>
            <w:noWrap w:val="0"/>
            <w:vAlign w:val="center"/>
          </w:tcPr>
          <w:p w14:paraId="109CB03E">
            <w:pPr>
              <w:pageBreakBefore w:val="0"/>
              <w:kinsoku/>
              <w:wordWrap/>
              <w:overflowPunct/>
              <w:topLinePunct w:val="0"/>
              <w:bidi w:val="0"/>
              <w:snapToGrid w:val="0"/>
              <w:spacing w:line="300" w:lineRule="auto"/>
              <w:ind w:left="0" w:leftChars="0" w:firstLine="0" w:firstLineChars="0"/>
              <w:jc w:val="both"/>
              <w:rPr>
                <w:rFonts w:hint="default" w:ascii="Calibri" w:hAnsi="Calibri" w:cs="Calibri"/>
                <w:highlight w:val="none"/>
                <w:lang w:val="en-US" w:eastAsia="zh-CN"/>
              </w:rPr>
            </w:pPr>
            <w:r>
              <w:rPr>
                <w:rFonts w:hint="default" w:ascii="Calibri" w:hAnsi="Calibri" w:cs="Calibri"/>
                <w:highlight w:val="none"/>
                <w:lang w:val="en-US" w:eastAsia="zh-CN"/>
              </w:rPr>
              <w:t>人行口</w:t>
            </w:r>
          </w:p>
        </w:tc>
        <w:tc>
          <w:tcPr>
            <w:tcW w:w="6761" w:type="dxa"/>
            <w:noWrap w:val="0"/>
            <w:vAlign w:val="center"/>
          </w:tcPr>
          <w:p w14:paraId="26E8C40A">
            <w:pPr>
              <w:pageBreakBefore w:val="0"/>
              <w:kinsoku/>
              <w:wordWrap/>
              <w:overflowPunct/>
              <w:topLinePunct w:val="0"/>
              <w:bidi w:val="0"/>
              <w:snapToGrid w:val="0"/>
              <w:spacing w:line="300" w:lineRule="auto"/>
              <w:rPr>
                <w:rFonts w:hint="default" w:ascii="Calibri" w:hAnsi="Calibri" w:eastAsia="宋体" w:cs="Calibri"/>
                <w:kern w:val="2"/>
                <w:sz w:val="21"/>
                <w:szCs w:val="24"/>
                <w:highlight w:val="none"/>
                <w:lang w:val="en-US" w:eastAsia="zh-CN" w:bidi="ar-SA"/>
              </w:rPr>
            </w:pPr>
            <w:r>
              <w:rPr>
                <w:rFonts w:hint="eastAsia" w:ascii="楷体" w:hAnsi="楷体" w:eastAsia="楷体" w:cs="楷体"/>
                <w:highlight w:val="none"/>
                <w:lang w:val="en-US" w:eastAsia="zh-CN"/>
              </w:rPr>
              <w:t>2</w:t>
            </w:r>
          </w:p>
        </w:tc>
        <w:tc>
          <w:tcPr>
            <w:tcW w:w="4186" w:type="dxa"/>
            <w:noWrap w:val="0"/>
            <w:vAlign w:val="center"/>
          </w:tcPr>
          <w:p w14:paraId="1015EE87">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ascii="Calibri" w:hAnsi="Calibri" w:eastAsia="宋体" w:cs="Calibri"/>
                <w:color w:val="auto"/>
                <w:highlight w:val="none"/>
                <w:lang w:val="en-US" w:eastAsia="zh-CN"/>
              </w:rPr>
              <w:t>见“3.6保安服务”</w:t>
            </w:r>
          </w:p>
        </w:tc>
      </w:tr>
      <w:tr w14:paraId="15C46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continue"/>
            <w:noWrap w:val="0"/>
            <w:vAlign w:val="center"/>
          </w:tcPr>
          <w:p w14:paraId="0C68F7DE">
            <w:pPr>
              <w:pageBreakBefore w:val="0"/>
              <w:kinsoku/>
              <w:wordWrap/>
              <w:overflowPunct/>
              <w:topLinePunct w:val="0"/>
              <w:bidi w:val="0"/>
              <w:snapToGrid w:val="0"/>
              <w:spacing w:line="300" w:lineRule="auto"/>
              <w:ind w:left="0" w:firstLine="0" w:firstLineChars="0"/>
              <w:jc w:val="both"/>
              <w:rPr>
                <w:rFonts w:hint="default" w:ascii="Calibri" w:hAnsi="Calibri" w:eastAsia="宋体" w:cs="Calibri"/>
                <w:color w:val="auto"/>
                <w:szCs w:val="21"/>
                <w:highlight w:val="none"/>
              </w:rPr>
            </w:pPr>
          </w:p>
        </w:tc>
        <w:tc>
          <w:tcPr>
            <w:tcW w:w="2440" w:type="dxa"/>
            <w:noWrap w:val="0"/>
            <w:vAlign w:val="center"/>
          </w:tcPr>
          <w:p w14:paraId="687EE44C">
            <w:pPr>
              <w:pageBreakBefore w:val="0"/>
              <w:kinsoku/>
              <w:wordWrap/>
              <w:overflowPunct/>
              <w:topLinePunct w:val="0"/>
              <w:bidi w:val="0"/>
              <w:snapToGrid w:val="0"/>
              <w:spacing w:line="300" w:lineRule="auto"/>
              <w:rPr>
                <w:rFonts w:hint="eastAsia" w:ascii="Calibri" w:hAnsi="Calibri" w:eastAsia="宋体" w:cs="Calibri"/>
                <w:color w:val="auto"/>
                <w:kern w:val="2"/>
                <w:sz w:val="21"/>
                <w:szCs w:val="21"/>
                <w:highlight w:val="none"/>
                <w:lang w:val="en-US" w:eastAsia="zh-CN" w:bidi="ar-SA"/>
              </w:rPr>
            </w:pPr>
            <w:r>
              <w:rPr>
                <w:rFonts w:hint="default" w:ascii="Calibri" w:hAnsi="Calibri" w:cs="Calibri"/>
                <w:highlight w:val="none"/>
              </w:rPr>
              <w:t>消防</w:t>
            </w:r>
            <w:r>
              <w:rPr>
                <w:rFonts w:hint="eastAsia" w:ascii="Calibri" w:hAnsi="Calibri" w:cs="Calibri"/>
                <w:highlight w:val="none"/>
                <w:lang w:val="en-US" w:eastAsia="zh-CN"/>
              </w:rPr>
              <w:t>系统</w:t>
            </w:r>
          </w:p>
        </w:tc>
        <w:tc>
          <w:tcPr>
            <w:tcW w:w="6761" w:type="dxa"/>
            <w:noWrap w:val="0"/>
            <w:vAlign w:val="center"/>
          </w:tcPr>
          <w:p w14:paraId="777A4AF3">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eastAsia" w:ascii="楷体" w:hAnsi="楷体" w:eastAsia="楷体" w:cs="楷体"/>
                <w:highlight w:val="none"/>
                <w:lang w:val="en-US" w:eastAsia="zh-CN"/>
              </w:rPr>
              <w:t>1</w:t>
            </w:r>
          </w:p>
        </w:tc>
        <w:tc>
          <w:tcPr>
            <w:tcW w:w="4186" w:type="dxa"/>
            <w:noWrap w:val="0"/>
            <w:vAlign w:val="center"/>
          </w:tcPr>
          <w:p w14:paraId="74CE2779">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ascii="Calibri" w:hAnsi="Calibri" w:eastAsia="宋体" w:cs="Calibri"/>
                <w:color w:val="auto"/>
                <w:highlight w:val="none"/>
                <w:lang w:val="en-US" w:eastAsia="zh-CN"/>
              </w:rPr>
              <w:t>见“3.6保安服务”“3.3</w:t>
            </w:r>
            <w:r>
              <w:rPr>
                <w:rFonts w:hint="eastAsia" w:cs="Calibri"/>
                <w:color w:val="auto"/>
                <w:highlight w:val="none"/>
                <w:lang w:val="en-US" w:eastAsia="zh-CN"/>
              </w:rPr>
              <w:t>公用设施</w:t>
            </w:r>
            <w:r>
              <w:rPr>
                <w:rFonts w:hint="eastAsia" w:ascii="Calibri" w:hAnsi="Calibri" w:eastAsia="宋体" w:cs="Calibri"/>
                <w:color w:val="auto"/>
                <w:highlight w:val="none"/>
                <w:lang w:val="en-US" w:eastAsia="zh-CN"/>
              </w:rPr>
              <w:t>设备维护服务”</w:t>
            </w:r>
          </w:p>
        </w:tc>
      </w:tr>
      <w:tr w14:paraId="77EF9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continue"/>
            <w:noWrap w:val="0"/>
            <w:vAlign w:val="center"/>
          </w:tcPr>
          <w:p w14:paraId="08FA2FE3">
            <w:pPr>
              <w:pageBreakBefore w:val="0"/>
              <w:kinsoku/>
              <w:wordWrap/>
              <w:overflowPunct/>
              <w:topLinePunct w:val="0"/>
              <w:bidi w:val="0"/>
              <w:snapToGrid w:val="0"/>
              <w:spacing w:line="300" w:lineRule="auto"/>
              <w:ind w:left="0" w:firstLine="0" w:firstLineChars="0"/>
              <w:jc w:val="both"/>
              <w:rPr>
                <w:rFonts w:hint="default" w:ascii="Calibri" w:hAnsi="Calibri" w:eastAsia="宋体" w:cs="Calibri"/>
                <w:color w:val="auto"/>
                <w:szCs w:val="21"/>
                <w:highlight w:val="none"/>
              </w:rPr>
            </w:pPr>
          </w:p>
        </w:tc>
        <w:tc>
          <w:tcPr>
            <w:tcW w:w="2440" w:type="dxa"/>
            <w:noWrap w:val="0"/>
            <w:vAlign w:val="center"/>
          </w:tcPr>
          <w:p w14:paraId="40950E95">
            <w:pPr>
              <w:pageBreakBefore w:val="0"/>
              <w:kinsoku/>
              <w:wordWrap/>
              <w:overflowPunct/>
              <w:topLinePunct w:val="0"/>
              <w:bidi w:val="0"/>
              <w:snapToGrid w:val="0"/>
              <w:spacing w:line="300" w:lineRule="auto"/>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安防系统</w:t>
            </w:r>
          </w:p>
        </w:tc>
        <w:tc>
          <w:tcPr>
            <w:tcW w:w="6761" w:type="dxa"/>
            <w:noWrap w:val="0"/>
            <w:vAlign w:val="center"/>
          </w:tcPr>
          <w:p w14:paraId="6540A1E4">
            <w:pPr>
              <w:pageBreakBefore w:val="0"/>
              <w:kinsoku/>
              <w:wordWrap/>
              <w:overflowPunct/>
              <w:topLinePunct w:val="0"/>
              <w:bidi w:val="0"/>
              <w:snapToGrid w:val="0"/>
              <w:spacing w:line="300" w:lineRule="auto"/>
              <w:rPr>
                <w:rFonts w:hint="eastAsia" w:ascii="Calibri" w:hAnsi="Calibri" w:eastAsia="宋体" w:cs="Calibri"/>
                <w:kern w:val="2"/>
                <w:sz w:val="21"/>
                <w:szCs w:val="21"/>
                <w:highlight w:val="none"/>
                <w:lang w:val="en-US" w:eastAsia="zh-CN" w:bidi="ar-SA"/>
              </w:rPr>
            </w:pPr>
            <w:r>
              <w:rPr>
                <w:rFonts w:hint="eastAsia" w:ascii="楷体" w:hAnsi="楷体" w:eastAsia="楷体" w:cs="楷体"/>
                <w:highlight w:val="none"/>
                <w:lang w:val="en-US" w:eastAsia="zh-CN"/>
              </w:rPr>
              <w:t>1</w:t>
            </w:r>
          </w:p>
        </w:tc>
        <w:tc>
          <w:tcPr>
            <w:tcW w:w="4186" w:type="dxa"/>
            <w:noWrap w:val="0"/>
            <w:vAlign w:val="center"/>
          </w:tcPr>
          <w:p w14:paraId="5F300696">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ascii="Calibri" w:hAnsi="Calibri" w:eastAsia="宋体" w:cs="Calibri"/>
                <w:color w:val="auto"/>
                <w:highlight w:val="none"/>
                <w:lang w:val="en-US" w:eastAsia="zh-CN"/>
              </w:rPr>
              <w:t>见“3.6保安服务”“3.3</w:t>
            </w:r>
            <w:r>
              <w:rPr>
                <w:rFonts w:hint="eastAsia" w:cs="Calibri"/>
                <w:color w:val="auto"/>
                <w:highlight w:val="none"/>
                <w:lang w:val="en-US" w:eastAsia="zh-CN"/>
              </w:rPr>
              <w:t>公用设施</w:t>
            </w:r>
            <w:r>
              <w:rPr>
                <w:rFonts w:hint="eastAsia" w:ascii="Calibri" w:hAnsi="Calibri" w:eastAsia="宋体" w:cs="Calibri"/>
                <w:color w:val="auto"/>
                <w:highlight w:val="none"/>
                <w:lang w:val="en-US" w:eastAsia="zh-CN"/>
              </w:rPr>
              <w:t>设备维护服务”</w:t>
            </w:r>
          </w:p>
        </w:tc>
      </w:tr>
      <w:tr w14:paraId="7C300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continue"/>
            <w:noWrap w:val="0"/>
            <w:vAlign w:val="center"/>
          </w:tcPr>
          <w:p w14:paraId="21A56AF8">
            <w:pPr>
              <w:pageBreakBefore w:val="0"/>
              <w:kinsoku/>
              <w:wordWrap/>
              <w:overflowPunct/>
              <w:topLinePunct w:val="0"/>
              <w:bidi w:val="0"/>
              <w:snapToGrid w:val="0"/>
              <w:spacing w:line="300" w:lineRule="auto"/>
              <w:ind w:left="0" w:firstLine="0" w:firstLineChars="0"/>
              <w:jc w:val="both"/>
              <w:rPr>
                <w:rFonts w:hint="default" w:ascii="Calibri" w:hAnsi="Calibri" w:eastAsia="宋体" w:cs="Calibri"/>
                <w:color w:val="auto"/>
                <w:szCs w:val="21"/>
                <w:highlight w:val="none"/>
              </w:rPr>
            </w:pPr>
          </w:p>
        </w:tc>
        <w:tc>
          <w:tcPr>
            <w:tcW w:w="2440" w:type="dxa"/>
            <w:noWrap w:val="0"/>
            <w:vAlign w:val="center"/>
          </w:tcPr>
          <w:p w14:paraId="2C4668EC">
            <w:pPr>
              <w:pageBreakBefore w:val="0"/>
              <w:kinsoku/>
              <w:wordWrap/>
              <w:overflowPunct/>
              <w:topLinePunct w:val="0"/>
              <w:bidi w:val="0"/>
              <w:snapToGrid w:val="0"/>
              <w:spacing w:line="300" w:lineRule="auto"/>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照明系统</w:t>
            </w:r>
          </w:p>
        </w:tc>
        <w:tc>
          <w:tcPr>
            <w:tcW w:w="6761" w:type="dxa"/>
            <w:noWrap w:val="0"/>
            <w:vAlign w:val="center"/>
          </w:tcPr>
          <w:p w14:paraId="3477FFBC">
            <w:pPr>
              <w:pageBreakBefore w:val="0"/>
              <w:kinsoku/>
              <w:wordWrap/>
              <w:overflowPunct/>
              <w:topLinePunct w:val="0"/>
              <w:bidi w:val="0"/>
              <w:snapToGrid w:val="0"/>
              <w:spacing w:line="300" w:lineRule="auto"/>
              <w:rPr>
                <w:rFonts w:hint="eastAsia" w:ascii="Calibri" w:hAnsi="Calibri" w:eastAsia="宋体" w:cs="Calibri"/>
                <w:kern w:val="2"/>
                <w:sz w:val="21"/>
                <w:szCs w:val="21"/>
                <w:highlight w:val="none"/>
                <w:lang w:val="en-US" w:eastAsia="zh-CN" w:bidi="ar-SA"/>
              </w:rPr>
            </w:pPr>
            <w:r>
              <w:rPr>
                <w:rFonts w:hint="eastAsia" w:ascii="楷体" w:hAnsi="楷体" w:eastAsia="楷体" w:cs="楷体"/>
                <w:highlight w:val="none"/>
                <w:lang w:val="en-US" w:eastAsia="zh-CN"/>
              </w:rPr>
              <w:t>1</w:t>
            </w:r>
          </w:p>
        </w:tc>
        <w:tc>
          <w:tcPr>
            <w:tcW w:w="4186" w:type="dxa"/>
            <w:noWrap w:val="0"/>
            <w:vAlign w:val="center"/>
          </w:tcPr>
          <w:p w14:paraId="57029209">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ascii="Calibri" w:hAnsi="Calibri" w:eastAsia="宋体" w:cs="Calibri"/>
                <w:color w:val="auto"/>
                <w:highlight w:val="none"/>
                <w:lang w:val="en-US" w:eastAsia="zh-CN"/>
              </w:rPr>
              <w:t>见“3.6保安服务”“3.3</w:t>
            </w:r>
            <w:r>
              <w:rPr>
                <w:rFonts w:hint="eastAsia" w:cs="Calibri"/>
                <w:color w:val="auto"/>
                <w:highlight w:val="none"/>
                <w:lang w:val="en-US" w:eastAsia="zh-CN"/>
              </w:rPr>
              <w:t>公用设施</w:t>
            </w:r>
            <w:r>
              <w:rPr>
                <w:rFonts w:hint="eastAsia" w:ascii="Calibri" w:hAnsi="Calibri" w:eastAsia="宋体" w:cs="Calibri"/>
                <w:color w:val="auto"/>
                <w:highlight w:val="none"/>
                <w:lang w:val="en-US" w:eastAsia="zh-CN"/>
              </w:rPr>
              <w:t>设备维护服务”</w:t>
            </w:r>
          </w:p>
        </w:tc>
      </w:tr>
      <w:tr w14:paraId="4EE1E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73" w:type="dxa"/>
            <w:vMerge w:val="continue"/>
            <w:noWrap w:val="0"/>
            <w:vAlign w:val="center"/>
          </w:tcPr>
          <w:p w14:paraId="6B111334">
            <w:pPr>
              <w:pageBreakBefore w:val="0"/>
              <w:kinsoku/>
              <w:wordWrap/>
              <w:overflowPunct/>
              <w:topLinePunct w:val="0"/>
              <w:bidi w:val="0"/>
              <w:snapToGrid w:val="0"/>
              <w:spacing w:line="300" w:lineRule="auto"/>
              <w:ind w:left="0" w:firstLine="0" w:firstLineChars="0"/>
              <w:jc w:val="both"/>
              <w:rPr>
                <w:rFonts w:hint="default" w:ascii="Calibri" w:hAnsi="Calibri" w:eastAsia="宋体" w:cs="Calibri"/>
                <w:color w:val="auto"/>
                <w:szCs w:val="21"/>
                <w:highlight w:val="none"/>
              </w:rPr>
            </w:pPr>
          </w:p>
        </w:tc>
        <w:tc>
          <w:tcPr>
            <w:tcW w:w="2440" w:type="dxa"/>
            <w:noWrap w:val="0"/>
            <w:vAlign w:val="center"/>
          </w:tcPr>
          <w:p w14:paraId="552D569E">
            <w:pPr>
              <w:pageBreakBefore w:val="0"/>
              <w:kinsoku/>
              <w:wordWrap/>
              <w:overflowPunct/>
              <w:topLinePunct w:val="0"/>
              <w:bidi w:val="0"/>
              <w:snapToGrid w:val="0"/>
              <w:spacing w:line="300" w:lineRule="auto"/>
              <w:rPr>
                <w:rFonts w:hint="default" w:ascii="Calibri" w:hAnsi="Calibri" w:cs="Calibri"/>
                <w:highlight w:val="none"/>
              </w:rPr>
            </w:pPr>
            <w:r>
              <w:rPr>
                <w:rFonts w:hint="eastAsia" w:cs="Calibri"/>
                <w:highlight w:val="none"/>
                <w:lang w:val="en-US" w:eastAsia="zh-CN"/>
              </w:rPr>
              <w:t>供配电系统</w:t>
            </w:r>
          </w:p>
        </w:tc>
        <w:tc>
          <w:tcPr>
            <w:tcW w:w="6761" w:type="dxa"/>
            <w:noWrap w:val="0"/>
            <w:vAlign w:val="center"/>
          </w:tcPr>
          <w:p w14:paraId="270ADAD1">
            <w:pPr>
              <w:pageBreakBefore w:val="0"/>
              <w:kinsoku/>
              <w:wordWrap/>
              <w:overflowPunct/>
              <w:topLinePunct w:val="0"/>
              <w:bidi w:val="0"/>
              <w:snapToGrid w:val="0"/>
              <w:spacing w:line="300" w:lineRule="auto"/>
              <w:rPr>
                <w:rFonts w:hint="default" w:ascii="楷体" w:hAnsi="楷体" w:eastAsia="楷体" w:cs="楷体"/>
                <w:highlight w:val="none"/>
                <w:lang w:val="en-US" w:eastAsia="zh-CN"/>
              </w:rPr>
            </w:pPr>
            <w:r>
              <w:rPr>
                <w:rFonts w:hint="eastAsia" w:ascii="楷体" w:hAnsi="楷体" w:eastAsia="楷体" w:cs="楷体"/>
                <w:highlight w:val="none"/>
                <w:lang w:val="en-US" w:eastAsia="zh-CN"/>
              </w:rPr>
              <w:t>高压柜2个、低压柜3个</w:t>
            </w:r>
          </w:p>
        </w:tc>
        <w:tc>
          <w:tcPr>
            <w:tcW w:w="4186" w:type="dxa"/>
            <w:noWrap w:val="0"/>
            <w:vAlign w:val="center"/>
          </w:tcPr>
          <w:p w14:paraId="60350BE3">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ascii="Calibri" w:hAnsi="Calibri" w:eastAsia="宋体" w:cs="Calibri"/>
                <w:color w:val="auto"/>
                <w:highlight w:val="none"/>
                <w:lang w:val="en-US" w:eastAsia="zh-CN"/>
              </w:rPr>
              <w:t>见“3.3</w:t>
            </w:r>
            <w:r>
              <w:rPr>
                <w:rFonts w:hint="eastAsia" w:eastAsia="宋体" w:cs="Calibri"/>
                <w:color w:val="auto"/>
                <w:highlight w:val="none"/>
                <w:lang w:val="en-US" w:eastAsia="zh-CN"/>
              </w:rPr>
              <w:t>公</w:t>
            </w:r>
            <w:r>
              <w:rPr>
                <w:rFonts w:hint="eastAsia" w:ascii="Calibri" w:hAnsi="Calibri" w:eastAsia="宋体" w:cs="Calibri"/>
                <w:color w:val="auto"/>
                <w:highlight w:val="none"/>
                <w:lang w:val="en-US" w:eastAsia="zh-CN"/>
              </w:rPr>
              <w:t>用设施设备维护服务”</w:t>
            </w:r>
          </w:p>
        </w:tc>
      </w:tr>
    </w:tbl>
    <w:p w14:paraId="3B057A0D">
      <w:pPr>
        <w:pageBreakBefore w:val="0"/>
        <w:widowControl/>
        <w:kinsoku/>
        <w:wordWrap/>
        <w:overflowPunct/>
        <w:topLinePunct w:val="0"/>
        <w:bidi w:val="0"/>
        <w:snapToGrid w:val="0"/>
        <w:spacing w:line="300" w:lineRule="auto"/>
        <w:ind w:left="0" w:firstLine="420" w:firstLineChars="200"/>
        <w:jc w:val="left"/>
        <w:rPr>
          <w:rFonts w:hint="default" w:ascii="楷体" w:hAnsi="楷体" w:eastAsia="楷体" w:cs="楷体"/>
          <w:color w:val="auto"/>
          <w:kern w:val="2"/>
          <w:sz w:val="21"/>
          <w:szCs w:val="21"/>
          <w:highlight w:val="none"/>
          <w:u w:val="none"/>
          <w:lang w:val="en-US" w:eastAsia="zh-CN" w:bidi="ar-SA"/>
        </w:rPr>
      </w:pPr>
      <w:r>
        <w:rPr>
          <w:rFonts w:hint="default" w:ascii="楷体" w:hAnsi="楷体" w:eastAsia="楷体" w:cs="楷体"/>
          <w:color w:val="auto"/>
          <w:kern w:val="2"/>
          <w:sz w:val="21"/>
          <w:szCs w:val="21"/>
          <w:highlight w:val="none"/>
          <w:u w:val="none"/>
          <w:lang w:val="en-US" w:eastAsia="zh-CN" w:bidi="ar-SA"/>
        </w:rPr>
        <w:t>注：此表格详细列出了</w:t>
      </w:r>
      <w:r>
        <w:rPr>
          <w:rFonts w:hint="eastAsia" w:ascii="楷体" w:hAnsi="楷体" w:eastAsia="楷体" w:cs="楷体"/>
          <w:color w:val="auto"/>
          <w:kern w:val="2"/>
          <w:sz w:val="21"/>
          <w:szCs w:val="21"/>
          <w:highlight w:val="none"/>
          <w:u w:val="none"/>
          <w:lang w:val="en-US" w:eastAsia="zh-CN" w:bidi="ar-SA"/>
        </w:rPr>
        <w:t>不同建筑物</w:t>
      </w:r>
      <w:r>
        <w:rPr>
          <w:rFonts w:hint="default" w:ascii="楷体" w:hAnsi="楷体" w:eastAsia="楷体" w:cs="楷体"/>
          <w:color w:val="auto"/>
          <w:kern w:val="2"/>
          <w:sz w:val="21"/>
          <w:szCs w:val="21"/>
          <w:highlight w:val="none"/>
          <w:u w:val="none"/>
          <w:lang w:val="en-US" w:eastAsia="zh-CN" w:bidi="ar-SA"/>
        </w:rPr>
        <w:t>的物业管理指标项及其明细。若存在</w:t>
      </w:r>
      <w:r>
        <w:rPr>
          <w:rFonts w:hint="eastAsia" w:ascii="楷体" w:hAnsi="楷体" w:eastAsia="楷体" w:cs="楷体"/>
          <w:color w:val="auto"/>
          <w:kern w:val="2"/>
          <w:sz w:val="21"/>
          <w:szCs w:val="21"/>
          <w:highlight w:val="none"/>
          <w:u w:val="none"/>
          <w:lang w:val="en-US" w:eastAsia="zh-CN" w:bidi="ar-SA"/>
        </w:rPr>
        <w:t>“建筑2”</w:t>
      </w:r>
      <w:r>
        <w:rPr>
          <w:rFonts w:hint="default" w:ascii="楷体" w:hAnsi="楷体" w:eastAsia="楷体" w:cs="楷体"/>
          <w:color w:val="auto"/>
          <w:kern w:val="2"/>
          <w:sz w:val="21"/>
          <w:szCs w:val="21"/>
          <w:highlight w:val="none"/>
          <w:u w:val="none"/>
          <w:lang w:val="en-US" w:eastAsia="zh-CN" w:bidi="ar-SA"/>
        </w:rPr>
        <w:t>，则相应增加内容，以此类推。</w:t>
      </w:r>
    </w:p>
    <w:p w14:paraId="2653B5A4">
      <w:pPr>
        <w:pageBreakBefore w:val="0"/>
        <w:widowControl/>
        <w:kinsoku/>
        <w:wordWrap/>
        <w:overflowPunct/>
        <w:topLinePunct w:val="0"/>
        <w:bidi w:val="0"/>
        <w:snapToGrid w:val="0"/>
        <w:spacing w:line="300" w:lineRule="auto"/>
        <w:ind w:left="0" w:firstLine="840" w:firstLineChars="400"/>
        <w:jc w:val="left"/>
        <w:rPr>
          <w:rFonts w:hint="eastAsia"/>
          <w:highlight w:val="none"/>
          <w:lang w:val="en-US" w:eastAsia="zh-CN"/>
        </w:rPr>
      </w:pPr>
      <w:r>
        <w:rPr>
          <w:rFonts w:hint="eastAsia" w:ascii="楷体" w:hAnsi="楷体" w:eastAsia="楷体" w:cs="楷体"/>
          <w:color w:val="auto"/>
          <w:kern w:val="2"/>
          <w:sz w:val="21"/>
          <w:szCs w:val="21"/>
          <w:highlight w:val="none"/>
          <w:u w:val="none"/>
          <w:lang w:val="en-US" w:eastAsia="zh-CN" w:bidi="ar-SA"/>
        </w:rPr>
        <w:t>以上内容体现需要供应商进行物业管理的物业的情况、边界、范围。指标的设置要充分考虑可能影响供应商报价和项目实施风险的因素。</w:t>
      </w:r>
    </w:p>
    <w:p w14:paraId="5E1620A3">
      <w:pPr>
        <w:pStyle w:val="55"/>
        <w:pageBreakBefore w:val="0"/>
        <w:shd w:val="clear" w:color="auto" w:fill="auto"/>
        <w:kinsoku/>
        <w:wordWrap/>
        <w:overflowPunct/>
        <w:topLinePunct w:val="0"/>
        <w:bidi w:val="0"/>
        <w:spacing w:line="360" w:lineRule="auto"/>
        <w:ind w:firstLine="498" w:firstLineChars="177"/>
        <w:rPr>
          <w:rFonts w:hint="eastAsia"/>
          <w:lang w:val="en-US" w:eastAsia="zh-CN"/>
        </w:rPr>
      </w:pPr>
      <w:r>
        <w:rPr>
          <w:rFonts w:hint="eastAsia" w:ascii="宋体" w:hAnsi="宋体" w:eastAsia="宋体" w:cs="宋体"/>
          <w:b/>
          <w:bCs/>
          <w:color w:val="auto"/>
          <w:kern w:val="44"/>
          <w:sz w:val="28"/>
          <w:szCs w:val="28"/>
          <w:highlight w:val="none"/>
          <w:lang w:val="en-US" w:eastAsia="zh-CN" w:bidi="ar-SA"/>
        </w:rPr>
        <w:t>物业管理（室外）</w:t>
      </w:r>
    </w:p>
    <w:tbl>
      <w:tblPr>
        <w:tblStyle w:val="32"/>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0"/>
        <w:gridCol w:w="3177"/>
        <w:gridCol w:w="3825"/>
      </w:tblGrid>
      <w:tr w14:paraId="670A1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noWrap w:val="0"/>
            <w:vAlign w:val="center"/>
          </w:tcPr>
          <w:p w14:paraId="4E439BF0">
            <w:pPr>
              <w:pageBreakBefore w:val="0"/>
              <w:kinsoku/>
              <w:wordWrap/>
              <w:overflowPunct/>
              <w:topLinePunct w:val="0"/>
              <w:bidi w:val="0"/>
              <w:snapToGrid w:val="0"/>
              <w:spacing w:line="300" w:lineRule="auto"/>
              <w:jc w:val="center"/>
              <w:rPr>
                <w:rFonts w:hint="eastAsia" w:ascii="Calibri" w:hAnsi="Calibri" w:eastAsia="宋体" w:cs="Calibri"/>
                <w:b/>
                <w:bCs/>
                <w:color w:val="auto"/>
                <w:kern w:val="2"/>
                <w:sz w:val="21"/>
                <w:szCs w:val="21"/>
                <w:highlight w:val="none"/>
                <w:lang w:val="en-US" w:eastAsia="zh-CN" w:bidi="ar-SA"/>
              </w:rPr>
            </w:pPr>
            <w:r>
              <w:rPr>
                <w:rFonts w:hint="eastAsia" w:ascii="Calibri" w:hAnsi="Calibri" w:cs="Calibri"/>
                <w:b/>
                <w:bCs/>
                <w:highlight w:val="none"/>
                <w:lang w:val="en-US" w:eastAsia="zh-CN"/>
              </w:rPr>
              <w:t>名称</w:t>
            </w:r>
          </w:p>
        </w:tc>
        <w:tc>
          <w:tcPr>
            <w:tcW w:w="5295" w:type="dxa"/>
            <w:noWrap w:val="0"/>
            <w:vAlign w:val="center"/>
          </w:tcPr>
          <w:p w14:paraId="6E12EE14">
            <w:pPr>
              <w:pageBreakBefore w:val="0"/>
              <w:kinsoku/>
              <w:wordWrap/>
              <w:overflowPunct/>
              <w:topLinePunct w:val="0"/>
              <w:bidi w:val="0"/>
              <w:snapToGrid w:val="0"/>
              <w:spacing w:line="300" w:lineRule="auto"/>
              <w:jc w:val="center"/>
              <w:rPr>
                <w:rFonts w:hint="eastAsia" w:ascii="Calibri" w:hAnsi="Calibri" w:eastAsia="宋体" w:cs="Calibri"/>
                <w:b/>
                <w:bCs/>
                <w:color w:val="auto"/>
                <w:kern w:val="2"/>
                <w:sz w:val="21"/>
                <w:szCs w:val="21"/>
                <w:highlight w:val="none"/>
                <w:lang w:val="en-US" w:eastAsia="zh-CN" w:bidi="ar-SA"/>
              </w:rPr>
            </w:pPr>
            <w:r>
              <w:rPr>
                <w:rFonts w:hint="default" w:ascii="Calibri" w:hAnsi="Calibri" w:cs="Calibri"/>
                <w:b/>
                <w:bCs/>
                <w:highlight w:val="none"/>
              </w:rPr>
              <w:t>明细</w:t>
            </w:r>
          </w:p>
        </w:tc>
        <w:tc>
          <w:tcPr>
            <w:tcW w:w="6624" w:type="dxa"/>
            <w:noWrap w:val="0"/>
            <w:vAlign w:val="center"/>
          </w:tcPr>
          <w:p w14:paraId="6C000FC2">
            <w:pPr>
              <w:pageBreakBefore w:val="0"/>
              <w:kinsoku/>
              <w:wordWrap/>
              <w:overflowPunct/>
              <w:topLinePunct w:val="0"/>
              <w:bidi w:val="0"/>
              <w:snapToGrid w:val="0"/>
              <w:spacing w:line="300" w:lineRule="auto"/>
              <w:jc w:val="center"/>
              <w:rPr>
                <w:rFonts w:hint="default" w:ascii="Calibri" w:hAnsi="Calibri" w:cs="Calibri"/>
                <w:b/>
                <w:bCs/>
                <w:highlight w:val="none"/>
              </w:rPr>
            </w:pPr>
            <w:r>
              <w:rPr>
                <w:rFonts w:hint="eastAsia" w:cs="Calibri"/>
                <w:b/>
                <w:bCs/>
                <w:highlight w:val="none"/>
                <w:lang w:val="en-US" w:eastAsia="zh-CN"/>
              </w:rPr>
              <w:t>服务内容及标准</w:t>
            </w:r>
          </w:p>
        </w:tc>
      </w:tr>
      <w:tr w14:paraId="604C3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noWrap w:val="0"/>
            <w:vAlign w:val="center"/>
          </w:tcPr>
          <w:p w14:paraId="261C2D73">
            <w:pPr>
              <w:jc w:val="both"/>
              <w:rPr>
                <w:rFonts w:hint="default"/>
                <w:highlight w:val="none"/>
                <w:vertAlign w:val="baseline"/>
                <w:lang w:val="en-US" w:eastAsia="zh-CN"/>
              </w:rPr>
            </w:pPr>
            <w:r>
              <w:rPr>
                <w:rFonts w:hint="eastAsia"/>
                <w:highlight w:val="none"/>
                <w:vertAlign w:val="baseline"/>
                <w:lang w:val="en-US" w:eastAsia="zh-CN"/>
              </w:rPr>
              <w:t>室外面积</w:t>
            </w:r>
          </w:p>
        </w:tc>
        <w:tc>
          <w:tcPr>
            <w:tcW w:w="5295" w:type="dxa"/>
            <w:noWrap w:val="0"/>
            <w:vAlign w:val="center"/>
          </w:tcPr>
          <w:p w14:paraId="6102595A">
            <w:pPr>
              <w:jc w:val="both"/>
              <w:rPr>
                <w:rFonts w:hint="default"/>
                <w:highlight w:val="none"/>
                <w:vertAlign w:val="baseline"/>
                <w:lang w:val="en-US" w:eastAsia="zh-CN"/>
              </w:rPr>
            </w:pPr>
            <w:r>
              <w:rPr>
                <w:rFonts w:hint="eastAsia" w:ascii="楷体" w:hAnsi="楷体" w:eastAsia="楷体" w:cs="楷体"/>
                <w:highlight w:val="none"/>
                <w:lang w:val="en-US" w:eastAsia="zh-CN"/>
              </w:rPr>
              <w:t>41009.8㎡</w:t>
            </w:r>
          </w:p>
        </w:tc>
        <w:tc>
          <w:tcPr>
            <w:tcW w:w="6624" w:type="dxa"/>
            <w:noWrap w:val="0"/>
            <w:vAlign w:val="center"/>
          </w:tcPr>
          <w:p w14:paraId="653ADDFE">
            <w:pPr>
              <w:jc w:val="both"/>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见“3.4保洁服务”</w:t>
            </w:r>
            <w:r>
              <w:rPr>
                <w:rFonts w:hint="eastAsia" w:ascii="Calibri" w:hAnsi="Calibri" w:eastAsia="宋体" w:cs="Calibri"/>
                <w:color w:val="auto"/>
                <w:highlight w:val="none"/>
                <w:lang w:val="en-US" w:eastAsia="zh-CN"/>
              </w:rPr>
              <w:t>“3.6保安服务”</w:t>
            </w:r>
          </w:p>
        </w:tc>
      </w:tr>
      <w:tr w14:paraId="0D86C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noWrap w:val="0"/>
            <w:vAlign w:val="center"/>
          </w:tcPr>
          <w:p w14:paraId="79170162">
            <w:pPr>
              <w:jc w:val="both"/>
              <w:rPr>
                <w:rFonts w:hint="eastAsia"/>
                <w:highlight w:val="none"/>
                <w:vertAlign w:val="baseline"/>
                <w:lang w:val="en-US" w:eastAsia="zh-CN"/>
              </w:rPr>
            </w:pPr>
            <w:r>
              <w:rPr>
                <w:rFonts w:hint="default" w:ascii="Calibri" w:hAnsi="Calibri" w:cs="Calibri"/>
                <w:highlight w:val="none"/>
              </w:rPr>
              <w:t>绿化</w:t>
            </w:r>
          </w:p>
        </w:tc>
        <w:tc>
          <w:tcPr>
            <w:tcW w:w="5295" w:type="dxa"/>
            <w:noWrap w:val="0"/>
            <w:vAlign w:val="center"/>
          </w:tcPr>
          <w:p w14:paraId="5CE4B3DF">
            <w:pPr>
              <w:jc w:val="both"/>
              <w:rPr>
                <w:rFonts w:hint="default"/>
                <w:highlight w:val="none"/>
                <w:vertAlign w:val="baseline"/>
                <w:lang w:val="en-US" w:eastAsia="zh-CN"/>
              </w:rPr>
            </w:pPr>
            <w:r>
              <w:rPr>
                <w:rFonts w:hint="eastAsia" w:ascii="楷体" w:hAnsi="楷体" w:eastAsia="楷体" w:cs="楷体"/>
                <w:highlight w:val="none"/>
                <w:lang w:val="en-US" w:eastAsia="zh-CN"/>
              </w:rPr>
              <w:t>61945.47㎡</w:t>
            </w:r>
          </w:p>
        </w:tc>
        <w:tc>
          <w:tcPr>
            <w:tcW w:w="6624" w:type="dxa"/>
            <w:noWrap w:val="0"/>
            <w:vAlign w:val="center"/>
          </w:tcPr>
          <w:p w14:paraId="2E69BE61">
            <w:pPr>
              <w:jc w:val="both"/>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见“3.4保洁服务”“3.5绿化服务”</w:t>
            </w:r>
          </w:p>
        </w:tc>
      </w:tr>
      <w:tr w14:paraId="4A4AB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noWrap w:val="0"/>
            <w:vAlign w:val="center"/>
          </w:tcPr>
          <w:p w14:paraId="3851C4B2">
            <w:pPr>
              <w:jc w:val="both"/>
              <w:rPr>
                <w:rFonts w:hint="default"/>
                <w:highlight w:val="none"/>
                <w:vertAlign w:val="baseline"/>
                <w:lang w:val="en-US" w:eastAsia="zh-CN"/>
              </w:rPr>
            </w:pPr>
            <w:r>
              <w:rPr>
                <w:rFonts w:hint="eastAsia"/>
                <w:highlight w:val="none"/>
                <w:vertAlign w:val="baseline"/>
                <w:lang w:val="en-US" w:eastAsia="zh-CN"/>
              </w:rPr>
              <w:t>广场</w:t>
            </w:r>
          </w:p>
        </w:tc>
        <w:tc>
          <w:tcPr>
            <w:tcW w:w="5295" w:type="dxa"/>
            <w:noWrap w:val="0"/>
            <w:vAlign w:val="center"/>
          </w:tcPr>
          <w:p w14:paraId="5292A359">
            <w:pPr>
              <w:jc w:val="both"/>
              <w:rPr>
                <w:rFonts w:hint="default"/>
                <w:highlight w:val="none"/>
                <w:vertAlign w:val="baseline"/>
                <w:lang w:val="en-US" w:eastAsia="zh-CN"/>
              </w:rPr>
            </w:pPr>
            <w:r>
              <w:rPr>
                <w:rFonts w:hint="eastAsia" w:ascii="楷体" w:hAnsi="楷体" w:eastAsia="楷体" w:cs="楷体"/>
                <w:highlight w:val="none"/>
                <w:lang w:val="en-US" w:eastAsia="zh-CN"/>
              </w:rPr>
              <w:t>19221.63㎡</w:t>
            </w:r>
          </w:p>
        </w:tc>
        <w:tc>
          <w:tcPr>
            <w:tcW w:w="6624" w:type="dxa"/>
            <w:noWrap w:val="0"/>
            <w:vAlign w:val="center"/>
          </w:tcPr>
          <w:p w14:paraId="5E4B9CB8">
            <w:pPr>
              <w:jc w:val="both"/>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见“3.4保洁服务”</w:t>
            </w:r>
            <w:r>
              <w:rPr>
                <w:rFonts w:hint="eastAsia" w:ascii="Calibri" w:hAnsi="Calibri" w:eastAsia="宋体" w:cs="Calibri"/>
                <w:color w:val="auto"/>
                <w:highlight w:val="none"/>
                <w:lang w:val="en-US" w:eastAsia="zh-CN"/>
              </w:rPr>
              <w:t>“3.6保安服务”</w:t>
            </w:r>
          </w:p>
        </w:tc>
      </w:tr>
      <w:tr w14:paraId="6994E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noWrap w:val="0"/>
            <w:vAlign w:val="center"/>
          </w:tcPr>
          <w:p w14:paraId="28CE3B23">
            <w:pPr>
              <w:jc w:val="both"/>
              <w:rPr>
                <w:rFonts w:hint="default"/>
                <w:highlight w:val="none"/>
                <w:vertAlign w:val="baseline"/>
                <w:lang w:val="en-US" w:eastAsia="zh-CN"/>
              </w:rPr>
            </w:pPr>
            <w:r>
              <w:rPr>
                <w:rFonts w:hint="eastAsia"/>
                <w:highlight w:val="none"/>
                <w:vertAlign w:val="baseline"/>
                <w:lang w:val="en-US" w:eastAsia="zh-CN"/>
              </w:rPr>
              <w:t>垃圾箱</w:t>
            </w:r>
          </w:p>
        </w:tc>
        <w:tc>
          <w:tcPr>
            <w:tcW w:w="5295" w:type="dxa"/>
            <w:noWrap w:val="0"/>
            <w:vAlign w:val="center"/>
          </w:tcPr>
          <w:p w14:paraId="523E1119">
            <w:pPr>
              <w:jc w:val="both"/>
              <w:rPr>
                <w:rFonts w:hint="default"/>
                <w:highlight w:val="none"/>
                <w:vertAlign w:val="baseline"/>
                <w:lang w:val="en-US" w:eastAsia="zh-CN"/>
              </w:rPr>
            </w:pPr>
            <w:r>
              <w:rPr>
                <w:rFonts w:hint="eastAsia" w:ascii="楷体" w:hAnsi="楷体" w:eastAsia="楷体" w:cs="楷体"/>
                <w:highlight w:val="none"/>
                <w:lang w:val="en-US" w:eastAsia="zh-CN"/>
              </w:rPr>
              <w:t>49</w:t>
            </w:r>
          </w:p>
        </w:tc>
        <w:tc>
          <w:tcPr>
            <w:tcW w:w="6624" w:type="dxa"/>
            <w:noWrap w:val="0"/>
            <w:vAlign w:val="center"/>
          </w:tcPr>
          <w:p w14:paraId="5FC90D1A">
            <w:pPr>
              <w:jc w:val="both"/>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见“3.4保洁服务”</w:t>
            </w:r>
          </w:p>
        </w:tc>
      </w:tr>
      <w:tr w14:paraId="54829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noWrap w:val="0"/>
            <w:vAlign w:val="center"/>
          </w:tcPr>
          <w:p w14:paraId="1FD122CE">
            <w:pPr>
              <w:jc w:val="both"/>
              <w:rPr>
                <w:rFonts w:hint="default"/>
                <w:highlight w:val="none"/>
                <w:vertAlign w:val="baseline"/>
                <w:lang w:val="en-US" w:eastAsia="zh-CN"/>
              </w:rPr>
            </w:pPr>
            <w:r>
              <w:rPr>
                <w:rFonts w:hint="eastAsia"/>
                <w:highlight w:val="none"/>
                <w:vertAlign w:val="baseline"/>
                <w:lang w:val="en-US" w:eastAsia="zh-CN"/>
              </w:rPr>
              <w:t>监控</w:t>
            </w:r>
          </w:p>
        </w:tc>
        <w:tc>
          <w:tcPr>
            <w:tcW w:w="5295" w:type="dxa"/>
            <w:noWrap w:val="0"/>
            <w:vAlign w:val="center"/>
          </w:tcPr>
          <w:p w14:paraId="6CEE0EB8">
            <w:pPr>
              <w:jc w:val="both"/>
              <w:rPr>
                <w:rFonts w:hint="default"/>
                <w:highlight w:val="none"/>
                <w:vertAlign w:val="baseline"/>
                <w:lang w:val="en-US" w:eastAsia="zh-CN"/>
              </w:rPr>
            </w:pPr>
            <w:r>
              <w:rPr>
                <w:rFonts w:hint="eastAsia" w:ascii="楷体" w:hAnsi="楷体" w:eastAsia="楷体" w:cs="楷体"/>
                <w:highlight w:val="none"/>
                <w:lang w:val="en-US" w:eastAsia="zh-CN"/>
              </w:rPr>
              <w:t>599</w:t>
            </w:r>
          </w:p>
        </w:tc>
        <w:tc>
          <w:tcPr>
            <w:tcW w:w="6624" w:type="dxa"/>
            <w:noWrap w:val="0"/>
            <w:vAlign w:val="center"/>
          </w:tcPr>
          <w:p w14:paraId="29A9884D">
            <w:pPr>
              <w:jc w:val="both"/>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见“3.4保洁服务”</w:t>
            </w:r>
            <w:r>
              <w:rPr>
                <w:rFonts w:hint="eastAsia" w:ascii="Calibri" w:hAnsi="Calibri" w:eastAsia="宋体" w:cs="Calibri"/>
                <w:color w:val="auto"/>
                <w:highlight w:val="none"/>
                <w:lang w:val="en-US" w:eastAsia="zh-CN"/>
              </w:rPr>
              <w:t>“3.3</w:t>
            </w:r>
            <w:r>
              <w:rPr>
                <w:rFonts w:hint="eastAsia" w:cs="Calibri"/>
                <w:color w:val="auto"/>
                <w:highlight w:val="none"/>
                <w:lang w:val="en-US" w:eastAsia="zh-CN"/>
              </w:rPr>
              <w:t>公用设施</w:t>
            </w:r>
            <w:r>
              <w:rPr>
                <w:rFonts w:hint="eastAsia" w:ascii="Calibri" w:hAnsi="Calibri" w:eastAsia="宋体" w:cs="Calibri"/>
                <w:color w:val="auto"/>
                <w:highlight w:val="none"/>
                <w:lang w:val="en-US" w:eastAsia="zh-CN"/>
              </w:rPr>
              <w:t>设备维护服务”</w:t>
            </w:r>
          </w:p>
        </w:tc>
      </w:tr>
    </w:tbl>
    <w:p w14:paraId="5106C27E">
      <w:pPr>
        <w:pStyle w:val="55"/>
        <w:pageBreakBefore w:val="0"/>
        <w:shd w:val="clear" w:color="auto" w:fill="auto"/>
        <w:kinsoku/>
        <w:wordWrap/>
        <w:overflowPunct/>
        <w:topLinePunct w:val="0"/>
        <w:bidi w:val="0"/>
        <w:spacing w:line="360" w:lineRule="auto"/>
        <w:ind w:firstLine="498" w:firstLineChars="177"/>
        <w:rPr>
          <w:rFonts w:hint="eastAsia" w:ascii="宋体" w:hAnsi="宋体" w:eastAsia="宋体" w:cs="宋体"/>
          <w:b/>
          <w:bCs/>
          <w:color w:val="auto"/>
          <w:kern w:val="44"/>
          <w:sz w:val="28"/>
          <w:szCs w:val="28"/>
          <w:highlight w:val="none"/>
          <w:lang w:val="en-US" w:eastAsia="zh-CN" w:bidi="ar-SA"/>
        </w:rPr>
      </w:pPr>
      <w:r>
        <w:rPr>
          <w:rFonts w:hint="eastAsia" w:ascii="宋体" w:hAnsi="宋体" w:eastAsia="宋体" w:cs="宋体"/>
          <w:b/>
          <w:bCs/>
          <w:color w:val="auto"/>
          <w:kern w:val="44"/>
          <w:sz w:val="28"/>
          <w:szCs w:val="28"/>
          <w:highlight w:val="none"/>
          <w:lang w:val="en-US" w:eastAsia="zh-CN" w:bidi="ar-SA"/>
        </w:rPr>
        <w:t>3.物业管理服务内容及标准</w:t>
      </w:r>
    </w:p>
    <w:p w14:paraId="3A1A3621">
      <w:pPr>
        <w:pageBreakBefore w:val="0"/>
        <w:kinsoku/>
        <w:wordWrap/>
        <w:overflowPunct/>
        <w:topLinePunct w:val="0"/>
        <w:bidi w:val="0"/>
        <w:snapToGrid w:val="0"/>
        <w:spacing w:line="300" w:lineRule="auto"/>
        <w:ind w:firstLine="420" w:firstLineChars="200"/>
        <w:outlineLvl w:val="9"/>
        <w:rPr>
          <w:rFonts w:hint="default" w:ascii="Calibri" w:hAnsi="Calibri" w:eastAsia="宋体" w:cs="Calibri"/>
          <w:color w:val="auto"/>
          <w:kern w:val="2"/>
          <w:sz w:val="21"/>
          <w:szCs w:val="21"/>
          <w:highlight w:val="none"/>
          <w:u w:val="none"/>
          <w:lang w:val="en-US" w:eastAsia="zh-CN" w:bidi="ar-SA"/>
        </w:rPr>
      </w:pPr>
      <w:r>
        <w:rPr>
          <w:rFonts w:hint="eastAsia" w:eastAsia="宋体" w:cs="Calibri"/>
          <w:color w:val="auto"/>
          <w:kern w:val="2"/>
          <w:sz w:val="21"/>
          <w:szCs w:val="21"/>
          <w:highlight w:val="none"/>
          <w:u w:val="none"/>
          <w:lang w:val="en-US" w:eastAsia="zh-CN" w:bidi="ar-SA"/>
        </w:rPr>
        <w:t>物业管理服务包括基本服务、房屋维护服务、</w:t>
      </w:r>
      <w:r>
        <w:rPr>
          <w:rFonts w:hint="eastAsia" w:cs="Calibri"/>
          <w:color w:val="auto"/>
          <w:kern w:val="2"/>
          <w:sz w:val="21"/>
          <w:szCs w:val="21"/>
          <w:highlight w:val="none"/>
          <w:u w:val="none"/>
          <w:lang w:val="en-US" w:eastAsia="zh-CN" w:bidi="ar-SA"/>
        </w:rPr>
        <w:t>公用设施</w:t>
      </w:r>
      <w:r>
        <w:rPr>
          <w:rFonts w:hint="eastAsia" w:eastAsia="宋体" w:cs="Calibri"/>
          <w:color w:val="auto"/>
          <w:kern w:val="2"/>
          <w:sz w:val="21"/>
          <w:szCs w:val="21"/>
          <w:highlight w:val="none"/>
          <w:u w:val="none"/>
          <w:lang w:val="en-US" w:eastAsia="zh-CN" w:bidi="ar-SA"/>
        </w:rPr>
        <w:t>设备维护服务、保洁服务、绿化服务、保安服务、会议服务等。</w:t>
      </w:r>
    </w:p>
    <w:bookmarkEnd w:id="442"/>
    <w:bookmarkEnd w:id="443"/>
    <w:p w14:paraId="511AE0B8">
      <w:pPr>
        <w:pStyle w:val="55"/>
        <w:pageBreakBefore w:val="0"/>
        <w:shd w:val="clear" w:color="auto" w:fill="auto"/>
        <w:kinsoku/>
        <w:wordWrap/>
        <w:overflowPunct/>
        <w:topLinePunct w:val="0"/>
        <w:bidi w:val="0"/>
        <w:spacing w:line="360" w:lineRule="auto"/>
        <w:ind w:firstLine="498" w:firstLineChars="177"/>
        <w:rPr>
          <w:rFonts w:hint="eastAsia" w:ascii="宋体" w:hAnsi="宋体" w:eastAsia="宋体" w:cs="宋体"/>
          <w:b/>
          <w:bCs/>
          <w:color w:val="auto"/>
          <w:kern w:val="44"/>
          <w:sz w:val="28"/>
          <w:szCs w:val="28"/>
          <w:highlight w:val="none"/>
          <w:lang w:val="en-US" w:eastAsia="zh-CN" w:bidi="ar-SA"/>
        </w:rPr>
      </w:pPr>
      <w:bookmarkStart w:id="444" w:name="_Toc10498"/>
      <w:bookmarkStart w:id="445" w:name="_Toc26156"/>
      <w:bookmarkStart w:id="446" w:name="_Toc26485"/>
      <w:r>
        <w:rPr>
          <w:rFonts w:hint="eastAsia" w:ascii="宋体" w:hAnsi="宋体" w:eastAsia="宋体" w:cs="宋体"/>
          <w:b/>
          <w:bCs/>
          <w:color w:val="auto"/>
          <w:kern w:val="44"/>
          <w:sz w:val="28"/>
          <w:szCs w:val="28"/>
          <w:highlight w:val="none"/>
          <w:lang w:val="en-US" w:eastAsia="zh-CN" w:bidi="ar-SA"/>
        </w:rPr>
        <w:t>3.</w:t>
      </w:r>
      <w:bookmarkEnd w:id="444"/>
      <w:bookmarkEnd w:id="445"/>
      <w:bookmarkEnd w:id="446"/>
      <w:r>
        <w:rPr>
          <w:rFonts w:hint="eastAsia" w:ascii="宋体" w:hAnsi="宋体" w:eastAsia="宋体" w:cs="宋体"/>
          <w:b/>
          <w:bCs/>
          <w:color w:val="auto"/>
          <w:kern w:val="44"/>
          <w:sz w:val="28"/>
          <w:szCs w:val="28"/>
          <w:highlight w:val="none"/>
          <w:lang w:val="en-US" w:eastAsia="zh-CN" w:bidi="ar-SA"/>
        </w:rPr>
        <w:t>1基本服务</w:t>
      </w:r>
    </w:p>
    <w:tbl>
      <w:tblPr>
        <w:tblStyle w:val="32"/>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30"/>
        <w:gridCol w:w="5862"/>
      </w:tblGrid>
      <w:tr w14:paraId="0D048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noWrap w:val="0"/>
            <w:vAlign w:val="center"/>
          </w:tcPr>
          <w:p w14:paraId="59C5CE5E">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Cs w:val="21"/>
                <w:highlight w:val="none"/>
                <w:lang w:val="en-US" w:eastAsia="zh-CN"/>
              </w:rPr>
            </w:pPr>
            <w:r>
              <w:rPr>
                <w:rFonts w:hint="default" w:ascii="Calibri" w:hAnsi="Calibri" w:cs="Calibri"/>
                <w:b/>
                <w:bCs/>
                <w:color w:val="auto"/>
                <w:kern w:val="0"/>
                <w:szCs w:val="21"/>
                <w:highlight w:val="none"/>
                <w:lang w:val="en-US" w:eastAsia="zh-CN"/>
              </w:rPr>
              <w:t>序号</w:t>
            </w:r>
          </w:p>
        </w:tc>
        <w:tc>
          <w:tcPr>
            <w:tcW w:w="3297" w:type="dxa"/>
            <w:noWrap w:val="0"/>
            <w:vAlign w:val="center"/>
          </w:tcPr>
          <w:p w14:paraId="13FCDA1F">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Cs w:val="21"/>
                <w:highlight w:val="none"/>
              </w:rPr>
            </w:pPr>
            <w:r>
              <w:rPr>
                <w:rFonts w:hint="default" w:ascii="Calibri" w:hAnsi="Calibri" w:eastAsia="宋体" w:cs="Calibri"/>
                <w:b/>
                <w:bCs/>
                <w:color w:val="auto"/>
                <w:kern w:val="0"/>
                <w:szCs w:val="21"/>
                <w:highlight w:val="none"/>
              </w:rPr>
              <w:t>服务内容</w:t>
            </w:r>
          </w:p>
        </w:tc>
        <w:tc>
          <w:tcPr>
            <w:tcW w:w="10016" w:type="dxa"/>
            <w:noWrap w:val="0"/>
            <w:vAlign w:val="center"/>
          </w:tcPr>
          <w:p w14:paraId="7996813D">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Cs w:val="21"/>
                <w:highlight w:val="none"/>
                <w:lang w:val="en-US" w:eastAsia="zh-CN"/>
              </w:rPr>
            </w:pPr>
            <w:r>
              <w:rPr>
                <w:rFonts w:hint="default" w:ascii="Calibri" w:hAnsi="Calibri" w:cs="Calibri"/>
                <w:b/>
                <w:bCs/>
                <w:color w:val="auto"/>
                <w:kern w:val="0"/>
                <w:szCs w:val="21"/>
                <w:highlight w:val="none"/>
                <w:lang w:val="en-US" w:eastAsia="zh-CN"/>
              </w:rPr>
              <w:t>服务标准</w:t>
            </w:r>
          </w:p>
        </w:tc>
      </w:tr>
      <w:tr w14:paraId="58155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noWrap w:val="0"/>
            <w:vAlign w:val="center"/>
          </w:tcPr>
          <w:p w14:paraId="51FB407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cs="Calibri"/>
                <w:highlight w:val="none"/>
                <w:lang w:val="en-US" w:eastAsia="zh-CN"/>
              </w:rPr>
            </w:pPr>
            <w:r>
              <w:rPr>
                <w:rFonts w:hint="default" w:ascii="Calibri" w:hAnsi="Calibri" w:cs="Calibri"/>
                <w:highlight w:val="none"/>
                <w:lang w:val="en-US" w:eastAsia="zh-CN"/>
              </w:rPr>
              <w:t>1</w:t>
            </w:r>
          </w:p>
        </w:tc>
        <w:tc>
          <w:tcPr>
            <w:tcW w:w="3297" w:type="dxa"/>
            <w:noWrap w:val="0"/>
            <w:vAlign w:val="center"/>
          </w:tcPr>
          <w:p w14:paraId="60C8C84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cs="Calibri"/>
                <w:highlight w:val="none"/>
              </w:rPr>
            </w:pPr>
            <w:r>
              <w:rPr>
                <w:rFonts w:hint="default" w:ascii="Calibri" w:hAnsi="Calibri" w:cs="Calibri"/>
                <w:highlight w:val="none"/>
                <w:lang w:val="en-US" w:eastAsia="zh-CN"/>
              </w:rPr>
              <w:t>目标与责任</w:t>
            </w:r>
          </w:p>
        </w:tc>
        <w:tc>
          <w:tcPr>
            <w:tcW w:w="10016" w:type="dxa"/>
            <w:noWrap w:val="0"/>
            <w:vAlign w:val="center"/>
          </w:tcPr>
          <w:p w14:paraId="6F9337E6">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（1）</w:t>
            </w:r>
            <w:r>
              <w:rPr>
                <w:rFonts w:hint="default" w:ascii="Calibri" w:hAnsi="Calibri" w:eastAsia="宋体" w:cs="Calibri"/>
                <w:b w:val="0"/>
                <w:bCs w:val="0"/>
                <w:color w:val="auto"/>
                <w:kern w:val="0"/>
                <w:szCs w:val="21"/>
                <w:highlight w:val="none"/>
                <w:lang w:val="en-US" w:eastAsia="zh-CN"/>
              </w:rPr>
              <w:t>结合采购人要求及物业服务实际情况，制定年度管理目标，明确责任分工，并制定配套实施方案。</w:t>
            </w:r>
          </w:p>
        </w:tc>
      </w:tr>
      <w:tr w14:paraId="57A48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restart"/>
            <w:noWrap w:val="0"/>
            <w:vAlign w:val="center"/>
          </w:tcPr>
          <w:p w14:paraId="136C1B3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cs="Calibri"/>
                <w:highlight w:val="none"/>
                <w:lang w:val="en-US" w:eastAsia="zh-CN"/>
              </w:rPr>
            </w:pPr>
            <w:r>
              <w:rPr>
                <w:rFonts w:hint="default" w:ascii="Calibri" w:hAnsi="Calibri" w:cs="Calibri"/>
                <w:highlight w:val="none"/>
                <w:lang w:val="en-US" w:eastAsia="zh-CN"/>
              </w:rPr>
              <w:t>2</w:t>
            </w:r>
          </w:p>
        </w:tc>
        <w:tc>
          <w:tcPr>
            <w:tcW w:w="3297" w:type="dxa"/>
            <w:vMerge w:val="restart"/>
            <w:noWrap w:val="0"/>
            <w:vAlign w:val="center"/>
          </w:tcPr>
          <w:p w14:paraId="18B731F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cs="Calibri"/>
                <w:highlight w:val="none"/>
                <w:lang w:val="en-US" w:eastAsia="zh-CN"/>
              </w:rPr>
            </w:pPr>
            <w:r>
              <w:rPr>
                <w:rFonts w:hint="default" w:ascii="Calibri" w:hAnsi="Calibri" w:cs="Calibri"/>
                <w:highlight w:val="none"/>
                <w:lang w:val="en-US" w:eastAsia="zh-CN"/>
              </w:rPr>
              <w:t>服务人员要求</w:t>
            </w:r>
          </w:p>
        </w:tc>
        <w:tc>
          <w:tcPr>
            <w:tcW w:w="10016" w:type="dxa"/>
            <w:noWrap w:val="0"/>
            <w:vAlign w:val="center"/>
          </w:tcPr>
          <w:p w14:paraId="417116D8">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（1）</w:t>
            </w:r>
            <w:r>
              <w:rPr>
                <w:rFonts w:hint="default" w:ascii="Calibri" w:hAnsi="Calibri" w:eastAsia="宋体" w:cs="Calibri"/>
                <w:b w:val="0"/>
                <w:bCs w:val="0"/>
                <w:color w:val="auto"/>
                <w:kern w:val="0"/>
                <w:szCs w:val="21"/>
                <w:highlight w:val="none"/>
                <w:lang w:val="en-US" w:eastAsia="zh-CN"/>
              </w:rPr>
              <w:t>每季度至少开展1次岗位技能、职业素质、服务知识、客户文化、绿色节能环保等教育培训，并进行适当形式的考核。</w:t>
            </w:r>
          </w:p>
        </w:tc>
      </w:tr>
      <w:tr w14:paraId="07D0D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noWrap w:val="0"/>
            <w:vAlign w:val="center"/>
          </w:tcPr>
          <w:p w14:paraId="1897A9B2">
            <w:pPr>
              <w:bidi w:val="0"/>
              <w:jc w:val="center"/>
              <w:rPr>
                <w:rFonts w:hint="default" w:ascii="Calibri" w:hAnsi="Calibri" w:cs="Calibri"/>
                <w:highlight w:val="none"/>
                <w:lang w:val="en-US" w:eastAsia="zh-CN"/>
              </w:rPr>
            </w:pPr>
          </w:p>
        </w:tc>
        <w:tc>
          <w:tcPr>
            <w:tcW w:w="3297" w:type="dxa"/>
            <w:vMerge w:val="continue"/>
            <w:noWrap w:val="0"/>
            <w:vAlign w:val="center"/>
          </w:tcPr>
          <w:p w14:paraId="4EEC76A0">
            <w:pPr>
              <w:bidi w:val="0"/>
              <w:rPr>
                <w:rFonts w:hint="default" w:ascii="Calibri" w:hAnsi="Calibri" w:cs="Calibri"/>
                <w:highlight w:val="none"/>
                <w:lang w:val="en-US" w:eastAsia="zh-CN"/>
              </w:rPr>
            </w:pPr>
          </w:p>
        </w:tc>
        <w:tc>
          <w:tcPr>
            <w:tcW w:w="10016" w:type="dxa"/>
            <w:noWrap w:val="0"/>
            <w:vAlign w:val="center"/>
          </w:tcPr>
          <w:p w14:paraId="57A4DF7F">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（2）</w:t>
            </w:r>
            <w:r>
              <w:rPr>
                <w:rFonts w:hint="default" w:ascii="Calibri" w:hAnsi="Calibri" w:eastAsia="宋体" w:cs="Calibri"/>
                <w:b w:val="0"/>
                <w:bCs w:val="0"/>
                <w:color w:val="auto"/>
                <w:kern w:val="0"/>
                <w:szCs w:val="21"/>
                <w:highlight w:val="none"/>
                <w:lang w:val="en-US" w:eastAsia="zh-CN"/>
              </w:rPr>
              <w:t>根据采购人要求对服务人员进行从业资格审查，审查结果向采购人报备。</w:t>
            </w:r>
          </w:p>
        </w:tc>
      </w:tr>
      <w:tr w14:paraId="6C617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noWrap w:val="0"/>
            <w:vAlign w:val="center"/>
          </w:tcPr>
          <w:p w14:paraId="32535C03">
            <w:pPr>
              <w:bidi w:val="0"/>
              <w:jc w:val="center"/>
              <w:rPr>
                <w:rFonts w:hint="default" w:ascii="Calibri" w:hAnsi="Calibri" w:cs="Calibri"/>
                <w:highlight w:val="none"/>
                <w:lang w:val="en-US" w:eastAsia="zh-CN"/>
              </w:rPr>
            </w:pPr>
          </w:p>
        </w:tc>
        <w:tc>
          <w:tcPr>
            <w:tcW w:w="3297" w:type="dxa"/>
            <w:vMerge w:val="continue"/>
            <w:noWrap w:val="0"/>
            <w:vAlign w:val="center"/>
          </w:tcPr>
          <w:p w14:paraId="161C134F">
            <w:pPr>
              <w:bidi w:val="0"/>
              <w:rPr>
                <w:rFonts w:hint="default" w:ascii="Calibri" w:hAnsi="Calibri" w:cs="Calibri"/>
                <w:highlight w:val="none"/>
                <w:lang w:val="en-US" w:eastAsia="zh-CN"/>
              </w:rPr>
            </w:pPr>
          </w:p>
        </w:tc>
        <w:tc>
          <w:tcPr>
            <w:tcW w:w="10016" w:type="dxa"/>
            <w:noWrap w:val="0"/>
            <w:vAlign w:val="center"/>
          </w:tcPr>
          <w:p w14:paraId="26088863">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（3）</w:t>
            </w:r>
            <w:r>
              <w:rPr>
                <w:rFonts w:hint="default" w:ascii="Calibri" w:hAnsi="Calibri" w:eastAsia="宋体" w:cs="Calibri"/>
                <w:bCs/>
                <w:color w:val="auto"/>
                <w:szCs w:val="21"/>
                <w:highlight w:val="none"/>
                <w:lang w:val="en-US" w:eastAsia="zh-CN"/>
              </w:rPr>
              <w:t>服务人员的年龄、学历、工作经验及资格条件</w:t>
            </w:r>
            <w:r>
              <w:rPr>
                <w:rFonts w:hint="eastAsia" w:cs="Calibri"/>
                <w:bCs/>
                <w:color w:val="auto"/>
                <w:szCs w:val="21"/>
                <w:highlight w:val="none"/>
                <w:lang w:val="en-US" w:eastAsia="zh-CN"/>
              </w:rPr>
              <w:t>应当</w:t>
            </w:r>
            <w:r>
              <w:rPr>
                <w:rFonts w:hint="default" w:ascii="Calibri" w:hAnsi="Calibri" w:eastAsia="宋体" w:cs="Calibri"/>
                <w:bCs/>
                <w:color w:val="auto"/>
                <w:szCs w:val="21"/>
                <w:highlight w:val="none"/>
                <w:lang w:val="en-US" w:eastAsia="zh-CN"/>
              </w:rPr>
              <w:t>与所在岗位能力要求相匹配，到岗前</w:t>
            </w:r>
            <w:r>
              <w:rPr>
                <w:rFonts w:hint="eastAsia" w:cs="Calibri"/>
                <w:bCs/>
                <w:color w:val="auto"/>
                <w:szCs w:val="21"/>
                <w:highlight w:val="none"/>
                <w:lang w:val="en-US" w:eastAsia="zh-CN"/>
              </w:rPr>
              <w:t>应当</w:t>
            </w:r>
            <w:r>
              <w:rPr>
                <w:rFonts w:hint="default" w:ascii="Calibri" w:hAnsi="Calibri" w:eastAsia="宋体" w:cs="Calibri"/>
                <w:bCs/>
                <w:color w:val="auto"/>
                <w:szCs w:val="21"/>
                <w:highlight w:val="none"/>
                <w:lang w:val="en-US" w:eastAsia="zh-CN"/>
              </w:rPr>
              <w:t>经过必要的岗前培训以达到岗位能力要求，国家、行业规定应</w:t>
            </w:r>
            <w:r>
              <w:rPr>
                <w:rFonts w:hint="eastAsia" w:cs="Calibri"/>
                <w:bCs/>
                <w:color w:val="auto"/>
                <w:szCs w:val="21"/>
                <w:highlight w:val="none"/>
                <w:lang w:val="en-US" w:eastAsia="zh-CN"/>
              </w:rPr>
              <w:t>当</w:t>
            </w:r>
            <w:r>
              <w:rPr>
                <w:rFonts w:hint="default" w:ascii="Calibri" w:hAnsi="Calibri" w:eastAsia="宋体" w:cs="Calibri"/>
                <w:bCs/>
                <w:color w:val="auto"/>
                <w:szCs w:val="21"/>
                <w:highlight w:val="none"/>
                <w:lang w:val="en-US" w:eastAsia="zh-CN"/>
              </w:rPr>
              <w:t>取得职业资格证书或特种作业证书的，应</w:t>
            </w:r>
            <w:r>
              <w:rPr>
                <w:rFonts w:hint="eastAsia" w:cs="Calibri"/>
                <w:bCs/>
                <w:color w:val="auto"/>
                <w:szCs w:val="21"/>
                <w:highlight w:val="none"/>
                <w:lang w:val="en-US" w:eastAsia="zh-CN"/>
              </w:rPr>
              <w:t>当</w:t>
            </w:r>
            <w:r>
              <w:rPr>
                <w:rFonts w:hint="default" w:ascii="Calibri" w:hAnsi="Calibri" w:eastAsia="宋体" w:cs="Calibri"/>
                <w:bCs/>
                <w:color w:val="auto"/>
                <w:szCs w:val="21"/>
                <w:highlight w:val="none"/>
                <w:lang w:val="en-US" w:eastAsia="zh-CN"/>
              </w:rPr>
              <w:t>按规定持证上岗。</w:t>
            </w:r>
          </w:p>
        </w:tc>
      </w:tr>
      <w:tr w14:paraId="74A0C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noWrap w:val="0"/>
            <w:vAlign w:val="center"/>
          </w:tcPr>
          <w:p w14:paraId="72F97924">
            <w:pPr>
              <w:bidi w:val="0"/>
              <w:jc w:val="center"/>
              <w:rPr>
                <w:rFonts w:hint="default" w:ascii="Calibri" w:hAnsi="Calibri" w:cs="Calibri"/>
                <w:highlight w:val="none"/>
                <w:lang w:val="en-US" w:eastAsia="zh-CN"/>
              </w:rPr>
            </w:pPr>
          </w:p>
        </w:tc>
        <w:tc>
          <w:tcPr>
            <w:tcW w:w="3297" w:type="dxa"/>
            <w:vMerge w:val="continue"/>
            <w:noWrap w:val="0"/>
            <w:vAlign w:val="center"/>
          </w:tcPr>
          <w:p w14:paraId="48DB41D2">
            <w:pPr>
              <w:bidi w:val="0"/>
              <w:rPr>
                <w:rFonts w:hint="default" w:ascii="Calibri" w:hAnsi="Calibri" w:cs="Calibri"/>
                <w:highlight w:val="none"/>
                <w:lang w:val="en-US" w:eastAsia="zh-CN"/>
              </w:rPr>
            </w:pPr>
          </w:p>
        </w:tc>
        <w:tc>
          <w:tcPr>
            <w:tcW w:w="10016" w:type="dxa"/>
            <w:noWrap w:val="0"/>
            <w:vAlign w:val="center"/>
          </w:tcPr>
          <w:p w14:paraId="11B3087E">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（4）</w:t>
            </w:r>
            <w:r>
              <w:rPr>
                <w:rFonts w:hint="default" w:ascii="Calibri" w:hAnsi="Calibri" w:eastAsia="宋体" w:cs="Calibri"/>
                <w:bCs/>
                <w:color w:val="auto"/>
                <w:szCs w:val="21"/>
                <w:highlight w:val="none"/>
                <w:lang w:val="en-US" w:eastAsia="zh-CN"/>
              </w:rPr>
              <w:t>如采购人认为服务人员不适应岗位要求或存在其他影响工作的，可要求供应商进行</w:t>
            </w:r>
            <w:r>
              <w:rPr>
                <w:rFonts w:hint="eastAsia" w:eastAsia="宋体" w:cs="Calibri"/>
                <w:bCs/>
                <w:color w:val="auto"/>
                <w:szCs w:val="21"/>
                <w:highlight w:val="none"/>
                <w:lang w:val="en-US" w:eastAsia="zh-CN"/>
              </w:rPr>
              <w:t>调换</w:t>
            </w:r>
            <w:r>
              <w:rPr>
                <w:rFonts w:hint="default" w:ascii="Calibri" w:hAnsi="Calibri" w:eastAsia="宋体" w:cs="Calibri"/>
                <w:bCs/>
                <w:color w:val="auto"/>
                <w:szCs w:val="21"/>
                <w:highlight w:val="none"/>
                <w:lang w:val="en-US" w:eastAsia="zh-CN"/>
              </w:rPr>
              <w:t>。如因供应商原因对服务人员进行</w:t>
            </w:r>
            <w:r>
              <w:rPr>
                <w:rFonts w:hint="eastAsia" w:eastAsia="宋体" w:cs="Calibri"/>
                <w:bCs/>
                <w:color w:val="auto"/>
                <w:szCs w:val="21"/>
                <w:highlight w:val="none"/>
                <w:lang w:val="en-US" w:eastAsia="zh-CN"/>
              </w:rPr>
              <w:t>调换</w:t>
            </w:r>
            <w:r>
              <w:rPr>
                <w:rFonts w:hint="default" w:ascii="Calibri" w:hAnsi="Calibri" w:eastAsia="宋体" w:cs="Calibri"/>
                <w:bCs/>
                <w:color w:val="auto"/>
                <w:szCs w:val="21"/>
                <w:highlight w:val="none"/>
                <w:lang w:val="en-US" w:eastAsia="zh-CN"/>
              </w:rPr>
              <w:t>，</w:t>
            </w:r>
            <w:r>
              <w:rPr>
                <w:rFonts w:hint="eastAsia" w:cs="Calibri"/>
                <w:bCs/>
                <w:color w:val="auto"/>
                <w:szCs w:val="21"/>
                <w:highlight w:val="none"/>
                <w:lang w:val="en-US" w:eastAsia="zh-CN"/>
              </w:rPr>
              <w:t>应当</w:t>
            </w:r>
            <w:r>
              <w:rPr>
                <w:rFonts w:hint="default" w:ascii="Calibri" w:hAnsi="Calibri" w:eastAsia="宋体" w:cs="Calibri"/>
                <w:bCs/>
                <w:color w:val="auto"/>
                <w:szCs w:val="21"/>
                <w:highlight w:val="none"/>
                <w:lang w:val="en-US" w:eastAsia="zh-CN"/>
              </w:rPr>
              <w:t>经采购人同意，更换比例不得超过本项目服务人员总数的20%。本项目服务人员不得在其他项目兼职。</w:t>
            </w:r>
          </w:p>
        </w:tc>
      </w:tr>
      <w:tr w14:paraId="022E2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noWrap w:val="0"/>
            <w:vAlign w:val="center"/>
          </w:tcPr>
          <w:p w14:paraId="651A50D8">
            <w:pPr>
              <w:bidi w:val="0"/>
              <w:jc w:val="center"/>
              <w:rPr>
                <w:rFonts w:hint="default" w:ascii="Calibri" w:hAnsi="Calibri" w:cs="Calibri"/>
                <w:highlight w:val="none"/>
                <w:lang w:val="en-US" w:eastAsia="zh-CN"/>
              </w:rPr>
            </w:pPr>
          </w:p>
        </w:tc>
        <w:tc>
          <w:tcPr>
            <w:tcW w:w="3297" w:type="dxa"/>
            <w:vMerge w:val="continue"/>
            <w:noWrap w:val="0"/>
            <w:vAlign w:val="center"/>
          </w:tcPr>
          <w:p w14:paraId="791B138A">
            <w:pPr>
              <w:bidi w:val="0"/>
              <w:rPr>
                <w:rFonts w:hint="default" w:ascii="Calibri" w:hAnsi="Calibri" w:cs="Calibri"/>
                <w:highlight w:val="none"/>
                <w:lang w:val="en-US" w:eastAsia="zh-CN"/>
              </w:rPr>
            </w:pPr>
          </w:p>
        </w:tc>
        <w:tc>
          <w:tcPr>
            <w:tcW w:w="10016" w:type="dxa"/>
            <w:noWrap w:val="0"/>
            <w:vAlign w:val="center"/>
          </w:tcPr>
          <w:p w14:paraId="2C5FAED2">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（5）</w:t>
            </w:r>
            <w:r>
              <w:rPr>
                <w:rFonts w:hint="default" w:ascii="Calibri" w:hAnsi="Calibri" w:eastAsia="宋体" w:cs="Calibri"/>
                <w:b w:val="0"/>
                <w:bCs w:val="0"/>
                <w:color w:val="auto"/>
                <w:kern w:val="0"/>
                <w:szCs w:val="21"/>
                <w:highlight w:val="none"/>
                <w:lang w:val="en-US" w:eastAsia="zh-CN"/>
              </w:rPr>
              <w:t>着装</w:t>
            </w:r>
            <w:r>
              <w:rPr>
                <w:rFonts w:hint="eastAsia" w:eastAsia="宋体" w:cs="Calibri"/>
                <w:b w:val="0"/>
                <w:bCs w:val="0"/>
                <w:color w:val="auto"/>
                <w:kern w:val="0"/>
                <w:szCs w:val="21"/>
                <w:highlight w:val="none"/>
                <w:lang w:val="en-US" w:eastAsia="zh-CN"/>
              </w:rPr>
              <w:t>分类</w:t>
            </w:r>
            <w:r>
              <w:rPr>
                <w:rFonts w:hint="default" w:ascii="Calibri" w:hAnsi="Calibri" w:eastAsia="宋体" w:cs="Calibri"/>
                <w:b w:val="0"/>
                <w:bCs w:val="0"/>
                <w:color w:val="auto"/>
                <w:kern w:val="0"/>
                <w:szCs w:val="21"/>
                <w:highlight w:val="none"/>
                <w:lang w:val="en-US" w:eastAsia="zh-CN"/>
              </w:rPr>
              <w:t>统一，佩戴标识。仪容整洁、姿态端正、举止文明。用语文明礼貌，态度温和耐心。</w:t>
            </w:r>
          </w:p>
        </w:tc>
      </w:tr>
      <w:tr w14:paraId="37954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restart"/>
            <w:noWrap w:val="0"/>
            <w:vAlign w:val="center"/>
          </w:tcPr>
          <w:p w14:paraId="008E377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cs="Calibri"/>
                <w:highlight w:val="none"/>
                <w:lang w:val="en-US" w:eastAsia="zh-CN"/>
              </w:rPr>
            </w:pPr>
            <w:r>
              <w:rPr>
                <w:rFonts w:hint="default" w:ascii="Calibri" w:hAnsi="Calibri" w:cs="Calibri"/>
                <w:highlight w:val="none"/>
                <w:lang w:val="en-US" w:eastAsia="zh-CN"/>
              </w:rPr>
              <w:t>3</w:t>
            </w:r>
          </w:p>
        </w:tc>
        <w:tc>
          <w:tcPr>
            <w:tcW w:w="3297" w:type="dxa"/>
            <w:vMerge w:val="restart"/>
            <w:noWrap w:val="0"/>
            <w:vAlign w:val="center"/>
          </w:tcPr>
          <w:p w14:paraId="21C59C0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cs="Calibri"/>
                <w:highlight w:val="none"/>
                <w:lang w:val="en-US" w:eastAsia="zh-CN"/>
              </w:rPr>
            </w:pPr>
            <w:r>
              <w:rPr>
                <w:rFonts w:hint="default" w:ascii="Calibri" w:hAnsi="Calibri" w:cs="Calibri"/>
                <w:highlight w:val="none"/>
                <w:lang w:val="en-US" w:eastAsia="zh-CN"/>
              </w:rPr>
              <w:t>保密和</w:t>
            </w:r>
            <w:r>
              <w:rPr>
                <w:rFonts w:hint="eastAsia" w:cs="Calibri"/>
                <w:highlight w:val="none"/>
                <w:lang w:val="en-US" w:eastAsia="zh-CN"/>
              </w:rPr>
              <w:t>思想政治</w:t>
            </w:r>
            <w:r>
              <w:rPr>
                <w:rFonts w:hint="default" w:ascii="Calibri" w:hAnsi="Calibri" w:cs="Calibri"/>
                <w:highlight w:val="none"/>
                <w:lang w:val="en-US" w:eastAsia="zh-CN"/>
              </w:rPr>
              <w:t>教育</w:t>
            </w:r>
          </w:p>
        </w:tc>
        <w:tc>
          <w:tcPr>
            <w:tcW w:w="10016" w:type="dxa"/>
            <w:noWrap w:val="0"/>
            <w:vAlign w:val="center"/>
          </w:tcPr>
          <w:p w14:paraId="4AD1739F">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（1）</w:t>
            </w:r>
            <w:r>
              <w:rPr>
                <w:rFonts w:hint="default" w:ascii="Calibri" w:hAnsi="Calibri" w:eastAsia="宋体" w:cs="Calibri"/>
                <w:b w:val="0"/>
                <w:bCs w:val="0"/>
                <w:color w:val="auto"/>
                <w:kern w:val="0"/>
                <w:szCs w:val="21"/>
                <w:highlight w:val="none"/>
                <w:lang w:val="en-US" w:eastAsia="zh-CN"/>
              </w:rPr>
              <w:t>建立保密管理制度。制度内容应</w:t>
            </w:r>
            <w:r>
              <w:rPr>
                <w:rFonts w:hint="eastAsia" w:cs="Calibri"/>
                <w:b w:val="0"/>
                <w:bCs w:val="0"/>
                <w:color w:val="auto"/>
                <w:kern w:val="0"/>
                <w:szCs w:val="21"/>
                <w:highlight w:val="none"/>
                <w:lang w:val="en-US" w:eastAsia="zh-CN"/>
              </w:rPr>
              <w:t>当</w:t>
            </w:r>
            <w:r>
              <w:rPr>
                <w:rFonts w:hint="default" w:ascii="Calibri" w:hAnsi="Calibri" w:eastAsia="宋体" w:cs="Calibri"/>
                <w:b w:val="0"/>
                <w:bCs w:val="0"/>
                <w:color w:val="auto"/>
                <w:kern w:val="0"/>
                <w:szCs w:val="21"/>
                <w:highlight w:val="none"/>
                <w:lang w:val="en-US" w:eastAsia="zh-CN"/>
              </w:rPr>
              <w:t>包括但不限于：①明确重点要害岗位保密职责。</w:t>
            </w:r>
            <w:r>
              <w:rPr>
                <w:rFonts w:hint="default" w:ascii="Calibri" w:hAnsi="Calibri" w:cs="Calibri"/>
                <w:b w:val="0"/>
                <w:bCs w:val="0"/>
                <w:color w:val="auto"/>
                <w:kern w:val="0"/>
                <w:szCs w:val="21"/>
                <w:highlight w:val="none"/>
                <w:lang w:val="en-US" w:eastAsia="zh-CN"/>
              </w:rPr>
              <w:t>②</w:t>
            </w:r>
            <w:r>
              <w:rPr>
                <w:rFonts w:hint="default" w:ascii="Calibri" w:hAnsi="Calibri" w:eastAsia="宋体" w:cs="Calibri"/>
                <w:b w:val="0"/>
                <w:bCs w:val="0"/>
                <w:color w:val="auto"/>
                <w:kern w:val="0"/>
                <w:szCs w:val="21"/>
                <w:highlight w:val="none"/>
                <w:lang w:val="en-US" w:eastAsia="zh-CN"/>
              </w:rPr>
              <w:t>对涉密工作岗位的保密要求。</w:t>
            </w:r>
          </w:p>
        </w:tc>
      </w:tr>
      <w:tr w14:paraId="1A072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noWrap w:val="0"/>
            <w:vAlign w:val="center"/>
          </w:tcPr>
          <w:p w14:paraId="372D4F86">
            <w:pPr>
              <w:bidi w:val="0"/>
              <w:jc w:val="center"/>
              <w:rPr>
                <w:rFonts w:hint="default" w:ascii="Calibri" w:hAnsi="Calibri" w:cs="Calibri"/>
                <w:highlight w:val="none"/>
                <w:lang w:val="en-US" w:eastAsia="zh-CN"/>
              </w:rPr>
            </w:pPr>
          </w:p>
        </w:tc>
        <w:tc>
          <w:tcPr>
            <w:tcW w:w="3297" w:type="dxa"/>
            <w:vMerge w:val="continue"/>
            <w:noWrap w:val="0"/>
            <w:vAlign w:val="center"/>
          </w:tcPr>
          <w:p w14:paraId="231B3238">
            <w:pPr>
              <w:bidi w:val="0"/>
              <w:rPr>
                <w:rFonts w:hint="default" w:ascii="Calibri" w:hAnsi="Calibri" w:cs="Calibri"/>
                <w:highlight w:val="none"/>
                <w:lang w:val="en-US" w:eastAsia="zh-CN"/>
              </w:rPr>
            </w:pPr>
          </w:p>
        </w:tc>
        <w:tc>
          <w:tcPr>
            <w:tcW w:w="10016" w:type="dxa"/>
            <w:noWrap w:val="0"/>
            <w:vAlign w:val="center"/>
          </w:tcPr>
          <w:p w14:paraId="0F5BC40A">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（2）</w:t>
            </w:r>
            <w:r>
              <w:rPr>
                <w:rFonts w:hint="default" w:ascii="Calibri" w:hAnsi="Calibri" w:eastAsia="宋体" w:cs="Calibri"/>
                <w:b w:val="0"/>
                <w:bCs w:val="0"/>
                <w:color w:val="auto"/>
                <w:kern w:val="0"/>
                <w:szCs w:val="21"/>
                <w:highlight w:val="none"/>
                <w:lang w:val="en-US" w:eastAsia="zh-CN"/>
              </w:rPr>
              <w:t>根据采购人要求与涉密工作岗位的服务人员签订保密协议。保密协议应</w:t>
            </w:r>
            <w:r>
              <w:rPr>
                <w:rFonts w:hint="eastAsia" w:cs="Calibri"/>
                <w:b w:val="0"/>
                <w:bCs w:val="0"/>
                <w:color w:val="auto"/>
                <w:kern w:val="0"/>
                <w:szCs w:val="21"/>
                <w:highlight w:val="none"/>
                <w:lang w:val="en-US" w:eastAsia="zh-CN"/>
              </w:rPr>
              <w:t>当</w:t>
            </w:r>
            <w:r>
              <w:rPr>
                <w:rFonts w:hint="default" w:ascii="Calibri" w:hAnsi="Calibri" w:eastAsia="宋体" w:cs="Calibri"/>
                <w:b w:val="0"/>
                <w:bCs w:val="0"/>
                <w:color w:val="auto"/>
                <w:kern w:val="0"/>
                <w:szCs w:val="21"/>
                <w:highlight w:val="none"/>
                <w:lang w:val="en-US" w:eastAsia="zh-CN"/>
              </w:rPr>
              <w:t>向采购人报备。</w:t>
            </w:r>
          </w:p>
        </w:tc>
      </w:tr>
      <w:tr w14:paraId="16A75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noWrap w:val="0"/>
            <w:vAlign w:val="center"/>
          </w:tcPr>
          <w:p w14:paraId="703B2F64">
            <w:pPr>
              <w:bidi w:val="0"/>
              <w:jc w:val="center"/>
              <w:rPr>
                <w:rFonts w:hint="default" w:ascii="Calibri" w:hAnsi="Calibri" w:cs="Calibri"/>
                <w:highlight w:val="none"/>
                <w:lang w:val="en-US" w:eastAsia="zh-CN"/>
              </w:rPr>
            </w:pPr>
          </w:p>
        </w:tc>
        <w:tc>
          <w:tcPr>
            <w:tcW w:w="3297" w:type="dxa"/>
            <w:vMerge w:val="continue"/>
            <w:noWrap w:val="0"/>
            <w:vAlign w:val="center"/>
          </w:tcPr>
          <w:p w14:paraId="0DC23860">
            <w:pPr>
              <w:bidi w:val="0"/>
              <w:rPr>
                <w:rFonts w:hint="default" w:ascii="Calibri" w:hAnsi="Calibri" w:cs="Calibri"/>
                <w:highlight w:val="none"/>
                <w:lang w:val="en-US" w:eastAsia="zh-CN"/>
              </w:rPr>
            </w:pPr>
          </w:p>
        </w:tc>
        <w:tc>
          <w:tcPr>
            <w:tcW w:w="10016" w:type="dxa"/>
            <w:noWrap w:val="0"/>
            <w:vAlign w:val="center"/>
          </w:tcPr>
          <w:p w14:paraId="2454B7C5">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（3）</w:t>
            </w:r>
            <w:r>
              <w:rPr>
                <w:rFonts w:hint="default" w:ascii="Calibri" w:hAnsi="Calibri" w:eastAsia="宋体" w:cs="Calibri"/>
                <w:b w:val="0"/>
                <w:bCs w:val="0"/>
                <w:color w:val="auto"/>
                <w:kern w:val="0"/>
                <w:szCs w:val="21"/>
                <w:highlight w:val="none"/>
                <w:lang w:val="en-US" w:eastAsia="zh-CN"/>
              </w:rPr>
              <w:t>每季度至少</w:t>
            </w:r>
            <w:r>
              <w:rPr>
                <w:rFonts w:hint="eastAsia" w:cs="Calibri"/>
                <w:b w:val="0"/>
                <w:bCs w:val="0"/>
                <w:color w:val="auto"/>
                <w:kern w:val="0"/>
                <w:szCs w:val="21"/>
                <w:highlight w:val="none"/>
                <w:lang w:val="en-US" w:eastAsia="zh-CN"/>
              </w:rPr>
              <w:t>开展</w:t>
            </w:r>
            <w:r>
              <w:rPr>
                <w:rFonts w:hint="default" w:ascii="Calibri" w:hAnsi="Calibri" w:eastAsia="宋体" w:cs="Calibri"/>
                <w:b w:val="0"/>
                <w:bCs w:val="0"/>
                <w:color w:val="auto"/>
                <w:kern w:val="0"/>
                <w:szCs w:val="21"/>
                <w:highlight w:val="none"/>
                <w:lang w:val="en-US" w:eastAsia="zh-CN"/>
              </w:rPr>
              <w:t>1次对服务人员进行保密、思想政治教育</w:t>
            </w:r>
            <w:r>
              <w:rPr>
                <w:rFonts w:hint="eastAsia" w:cs="Calibri"/>
                <w:b w:val="0"/>
                <w:bCs w:val="0"/>
                <w:color w:val="auto"/>
                <w:kern w:val="0"/>
                <w:szCs w:val="21"/>
                <w:highlight w:val="none"/>
                <w:lang w:val="en-US" w:eastAsia="zh-CN"/>
              </w:rPr>
              <w:t>的</w:t>
            </w:r>
            <w:r>
              <w:rPr>
                <w:rFonts w:hint="default" w:ascii="Calibri" w:hAnsi="Calibri" w:eastAsia="宋体" w:cs="Calibri"/>
                <w:b w:val="0"/>
                <w:bCs w:val="0"/>
                <w:color w:val="auto"/>
                <w:kern w:val="0"/>
                <w:szCs w:val="21"/>
                <w:highlight w:val="none"/>
                <w:lang w:val="en-US" w:eastAsia="zh-CN"/>
              </w:rPr>
              <w:t>培训，</w:t>
            </w:r>
            <w:r>
              <w:rPr>
                <w:rFonts w:hint="eastAsia" w:cs="Calibri"/>
                <w:b w:val="0"/>
                <w:bCs w:val="0"/>
                <w:color w:val="auto"/>
                <w:kern w:val="0"/>
                <w:szCs w:val="21"/>
                <w:highlight w:val="none"/>
                <w:lang w:val="en-US" w:eastAsia="zh-CN"/>
              </w:rPr>
              <w:t>提高</w:t>
            </w:r>
            <w:r>
              <w:rPr>
                <w:rFonts w:hint="default" w:ascii="Calibri" w:hAnsi="Calibri" w:eastAsia="宋体" w:cs="Calibri"/>
                <w:b w:val="0"/>
                <w:bCs w:val="0"/>
                <w:color w:val="auto"/>
                <w:kern w:val="0"/>
                <w:szCs w:val="21"/>
                <w:highlight w:val="none"/>
                <w:lang w:val="en-US" w:eastAsia="zh-CN"/>
              </w:rPr>
              <w:t>服务人员保密意识和思想政治意识。新入职员工应</w:t>
            </w:r>
            <w:r>
              <w:rPr>
                <w:rFonts w:hint="eastAsia" w:cs="Calibri"/>
                <w:b w:val="0"/>
                <w:bCs w:val="0"/>
                <w:color w:val="auto"/>
                <w:kern w:val="0"/>
                <w:szCs w:val="21"/>
                <w:highlight w:val="none"/>
                <w:lang w:val="en-US" w:eastAsia="zh-CN"/>
              </w:rPr>
              <w:t>当</w:t>
            </w:r>
            <w:r>
              <w:rPr>
                <w:rFonts w:hint="default" w:ascii="Calibri" w:hAnsi="Calibri" w:eastAsia="宋体" w:cs="Calibri"/>
                <w:b w:val="0"/>
                <w:bCs w:val="0"/>
                <w:color w:val="auto"/>
                <w:kern w:val="0"/>
                <w:szCs w:val="21"/>
                <w:highlight w:val="none"/>
                <w:lang w:val="en-US" w:eastAsia="zh-CN"/>
              </w:rPr>
              <w:t>接受保密、思想政治教育培训，进行必要的</w:t>
            </w:r>
            <w:r>
              <w:rPr>
                <w:rFonts w:hint="eastAsia" w:cs="Calibri"/>
                <w:b w:val="0"/>
                <w:bCs w:val="0"/>
                <w:color w:val="auto"/>
                <w:kern w:val="0"/>
                <w:szCs w:val="21"/>
                <w:highlight w:val="none"/>
                <w:lang w:val="en-US" w:eastAsia="zh-CN"/>
              </w:rPr>
              <w:t>人员经历</w:t>
            </w:r>
            <w:r>
              <w:rPr>
                <w:rFonts w:hint="default" w:ascii="Calibri" w:hAnsi="Calibri" w:eastAsia="宋体" w:cs="Calibri"/>
                <w:b w:val="0"/>
                <w:bCs w:val="0"/>
                <w:color w:val="auto"/>
                <w:kern w:val="0"/>
                <w:szCs w:val="21"/>
                <w:highlight w:val="none"/>
                <w:lang w:val="en-US" w:eastAsia="zh-CN"/>
              </w:rPr>
              <w:t>审查，合格后签订保密协议方可上岗。</w:t>
            </w:r>
          </w:p>
        </w:tc>
      </w:tr>
      <w:tr w14:paraId="028A9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noWrap w:val="0"/>
            <w:vAlign w:val="center"/>
          </w:tcPr>
          <w:p w14:paraId="71C16E98">
            <w:pPr>
              <w:bidi w:val="0"/>
              <w:jc w:val="center"/>
              <w:rPr>
                <w:rFonts w:hint="default" w:ascii="Calibri" w:hAnsi="Calibri" w:cs="Calibri"/>
                <w:highlight w:val="none"/>
                <w:lang w:val="en-US" w:eastAsia="zh-CN"/>
              </w:rPr>
            </w:pPr>
          </w:p>
        </w:tc>
        <w:tc>
          <w:tcPr>
            <w:tcW w:w="3297" w:type="dxa"/>
            <w:vMerge w:val="continue"/>
            <w:noWrap w:val="0"/>
            <w:vAlign w:val="center"/>
          </w:tcPr>
          <w:p w14:paraId="481BD35E">
            <w:pPr>
              <w:bidi w:val="0"/>
              <w:rPr>
                <w:rFonts w:hint="default" w:ascii="Calibri" w:hAnsi="Calibri" w:cs="Calibri"/>
                <w:highlight w:val="none"/>
                <w:lang w:val="en-US" w:eastAsia="zh-CN"/>
              </w:rPr>
            </w:pPr>
          </w:p>
        </w:tc>
        <w:tc>
          <w:tcPr>
            <w:tcW w:w="10016" w:type="dxa"/>
            <w:noWrap w:val="0"/>
            <w:vAlign w:val="center"/>
          </w:tcPr>
          <w:p w14:paraId="13D4EFEE">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（4）</w:t>
            </w:r>
            <w:r>
              <w:rPr>
                <w:rFonts w:hint="default" w:ascii="Calibri" w:hAnsi="Calibri" w:eastAsia="宋体" w:cs="Calibri"/>
                <w:b w:val="0"/>
                <w:bCs w:val="0"/>
                <w:color w:val="auto"/>
                <w:kern w:val="0"/>
                <w:szCs w:val="21"/>
                <w:highlight w:val="none"/>
                <w:lang w:val="en-US" w:eastAsia="zh-CN"/>
              </w:rPr>
              <w:t>发现服务人员</w:t>
            </w:r>
            <w:r>
              <w:rPr>
                <w:rFonts w:hint="eastAsia" w:cs="Calibri"/>
                <w:b w:val="0"/>
                <w:bCs w:val="0"/>
                <w:color w:val="auto"/>
                <w:kern w:val="0"/>
                <w:szCs w:val="21"/>
                <w:highlight w:val="none"/>
                <w:lang w:val="en-US" w:eastAsia="zh-CN"/>
              </w:rPr>
              <w:t>违法违规或</w:t>
            </w:r>
            <w:r>
              <w:rPr>
                <w:rFonts w:hint="default" w:ascii="Calibri" w:hAnsi="Calibri" w:eastAsia="宋体" w:cs="Calibri"/>
                <w:b w:val="0"/>
                <w:bCs w:val="0"/>
                <w:color w:val="auto"/>
                <w:kern w:val="0"/>
                <w:szCs w:val="21"/>
                <w:highlight w:val="none"/>
                <w:lang w:val="en-US" w:eastAsia="zh-CN"/>
              </w:rPr>
              <w:t>重大过失，及时报告采购人，并采取必要补救措施。</w:t>
            </w:r>
          </w:p>
        </w:tc>
      </w:tr>
      <w:tr w14:paraId="443DB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restart"/>
            <w:noWrap w:val="0"/>
            <w:vAlign w:val="center"/>
          </w:tcPr>
          <w:p w14:paraId="4D2C95C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cs="Calibri"/>
                <w:highlight w:val="none"/>
                <w:lang w:val="en-US" w:eastAsia="zh-CN"/>
              </w:rPr>
            </w:pPr>
            <w:r>
              <w:rPr>
                <w:rFonts w:hint="default" w:ascii="Calibri" w:hAnsi="Calibri" w:cs="Calibri"/>
                <w:highlight w:val="none"/>
                <w:lang w:val="en-US" w:eastAsia="zh-CN"/>
              </w:rPr>
              <w:t>4</w:t>
            </w:r>
          </w:p>
        </w:tc>
        <w:tc>
          <w:tcPr>
            <w:tcW w:w="3297" w:type="dxa"/>
            <w:vMerge w:val="restart"/>
            <w:noWrap w:val="0"/>
            <w:vAlign w:val="center"/>
          </w:tcPr>
          <w:p w14:paraId="3FDC97C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cs="Calibri"/>
                <w:highlight w:val="none"/>
                <w:lang w:val="en-US" w:eastAsia="zh-CN"/>
              </w:rPr>
            </w:pPr>
            <w:r>
              <w:rPr>
                <w:rFonts w:hint="default" w:ascii="Calibri" w:hAnsi="Calibri" w:cs="Calibri"/>
                <w:highlight w:val="none"/>
                <w:lang w:val="en-US" w:eastAsia="zh-CN"/>
              </w:rPr>
              <w:t>档案管理</w:t>
            </w:r>
          </w:p>
        </w:tc>
        <w:tc>
          <w:tcPr>
            <w:tcW w:w="10016" w:type="dxa"/>
            <w:noWrap w:val="0"/>
            <w:vAlign w:val="center"/>
          </w:tcPr>
          <w:p w14:paraId="6BEDA86C">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（1）</w:t>
            </w:r>
            <w:r>
              <w:rPr>
                <w:rFonts w:hint="default" w:ascii="Calibri" w:hAnsi="Calibri" w:eastAsia="宋体" w:cs="Calibri"/>
                <w:b w:val="0"/>
                <w:bCs w:val="0"/>
                <w:color w:val="auto"/>
                <w:kern w:val="0"/>
                <w:szCs w:val="21"/>
                <w:highlight w:val="none"/>
                <w:lang w:val="en-US" w:eastAsia="zh-CN"/>
              </w:rPr>
              <w:t>建立物业信息，准确、及时地对文件资料和服务记录进行归档保存，并确保其物理安全。</w:t>
            </w:r>
          </w:p>
        </w:tc>
      </w:tr>
      <w:tr w14:paraId="2D7D4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noWrap w:val="0"/>
            <w:vAlign w:val="center"/>
          </w:tcPr>
          <w:p w14:paraId="64AB349D">
            <w:pPr>
              <w:keepNext w:val="0"/>
              <w:keepLines w:val="0"/>
              <w:pageBreakBefore w:val="0"/>
              <w:widowControl/>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cs="Calibri"/>
                <w:highlight w:val="none"/>
                <w:lang w:val="en-US" w:eastAsia="zh-CN"/>
              </w:rPr>
            </w:pPr>
          </w:p>
        </w:tc>
        <w:tc>
          <w:tcPr>
            <w:tcW w:w="3297" w:type="dxa"/>
            <w:vMerge w:val="continue"/>
            <w:noWrap w:val="0"/>
            <w:vAlign w:val="center"/>
          </w:tcPr>
          <w:p w14:paraId="31901AAA">
            <w:pPr>
              <w:keepNext w:val="0"/>
              <w:keepLines w:val="0"/>
              <w:pageBreakBefore w:val="0"/>
              <w:widowControl/>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cs="Calibri"/>
                <w:highlight w:val="none"/>
                <w:lang w:val="en-US" w:eastAsia="zh-CN"/>
              </w:rPr>
            </w:pPr>
          </w:p>
        </w:tc>
        <w:tc>
          <w:tcPr>
            <w:tcW w:w="10016" w:type="dxa"/>
            <w:noWrap w:val="0"/>
            <w:vAlign w:val="center"/>
          </w:tcPr>
          <w:p w14:paraId="44E204EA">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（2）</w:t>
            </w:r>
            <w:r>
              <w:rPr>
                <w:rFonts w:hint="default" w:ascii="Calibri" w:hAnsi="Calibri" w:eastAsia="宋体" w:cs="Calibri"/>
                <w:b w:val="0"/>
                <w:bCs w:val="0"/>
                <w:color w:val="auto"/>
                <w:kern w:val="0"/>
                <w:szCs w:val="21"/>
                <w:highlight w:val="none"/>
                <w:lang w:val="en-US" w:eastAsia="zh-CN"/>
              </w:rPr>
              <w:t>档案和记录齐全，包括但不限于：①</w:t>
            </w:r>
            <w:r>
              <w:rPr>
                <w:rFonts w:hint="eastAsia" w:cs="Calibri"/>
                <w:b w:val="0"/>
                <w:bCs w:val="0"/>
                <w:color w:val="auto"/>
                <w:kern w:val="0"/>
                <w:szCs w:val="21"/>
                <w:highlight w:val="none"/>
                <w:lang w:val="en-US" w:eastAsia="zh-CN"/>
              </w:rPr>
              <w:t>采购人</w:t>
            </w:r>
            <w:r>
              <w:rPr>
                <w:rFonts w:hint="default" w:ascii="Calibri" w:hAnsi="Calibri" w:eastAsia="宋体" w:cs="Calibri"/>
                <w:b w:val="0"/>
                <w:bCs w:val="0"/>
                <w:color w:val="auto"/>
                <w:kern w:val="0"/>
                <w:szCs w:val="21"/>
                <w:highlight w:val="none"/>
                <w:lang w:val="en-US" w:eastAsia="zh-CN"/>
              </w:rPr>
              <w:t>建议与投诉等。教育培训和考核记录。保密、思想政治教育培训记录。</w:t>
            </w:r>
            <w:r>
              <w:rPr>
                <w:rFonts w:hint="default" w:ascii="Calibri" w:hAnsi="Calibri" w:cs="Calibri"/>
                <w:b w:val="0"/>
                <w:bCs w:val="0"/>
                <w:color w:val="auto"/>
                <w:kern w:val="0"/>
                <w:szCs w:val="21"/>
                <w:highlight w:val="none"/>
                <w:lang w:val="en-US" w:eastAsia="zh-CN"/>
              </w:rPr>
              <w:t>②</w:t>
            </w:r>
            <w:r>
              <w:rPr>
                <w:rFonts w:hint="default" w:ascii="Calibri" w:hAnsi="Calibri" w:eastAsia="宋体" w:cs="Calibri"/>
                <w:b w:val="0"/>
                <w:bCs w:val="0"/>
                <w:color w:val="auto"/>
                <w:kern w:val="0"/>
                <w:szCs w:val="21"/>
                <w:highlight w:val="none"/>
                <w:lang w:val="en-US" w:eastAsia="zh-CN"/>
              </w:rPr>
              <w:t>房屋维护服务：房屋台账、使用说明、房屋装修、维保记录等。③</w:t>
            </w:r>
            <w:r>
              <w:rPr>
                <w:rFonts w:hint="eastAsia" w:cs="Calibri"/>
                <w:b w:val="0"/>
                <w:bCs w:val="0"/>
                <w:color w:val="auto"/>
                <w:kern w:val="0"/>
                <w:szCs w:val="21"/>
                <w:highlight w:val="none"/>
                <w:lang w:val="en-US" w:eastAsia="zh-CN"/>
              </w:rPr>
              <w:t>公用设施</w:t>
            </w:r>
            <w:r>
              <w:rPr>
                <w:rFonts w:hint="default" w:ascii="Calibri" w:hAnsi="Calibri" w:cs="Calibri"/>
                <w:b w:val="0"/>
                <w:bCs w:val="0"/>
                <w:color w:val="auto"/>
                <w:kern w:val="0"/>
                <w:szCs w:val="21"/>
                <w:highlight w:val="none"/>
                <w:lang w:val="en-US" w:eastAsia="zh-CN"/>
              </w:rPr>
              <w:t>设备维护服务</w:t>
            </w:r>
            <w:r>
              <w:rPr>
                <w:rFonts w:hint="default" w:ascii="Calibri" w:hAnsi="Calibri" w:eastAsia="宋体" w:cs="Calibri"/>
                <w:b w:val="0"/>
                <w:bCs w:val="0"/>
                <w:color w:val="auto"/>
                <w:kern w:val="0"/>
                <w:szCs w:val="21"/>
                <w:highlight w:val="none"/>
                <w:lang w:val="en-US" w:eastAsia="zh-CN"/>
              </w:rPr>
              <w:t>：设备台账、设备卡、使用说明、维保记录</w:t>
            </w:r>
            <w:r>
              <w:rPr>
                <w:rFonts w:hint="eastAsia" w:cs="Calibri"/>
                <w:b w:val="0"/>
                <w:bCs w:val="0"/>
                <w:color w:val="auto"/>
                <w:kern w:val="0"/>
                <w:szCs w:val="21"/>
                <w:highlight w:val="none"/>
                <w:lang w:val="en-US" w:eastAsia="zh-CN"/>
              </w:rPr>
              <w:t>、巡查记录、</w:t>
            </w:r>
            <w:r>
              <w:rPr>
                <w:rFonts w:hint="eastAsia"/>
                <w:color w:val="auto"/>
                <w:kern w:val="0"/>
                <w:highlight w:val="none"/>
              </w:rPr>
              <w:t>设施设备安全运行、设施设备定期巡检、维护保养、维修档案</w:t>
            </w:r>
            <w:r>
              <w:rPr>
                <w:rFonts w:hint="default" w:ascii="Calibri" w:hAnsi="Calibri" w:eastAsia="宋体" w:cs="Calibri"/>
                <w:b w:val="0"/>
                <w:bCs w:val="0"/>
                <w:color w:val="auto"/>
                <w:kern w:val="0"/>
                <w:szCs w:val="21"/>
                <w:highlight w:val="none"/>
                <w:lang w:val="en-US" w:eastAsia="zh-CN"/>
              </w:rPr>
              <w:t>等。④</w:t>
            </w:r>
            <w:r>
              <w:rPr>
                <w:rFonts w:hint="eastAsia" w:cs="Calibri"/>
                <w:b w:val="0"/>
                <w:bCs w:val="0"/>
                <w:color w:val="auto"/>
                <w:kern w:val="0"/>
                <w:szCs w:val="21"/>
                <w:highlight w:val="none"/>
                <w:lang w:val="en-US" w:eastAsia="zh-CN"/>
              </w:rPr>
              <w:t>保安服务</w:t>
            </w:r>
            <w:r>
              <w:rPr>
                <w:rFonts w:hint="default" w:ascii="Calibri" w:hAnsi="Calibri" w:eastAsia="宋体" w:cs="Calibri"/>
                <w:b w:val="0"/>
                <w:bCs w:val="0"/>
                <w:color w:val="auto"/>
                <w:kern w:val="0"/>
                <w:szCs w:val="21"/>
                <w:highlight w:val="none"/>
                <w:lang w:val="en-US" w:eastAsia="zh-CN"/>
              </w:rPr>
              <w:t>：监控记录、突发事件演习与处置记录等。⑤保洁服务：工作日志、清洁检查表、用品清单、客户反馈表等。⑥绿化服务：绿化总平面图、清洁整改记录、消杀记录等。⑦其他：客户信息、财务明细、合同协议</w:t>
            </w:r>
            <w:r>
              <w:rPr>
                <w:rFonts w:hint="eastAsia"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信报</w:t>
            </w:r>
            <w:r>
              <w:rPr>
                <w:rFonts w:hint="eastAsia" w:eastAsia="宋体" w:cs="Calibri"/>
                <w:b w:val="0"/>
                <w:bCs w:val="0"/>
                <w:color w:val="auto"/>
                <w:kern w:val="0"/>
                <w:szCs w:val="21"/>
                <w:highlight w:val="none"/>
                <w:lang w:val="en-US" w:eastAsia="zh-CN"/>
              </w:rPr>
              <w:t>信息登记、大件物品进出登记</w:t>
            </w:r>
            <w:r>
              <w:rPr>
                <w:rFonts w:hint="default" w:ascii="Calibri" w:hAnsi="Calibri" w:eastAsia="宋体" w:cs="Calibri"/>
                <w:b w:val="0"/>
                <w:bCs w:val="0"/>
                <w:color w:val="auto"/>
                <w:kern w:val="0"/>
                <w:szCs w:val="21"/>
                <w:highlight w:val="none"/>
                <w:lang w:val="en-US" w:eastAsia="zh-CN"/>
              </w:rPr>
              <w:t>等。</w:t>
            </w:r>
          </w:p>
        </w:tc>
      </w:tr>
      <w:tr w14:paraId="42B79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noWrap w:val="0"/>
            <w:vAlign w:val="center"/>
          </w:tcPr>
          <w:p w14:paraId="6BA3AE5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Chars="0"/>
              <w:jc w:val="center"/>
              <w:textAlignment w:val="auto"/>
              <w:rPr>
                <w:rFonts w:hint="default" w:ascii="Calibri" w:hAnsi="Calibri" w:cs="Calibri"/>
                <w:highlight w:val="none"/>
                <w:lang w:val="en-US" w:eastAsia="zh-CN"/>
              </w:rPr>
            </w:pPr>
          </w:p>
        </w:tc>
        <w:tc>
          <w:tcPr>
            <w:tcW w:w="3297" w:type="dxa"/>
            <w:vMerge w:val="continue"/>
            <w:noWrap w:val="0"/>
            <w:vAlign w:val="center"/>
          </w:tcPr>
          <w:p w14:paraId="5BACA81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Chars="0"/>
              <w:textAlignment w:val="auto"/>
              <w:rPr>
                <w:rFonts w:hint="default" w:ascii="Calibri" w:hAnsi="Calibri" w:cs="Calibri"/>
                <w:highlight w:val="none"/>
                <w:lang w:val="en-US" w:eastAsia="zh-CN"/>
              </w:rPr>
            </w:pPr>
          </w:p>
        </w:tc>
        <w:tc>
          <w:tcPr>
            <w:tcW w:w="10016" w:type="dxa"/>
            <w:noWrap w:val="0"/>
            <w:vAlign w:val="center"/>
          </w:tcPr>
          <w:p w14:paraId="41333E4B">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（3）</w:t>
            </w:r>
            <w:r>
              <w:rPr>
                <w:rFonts w:hint="default" w:ascii="Calibri" w:hAnsi="Calibri" w:eastAsia="宋体" w:cs="Calibri"/>
                <w:b w:val="0"/>
                <w:bCs w:val="0"/>
                <w:color w:val="auto"/>
                <w:kern w:val="0"/>
                <w:szCs w:val="21"/>
                <w:highlight w:val="none"/>
                <w:lang w:val="en-US" w:eastAsia="zh-CN"/>
              </w:rPr>
              <w:t>遵守采购人的信息、档案资料保密要求，未经许可，不得将</w:t>
            </w:r>
            <w:r>
              <w:rPr>
                <w:rFonts w:hint="eastAsia" w:cs="Calibri"/>
                <w:b w:val="0"/>
                <w:bCs w:val="0"/>
                <w:color w:val="auto"/>
                <w:kern w:val="0"/>
                <w:szCs w:val="21"/>
                <w:highlight w:val="none"/>
                <w:lang w:val="en-US" w:eastAsia="zh-CN"/>
              </w:rPr>
              <w:t>建筑物平面图等</w:t>
            </w:r>
            <w:r>
              <w:rPr>
                <w:rFonts w:hint="default" w:ascii="Calibri" w:hAnsi="Calibri" w:eastAsia="宋体" w:cs="Calibri"/>
                <w:b w:val="0"/>
                <w:bCs w:val="0"/>
                <w:color w:val="auto"/>
                <w:kern w:val="0"/>
                <w:szCs w:val="21"/>
                <w:highlight w:val="none"/>
                <w:lang w:val="en-US" w:eastAsia="zh-CN"/>
              </w:rPr>
              <w:t>资料转作其他用途</w:t>
            </w:r>
            <w:r>
              <w:rPr>
                <w:rFonts w:hint="eastAsia" w:cs="Calibri"/>
                <w:b w:val="0"/>
                <w:bCs w:val="0"/>
                <w:color w:val="auto"/>
                <w:kern w:val="0"/>
                <w:szCs w:val="21"/>
                <w:highlight w:val="none"/>
                <w:lang w:val="en-US" w:eastAsia="zh-CN"/>
              </w:rPr>
              <w:t>或向其他单位、个人提供</w:t>
            </w:r>
            <w:r>
              <w:rPr>
                <w:rFonts w:hint="default" w:ascii="Calibri" w:hAnsi="Calibri" w:eastAsia="宋体" w:cs="Calibri"/>
                <w:b w:val="0"/>
                <w:bCs w:val="0"/>
                <w:color w:val="auto"/>
                <w:kern w:val="0"/>
                <w:szCs w:val="21"/>
                <w:highlight w:val="none"/>
                <w:lang w:val="en-US" w:eastAsia="zh-CN"/>
              </w:rPr>
              <w:t>。</w:t>
            </w:r>
          </w:p>
        </w:tc>
      </w:tr>
      <w:tr w14:paraId="4131F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noWrap w:val="0"/>
            <w:vAlign w:val="center"/>
          </w:tcPr>
          <w:p w14:paraId="4A8FEB4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Chars="0"/>
              <w:jc w:val="center"/>
              <w:textAlignment w:val="auto"/>
              <w:rPr>
                <w:rFonts w:hint="default" w:ascii="Calibri" w:hAnsi="Calibri" w:cs="Calibri"/>
                <w:highlight w:val="none"/>
                <w:lang w:val="en-US" w:eastAsia="zh-CN"/>
              </w:rPr>
            </w:pPr>
          </w:p>
        </w:tc>
        <w:tc>
          <w:tcPr>
            <w:tcW w:w="3297" w:type="dxa"/>
            <w:vMerge w:val="continue"/>
            <w:noWrap w:val="0"/>
            <w:vAlign w:val="center"/>
          </w:tcPr>
          <w:p w14:paraId="2CCCDBE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Chars="0"/>
              <w:textAlignment w:val="auto"/>
              <w:rPr>
                <w:rFonts w:hint="default" w:ascii="Calibri" w:hAnsi="Calibri" w:cs="Calibri"/>
                <w:highlight w:val="none"/>
                <w:lang w:val="en-US" w:eastAsia="zh-CN"/>
              </w:rPr>
            </w:pPr>
          </w:p>
        </w:tc>
        <w:tc>
          <w:tcPr>
            <w:tcW w:w="10016" w:type="dxa"/>
            <w:noWrap w:val="0"/>
            <w:vAlign w:val="center"/>
          </w:tcPr>
          <w:p w14:paraId="098FC86F">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（4）履约结束后，相关资料交还采购人，采购人按政府采购相关规定存档。</w:t>
            </w:r>
          </w:p>
        </w:tc>
      </w:tr>
      <w:tr w14:paraId="3F999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restart"/>
            <w:noWrap w:val="0"/>
            <w:vAlign w:val="center"/>
          </w:tcPr>
          <w:p w14:paraId="6FFF56C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highlight w:val="none"/>
                <w:lang w:val="en-US" w:eastAsia="zh-CN"/>
              </w:rPr>
            </w:pPr>
            <w:r>
              <w:rPr>
                <w:rFonts w:hint="eastAsia" w:cs="Calibri"/>
                <w:highlight w:val="none"/>
                <w:lang w:val="en-US" w:eastAsia="zh-CN"/>
              </w:rPr>
              <w:t>5</w:t>
            </w:r>
          </w:p>
        </w:tc>
        <w:tc>
          <w:tcPr>
            <w:tcW w:w="3297" w:type="dxa"/>
            <w:vMerge w:val="restart"/>
            <w:noWrap w:val="0"/>
            <w:vAlign w:val="center"/>
          </w:tcPr>
          <w:p w14:paraId="2A4A2E5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cs="Calibri"/>
                <w:highlight w:val="none"/>
                <w:lang w:val="en-US" w:eastAsia="zh-CN"/>
              </w:rPr>
            </w:pPr>
            <w:r>
              <w:rPr>
                <w:rFonts w:hint="default" w:ascii="Calibri" w:hAnsi="Calibri" w:cs="Calibri"/>
                <w:highlight w:val="none"/>
                <w:lang w:val="en-US" w:eastAsia="zh-CN"/>
              </w:rPr>
              <w:t>服务改进</w:t>
            </w:r>
          </w:p>
          <w:p w14:paraId="26E4479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cs="Calibri"/>
                <w:highlight w:val="none"/>
                <w:lang w:val="en-US" w:eastAsia="zh-CN"/>
              </w:rPr>
            </w:pPr>
          </w:p>
        </w:tc>
        <w:tc>
          <w:tcPr>
            <w:tcW w:w="10016" w:type="dxa"/>
            <w:noWrap w:val="0"/>
            <w:vAlign w:val="center"/>
          </w:tcPr>
          <w:p w14:paraId="10CBF8FB">
            <w:pPr>
              <w:keepNext w:val="0"/>
              <w:keepLines w:val="0"/>
              <w:pageBreakBefore w:val="0"/>
              <w:widowControl/>
              <w:kinsoku/>
              <w:wordWrap/>
              <w:overflowPunct/>
              <w:topLinePunct w:val="0"/>
              <w:autoSpaceDE/>
              <w:autoSpaceDN/>
              <w:bidi w:val="0"/>
              <w:adjustRightInd/>
              <w:snapToGrid w:val="0"/>
              <w:spacing w:line="300" w:lineRule="auto"/>
              <w:ind w:left="0" w:leftChars="0" w:firstLine="240" w:firstLineChars="100"/>
              <w:jc w:val="left"/>
              <w:textAlignment w:val="auto"/>
              <w:rPr>
                <w:rFonts w:hint="default" w:ascii="Calibri" w:hAnsi="Calibri" w:eastAsia="宋体" w:cs="Calibri"/>
                <w:b w:val="0"/>
                <w:bCs w:val="0"/>
                <w:color w:val="auto"/>
                <w:kern w:val="0"/>
                <w:sz w:val="21"/>
                <w:szCs w:val="21"/>
                <w:highlight w:val="none"/>
                <w:lang w:val="en-US" w:eastAsia="zh-CN" w:bidi="ar-SA"/>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（1）</w:t>
            </w:r>
            <w:r>
              <w:rPr>
                <w:rFonts w:hint="default" w:ascii="Calibri" w:hAnsi="Calibri" w:eastAsia="宋体" w:cs="Calibri"/>
                <w:b w:val="0"/>
                <w:bCs w:val="0"/>
                <w:color w:val="auto"/>
                <w:kern w:val="0"/>
                <w:szCs w:val="21"/>
                <w:highlight w:val="none"/>
                <w:lang w:val="en-US" w:eastAsia="zh-CN"/>
              </w:rPr>
              <w:t>明确负责人，定期对物业服务过程进行自查，结合反馈意见与评价结果采取改进措施，持续提升管理与服务水平。</w:t>
            </w:r>
          </w:p>
        </w:tc>
      </w:tr>
      <w:tr w14:paraId="446C3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noWrap w:val="0"/>
            <w:vAlign w:val="center"/>
          </w:tcPr>
          <w:p w14:paraId="4B7C7BB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Chars="0"/>
              <w:jc w:val="center"/>
              <w:textAlignment w:val="auto"/>
              <w:rPr>
                <w:rFonts w:hint="default" w:ascii="Calibri" w:hAnsi="Calibri" w:cs="Calibri"/>
                <w:highlight w:val="none"/>
                <w:lang w:val="en-US" w:eastAsia="zh-CN"/>
              </w:rPr>
            </w:pPr>
          </w:p>
        </w:tc>
        <w:tc>
          <w:tcPr>
            <w:tcW w:w="3297" w:type="dxa"/>
            <w:vMerge w:val="continue"/>
            <w:noWrap w:val="0"/>
            <w:vAlign w:val="center"/>
          </w:tcPr>
          <w:p w14:paraId="1B695A7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Chars="0"/>
              <w:textAlignment w:val="auto"/>
              <w:rPr>
                <w:rFonts w:hint="default" w:ascii="Calibri" w:hAnsi="Calibri" w:cs="Calibri"/>
                <w:highlight w:val="none"/>
                <w:lang w:val="en-US" w:eastAsia="zh-CN"/>
              </w:rPr>
            </w:pPr>
          </w:p>
        </w:tc>
        <w:tc>
          <w:tcPr>
            <w:tcW w:w="10016" w:type="dxa"/>
            <w:noWrap w:val="0"/>
            <w:vAlign w:val="center"/>
          </w:tcPr>
          <w:p w14:paraId="7E19AC49">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（2）</w:t>
            </w:r>
            <w:r>
              <w:rPr>
                <w:rFonts w:hint="default" w:ascii="Calibri" w:hAnsi="Calibri" w:eastAsia="宋体" w:cs="Calibri"/>
                <w:b w:val="0"/>
                <w:bCs w:val="0"/>
                <w:color w:val="auto"/>
                <w:kern w:val="0"/>
                <w:szCs w:val="21"/>
                <w:highlight w:val="none"/>
                <w:lang w:val="en-US" w:eastAsia="zh-CN"/>
              </w:rPr>
              <w:t>对不合格服务进行控制，对不合格服务的原因进行识别和分析，及时采取纠正措施，消除不合格的原因，防止不合格再发生。</w:t>
            </w:r>
          </w:p>
        </w:tc>
      </w:tr>
      <w:tr w14:paraId="4E94C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noWrap w:val="0"/>
            <w:vAlign w:val="center"/>
          </w:tcPr>
          <w:p w14:paraId="7B404BC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highlight w:val="none"/>
                <w:lang w:val="en-US" w:eastAsia="zh-CN"/>
              </w:rPr>
            </w:pPr>
          </w:p>
        </w:tc>
        <w:tc>
          <w:tcPr>
            <w:tcW w:w="3297" w:type="dxa"/>
            <w:vMerge w:val="continue"/>
            <w:noWrap w:val="0"/>
            <w:vAlign w:val="center"/>
          </w:tcPr>
          <w:p w14:paraId="17B1311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cs="Calibri"/>
                <w:highlight w:val="none"/>
                <w:lang w:val="en-US" w:eastAsia="zh-CN"/>
              </w:rPr>
            </w:pPr>
          </w:p>
        </w:tc>
        <w:tc>
          <w:tcPr>
            <w:tcW w:w="10016" w:type="dxa"/>
            <w:noWrap w:val="0"/>
            <w:vAlign w:val="center"/>
          </w:tcPr>
          <w:p w14:paraId="342D0E20">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（3）</w:t>
            </w:r>
            <w:r>
              <w:rPr>
                <w:rFonts w:hint="default" w:ascii="Calibri" w:hAnsi="Calibri" w:eastAsia="宋体" w:cs="Calibri"/>
                <w:b w:val="0"/>
                <w:bCs w:val="0"/>
                <w:color w:val="auto"/>
                <w:kern w:val="0"/>
                <w:szCs w:val="21"/>
                <w:highlight w:val="none"/>
                <w:lang w:val="en-US" w:eastAsia="zh-CN"/>
              </w:rPr>
              <w:t>需整改问题</w:t>
            </w:r>
            <w:r>
              <w:rPr>
                <w:rFonts w:hint="eastAsia" w:cs="Calibri"/>
                <w:b w:val="0"/>
                <w:bCs w:val="0"/>
                <w:color w:val="auto"/>
                <w:kern w:val="0"/>
                <w:szCs w:val="21"/>
                <w:highlight w:val="none"/>
                <w:lang w:val="en-US" w:eastAsia="zh-CN"/>
              </w:rPr>
              <w:t>及时</w:t>
            </w:r>
            <w:r>
              <w:rPr>
                <w:rFonts w:hint="default" w:ascii="Calibri" w:hAnsi="Calibri" w:eastAsia="宋体" w:cs="Calibri"/>
                <w:b w:val="0"/>
                <w:bCs w:val="0"/>
                <w:color w:val="auto"/>
                <w:kern w:val="0"/>
                <w:szCs w:val="21"/>
                <w:highlight w:val="none"/>
                <w:lang w:val="en-US" w:eastAsia="zh-CN"/>
              </w:rPr>
              <w:t>整改完成。</w:t>
            </w:r>
          </w:p>
        </w:tc>
      </w:tr>
      <w:tr w14:paraId="6FE81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restart"/>
            <w:noWrap w:val="0"/>
            <w:vAlign w:val="center"/>
          </w:tcPr>
          <w:p w14:paraId="5B14CCC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highlight w:val="none"/>
                <w:lang w:val="en-US" w:eastAsia="zh-CN"/>
              </w:rPr>
            </w:pPr>
            <w:r>
              <w:rPr>
                <w:rFonts w:hint="eastAsia" w:cs="Calibri"/>
                <w:highlight w:val="none"/>
                <w:lang w:val="en-US" w:eastAsia="zh-CN"/>
              </w:rPr>
              <w:t>6</w:t>
            </w:r>
          </w:p>
        </w:tc>
        <w:tc>
          <w:tcPr>
            <w:tcW w:w="3297" w:type="dxa"/>
            <w:vMerge w:val="restart"/>
            <w:noWrap w:val="0"/>
            <w:vAlign w:val="center"/>
          </w:tcPr>
          <w:p w14:paraId="19D78C6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default" w:ascii="Calibri" w:hAnsi="Calibri" w:eastAsia="宋体" w:cs="Calibri"/>
                <w:highlight w:val="none"/>
                <w:lang w:val="en-US" w:eastAsia="zh-CN"/>
              </w:rPr>
            </w:pPr>
            <w:r>
              <w:rPr>
                <w:rFonts w:hint="default" w:ascii="Calibri" w:hAnsi="Calibri" w:cs="Calibri"/>
                <w:highlight w:val="none"/>
              </w:rPr>
              <w:t>重大活动后勤保障</w:t>
            </w:r>
          </w:p>
        </w:tc>
        <w:tc>
          <w:tcPr>
            <w:tcW w:w="10016" w:type="dxa"/>
            <w:noWrap w:val="0"/>
            <w:vAlign w:val="center"/>
          </w:tcPr>
          <w:p w14:paraId="225060B6">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（1）</w:t>
            </w:r>
            <w:r>
              <w:rPr>
                <w:rFonts w:hint="default" w:ascii="Calibri" w:hAnsi="Calibri" w:eastAsia="宋体" w:cs="Calibri"/>
                <w:b w:val="0"/>
                <w:bCs w:val="0"/>
                <w:color w:val="auto"/>
                <w:kern w:val="0"/>
                <w:szCs w:val="21"/>
                <w:highlight w:val="none"/>
                <w:lang w:val="en-US" w:eastAsia="zh-CN"/>
              </w:rPr>
              <w:t>制订流程。配合采购人制订重大活动后勤保障工作流程，需对任务进行详细了解，并根据工作安排制定详细的后勤保障计划。</w:t>
            </w:r>
          </w:p>
        </w:tc>
      </w:tr>
      <w:tr w14:paraId="7BB2C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noWrap w:val="0"/>
            <w:vAlign w:val="center"/>
          </w:tcPr>
          <w:p w14:paraId="0DD30A01">
            <w:pPr>
              <w:keepNext w:val="0"/>
              <w:keepLines w:val="0"/>
              <w:pageBreakBefore w:val="0"/>
              <w:widowControl/>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highlight w:val="none"/>
                <w:lang w:val="en-US" w:eastAsia="zh-CN"/>
              </w:rPr>
            </w:pPr>
          </w:p>
        </w:tc>
        <w:tc>
          <w:tcPr>
            <w:tcW w:w="3297" w:type="dxa"/>
            <w:vMerge w:val="continue"/>
            <w:noWrap w:val="0"/>
            <w:vAlign w:val="center"/>
          </w:tcPr>
          <w:p w14:paraId="4504369C">
            <w:pPr>
              <w:keepNext w:val="0"/>
              <w:keepLines w:val="0"/>
              <w:pageBreakBefore w:val="0"/>
              <w:widowControl/>
              <w:kinsoku/>
              <w:wordWrap/>
              <w:overflowPunct/>
              <w:topLinePunct w:val="0"/>
              <w:autoSpaceDE/>
              <w:autoSpaceDN/>
              <w:bidi w:val="0"/>
              <w:adjustRightInd/>
              <w:snapToGrid w:val="0"/>
              <w:spacing w:line="300" w:lineRule="auto"/>
              <w:ind w:left="0" w:leftChars="0" w:firstLine="0" w:firstLineChars="0"/>
              <w:jc w:val="both"/>
              <w:textAlignment w:val="auto"/>
              <w:rPr>
                <w:rFonts w:hint="default" w:ascii="Calibri" w:hAnsi="Calibri" w:eastAsia="宋体" w:cs="Calibri"/>
                <w:highlight w:val="none"/>
                <w:lang w:val="en-US" w:eastAsia="zh-CN"/>
              </w:rPr>
            </w:pPr>
          </w:p>
        </w:tc>
        <w:tc>
          <w:tcPr>
            <w:tcW w:w="10016" w:type="dxa"/>
            <w:noWrap w:val="0"/>
            <w:vAlign w:val="center"/>
          </w:tcPr>
          <w:p w14:paraId="22F6AD79">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（2）</w:t>
            </w:r>
            <w:r>
              <w:rPr>
                <w:rFonts w:hint="default" w:ascii="Calibri" w:hAnsi="Calibri" w:eastAsia="宋体" w:cs="Calibri"/>
                <w:b w:val="0"/>
                <w:bCs w:val="0"/>
                <w:color w:val="auto"/>
                <w:kern w:val="0"/>
                <w:szCs w:val="21"/>
                <w:highlight w:val="none"/>
                <w:lang w:val="en-US" w:eastAsia="zh-CN"/>
              </w:rPr>
              <w:t>实施保障。按计划在关键区域和重点部位进行部署，确保任务顺利进行，对活动区域进行全面安全检查，发现并排除安全隐患，对车辆进行有序引导和管理，确保交通安全畅通，以礼貌、专业的态度对待来宾，展现良好形象。</w:t>
            </w:r>
          </w:p>
        </w:tc>
      </w:tr>
      <w:tr w14:paraId="3D1A0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noWrap w:val="0"/>
            <w:vAlign w:val="center"/>
          </w:tcPr>
          <w:p w14:paraId="0D33B980">
            <w:pPr>
              <w:keepNext w:val="0"/>
              <w:keepLines w:val="0"/>
              <w:pageBreakBefore w:val="0"/>
              <w:widowControl/>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highlight w:val="none"/>
                <w:lang w:val="en-US" w:eastAsia="zh-CN"/>
              </w:rPr>
            </w:pPr>
          </w:p>
        </w:tc>
        <w:tc>
          <w:tcPr>
            <w:tcW w:w="3297" w:type="dxa"/>
            <w:vMerge w:val="continue"/>
            <w:noWrap w:val="0"/>
            <w:vAlign w:val="center"/>
          </w:tcPr>
          <w:p w14:paraId="3AFAD96A">
            <w:pPr>
              <w:keepNext w:val="0"/>
              <w:keepLines w:val="0"/>
              <w:pageBreakBefore w:val="0"/>
              <w:widowControl/>
              <w:kinsoku/>
              <w:wordWrap/>
              <w:overflowPunct/>
              <w:topLinePunct w:val="0"/>
              <w:autoSpaceDE/>
              <w:autoSpaceDN/>
              <w:bidi w:val="0"/>
              <w:adjustRightInd/>
              <w:snapToGrid w:val="0"/>
              <w:spacing w:line="300" w:lineRule="auto"/>
              <w:ind w:left="0" w:leftChars="0" w:firstLine="0" w:firstLineChars="0"/>
              <w:jc w:val="both"/>
              <w:textAlignment w:val="auto"/>
              <w:rPr>
                <w:rFonts w:hint="default" w:ascii="Calibri" w:hAnsi="Calibri" w:eastAsia="宋体" w:cs="Calibri"/>
                <w:highlight w:val="none"/>
                <w:lang w:val="en-US" w:eastAsia="zh-CN"/>
              </w:rPr>
            </w:pPr>
          </w:p>
        </w:tc>
        <w:tc>
          <w:tcPr>
            <w:tcW w:w="10016" w:type="dxa"/>
            <w:noWrap w:val="0"/>
            <w:vAlign w:val="center"/>
          </w:tcPr>
          <w:p w14:paraId="2D7F33F2">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（3）</w:t>
            </w:r>
            <w:r>
              <w:rPr>
                <w:rFonts w:hint="default" w:ascii="Calibri" w:hAnsi="Calibri" w:eastAsia="宋体" w:cs="Calibri"/>
                <w:b w:val="0"/>
                <w:bCs w:val="0"/>
                <w:color w:val="auto"/>
                <w:kern w:val="0"/>
                <w:szCs w:val="21"/>
                <w:highlight w:val="none"/>
                <w:lang w:val="en-US" w:eastAsia="zh-CN"/>
              </w:rPr>
              <w:t>收尾工作。对现场进行检查，做好清理工作。</w:t>
            </w:r>
          </w:p>
        </w:tc>
      </w:tr>
      <w:tr w14:paraId="63BCF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restart"/>
            <w:noWrap w:val="0"/>
            <w:vAlign w:val="center"/>
          </w:tcPr>
          <w:p w14:paraId="4A66784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color w:val="auto"/>
                <w:kern w:val="0"/>
                <w:szCs w:val="21"/>
                <w:highlight w:val="none"/>
                <w:lang w:val="en-US" w:eastAsia="zh-CN"/>
              </w:rPr>
            </w:pPr>
            <w:r>
              <w:rPr>
                <w:rFonts w:hint="eastAsia" w:cs="Calibri"/>
                <w:color w:val="auto"/>
                <w:kern w:val="0"/>
                <w:szCs w:val="21"/>
                <w:highlight w:val="none"/>
                <w:lang w:val="en-US" w:eastAsia="zh-CN"/>
              </w:rPr>
              <w:t>7</w:t>
            </w:r>
          </w:p>
        </w:tc>
        <w:tc>
          <w:tcPr>
            <w:tcW w:w="3297" w:type="dxa"/>
            <w:vMerge w:val="restart"/>
            <w:noWrap w:val="0"/>
            <w:vAlign w:val="center"/>
          </w:tcPr>
          <w:p w14:paraId="6E9DFB9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default" w:ascii="Calibri" w:hAnsi="Calibri" w:eastAsia="宋体" w:cs="Calibri"/>
                <w:highlight w:val="none"/>
                <w:lang w:val="en-US" w:eastAsia="zh-CN"/>
              </w:rPr>
            </w:pPr>
            <w:r>
              <w:rPr>
                <w:rFonts w:hint="default" w:ascii="Calibri" w:hAnsi="Calibri" w:eastAsia="宋体" w:cs="Calibri"/>
                <w:color w:val="auto"/>
                <w:kern w:val="0"/>
                <w:szCs w:val="21"/>
                <w:highlight w:val="none"/>
                <w:lang w:val="en-US" w:eastAsia="zh-CN"/>
              </w:rPr>
              <w:t>应急保障预案</w:t>
            </w:r>
          </w:p>
        </w:tc>
        <w:tc>
          <w:tcPr>
            <w:tcW w:w="10016" w:type="dxa"/>
            <w:noWrap w:val="0"/>
            <w:vAlign w:val="center"/>
          </w:tcPr>
          <w:p w14:paraId="663A639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color w:val="auto"/>
                <w:szCs w:val="21"/>
                <w:highlight w:val="none"/>
                <w:u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（1）</w:t>
            </w:r>
            <w:r>
              <w:rPr>
                <w:rFonts w:hint="default" w:ascii="Calibri" w:hAnsi="Calibri" w:eastAsia="宋体" w:cs="Calibri"/>
                <w:color w:val="auto"/>
                <w:szCs w:val="21"/>
                <w:highlight w:val="none"/>
                <w:u w:val="none"/>
                <w:lang w:val="en-US" w:eastAsia="zh-CN"/>
              </w:rPr>
              <w:t>重点区域及安全隐患排查。结合项目的实际情况，对重点部位及危险隐患进行排查，并建立清单/台账；应</w:t>
            </w:r>
            <w:r>
              <w:rPr>
                <w:rFonts w:hint="eastAsia" w:cs="Calibri"/>
                <w:color w:val="auto"/>
                <w:szCs w:val="21"/>
                <w:highlight w:val="none"/>
                <w:u w:val="none"/>
                <w:lang w:val="en-US" w:eastAsia="zh-CN"/>
              </w:rPr>
              <w:t>当</w:t>
            </w:r>
            <w:r>
              <w:rPr>
                <w:rFonts w:hint="default" w:ascii="Calibri" w:hAnsi="Calibri" w:eastAsia="宋体" w:cs="Calibri"/>
                <w:color w:val="auto"/>
                <w:szCs w:val="21"/>
                <w:highlight w:val="none"/>
                <w:u w:val="none"/>
                <w:lang w:val="en-US" w:eastAsia="zh-CN"/>
              </w:rPr>
              <w:t>对危险隐患进行风险分析，制定相应措施进行控制或整改并定期监控；随着设施设备、服务内容的变化，及时更新清单/台账，使风险隐患始终处于受控状态</w:t>
            </w:r>
            <w:r>
              <w:rPr>
                <w:rFonts w:hint="eastAsia" w:cs="Calibri"/>
                <w:color w:val="auto"/>
                <w:szCs w:val="21"/>
                <w:highlight w:val="none"/>
                <w:u w:val="none"/>
                <w:lang w:val="en-US" w:eastAsia="zh-CN"/>
              </w:rPr>
              <w:t>。</w:t>
            </w:r>
          </w:p>
        </w:tc>
      </w:tr>
      <w:tr w14:paraId="6A57C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noWrap w:val="0"/>
            <w:vAlign w:val="center"/>
          </w:tcPr>
          <w:p w14:paraId="47B3E23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color w:val="auto"/>
                <w:kern w:val="0"/>
                <w:szCs w:val="21"/>
                <w:highlight w:val="none"/>
                <w:lang w:val="en-US" w:eastAsia="zh-CN"/>
              </w:rPr>
            </w:pPr>
          </w:p>
        </w:tc>
        <w:tc>
          <w:tcPr>
            <w:tcW w:w="3297" w:type="dxa"/>
            <w:vMerge w:val="continue"/>
            <w:noWrap w:val="0"/>
            <w:vAlign w:val="center"/>
          </w:tcPr>
          <w:p w14:paraId="0A10AAB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default" w:ascii="Calibri" w:hAnsi="Calibri" w:eastAsia="宋体" w:cs="Calibri"/>
                <w:color w:val="auto"/>
                <w:kern w:val="0"/>
                <w:szCs w:val="21"/>
                <w:highlight w:val="none"/>
                <w:lang w:val="en-US" w:eastAsia="zh-CN"/>
              </w:rPr>
            </w:pPr>
          </w:p>
        </w:tc>
        <w:tc>
          <w:tcPr>
            <w:tcW w:w="10016" w:type="dxa"/>
            <w:noWrap w:val="0"/>
            <w:vAlign w:val="center"/>
          </w:tcPr>
          <w:p w14:paraId="35E31B9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color w:val="auto"/>
                <w:szCs w:val="21"/>
                <w:highlight w:val="none"/>
                <w:u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（2）</w:t>
            </w:r>
            <w:r>
              <w:rPr>
                <w:rFonts w:hint="default" w:ascii="Calibri" w:hAnsi="Calibri" w:eastAsia="宋体" w:cs="Calibri"/>
                <w:color w:val="auto"/>
                <w:szCs w:val="21"/>
                <w:highlight w:val="none"/>
                <w:u w:val="none"/>
                <w:lang w:val="en-US" w:eastAsia="zh-CN"/>
              </w:rPr>
              <w:t>应急预案的建立。根据办公楼隐患排查的结果和实际情况，制定专项预案，包括但不限于：火情火警紧急处理应急预案、紧急疏散应急预案、</w:t>
            </w:r>
            <w:r>
              <w:rPr>
                <w:rFonts w:hint="eastAsia" w:cs="Calibri"/>
                <w:color w:val="auto"/>
                <w:szCs w:val="21"/>
                <w:highlight w:val="none"/>
                <w:u w:val="none"/>
                <w:lang w:val="en-US" w:eastAsia="zh-CN"/>
              </w:rPr>
              <w:t>停水</w:t>
            </w:r>
            <w:r>
              <w:rPr>
                <w:rFonts w:hint="default" w:ascii="Calibri" w:hAnsi="Calibri" w:eastAsia="宋体" w:cs="Calibri"/>
                <w:color w:val="auto"/>
                <w:szCs w:val="21"/>
                <w:highlight w:val="none"/>
                <w:u w:val="none"/>
                <w:lang w:val="en-US" w:eastAsia="zh-CN"/>
              </w:rPr>
              <w:t>停电应急预案、有限空间救援应急预案、高空作业救援应急预案、恶劣天气应对应急预案等</w:t>
            </w:r>
            <w:r>
              <w:rPr>
                <w:rFonts w:hint="eastAsia" w:cs="Calibri"/>
                <w:color w:val="auto"/>
                <w:szCs w:val="21"/>
                <w:highlight w:val="none"/>
                <w:u w:val="none"/>
                <w:lang w:val="en-US" w:eastAsia="zh-CN"/>
              </w:rPr>
              <w:t>。</w:t>
            </w:r>
          </w:p>
        </w:tc>
      </w:tr>
      <w:tr w14:paraId="0BD47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noWrap w:val="0"/>
            <w:vAlign w:val="center"/>
          </w:tcPr>
          <w:p w14:paraId="4B1419C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color w:val="auto"/>
                <w:kern w:val="0"/>
                <w:szCs w:val="21"/>
                <w:highlight w:val="none"/>
                <w:lang w:val="en-US" w:eastAsia="zh-CN"/>
              </w:rPr>
            </w:pPr>
          </w:p>
        </w:tc>
        <w:tc>
          <w:tcPr>
            <w:tcW w:w="3297" w:type="dxa"/>
            <w:vMerge w:val="continue"/>
            <w:noWrap w:val="0"/>
            <w:vAlign w:val="center"/>
          </w:tcPr>
          <w:p w14:paraId="6B75C85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default" w:ascii="Calibri" w:hAnsi="Calibri" w:eastAsia="宋体" w:cs="Calibri"/>
                <w:color w:val="auto"/>
                <w:kern w:val="0"/>
                <w:szCs w:val="21"/>
                <w:highlight w:val="none"/>
                <w:lang w:val="en-US" w:eastAsia="zh-CN"/>
              </w:rPr>
            </w:pPr>
          </w:p>
        </w:tc>
        <w:tc>
          <w:tcPr>
            <w:tcW w:w="10016" w:type="dxa"/>
            <w:noWrap w:val="0"/>
            <w:vAlign w:val="center"/>
          </w:tcPr>
          <w:p w14:paraId="7D283AD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color w:val="auto"/>
                <w:szCs w:val="21"/>
                <w:highlight w:val="none"/>
                <w:u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（3）</w:t>
            </w:r>
            <w:r>
              <w:rPr>
                <w:rFonts w:hint="default" w:ascii="Calibri" w:hAnsi="Calibri" w:eastAsia="宋体" w:cs="Calibri"/>
                <w:color w:val="auto"/>
                <w:szCs w:val="21"/>
                <w:highlight w:val="none"/>
                <w:u w:val="none"/>
                <w:lang w:val="en-US" w:eastAsia="zh-CN"/>
              </w:rPr>
              <w:t>应急预案的培训和演练。应急预案定期培训和演练，组织相关岗位每半年至少开展一次专项应急预案演练；留存培训及演练记录和影像资料，并对预案进行评价，确保与实际情况相结合</w:t>
            </w:r>
            <w:r>
              <w:rPr>
                <w:rFonts w:hint="eastAsia" w:cs="Calibri"/>
                <w:color w:val="auto"/>
                <w:szCs w:val="21"/>
                <w:highlight w:val="none"/>
                <w:u w:val="none"/>
                <w:lang w:val="en-US" w:eastAsia="zh-CN"/>
              </w:rPr>
              <w:t>。</w:t>
            </w:r>
          </w:p>
        </w:tc>
      </w:tr>
      <w:tr w14:paraId="36069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noWrap w:val="0"/>
            <w:vAlign w:val="center"/>
          </w:tcPr>
          <w:p w14:paraId="275151B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color w:val="auto"/>
                <w:kern w:val="0"/>
                <w:szCs w:val="21"/>
                <w:highlight w:val="none"/>
                <w:lang w:val="en-US" w:eastAsia="zh-CN"/>
              </w:rPr>
            </w:pPr>
          </w:p>
        </w:tc>
        <w:tc>
          <w:tcPr>
            <w:tcW w:w="3297" w:type="dxa"/>
            <w:vMerge w:val="continue"/>
            <w:noWrap w:val="0"/>
            <w:vAlign w:val="center"/>
          </w:tcPr>
          <w:p w14:paraId="4156327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default" w:ascii="Calibri" w:hAnsi="Calibri" w:eastAsia="宋体" w:cs="Calibri"/>
                <w:highlight w:val="none"/>
                <w:lang w:val="en-US" w:eastAsia="zh-CN"/>
              </w:rPr>
            </w:pPr>
          </w:p>
        </w:tc>
        <w:tc>
          <w:tcPr>
            <w:tcW w:w="10016" w:type="dxa"/>
            <w:noWrap w:val="0"/>
            <w:vAlign w:val="center"/>
          </w:tcPr>
          <w:p w14:paraId="39CEC56D">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（4）</w:t>
            </w:r>
            <w:r>
              <w:rPr>
                <w:rFonts w:hint="default" w:ascii="Calibri" w:hAnsi="Calibri" w:eastAsia="宋体" w:cs="Calibri"/>
                <w:color w:val="auto"/>
                <w:szCs w:val="21"/>
                <w:highlight w:val="none"/>
                <w:u w:val="none"/>
                <w:lang w:val="en-US" w:eastAsia="zh-CN"/>
              </w:rPr>
              <w:t>应急物资的管理。根据专项预案中的应对需要</w:t>
            </w:r>
            <w:r>
              <w:rPr>
                <w:rFonts w:hint="eastAsia" w:cs="Calibri"/>
                <w:color w:val="auto"/>
                <w:szCs w:val="21"/>
                <w:highlight w:val="none"/>
                <w:u w:val="none"/>
                <w:lang w:val="en-US" w:eastAsia="zh-CN"/>
              </w:rPr>
              <w:t>、</w:t>
            </w:r>
            <w:r>
              <w:rPr>
                <w:rFonts w:hint="default" w:ascii="Calibri" w:hAnsi="Calibri" w:eastAsia="宋体" w:cs="Calibri"/>
                <w:color w:val="auto"/>
                <w:szCs w:val="21"/>
                <w:highlight w:val="none"/>
                <w:u w:val="none"/>
                <w:lang w:val="en-US" w:eastAsia="zh-CN"/>
              </w:rPr>
              <w:t>必要的应急物资，建立清单或台账，并由专人定期对应急物资进行检查，</w:t>
            </w:r>
            <w:r>
              <w:rPr>
                <w:rFonts w:hint="eastAsia" w:cs="Calibri"/>
                <w:color w:val="auto"/>
                <w:szCs w:val="21"/>
                <w:highlight w:val="none"/>
                <w:u w:val="none"/>
                <w:lang w:val="en-US" w:eastAsia="zh-CN"/>
              </w:rPr>
              <w:t>如有应急物资不足，及时通知采购人购置齐全，</w:t>
            </w:r>
            <w:r>
              <w:rPr>
                <w:rFonts w:hint="default" w:ascii="Calibri" w:hAnsi="Calibri" w:eastAsia="宋体" w:cs="Calibri"/>
                <w:color w:val="auto"/>
                <w:szCs w:val="21"/>
                <w:highlight w:val="none"/>
                <w:u w:val="none"/>
                <w:lang w:val="en-US" w:eastAsia="zh-CN"/>
              </w:rPr>
              <w:t>确保能够随时正常使用。</w:t>
            </w:r>
          </w:p>
        </w:tc>
      </w:tr>
      <w:tr w14:paraId="3E82D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restart"/>
            <w:noWrap w:val="0"/>
            <w:vAlign w:val="center"/>
          </w:tcPr>
          <w:p w14:paraId="0A92F10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cs="Calibri"/>
                <w:highlight w:val="none"/>
                <w:lang w:val="en-US" w:eastAsia="zh-CN"/>
              </w:rPr>
            </w:pPr>
            <w:r>
              <w:rPr>
                <w:rFonts w:hint="eastAsia" w:cs="Calibri"/>
                <w:highlight w:val="none"/>
                <w:lang w:val="en-US" w:eastAsia="zh-CN"/>
              </w:rPr>
              <w:t>8</w:t>
            </w:r>
          </w:p>
        </w:tc>
        <w:tc>
          <w:tcPr>
            <w:tcW w:w="3297" w:type="dxa"/>
            <w:vMerge w:val="restart"/>
            <w:noWrap w:val="0"/>
            <w:vAlign w:val="center"/>
          </w:tcPr>
          <w:p w14:paraId="05E073D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default" w:ascii="Calibri" w:hAnsi="Calibri" w:cs="Calibri"/>
                <w:highlight w:val="none"/>
                <w:lang w:val="en-US" w:eastAsia="zh-CN"/>
              </w:rPr>
            </w:pPr>
            <w:r>
              <w:rPr>
                <w:rFonts w:hint="default" w:ascii="Calibri" w:hAnsi="Calibri" w:cs="Calibri"/>
                <w:highlight w:val="none"/>
                <w:lang w:val="en-US" w:eastAsia="zh-CN"/>
              </w:rPr>
              <w:t>服务方案</w:t>
            </w:r>
            <w:r>
              <w:rPr>
                <w:rFonts w:hint="eastAsia" w:cs="Calibri"/>
                <w:highlight w:val="none"/>
                <w:lang w:val="en-US" w:eastAsia="zh-CN"/>
              </w:rPr>
              <w:t>及工作制度</w:t>
            </w:r>
          </w:p>
        </w:tc>
        <w:tc>
          <w:tcPr>
            <w:tcW w:w="10016" w:type="dxa"/>
            <w:noWrap w:val="0"/>
            <w:vAlign w:val="center"/>
          </w:tcPr>
          <w:p w14:paraId="2C77BB7E">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bCs/>
                <w:color w:val="auto"/>
                <w:szCs w:val="21"/>
                <w:highlight w:val="none"/>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（1）制定工作制度，</w:t>
            </w:r>
            <w:r>
              <w:rPr>
                <w:rFonts w:hint="eastAsia" w:cs="Calibri"/>
                <w:bCs/>
                <w:color w:val="auto"/>
                <w:szCs w:val="21"/>
                <w:highlight w:val="none"/>
                <w:lang w:eastAsia="zh-CN"/>
              </w:rPr>
              <w:t>主要</w:t>
            </w:r>
            <w:r>
              <w:rPr>
                <w:rFonts w:hint="default" w:ascii="Calibri" w:hAnsi="Calibri" w:eastAsia="宋体" w:cs="Calibri"/>
                <w:bCs/>
                <w:color w:val="auto"/>
                <w:szCs w:val="21"/>
                <w:highlight w:val="none"/>
              </w:rPr>
              <w:t>包括：</w:t>
            </w:r>
            <w:r>
              <w:rPr>
                <w:rFonts w:hint="eastAsia" w:eastAsia="宋体" w:cs="Calibri"/>
                <w:bCs/>
                <w:color w:val="auto"/>
                <w:szCs w:val="21"/>
                <w:highlight w:val="none"/>
                <w:lang w:val="en-US" w:eastAsia="zh-CN"/>
              </w:rPr>
              <w:t>人员录用制度、</w:t>
            </w:r>
            <w:r>
              <w:rPr>
                <w:rFonts w:hint="default" w:ascii="Calibri" w:hAnsi="Calibri" w:eastAsia="宋体" w:cs="Calibri"/>
                <w:b w:val="0"/>
                <w:bCs w:val="0"/>
                <w:color w:val="auto"/>
                <w:kern w:val="0"/>
                <w:szCs w:val="21"/>
                <w:highlight w:val="none"/>
                <w:lang w:val="en-US" w:eastAsia="zh-CN"/>
              </w:rPr>
              <w:t>档案管理制度</w:t>
            </w:r>
            <w:r>
              <w:rPr>
                <w:rFonts w:hint="eastAsia" w:eastAsia="宋体" w:cs="Calibri"/>
                <w:b w:val="0"/>
                <w:bCs w:val="0"/>
                <w:color w:val="auto"/>
                <w:kern w:val="0"/>
                <w:szCs w:val="21"/>
                <w:highlight w:val="none"/>
                <w:lang w:val="en-US" w:eastAsia="zh-CN"/>
              </w:rPr>
              <w:t>、</w:t>
            </w:r>
            <w:r>
              <w:rPr>
                <w:rFonts w:hint="default" w:ascii="Calibri" w:hAnsi="Calibri" w:eastAsia="宋体" w:cs="Calibri"/>
                <w:bCs/>
                <w:color w:val="auto"/>
                <w:szCs w:val="21"/>
                <w:highlight w:val="none"/>
              </w:rPr>
              <w:t>物业服务管理制度</w:t>
            </w:r>
            <w:r>
              <w:rPr>
                <w:rFonts w:hint="eastAsia" w:eastAsia="宋体" w:cs="Calibri"/>
                <w:bCs/>
                <w:color w:val="auto"/>
                <w:szCs w:val="21"/>
                <w:highlight w:val="none"/>
                <w:lang w:eastAsia="zh-CN"/>
              </w:rPr>
              <w:t>、</w:t>
            </w:r>
            <w:r>
              <w:rPr>
                <w:rFonts w:hint="eastAsia" w:cs="Calibri"/>
                <w:b w:val="0"/>
                <w:bCs w:val="0"/>
                <w:color w:val="auto"/>
                <w:kern w:val="0"/>
                <w:szCs w:val="21"/>
                <w:highlight w:val="none"/>
                <w:lang w:val="en-US" w:eastAsia="zh-CN"/>
              </w:rPr>
              <w:t>公用设施设备</w:t>
            </w:r>
            <w:r>
              <w:rPr>
                <w:rFonts w:hint="eastAsia" w:ascii="Calibri" w:hAnsi="Calibri" w:eastAsia="宋体" w:cs="Calibri"/>
                <w:b w:val="0"/>
                <w:bCs w:val="0"/>
                <w:color w:val="auto"/>
                <w:kern w:val="0"/>
                <w:szCs w:val="21"/>
                <w:highlight w:val="none"/>
                <w:lang w:val="en-US" w:eastAsia="zh-CN"/>
              </w:rPr>
              <w:t>相关管理制度</w:t>
            </w:r>
            <w:r>
              <w:rPr>
                <w:rFonts w:hint="eastAsia" w:cs="Calibri"/>
                <w:b w:val="0"/>
                <w:bCs w:val="0"/>
                <w:color w:val="auto"/>
                <w:kern w:val="0"/>
                <w:szCs w:val="21"/>
                <w:highlight w:val="none"/>
                <w:lang w:val="en-US" w:eastAsia="zh-CN"/>
              </w:rPr>
              <w:t>等</w:t>
            </w:r>
            <w:r>
              <w:rPr>
                <w:rFonts w:hint="eastAsia" w:eastAsia="宋体" w:cs="Calibri"/>
                <w:bCs/>
                <w:color w:val="auto"/>
                <w:szCs w:val="21"/>
                <w:highlight w:val="none"/>
                <w:lang w:eastAsia="zh-CN"/>
              </w:rPr>
              <w:t>。</w:t>
            </w:r>
          </w:p>
        </w:tc>
      </w:tr>
      <w:tr w14:paraId="7271B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noWrap w:val="0"/>
            <w:vAlign w:val="center"/>
          </w:tcPr>
          <w:p w14:paraId="4635895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cs="Calibri"/>
                <w:highlight w:val="none"/>
                <w:lang w:val="en-US" w:eastAsia="zh-CN"/>
              </w:rPr>
            </w:pPr>
          </w:p>
        </w:tc>
        <w:tc>
          <w:tcPr>
            <w:tcW w:w="3297" w:type="dxa"/>
            <w:vMerge w:val="continue"/>
            <w:noWrap w:val="0"/>
            <w:vAlign w:val="center"/>
          </w:tcPr>
          <w:p w14:paraId="7A8379F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default" w:ascii="Calibri" w:hAnsi="Calibri" w:cs="Calibri"/>
                <w:highlight w:val="none"/>
                <w:lang w:val="en-US" w:eastAsia="zh-CN"/>
              </w:rPr>
            </w:pPr>
          </w:p>
        </w:tc>
        <w:tc>
          <w:tcPr>
            <w:tcW w:w="10016" w:type="dxa"/>
            <w:noWrap w:val="0"/>
            <w:vAlign w:val="center"/>
          </w:tcPr>
          <w:p w14:paraId="7DCF18FF">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（2）制定</w:t>
            </w:r>
            <w:r>
              <w:rPr>
                <w:rFonts w:hint="default" w:ascii="Calibri" w:hAnsi="Calibri" w:eastAsia="宋体" w:cs="Calibri"/>
                <w:bCs/>
                <w:color w:val="auto"/>
                <w:szCs w:val="21"/>
                <w:highlight w:val="none"/>
              </w:rPr>
              <w:t>项目实施方案</w:t>
            </w:r>
            <w:r>
              <w:rPr>
                <w:rFonts w:hint="eastAsia" w:cs="Calibri"/>
                <w:bCs/>
                <w:color w:val="auto"/>
                <w:szCs w:val="21"/>
                <w:highlight w:val="none"/>
                <w:lang w:eastAsia="zh-CN"/>
              </w:rPr>
              <w:t>，主要</w:t>
            </w:r>
            <w:r>
              <w:rPr>
                <w:rFonts w:hint="default" w:ascii="Calibri" w:hAnsi="Calibri" w:eastAsia="宋体" w:cs="Calibri"/>
                <w:bCs/>
                <w:color w:val="auto"/>
                <w:szCs w:val="21"/>
                <w:highlight w:val="none"/>
              </w:rPr>
              <w:t>包括：</w:t>
            </w:r>
            <w:r>
              <w:rPr>
                <w:rFonts w:hint="eastAsia" w:cs="Calibri"/>
                <w:bCs/>
                <w:color w:val="auto"/>
                <w:szCs w:val="21"/>
                <w:highlight w:val="none"/>
                <w:lang w:val="en-US" w:eastAsia="zh-CN"/>
              </w:rPr>
              <w:t>交接</w:t>
            </w:r>
            <w:r>
              <w:rPr>
                <w:rFonts w:hint="default" w:ascii="Calibri" w:hAnsi="Calibri" w:eastAsia="宋体" w:cs="Calibri"/>
                <w:bCs/>
                <w:color w:val="auto"/>
                <w:szCs w:val="21"/>
                <w:highlight w:val="none"/>
              </w:rPr>
              <w:t>方案、人员培训方案、人员稳定性方案、保密方案</w:t>
            </w:r>
            <w:r>
              <w:rPr>
                <w:rFonts w:hint="eastAsia" w:cs="Calibri"/>
                <w:bCs/>
                <w:color w:val="auto"/>
                <w:szCs w:val="21"/>
                <w:highlight w:val="none"/>
                <w:lang w:eastAsia="zh-CN"/>
              </w:rPr>
              <w:t>等</w:t>
            </w:r>
            <w:r>
              <w:rPr>
                <w:rFonts w:hint="default" w:ascii="Calibri" w:hAnsi="Calibri" w:eastAsia="宋体" w:cs="Calibri"/>
                <w:bCs/>
                <w:color w:val="auto"/>
                <w:szCs w:val="21"/>
                <w:highlight w:val="none"/>
              </w:rPr>
              <w:t>。</w:t>
            </w:r>
          </w:p>
        </w:tc>
      </w:tr>
      <w:tr w14:paraId="7639D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noWrap w:val="0"/>
            <w:vAlign w:val="center"/>
          </w:tcPr>
          <w:p w14:paraId="4874578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cs="Calibri"/>
                <w:highlight w:val="none"/>
                <w:lang w:val="en-US" w:eastAsia="zh-CN"/>
              </w:rPr>
            </w:pPr>
          </w:p>
        </w:tc>
        <w:tc>
          <w:tcPr>
            <w:tcW w:w="3297" w:type="dxa"/>
            <w:vMerge w:val="continue"/>
            <w:noWrap w:val="0"/>
            <w:vAlign w:val="center"/>
          </w:tcPr>
          <w:p w14:paraId="051908B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default" w:ascii="Calibri" w:hAnsi="Calibri" w:cs="Calibri"/>
                <w:highlight w:val="none"/>
                <w:lang w:val="en-US" w:eastAsia="zh-CN"/>
              </w:rPr>
            </w:pPr>
          </w:p>
        </w:tc>
        <w:tc>
          <w:tcPr>
            <w:tcW w:w="10016" w:type="dxa"/>
            <w:noWrap w:val="0"/>
            <w:vAlign w:val="center"/>
          </w:tcPr>
          <w:p w14:paraId="1369498E">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（3）制定</w:t>
            </w:r>
            <w:r>
              <w:rPr>
                <w:rFonts w:hint="default" w:ascii="Calibri" w:hAnsi="Calibri" w:eastAsia="宋体" w:cs="Calibri"/>
                <w:bCs/>
                <w:color w:val="auto"/>
                <w:szCs w:val="21"/>
                <w:highlight w:val="none"/>
              </w:rPr>
              <w:t>物业服务方案</w:t>
            </w:r>
            <w:r>
              <w:rPr>
                <w:rFonts w:hint="eastAsia" w:eastAsia="宋体" w:cs="Calibri"/>
                <w:bCs/>
                <w:color w:val="auto"/>
                <w:szCs w:val="21"/>
                <w:highlight w:val="none"/>
                <w:lang w:eastAsia="zh-CN"/>
              </w:rPr>
              <w:t>，主要</w:t>
            </w:r>
            <w:r>
              <w:rPr>
                <w:rFonts w:hint="default" w:ascii="Calibri" w:hAnsi="Calibri" w:eastAsia="宋体" w:cs="Calibri"/>
                <w:bCs/>
                <w:color w:val="auto"/>
                <w:szCs w:val="21"/>
                <w:highlight w:val="none"/>
              </w:rPr>
              <w:t>包括：</w:t>
            </w:r>
            <w:r>
              <w:rPr>
                <w:rFonts w:hint="eastAsia" w:cs="Calibri"/>
                <w:bCs/>
                <w:color w:val="auto"/>
                <w:szCs w:val="21"/>
                <w:highlight w:val="none"/>
                <w:lang w:val="en-US" w:eastAsia="zh-CN"/>
              </w:rPr>
              <w:t>房屋维护服务方案、公用设施设备维护服务方案、</w:t>
            </w:r>
            <w:r>
              <w:rPr>
                <w:rFonts w:hint="default" w:ascii="Calibri" w:hAnsi="Calibri" w:eastAsia="宋体" w:cs="Calibri"/>
                <w:bCs/>
                <w:color w:val="auto"/>
                <w:szCs w:val="21"/>
                <w:highlight w:val="none"/>
              </w:rPr>
              <w:t>绿化</w:t>
            </w:r>
            <w:r>
              <w:rPr>
                <w:rFonts w:hint="default" w:ascii="Calibri" w:hAnsi="Calibri" w:eastAsia="宋体" w:cs="Calibri"/>
                <w:bCs/>
                <w:color w:val="auto"/>
                <w:szCs w:val="21"/>
                <w:highlight w:val="none"/>
                <w:lang w:val="en-US" w:eastAsia="zh-CN"/>
              </w:rPr>
              <w:t>服务</w:t>
            </w:r>
            <w:r>
              <w:rPr>
                <w:rFonts w:hint="default" w:ascii="Calibri" w:hAnsi="Calibri" w:eastAsia="宋体" w:cs="Calibri"/>
                <w:bCs/>
                <w:color w:val="auto"/>
                <w:szCs w:val="21"/>
                <w:highlight w:val="none"/>
              </w:rPr>
              <w:t>方案</w:t>
            </w:r>
            <w:r>
              <w:rPr>
                <w:rFonts w:hint="eastAsia" w:eastAsia="宋体" w:cs="Calibri"/>
                <w:bCs/>
                <w:color w:val="auto"/>
                <w:szCs w:val="21"/>
                <w:highlight w:val="none"/>
                <w:lang w:eastAsia="zh-CN"/>
              </w:rPr>
              <w:t>、</w:t>
            </w:r>
            <w:r>
              <w:rPr>
                <w:rFonts w:hint="default" w:ascii="Calibri" w:hAnsi="Calibri" w:eastAsia="宋体" w:cs="Calibri"/>
                <w:bCs/>
                <w:color w:val="auto"/>
                <w:szCs w:val="21"/>
                <w:highlight w:val="none"/>
              </w:rPr>
              <w:t>保洁服务方案、</w:t>
            </w:r>
            <w:r>
              <w:rPr>
                <w:rFonts w:hint="eastAsia" w:eastAsia="宋体" w:cs="Calibri"/>
                <w:bCs/>
                <w:color w:val="auto"/>
                <w:szCs w:val="21"/>
                <w:highlight w:val="none"/>
                <w:lang w:val="en-US" w:eastAsia="zh-CN"/>
              </w:rPr>
              <w:t>保安</w:t>
            </w:r>
            <w:r>
              <w:rPr>
                <w:rFonts w:hint="default" w:ascii="Calibri" w:hAnsi="Calibri" w:eastAsia="宋体" w:cs="Calibri"/>
                <w:bCs/>
                <w:color w:val="auto"/>
                <w:szCs w:val="21"/>
                <w:highlight w:val="none"/>
              </w:rPr>
              <w:t>服务方案、会议服务方案</w:t>
            </w:r>
            <w:r>
              <w:rPr>
                <w:rFonts w:hint="eastAsia" w:cs="Calibri"/>
                <w:bCs/>
                <w:color w:val="auto"/>
                <w:szCs w:val="21"/>
                <w:highlight w:val="none"/>
                <w:lang w:val="en-US" w:eastAsia="zh-CN"/>
              </w:rPr>
              <w:t>等</w:t>
            </w:r>
            <w:r>
              <w:rPr>
                <w:rFonts w:hint="default" w:ascii="Calibri" w:hAnsi="Calibri" w:eastAsia="宋体" w:cs="Calibri"/>
                <w:bCs/>
                <w:color w:val="auto"/>
                <w:szCs w:val="21"/>
                <w:highlight w:val="none"/>
              </w:rPr>
              <w:t>。</w:t>
            </w:r>
          </w:p>
        </w:tc>
      </w:tr>
      <w:tr w14:paraId="25E9E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restart"/>
            <w:noWrap w:val="0"/>
            <w:vAlign w:val="center"/>
          </w:tcPr>
          <w:p w14:paraId="4702637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cs="Calibri"/>
                <w:highlight w:val="none"/>
                <w:lang w:val="en-US" w:eastAsia="zh-CN"/>
              </w:rPr>
            </w:pPr>
            <w:r>
              <w:rPr>
                <w:rFonts w:hint="eastAsia" w:cs="Calibri"/>
                <w:highlight w:val="none"/>
                <w:lang w:val="en-US" w:eastAsia="zh-CN"/>
              </w:rPr>
              <w:t>9</w:t>
            </w:r>
          </w:p>
        </w:tc>
        <w:tc>
          <w:tcPr>
            <w:tcW w:w="3297" w:type="dxa"/>
            <w:vMerge w:val="restart"/>
            <w:noWrap w:val="0"/>
            <w:vAlign w:val="center"/>
          </w:tcPr>
          <w:p w14:paraId="3750745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default" w:eastAsia="宋体"/>
                <w:highlight w:val="none"/>
                <w:lang w:val="en-US" w:eastAsia="zh-CN"/>
              </w:rPr>
            </w:pPr>
            <w:r>
              <w:rPr>
                <w:rFonts w:hint="default" w:eastAsia="宋体"/>
                <w:highlight w:val="none"/>
                <w:lang w:val="en-US" w:eastAsia="zh-CN"/>
              </w:rPr>
              <w:t>信报服务</w:t>
            </w:r>
          </w:p>
        </w:tc>
        <w:tc>
          <w:tcPr>
            <w:tcW w:w="10016" w:type="dxa"/>
            <w:noWrap w:val="0"/>
            <w:vAlign w:val="center"/>
          </w:tcPr>
          <w:p w14:paraId="66928F7B">
            <w:pPr>
              <w:keepNext w:val="0"/>
              <w:keepLines w:val="0"/>
              <w:pageBreakBefore w:val="0"/>
              <w:widowControl/>
              <w:kinsoku/>
              <w:wordWrap/>
              <w:overflowPunct/>
              <w:topLinePunct w:val="0"/>
              <w:autoSpaceDE/>
              <w:autoSpaceDN/>
              <w:bidi w:val="0"/>
              <w:adjustRightInd/>
              <w:snapToGrid w:val="0"/>
              <w:spacing w:line="300" w:lineRule="auto"/>
              <w:ind w:left="0" w:leftChars="0" w:firstLine="240" w:firstLineChars="100"/>
              <w:jc w:val="left"/>
              <w:textAlignment w:val="auto"/>
              <w:rPr>
                <w:rFonts w:hint="default" w:ascii="Calibri" w:hAnsi="Calibri" w:eastAsia="宋体" w:cs="Calibri"/>
                <w:b w:val="0"/>
                <w:bCs w:val="0"/>
                <w:color w:val="auto"/>
                <w:kern w:val="0"/>
                <w:sz w:val="21"/>
                <w:szCs w:val="21"/>
                <w:highlight w:val="none"/>
                <w:lang w:val="en-US" w:eastAsia="zh-CN" w:bidi="ar-SA"/>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对邮件、包裹和挂号信等进行</w:t>
            </w:r>
            <w:r>
              <w:rPr>
                <w:rFonts w:hint="eastAsia" w:cs="Calibri"/>
                <w:b w:val="0"/>
                <w:bCs w:val="0"/>
                <w:color w:val="auto"/>
                <w:kern w:val="0"/>
                <w:szCs w:val="21"/>
                <w:highlight w:val="none"/>
                <w:lang w:val="en-US" w:eastAsia="zh-CN"/>
              </w:rPr>
              <w:t>正确分理、</w:t>
            </w:r>
            <w:r>
              <w:rPr>
                <w:rFonts w:hint="eastAsia" w:ascii="Calibri" w:hAnsi="Calibri" w:eastAsia="宋体" w:cs="Calibri"/>
                <w:b w:val="0"/>
                <w:bCs w:val="0"/>
                <w:color w:val="auto"/>
                <w:kern w:val="0"/>
                <w:szCs w:val="21"/>
                <w:highlight w:val="none"/>
                <w:lang w:val="en-US" w:eastAsia="zh-CN"/>
              </w:rPr>
              <w:t>安全检查和防疫卫生检查</w:t>
            </w:r>
            <w:r>
              <w:rPr>
                <w:rFonts w:hint="eastAsia" w:cs="Calibri"/>
                <w:b w:val="0"/>
                <w:bCs w:val="0"/>
                <w:color w:val="auto"/>
                <w:kern w:val="0"/>
                <w:szCs w:val="21"/>
                <w:highlight w:val="none"/>
                <w:lang w:val="en-US" w:eastAsia="zh-CN"/>
              </w:rPr>
              <w:t>。</w:t>
            </w:r>
          </w:p>
        </w:tc>
      </w:tr>
      <w:tr w14:paraId="5C39C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noWrap w:val="0"/>
            <w:vAlign w:val="center"/>
          </w:tcPr>
          <w:p w14:paraId="63CF606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cs="Calibri"/>
                <w:highlight w:val="none"/>
                <w:lang w:val="en-US" w:eastAsia="zh-CN"/>
              </w:rPr>
            </w:pPr>
          </w:p>
        </w:tc>
        <w:tc>
          <w:tcPr>
            <w:tcW w:w="3297" w:type="dxa"/>
            <w:vMerge w:val="continue"/>
            <w:noWrap w:val="0"/>
            <w:vAlign w:val="center"/>
          </w:tcPr>
          <w:p w14:paraId="4987EF6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default" w:eastAsia="宋体"/>
                <w:highlight w:val="none"/>
                <w:lang w:val="en-US" w:eastAsia="zh-CN"/>
              </w:rPr>
            </w:pPr>
          </w:p>
        </w:tc>
        <w:tc>
          <w:tcPr>
            <w:tcW w:w="10016" w:type="dxa"/>
            <w:noWrap w:val="0"/>
            <w:vAlign w:val="center"/>
          </w:tcPr>
          <w:p w14:paraId="56342DA7">
            <w:pPr>
              <w:keepNext w:val="0"/>
              <w:keepLines w:val="0"/>
              <w:pageBreakBefore w:val="0"/>
              <w:widowControl/>
              <w:kinsoku/>
              <w:wordWrap/>
              <w:overflowPunct/>
              <w:topLinePunct w:val="0"/>
              <w:autoSpaceDE/>
              <w:autoSpaceDN/>
              <w:bidi w:val="0"/>
              <w:adjustRightInd/>
              <w:snapToGrid w:val="0"/>
              <w:spacing w:line="300" w:lineRule="auto"/>
              <w:ind w:left="0" w:leftChars="0" w:firstLine="240" w:firstLineChars="100"/>
              <w:jc w:val="left"/>
              <w:textAlignment w:val="auto"/>
              <w:rPr>
                <w:rFonts w:hint="default" w:ascii="Calibri" w:hAnsi="Calibri" w:eastAsia="宋体" w:cs="Calibri"/>
                <w:b w:val="0"/>
                <w:bCs w:val="0"/>
                <w:color w:val="auto"/>
                <w:kern w:val="0"/>
                <w:sz w:val="21"/>
                <w:szCs w:val="21"/>
                <w:highlight w:val="none"/>
                <w:lang w:val="en-US" w:eastAsia="zh-CN" w:bidi="ar-SA"/>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（2）</w:t>
            </w:r>
            <w:r>
              <w:rPr>
                <w:rFonts w:hint="eastAsia" w:ascii="Calibri" w:hAnsi="Calibri" w:eastAsia="宋体" w:cs="Calibri"/>
                <w:b w:val="0"/>
                <w:bCs w:val="0"/>
                <w:color w:val="auto"/>
                <w:kern w:val="0"/>
                <w:szCs w:val="21"/>
                <w:highlight w:val="none"/>
                <w:lang w:val="en-US" w:eastAsia="zh-CN"/>
              </w:rPr>
              <w:t>及时投送或通知收件人领取</w:t>
            </w:r>
            <w:r>
              <w:rPr>
                <w:rFonts w:hint="eastAsia" w:eastAsia="宋体" w:cs="Calibri"/>
                <w:b w:val="0"/>
                <w:bCs w:val="0"/>
                <w:color w:val="auto"/>
                <w:kern w:val="0"/>
                <w:szCs w:val="21"/>
                <w:highlight w:val="none"/>
                <w:lang w:val="en-US" w:eastAsia="zh-CN"/>
              </w:rPr>
              <w:t>。</w:t>
            </w:r>
          </w:p>
        </w:tc>
      </w:tr>
      <w:tr w14:paraId="3B890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noWrap w:val="0"/>
            <w:vAlign w:val="center"/>
          </w:tcPr>
          <w:p w14:paraId="27843AD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cs="Calibri"/>
                <w:highlight w:val="none"/>
                <w:lang w:val="en-US" w:eastAsia="zh-CN"/>
              </w:rPr>
            </w:pPr>
          </w:p>
        </w:tc>
        <w:tc>
          <w:tcPr>
            <w:tcW w:w="3297" w:type="dxa"/>
            <w:vMerge w:val="continue"/>
            <w:noWrap w:val="0"/>
            <w:vAlign w:val="center"/>
          </w:tcPr>
          <w:p w14:paraId="12F6CF1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default" w:eastAsia="宋体"/>
                <w:highlight w:val="none"/>
                <w:lang w:val="en-US" w:eastAsia="zh-CN"/>
              </w:rPr>
            </w:pPr>
          </w:p>
        </w:tc>
        <w:tc>
          <w:tcPr>
            <w:tcW w:w="10016" w:type="dxa"/>
            <w:noWrap w:val="0"/>
            <w:vAlign w:val="center"/>
          </w:tcPr>
          <w:p w14:paraId="1E4DCA4E">
            <w:pPr>
              <w:keepNext w:val="0"/>
              <w:keepLines w:val="0"/>
              <w:pageBreakBefore w:val="0"/>
              <w:widowControl/>
              <w:kinsoku/>
              <w:wordWrap/>
              <w:overflowPunct/>
              <w:topLinePunct w:val="0"/>
              <w:autoSpaceDE/>
              <w:autoSpaceDN/>
              <w:bidi w:val="0"/>
              <w:adjustRightInd/>
              <w:snapToGrid w:val="0"/>
              <w:spacing w:line="300" w:lineRule="auto"/>
              <w:ind w:left="0" w:leftChars="0" w:firstLine="240" w:firstLineChars="100"/>
              <w:jc w:val="left"/>
              <w:textAlignment w:val="auto"/>
              <w:rPr>
                <w:rFonts w:hint="default" w:ascii="Calibri" w:hAnsi="Calibri" w:eastAsia="宋体" w:cs="Calibri"/>
                <w:b w:val="0"/>
                <w:bCs w:val="0"/>
                <w:color w:val="auto"/>
                <w:kern w:val="0"/>
                <w:sz w:val="21"/>
                <w:szCs w:val="21"/>
                <w:highlight w:val="none"/>
                <w:lang w:val="en-US" w:eastAsia="zh-CN" w:bidi="ar-SA"/>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（3）</w:t>
            </w:r>
            <w:r>
              <w:rPr>
                <w:rFonts w:hint="default" w:ascii="Calibri" w:hAnsi="Calibri" w:eastAsia="宋体" w:cs="Calibri"/>
                <w:color w:val="auto"/>
                <w:szCs w:val="21"/>
                <w:highlight w:val="none"/>
                <w:u w:val="none"/>
              </w:rPr>
              <w:t>大件物品出入</w:t>
            </w:r>
            <w:r>
              <w:rPr>
                <w:rFonts w:hint="eastAsia" w:cs="Calibri"/>
                <w:color w:val="auto"/>
                <w:szCs w:val="21"/>
                <w:highlight w:val="none"/>
                <w:u w:val="none"/>
                <w:lang w:val="en-US" w:eastAsia="zh-CN"/>
              </w:rPr>
              <w:t>向采购人</w:t>
            </w:r>
            <w:r>
              <w:rPr>
                <w:rFonts w:hint="eastAsia" w:ascii="Calibri" w:hAnsi="Calibri" w:eastAsia="宋体" w:cs="Calibri"/>
                <w:color w:val="auto"/>
                <w:szCs w:val="21"/>
                <w:highlight w:val="none"/>
                <w:u w:val="none"/>
                <w:lang w:val="en-US" w:eastAsia="zh-CN"/>
              </w:rPr>
              <w:t>报告</w:t>
            </w:r>
            <w:r>
              <w:rPr>
                <w:rFonts w:hint="eastAsia" w:cs="Calibri"/>
                <w:color w:val="auto"/>
                <w:szCs w:val="21"/>
                <w:highlight w:val="none"/>
                <w:u w:val="none"/>
                <w:lang w:val="en-US" w:eastAsia="zh-CN"/>
              </w:rPr>
              <w:t>，待采购人确认无误后放行</w:t>
            </w:r>
            <w:r>
              <w:rPr>
                <w:rFonts w:hint="eastAsia" w:cs="Calibri"/>
                <w:color w:val="auto"/>
                <w:szCs w:val="21"/>
                <w:highlight w:val="none"/>
                <w:u w:val="none"/>
                <w:lang w:eastAsia="zh-CN"/>
              </w:rPr>
              <w:t>。</w:t>
            </w:r>
          </w:p>
        </w:tc>
      </w:tr>
      <w:tr w14:paraId="6585E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restart"/>
            <w:noWrap w:val="0"/>
            <w:vAlign w:val="center"/>
          </w:tcPr>
          <w:p w14:paraId="1D2EDA3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cs="Calibri"/>
                <w:highlight w:val="none"/>
                <w:lang w:val="en-US" w:eastAsia="zh-CN"/>
              </w:rPr>
            </w:pPr>
            <w:r>
              <w:rPr>
                <w:rFonts w:hint="eastAsia" w:cs="Calibri"/>
                <w:highlight w:val="none"/>
                <w:lang w:val="en-US" w:eastAsia="zh-CN"/>
              </w:rPr>
              <w:t>10</w:t>
            </w:r>
          </w:p>
        </w:tc>
        <w:tc>
          <w:tcPr>
            <w:tcW w:w="3297" w:type="dxa"/>
            <w:vMerge w:val="restart"/>
            <w:noWrap w:val="0"/>
            <w:vAlign w:val="center"/>
          </w:tcPr>
          <w:p w14:paraId="7344F3B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default" w:eastAsia="宋体"/>
                <w:highlight w:val="none"/>
                <w:lang w:val="en-US" w:eastAsia="zh-CN"/>
              </w:rPr>
            </w:pPr>
            <w:r>
              <w:rPr>
                <w:rFonts w:hint="default" w:eastAsia="宋体"/>
                <w:highlight w:val="none"/>
                <w:lang w:val="en-US" w:eastAsia="zh-CN"/>
              </w:rPr>
              <w:t>服务</w:t>
            </w:r>
            <w:r>
              <w:rPr>
                <w:rFonts w:hint="eastAsia"/>
                <w:highlight w:val="none"/>
                <w:lang w:val="en-US" w:eastAsia="zh-CN"/>
              </w:rPr>
              <w:t>热线及紧急维修</w:t>
            </w:r>
          </w:p>
        </w:tc>
        <w:tc>
          <w:tcPr>
            <w:tcW w:w="10016" w:type="dxa"/>
            <w:noWrap w:val="0"/>
            <w:vAlign w:val="center"/>
          </w:tcPr>
          <w:p w14:paraId="28C3F8E0">
            <w:pPr>
              <w:keepNext w:val="0"/>
              <w:keepLines w:val="0"/>
              <w:pageBreakBefore w:val="0"/>
              <w:widowControl/>
              <w:kinsoku/>
              <w:wordWrap/>
              <w:overflowPunct/>
              <w:topLinePunct w:val="0"/>
              <w:autoSpaceDE/>
              <w:autoSpaceDN/>
              <w:bidi w:val="0"/>
              <w:adjustRightInd/>
              <w:snapToGrid w:val="0"/>
              <w:spacing w:line="300" w:lineRule="auto"/>
              <w:ind w:left="0" w:leftChars="0" w:firstLine="24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设置</w:t>
            </w:r>
            <w:r>
              <w:rPr>
                <w:rFonts w:hint="eastAsia" w:eastAsia="宋体" w:cs="Calibri"/>
                <w:b w:val="0"/>
                <w:bCs w:val="0"/>
                <w:color w:val="auto"/>
                <w:kern w:val="0"/>
                <w:szCs w:val="21"/>
                <w:highlight w:val="none"/>
                <w:lang w:val="en-US" w:eastAsia="zh-CN"/>
              </w:rPr>
              <w:t>24小时</w:t>
            </w:r>
            <w:r>
              <w:rPr>
                <w:rFonts w:hint="eastAsia" w:ascii="Calibri" w:hAnsi="Calibri" w:eastAsia="宋体" w:cs="Calibri"/>
                <w:b w:val="0"/>
                <w:bCs w:val="0"/>
                <w:color w:val="auto"/>
                <w:kern w:val="0"/>
                <w:szCs w:val="21"/>
                <w:highlight w:val="none"/>
                <w:lang w:val="en-US" w:eastAsia="zh-CN"/>
              </w:rPr>
              <w:t>报修服务热线</w:t>
            </w:r>
            <w:r>
              <w:rPr>
                <w:rFonts w:hint="eastAsia" w:eastAsia="宋体" w:cs="Calibri"/>
                <w:b w:val="0"/>
                <w:bCs w:val="0"/>
                <w:color w:val="auto"/>
                <w:kern w:val="0"/>
                <w:szCs w:val="21"/>
                <w:highlight w:val="none"/>
                <w:lang w:val="en-US" w:eastAsia="zh-CN"/>
              </w:rPr>
              <w:t>。</w:t>
            </w:r>
          </w:p>
        </w:tc>
      </w:tr>
      <w:tr w14:paraId="1318E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noWrap w:val="0"/>
            <w:vAlign w:val="center"/>
          </w:tcPr>
          <w:p w14:paraId="017978C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cs="Calibri"/>
                <w:highlight w:val="none"/>
                <w:lang w:val="en-US" w:eastAsia="zh-CN"/>
              </w:rPr>
            </w:pPr>
          </w:p>
        </w:tc>
        <w:tc>
          <w:tcPr>
            <w:tcW w:w="3297" w:type="dxa"/>
            <w:vMerge w:val="continue"/>
            <w:noWrap w:val="0"/>
            <w:vAlign w:val="center"/>
          </w:tcPr>
          <w:p w14:paraId="71602D8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default" w:eastAsia="宋体"/>
                <w:highlight w:val="none"/>
                <w:lang w:val="en-US" w:eastAsia="zh-CN"/>
              </w:rPr>
            </w:pPr>
          </w:p>
        </w:tc>
        <w:tc>
          <w:tcPr>
            <w:tcW w:w="10016" w:type="dxa"/>
            <w:noWrap w:val="0"/>
            <w:vAlign w:val="center"/>
          </w:tcPr>
          <w:p w14:paraId="24264C63">
            <w:pPr>
              <w:keepNext w:val="0"/>
              <w:keepLines w:val="0"/>
              <w:pageBreakBefore w:val="0"/>
              <w:widowControl/>
              <w:kinsoku/>
              <w:wordWrap/>
              <w:overflowPunct/>
              <w:topLinePunct w:val="0"/>
              <w:autoSpaceDE/>
              <w:autoSpaceDN/>
              <w:bidi w:val="0"/>
              <w:adjustRightInd/>
              <w:snapToGrid w:val="0"/>
              <w:spacing w:line="300" w:lineRule="auto"/>
              <w:ind w:left="0" w:leftChars="0" w:firstLine="24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（2）</w:t>
            </w:r>
            <w:r>
              <w:rPr>
                <w:rFonts w:hint="default" w:ascii="Calibri" w:hAnsi="Calibri" w:eastAsia="宋体" w:cs="Calibri"/>
                <w:color w:val="auto"/>
                <w:szCs w:val="21"/>
                <w:highlight w:val="none"/>
                <w:u w:val="none"/>
                <w:lang w:val="en-US" w:eastAsia="zh-CN"/>
              </w:rPr>
              <w:t>紧急维修</w:t>
            </w:r>
            <w:r>
              <w:rPr>
                <w:rFonts w:hint="eastAsia" w:cs="Calibri"/>
                <w:color w:val="auto"/>
                <w:szCs w:val="21"/>
                <w:highlight w:val="none"/>
                <w:u w:val="none"/>
                <w:lang w:val="en-US" w:eastAsia="zh-CN"/>
              </w:rPr>
              <w:t>应当</w:t>
            </w:r>
            <w:r>
              <w:rPr>
                <w:rFonts w:hint="default" w:ascii="Calibri" w:hAnsi="Calibri" w:eastAsia="宋体" w:cs="Calibri"/>
                <w:color w:val="auto"/>
                <w:szCs w:val="21"/>
                <w:highlight w:val="none"/>
                <w:u w:val="none"/>
                <w:lang w:val="en-US" w:eastAsia="zh-CN"/>
              </w:rPr>
              <w:t>15分钟内到达现场</w:t>
            </w:r>
            <w:r>
              <w:rPr>
                <w:rFonts w:hint="eastAsia" w:eastAsia="宋体" w:cs="Calibri"/>
                <w:color w:val="auto"/>
                <w:szCs w:val="21"/>
                <w:highlight w:val="none"/>
                <w:u w:val="none"/>
                <w:lang w:val="en-US" w:eastAsia="zh-CN"/>
              </w:rPr>
              <w:t>，不间断维修直至修复。</w:t>
            </w:r>
          </w:p>
        </w:tc>
      </w:tr>
    </w:tbl>
    <w:p w14:paraId="519F8BE7">
      <w:pPr>
        <w:pStyle w:val="55"/>
        <w:pageBreakBefore w:val="0"/>
        <w:shd w:val="clear" w:color="auto" w:fill="auto"/>
        <w:kinsoku/>
        <w:wordWrap/>
        <w:overflowPunct/>
        <w:topLinePunct w:val="0"/>
        <w:bidi w:val="0"/>
        <w:spacing w:line="360" w:lineRule="auto"/>
        <w:ind w:firstLine="498" w:firstLineChars="177"/>
        <w:rPr>
          <w:rFonts w:hint="default" w:ascii="宋体" w:hAnsi="宋体" w:eastAsia="宋体" w:cs="宋体"/>
          <w:b/>
          <w:bCs/>
          <w:color w:val="auto"/>
          <w:kern w:val="44"/>
          <w:sz w:val="28"/>
          <w:szCs w:val="28"/>
          <w:highlight w:val="none"/>
          <w:lang w:val="en-US" w:eastAsia="zh-CN" w:bidi="ar-SA"/>
        </w:rPr>
      </w:pPr>
      <w:r>
        <w:rPr>
          <w:rFonts w:hint="eastAsia" w:ascii="宋体" w:hAnsi="宋体" w:eastAsia="宋体" w:cs="宋体"/>
          <w:b/>
          <w:bCs/>
          <w:color w:val="auto"/>
          <w:kern w:val="44"/>
          <w:sz w:val="28"/>
          <w:szCs w:val="28"/>
          <w:highlight w:val="none"/>
          <w:lang w:val="en-US" w:eastAsia="zh-CN" w:bidi="ar-SA"/>
        </w:rPr>
        <w:t>3.2</w:t>
      </w:r>
      <w:r>
        <w:rPr>
          <w:rFonts w:hint="default" w:ascii="宋体" w:hAnsi="宋体" w:eastAsia="宋体" w:cs="宋体"/>
          <w:b/>
          <w:bCs/>
          <w:color w:val="auto"/>
          <w:kern w:val="44"/>
          <w:sz w:val="28"/>
          <w:szCs w:val="28"/>
          <w:highlight w:val="none"/>
          <w:lang w:val="en-US" w:eastAsia="zh-CN" w:bidi="ar-SA"/>
        </w:rPr>
        <w:t>房屋维护服务</w:t>
      </w:r>
    </w:p>
    <w:tbl>
      <w:tblPr>
        <w:tblStyle w:val="3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943"/>
        <w:gridCol w:w="5853"/>
      </w:tblGrid>
      <w:tr w14:paraId="394A9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1" w:type="dxa"/>
            <w:noWrap w:val="0"/>
            <w:vAlign w:val="center"/>
          </w:tcPr>
          <w:p w14:paraId="105A7076">
            <w:pPr>
              <w:pageBreakBefore w:val="0"/>
              <w:widowControl/>
              <w:kinsoku/>
              <w:wordWrap/>
              <w:overflowPunct/>
              <w:topLinePunct w:val="0"/>
              <w:bidi w:val="0"/>
              <w:snapToGrid w:val="0"/>
              <w:spacing w:line="300" w:lineRule="auto"/>
              <w:ind w:left="0"/>
              <w:jc w:val="center"/>
              <w:rPr>
                <w:rFonts w:hint="eastAsia" w:ascii="Calibri" w:hAnsi="Calibri" w:eastAsia="宋体" w:cs="Calibri"/>
                <w:b/>
                <w:bCs/>
                <w:color w:val="auto"/>
                <w:kern w:val="0"/>
                <w:szCs w:val="21"/>
                <w:highlight w:val="none"/>
                <w:lang w:val="en-US" w:eastAsia="zh-CN"/>
              </w:rPr>
            </w:pPr>
            <w:r>
              <w:rPr>
                <w:rFonts w:hint="eastAsia" w:cs="Calibri"/>
                <w:b/>
                <w:bCs/>
                <w:color w:val="auto"/>
                <w:kern w:val="0"/>
                <w:szCs w:val="21"/>
                <w:highlight w:val="none"/>
                <w:lang w:val="en-US" w:eastAsia="zh-CN"/>
              </w:rPr>
              <w:t>序号</w:t>
            </w:r>
          </w:p>
        </w:tc>
        <w:tc>
          <w:tcPr>
            <w:tcW w:w="3319" w:type="dxa"/>
            <w:noWrap w:val="0"/>
            <w:vAlign w:val="center"/>
          </w:tcPr>
          <w:p w14:paraId="16B2B4EC">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Cs w:val="21"/>
                <w:highlight w:val="none"/>
              </w:rPr>
            </w:pPr>
            <w:r>
              <w:rPr>
                <w:rFonts w:hint="default" w:ascii="Calibri" w:hAnsi="Calibri" w:eastAsia="宋体" w:cs="Calibri"/>
                <w:b/>
                <w:bCs/>
                <w:color w:val="auto"/>
                <w:kern w:val="0"/>
                <w:szCs w:val="21"/>
                <w:highlight w:val="none"/>
              </w:rPr>
              <w:t>服务内容</w:t>
            </w:r>
          </w:p>
        </w:tc>
        <w:tc>
          <w:tcPr>
            <w:tcW w:w="10000" w:type="dxa"/>
            <w:noWrap w:val="0"/>
            <w:vAlign w:val="center"/>
          </w:tcPr>
          <w:p w14:paraId="6C729947">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Cs w:val="21"/>
                <w:highlight w:val="none"/>
                <w:lang w:val="en-US" w:eastAsia="zh-CN"/>
              </w:rPr>
            </w:pPr>
            <w:r>
              <w:rPr>
                <w:rFonts w:hint="eastAsia" w:cs="Calibri"/>
                <w:b/>
                <w:bCs/>
                <w:color w:val="auto"/>
                <w:kern w:val="0"/>
                <w:szCs w:val="21"/>
                <w:highlight w:val="none"/>
                <w:lang w:val="en-US" w:eastAsia="zh-CN"/>
              </w:rPr>
              <w:t>服务标准</w:t>
            </w:r>
          </w:p>
        </w:tc>
      </w:tr>
      <w:tr w14:paraId="13FF7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1" w:type="dxa"/>
            <w:vMerge w:val="restart"/>
            <w:noWrap w:val="0"/>
            <w:vAlign w:val="center"/>
          </w:tcPr>
          <w:p w14:paraId="702296C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r>
              <w:rPr>
                <w:rFonts w:hint="eastAsia"/>
                <w:highlight w:val="none"/>
                <w:lang w:val="en-US" w:eastAsia="zh-CN"/>
              </w:rPr>
              <w:t>1</w:t>
            </w:r>
          </w:p>
        </w:tc>
        <w:tc>
          <w:tcPr>
            <w:tcW w:w="3319" w:type="dxa"/>
            <w:vMerge w:val="restart"/>
            <w:noWrap w:val="0"/>
            <w:vAlign w:val="center"/>
          </w:tcPr>
          <w:p w14:paraId="4A72DE4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r>
              <w:rPr>
                <w:rFonts w:hint="eastAsia"/>
                <w:b w:val="0"/>
                <w:bCs w:val="0"/>
                <w:color w:val="auto"/>
              </w:rPr>
              <w:t>主体结构、围护结构、部品部件</w:t>
            </w:r>
          </w:p>
        </w:tc>
        <w:tc>
          <w:tcPr>
            <w:tcW w:w="10000" w:type="dxa"/>
            <w:noWrap w:val="0"/>
            <w:vAlign w:val="center"/>
          </w:tcPr>
          <w:p w14:paraId="417E2B73">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（1）</w:t>
            </w:r>
            <w:r>
              <w:rPr>
                <w:rFonts w:hint="default" w:ascii="Calibri" w:hAnsi="Calibri" w:eastAsia="宋体" w:cs="Calibri"/>
                <w:b w:val="0"/>
                <w:bCs w:val="0"/>
                <w:color w:val="auto"/>
                <w:kern w:val="0"/>
                <w:szCs w:val="21"/>
                <w:highlight w:val="none"/>
                <w:lang w:val="en-US" w:eastAsia="zh-CN"/>
              </w:rPr>
              <w:t>每季度至少</w:t>
            </w:r>
            <w:r>
              <w:rPr>
                <w:rFonts w:hint="eastAsia" w:eastAsia="宋体" w:cs="Calibri"/>
                <w:b w:val="0"/>
                <w:bCs w:val="0"/>
                <w:color w:val="auto"/>
                <w:kern w:val="0"/>
                <w:szCs w:val="21"/>
                <w:highlight w:val="none"/>
                <w:lang w:val="en-US" w:eastAsia="zh-CN"/>
              </w:rPr>
              <w:t>开展</w:t>
            </w:r>
            <w:r>
              <w:rPr>
                <w:rFonts w:hint="default" w:ascii="Calibri" w:hAnsi="Calibri" w:eastAsia="宋体" w:cs="Calibri"/>
                <w:b w:val="0"/>
                <w:bCs w:val="0"/>
                <w:color w:val="auto"/>
                <w:kern w:val="0"/>
                <w:szCs w:val="21"/>
                <w:highlight w:val="none"/>
                <w:lang w:val="en-US" w:eastAsia="zh-CN"/>
              </w:rPr>
              <w:t>1次</w:t>
            </w:r>
            <w:r>
              <w:rPr>
                <w:rFonts w:hint="eastAsia" w:cs="Calibri"/>
                <w:b w:val="0"/>
                <w:bCs w:val="0"/>
                <w:color w:val="auto"/>
                <w:kern w:val="0"/>
                <w:szCs w:val="21"/>
                <w:highlight w:val="none"/>
                <w:lang w:val="en-US" w:eastAsia="zh-CN"/>
              </w:rPr>
              <w:t>房屋结构安全</w:t>
            </w:r>
            <w:r>
              <w:rPr>
                <w:rFonts w:hint="default" w:ascii="Calibri" w:hAnsi="Calibri" w:eastAsia="宋体" w:cs="Calibri"/>
                <w:b w:val="0"/>
                <w:bCs w:val="0"/>
                <w:color w:val="auto"/>
                <w:kern w:val="0"/>
                <w:szCs w:val="21"/>
                <w:highlight w:val="none"/>
                <w:lang w:val="en-US" w:eastAsia="zh-CN"/>
              </w:rPr>
              <w:t>巡视</w:t>
            </w:r>
            <w:r>
              <w:rPr>
                <w:rFonts w:hint="eastAsia" w:ascii="Calibri" w:hAnsi="Calibri" w:eastAsia="宋体" w:cs="Calibri"/>
                <w:b w:val="0"/>
                <w:bCs w:val="0"/>
                <w:color w:val="auto"/>
                <w:kern w:val="0"/>
                <w:szCs w:val="21"/>
                <w:highlight w:val="none"/>
                <w:lang w:val="en-US" w:eastAsia="zh-CN"/>
              </w:rPr>
              <w:t>，</w:t>
            </w:r>
            <w:r>
              <w:rPr>
                <w:rFonts w:hint="default" w:ascii="Calibri" w:hAnsi="Calibri" w:eastAsia="宋体" w:cs="Calibri"/>
                <w:b w:val="0"/>
                <w:bCs w:val="0"/>
                <w:color w:val="auto"/>
                <w:kern w:val="0"/>
                <w:szCs w:val="21"/>
                <w:highlight w:val="none"/>
                <w:lang w:val="en-US" w:eastAsia="zh-CN"/>
              </w:rPr>
              <w:t>发现外观有变形、开裂等现象</w:t>
            </w:r>
            <w:r>
              <w:rPr>
                <w:rFonts w:hint="eastAsia" w:ascii="Calibri" w:hAnsi="Calibri" w:eastAsia="宋体" w:cs="Calibri"/>
                <w:b w:val="0"/>
                <w:bCs w:val="0"/>
                <w:color w:val="auto"/>
                <w:kern w:val="0"/>
                <w:szCs w:val="21"/>
                <w:highlight w:val="none"/>
                <w:lang w:val="en-US" w:eastAsia="zh-CN"/>
              </w:rPr>
              <w:t>，</w:t>
            </w:r>
            <w:r>
              <w:rPr>
                <w:rFonts w:hint="eastAsia" w:cs="Calibri"/>
                <w:b w:val="0"/>
                <w:bCs w:val="0"/>
                <w:color w:val="auto"/>
                <w:kern w:val="0"/>
                <w:szCs w:val="21"/>
                <w:highlight w:val="none"/>
                <w:lang w:val="en-US" w:eastAsia="zh-CN"/>
              </w:rPr>
              <w:t>及时</w:t>
            </w:r>
            <w:r>
              <w:rPr>
                <w:rFonts w:hint="default" w:ascii="Calibri" w:hAnsi="Calibri" w:eastAsia="宋体" w:cs="Calibri"/>
                <w:b w:val="0"/>
                <w:bCs w:val="0"/>
                <w:color w:val="auto"/>
                <w:kern w:val="0"/>
                <w:szCs w:val="21"/>
                <w:highlight w:val="none"/>
                <w:lang w:val="en-US" w:eastAsia="zh-CN"/>
              </w:rPr>
              <w:t>建议</w:t>
            </w:r>
            <w:r>
              <w:rPr>
                <w:rFonts w:hint="eastAsia" w:eastAsia="宋体" w:cs="Calibri"/>
                <w:b w:val="0"/>
                <w:bCs w:val="0"/>
                <w:color w:val="auto"/>
                <w:kern w:val="0"/>
                <w:szCs w:val="21"/>
                <w:highlight w:val="none"/>
                <w:lang w:val="en-US" w:eastAsia="zh-CN"/>
              </w:rPr>
              <w:t>采购人</w:t>
            </w:r>
            <w:r>
              <w:rPr>
                <w:rFonts w:hint="default" w:ascii="Calibri" w:hAnsi="Calibri" w:eastAsia="宋体" w:cs="Calibri"/>
                <w:b w:val="0"/>
                <w:bCs w:val="0"/>
                <w:color w:val="auto"/>
                <w:kern w:val="0"/>
                <w:szCs w:val="21"/>
                <w:highlight w:val="none"/>
                <w:lang w:val="en-US" w:eastAsia="zh-CN"/>
              </w:rPr>
              <w:t>申请房屋安全鉴定</w:t>
            </w:r>
            <w:r>
              <w:rPr>
                <w:rFonts w:hint="eastAsia" w:ascii="Calibri" w:hAnsi="Calibri" w:eastAsia="宋体" w:cs="Calibri"/>
                <w:b w:val="0"/>
                <w:bCs w:val="0"/>
                <w:color w:val="auto"/>
                <w:kern w:val="0"/>
                <w:szCs w:val="21"/>
                <w:highlight w:val="none"/>
                <w:lang w:val="en-US" w:eastAsia="zh-CN"/>
              </w:rPr>
              <w:t>，</w:t>
            </w:r>
            <w:r>
              <w:rPr>
                <w:rFonts w:hint="default" w:ascii="Calibri" w:hAnsi="Calibri" w:eastAsia="宋体" w:cs="Calibri"/>
                <w:b w:val="0"/>
                <w:bCs w:val="0"/>
                <w:color w:val="auto"/>
                <w:kern w:val="0"/>
                <w:szCs w:val="21"/>
                <w:highlight w:val="none"/>
                <w:lang w:val="en-US" w:eastAsia="zh-CN"/>
              </w:rPr>
              <w:t>并采取必要的避险和防护措施</w:t>
            </w:r>
            <w:r>
              <w:rPr>
                <w:rFonts w:hint="eastAsia" w:eastAsia="宋体" w:cs="Calibri"/>
                <w:b w:val="0"/>
                <w:bCs w:val="0"/>
                <w:color w:val="auto"/>
                <w:kern w:val="0"/>
                <w:szCs w:val="21"/>
                <w:highlight w:val="none"/>
                <w:lang w:val="en-US" w:eastAsia="zh-CN"/>
              </w:rPr>
              <w:t>。</w:t>
            </w:r>
          </w:p>
        </w:tc>
      </w:tr>
      <w:tr w14:paraId="0ACC9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1" w:type="dxa"/>
            <w:vMerge w:val="continue"/>
            <w:noWrap w:val="0"/>
            <w:vAlign w:val="center"/>
          </w:tcPr>
          <w:p w14:paraId="60896F2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19" w:type="dxa"/>
            <w:vMerge w:val="continue"/>
            <w:noWrap w:val="0"/>
            <w:vAlign w:val="center"/>
          </w:tcPr>
          <w:p w14:paraId="2C27231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eastAsia="宋体"/>
                <w:highlight w:val="none"/>
                <w:lang w:val="en-US" w:eastAsia="zh-CN"/>
              </w:rPr>
            </w:pPr>
          </w:p>
        </w:tc>
        <w:tc>
          <w:tcPr>
            <w:tcW w:w="10000" w:type="dxa"/>
            <w:noWrap w:val="0"/>
            <w:vAlign w:val="center"/>
          </w:tcPr>
          <w:p w14:paraId="1338C80A">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（2）</w:t>
            </w:r>
            <w:r>
              <w:rPr>
                <w:rFonts w:hint="eastAsia" w:ascii="Calibri" w:hAnsi="Calibri" w:eastAsia="宋体" w:cs="Calibri"/>
                <w:b w:val="0"/>
                <w:bCs w:val="0"/>
                <w:color w:val="auto"/>
                <w:kern w:val="0"/>
                <w:szCs w:val="21"/>
                <w:highlight w:val="none"/>
                <w:lang w:val="en-US" w:eastAsia="zh-CN"/>
              </w:rPr>
              <w:t>每季度至少</w:t>
            </w:r>
            <w:r>
              <w:rPr>
                <w:rFonts w:hint="eastAsia" w:eastAsia="宋体" w:cs="Calibri"/>
                <w:b w:val="0"/>
                <w:bCs w:val="0"/>
                <w:color w:val="auto"/>
                <w:kern w:val="0"/>
                <w:szCs w:val="21"/>
                <w:highlight w:val="none"/>
                <w:lang w:val="en-US" w:eastAsia="zh-CN"/>
              </w:rPr>
              <w:t>开展</w:t>
            </w:r>
            <w:r>
              <w:rPr>
                <w:rFonts w:hint="eastAsia" w:ascii="Calibri" w:hAnsi="Calibri" w:eastAsia="宋体" w:cs="Calibri"/>
                <w:b w:val="0"/>
                <w:bCs w:val="0"/>
                <w:color w:val="auto"/>
                <w:kern w:val="0"/>
                <w:szCs w:val="21"/>
                <w:highlight w:val="none"/>
                <w:lang w:val="en-US" w:eastAsia="zh-CN"/>
              </w:rPr>
              <w:t>1</w:t>
            </w:r>
            <w:r>
              <w:rPr>
                <w:rFonts w:hint="default" w:ascii="Calibri" w:hAnsi="Calibri" w:eastAsia="宋体" w:cs="Calibri"/>
                <w:b w:val="0"/>
                <w:bCs w:val="0"/>
                <w:color w:val="auto"/>
                <w:kern w:val="0"/>
                <w:szCs w:val="21"/>
                <w:highlight w:val="none"/>
                <w:lang w:val="en-US" w:eastAsia="zh-CN"/>
              </w:rPr>
              <w:t>次外墙贴饰面、幕墙玻璃、雨篷、散水、空调室外机支撑构件等</w:t>
            </w:r>
            <w:r>
              <w:rPr>
                <w:rFonts w:hint="eastAsia" w:eastAsia="宋体" w:cs="Calibri"/>
                <w:b w:val="0"/>
                <w:bCs w:val="0"/>
                <w:color w:val="auto"/>
                <w:kern w:val="0"/>
                <w:szCs w:val="21"/>
                <w:highlight w:val="none"/>
                <w:lang w:val="en-US" w:eastAsia="zh-CN"/>
              </w:rPr>
              <w:t>检查，发现破损，及时向采购人报告，按采购人要求出具维修方案，待采购人同意后按维修方案实施维修。</w:t>
            </w:r>
          </w:p>
        </w:tc>
      </w:tr>
      <w:tr w14:paraId="041BC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1" w:type="dxa"/>
            <w:vMerge w:val="continue"/>
            <w:noWrap w:val="0"/>
            <w:vAlign w:val="center"/>
          </w:tcPr>
          <w:p w14:paraId="085E8AA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p>
        </w:tc>
        <w:tc>
          <w:tcPr>
            <w:tcW w:w="3319" w:type="dxa"/>
            <w:vMerge w:val="continue"/>
            <w:noWrap w:val="0"/>
            <w:vAlign w:val="center"/>
          </w:tcPr>
          <w:p w14:paraId="7B9B23C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10000" w:type="dxa"/>
            <w:noWrap w:val="0"/>
            <w:vAlign w:val="center"/>
          </w:tcPr>
          <w:p w14:paraId="24175AEC">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（3）</w:t>
            </w:r>
            <w:r>
              <w:rPr>
                <w:rFonts w:hint="default" w:ascii="Calibri" w:hAnsi="Calibri" w:eastAsia="宋体" w:cs="Calibri"/>
                <w:b w:val="0"/>
                <w:bCs w:val="0"/>
                <w:color w:val="auto"/>
                <w:kern w:val="0"/>
                <w:szCs w:val="21"/>
                <w:highlight w:val="none"/>
                <w:lang w:val="en-US" w:eastAsia="zh-CN"/>
              </w:rPr>
              <w:t>每半月至少</w:t>
            </w:r>
            <w:r>
              <w:rPr>
                <w:rFonts w:hint="eastAsia" w:eastAsia="宋体" w:cs="Calibri"/>
                <w:b w:val="0"/>
                <w:bCs w:val="0"/>
                <w:color w:val="auto"/>
                <w:kern w:val="0"/>
                <w:szCs w:val="21"/>
                <w:highlight w:val="none"/>
                <w:lang w:val="en-US" w:eastAsia="zh-CN"/>
              </w:rPr>
              <w:t>开展</w:t>
            </w:r>
            <w:r>
              <w:rPr>
                <w:rFonts w:hint="default" w:ascii="Calibri" w:hAnsi="Calibri" w:eastAsia="宋体" w:cs="Calibri"/>
                <w:b w:val="0"/>
                <w:bCs w:val="0"/>
                <w:color w:val="auto"/>
                <w:kern w:val="0"/>
                <w:szCs w:val="21"/>
                <w:highlight w:val="none"/>
                <w:lang w:val="en-US" w:eastAsia="zh-CN"/>
              </w:rPr>
              <w:t>1次公用部位的门、窗、楼梯、通风道</w:t>
            </w:r>
            <w:r>
              <w:rPr>
                <w:rFonts w:hint="eastAsia" w:eastAsia="宋体" w:cs="Calibri"/>
                <w:b w:val="0"/>
                <w:bCs w:val="0"/>
                <w:color w:val="auto"/>
                <w:kern w:val="0"/>
                <w:szCs w:val="21"/>
                <w:highlight w:val="none"/>
                <w:lang w:val="en-US" w:eastAsia="zh-CN"/>
              </w:rPr>
              <w:t>、</w:t>
            </w:r>
            <w:r>
              <w:rPr>
                <w:rFonts w:hint="default" w:ascii="Calibri" w:hAnsi="Calibri" w:eastAsia="宋体" w:cs="Calibri"/>
                <w:b w:val="0"/>
                <w:bCs w:val="0"/>
                <w:color w:val="auto"/>
                <w:kern w:val="0"/>
                <w:szCs w:val="21"/>
                <w:highlight w:val="none"/>
                <w:lang w:val="en-US" w:eastAsia="zh-CN"/>
              </w:rPr>
              <w:t>室内地面、墙面、吊顶和室外屋面等巡查</w:t>
            </w:r>
            <w:r>
              <w:rPr>
                <w:rFonts w:hint="eastAsia" w:eastAsia="宋体" w:cs="Calibri"/>
                <w:b w:val="0"/>
                <w:bCs w:val="0"/>
                <w:color w:val="auto"/>
                <w:kern w:val="0"/>
                <w:szCs w:val="21"/>
                <w:highlight w:val="none"/>
                <w:lang w:val="en-US" w:eastAsia="zh-CN"/>
              </w:rPr>
              <w:t>，发现破损，及时向采购人报告，按采购人要求出具维修方案，待采购人同意后按维修方案实施维修。</w:t>
            </w:r>
          </w:p>
        </w:tc>
      </w:tr>
      <w:tr w14:paraId="6D102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1" w:type="dxa"/>
            <w:vMerge w:val="continue"/>
            <w:noWrap w:val="0"/>
            <w:vAlign w:val="center"/>
          </w:tcPr>
          <w:p w14:paraId="09B7696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p>
        </w:tc>
        <w:tc>
          <w:tcPr>
            <w:tcW w:w="3319" w:type="dxa"/>
            <w:vMerge w:val="continue"/>
            <w:noWrap w:val="0"/>
            <w:vAlign w:val="center"/>
          </w:tcPr>
          <w:p w14:paraId="6DAFF34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10000" w:type="dxa"/>
            <w:noWrap w:val="0"/>
            <w:vAlign w:val="center"/>
          </w:tcPr>
          <w:p w14:paraId="61E5ACE9">
            <w:pPr>
              <w:keepNext w:val="0"/>
              <w:keepLines w:val="0"/>
              <w:pageBreakBefore w:val="0"/>
              <w:widowControl/>
              <w:kinsoku/>
              <w:wordWrap/>
              <w:overflowPunct/>
              <w:topLinePunct w:val="0"/>
              <w:autoSpaceDE/>
              <w:autoSpaceDN/>
              <w:bidi w:val="0"/>
              <w:adjustRightInd/>
              <w:snapToGrid w:val="0"/>
              <w:spacing w:line="300" w:lineRule="auto"/>
              <w:ind w:left="0" w:leftChars="0" w:firstLine="240" w:firstLineChars="100"/>
              <w:jc w:val="left"/>
              <w:textAlignment w:val="auto"/>
              <w:rPr>
                <w:rFonts w:hint="default" w:ascii="Calibri" w:hAnsi="Calibri" w:eastAsia="宋体" w:cs="Calibri"/>
                <w:color w:val="auto"/>
                <w:kern w:val="2"/>
                <w:sz w:val="21"/>
                <w:szCs w:val="21"/>
                <w:highlight w:val="none"/>
                <w:u w:val="none"/>
                <w:lang w:val="en-US" w:eastAsia="zh-CN" w:bidi="ar-SA"/>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（4）</w:t>
            </w:r>
            <w:r>
              <w:rPr>
                <w:rFonts w:hint="default" w:ascii="Calibri" w:hAnsi="Calibri" w:eastAsia="宋体" w:cs="Calibri"/>
                <w:b w:val="0"/>
                <w:bCs w:val="0"/>
                <w:color w:val="auto"/>
                <w:kern w:val="0"/>
                <w:szCs w:val="21"/>
                <w:highlight w:val="none"/>
                <w:lang w:val="en-US" w:eastAsia="zh-CN"/>
              </w:rPr>
              <w:t>每年强降雨天气前后、雨雪季节检查屋面防水和雨落管等</w:t>
            </w:r>
            <w:r>
              <w:rPr>
                <w:rFonts w:hint="eastAsia" w:cs="Calibri"/>
                <w:b w:val="0"/>
                <w:bCs w:val="0"/>
                <w:color w:val="auto"/>
                <w:kern w:val="0"/>
                <w:szCs w:val="21"/>
                <w:highlight w:val="none"/>
                <w:lang w:val="en-US" w:eastAsia="zh-CN"/>
              </w:rPr>
              <w:t>，</w:t>
            </w:r>
            <w:r>
              <w:rPr>
                <w:rFonts w:hint="eastAsia" w:eastAsia="宋体" w:cs="Calibri"/>
                <w:b w:val="0"/>
                <w:bCs w:val="0"/>
                <w:color w:val="auto"/>
                <w:kern w:val="0"/>
                <w:szCs w:val="21"/>
                <w:highlight w:val="none"/>
                <w:lang w:val="en-US" w:eastAsia="zh-CN"/>
              </w:rPr>
              <w:t>发现破损，及时向采购人报告，按采购人要求出具维修方案，待采购人同意后按维修方案实施维修。</w:t>
            </w:r>
          </w:p>
        </w:tc>
      </w:tr>
      <w:tr w14:paraId="5DCA3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1" w:type="dxa"/>
            <w:vMerge w:val="continue"/>
            <w:noWrap w:val="0"/>
            <w:vAlign w:val="center"/>
          </w:tcPr>
          <w:p w14:paraId="45FE5EC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p>
        </w:tc>
        <w:tc>
          <w:tcPr>
            <w:tcW w:w="3319" w:type="dxa"/>
            <w:vMerge w:val="continue"/>
            <w:noWrap w:val="0"/>
            <w:vAlign w:val="center"/>
          </w:tcPr>
          <w:p w14:paraId="42F5CFC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10000" w:type="dxa"/>
            <w:noWrap w:val="0"/>
            <w:vAlign w:val="center"/>
          </w:tcPr>
          <w:p w14:paraId="1BCAD477">
            <w:pPr>
              <w:keepNext w:val="0"/>
              <w:keepLines w:val="0"/>
              <w:pageBreakBefore w:val="0"/>
              <w:widowControl/>
              <w:kinsoku/>
              <w:wordWrap/>
              <w:overflowPunct/>
              <w:topLinePunct w:val="0"/>
              <w:autoSpaceDE/>
              <w:autoSpaceDN/>
              <w:bidi w:val="0"/>
              <w:adjustRightInd/>
              <w:snapToGrid w:val="0"/>
              <w:spacing w:line="300" w:lineRule="auto"/>
              <w:ind w:left="0" w:leftChars="0" w:firstLine="240" w:firstLineChars="100"/>
              <w:jc w:val="left"/>
              <w:textAlignment w:val="auto"/>
              <w:rPr>
                <w:rFonts w:hint="default" w:ascii="Calibri" w:hAnsi="Calibri" w:eastAsia="宋体" w:cs="Calibri"/>
                <w:color w:val="auto"/>
                <w:kern w:val="2"/>
                <w:sz w:val="21"/>
                <w:szCs w:val="21"/>
                <w:highlight w:val="none"/>
                <w:u w:val="none"/>
                <w:lang w:val="en-US" w:eastAsia="zh-CN" w:bidi="ar-SA"/>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（5）</w:t>
            </w:r>
            <w:r>
              <w:rPr>
                <w:rFonts w:hint="default" w:ascii="Calibri" w:hAnsi="Calibri" w:eastAsia="宋体" w:cs="Calibri"/>
                <w:color w:val="auto"/>
                <w:szCs w:val="21"/>
                <w:highlight w:val="none"/>
                <w:u w:val="none"/>
                <w:lang w:val="en-US" w:eastAsia="zh-CN"/>
              </w:rPr>
              <w:t>办公楼外观完好，</w:t>
            </w:r>
            <w:r>
              <w:rPr>
                <w:rFonts w:hint="eastAsia" w:ascii="Calibri" w:hAnsi="Calibri" w:eastAsia="宋体" w:cs="Calibri"/>
                <w:color w:val="auto"/>
                <w:szCs w:val="21"/>
                <w:highlight w:val="none"/>
                <w:u w:val="none"/>
                <w:lang w:val="en-US" w:eastAsia="zh-CN"/>
              </w:rPr>
              <w:t>建筑装饰面</w:t>
            </w:r>
            <w:r>
              <w:rPr>
                <w:rFonts w:hint="default" w:ascii="Calibri" w:hAnsi="Calibri" w:eastAsia="宋体" w:cs="Calibri"/>
                <w:color w:val="auto"/>
                <w:szCs w:val="21"/>
                <w:highlight w:val="none"/>
                <w:u w:val="none"/>
                <w:lang w:val="en-US" w:eastAsia="zh-CN"/>
              </w:rPr>
              <w:t>无脱落</w:t>
            </w:r>
            <w:r>
              <w:rPr>
                <w:rFonts w:hint="eastAsia" w:ascii="Calibri" w:hAnsi="Calibri" w:eastAsia="宋体" w:cs="Calibri"/>
                <w:color w:val="auto"/>
                <w:szCs w:val="21"/>
                <w:highlight w:val="none"/>
                <w:u w:val="none"/>
                <w:lang w:val="en-US" w:eastAsia="zh-CN"/>
              </w:rPr>
              <w:t>、</w:t>
            </w:r>
            <w:r>
              <w:rPr>
                <w:rFonts w:hint="default" w:ascii="Calibri" w:hAnsi="Calibri" w:eastAsia="宋体" w:cs="Calibri"/>
                <w:color w:val="auto"/>
                <w:szCs w:val="21"/>
                <w:highlight w:val="none"/>
                <w:u w:val="none"/>
                <w:lang w:val="en-US" w:eastAsia="zh-CN"/>
              </w:rPr>
              <w:t>无破损</w:t>
            </w:r>
            <w:r>
              <w:rPr>
                <w:rFonts w:hint="eastAsia" w:ascii="Calibri" w:hAnsi="Calibri" w:eastAsia="宋体" w:cs="Calibri"/>
                <w:color w:val="auto"/>
                <w:szCs w:val="21"/>
                <w:highlight w:val="none"/>
                <w:u w:val="none"/>
                <w:lang w:val="en-US" w:eastAsia="zh-CN"/>
              </w:rPr>
              <w:t>、无</w:t>
            </w:r>
            <w:r>
              <w:rPr>
                <w:rFonts w:hint="default" w:ascii="Calibri" w:hAnsi="Calibri" w:eastAsia="宋体" w:cs="Calibri"/>
                <w:color w:val="auto"/>
                <w:szCs w:val="21"/>
                <w:highlight w:val="none"/>
                <w:u w:val="none"/>
                <w:lang w:val="en-US" w:eastAsia="zh-CN"/>
              </w:rPr>
              <w:t>污渍</w:t>
            </w:r>
            <w:r>
              <w:rPr>
                <w:rFonts w:hint="eastAsia" w:ascii="Calibri" w:hAnsi="Calibri" w:eastAsia="宋体" w:cs="Calibri"/>
                <w:color w:val="auto"/>
                <w:szCs w:val="21"/>
                <w:highlight w:val="none"/>
                <w:u w:val="none"/>
                <w:lang w:val="en-US" w:eastAsia="zh-CN"/>
              </w:rPr>
              <w:t>，</w:t>
            </w:r>
            <w:r>
              <w:rPr>
                <w:rFonts w:hint="default" w:ascii="Calibri" w:hAnsi="Calibri" w:eastAsia="宋体" w:cs="Calibri"/>
                <w:color w:val="auto"/>
                <w:szCs w:val="21"/>
                <w:highlight w:val="none"/>
                <w:u w:val="none"/>
                <w:lang w:val="en-US" w:eastAsia="zh-CN"/>
              </w:rPr>
              <w:t>玻璃幕墙清洁明亮、无破损</w:t>
            </w:r>
            <w:r>
              <w:rPr>
                <w:rFonts w:hint="eastAsia" w:cs="Calibri"/>
                <w:color w:val="auto"/>
                <w:szCs w:val="21"/>
                <w:highlight w:val="none"/>
                <w:u w:val="none"/>
                <w:lang w:val="en-US" w:eastAsia="zh-CN"/>
              </w:rPr>
              <w:t>。</w:t>
            </w:r>
          </w:p>
        </w:tc>
      </w:tr>
      <w:tr w14:paraId="526AB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1" w:type="dxa"/>
            <w:vMerge w:val="continue"/>
            <w:noWrap w:val="0"/>
            <w:vAlign w:val="center"/>
          </w:tcPr>
          <w:p w14:paraId="4E276CA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p>
        </w:tc>
        <w:tc>
          <w:tcPr>
            <w:tcW w:w="3319" w:type="dxa"/>
            <w:vMerge w:val="continue"/>
            <w:noWrap w:val="0"/>
            <w:vAlign w:val="center"/>
          </w:tcPr>
          <w:p w14:paraId="14C50D1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10000" w:type="dxa"/>
            <w:noWrap w:val="0"/>
            <w:vAlign w:val="center"/>
          </w:tcPr>
          <w:p w14:paraId="3A4370B7">
            <w:pPr>
              <w:keepNext w:val="0"/>
              <w:keepLines w:val="0"/>
              <w:pageBreakBefore w:val="0"/>
              <w:widowControl/>
              <w:kinsoku/>
              <w:wordWrap/>
              <w:overflowPunct/>
              <w:topLinePunct w:val="0"/>
              <w:autoSpaceDE/>
              <w:autoSpaceDN/>
              <w:bidi w:val="0"/>
              <w:adjustRightInd/>
              <w:snapToGrid w:val="0"/>
              <w:spacing w:line="300" w:lineRule="auto"/>
              <w:ind w:left="0" w:leftChars="0" w:firstLine="240" w:firstLineChars="100"/>
              <w:jc w:val="left"/>
              <w:textAlignment w:val="auto"/>
              <w:rPr>
                <w:rFonts w:hint="default" w:ascii="Calibri" w:hAnsi="Calibri" w:eastAsia="宋体" w:cs="Calibri"/>
                <w:color w:val="auto"/>
                <w:kern w:val="2"/>
                <w:sz w:val="21"/>
                <w:szCs w:val="21"/>
                <w:highlight w:val="none"/>
                <w:u w:val="none"/>
                <w:lang w:val="en-US" w:eastAsia="zh-CN" w:bidi="ar-SA"/>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（6）</w:t>
            </w:r>
            <w:r>
              <w:rPr>
                <w:rFonts w:hint="eastAsia" w:ascii="Calibri" w:hAnsi="Calibri" w:eastAsia="宋体" w:cs="Calibri"/>
                <w:color w:val="auto"/>
                <w:szCs w:val="21"/>
                <w:highlight w:val="none"/>
                <w:u w:val="none"/>
                <w:lang w:val="en-US" w:eastAsia="zh-CN"/>
              </w:rPr>
              <w:t>通道、楼梯、</w:t>
            </w:r>
            <w:r>
              <w:rPr>
                <w:rFonts w:hint="default" w:ascii="Calibri" w:hAnsi="Calibri" w:eastAsia="宋体" w:cs="Calibri"/>
                <w:color w:val="auto"/>
                <w:szCs w:val="21"/>
                <w:highlight w:val="none"/>
                <w:u w:val="none"/>
                <w:lang w:val="en-US" w:eastAsia="zh-CN"/>
              </w:rPr>
              <w:t>门窗等设施的完好和正常使用</w:t>
            </w:r>
            <w:r>
              <w:rPr>
                <w:rFonts w:hint="eastAsia" w:cs="Calibri"/>
                <w:color w:val="auto"/>
                <w:szCs w:val="21"/>
                <w:highlight w:val="none"/>
                <w:u w:val="none"/>
                <w:lang w:val="en-US" w:eastAsia="zh-CN"/>
              </w:rPr>
              <w:t>。</w:t>
            </w:r>
          </w:p>
        </w:tc>
      </w:tr>
      <w:tr w14:paraId="7210B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1" w:type="dxa"/>
            <w:vMerge w:val="restart"/>
            <w:noWrap w:val="0"/>
            <w:vAlign w:val="center"/>
          </w:tcPr>
          <w:p w14:paraId="16B118F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lang w:val="en-US" w:eastAsia="zh-CN"/>
              </w:rPr>
            </w:pPr>
            <w:r>
              <w:rPr>
                <w:rFonts w:hint="eastAsia"/>
                <w:highlight w:val="none"/>
                <w:lang w:val="en-US" w:eastAsia="zh-CN"/>
              </w:rPr>
              <w:t>2</w:t>
            </w:r>
          </w:p>
        </w:tc>
        <w:tc>
          <w:tcPr>
            <w:tcW w:w="3319" w:type="dxa"/>
            <w:vMerge w:val="restart"/>
            <w:noWrap w:val="0"/>
            <w:vAlign w:val="center"/>
          </w:tcPr>
          <w:p w14:paraId="5E90901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lang w:val="en-US"/>
              </w:rPr>
            </w:pPr>
            <w:r>
              <w:rPr>
                <w:rFonts w:hint="eastAsia"/>
                <w:highlight w:val="none"/>
                <w:lang w:val="en-US" w:eastAsia="zh-CN"/>
              </w:rPr>
              <w:t>其他设施</w:t>
            </w:r>
          </w:p>
        </w:tc>
        <w:tc>
          <w:tcPr>
            <w:tcW w:w="10000" w:type="dxa"/>
            <w:noWrap w:val="0"/>
            <w:vAlign w:val="center"/>
          </w:tcPr>
          <w:p w14:paraId="0A1AD635">
            <w:pPr>
              <w:keepNext w:val="0"/>
              <w:keepLines w:val="0"/>
              <w:pageBreakBefore w:val="0"/>
              <w:widowControl/>
              <w:kinsoku/>
              <w:wordWrap/>
              <w:overflowPunct/>
              <w:topLinePunct w:val="0"/>
              <w:autoSpaceDE/>
              <w:autoSpaceDN/>
              <w:bidi w:val="0"/>
              <w:adjustRightInd/>
              <w:snapToGrid w:val="0"/>
              <w:spacing w:line="300" w:lineRule="auto"/>
              <w:ind w:left="0" w:leftChars="0" w:firstLine="240" w:firstLineChars="100"/>
              <w:jc w:val="left"/>
              <w:textAlignment w:val="auto"/>
              <w:rPr>
                <w:rFonts w:hint="eastAsia" w:ascii="Calibri" w:hAnsi="Calibri" w:eastAsia="宋体" w:cs="Calibri"/>
                <w:color w:val="auto"/>
                <w:kern w:val="2"/>
                <w:sz w:val="21"/>
                <w:szCs w:val="21"/>
                <w:highlight w:val="none"/>
                <w:u w:val="none"/>
                <w:lang w:val="en-US" w:eastAsia="zh-CN" w:bidi="ar-SA"/>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每半月至少</w:t>
            </w:r>
            <w:r>
              <w:rPr>
                <w:rFonts w:hint="eastAsia" w:cs="Calibri"/>
                <w:b w:val="0"/>
                <w:bCs w:val="0"/>
                <w:color w:val="auto"/>
                <w:kern w:val="0"/>
                <w:szCs w:val="21"/>
                <w:highlight w:val="none"/>
                <w:lang w:val="en-US" w:eastAsia="zh-CN"/>
              </w:rPr>
              <w:t>开展</w:t>
            </w:r>
            <w:r>
              <w:rPr>
                <w:rFonts w:hint="eastAsia" w:ascii="Calibri" w:hAnsi="Calibri" w:eastAsia="宋体" w:cs="Calibri"/>
                <w:b w:val="0"/>
                <w:bCs w:val="0"/>
                <w:color w:val="auto"/>
                <w:kern w:val="0"/>
                <w:szCs w:val="21"/>
                <w:highlight w:val="none"/>
                <w:lang w:val="en-US" w:eastAsia="zh-CN"/>
              </w:rPr>
              <w:t>1次大门、围墙、道路、场地、管井、沟渠等</w:t>
            </w:r>
            <w:r>
              <w:rPr>
                <w:rFonts w:hint="eastAsia" w:cs="Calibri"/>
                <w:b w:val="0"/>
                <w:bCs w:val="0"/>
                <w:color w:val="auto"/>
                <w:kern w:val="0"/>
                <w:szCs w:val="21"/>
                <w:highlight w:val="none"/>
                <w:lang w:val="en-US" w:eastAsia="zh-CN"/>
              </w:rPr>
              <w:t>巡查，</w:t>
            </w:r>
            <w:r>
              <w:rPr>
                <w:rFonts w:hint="eastAsia" w:ascii="Calibri" w:hAnsi="Calibri" w:eastAsia="宋体" w:cs="Calibri"/>
                <w:b w:val="0"/>
                <w:bCs w:val="0"/>
                <w:color w:val="auto"/>
                <w:kern w:val="0"/>
                <w:szCs w:val="21"/>
                <w:highlight w:val="none"/>
                <w:lang w:val="en-US" w:eastAsia="zh-CN"/>
              </w:rPr>
              <w:t>每半月至少检查1次</w:t>
            </w:r>
            <w:r>
              <w:rPr>
                <w:rFonts w:hint="eastAsia" w:eastAsia="宋体" w:cs="Calibri"/>
                <w:b w:val="0"/>
                <w:bCs w:val="0"/>
                <w:color w:val="auto"/>
                <w:kern w:val="0"/>
                <w:szCs w:val="21"/>
                <w:highlight w:val="none"/>
                <w:lang w:val="en-US" w:eastAsia="zh-CN"/>
              </w:rPr>
              <w:t>雨污水</w:t>
            </w:r>
            <w:r>
              <w:rPr>
                <w:rFonts w:hint="eastAsia" w:ascii="Calibri" w:hAnsi="Calibri" w:eastAsia="宋体" w:cs="Calibri"/>
                <w:b w:val="0"/>
                <w:bCs w:val="0"/>
                <w:color w:val="auto"/>
                <w:kern w:val="0"/>
                <w:szCs w:val="21"/>
                <w:highlight w:val="none"/>
                <w:lang w:val="en-US" w:eastAsia="zh-CN"/>
              </w:rPr>
              <w:t>管井、化粪池等巡查</w:t>
            </w:r>
            <w:r>
              <w:rPr>
                <w:rFonts w:hint="eastAsia" w:cs="Calibri"/>
                <w:b w:val="0"/>
                <w:bCs w:val="0"/>
                <w:color w:val="auto"/>
                <w:kern w:val="0"/>
                <w:szCs w:val="21"/>
                <w:highlight w:val="none"/>
                <w:lang w:val="en-US" w:eastAsia="zh-CN"/>
              </w:rPr>
              <w:t>，</w:t>
            </w:r>
            <w:r>
              <w:rPr>
                <w:rFonts w:hint="eastAsia" w:eastAsia="宋体" w:cs="Calibri"/>
                <w:b w:val="0"/>
                <w:bCs w:val="0"/>
                <w:color w:val="auto"/>
                <w:kern w:val="0"/>
                <w:szCs w:val="21"/>
                <w:highlight w:val="none"/>
                <w:lang w:val="en-US" w:eastAsia="zh-CN"/>
              </w:rPr>
              <w:t>发现破损，及时向采购人报告，按采购人要求出具维修方案，待采购人同意后按维修方案实施维修。</w:t>
            </w:r>
          </w:p>
        </w:tc>
      </w:tr>
      <w:tr w14:paraId="76191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1" w:type="dxa"/>
            <w:vMerge w:val="continue"/>
            <w:noWrap w:val="0"/>
            <w:vAlign w:val="center"/>
          </w:tcPr>
          <w:p w14:paraId="039A317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19" w:type="dxa"/>
            <w:vMerge w:val="continue"/>
            <w:noWrap w:val="0"/>
            <w:vAlign w:val="center"/>
          </w:tcPr>
          <w:p w14:paraId="2FBDEF5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highlight w:val="none"/>
                <w:lang w:val="en-US" w:eastAsia="zh-CN"/>
              </w:rPr>
            </w:pPr>
          </w:p>
        </w:tc>
        <w:tc>
          <w:tcPr>
            <w:tcW w:w="10000" w:type="dxa"/>
            <w:noWrap w:val="0"/>
            <w:vAlign w:val="center"/>
          </w:tcPr>
          <w:p w14:paraId="1A082DE3">
            <w:pPr>
              <w:keepNext w:val="0"/>
              <w:keepLines w:val="0"/>
              <w:pageBreakBefore w:val="0"/>
              <w:widowControl/>
              <w:kinsoku/>
              <w:wordWrap/>
              <w:overflowPunct/>
              <w:topLinePunct w:val="0"/>
              <w:autoSpaceDE/>
              <w:autoSpaceDN/>
              <w:bidi w:val="0"/>
              <w:adjustRightInd/>
              <w:snapToGrid w:val="0"/>
              <w:spacing w:line="300" w:lineRule="auto"/>
              <w:ind w:left="0" w:leftChars="0" w:firstLine="240" w:firstLineChars="100"/>
              <w:jc w:val="left"/>
              <w:textAlignment w:val="auto"/>
              <w:rPr>
                <w:rFonts w:hint="eastAsia" w:ascii="Calibri" w:hAnsi="Calibri" w:eastAsia="宋体" w:cs="Calibri"/>
                <w:color w:val="auto"/>
                <w:kern w:val="2"/>
                <w:sz w:val="21"/>
                <w:szCs w:val="21"/>
                <w:highlight w:val="none"/>
                <w:u w:val="none"/>
                <w:lang w:val="en-US" w:eastAsia="zh-CN" w:bidi="ar-SA"/>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（2）</w:t>
            </w:r>
            <w:r>
              <w:rPr>
                <w:rFonts w:hint="eastAsia" w:ascii="Calibri" w:hAnsi="Calibri" w:eastAsia="宋体" w:cs="Calibri"/>
                <w:b w:val="0"/>
                <w:bCs w:val="0"/>
                <w:color w:val="auto"/>
                <w:kern w:val="0"/>
                <w:szCs w:val="21"/>
                <w:highlight w:val="none"/>
                <w:lang w:val="en-US" w:eastAsia="zh-CN"/>
              </w:rPr>
              <w:t>每年至少</w:t>
            </w:r>
            <w:r>
              <w:rPr>
                <w:rFonts w:hint="eastAsia" w:cs="Calibri"/>
                <w:b w:val="0"/>
                <w:bCs w:val="0"/>
                <w:color w:val="auto"/>
                <w:kern w:val="0"/>
                <w:szCs w:val="21"/>
                <w:highlight w:val="none"/>
                <w:lang w:val="en-US" w:eastAsia="zh-CN"/>
              </w:rPr>
              <w:t>开展</w:t>
            </w:r>
            <w:r>
              <w:rPr>
                <w:rFonts w:hint="eastAsia" w:ascii="Calibri" w:hAnsi="Calibri" w:eastAsia="宋体" w:cs="Calibri"/>
                <w:b w:val="0"/>
                <w:bCs w:val="0"/>
                <w:color w:val="auto"/>
                <w:kern w:val="0"/>
                <w:szCs w:val="21"/>
                <w:highlight w:val="none"/>
                <w:lang w:val="en-US" w:eastAsia="zh-CN"/>
              </w:rPr>
              <w:t>1次防雷装置检测</w:t>
            </w:r>
            <w:r>
              <w:rPr>
                <w:rFonts w:hint="eastAsia" w:eastAsia="宋体" w:cs="Calibri"/>
                <w:b w:val="0"/>
                <w:bCs w:val="0"/>
                <w:color w:val="auto"/>
                <w:kern w:val="0"/>
                <w:szCs w:val="21"/>
                <w:highlight w:val="none"/>
                <w:lang w:val="en-US" w:eastAsia="zh-CN"/>
              </w:rPr>
              <w:t>，发现失效，及时向采购人报告，按采购人要求出具维修方案，待采购人同意后按维修方案实施维修。</w:t>
            </w:r>
          </w:p>
        </w:tc>
      </w:tr>
      <w:tr w14:paraId="33B04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1" w:type="dxa"/>
            <w:vMerge w:val="continue"/>
            <w:noWrap w:val="0"/>
            <w:vAlign w:val="center"/>
          </w:tcPr>
          <w:p w14:paraId="0CF49FB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19" w:type="dxa"/>
            <w:vMerge w:val="continue"/>
            <w:noWrap w:val="0"/>
            <w:vAlign w:val="center"/>
          </w:tcPr>
          <w:p w14:paraId="1359AAD9">
            <w:pPr>
              <w:keepNext w:val="0"/>
              <w:keepLines w:val="0"/>
              <w:pageBreakBefore w:val="0"/>
              <w:widowControl/>
              <w:kinsoku/>
              <w:wordWrap/>
              <w:overflowPunct/>
              <w:topLinePunct w:val="0"/>
              <w:autoSpaceDE/>
              <w:autoSpaceDN/>
              <w:bidi w:val="0"/>
              <w:adjustRightInd/>
              <w:snapToGrid w:val="0"/>
              <w:spacing w:line="300" w:lineRule="auto"/>
              <w:ind w:left="0" w:leftChars="0" w:firstLine="0" w:firstLineChars="0"/>
              <w:textAlignment w:val="auto"/>
              <w:rPr>
                <w:highlight w:val="none"/>
                <w:lang w:val="en-US" w:eastAsia="zh-CN"/>
              </w:rPr>
            </w:pPr>
          </w:p>
        </w:tc>
        <w:tc>
          <w:tcPr>
            <w:tcW w:w="10000" w:type="dxa"/>
            <w:noWrap w:val="0"/>
            <w:vAlign w:val="center"/>
          </w:tcPr>
          <w:p w14:paraId="26F0EA89">
            <w:pPr>
              <w:keepNext w:val="0"/>
              <w:keepLines w:val="0"/>
              <w:pageBreakBefore w:val="0"/>
              <w:widowControl/>
              <w:kinsoku/>
              <w:wordWrap/>
              <w:overflowPunct/>
              <w:topLinePunct w:val="0"/>
              <w:autoSpaceDE/>
              <w:autoSpaceDN/>
              <w:bidi w:val="0"/>
              <w:adjustRightInd/>
              <w:snapToGrid w:val="0"/>
              <w:spacing w:line="300" w:lineRule="auto"/>
              <w:ind w:left="0" w:leftChars="0" w:firstLine="240" w:firstLineChars="100"/>
              <w:jc w:val="left"/>
              <w:textAlignment w:val="auto"/>
              <w:rPr>
                <w:rFonts w:hint="eastAsia" w:ascii="Calibri" w:hAnsi="Calibri" w:eastAsia="宋体" w:cs="Calibri"/>
                <w:color w:val="auto"/>
                <w:kern w:val="2"/>
                <w:sz w:val="21"/>
                <w:szCs w:val="21"/>
                <w:highlight w:val="none"/>
                <w:u w:val="none"/>
                <w:lang w:val="en-US" w:eastAsia="zh-CN" w:bidi="ar-SA"/>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（3）</w:t>
            </w:r>
            <w:r>
              <w:rPr>
                <w:rFonts w:hint="default" w:ascii="Calibri" w:hAnsi="Calibri" w:eastAsia="宋体" w:cs="Calibri"/>
                <w:color w:val="auto"/>
                <w:szCs w:val="21"/>
                <w:highlight w:val="none"/>
                <w:u w:val="none"/>
                <w:lang w:val="en-US" w:eastAsia="zh-CN"/>
              </w:rPr>
              <w:t>路面状态良好，地漏通畅不堵塞</w:t>
            </w:r>
            <w:r>
              <w:rPr>
                <w:rFonts w:hint="eastAsia" w:ascii="Calibri" w:hAnsi="Calibri" w:eastAsia="宋体" w:cs="Calibri"/>
                <w:color w:val="auto"/>
                <w:szCs w:val="21"/>
                <w:highlight w:val="none"/>
                <w:u w:val="none"/>
                <w:lang w:val="en-US" w:eastAsia="zh-CN"/>
              </w:rPr>
              <w:t>。</w:t>
            </w:r>
          </w:p>
        </w:tc>
      </w:tr>
      <w:tr w14:paraId="71D81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1" w:type="dxa"/>
            <w:vMerge w:val="continue"/>
            <w:noWrap w:val="0"/>
            <w:vAlign w:val="center"/>
          </w:tcPr>
          <w:p w14:paraId="669C23C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19" w:type="dxa"/>
            <w:vMerge w:val="continue"/>
            <w:noWrap w:val="0"/>
            <w:vAlign w:val="center"/>
          </w:tcPr>
          <w:p w14:paraId="391C8FDA">
            <w:pPr>
              <w:keepNext w:val="0"/>
              <w:keepLines w:val="0"/>
              <w:pageBreakBefore w:val="0"/>
              <w:widowControl/>
              <w:kinsoku/>
              <w:wordWrap/>
              <w:overflowPunct/>
              <w:topLinePunct w:val="0"/>
              <w:autoSpaceDE/>
              <w:autoSpaceDN/>
              <w:bidi w:val="0"/>
              <w:adjustRightInd/>
              <w:snapToGrid w:val="0"/>
              <w:spacing w:line="300" w:lineRule="auto"/>
              <w:ind w:left="0" w:leftChars="0" w:firstLine="0" w:firstLineChars="0"/>
              <w:textAlignment w:val="auto"/>
              <w:rPr>
                <w:highlight w:val="none"/>
                <w:lang w:val="en-US" w:eastAsia="zh-CN"/>
              </w:rPr>
            </w:pPr>
          </w:p>
        </w:tc>
        <w:tc>
          <w:tcPr>
            <w:tcW w:w="10000" w:type="dxa"/>
            <w:noWrap w:val="0"/>
            <w:vAlign w:val="center"/>
          </w:tcPr>
          <w:p w14:paraId="56A2B1B0">
            <w:pPr>
              <w:keepNext w:val="0"/>
              <w:keepLines w:val="0"/>
              <w:pageBreakBefore w:val="0"/>
              <w:widowControl/>
              <w:kinsoku/>
              <w:wordWrap/>
              <w:overflowPunct/>
              <w:topLinePunct w:val="0"/>
              <w:autoSpaceDE/>
              <w:autoSpaceDN/>
              <w:bidi w:val="0"/>
              <w:adjustRightInd/>
              <w:snapToGrid w:val="0"/>
              <w:spacing w:line="300" w:lineRule="auto"/>
              <w:ind w:left="0" w:leftChars="0" w:firstLine="24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（4）接到采购人家具报修服务后，及时通知家具供货商对保修期内的家具进行维修，及时对保修期外的家具进行维修。</w:t>
            </w:r>
          </w:p>
        </w:tc>
      </w:tr>
      <w:tr w14:paraId="6F627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1" w:type="dxa"/>
            <w:vMerge w:val="restart"/>
            <w:noWrap w:val="0"/>
            <w:vAlign w:val="center"/>
          </w:tcPr>
          <w:p w14:paraId="14D71C6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r>
              <w:rPr>
                <w:rFonts w:hint="eastAsia"/>
                <w:highlight w:val="none"/>
                <w:lang w:val="en-US" w:eastAsia="zh-CN"/>
              </w:rPr>
              <w:t>3</w:t>
            </w:r>
          </w:p>
        </w:tc>
        <w:tc>
          <w:tcPr>
            <w:tcW w:w="3319" w:type="dxa"/>
            <w:vMerge w:val="restart"/>
            <w:noWrap w:val="0"/>
            <w:vAlign w:val="center"/>
          </w:tcPr>
          <w:p w14:paraId="711F287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r>
              <w:rPr>
                <w:rFonts w:hint="default"/>
                <w:highlight w:val="none"/>
              </w:rPr>
              <w:t>标识标牌</w:t>
            </w:r>
          </w:p>
        </w:tc>
        <w:tc>
          <w:tcPr>
            <w:tcW w:w="10000" w:type="dxa"/>
            <w:noWrap w:val="0"/>
            <w:vAlign w:val="center"/>
          </w:tcPr>
          <w:p w14:paraId="06CEDF20">
            <w:pPr>
              <w:keepNext w:val="0"/>
              <w:keepLines w:val="0"/>
              <w:pageBreakBefore w:val="0"/>
              <w:widowControl/>
              <w:kinsoku/>
              <w:wordWrap/>
              <w:overflowPunct/>
              <w:topLinePunct w:val="0"/>
              <w:autoSpaceDE/>
              <w:autoSpaceDN/>
              <w:bidi w:val="0"/>
              <w:adjustRightInd/>
              <w:snapToGrid w:val="0"/>
              <w:spacing w:line="300" w:lineRule="auto"/>
              <w:ind w:left="0" w:leftChars="0" w:firstLine="240" w:firstLineChars="100"/>
              <w:jc w:val="left"/>
              <w:textAlignment w:val="auto"/>
              <w:rPr>
                <w:rFonts w:hint="eastAsia" w:ascii="Calibri" w:hAnsi="Calibri" w:eastAsia="宋体" w:cs="Calibri"/>
                <w:color w:val="auto"/>
                <w:kern w:val="2"/>
                <w:sz w:val="21"/>
                <w:szCs w:val="21"/>
                <w:highlight w:val="none"/>
                <w:u w:val="none"/>
                <w:lang w:val="en-US" w:eastAsia="zh-CN" w:bidi="ar-SA"/>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标识标牌符合</w:t>
            </w:r>
            <w:r>
              <w:rPr>
                <w:rFonts w:hint="eastAsia" w:cs="Calibri"/>
                <w:b w:val="0"/>
                <w:bCs w:val="0"/>
                <w:color w:val="auto"/>
                <w:kern w:val="0"/>
                <w:szCs w:val="21"/>
                <w:highlight w:val="none"/>
                <w:lang w:val="en-US" w:eastAsia="zh-CN"/>
              </w:rPr>
              <w:t>《</w:t>
            </w:r>
            <w:r>
              <w:rPr>
                <w:rFonts w:hint="eastAsia"/>
                <w:color w:val="auto"/>
                <w:kern w:val="0"/>
                <w:highlight w:val="none"/>
              </w:rPr>
              <w:t>公共信息图形符号 第1部分：通用符号</w:t>
            </w:r>
            <w:r>
              <w:rPr>
                <w:rFonts w:hint="eastAsia" w:cs="Calibri"/>
                <w:b w:val="0"/>
                <w:bCs w:val="0"/>
                <w:color w:val="auto"/>
                <w:kern w:val="0"/>
                <w:szCs w:val="21"/>
                <w:highlight w:val="none"/>
                <w:lang w:val="en-US" w:eastAsia="zh-CN"/>
              </w:rPr>
              <w:t>》（</w:t>
            </w:r>
            <w:r>
              <w:rPr>
                <w:rFonts w:hint="eastAsia"/>
                <w:color w:val="auto"/>
                <w:kern w:val="0"/>
                <w:highlight w:val="none"/>
              </w:rPr>
              <w:t>GB/T 10001.1</w:t>
            </w:r>
            <w:r>
              <w:rPr>
                <w:rFonts w:hint="eastAsia" w:cs="Calibri"/>
                <w:b w:val="0"/>
                <w:bCs w:val="0"/>
                <w:color w:val="auto"/>
                <w:kern w:val="0"/>
                <w:szCs w:val="21"/>
                <w:highlight w:val="none"/>
                <w:lang w:val="en-US" w:eastAsia="zh-CN"/>
              </w:rPr>
              <w:t>）的</w:t>
            </w:r>
            <w:r>
              <w:rPr>
                <w:rFonts w:hint="eastAsia" w:ascii="Calibri" w:hAnsi="Calibri" w:eastAsia="宋体" w:cs="Calibri"/>
                <w:b w:val="0"/>
                <w:bCs w:val="0"/>
                <w:color w:val="auto"/>
                <w:kern w:val="0"/>
                <w:szCs w:val="21"/>
                <w:highlight w:val="none"/>
                <w:lang w:val="en-US" w:eastAsia="zh-CN"/>
              </w:rPr>
              <w:t>相关要求，消防与安全标识符合</w:t>
            </w:r>
            <w:r>
              <w:rPr>
                <w:rFonts w:hint="eastAsia" w:cs="Calibri"/>
                <w:b w:val="0"/>
                <w:bCs w:val="0"/>
                <w:color w:val="auto"/>
                <w:kern w:val="0"/>
                <w:szCs w:val="21"/>
                <w:highlight w:val="none"/>
                <w:lang w:val="en-US" w:eastAsia="zh-CN"/>
              </w:rPr>
              <w:t>《</w:t>
            </w:r>
            <w:r>
              <w:rPr>
                <w:rFonts w:hint="eastAsia"/>
                <w:color w:val="auto"/>
                <w:kern w:val="0"/>
                <w:highlight w:val="none"/>
              </w:rPr>
              <w:t>安全标志及其使用导则</w:t>
            </w:r>
            <w:r>
              <w:rPr>
                <w:rFonts w:hint="eastAsia"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GB2894</w:t>
            </w:r>
            <w:r>
              <w:rPr>
                <w:rFonts w:hint="eastAsia"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w:t>
            </w:r>
            <w:r>
              <w:rPr>
                <w:rFonts w:hint="eastAsia" w:cs="Calibri"/>
                <w:b w:val="0"/>
                <w:bCs w:val="0"/>
                <w:color w:val="auto"/>
                <w:kern w:val="0"/>
                <w:szCs w:val="21"/>
                <w:highlight w:val="none"/>
                <w:lang w:val="en-US" w:eastAsia="zh-CN"/>
              </w:rPr>
              <w:t>《消防安全标志　第1部分：标志》（</w:t>
            </w:r>
            <w:r>
              <w:rPr>
                <w:rFonts w:hint="eastAsia" w:ascii="Calibri" w:hAnsi="Calibri" w:eastAsia="宋体" w:cs="Calibri"/>
                <w:b w:val="0"/>
                <w:bCs w:val="0"/>
                <w:color w:val="auto"/>
                <w:kern w:val="0"/>
                <w:szCs w:val="21"/>
                <w:highlight w:val="none"/>
                <w:lang w:val="en-US" w:eastAsia="zh-CN"/>
              </w:rPr>
              <w:t>GB13495.1</w:t>
            </w:r>
            <w:r>
              <w:rPr>
                <w:rFonts w:hint="eastAsia"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的相关要求</w:t>
            </w:r>
            <w:r>
              <w:rPr>
                <w:rFonts w:hint="eastAsia" w:eastAsia="宋体" w:cs="Calibri"/>
                <w:b w:val="0"/>
                <w:bCs w:val="0"/>
                <w:color w:val="auto"/>
                <w:kern w:val="0"/>
                <w:szCs w:val="21"/>
                <w:highlight w:val="none"/>
                <w:lang w:val="en-US" w:eastAsia="zh-CN"/>
              </w:rPr>
              <w:t>。</w:t>
            </w:r>
          </w:p>
        </w:tc>
      </w:tr>
      <w:tr w14:paraId="59119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1" w:type="dxa"/>
            <w:vMerge w:val="continue"/>
            <w:noWrap w:val="0"/>
            <w:vAlign w:val="center"/>
          </w:tcPr>
          <w:p w14:paraId="41162AC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19" w:type="dxa"/>
            <w:vMerge w:val="continue"/>
            <w:noWrap w:val="0"/>
            <w:vAlign w:val="center"/>
          </w:tcPr>
          <w:p w14:paraId="4A424FD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10000" w:type="dxa"/>
            <w:noWrap w:val="0"/>
            <w:vAlign w:val="center"/>
          </w:tcPr>
          <w:p w14:paraId="3471ACB3">
            <w:pPr>
              <w:keepNext w:val="0"/>
              <w:keepLines w:val="0"/>
              <w:pageBreakBefore w:val="0"/>
              <w:widowControl/>
              <w:kinsoku/>
              <w:wordWrap/>
              <w:overflowPunct/>
              <w:topLinePunct w:val="0"/>
              <w:autoSpaceDE/>
              <w:autoSpaceDN/>
              <w:bidi w:val="0"/>
              <w:adjustRightInd/>
              <w:snapToGrid w:val="0"/>
              <w:spacing w:line="300" w:lineRule="auto"/>
              <w:ind w:left="0" w:leftChars="0" w:firstLine="24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（2）</w:t>
            </w:r>
            <w:r>
              <w:rPr>
                <w:rFonts w:hint="eastAsia" w:ascii="Calibri" w:hAnsi="Calibri" w:eastAsia="宋体" w:cs="Calibri"/>
                <w:b w:val="0"/>
                <w:bCs w:val="0"/>
                <w:color w:val="auto"/>
                <w:kern w:val="0"/>
                <w:szCs w:val="21"/>
                <w:highlight w:val="none"/>
                <w:lang w:val="en-US" w:eastAsia="zh-CN"/>
              </w:rPr>
              <w:t>每月至少检查1次标识标牌</w:t>
            </w:r>
            <w:r>
              <w:rPr>
                <w:rFonts w:hint="eastAsia" w:cs="Calibri"/>
                <w:b w:val="0"/>
                <w:bCs w:val="0"/>
                <w:color w:val="auto"/>
                <w:kern w:val="0"/>
                <w:szCs w:val="21"/>
                <w:highlight w:val="none"/>
                <w:lang w:val="en-US" w:eastAsia="zh-CN"/>
              </w:rPr>
              <w:t>和</w:t>
            </w:r>
            <w:r>
              <w:rPr>
                <w:rFonts w:hint="eastAsia" w:ascii="Calibri" w:hAnsi="Calibri" w:eastAsia="宋体" w:cs="Calibri"/>
                <w:b w:val="0"/>
                <w:bCs w:val="0"/>
                <w:color w:val="auto"/>
                <w:kern w:val="0"/>
                <w:szCs w:val="21"/>
                <w:highlight w:val="none"/>
                <w:lang w:val="en-US" w:eastAsia="zh-CN"/>
              </w:rPr>
              <w:t>消防与安全标识。应</w:t>
            </w:r>
            <w:r>
              <w:rPr>
                <w:rFonts w:hint="eastAsia" w:cs="Calibri"/>
                <w:b w:val="0"/>
                <w:bCs w:val="0"/>
                <w:color w:val="auto"/>
                <w:kern w:val="0"/>
                <w:szCs w:val="21"/>
                <w:highlight w:val="none"/>
                <w:lang w:val="en-US" w:eastAsia="zh-CN"/>
              </w:rPr>
              <w:t>当</w:t>
            </w:r>
            <w:r>
              <w:rPr>
                <w:rFonts w:hint="eastAsia" w:ascii="Calibri" w:hAnsi="Calibri" w:eastAsia="宋体" w:cs="Calibri"/>
                <w:b w:val="0"/>
                <w:bCs w:val="0"/>
                <w:color w:val="auto"/>
                <w:kern w:val="0"/>
                <w:szCs w:val="21"/>
                <w:highlight w:val="none"/>
                <w:lang w:val="en-US" w:eastAsia="zh-CN"/>
              </w:rPr>
              <w:t>规范清晰、路线指引正确、安装稳固</w:t>
            </w:r>
            <w:r>
              <w:rPr>
                <w:rFonts w:hint="eastAsia" w:eastAsia="宋体" w:cs="Calibri"/>
                <w:b w:val="0"/>
                <w:bCs w:val="0"/>
                <w:color w:val="auto"/>
                <w:kern w:val="0"/>
                <w:szCs w:val="21"/>
                <w:highlight w:val="none"/>
                <w:lang w:val="en-US" w:eastAsia="zh-CN"/>
              </w:rPr>
              <w:t>。</w:t>
            </w:r>
          </w:p>
        </w:tc>
      </w:tr>
    </w:tbl>
    <w:p w14:paraId="68378CE5">
      <w:pPr>
        <w:pStyle w:val="55"/>
        <w:pageBreakBefore w:val="0"/>
        <w:shd w:val="clear" w:color="auto" w:fill="auto"/>
        <w:kinsoku/>
        <w:wordWrap/>
        <w:overflowPunct/>
        <w:topLinePunct w:val="0"/>
        <w:bidi w:val="0"/>
        <w:spacing w:line="360" w:lineRule="auto"/>
        <w:ind w:firstLine="498" w:firstLineChars="177"/>
        <w:rPr>
          <w:rFonts w:hint="default" w:ascii="宋体" w:hAnsi="宋体" w:eastAsia="宋体" w:cs="宋体"/>
          <w:b/>
          <w:bCs/>
          <w:color w:val="auto"/>
          <w:kern w:val="44"/>
          <w:sz w:val="28"/>
          <w:szCs w:val="28"/>
          <w:highlight w:val="none"/>
          <w:lang w:val="en-US" w:eastAsia="zh-CN" w:bidi="ar-SA"/>
        </w:rPr>
      </w:pPr>
      <w:r>
        <w:rPr>
          <w:rFonts w:hint="eastAsia" w:ascii="宋体" w:hAnsi="宋体" w:eastAsia="宋体" w:cs="宋体"/>
          <w:b/>
          <w:bCs/>
          <w:color w:val="auto"/>
          <w:kern w:val="44"/>
          <w:sz w:val="28"/>
          <w:szCs w:val="28"/>
          <w:highlight w:val="none"/>
          <w:lang w:val="en-US" w:eastAsia="zh-CN" w:bidi="ar-SA"/>
        </w:rPr>
        <w:t>3.3公用设施设备维护服务</w:t>
      </w:r>
    </w:p>
    <w:tbl>
      <w:tblPr>
        <w:tblStyle w:val="32"/>
        <w:tblW w:w="501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960"/>
        <w:gridCol w:w="5864"/>
      </w:tblGrid>
      <w:tr w14:paraId="66183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noWrap w:val="0"/>
            <w:vAlign w:val="center"/>
          </w:tcPr>
          <w:p w14:paraId="1A9CB36F">
            <w:pPr>
              <w:pageBreakBefore w:val="0"/>
              <w:widowControl/>
              <w:kinsoku/>
              <w:wordWrap/>
              <w:overflowPunct/>
              <w:topLinePunct w:val="0"/>
              <w:bidi w:val="0"/>
              <w:snapToGrid w:val="0"/>
              <w:spacing w:line="300" w:lineRule="auto"/>
              <w:ind w:left="0"/>
              <w:jc w:val="center"/>
              <w:rPr>
                <w:rFonts w:hint="eastAsia" w:ascii="Calibri" w:hAnsi="Calibri" w:eastAsia="宋体" w:cs="Calibri"/>
                <w:b/>
                <w:bCs/>
                <w:color w:val="auto"/>
                <w:kern w:val="0"/>
                <w:szCs w:val="21"/>
                <w:highlight w:val="none"/>
                <w:lang w:val="en-US" w:eastAsia="zh-CN"/>
              </w:rPr>
            </w:pPr>
            <w:r>
              <w:rPr>
                <w:rFonts w:hint="eastAsia" w:cs="Calibri"/>
                <w:b/>
                <w:bCs/>
                <w:color w:val="auto"/>
                <w:kern w:val="0"/>
                <w:szCs w:val="21"/>
                <w:highlight w:val="none"/>
                <w:lang w:val="en-US" w:eastAsia="zh-CN"/>
              </w:rPr>
              <w:t>序号</w:t>
            </w:r>
          </w:p>
        </w:tc>
        <w:tc>
          <w:tcPr>
            <w:tcW w:w="3348" w:type="dxa"/>
            <w:noWrap w:val="0"/>
            <w:vAlign w:val="center"/>
          </w:tcPr>
          <w:p w14:paraId="0921D164">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Cs w:val="21"/>
                <w:highlight w:val="none"/>
              </w:rPr>
            </w:pPr>
            <w:r>
              <w:rPr>
                <w:rFonts w:hint="default" w:ascii="Calibri" w:hAnsi="Calibri" w:eastAsia="宋体" w:cs="Calibri"/>
                <w:b/>
                <w:bCs/>
                <w:color w:val="auto"/>
                <w:kern w:val="0"/>
                <w:szCs w:val="21"/>
                <w:highlight w:val="none"/>
              </w:rPr>
              <w:t>服务内容</w:t>
            </w:r>
          </w:p>
        </w:tc>
        <w:tc>
          <w:tcPr>
            <w:tcW w:w="10020" w:type="dxa"/>
            <w:noWrap w:val="0"/>
            <w:vAlign w:val="center"/>
          </w:tcPr>
          <w:p w14:paraId="3C840D58">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Cs w:val="21"/>
                <w:highlight w:val="none"/>
                <w:lang w:val="en-US" w:eastAsia="zh-CN"/>
              </w:rPr>
            </w:pPr>
            <w:r>
              <w:rPr>
                <w:rFonts w:hint="eastAsia" w:cs="Calibri"/>
                <w:b/>
                <w:bCs/>
                <w:color w:val="auto"/>
                <w:kern w:val="0"/>
                <w:szCs w:val="21"/>
                <w:highlight w:val="none"/>
                <w:lang w:val="en-US" w:eastAsia="zh-CN"/>
              </w:rPr>
              <w:t>服务标准</w:t>
            </w:r>
          </w:p>
        </w:tc>
      </w:tr>
      <w:tr w14:paraId="6EBAC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restart"/>
            <w:noWrap w:val="0"/>
            <w:vAlign w:val="center"/>
          </w:tcPr>
          <w:p w14:paraId="4DABAD2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lang w:val="en-US" w:eastAsia="zh-CN"/>
              </w:rPr>
            </w:pPr>
            <w:r>
              <w:rPr>
                <w:rFonts w:hint="eastAsia"/>
                <w:highlight w:val="none"/>
                <w:lang w:val="en-US" w:eastAsia="zh-CN"/>
              </w:rPr>
              <w:t>1</w:t>
            </w:r>
          </w:p>
        </w:tc>
        <w:tc>
          <w:tcPr>
            <w:tcW w:w="3348" w:type="dxa"/>
            <w:vMerge w:val="restart"/>
            <w:noWrap w:val="0"/>
            <w:vAlign w:val="center"/>
          </w:tcPr>
          <w:p w14:paraId="3E0F89C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r>
              <w:rPr>
                <w:highlight w:val="none"/>
                <w:lang w:val="en-US" w:eastAsia="zh-CN"/>
              </w:rPr>
              <w:t>基本要求</w:t>
            </w:r>
          </w:p>
        </w:tc>
        <w:tc>
          <w:tcPr>
            <w:tcW w:w="10020" w:type="dxa"/>
            <w:noWrap w:val="0"/>
            <w:vAlign w:val="center"/>
          </w:tcPr>
          <w:p w14:paraId="010556BB">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重大节假日及恶劣天气前后，组织系统巡检1次</w:t>
            </w:r>
            <w:r>
              <w:rPr>
                <w:rFonts w:hint="eastAsia" w:eastAsia="宋体" w:cs="Calibri"/>
                <w:b w:val="0"/>
                <w:bCs w:val="0"/>
                <w:color w:val="auto"/>
                <w:kern w:val="0"/>
                <w:szCs w:val="21"/>
                <w:highlight w:val="none"/>
                <w:lang w:val="en-US" w:eastAsia="zh-CN"/>
              </w:rPr>
              <w:t>。</w:t>
            </w:r>
          </w:p>
        </w:tc>
      </w:tr>
      <w:tr w14:paraId="69983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14:paraId="5407153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48" w:type="dxa"/>
            <w:vMerge w:val="continue"/>
            <w:noWrap w:val="0"/>
            <w:vAlign w:val="center"/>
          </w:tcPr>
          <w:p w14:paraId="2C188A9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highlight w:val="none"/>
                <w:lang w:val="en-US" w:eastAsia="zh-CN"/>
              </w:rPr>
            </w:pPr>
          </w:p>
        </w:tc>
        <w:tc>
          <w:tcPr>
            <w:tcW w:w="10020" w:type="dxa"/>
            <w:noWrap w:val="0"/>
            <w:vAlign w:val="center"/>
          </w:tcPr>
          <w:p w14:paraId="661B9D86">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（2）</w:t>
            </w:r>
            <w:r>
              <w:rPr>
                <w:rFonts w:hint="eastAsia" w:ascii="Calibri" w:hAnsi="Calibri" w:eastAsia="宋体" w:cs="Calibri"/>
                <w:b w:val="0"/>
                <w:bCs w:val="0"/>
                <w:color w:val="auto"/>
                <w:kern w:val="0"/>
                <w:szCs w:val="21"/>
                <w:highlight w:val="none"/>
                <w:lang w:val="en-US" w:eastAsia="zh-CN"/>
              </w:rPr>
              <w:t>具备设施设备安全、稳定运行的环境和场所</w:t>
            </w:r>
            <w:r>
              <w:rPr>
                <w:rFonts w:hint="eastAsia" w:eastAsia="宋体"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含有限空间</w:t>
            </w:r>
            <w:r>
              <w:rPr>
                <w:rFonts w:hint="eastAsia" w:eastAsia="宋体"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，温湿度、照度、粉尘和烟雾浓度等符合相关安全规范</w:t>
            </w:r>
            <w:r>
              <w:rPr>
                <w:rFonts w:hint="eastAsia" w:eastAsia="宋体" w:cs="Calibri"/>
                <w:b w:val="0"/>
                <w:bCs w:val="0"/>
                <w:color w:val="auto"/>
                <w:kern w:val="0"/>
                <w:szCs w:val="21"/>
                <w:highlight w:val="none"/>
                <w:lang w:val="en-US" w:eastAsia="zh-CN"/>
              </w:rPr>
              <w:t>。</w:t>
            </w:r>
          </w:p>
        </w:tc>
      </w:tr>
      <w:tr w14:paraId="6CA54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restart"/>
            <w:noWrap w:val="0"/>
            <w:vAlign w:val="center"/>
          </w:tcPr>
          <w:p w14:paraId="1AD4F97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r>
              <w:rPr>
                <w:rFonts w:hint="eastAsia"/>
                <w:highlight w:val="none"/>
                <w:lang w:val="en-US" w:eastAsia="zh-CN"/>
              </w:rPr>
              <w:t>2</w:t>
            </w:r>
          </w:p>
        </w:tc>
        <w:tc>
          <w:tcPr>
            <w:tcW w:w="3348" w:type="dxa"/>
            <w:vMerge w:val="restart"/>
            <w:noWrap w:val="0"/>
            <w:vAlign w:val="center"/>
          </w:tcPr>
          <w:p w14:paraId="069A44D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r>
              <w:rPr>
                <w:rFonts w:hint="default"/>
                <w:highlight w:val="none"/>
              </w:rPr>
              <w:t>设备机房</w:t>
            </w:r>
          </w:p>
        </w:tc>
        <w:tc>
          <w:tcPr>
            <w:tcW w:w="10020" w:type="dxa"/>
            <w:noWrap w:val="0"/>
            <w:vAlign w:val="center"/>
          </w:tcPr>
          <w:p w14:paraId="720BA997">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设备机房门口有机房类别及安全标志。落实各类机房责任人、督查人，且设备系统图、应急预案流程图</w:t>
            </w:r>
            <w:r>
              <w:rPr>
                <w:rFonts w:hint="eastAsia"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管理制度、特种作业人员资格证书等上墙文件或证书符合</w:t>
            </w:r>
            <w:r>
              <w:rPr>
                <w:rFonts w:hint="eastAsia" w:cs="Calibri"/>
                <w:b w:val="0"/>
                <w:bCs w:val="0"/>
                <w:color w:val="auto"/>
                <w:kern w:val="0"/>
                <w:szCs w:val="21"/>
                <w:highlight w:val="none"/>
                <w:lang w:val="en-US" w:eastAsia="zh-CN"/>
              </w:rPr>
              <w:t>各设备机房国家标准</w:t>
            </w:r>
            <w:r>
              <w:rPr>
                <w:rFonts w:hint="eastAsia" w:ascii="Calibri" w:hAnsi="Calibri" w:eastAsia="宋体" w:cs="Calibri"/>
                <w:b w:val="0"/>
                <w:bCs w:val="0"/>
                <w:color w:val="auto"/>
                <w:kern w:val="0"/>
                <w:szCs w:val="21"/>
                <w:highlight w:val="none"/>
                <w:lang w:val="en-US" w:eastAsia="zh-CN"/>
              </w:rPr>
              <w:t>规范要求，机房巡视及外来人员记录清晰完整，标识统一</w:t>
            </w:r>
            <w:r>
              <w:rPr>
                <w:rFonts w:hint="eastAsia" w:eastAsia="宋体" w:cs="Calibri"/>
                <w:b w:val="0"/>
                <w:bCs w:val="0"/>
                <w:color w:val="auto"/>
                <w:kern w:val="0"/>
                <w:szCs w:val="21"/>
                <w:highlight w:val="none"/>
                <w:lang w:val="en-US" w:eastAsia="zh-CN"/>
              </w:rPr>
              <w:t>。</w:t>
            </w:r>
          </w:p>
        </w:tc>
      </w:tr>
      <w:tr w14:paraId="55556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242" w:type="dxa"/>
            <w:vMerge w:val="continue"/>
            <w:noWrap w:val="0"/>
            <w:vAlign w:val="center"/>
          </w:tcPr>
          <w:p w14:paraId="256BB26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48" w:type="dxa"/>
            <w:vMerge w:val="continue"/>
            <w:noWrap w:val="0"/>
            <w:vAlign w:val="center"/>
          </w:tcPr>
          <w:p w14:paraId="46C51E7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10020" w:type="dxa"/>
            <w:noWrap w:val="0"/>
            <w:vAlign w:val="center"/>
          </w:tcPr>
          <w:p w14:paraId="262DF9BE">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（2）设备机房</w:t>
            </w:r>
            <w:r>
              <w:rPr>
                <w:rFonts w:hint="eastAsia" w:ascii="Calibri" w:hAnsi="Calibri" w:eastAsia="宋体" w:cs="Calibri"/>
                <w:b w:val="0"/>
                <w:bCs w:val="0"/>
                <w:color w:val="auto"/>
                <w:kern w:val="0"/>
                <w:szCs w:val="21"/>
                <w:highlight w:val="none"/>
                <w:lang w:val="en-US" w:eastAsia="zh-CN"/>
              </w:rPr>
              <w:t>门窗、锁具应</w:t>
            </w:r>
            <w:r>
              <w:rPr>
                <w:rFonts w:hint="eastAsia" w:cs="Calibri"/>
                <w:b w:val="0"/>
                <w:bCs w:val="0"/>
                <w:color w:val="auto"/>
                <w:kern w:val="0"/>
                <w:szCs w:val="21"/>
                <w:highlight w:val="none"/>
                <w:lang w:val="en-US" w:eastAsia="zh-CN"/>
              </w:rPr>
              <w:t>当</w:t>
            </w:r>
            <w:r>
              <w:rPr>
                <w:rFonts w:hint="eastAsia" w:ascii="Calibri" w:hAnsi="Calibri" w:eastAsia="宋体" w:cs="Calibri"/>
                <w:b w:val="0"/>
                <w:bCs w:val="0"/>
                <w:color w:val="auto"/>
                <w:kern w:val="0"/>
                <w:szCs w:val="21"/>
                <w:highlight w:val="none"/>
                <w:lang w:val="en-US" w:eastAsia="zh-CN"/>
              </w:rPr>
              <w:t>完好、有效</w:t>
            </w:r>
            <w:r>
              <w:rPr>
                <w:rFonts w:hint="eastAsia" w:eastAsia="宋体" w:cs="Calibri"/>
                <w:b w:val="0"/>
                <w:bCs w:val="0"/>
                <w:color w:val="auto"/>
                <w:kern w:val="0"/>
                <w:szCs w:val="21"/>
                <w:highlight w:val="none"/>
                <w:lang w:val="en-US" w:eastAsia="zh-CN"/>
              </w:rPr>
              <w:t>。</w:t>
            </w:r>
          </w:p>
        </w:tc>
      </w:tr>
      <w:tr w14:paraId="25DF7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242" w:type="dxa"/>
            <w:vMerge w:val="continue"/>
            <w:noWrap w:val="0"/>
            <w:vAlign w:val="center"/>
          </w:tcPr>
          <w:p w14:paraId="1E06102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48" w:type="dxa"/>
            <w:vMerge w:val="continue"/>
            <w:noWrap w:val="0"/>
            <w:vAlign w:val="center"/>
          </w:tcPr>
          <w:p w14:paraId="096AECD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10020" w:type="dxa"/>
            <w:noWrap w:val="0"/>
            <w:vAlign w:val="center"/>
          </w:tcPr>
          <w:p w14:paraId="6346EA26">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（3）</w:t>
            </w:r>
            <w:r>
              <w:rPr>
                <w:rFonts w:hint="eastAsia" w:ascii="Calibri" w:hAnsi="Calibri" w:eastAsia="宋体" w:cs="Calibri"/>
                <w:b w:val="0"/>
                <w:bCs w:val="0"/>
                <w:color w:val="auto"/>
                <w:kern w:val="0"/>
                <w:szCs w:val="21"/>
                <w:highlight w:val="none"/>
                <w:lang w:val="en-US" w:eastAsia="zh-CN"/>
              </w:rPr>
              <w:t>每半月至少</w:t>
            </w:r>
            <w:r>
              <w:rPr>
                <w:rFonts w:hint="eastAsia" w:cs="Calibri"/>
                <w:b w:val="0"/>
                <w:bCs w:val="0"/>
                <w:color w:val="auto"/>
                <w:kern w:val="0"/>
                <w:szCs w:val="21"/>
                <w:highlight w:val="none"/>
                <w:lang w:val="en-US" w:eastAsia="zh-CN"/>
              </w:rPr>
              <w:t>开展</w:t>
            </w:r>
            <w:r>
              <w:rPr>
                <w:rFonts w:hint="eastAsia" w:ascii="Calibri" w:hAnsi="Calibri" w:eastAsia="宋体" w:cs="Calibri"/>
                <w:b w:val="0"/>
                <w:bCs w:val="0"/>
                <w:color w:val="auto"/>
                <w:kern w:val="0"/>
                <w:szCs w:val="21"/>
                <w:highlight w:val="none"/>
                <w:lang w:val="en-US" w:eastAsia="zh-CN"/>
              </w:rPr>
              <w:t>1次清洁，整洁有序、无杂物、无积尘、无鼠、无虫害，温湿度符合设备运行要求</w:t>
            </w:r>
            <w:r>
              <w:rPr>
                <w:rFonts w:hint="eastAsia" w:eastAsia="宋体" w:cs="Calibri"/>
                <w:b w:val="0"/>
                <w:bCs w:val="0"/>
                <w:color w:val="auto"/>
                <w:kern w:val="0"/>
                <w:szCs w:val="21"/>
                <w:highlight w:val="none"/>
                <w:lang w:val="en-US" w:eastAsia="zh-CN"/>
              </w:rPr>
              <w:t>。</w:t>
            </w:r>
          </w:p>
        </w:tc>
      </w:tr>
      <w:tr w14:paraId="32627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242" w:type="dxa"/>
            <w:vMerge w:val="continue"/>
            <w:noWrap w:val="0"/>
            <w:vAlign w:val="center"/>
          </w:tcPr>
          <w:p w14:paraId="54F290E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48" w:type="dxa"/>
            <w:vMerge w:val="continue"/>
            <w:noWrap w:val="0"/>
            <w:vAlign w:val="center"/>
          </w:tcPr>
          <w:p w14:paraId="548A408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10020" w:type="dxa"/>
            <w:noWrap w:val="0"/>
            <w:vAlign w:val="center"/>
          </w:tcPr>
          <w:p w14:paraId="181F15F6">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（4）</w:t>
            </w:r>
            <w:r>
              <w:rPr>
                <w:rFonts w:hint="eastAsia" w:ascii="Calibri" w:hAnsi="Calibri" w:eastAsia="宋体" w:cs="Calibri"/>
                <w:b w:val="0"/>
                <w:bCs w:val="0"/>
                <w:color w:val="auto"/>
                <w:kern w:val="0"/>
                <w:szCs w:val="21"/>
                <w:highlight w:val="none"/>
                <w:lang w:val="en-US" w:eastAsia="zh-CN"/>
              </w:rPr>
              <w:t>按</w:t>
            </w:r>
            <w:r>
              <w:rPr>
                <w:rFonts w:hint="eastAsia" w:cs="Calibri"/>
                <w:b w:val="0"/>
                <w:bCs w:val="0"/>
                <w:color w:val="auto"/>
                <w:kern w:val="0"/>
                <w:szCs w:val="21"/>
                <w:highlight w:val="none"/>
                <w:lang w:val="en-US" w:eastAsia="zh-CN"/>
              </w:rPr>
              <w:t>各设备机房国家标准</w:t>
            </w:r>
            <w:r>
              <w:rPr>
                <w:rFonts w:hint="eastAsia" w:ascii="Calibri" w:hAnsi="Calibri" w:eastAsia="宋体" w:cs="Calibri"/>
                <w:b w:val="0"/>
                <w:bCs w:val="0"/>
                <w:color w:val="auto"/>
                <w:kern w:val="0"/>
                <w:szCs w:val="21"/>
                <w:highlight w:val="none"/>
                <w:lang w:val="en-US" w:eastAsia="zh-CN"/>
              </w:rPr>
              <w:t>规范规定</w:t>
            </w:r>
            <w:r>
              <w:rPr>
                <w:rFonts w:hint="eastAsia" w:cs="Calibri"/>
                <w:b w:val="0"/>
                <w:bCs w:val="0"/>
                <w:color w:val="auto"/>
                <w:kern w:val="0"/>
                <w:szCs w:val="21"/>
                <w:highlight w:val="none"/>
                <w:lang w:val="en-US" w:eastAsia="zh-CN"/>
              </w:rPr>
              <w:t>维护/保管</w:t>
            </w:r>
            <w:r>
              <w:rPr>
                <w:rFonts w:hint="eastAsia" w:ascii="Calibri" w:hAnsi="Calibri" w:eastAsia="宋体" w:cs="Calibri"/>
                <w:b w:val="0"/>
                <w:bCs w:val="0"/>
                <w:color w:val="auto"/>
                <w:kern w:val="0"/>
                <w:szCs w:val="21"/>
                <w:highlight w:val="none"/>
                <w:lang w:val="en-US" w:eastAsia="zh-CN"/>
              </w:rPr>
              <w:t>消防、通风、应急照明</w:t>
            </w:r>
            <w:r>
              <w:rPr>
                <w:rFonts w:hint="eastAsia"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防止小动物进入</w:t>
            </w:r>
            <w:r>
              <w:rPr>
                <w:rFonts w:hint="eastAsia" w:eastAsia="宋体" w:cs="Calibri"/>
                <w:b w:val="0"/>
                <w:bCs w:val="0"/>
                <w:color w:val="auto"/>
                <w:kern w:val="0"/>
                <w:szCs w:val="21"/>
                <w:highlight w:val="none"/>
                <w:lang w:val="en-US" w:eastAsia="zh-CN"/>
              </w:rPr>
              <w:t>。</w:t>
            </w:r>
          </w:p>
        </w:tc>
      </w:tr>
      <w:tr w14:paraId="3605E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242" w:type="dxa"/>
            <w:vMerge w:val="continue"/>
            <w:noWrap w:val="0"/>
            <w:vAlign w:val="center"/>
          </w:tcPr>
          <w:p w14:paraId="6928D2B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48" w:type="dxa"/>
            <w:vMerge w:val="continue"/>
            <w:noWrap w:val="0"/>
            <w:vAlign w:val="center"/>
          </w:tcPr>
          <w:p w14:paraId="0CE633D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10020" w:type="dxa"/>
            <w:noWrap w:val="0"/>
            <w:vAlign w:val="center"/>
          </w:tcPr>
          <w:p w14:paraId="71D6C739">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（5）</w:t>
            </w:r>
            <w:r>
              <w:rPr>
                <w:rFonts w:hint="eastAsia" w:ascii="Calibri" w:hAnsi="Calibri" w:eastAsia="宋体" w:cs="Calibri"/>
                <w:b w:val="0"/>
                <w:bCs w:val="0"/>
                <w:color w:val="auto"/>
                <w:kern w:val="0"/>
                <w:szCs w:val="21"/>
                <w:highlight w:val="none"/>
                <w:lang w:val="en-US" w:eastAsia="zh-CN"/>
              </w:rPr>
              <w:t>安全防护用具配置齐全，检验合格</w:t>
            </w:r>
            <w:r>
              <w:rPr>
                <w:rFonts w:hint="eastAsia" w:eastAsia="宋体" w:cs="Calibri"/>
                <w:b w:val="0"/>
                <w:bCs w:val="0"/>
                <w:color w:val="auto"/>
                <w:kern w:val="0"/>
                <w:szCs w:val="21"/>
                <w:highlight w:val="none"/>
                <w:lang w:val="en-US" w:eastAsia="zh-CN"/>
              </w:rPr>
              <w:t>。</w:t>
            </w:r>
          </w:p>
        </w:tc>
      </w:tr>
      <w:tr w14:paraId="5895F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242" w:type="dxa"/>
            <w:vMerge w:val="continue"/>
            <w:noWrap w:val="0"/>
            <w:vAlign w:val="center"/>
          </w:tcPr>
          <w:p w14:paraId="515F3BB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p>
        </w:tc>
        <w:tc>
          <w:tcPr>
            <w:tcW w:w="3348" w:type="dxa"/>
            <w:vMerge w:val="continue"/>
            <w:noWrap w:val="0"/>
            <w:vAlign w:val="center"/>
          </w:tcPr>
          <w:p w14:paraId="53E294E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10020" w:type="dxa"/>
            <w:noWrap w:val="0"/>
            <w:vAlign w:val="center"/>
          </w:tcPr>
          <w:p w14:paraId="34E63397">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（6）</w:t>
            </w:r>
            <w:r>
              <w:rPr>
                <w:rFonts w:hint="eastAsia" w:ascii="Calibri" w:hAnsi="Calibri" w:eastAsia="宋体" w:cs="Calibri"/>
                <w:b w:val="0"/>
                <w:bCs w:val="0"/>
                <w:color w:val="auto"/>
                <w:kern w:val="0"/>
                <w:szCs w:val="21"/>
                <w:highlight w:val="none"/>
                <w:lang w:val="en-US" w:eastAsia="zh-CN"/>
              </w:rPr>
              <w:t>应急设施设备用品应</w:t>
            </w:r>
            <w:r>
              <w:rPr>
                <w:rFonts w:hint="eastAsia" w:cs="Calibri"/>
                <w:b w:val="0"/>
                <w:bCs w:val="0"/>
                <w:color w:val="auto"/>
                <w:kern w:val="0"/>
                <w:szCs w:val="21"/>
                <w:highlight w:val="none"/>
                <w:lang w:val="en-US" w:eastAsia="zh-CN"/>
              </w:rPr>
              <w:t>当</w:t>
            </w:r>
            <w:r>
              <w:rPr>
                <w:rFonts w:hint="eastAsia" w:ascii="Calibri" w:hAnsi="Calibri" w:eastAsia="宋体" w:cs="Calibri"/>
                <w:b w:val="0"/>
                <w:bCs w:val="0"/>
                <w:color w:val="auto"/>
                <w:kern w:val="0"/>
                <w:szCs w:val="21"/>
                <w:highlight w:val="none"/>
                <w:lang w:val="en-US" w:eastAsia="zh-CN"/>
              </w:rPr>
              <w:t>齐全、完备，可随时启用</w:t>
            </w:r>
            <w:r>
              <w:rPr>
                <w:rFonts w:hint="eastAsia" w:eastAsia="宋体" w:cs="Calibri"/>
                <w:b w:val="0"/>
                <w:bCs w:val="0"/>
                <w:color w:val="auto"/>
                <w:kern w:val="0"/>
                <w:szCs w:val="21"/>
                <w:highlight w:val="none"/>
                <w:lang w:val="en-US" w:eastAsia="zh-CN"/>
              </w:rPr>
              <w:t>。</w:t>
            </w:r>
          </w:p>
        </w:tc>
      </w:tr>
      <w:tr w14:paraId="086C7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restart"/>
            <w:noWrap w:val="0"/>
            <w:vAlign w:val="center"/>
          </w:tcPr>
          <w:p w14:paraId="22EC69C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r>
              <w:rPr>
                <w:rFonts w:hint="eastAsia"/>
                <w:highlight w:val="none"/>
                <w:lang w:val="en-US" w:eastAsia="zh-CN"/>
              </w:rPr>
              <w:t>3</w:t>
            </w:r>
          </w:p>
        </w:tc>
        <w:tc>
          <w:tcPr>
            <w:tcW w:w="3348" w:type="dxa"/>
            <w:vMerge w:val="restart"/>
            <w:noWrap w:val="0"/>
            <w:vAlign w:val="center"/>
          </w:tcPr>
          <w:p w14:paraId="74712CA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eastAsia="宋体"/>
                <w:highlight w:val="none"/>
                <w:lang w:eastAsia="zh-CN"/>
              </w:rPr>
            </w:pPr>
            <w:r>
              <w:rPr>
                <w:rFonts w:hint="default"/>
                <w:highlight w:val="none"/>
              </w:rPr>
              <w:t>给排水系统</w:t>
            </w:r>
          </w:p>
        </w:tc>
        <w:tc>
          <w:tcPr>
            <w:tcW w:w="10020" w:type="dxa"/>
            <w:noWrap w:val="0"/>
            <w:vAlign w:val="center"/>
          </w:tcPr>
          <w:p w14:paraId="6112A61C">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生活饮用水卫生符合</w:t>
            </w:r>
            <w:r>
              <w:rPr>
                <w:rFonts w:hint="eastAsia" w:cs="Calibri"/>
                <w:b w:val="0"/>
                <w:bCs w:val="0"/>
                <w:color w:val="auto"/>
                <w:kern w:val="0"/>
                <w:szCs w:val="21"/>
                <w:highlight w:val="none"/>
                <w:lang w:val="en-US" w:eastAsia="zh-CN"/>
              </w:rPr>
              <w:t>《</w:t>
            </w:r>
            <w:r>
              <w:rPr>
                <w:rFonts w:hint="eastAsia"/>
                <w:color w:val="auto"/>
                <w:kern w:val="0"/>
                <w:highlight w:val="none"/>
              </w:rPr>
              <w:t>生活饮用水卫生标准</w:t>
            </w:r>
            <w:r>
              <w:rPr>
                <w:rFonts w:hint="eastAsia"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GB5749</w:t>
            </w:r>
            <w:r>
              <w:rPr>
                <w:rFonts w:hint="eastAsia"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的相关要求</w:t>
            </w:r>
            <w:r>
              <w:rPr>
                <w:rFonts w:hint="eastAsia" w:eastAsia="宋体" w:cs="Calibri"/>
                <w:b w:val="0"/>
                <w:bCs w:val="0"/>
                <w:color w:val="auto"/>
                <w:kern w:val="0"/>
                <w:szCs w:val="21"/>
                <w:highlight w:val="none"/>
                <w:lang w:val="en-US" w:eastAsia="zh-CN"/>
              </w:rPr>
              <w:t>。</w:t>
            </w:r>
          </w:p>
        </w:tc>
      </w:tr>
      <w:tr w14:paraId="29BF5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14:paraId="2DCC118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48" w:type="dxa"/>
            <w:vMerge w:val="continue"/>
            <w:noWrap w:val="0"/>
            <w:vAlign w:val="center"/>
          </w:tcPr>
          <w:p w14:paraId="1C4C633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10020" w:type="dxa"/>
            <w:noWrap w:val="0"/>
            <w:vAlign w:val="center"/>
          </w:tcPr>
          <w:p w14:paraId="21050811">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（2）</w:t>
            </w:r>
            <w:r>
              <w:rPr>
                <w:rFonts w:hint="eastAsia" w:ascii="Calibri" w:hAnsi="Calibri" w:eastAsia="宋体" w:cs="Calibri"/>
                <w:b w:val="0"/>
                <w:bCs w:val="0"/>
                <w:color w:val="auto"/>
                <w:kern w:val="0"/>
                <w:szCs w:val="21"/>
                <w:highlight w:val="none"/>
                <w:lang w:val="en-US" w:eastAsia="zh-CN"/>
              </w:rPr>
              <w:t>二次供水卫生符合</w:t>
            </w:r>
            <w:r>
              <w:rPr>
                <w:rFonts w:hint="eastAsia" w:cs="Calibri"/>
                <w:b w:val="0"/>
                <w:bCs w:val="0"/>
                <w:color w:val="auto"/>
                <w:kern w:val="0"/>
                <w:szCs w:val="21"/>
                <w:highlight w:val="none"/>
                <w:lang w:val="en-US" w:eastAsia="zh-CN"/>
              </w:rPr>
              <w:t>《二次供水设施卫生规范》（</w:t>
            </w:r>
            <w:r>
              <w:rPr>
                <w:rFonts w:hint="eastAsia" w:ascii="Calibri" w:hAnsi="Calibri" w:eastAsia="宋体" w:cs="Calibri"/>
                <w:b w:val="0"/>
                <w:bCs w:val="0"/>
                <w:color w:val="auto"/>
                <w:kern w:val="0"/>
                <w:szCs w:val="21"/>
                <w:highlight w:val="none"/>
                <w:lang w:val="en-US" w:eastAsia="zh-CN"/>
              </w:rPr>
              <w:t>GB17051</w:t>
            </w:r>
            <w:r>
              <w:rPr>
                <w:rFonts w:hint="eastAsia"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的相关要求</w:t>
            </w:r>
            <w:r>
              <w:rPr>
                <w:rFonts w:hint="eastAsia" w:eastAsia="宋体" w:cs="Calibri"/>
                <w:b w:val="0"/>
                <w:bCs w:val="0"/>
                <w:color w:val="auto"/>
                <w:kern w:val="0"/>
                <w:szCs w:val="21"/>
                <w:highlight w:val="none"/>
                <w:lang w:val="en-US" w:eastAsia="zh-CN"/>
              </w:rPr>
              <w:t>。</w:t>
            </w:r>
          </w:p>
        </w:tc>
      </w:tr>
      <w:tr w14:paraId="6B07B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14:paraId="389EAB8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48" w:type="dxa"/>
            <w:vMerge w:val="continue"/>
            <w:noWrap w:val="0"/>
            <w:vAlign w:val="center"/>
          </w:tcPr>
          <w:p w14:paraId="2CEC8FE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10020" w:type="dxa"/>
            <w:noWrap w:val="0"/>
            <w:vAlign w:val="center"/>
          </w:tcPr>
          <w:p w14:paraId="0D7EE947">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（3）</w:t>
            </w:r>
            <w:r>
              <w:rPr>
                <w:rFonts w:hint="eastAsia" w:ascii="Calibri" w:hAnsi="Calibri" w:eastAsia="宋体" w:cs="Calibri"/>
                <w:b w:val="0"/>
                <w:bCs w:val="0"/>
                <w:color w:val="auto"/>
                <w:kern w:val="0"/>
                <w:szCs w:val="21"/>
                <w:highlight w:val="none"/>
                <w:lang w:val="en-US" w:eastAsia="zh-CN"/>
              </w:rPr>
              <w:t>设施设备、阀门、管道等运行正常，无跑、冒、滴、漏现象</w:t>
            </w:r>
            <w:r>
              <w:rPr>
                <w:rFonts w:hint="eastAsia" w:eastAsia="宋体" w:cs="Calibri"/>
                <w:b w:val="0"/>
                <w:bCs w:val="0"/>
                <w:color w:val="auto"/>
                <w:kern w:val="0"/>
                <w:szCs w:val="21"/>
                <w:highlight w:val="none"/>
                <w:lang w:val="en-US" w:eastAsia="zh-CN"/>
              </w:rPr>
              <w:t>。</w:t>
            </w:r>
          </w:p>
        </w:tc>
      </w:tr>
      <w:tr w14:paraId="225DB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14:paraId="616EDFB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48" w:type="dxa"/>
            <w:vMerge w:val="continue"/>
            <w:noWrap w:val="0"/>
            <w:vAlign w:val="center"/>
          </w:tcPr>
          <w:p w14:paraId="281D5BD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10020" w:type="dxa"/>
            <w:noWrap w:val="0"/>
            <w:vAlign w:val="center"/>
          </w:tcPr>
          <w:p w14:paraId="6FB31BA3">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（4）</w:t>
            </w:r>
            <w:r>
              <w:rPr>
                <w:rFonts w:hint="eastAsia" w:ascii="Calibri" w:hAnsi="Calibri" w:eastAsia="宋体" w:cs="Calibri"/>
                <w:b w:val="0"/>
                <w:bCs w:val="0"/>
                <w:color w:val="auto"/>
                <w:kern w:val="0"/>
                <w:szCs w:val="21"/>
                <w:highlight w:val="none"/>
                <w:lang w:val="en-US" w:eastAsia="zh-CN"/>
              </w:rPr>
              <w:t>有水泵房、水箱间的，每日至少巡视1次。每年至少养护1次水泵</w:t>
            </w:r>
            <w:r>
              <w:rPr>
                <w:rFonts w:hint="eastAsia" w:eastAsia="宋体" w:cs="Calibri"/>
                <w:b w:val="0"/>
                <w:bCs w:val="0"/>
                <w:color w:val="auto"/>
                <w:kern w:val="0"/>
                <w:szCs w:val="21"/>
                <w:highlight w:val="none"/>
                <w:lang w:val="en-US" w:eastAsia="zh-CN"/>
              </w:rPr>
              <w:t>。</w:t>
            </w:r>
          </w:p>
        </w:tc>
      </w:tr>
      <w:tr w14:paraId="5AE01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14:paraId="2734488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48" w:type="dxa"/>
            <w:vMerge w:val="continue"/>
            <w:noWrap w:val="0"/>
            <w:vAlign w:val="center"/>
          </w:tcPr>
          <w:p w14:paraId="06FE058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10020" w:type="dxa"/>
            <w:noWrap w:val="0"/>
            <w:vAlign w:val="center"/>
          </w:tcPr>
          <w:p w14:paraId="067AC348">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（5）</w:t>
            </w:r>
            <w:r>
              <w:rPr>
                <w:rFonts w:hint="eastAsia" w:ascii="Calibri" w:hAnsi="Calibri" w:eastAsia="宋体" w:cs="Calibri"/>
                <w:b w:val="0"/>
                <w:bCs w:val="0"/>
                <w:color w:val="auto"/>
                <w:kern w:val="0"/>
                <w:szCs w:val="21"/>
                <w:highlight w:val="none"/>
                <w:lang w:val="en-US" w:eastAsia="zh-CN"/>
              </w:rPr>
              <w:t>遇供水单位限水、停水，按规定时间通知</w:t>
            </w:r>
            <w:r>
              <w:rPr>
                <w:rFonts w:hint="eastAsia" w:eastAsia="宋体" w:cs="Calibri"/>
                <w:b w:val="0"/>
                <w:bCs w:val="0"/>
                <w:color w:val="auto"/>
                <w:kern w:val="0"/>
                <w:szCs w:val="21"/>
                <w:highlight w:val="none"/>
                <w:lang w:val="en-US" w:eastAsia="zh-CN"/>
              </w:rPr>
              <w:t>采购人。</w:t>
            </w:r>
          </w:p>
        </w:tc>
      </w:tr>
      <w:tr w14:paraId="75DCD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14:paraId="5316792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p>
        </w:tc>
        <w:tc>
          <w:tcPr>
            <w:tcW w:w="3348" w:type="dxa"/>
            <w:vMerge w:val="continue"/>
            <w:noWrap w:val="0"/>
            <w:vAlign w:val="center"/>
          </w:tcPr>
          <w:p w14:paraId="0A019DE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10020" w:type="dxa"/>
            <w:noWrap w:val="0"/>
            <w:vAlign w:val="center"/>
          </w:tcPr>
          <w:p w14:paraId="111674AD">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（6）</w:t>
            </w:r>
            <w:r>
              <w:rPr>
                <w:rFonts w:hint="eastAsia" w:ascii="Calibri" w:hAnsi="Calibri" w:eastAsia="宋体" w:cs="Calibri"/>
                <w:b w:val="0"/>
                <w:bCs w:val="0"/>
                <w:color w:val="auto"/>
                <w:kern w:val="0"/>
                <w:szCs w:val="21"/>
                <w:highlight w:val="none"/>
                <w:lang w:val="en-US" w:eastAsia="zh-CN"/>
              </w:rPr>
              <w:t>每季度至少</w:t>
            </w:r>
            <w:r>
              <w:rPr>
                <w:rFonts w:hint="eastAsia" w:cs="Calibri"/>
                <w:b w:val="0"/>
                <w:bCs w:val="0"/>
                <w:color w:val="auto"/>
                <w:kern w:val="0"/>
                <w:szCs w:val="21"/>
                <w:highlight w:val="none"/>
                <w:lang w:val="en-US" w:eastAsia="zh-CN"/>
              </w:rPr>
              <w:t>开展</w:t>
            </w:r>
            <w:r>
              <w:rPr>
                <w:rFonts w:hint="eastAsia" w:ascii="Calibri" w:hAnsi="Calibri" w:eastAsia="宋体" w:cs="Calibri"/>
                <w:b w:val="0"/>
                <w:bCs w:val="0"/>
                <w:color w:val="auto"/>
                <w:kern w:val="0"/>
                <w:szCs w:val="21"/>
                <w:highlight w:val="none"/>
                <w:lang w:val="en-US" w:eastAsia="zh-CN"/>
              </w:rPr>
              <w:t>1次对排水管进行疏通、清污，保证室内外排水系统通畅</w:t>
            </w:r>
            <w:r>
              <w:rPr>
                <w:rFonts w:hint="eastAsia" w:eastAsia="宋体" w:cs="Calibri"/>
                <w:b w:val="0"/>
                <w:bCs w:val="0"/>
                <w:color w:val="auto"/>
                <w:kern w:val="0"/>
                <w:szCs w:val="21"/>
                <w:highlight w:val="none"/>
                <w:lang w:val="en-US" w:eastAsia="zh-CN"/>
              </w:rPr>
              <w:t>。</w:t>
            </w:r>
          </w:p>
        </w:tc>
      </w:tr>
      <w:tr w14:paraId="245DF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14:paraId="35EDF4C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48" w:type="dxa"/>
            <w:vMerge w:val="continue"/>
            <w:noWrap w:val="0"/>
            <w:vAlign w:val="center"/>
          </w:tcPr>
          <w:p w14:paraId="12E40A7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highlight w:val="none"/>
                <w:lang w:val="en-US" w:eastAsia="zh-CN"/>
              </w:rPr>
            </w:pPr>
          </w:p>
        </w:tc>
        <w:tc>
          <w:tcPr>
            <w:tcW w:w="10020" w:type="dxa"/>
            <w:noWrap w:val="0"/>
            <w:vAlign w:val="center"/>
          </w:tcPr>
          <w:p w14:paraId="79577D09">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（2）</w:t>
            </w:r>
            <w:r>
              <w:rPr>
                <w:rFonts w:hint="eastAsia" w:ascii="Calibri" w:hAnsi="Calibri" w:eastAsia="宋体" w:cs="Calibri"/>
                <w:b w:val="0"/>
                <w:bCs w:val="0"/>
                <w:color w:val="auto"/>
                <w:kern w:val="0"/>
                <w:szCs w:val="21"/>
                <w:highlight w:val="none"/>
                <w:lang w:val="en-US" w:eastAsia="zh-CN"/>
              </w:rPr>
              <w:t>电梯准用证、年检合格证等证件齐全。相关证件、紧急救援电话和乘客注意事项置于轿厢醒目位置</w:t>
            </w:r>
            <w:r>
              <w:rPr>
                <w:rFonts w:hint="eastAsia" w:cs="Calibri"/>
                <w:b w:val="0"/>
                <w:bCs w:val="0"/>
                <w:color w:val="auto"/>
                <w:kern w:val="0"/>
                <w:szCs w:val="21"/>
                <w:highlight w:val="none"/>
                <w:lang w:val="en-US" w:eastAsia="zh-CN"/>
              </w:rPr>
              <w:t>。</w:t>
            </w:r>
          </w:p>
        </w:tc>
      </w:tr>
      <w:tr w14:paraId="2388E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14:paraId="4FF884C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48" w:type="dxa"/>
            <w:vMerge w:val="continue"/>
            <w:noWrap w:val="0"/>
            <w:vAlign w:val="center"/>
          </w:tcPr>
          <w:p w14:paraId="39DC3D5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highlight w:val="none"/>
                <w:lang w:val="en-US" w:eastAsia="zh-CN"/>
              </w:rPr>
            </w:pPr>
          </w:p>
        </w:tc>
        <w:tc>
          <w:tcPr>
            <w:tcW w:w="10020" w:type="dxa"/>
            <w:noWrap w:val="0"/>
            <w:vAlign w:val="center"/>
          </w:tcPr>
          <w:p w14:paraId="705E28E0">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（3）</w:t>
            </w:r>
            <w:r>
              <w:rPr>
                <w:rFonts w:hint="eastAsia" w:ascii="Calibri" w:hAnsi="Calibri" w:eastAsia="宋体" w:cs="Calibri"/>
                <w:b w:val="0"/>
                <w:bCs w:val="0"/>
                <w:color w:val="auto"/>
                <w:kern w:val="0"/>
                <w:szCs w:val="21"/>
                <w:highlight w:val="none"/>
                <w:lang w:val="en-US" w:eastAsia="zh-CN"/>
              </w:rPr>
              <w:t>每年至少</w:t>
            </w:r>
            <w:r>
              <w:rPr>
                <w:rFonts w:hint="eastAsia" w:cs="Calibri"/>
                <w:b w:val="0"/>
                <w:bCs w:val="0"/>
                <w:color w:val="auto"/>
                <w:kern w:val="0"/>
                <w:szCs w:val="21"/>
                <w:highlight w:val="none"/>
                <w:lang w:val="en-US" w:eastAsia="zh-CN"/>
              </w:rPr>
              <w:t>开展</w:t>
            </w:r>
            <w:r>
              <w:rPr>
                <w:rFonts w:hint="eastAsia" w:ascii="Calibri" w:hAnsi="Calibri" w:eastAsia="宋体" w:cs="Calibri"/>
                <w:b w:val="0"/>
                <w:bCs w:val="0"/>
                <w:color w:val="auto"/>
                <w:kern w:val="0"/>
                <w:szCs w:val="21"/>
                <w:highlight w:val="none"/>
                <w:lang w:val="en-US" w:eastAsia="zh-CN"/>
              </w:rPr>
              <w:t>1次对电梯</w:t>
            </w:r>
            <w:r>
              <w:rPr>
                <w:rFonts w:hint="eastAsia" w:cs="Calibri"/>
                <w:b w:val="0"/>
                <w:bCs w:val="0"/>
                <w:color w:val="auto"/>
                <w:kern w:val="0"/>
                <w:szCs w:val="21"/>
                <w:highlight w:val="none"/>
                <w:lang w:val="en-US" w:eastAsia="zh-CN"/>
              </w:rPr>
              <w:t>的</w:t>
            </w:r>
            <w:r>
              <w:rPr>
                <w:rFonts w:hint="eastAsia" w:ascii="Calibri" w:hAnsi="Calibri" w:eastAsia="宋体" w:cs="Calibri"/>
                <w:b w:val="0"/>
                <w:bCs w:val="0"/>
                <w:color w:val="auto"/>
                <w:kern w:val="0"/>
                <w:szCs w:val="21"/>
                <w:highlight w:val="none"/>
                <w:lang w:val="en-US" w:eastAsia="zh-CN"/>
              </w:rPr>
              <w:t>全面检测，并出具检测报告，核发电梯使用标志</w:t>
            </w:r>
            <w:r>
              <w:rPr>
                <w:rFonts w:hint="eastAsia" w:eastAsia="宋体" w:cs="Calibri"/>
                <w:b w:val="0"/>
                <w:bCs w:val="0"/>
                <w:color w:val="auto"/>
                <w:kern w:val="0"/>
                <w:szCs w:val="21"/>
                <w:highlight w:val="none"/>
                <w:lang w:val="en-US" w:eastAsia="zh-CN"/>
              </w:rPr>
              <w:t>。</w:t>
            </w:r>
          </w:p>
        </w:tc>
      </w:tr>
      <w:tr w14:paraId="620C6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14:paraId="10E7791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48" w:type="dxa"/>
            <w:vMerge w:val="continue"/>
            <w:noWrap w:val="0"/>
            <w:vAlign w:val="center"/>
          </w:tcPr>
          <w:p w14:paraId="40C2756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highlight w:val="none"/>
                <w:lang w:val="en-US" w:eastAsia="zh-CN"/>
              </w:rPr>
            </w:pPr>
          </w:p>
        </w:tc>
        <w:tc>
          <w:tcPr>
            <w:tcW w:w="10020" w:type="dxa"/>
            <w:noWrap w:val="0"/>
            <w:vAlign w:val="center"/>
          </w:tcPr>
          <w:p w14:paraId="75A5DA84">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（4）</w:t>
            </w:r>
            <w:r>
              <w:rPr>
                <w:rFonts w:hint="eastAsia" w:ascii="Calibri" w:hAnsi="Calibri" w:eastAsia="宋体" w:cs="Calibri"/>
                <w:b w:val="0"/>
                <w:bCs w:val="0"/>
                <w:color w:val="auto"/>
                <w:kern w:val="0"/>
                <w:szCs w:val="21"/>
                <w:highlight w:val="none"/>
                <w:lang w:val="en-US" w:eastAsia="zh-CN"/>
              </w:rPr>
              <w:t>电梯维保应</w:t>
            </w:r>
            <w:r>
              <w:rPr>
                <w:rFonts w:hint="eastAsia" w:cs="Calibri"/>
                <w:b w:val="0"/>
                <w:bCs w:val="0"/>
                <w:color w:val="auto"/>
                <w:kern w:val="0"/>
                <w:szCs w:val="21"/>
                <w:highlight w:val="none"/>
                <w:lang w:val="en-US" w:eastAsia="zh-CN"/>
              </w:rPr>
              <w:t>当</w:t>
            </w:r>
            <w:r>
              <w:rPr>
                <w:rFonts w:hint="eastAsia" w:ascii="Calibri" w:hAnsi="Calibri" w:eastAsia="宋体" w:cs="Calibri"/>
                <w:b w:val="0"/>
                <w:bCs w:val="0"/>
                <w:color w:val="auto"/>
                <w:kern w:val="0"/>
                <w:szCs w:val="21"/>
                <w:highlight w:val="none"/>
                <w:lang w:val="en-US" w:eastAsia="zh-CN"/>
              </w:rPr>
              <w:t>符合《电梯维护保养规则》</w:t>
            </w:r>
            <w:r>
              <w:rPr>
                <w:rFonts w:hint="eastAsia"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TSG T5002</w:t>
            </w:r>
            <w:r>
              <w:rPr>
                <w:rFonts w:hint="eastAsia"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的有关要求</w:t>
            </w:r>
            <w:r>
              <w:rPr>
                <w:rFonts w:hint="eastAsia" w:eastAsia="宋体" w:cs="Calibri"/>
                <w:b w:val="0"/>
                <w:bCs w:val="0"/>
                <w:color w:val="auto"/>
                <w:kern w:val="0"/>
                <w:szCs w:val="21"/>
                <w:highlight w:val="none"/>
                <w:lang w:val="en-US" w:eastAsia="zh-CN"/>
              </w:rPr>
              <w:t>。</w:t>
            </w:r>
          </w:p>
        </w:tc>
      </w:tr>
      <w:tr w14:paraId="25647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14:paraId="5965BE3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48" w:type="dxa"/>
            <w:vMerge w:val="continue"/>
            <w:noWrap w:val="0"/>
            <w:vAlign w:val="center"/>
          </w:tcPr>
          <w:p w14:paraId="1F7DC09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highlight w:val="none"/>
                <w:lang w:val="en-US" w:eastAsia="zh-CN"/>
              </w:rPr>
            </w:pPr>
          </w:p>
        </w:tc>
        <w:tc>
          <w:tcPr>
            <w:tcW w:w="10020" w:type="dxa"/>
            <w:noWrap w:val="0"/>
            <w:vAlign w:val="center"/>
          </w:tcPr>
          <w:p w14:paraId="6FD1F388">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（5）</w:t>
            </w:r>
            <w:r>
              <w:rPr>
                <w:rFonts w:hint="eastAsia" w:ascii="Calibri" w:hAnsi="Calibri" w:eastAsia="宋体" w:cs="Calibri"/>
                <w:b w:val="0"/>
                <w:bCs w:val="0"/>
                <w:color w:val="auto"/>
                <w:kern w:val="0"/>
                <w:szCs w:val="21"/>
                <w:highlight w:val="none"/>
                <w:lang w:val="en-US" w:eastAsia="zh-CN"/>
              </w:rPr>
              <w:t>电梯使用应</w:t>
            </w:r>
            <w:r>
              <w:rPr>
                <w:rFonts w:hint="eastAsia" w:cs="Calibri"/>
                <w:b w:val="0"/>
                <w:bCs w:val="0"/>
                <w:color w:val="auto"/>
                <w:kern w:val="0"/>
                <w:szCs w:val="21"/>
                <w:highlight w:val="none"/>
                <w:lang w:val="en-US" w:eastAsia="zh-CN"/>
              </w:rPr>
              <w:t>当</w:t>
            </w:r>
            <w:r>
              <w:rPr>
                <w:rFonts w:hint="eastAsia" w:ascii="Calibri" w:hAnsi="Calibri" w:eastAsia="宋体" w:cs="Calibri"/>
                <w:b w:val="0"/>
                <w:bCs w:val="0"/>
                <w:color w:val="auto"/>
                <w:kern w:val="0"/>
                <w:szCs w:val="21"/>
                <w:highlight w:val="none"/>
                <w:lang w:val="en-US" w:eastAsia="zh-CN"/>
              </w:rPr>
              <w:t>符合《特种设备使用管理规则》</w:t>
            </w:r>
            <w:r>
              <w:rPr>
                <w:rFonts w:hint="eastAsia"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TSG 08</w:t>
            </w:r>
            <w:r>
              <w:rPr>
                <w:rFonts w:hint="eastAsia"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的有关要求</w:t>
            </w:r>
            <w:r>
              <w:rPr>
                <w:rFonts w:hint="eastAsia" w:eastAsia="宋体" w:cs="Calibri"/>
                <w:b w:val="0"/>
                <w:bCs w:val="0"/>
                <w:color w:val="auto"/>
                <w:kern w:val="0"/>
                <w:szCs w:val="21"/>
                <w:highlight w:val="none"/>
                <w:lang w:val="en-US" w:eastAsia="zh-CN"/>
              </w:rPr>
              <w:t>。</w:t>
            </w:r>
          </w:p>
        </w:tc>
      </w:tr>
      <w:tr w14:paraId="33B11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14:paraId="61BF938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48" w:type="dxa"/>
            <w:vMerge w:val="continue"/>
            <w:noWrap w:val="0"/>
            <w:vAlign w:val="center"/>
          </w:tcPr>
          <w:p w14:paraId="7C444AA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highlight w:val="none"/>
                <w:lang w:val="en-US" w:eastAsia="zh-CN"/>
              </w:rPr>
            </w:pPr>
          </w:p>
        </w:tc>
        <w:tc>
          <w:tcPr>
            <w:tcW w:w="10020" w:type="dxa"/>
            <w:noWrap w:val="0"/>
            <w:vAlign w:val="center"/>
          </w:tcPr>
          <w:p w14:paraId="469EC4F5">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（6）</w:t>
            </w:r>
            <w:r>
              <w:rPr>
                <w:rFonts w:hint="eastAsia" w:ascii="Calibri" w:hAnsi="Calibri" w:eastAsia="宋体" w:cs="Calibri"/>
                <w:b w:val="0"/>
                <w:bCs w:val="0"/>
                <w:color w:val="auto"/>
                <w:kern w:val="0"/>
                <w:szCs w:val="21"/>
                <w:highlight w:val="none"/>
                <w:lang w:val="en-US" w:eastAsia="zh-CN"/>
              </w:rPr>
              <w:t>有电梯突发事件或事故的应急措施与救援预案，每年至少</w:t>
            </w:r>
            <w:r>
              <w:rPr>
                <w:rFonts w:hint="eastAsia" w:cs="Calibri"/>
                <w:b w:val="0"/>
                <w:bCs w:val="0"/>
                <w:color w:val="auto"/>
                <w:kern w:val="0"/>
                <w:szCs w:val="21"/>
                <w:highlight w:val="none"/>
                <w:lang w:val="en-US" w:eastAsia="zh-CN"/>
              </w:rPr>
              <w:t>开展</w:t>
            </w:r>
            <w:r>
              <w:rPr>
                <w:rFonts w:hint="eastAsia" w:ascii="Calibri" w:hAnsi="Calibri" w:eastAsia="宋体" w:cs="Calibri"/>
                <w:b w:val="0"/>
                <w:bCs w:val="0"/>
                <w:color w:val="auto"/>
                <w:kern w:val="0"/>
                <w:szCs w:val="21"/>
                <w:highlight w:val="none"/>
                <w:lang w:val="en-US" w:eastAsia="zh-CN"/>
              </w:rPr>
              <w:t>演练1次。电梯出现故障，物业服务人员10</w:t>
            </w:r>
            <w:r>
              <w:rPr>
                <w:rFonts w:hint="eastAsia" w:cs="Calibri"/>
                <w:b w:val="0"/>
                <w:bCs w:val="0"/>
                <w:color w:val="auto"/>
                <w:kern w:val="0"/>
                <w:szCs w:val="21"/>
                <w:highlight w:val="none"/>
                <w:lang w:val="en-US" w:eastAsia="zh-CN"/>
              </w:rPr>
              <w:t>分钟</w:t>
            </w:r>
            <w:r>
              <w:rPr>
                <w:rFonts w:hint="eastAsia" w:ascii="Calibri" w:hAnsi="Calibri" w:eastAsia="宋体" w:cs="Calibri"/>
                <w:b w:val="0"/>
                <w:bCs w:val="0"/>
                <w:color w:val="auto"/>
                <w:kern w:val="0"/>
                <w:szCs w:val="21"/>
                <w:highlight w:val="none"/>
                <w:lang w:val="en-US" w:eastAsia="zh-CN"/>
              </w:rPr>
              <w:t>内到场应急处理，维保专业人员30</w:t>
            </w:r>
            <w:r>
              <w:rPr>
                <w:rFonts w:hint="eastAsia" w:cs="Calibri"/>
                <w:b w:val="0"/>
                <w:bCs w:val="0"/>
                <w:color w:val="auto"/>
                <w:kern w:val="0"/>
                <w:szCs w:val="21"/>
                <w:highlight w:val="none"/>
                <w:lang w:val="en-US" w:eastAsia="zh-CN"/>
              </w:rPr>
              <w:t>分钟</w:t>
            </w:r>
            <w:r>
              <w:rPr>
                <w:rFonts w:hint="eastAsia" w:ascii="Calibri" w:hAnsi="Calibri" w:eastAsia="宋体" w:cs="Calibri"/>
                <w:b w:val="0"/>
                <w:bCs w:val="0"/>
                <w:color w:val="auto"/>
                <w:kern w:val="0"/>
                <w:szCs w:val="21"/>
                <w:highlight w:val="none"/>
                <w:lang w:val="en-US" w:eastAsia="zh-CN"/>
              </w:rPr>
              <w:t>内到场应急处理</w:t>
            </w:r>
            <w:r>
              <w:rPr>
                <w:rFonts w:hint="eastAsia" w:eastAsia="宋体" w:cs="Calibri"/>
                <w:b w:val="0"/>
                <w:bCs w:val="0"/>
                <w:color w:val="auto"/>
                <w:kern w:val="0"/>
                <w:szCs w:val="21"/>
                <w:highlight w:val="none"/>
                <w:lang w:val="en-US" w:eastAsia="zh-CN"/>
              </w:rPr>
              <w:t>。</w:t>
            </w:r>
          </w:p>
        </w:tc>
      </w:tr>
      <w:tr w14:paraId="001BD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14:paraId="77C5463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48" w:type="dxa"/>
            <w:vMerge w:val="continue"/>
            <w:noWrap w:val="0"/>
            <w:vAlign w:val="center"/>
          </w:tcPr>
          <w:p w14:paraId="04A98BE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highlight w:val="none"/>
                <w:lang w:val="en-US" w:eastAsia="zh-CN"/>
              </w:rPr>
            </w:pPr>
          </w:p>
        </w:tc>
        <w:tc>
          <w:tcPr>
            <w:tcW w:w="10020" w:type="dxa"/>
            <w:noWrap w:val="0"/>
            <w:vAlign w:val="center"/>
          </w:tcPr>
          <w:p w14:paraId="7471F24E">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（7）</w:t>
            </w:r>
            <w:r>
              <w:rPr>
                <w:rFonts w:hint="eastAsia" w:ascii="Calibri" w:hAnsi="Calibri" w:eastAsia="宋体" w:cs="Calibri"/>
                <w:b w:val="0"/>
                <w:bCs w:val="0"/>
                <w:color w:val="auto"/>
                <w:kern w:val="0"/>
                <w:szCs w:val="21"/>
                <w:highlight w:val="none"/>
                <w:lang w:val="en-US" w:eastAsia="zh-CN"/>
              </w:rPr>
              <w:t>到场进行救助和排除故障。电梯紧急电话保持畅通</w:t>
            </w:r>
            <w:r>
              <w:rPr>
                <w:rFonts w:hint="eastAsia" w:eastAsia="宋体" w:cs="Calibri"/>
                <w:b w:val="0"/>
                <w:bCs w:val="0"/>
                <w:color w:val="auto"/>
                <w:kern w:val="0"/>
                <w:szCs w:val="21"/>
                <w:highlight w:val="none"/>
                <w:lang w:val="en-US" w:eastAsia="zh-CN"/>
              </w:rPr>
              <w:t>。</w:t>
            </w:r>
          </w:p>
        </w:tc>
      </w:tr>
      <w:tr w14:paraId="14753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14:paraId="47F4389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48" w:type="dxa"/>
            <w:vMerge w:val="continue"/>
            <w:noWrap w:val="0"/>
            <w:vAlign w:val="center"/>
          </w:tcPr>
          <w:p w14:paraId="13ECEBD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highlight w:val="none"/>
                <w:lang w:val="en-US" w:eastAsia="zh-CN"/>
              </w:rPr>
            </w:pPr>
          </w:p>
        </w:tc>
        <w:tc>
          <w:tcPr>
            <w:tcW w:w="10020" w:type="dxa"/>
            <w:noWrap w:val="0"/>
            <w:vAlign w:val="center"/>
          </w:tcPr>
          <w:p w14:paraId="5C296F5F">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（8）</w:t>
            </w:r>
            <w:r>
              <w:rPr>
                <w:rFonts w:hint="eastAsia" w:ascii="Calibri" w:hAnsi="Calibri" w:eastAsia="宋体" w:cs="Calibri"/>
                <w:b w:val="0"/>
                <w:bCs w:val="0"/>
                <w:color w:val="auto"/>
                <w:kern w:val="0"/>
                <w:szCs w:val="21"/>
                <w:highlight w:val="none"/>
                <w:lang w:val="en-US" w:eastAsia="zh-CN"/>
              </w:rPr>
              <w:t>电梯维修、保养时在现场设置提示标识和防护围栏</w:t>
            </w:r>
            <w:r>
              <w:rPr>
                <w:rFonts w:hint="eastAsia" w:eastAsia="宋体" w:cs="Calibri"/>
                <w:b w:val="0"/>
                <w:bCs w:val="0"/>
                <w:color w:val="auto"/>
                <w:kern w:val="0"/>
                <w:szCs w:val="21"/>
                <w:highlight w:val="none"/>
                <w:lang w:val="en-US" w:eastAsia="zh-CN"/>
              </w:rPr>
              <w:t>。</w:t>
            </w:r>
          </w:p>
        </w:tc>
      </w:tr>
      <w:tr w14:paraId="03B0D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14:paraId="678A11E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48" w:type="dxa"/>
            <w:vMerge w:val="continue"/>
            <w:noWrap w:val="0"/>
            <w:vAlign w:val="center"/>
          </w:tcPr>
          <w:p w14:paraId="2673F03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highlight w:val="none"/>
                <w:lang w:val="en-US" w:eastAsia="zh-CN"/>
              </w:rPr>
            </w:pPr>
          </w:p>
        </w:tc>
        <w:tc>
          <w:tcPr>
            <w:tcW w:w="10020" w:type="dxa"/>
            <w:noWrap w:val="0"/>
            <w:vAlign w:val="center"/>
          </w:tcPr>
          <w:p w14:paraId="36DF4315">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（9）</w:t>
            </w:r>
            <w:r>
              <w:rPr>
                <w:rFonts w:hint="eastAsia" w:ascii="Calibri" w:hAnsi="Calibri" w:eastAsia="宋体" w:cs="Calibri"/>
                <w:b w:val="0"/>
                <w:bCs w:val="0"/>
                <w:color w:val="auto"/>
                <w:kern w:val="0"/>
                <w:szCs w:val="21"/>
                <w:highlight w:val="none"/>
                <w:lang w:val="en-US" w:eastAsia="zh-CN"/>
              </w:rPr>
              <w:t>根据</w:t>
            </w:r>
            <w:r>
              <w:rPr>
                <w:rFonts w:hint="eastAsia" w:eastAsia="宋体" w:cs="Calibri"/>
                <w:b w:val="0"/>
                <w:bCs w:val="0"/>
                <w:color w:val="auto"/>
                <w:kern w:val="0"/>
                <w:szCs w:val="21"/>
                <w:highlight w:val="none"/>
                <w:lang w:val="en-US" w:eastAsia="zh-CN"/>
              </w:rPr>
              <w:t>采购人</w:t>
            </w:r>
            <w:r>
              <w:rPr>
                <w:rFonts w:hint="eastAsia" w:ascii="Calibri" w:hAnsi="Calibri" w:eastAsia="宋体" w:cs="Calibri"/>
                <w:b w:val="0"/>
                <w:bCs w:val="0"/>
                <w:color w:val="auto"/>
                <w:kern w:val="0"/>
                <w:szCs w:val="21"/>
                <w:highlight w:val="none"/>
                <w:lang w:val="en-US" w:eastAsia="zh-CN"/>
              </w:rPr>
              <w:t>需求，合理设置电梯开启的数量、时间</w:t>
            </w:r>
            <w:r>
              <w:rPr>
                <w:rFonts w:hint="eastAsia" w:eastAsia="宋体" w:cs="Calibri"/>
                <w:b w:val="0"/>
                <w:bCs w:val="0"/>
                <w:color w:val="auto"/>
                <w:kern w:val="0"/>
                <w:szCs w:val="21"/>
                <w:highlight w:val="none"/>
                <w:lang w:val="en-US" w:eastAsia="zh-CN"/>
              </w:rPr>
              <w:t>。</w:t>
            </w:r>
          </w:p>
        </w:tc>
      </w:tr>
      <w:tr w14:paraId="66EFA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restart"/>
            <w:noWrap w:val="0"/>
            <w:vAlign w:val="center"/>
          </w:tcPr>
          <w:p w14:paraId="4BE9E88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r>
              <w:rPr>
                <w:rFonts w:hint="eastAsia"/>
                <w:highlight w:val="none"/>
                <w:lang w:val="en-US" w:eastAsia="zh-CN"/>
              </w:rPr>
              <w:t>4</w:t>
            </w:r>
          </w:p>
        </w:tc>
        <w:tc>
          <w:tcPr>
            <w:tcW w:w="3348" w:type="dxa"/>
            <w:vMerge w:val="restart"/>
            <w:noWrap w:val="0"/>
            <w:vAlign w:val="center"/>
          </w:tcPr>
          <w:p w14:paraId="7943DBE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r>
              <w:rPr>
                <w:rFonts w:hint="default" w:eastAsia="宋体"/>
                <w:highlight w:val="none"/>
                <w:lang w:val="en-US" w:eastAsia="zh-CN"/>
              </w:rPr>
              <w:t>消防</w:t>
            </w:r>
            <w:r>
              <w:rPr>
                <w:rFonts w:hint="default"/>
                <w:highlight w:val="none"/>
              </w:rPr>
              <w:t>系统</w:t>
            </w:r>
          </w:p>
        </w:tc>
        <w:tc>
          <w:tcPr>
            <w:tcW w:w="10020" w:type="dxa"/>
            <w:noWrap w:val="0"/>
            <w:vAlign w:val="center"/>
          </w:tcPr>
          <w:p w14:paraId="101C4D0C">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消防设施的维护管理符合</w:t>
            </w:r>
            <w:r>
              <w:rPr>
                <w:rFonts w:hint="eastAsia" w:cs="Calibri"/>
                <w:b w:val="0"/>
                <w:bCs w:val="0"/>
                <w:color w:val="auto"/>
                <w:kern w:val="0"/>
                <w:szCs w:val="21"/>
                <w:highlight w:val="none"/>
                <w:lang w:val="en-US" w:eastAsia="zh-CN"/>
              </w:rPr>
              <w:t>《建筑消防设施的维护管理》（</w:t>
            </w:r>
            <w:r>
              <w:rPr>
                <w:rFonts w:hint="eastAsia" w:ascii="Calibri" w:hAnsi="Calibri" w:eastAsia="宋体" w:cs="Calibri"/>
                <w:b w:val="0"/>
                <w:bCs w:val="0"/>
                <w:color w:val="auto"/>
                <w:kern w:val="0"/>
                <w:szCs w:val="21"/>
                <w:highlight w:val="none"/>
                <w:lang w:val="en-US" w:eastAsia="zh-CN"/>
              </w:rPr>
              <w:t>GB25201</w:t>
            </w:r>
            <w:r>
              <w:rPr>
                <w:rFonts w:hint="eastAsia"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的相关要求</w:t>
            </w:r>
            <w:r>
              <w:rPr>
                <w:rFonts w:hint="eastAsia" w:eastAsia="宋体" w:cs="Calibri"/>
                <w:b w:val="0"/>
                <w:bCs w:val="0"/>
                <w:color w:val="auto"/>
                <w:kern w:val="0"/>
                <w:szCs w:val="21"/>
                <w:highlight w:val="none"/>
                <w:lang w:val="en-US" w:eastAsia="zh-CN"/>
              </w:rPr>
              <w:t>。</w:t>
            </w:r>
          </w:p>
        </w:tc>
      </w:tr>
      <w:tr w14:paraId="3AFCE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14:paraId="57AC4F7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48" w:type="dxa"/>
            <w:vMerge w:val="continue"/>
            <w:noWrap w:val="0"/>
            <w:vAlign w:val="center"/>
          </w:tcPr>
          <w:p w14:paraId="571ED68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highlight w:val="none"/>
                <w:lang w:val="en-US" w:eastAsia="zh-CN"/>
              </w:rPr>
            </w:pPr>
          </w:p>
        </w:tc>
        <w:tc>
          <w:tcPr>
            <w:tcW w:w="10020" w:type="dxa"/>
            <w:noWrap w:val="0"/>
            <w:vAlign w:val="center"/>
          </w:tcPr>
          <w:p w14:paraId="14C6D9AC">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（2）</w:t>
            </w:r>
            <w:r>
              <w:rPr>
                <w:rFonts w:hint="eastAsia" w:ascii="Calibri" w:hAnsi="Calibri" w:eastAsia="宋体" w:cs="Calibri"/>
                <w:b w:val="0"/>
                <w:bCs w:val="0"/>
                <w:color w:val="auto"/>
                <w:kern w:val="0"/>
                <w:szCs w:val="21"/>
                <w:highlight w:val="none"/>
                <w:lang w:val="en-US" w:eastAsia="zh-CN"/>
              </w:rPr>
              <w:t>消防设备检测符合</w:t>
            </w:r>
            <w:r>
              <w:rPr>
                <w:rFonts w:hint="eastAsia" w:cs="Calibri"/>
                <w:b w:val="0"/>
                <w:bCs w:val="0"/>
                <w:color w:val="auto"/>
                <w:kern w:val="0"/>
                <w:szCs w:val="21"/>
                <w:highlight w:val="none"/>
                <w:lang w:val="en-US" w:eastAsia="zh-CN"/>
              </w:rPr>
              <w:t>《建筑消防设施检测技术规程》（</w:t>
            </w:r>
            <w:r>
              <w:rPr>
                <w:rFonts w:hint="eastAsia" w:ascii="Calibri" w:hAnsi="Calibri" w:eastAsia="宋体" w:cs="Calibri"/>
                <w:b w:val="0"/>
                <w:bCs w:val="0"/>
                <w:color w:val="auto"/>
                <w:kern w:val="0"/>
                <w:szCs w:val="21"/>
                <w:highlight w:val="none"/>
                <w:lang w:val="en-US" w:eastAsia="zh-CN"/>
              </w:rPr>
              <w:t>GA503</w:t>
            </w:r>
            <w:r>
              <w:rPr>
                <w:rFonts w:hint="eastAsia" w:cs="Calibri"/>
                <w:b w:val="0"/>
                <w:bCs w:val="0"/>
                <w:color w:val="auto"/>
                <w:kern w:val="0"/>
                <w:szCs w:val="21"/>
                <w:highlight w:val="none"/>
                <w:lang w:val="en-US" w:eastAsia="zh-CN"/>
              </w:rPr>
              <w:t>或XF503）</w:t>
            </w:r>
            <w:r>
              <w:rPr>
                <w:rFonts w:hint="eastAsia" w:ascii="Calibri" w:hAnsi="Calibri" w:eastAsia="宋体" w:cs="Calibri"/>
                <w:b w:val="0"/>
                <w:bCs w:val="0"/>
                <w:color w:val="auto"/>
                <w:kern w:val="0"/>
                <w:szCs w:val="21"/>
                <w:highlight w:val="none"/>
                <w:lang w:val="en-US" w:eastAsia="zh-CN"/>
              </w:rPr>
              <w:t>的相关要求</w:t>
            </w:r>
            <w:r>
              <w:rPr>
                <w:rFonts w:hint="eastAsia" w:eastAsia="宋体" w:cs="Calibri"/>
                <w:b w:val="0"/>
                <w:bCs w:val="0"/>
                <w:color w:val="auto"/>
                <w:kern w:val="0"/>
                <w:szCs w:val="21"/>
                <w:highlight w:val="none"/>
                <w:lang w:val="en-US" w:eastAsia="zh-CN"/>
              </w:rPr>
              <w:t>。</w:t>
            </w:r>
          </w:p>
        </w:tc>
      </w:tr>
      <w:tr w14:paraId="649A9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14:paraId="41CA30C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48" w:type="dxa"/>
            <w:vMerge w:val="continue"/>
            <w:noWrap w:val="0"/>
            <w:vAlign w:val="center"/>
          </w:tcPr>
          <w:p w14:paraId="782CB98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highlight w:val="none"/>
                <w:lang w:val="en-US" w:eastAsia="zh-CN"/>
              </w:rPr>
            </w:pPr>
          </w:p>
        </w:tc>
        <w:tc>
          <w:tcPr>
            <w:tcW w:w="10020" w:type="dxa"/>
            <w:noWrap w:val="0"/>
            <w:vAlign w:val="center"/>
          </w:tcPr>
          <w:p w14:paraId="32F0E34E">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（3）</w:t>
            </w:r>
            <w:r>
              <w:rPr>
                <w:rFonts w:hint="eastAsia" w:ascii="Calibri" w:hAnsi="Calibri" w:eastAsia="宋体" w:cs="Calibri"/>
                <w:b w:val="0"/>
                <w:bCs w:val="0"/>
                <w:color w:val="auto"/>
                <w:kern w:val="0"/>
                <w:szCs w:val="21"/>
                <w:highlight w:val="none"/>
                <w:lang w:val="en-US" w:eastAsia="zh-CN"/>
              </w:rPr>
              <w:t>消防设施平面图、火警疏散示意图、防火分区图等按幢设置在楼层醒目位置</w:t>
            </w:r>
            <w:r>
              <w:rPr>
                <w:rFonts w:hint="eastAsia" w:eastAsia="宋体" w:cs="Calibri"/>
                <w:b w:val="0"/>
                <w:bCs w:val="0"/>
                <w:color w:val="auto"/>
                <w:kern w:val="0"/>
                <w:szCs w:val="21"/>
                <w:highlight w:val="none"/>
                <w:lang w:val="en-US" w:eastAsia="zh-CN"/>
              </w:rPr>
              <w:t>。</w:t>
            </w:r>
          </w:p>
        </w:tc>
      </w:tr>
      <w:tr w14:paraId="40C78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14:paraId="5DD1766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48" w:type="dxa"/>
            <w:vMerge w:val="continue"/>
            <w:noWrap w:val="0"/>
            <w:vAlign w:val="center"/>
          </w:tcPr>
          <w:p w14:paraId="6BFC465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highlight w:val="none"/>
                <w:lang w:val="en-US" w:eastAsia="zh-CN"/>
              </w:rPr>
            </w:pPr>
          </w:p>
        </w:tc>
        <w:tc>
          <w:tcPr>
            <w:tcW w:w="10020" w:type="dxa"/>
            <w:noWrap w:val="0"/>
            <w:vAlign w:val="center"/>
          </w:tcPr>
          <w:p w14:paraId="6B44C7D4">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（4）</w:t>
            </w:r>
            <w:r>
              <w:rPr>
                <w:rFonts w:hint="eastAsia" w:ascii="Calibri" w:hAnsi="Calibri" w:eastAsia="宋体" w:cs="Calibri"/>
                <w:b w:val="0"/>
                <w:bCs w:val="0"/>
                <w:color w:val="auto"/>
                <w:kern w:val="0"/>
                <w:szCs w:val="21"/>
                <w:highlight w:val="none"/>
                <w:lang w:val="en-US" w:eastAsia="zh-CN"/>
              </w:rPr>
              <w:t>消防系统各设施设备使用说明清晰，宜图文结合</w:t>
            </w:r>
            <w:r>
              <w:rPr>
                <w:rFonts w:hint="eastAsia" w:eastAsia="宋体" w:cs="Calibri"/>
                <w:b w:val="0"/>
                <w:bCs w:val="0"/>
                <w:color w:val="auto"/>
                <w:kern w:val="0"/>
                <w:szCs w:val="21"/>
                <w:highlight w:val="none"/>
                <w:lang w:val="en-US" w:eastAsia="zh-CN"/>
              </w:rPr>
              <w:t>。</w:t>
            </w:r>
          </w:p>
        </w:tc>
      </w:tr>
      <w:tr w14:paraId="01B90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14:paraId="1CBD868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48" w:type="dxa"/>
            <w:vMerge w:val="continue"/>
            <w:noWrap w:val="0"/>
            <w:vAlign w:val="center"/>
          </w:tcPr>
          <w:p w14:paraId="3B8B4A5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highlight w:val="none"/>
                <w:lang w:val="en-US" w:eastAsia="zh-CN"/>
              </w:rPr>
            </w:pPr>
          </w:p>
        </w:tc>
        <w:tc>
          <w:tcPr>
            <w:tcW w:w="10020" w:type="dxa"/>
            <w:noWrap w:val="0"/>
            <w:vAlign w:val="center"/>
          </w:tcPr>
          <w:p w14:paraId="6912C237">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（5）</w:t>
            </w:r>
            <w:r>
              <w:rPr>
                <w:rFonts w:hint="eastAsia" w:ascii="Calibri" w:hAnsi="Calibri" w:eastAsia="宋体" w:cs="Calibri"/>
                <w:b w:val="0"/>
                <w:bCs w:val="0"/>
                <w:color w:val="auto"/>
                <w:kern w:val="0"/>
                <w:szCs w:val="21"/>
                <w:highlight w:val="none"/>
                <w:lang w:val="en-US" w:eastAsia="zh-CN"/>
              </w:rPr>
              <w:t>自动喷水灭火系统启动正常</w:t>
            </w:r>
            <w:r>
              <w:rPr>
                <w:rFonts w:hint="eastAsia" w:eastAsia="宋体" w:cs="Calibri"/>
                <w:b w:val="0"/>
                <w:bCs w:val="0"/>
                <w:color w:val="auto"/>
                <w:kern w:val="0"/>
                <w:szCs w:val="21"/>
                <w:highlight w:val="none"/>
                <w:lang w:val="en-US" w:eastAsia="zh-CN"/>
              </w:rPr>
              <w:t>。</w:t>
            </w:r>
          </w:p>
        </w:tc>
      </w:tr>
      <w:tr w14:paraId="54969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14:paraId="384A23A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48" w:type="dxa"/>
            <w:vMerge w:val="continue"/>
            <w:noWrap w:val="0"/>
            <w:vAlign w:val="center"/>
          </w:tcPr>
          <w:p w14:paraId="4614C31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highlight w:val="none"/>
                <w:lang w:val="en-US" w:eastAsia="zh-CN"/>
              </w:rPr>
            </w:pPr>
          </w:p>
        </w:tc>
        <w:tc>
          <w:tcPr>
            <w:tcW w:w="10020" w:type="dxa"/>
            <w:noWrap w:val="0"/>
            <w:vAlign w:val="center"/>
          </w:tcPr>
          <w:p w14:paraId="334D96CB">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（6）</w:t>
            </w:r>
            <w:r>
              <w:rPr>
                <w:rFonts w:hint="eastAsia" w:ascii="Calibri" w:hAnsi="Calibri" w:eastAsia="宋体" w:cs="Calibri"/>
                <w:b w:val="0"/>
                <w:bCs w:val="0"/>
                <w:color w:val="auto"/>
                <w:kern w:val="0"/>
                <w:szCs w:val="21"/>
                <w:highlight w:val="none"/>
                <w:lang w:val="en-US" w:eastAsia="zh-CN"/>
              </w:rPr>
              <w:t>消火栓箱、防火门、灭火器、消防水泵、红外线报警器、应急照明、安全疏散等系统运行正常</w:t>
            </w:r>
            <w:r>
              <w:rPr>
                <w:rFonts w:hint="eastAsia" w:eastAsia="宋体" w:cs="Calibri"/>
                <w:b w:val="0"/>
                <w:bCs w:val="0"/>
                <w:color w:val="auto"/>
                <w:kern w:val="0"/>
                <w:szCs w:val="21"/>
                <w:highlight w:val="none"/>
                <w:lang w:val="en-US" w:eastAsia="zh-CN"/>
              </w:rPr>
              <w:t>。</w:t>
            </w:r>
          </w:p>
        </w:tc>
      </w:tr>
      <w:tr w14:paraId="7F6E0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14:paraId="4DAA750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48" w:type="dxa"/>
            <w:vMerge w:val="continue"/>
            <w:noWrap w:val="0"/>
            <w:vAlign w:val="center"/>
          </w:tcPr>
          <w:p w14:paraId="371CC90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highlight w:val="none"/>
                <w:lang w:val="en-US" w:eastAsia="zh-CN"/>
              </w:rPr>
            </w:pPr>
          </w:p>
        </w:tc>
        <w:tc>
          <w:tcPr>
            <w:tcW w:w="10020" w:type="dxa"/>
            <w:noWrap w:val="0"/>
            <w:vAlign w:val="center"/>
          </w:tcPr>
          <w:p w14:paraId="49654D86">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（7）</w:t>
            </w:r>
            <w:r>
              <w:rPr>
                <w:rFonts w:hint="eastAsia" w:ascii="Calibri" w:hAnsi="Calibri" w:eastAsia="宋体" w:cs="Calibri"/>
                <w:b w:val="0"/>
                <w:bCs w:val="0"/>
                <w:color w:val="auto"/>
                <w:kern w:val="0"/>
                <w:szCs w:val="21"/>
                <w:highlight w:val="none"/>
                <w:lang w:val="en-US" w:eastAsia="zh-CN"/>
              </w:rPr>
              <w:t>消防监控系统运行良好，自动和手动报警设施启动正常</w:t>
            </w:r>
            <w:r>
              <w:rPr>
                <w:rFonts w:hint="eastAsia" w:eastAsia="宋体" w:cs="Calibri"/>
                <w:b w:val="0"/>
                <w:bCs w:val="0"/>
                <w:color w:val="auto"/>
                <w:kern w:val="0"/>
                <w:szCs w:val="21"/>
                <w:highlight w:val="none"/>
                <w:lang w:val="en-US" w:eastAsia="zh-CN"/>
              </w:rPr>
              <w:t>。</w:t>
            </w:r>
          </w:p>
        </w:tc>
      </w:tr>
      <w:tr w14:paraId="04617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14:paraId="7EDE276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p>
        </w:tc>
        <w:tc>
          <w:tcPr>
            <w:tcW w:w="3348" w:type="dxa"/>
            <w:vMerge w:val="continue"/>
            <w:noWrap w:val="0"/>
            <w:vAlign w:val="center"/>
          </w:tcPr>
          <w:p w14:paraId="28B7779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10020" w:type="dxa"/>
            <w:noWrap w:val="0"/>
            <w:vAlign w:val="center"/>
          </w:tcPr>
          <w:p w14:paraId="50110EA2">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（8）</w:t>
            </w:r>
            <w:r>
              <w:rPr>
                <w:rFonts w:hint="eastAsia" w:ascii="Calibri" w:hAnsi="Calibri" w:eastAsia="宋体" w:cs="Calibri"/>
                <w:b w:val="0"/>
                <w:bCs w:val="0"/>
                <w:color w:val="auto"/>
                <w:kern w:val="0"/>
                <w:szCs w:val="21"/>
                <w:highlight w:val="none"/>
                <w:lang w:val="en-US" w:eastAsia="zh-CN"/>
              </w:rPr>
              <w:t>正压送风、防排烟系统运行正常</w:t>
            </w:r>
            <w:r>
              <w:rPr>
                <w:rFonts w:hint="eastAsia" w:eastAsia="宋体" w:cs="Calibri"/>
                <w:b w:val="0"/>
                <w:bCs w:val="0"/>
                <w:color w:val="auto"/>
                <w:kern w:val="0"/>
                <w:szCs w:val="21"/>
                <w:highlight w:val="none"/>
                <w:lang w:val="en-US" w:eastAsia="zh-CN"/>
              </w:rPr>
              <w:t>。</w:t>
            </w:r>
          </w:p>
        </w:tc>
      </w:tr>
      <w:tr w14:paraId="6EE52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restart"/>
            <w:noWrap w:val="0"/>
            <w:vAlign w:val="center"/>
          </w:tcPr>
          <w:p w14:paraId="09D80AD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r>
              <w:rPr>
                <w:rFonts w:hint="eastAsia"/>
                <w:highlight w:val="none"/>
                <w:lang w:val="en-US" w:eastAsia="zh-CN"/>
              </w:rPr>
              <w:t>5</w:t>
            </w:r>
          </w:p>
        </w:tc>
        <w:tc>
          <w:tcPr>
            <w:tcW w:w="3348" w:type="dxa"/>
            <w:vMerge w:val="restart"/>
            <w:noWrap w:val="0"/>
            <w:vAlign w:val="center"/>
          </w:tcPr>
          <w:p w14:paraId="7472F7D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r>
              <w:rPr>
                <w:rFonts w:hint="default"/>
                <w:highlight w:val="none"/>
              </w:rPr>
              <w:t>供</w:t>
            </w:r>
            <w:r>
              <w:rPr>
                <w:rFonts w:hint="default" w:eastAsia="宋体"/>
                <w:highlight w:val="none"/>
                <w:lang w:val="en-US" w:eastAsia="zh-CN"/>
              </w:rPr>
              <w:t>配电</w:t>
            </w:r>
            <w:r>
              <w:rPr>
                <w:rFonts w:hint="default"/>
                <w:highlight w:val="none"/>
              </w:rPr>
              <w:t>系统</w:t>
            </w:r>
          </w:p>
        </w:tc>
        <w:tc>
          <w:tcPr>
            <w:tcW w:w="10020" w:type="dxa"/>
            <w:noWrap w:val="0"/>
            <w:vAlign w:val="center"/>
          </w:tcPr>
          <w:p w14:paraId="0C9D2C5D">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建立</w:t>
            </w:r>
            <w:r>
              <w:rPr>
                <w:rFonts w:hint="eastAsia" w:cs="Calibri"/>
                <w:b w:val="0"/>
                <w:bCs w:val="0"/>
                <w:color w:val="auto"/>
                <w:kern w:val="0"/>
                <w:szCs w:val="21"/>
                <w:highlight w:val="none"/>
                <w:lang w:val="en-US" w:eastAsia="zh-CN"/>
              </w:rPr>
              <w:t>24小时</w:t>
            </w:r>
            <w:r>
              <w:rPr>
                <w:rFonts w:hint="eastAsia" w:ascii="Calibri" w:hAnsi="Calibri" w:eastAsia="宋体" w:cs="Calibri"/>
                <w:b w:val="0"/>
                <w:bCs w:val="0"/>
                <w:color w:val="auto"/>
                <w:kern w:val="0"/>
                <w:szCs w:val="21"/>
                <w:highlight w:val="none"/>
                <w:lang w:val="en-US" w:eastAsia="zh-CN"/>
              </w:rPr>
              <w:t>运行值班监控制度</w:t>
            </w:r>
            <w:r>
              <w:rPr>
                <w:rFonts w:hint="eastAsia" w:eastAsia="宋体" w:cs="Calibri"/>
                <w:b w:val="0"/>
                <w:bCs w:val="0"/>
                <w:color w:val="auto"/>
                <w:kern w:val="0"/>
                <w:szCs w:val="21"/>
                <w:highlight w:val="none"/>
                <w:lang w:val="en-US" w:eastAsia="zh-CN"/>
              </w:rPr>
              <w:t>。</w:t>
            </w:r>
          </w:p>
        </w:tc>
      </w:tr>
      <w:tr w14:paraId="6E066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14:paraId="7930803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rPr>
            </w:pPr>
          </w:p>
        </w:tc>
        <w:tc>
          <w:tcPr>
            <w:tcW w:w="3348" w:type="dxa"/>
            <w:vMerge w:val="continue"/>
            <w:noWrap w:val="0"/>
            <w:vAlign w:val="center"/>
          </w:tcPr>
          <w:p w14:paraId="4BB6259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10020" w:type="dxa"/>
            <w:noWrap w:val="0"/>
            <w:vAlign w:val="center"/>
          </w:tcPr>
          <w:p w14:paraId="6144CBD2">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（2）</w:t>
            </w:r>
            <w:r>
              <w:rPr>
                <w:rFonts w:hint="eastAsia" w:ascii="Calibri" w:hAnsi="Calibri" w:eastAsia="宋体" w:cs="Calibri"/>
                <w:b w:val="0"/>
                <w:bCs w:val="0"/>
                <w:color w:val="auto"/>
                <w:kern w:val="0"/>
                <w:szCs w:val="21"/>
                <w:highlight w:val="none"/>
                <w:lang w:val="en-US" w:eastAsia="zh-CN"/>
              </w:rPr>
              <w:t>对供电范围内的电气设备定期巡视维护，加强高低压配电柜、配电箱、控制柜及线路等重点部位监测</w:t>
            </w:r>
            <w:r>
              <w:rPr>
                <w:rFonts w:hint="eastAsia" w:eastAsia="宋体" w:cs="Calibri"/>
                <w:b w:val="0"/>
                <w:bCs w:val="0"/>
                <w:color w:val="auto"/>
                <w:kern w:val="0"/>
                <w:szCs w:val="21"/>
                <w:highlight w:val="none"/>
                <w:lang w:val="en-US" w:eastAsia="zh-CN"/>
              </w:rPr>
              <w:t>。</w:t>
            </w:r>
          </w:p>
        </w:tc>
      </w:tr>
      <w:tr w14:paraId="418DC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14:paraId="44A13B6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rPr>
            </w:pPr>
          </w:p>
        </w:tc>
        <w:tc>
          <w:tcPr>
            <w:tcW w:w="3348" w:type="dxa"/>
            <w:vMerge w:val="continue"/>
            <w:noWrap w:val="0"/>
            <w:vAlign w:val="center"/>
          </w:tcPr>
          <w:p w14:paraId="1230240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10020" w:type="dxa"/>
            <w:noWrap w:val="0"/>
            <w:vAlign w:val="center"/>
          </w:tcPr>
          <w:p w14:paraId="516554F4">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（3）</w:t>
            </w:r>
            <w:r>
              <w:rPr>
                <w:rFonts w:hint="eastAsia" w:ascii="Calibri" w:hAnsi="Calibri" w:eastAsia="宋体" w:cs="Calibri"/>
                <w:b w:val="0"/>
                <w:bCs w:val="0"/>
                <w:color w:val="auto"/>
                <w:kern w:val="0"/>
                <w:szCs w:val="21"/>
                <w:highlight w:val="none"/>
                <w:lang w:val="en-US" w:eastAsia="zh-CN"/>
              </w:rPr>
              <w:t>公共使用的照明、指示灯具线路、开关、接地等保持完好，确保用电安全</w:t>
            </w:r>
            <w:r>
              <w:rPr>
                <w:rFonts w:hint="eastAsia" w:eastAsia="宋体" w:cs="Calibri"/>
                <w:b w:val="0"/>
                <w:bCs w:val="0"/>
                <w:color w:val="auto"/>
                <w:kern w:val="0"/>
                <w:szCs w:val="21"/>
                <w:highlight w:val="none"/>
                <w:lang w:val="en-US" w:eastAsia="zh-CN"/>
              </w:rPr>
              <w:t>。</w:t>
            </w:r>
          </w:p>
        </w:tc>
      </w:tr>
      <w:tr w14:paraId="54DAC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14:paraId="1FA6F69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rPr>
            </w:pPr>
          </w:p>
        </w:tc>
        <w:tc>
          <w:tcPr>
            <w:tcW w:w="3348" w:type="dxa"/>
            <w:vMerge w:val="continue"/>
            <w:noWrap w:val="0"/>
            <w:vAlign w:val="center"/>
          </w:tcPr>
          <w:p w14:paraId="454DB48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10020" w:type="dxa"/>
            <w:noWrap w:val="0"/>
            <w:vAlign w:val="center"/>
          </w:tcPr>
          <w:p w14:paraId="5E91D304">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（4）</w:t>
            </w:r>
            <w:r>
              <w:rPr>
                <w:rFonts w:hint="eastAsia" w:ascii="Calibri" w:hAnsi="Calibri" w:eastAsia="宋体" w:cs="Calibri"/>
                <w:b w:val="0"/>
                <w:bCs w:val="0"/>
                <w:color w:val="auto"/>
                <w:kern w:val="0"/>
                <w:szCs w:val="21"/>
                <w:highlight w:val="none"/>
                <w:lang w:val="en-US" w:eastAsia="zh-CN"/>
              </w:rPr>
              <w:t>核心部位用电建立高可控用电保障和配备应急发电设备，定期维护应急发电设备</w:t>
            </w:r>
            <w:r>
              <w:rPr>
                <w:rFonts w:hint="eastAsia" w:eastAsia="宋体" w:cs="Calibri"/>
                <w:b w:val="0"/>
                <w:bCs w:val="0"/>
                <w:color w:val="auto"/>
                <w:kern w:val="0"/>
                <w:szCs w:val="21"/>
                <w:highlight w:val="none"/>
                <w:lang w:val="en-US" w:eastAsia="zh-CN"/>
              </w:rPr>
              <w:t>。</w:t>
            </w:r>
          </w:p>
        </w:tc>
      </w:tr>
      <w:tr w14:paraId="233E1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14:paraId="4BBB55A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rPr>
            </w:pPr>
          </w:p>
        </w:tc>
        <w:tc>
          <w:tcPr>
            <w:tcW w:w="3348" w:type="dxa"/>
            <w:vMerge w:val="continue"/>
            <w:noWrap w:val="0"/>
            <w:vAlign w:val="center"/>
          </w:tcPr>
          <w:p w14:paraId="5008C99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10020" w:type="dxa"/>
            <w:noWrap w:val="0"/>
            <w:vAlign w:val="center"/>
          </w:tcPr>
          <w:p w14:paraId="3323E5B0">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（5）发生</w:t>
            </w:r>
            <w:r>
              <w:rPr>
                <w:rFonts w:hint="eastAsia" w:ascii="Calibri" w:hAnsi="Calibri" w:eastAsia="宋体" w:cs="Calibri"/>
                <w:b w:val="0"/>
                <w:bCs w:val="0"/>
                <w:color w:val="auto"/>
                <w:kern w:val="0"/>
                <w:szCs w:val="21"/>
                <w:highlight w:val="none"/>
                <w:lang w:val="en-US" w:eastAsia="zh-CN"/>
              </w:rPr>
              <w:t>非计划性停电</w:t>
            </w:r>
            <w:r>
              <w:rPr>
                <w:rFonts w:hint="eastAsia" w:cs="Calibri"/>
                <w:b w:val="0"/>
                <w:bCs w:val="0"/>
                <w:color w:val="auto"/>
                <w:kern w:val="0"/>
                <w:szCs w:val="21"/>
                <w:highlight w:val="none"/>
                <w:lang w:val="en-US" w:eastAsia="zh-CN"/>
              </w:rPr>
              <w:t>的，</w:t>
            </w:r>
            <w:r>
              <w:rPr>
                <w:rFonts w:hint="eastAsia" w:ascii="Calibri" w:hAnsi="Calibri" w:eastAsia="宋体" w:cs="Calibri"/>
                <w:b w:val="0"/>
                <w:bCs w:val="0"/>
                <w:color w:val="auto"/>
                <w:kern w:val="0"/>
                <w:szCs w:val="21"/>
                <w:highlight w:val="none"/>
                <w:lang w:val="en-US" w:eastAsia="zh-CN"/>
              </w:rPr>
              <w:t>应</w:t>
            </w:r>
            <w:r>
              <w:rPr>
                <w:rFonts w:hint="eastAsia" w:cs="Calibri"/>
                <w:b w:val="0"/>
                <w:bCs w:val="0"/>
                <w:color w:val="auto"/>
                <w:kern w:val="0"/>
                <w:szCs w:val="21"/>
                <w:highlight w:val="none"/>
                <w:lang w:val="en-US" w:eastAsia="zh-CN"/>
              </w:rPr>
              <w:t>当</w:t>
            </w:r>
            <w:r>
              <w:rPr>
                <w:rFonts w:hint="eastAsia" w:ascii="Calibri" w:hAnsi="Calibri" w:eastAsia="宋体" w:cs="Calibri"/>
                <w:b w:val="0"/>
                <w:bCs w:val="0"/>
                <w:color w:val="auto"/>
                <w:kern w:val="0"/>
                <w:szCs w:val="21"/>
                <w:highlight w:val="none"/>
                <w:lang w:val="en-US" w:eastAsia="zh-CN"/>
              </w:rPr>
              <w:t>在事件发生后及时通知</w:t>
            </w:r>
            <w:r>
              <w:rPr>
                <w:rFonts w:hint="eastAsia" w:eastAsia="宋体" w:cs="Calibri"/>
                <w:b w:val="0"/>
                <w:bCs w:val="0"/>
                <w:color w:val="auto"/>
                <w:kern w:val="0"/>
                <w:szCs w:val="21"/>
                <w:highlight w:val="none"/>
                <w:lang w:val="en-US" w:eastAsia="zh-CN"/>
              </w:rPr>
              <w:t>采购人</w:t>
            </w:r>
            <w:r>
              <w:rPr>
                <w:rFonts w:hint="eastAsia" w:ascii="Calibri" w:hAnsi="Calibri" w:eastAsia="宋体" w:cs="Calibri"/>
                <w:b w:val="0"/>
                <w:bCs w:val="0"/>
                <w:color w:val="auto"/>
                <w:kern w:val="0"/>
                <w:szCs w:val="21"/>
                <w:highlight w:val="none"/>
                <w:lang w:val="en-US" w:eastAsia="zh-CN"/>
              </w:rPr>
              <w:t>，快速恢复或启用应急电源，并做好应急事件上报及处理工作</w:t>
            </w:r>
            <w:r>
              <w:rPr>
                <w:rFonts w:hint="eastAsia" w:eastAsia="宋体" w:cs="Calibri"/>
                <w:b w:val="0"/>
                <w:bCs w:val="0"/>
                <w:color w:val="auto"/>
                <w:kern w:val="0"/>
                <w:szCs w:val="21"/>
                <w:highlight w:val="none"/>
                <w:lang w:val="en-US" w:eastAsia="zh-CN"/>
              </w:rPr>
              <w:t>。</w:t>
            </w:r>
          </w:p>
        </w:tc>
      </w:tr>
      <w:tr w14:paraId="2E44C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14:paraId="7DB2B0B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rPr>
            </w:pPr>
          </w:p>
        </w:tc>
        <w:tc>
          <w:tcPr>
            <w:tcW w:w="3348" w:type="dxa"/>
            <w:vMerge w:val="continue"/>
            <w:noWrap w:val="0"/>
            <w:vAlign w:val="center"/>
          </w:tcPr>
          <w:p w14:paraId="761007C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10020" w:type="dxa"/>
            <w:noWrap w:val="0"/>
            <w:vAlign w:val="center"/>
          </w:tcPr>
          <w:p w14:paraId="5DC57180">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（6）</w:t>
            </w:r>
            <w:r>
              <w:rPr>
                <w:rFonts w:hint="eastAsia" w:ascii="Calibri" w:hAnsi="Calibri" w:eastAsia="宋体" w:cs="Calibri"/>
                <w:b w:val="0"/>
                <w:bCs w:val="0"/>
                <w:color w:val="auto"/>
                <w:kern w:val="0"/>
                <w:szCs w:val="21"/>
                <w:highlight w:val="none"/>
                <w:lang w:val="en-US" w:eastAsia="zh-CN"/>
              </w:rPr>
              <w:t>复杂故障涉及供电部门维修处置的及时与供电部门联系，并向</w:t>
            </w:r>
            <w:r>
              <w:rPr>
                <w:rFonts w:hint="eastAsia" w:eastAsia="宋体" w:cs="Calibri"/>
                <w:b w:val="0"/>
                <w:bCs w:val="0"/>
                <w:color w:val="auto"/>
                <w:kern w:val="0"/>
                <w:szCs w:val="21"/>
                <w:highlight w:val="none"/>
                <w:lang w:val="en-US" w:eastAsia="zh-CN"/>
              </w:rPr>
              <w:t>采购人</w:t>
            </w:r>
            <w:r>
              <w:rPr>
                <w:rFonts w:hint="eastAsia" w:ascii="Calibri" w:hAnsi="Calibri" w:eastAsia="宋体" w:cs="Calibri"/>
                <w:b w:val="0"/>
                <w:bCs w:val="0"/>
                <w:color w:val="auto"/>
                <w:kern w:val="0"/>
                <w:szCs w:val="21"/>
                <w:highlight w:val="none"/>
                <w:lang w:val="en-US" w:eastAsia="zh-CN"/>
              </w:rPr>
              <w:t>报告</w:t>
            </w:r>
            <w:r>
              <w:rPr>
                <w:rFonts w:hint="eastAsia" w:eastAsia="宋体" w:cs="Calibri"/>
                <w:b w:val="0"/>
                <w:bCs w:val="0"/>
                <w:color w:val="auto"/>
                <w:kern w:val="0"/>
                <w:szCs w:val="21"/>
                <w:highlight w:val="none"/>
                <w:lang w:val="en-US" w:eastAsia="zh-CN"/>
              </w:rPr>
              <w:t>。</w:t>
            </w:r>
          </w:p>
        </w:tc>
      </w:tr>
      <w:tr w14:paraId="77B7A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restart"/>
            <w:noWrap w:val="0"/>
            <w:vAlign w:val="center"/>
          </w:tcPr>
          <w:p w14:paraId="53BEB47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r>
              <w:rPr>
                <w:rFonts w:hint="eastAsia"/>
                <w:highlight w:val="none"/>
                <w:lang w:val="en-US" w:eastAsia="zh-CN"/>
              </w:rPr>
              <w:t>6</w:t>
            </w:r>
          </w:p>
        </w:tc>
        <w:tc>
          <w:tcPr>
            <w:tcW w:w="3348" w:type="dxa"/>
            <w:vMerge w:val="restart"/>
            <w:noWrap w:val="0"/>
            <w:vAlign w:val="center"/>
          </w:tcPr>
          <w:p w14:paraId="13BC6F3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r>
              <w:rPr>
                <w:rFonts w:hint="default"/>
                <w:highlight w:val="none"/>
              </w:rPr>
              <w:t>弱电系统</w:t>
            </w:r>
          </w:p>
        </w:tc>
        <w:tc>
          <w:tcPr>
            <w:tcW w:w="10020" w:type="dxa"/>
            <w:noWrap w:val="0"/>
            <w:vAlign w:val="center"/>
          </w:tcPr>
          <w:p w14:paraId="02552EAF">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（1）安全防范系统维护保养</w:t>
            </w:r>
            <w:r>
              <w:rPr>
                <w:rFonts w:hint="eastAsia" w:ascii="Calibri" w:hAnsi="Calibri" w:eastAsia="宋体" w:cs="Calibri"/>
                <w:b w:val="0"/>
                <w:bCs w:val="0"/>
                <w:color w:val="auto"/>
                <w:kern w:val="0"/>
                <w:szCs w:val="21"/>
                <w:highlight w:val="none"/>
                <w:lang w:val="en-US" w:eastAsia="zh-CN"/>
              </w:rPr>
              <w:t>符合</w:t>
            </w:r>
            <w:r>
              <w:rPr>
                <w:rFonts w:hint="eastAsia" w:cs="Calibri"/>
                <w:b w:val="0"/>
                <w:bCs w:val="0"/>
                <w:color w:val="auto"/>
                <w:kern w:val="0"/>
                <w:szCs w:val="21"/>
                <w:highlight w:val="none"/>
                <w:lang w:val="en-US" w:eastAsia="zh-CN"/>
              </w:rPr>
              <w:t>《安全防范系统维护保养规范》（</w:t>
            </w:r>
            <w:r>
              <w:rPr>
                <w:rFonts w:hint="eastAsia" w:eastAsia="宋体"/>
                <w:color w:val="auto"/>
                <w:kern w:val="0"/>
                <w:highlight w:val="none"/>
              </w:rPr>
              <w:t>GA/T 1081</w:t>
            </w:r>
            <w:r>
              <w:rPr>
                <w:rFonts w:hint="eastAsia"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的相关要求</w:t>
            </w:r>
            <w:r>
              <w:rPr>
                <w:rFonts w:hint="eastAsia" w:eastAsia="宋体" w:cs="Calibri"/>
                <w:b w:val="0"/>
                <w:bCs w:val="0"/>
                <w:color w:val="auto"/>
                <w:kern w:val="0"/>
                <w:szCs w:val="21"/>
                <w:highlight w:val="none"/>
                <w:lang w:val="en-US" w:eastAsia="zh-CN"/>
              </w:rPr>
              <w:t>。</w:t>
            </w:r>
          </w:p>
        </w:tc>
      </w:tr>
      <w:tr w14:paraId="6BC8E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14:paraId="5D9E0F6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p>
        </w:tc>
        <w:tc>
          <w:tcPr>
            <w:tcW w:w="3348" w:type="dxa"/>
            <w:vMerge w:val="continue"/>
            <w:noWrap w:val="0"/>
            <w:vAlign w:val="center"/>
          </w:tcPr>
          <w:p w14:paraId="2263489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10020" w:type="dxa"/>
            <w:noWrap w:val="0"/>
            <w:vAlign w:val="center"/>
          </w:tcPr>
          <w:p w14:paraId="3ED2ACC3">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（2）</w:t>
            </w:r>
            <w:r>
              <w:rPr>
                <w:rFonts w:hint="eastAsia" w:ascii="Calibri" w:hAnsi="Calibri" w:eastAsia="宋体" w:cs="Calibri"/>
                <w:b w:val="0"/>
                <w:bCs w:val="0"/>
                <w:color w:val="auto"/>
                <w:kern w:val="0"/>
                <w:szCs w:val="21"/>
                <w:highlight w:val="none"/>
                <w:lang w:val="en-US" w:eastAsia="zh-CN"/>
              </w:rPr>
              <w:t>保持监控系统、门禁系统、安全防范系统等运行正常，有故障及时排除</w:t>
            </w:r>
            <w:r>
              <w:rPr>
                <w:rFonts w:hint="eastAsia" w:eastAsia="宋体" w:cs="Calibri"/>
                <w:b w:val="0"/>
                <w:bCs w:val="0"/>
                <w:color w:val="auto"/>
                <w:kern w:val="0"/>
                <w:szCs w:val="21"/>
                <w:highlight w:val="none"/>
                <w:lang w:val="en-US" w:eastAsia="zh-CN"/>
              </w:rPr>
              <w:t>。</w:t>
            </w:r>
          </w:p>
        </w:tc>
      </w:tr>
      <w:tr w14:paraId="29EB6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restart"/>
            <w:noWrap w:val="0"/>
            <w:vAlign w:val="center"/>
          </w:tcPr>
          <w:p w14:paraId="042E58F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r>
              <w:rPr>
                <w:rFonts w:hint="eastAsia"/>
                <w:highlight w:val="none"/>
                <w:lang w:val="en-US" w:eastAsia="zh-CN"/>
              </w:rPr>
              <w:t>7</w:t>
            </w:r>
          </w:p>
        </w:tc>
        <w:tc>
          <w:tcPr>
            <w:tcW w:w="3348" w:type="dxa"/>
            <w:vMerge w:val="restart"/>
            <w:noWrap w:val="0"/>
            <w:vAlign w:val="center"/>
          </w:tcPr>
          <w:p w14:paraId="1BEDBE5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r>
              <w:rPr>
                <w:rFonts w:hint="default" w:eastAsia="宋体"/>
                <w:highlight w:val="none"/>
                <w:lang w:val="en-US" w:eastAsia="zh-CN"/>
              </w:rPr>
              <w:t>照明</w:t>
            </w:r>
            <w:r>
              <w:rPr>
                <w:rFonts w:hint="default"/>
                <w:highlight w:val="none"/>
              </w:rPr>
              <w:t>系统</w:t>
            </w:r>
          </w:p>
        </w:tc>
        <w:tc>
          <w:tcPr>
            <w:tcW w:w="10020" w:type="dxa"/>
            <w:noWrap w:val="0"/>
            <w:vAlign w:val="center"/>
          </w:tcPr>
          <w:p w14:paraId="62225F88">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外观整洁无缺损、无松落</w:t>
            </w:r>
            <w:r>
              <w:rPr>
                <w:rFonts w:hint="eastAsia" w:eastAsia="宋体" w:cs="Calibri"/>
                <w:b w:val="0"/>
                <w:bCs w:val="0"/>
                <w:color w:val="auto"/>
                <w:kern w:val="0"/>
                <w:szCs w:val="21"/>
                <w:highlight w:val="none"/>
                <w:lang w:val="en-US" w:eastAsia="zh-CN"/>
              </w:rPr>
              <w:t>。</w:t>
            </w:r>
          </w:p>
        </w:tc>
      </w:tr>
      <w:tr w14:paraId="71DE2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14:paraId="074D584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48" w:type="dxa"/>
            <w:vMerge w:val="continue"/>
            <w:noWrap w:val="0"/>
            <w:vAlign w:val="center"/>
          </w:tcPr>
          <w:p w14:paraId="24393FA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highlight w:val="none"/>
                <w:lang w:val="en-US" w:eastAsia="zh-CN"/>
              </w:rPr>
            </w:pPr>
          </w:p>
        </w:tc>
        <w:tc>
          <w:tcPr>
            <w:tcW w:w="10020" w:type="dxa"/>
            <w:noWrap w:val="0"/>
            <w:vAlign w:val="center"/>
          </w:tcPr>
          <w:p w14:paraId="50CE6D80">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（2）更换的</w:t>
            </w:r>
            <w:r>
              <w:rPr>
                <w:rFonts w:hint="eastAsia" w:ascii="Calibri" w:hAnsi="Calibri" w:eastAsia="宋体" w:cs="Calibri"/>
                <w:b w:val="0"/>
                <w:bCs w:val="0"/>
                <w:color w:val="auto"/>
                <w:kern w:val="0"/>
                <w:szCs w:val="21"/>
                <w:highlight w:val="none"/>
                <w:lang w:val="en-US" w:eastAsia="zh-CN"/>
              </w:rPr>
              <w:t>照明灯具</w:t>
            </w:r>
            <w:r>
              <w:rPr>
                <w:rFonts w:hint="eastAsia" w:cs="Calibri"/>
                <w:b w:val="0"/>
                <w:bCs w:val="0"/>
                <w:color w:val="auto"/>
                <w:kern w:val="0"/>
                <w:szCs w:val="21"/>
                <w:highlight w:val="none"/>
                <w:lang w:val="en-US" w:eastAsia="zh-CN"/>
              </w:rPr>
              <w:t>应当</w:t>
            </w:r>
            <w:r>
              <w:rPr>
                <w:rFonts w:hint="eastAsia" w:ascii="Calibri" w:hAnsi="Calibri" w:eastAsia="宋体" w:cs="Calibri"/>
                <w:b w:val="0"/>
                <w:bCs w:val="0"/>
                <w:color w:val="auto"/>
                <w:kern w:val="0"/>
                <w:szCs w:val="21"/>
                <w:highlight w:val="none"/>
                <w:lang w:val="en-US" w:eastAsia="zh-CN"/>
              </w:rPr>
              <w:t>选用节能环保产品</w:t>
            </w:r>
            <w:r>
              <w:rPr>
                <w:rFonts w:hint="eastAsia" w:cs="Calibri"/>
                <w:b w:val="0"/>
                <w:bCs w:val="0"/>
                <w:color w:val="auto"/>
                <w:kern w:val="0"/>
                <w:szCs w:val="21"/>
                <w:highlight w:val="none"/>
                <w:lang w:val="en-US" w:eastAsia="zh-CN"/>
              </w:rPr>
              <w:t>，亮度与更换前保持一致</w:t>
            </w:r>
            <w:r>
              <w:rPr>
                <w:rFonts w:hint="eastAsia" w:eastAsia="宋体" w:cs="Calibri"/>
                <w:b w:val="0"/>
                <w:bCs w:val="0"/>
                <w:color w:val="auto"/>
                <w:kern w:val="0"/>
                <w:szCs w:val="21"/>
                <w:highlight w:val="none"/>
                <w:lang w:val="en-US" w:eastAsia="zh-CN"/>
              </w:rPr>
              <w:t>。</w:t>
            </w:r>
          </w:p>
        </w:tc>
      </w:tr>
      <w:tr w14:paraId="60455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14:paraId="5BF335A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p>
        </w:tc>
        <w:tc>
          <w:tcPr>
            <w:tcW w:w="3348" w:type="dxa"/>
            <w:vMerge w:val="continue"/>
            <w:noWrap w:val="0"/>
            <w:vAlign w:val="center"/>
          </w:tcPr>
          <w:p w14:paraId="7A2C292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10020" w:type="dxa"/>
            <w:noWrap w:val="0"/>
            <w:vAlign w:val="center"/>
          </w:tcPr>
          <w:p w14:paraId="76126821">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（3）</w:t>
            </w:r>
            <w:r>
              <w:rPr>
                <w:rFonts w:hint="eastAsia" w:ascii="Calibri" w:hAnsi="Calibri" w:eastAsia="宋体" w:cs="Calibri"/>
                <w:b w:val="0"/>
                <w:bCs w:val="0"/>
                <w:color w:val="auto"/>
                <w:kern w:val="0"/>
                <w:szCs w:val="21"/>
                <w:highlight w:val="none"/>
                <w:lang w:val="en-US" w:eastAsia="zh-CN"/>
              </w:rPr>
              <w:t>每周至少</w:t>
            </w:r>
            <w:r>
              <w:rPr>
                <w:rFonts w:hint="eastAsia" w:eastAsia="宋体" w:cs="Calibri"/>
                <w:b w:val="0"/>
                <w:bCs w:val="0"/>
                <w:color w:val="auto"/>
                <w:kern w:val="0"/>
                <w:szCs w:val="21"/>
                <w:highlight w:val="none"/>
                <w:lang w:val="en-US" w:eastAsia="zh-CN"/>
              </w:rPr>
              <w:t>开展</w:t>
            </w:r>
            <w:r>
              <w:rPr>
                <w:rFonts w:hint="eastAsia" w:ascii="Calibri" w:hAnsi="Calibri" w:eastAsia="宋体" w:cs="Calibri"/>
                <w:b w:val="0"/>
                <w:bCs w:val="0"/>
                <w:color w:val="auto"/>
                <w:kern w:val="0"/>
                <w:szCs w:val="21"/>
                <w:highlight w:val="none"/>
                <w:lang w:val="en-US" w:eastAsia="zh-CN"/>
              </w:rPr>
              <w:t>1次公共区域照明设备巡视</w:t>
            </w:r>
            <w:r>
              <w:rPr>
                <w:rFonts w:hint="eastAsia" w:eastAsia="宋体" w:cs="Calibri"/>
                <w:b w:val="0"/>
                <w:bCs w:val="0"/>
                <w:color w:val="auto"/>
                <w:kern w:val="0"/>
                <w:szCs w:val="21"/>
                <w:highlight w:val="none"/>
                <w:lang w:val="en-US" w:eastAsia="zh-CN"/>
              </w:rPr>
              <w:t>。</w:t>
            </w:r>
          </w:p>
        </w:tc>
      </w:tr>
      <w:tr w14:paraId="3661A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restart"/>
            <w:noWrap w:val="0"/>
            <w:vAlign w:val="center"/>
          </w:tcPr>
          <w:p w14:paraId="5E56868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r>
              <w:rPr>
                <w:rFonts w:hint="eastAsia"/>
                <w:highlight w:val="none"/>
                <w:lang w:val="en-US" w:eastAsia="zh-CN"/>
              </w:rPr>
              <w:t>8</w:t>
            </w:r>
          </w:p>
        </w:tc>
        <w:tc>
          <w:tcPr>
            <w:tcW w:w="3348" w:type="dxa"/>
            <w:vMerge w:val="restart"/>
            <w:noWrap w:val="0"/>
            <w:vAlign w:val="center"/>
          </w:tcPr>
          <w:p w14:paraId="69BB0BD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r>
              <w:rPr>
                <w:rFonts w:hint="default"/>
                <w:highlight w:val="none"/>
              </w:rPr>
              <w:t>锅炉设备/热力站</w:t>
            </w:r>
          </w:p>
        </w:tc>
        <w:tc>
          <w:tcPr>
            <w:tcW w:w="10020" w:type="dxa"/>
            <w:noWrap w:val="0"/>
            <w:vAlign w:val="center"/>
          </w:tcPr>
          <w:p w14:paraId="358E9691">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（1）建</w:t>
            </w:r>
            <w:r>
              <w:rPr>
                <w:rFonts w:hint="eastAsia" w:ascii="Calibri" w:hAnsi="Calibri" w:eastAsia="宋体" w:cs="Calibri"/>
                <w:b w:val="0"/>
                <w:bCs w:val="0"/>
                <w:color w:val="auto"/>
                <w:kern w:val="0"/>
                <w:szCs w:val="21"/>
                <w:highlight w:val="none"/>
                <w:lang w:val="en-US" w:eastAsia="zh-CN"/>
              </w:rPr>
              <w:t>立</w:t>
            </w:r>
            <w:r>
              <w:rPr>
                <w:rFonts w:hint="eastAsia" w:cs="Calibri"/>
                <w:b w:val="0"/>
                <w:bCs w:val="0"/>
                <w:color w:val="auto"/>
                <w:kern w:val="0"/>
                <w:szCs w:val="21"/>
                <w:highlight w:val="none"/>
                <w:lang w:val="en-US" w:eastAsia="zh-CN"/>
              </w:rPr>
              <w:t>24小时</w:t>
            </w:r>
            <w:r>
              <w:rPr>
                <w:rFonts w:hint="eastAsia" w:ascii="Calibri" w:hAnsi="Calibri" w:eastAsia="宋体" w:cs="Calibri"/>
                <w:b w:val="0"/>
                <w:bCs w:val="0"/>
                <w:color w:val="auto"/>
                <w:kern w:val="0"/>
                <w:szCs w:val="21"/>
                <w:highlight w:val="none"/>
                <w:lang w:val="en-US" w:eastAsia="zh-CN"/>
              </w:rPr>
              <w:t>值班监控制度</w:t>
            </w:r>
            <w:r>
              <w:rPr>
                <w:rFonts w:hint="eastAsia" w:cs="Calibri"/>
                <w:b w:val="0"/>
                <w:bCs w:val="0"/>
                <w:color w:val="auto"/>
                <w:kern w:val="0"/>
                <w:szCs w:val="21"/>
                <w:highlight w:val="none"/>
                <w:lang w:val="en-US" w:eastAsia="zh-CN"/>
              </w:rPr>
              <w:t>。</w:t>
            </w:r>
          </w:p>
        </w:tc>
      </w:tr>
      <w:tr w14:paraId="2B3E0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14:paraId="099DF63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48" w:type="dxa"/>
            <w:vMerge w:val="continue"/>
            <w:noWrap w:val="0"/>
            <w:vAlign w:val="center"/>
          </w:tcPr>
          <w:p w14:paraId="63AE5AC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10020" w:type="dxa"/>
            <w:noWrap w:val="0"/>
            <w:vAlign w:val="center"/>
          </w:tcPr>
          <w:p w14:paraId="0ED579D0">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（2）每年至少开展1次锅炉设备的全面检查。</w:t>
            </w:r>
          </w:p>
        </w:tc>
      </w:tr>
      <w:tr w14:paraId="4E30B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14:paraId="103D97C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48" w:type="dxa"/>
            <w:vMerge w:val="continue"/>
            <w:noWrap w:val="0"/>
            <w:vAlign w:val="center"/>
          </w:tcPr>
          <w:p w14:paraId="41DAA17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10020" w:type="dxa"/>
            <w:noWrap w:val="0"/>
            <w:vAlign w:val="center"/>
          </w:tcPr>
          <w:p w14:paraId="2147A6D4">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（3）</w:t>
            </w:r>
            <w:r>
              <w:rPr>
                <w:rFonts w:hint="eastAsia" w:ascii="Calibri" w:hAnsi="Calibri" w:eastAsia="宋体" w:cs="Calibri"/>
                <w:b w:val="0"/>
                <w:bCs w:val="0"/>
                <w:color w:val="auto"/>
                <w:kern w:val="0"/>
                <w:szCs w:val="21"/>
                <w:highlight w:val="none"/>
                <w:lang w:val="en-US" w:eastAsia="zh-CN"/>
              </w:rPr>
              <w:t>每年至少</w:t>
            </w:r>
            <w:r>
              <w:rPr>
                <w:rFonts w:hint="eastAsia" w:cs="Calibri"/>
                <w:b w:val="0"/>
                <w:bCs w:val="0"/>
                <w:color w:val="auto"/>
                <w:kern w:val="0"/>
                <w:szCs w:val="21"/>
                <w:highlight w:val="none"/>
                <w:lang w:val="en-US" w:eastAsia="zh-CN"/>
              </w:rPr>
              <w:t>开展</w:t>
            </w:r>
            <w:r>
              <w:rPr>
                <w:rFonts w:hint="eastAsia" w:ascii="Calibri" w:hAnsi="Calibri" w:eastAsia="宋体" w:cs="Calibri"/>
                <w:b w:val="0"/>
                <w:bCs w:val="0"/>
                <w:color w:val="auto"/>
                <w:kern w:val="0"/>
                <w:szCs w:val="21"/>
                <w:highlight w:val="none"/>
                <w:lang w:val="en-US" w:eastAsia="zh-CN"/>
              </w:rPr>
              <w:t>1次锅炉设备及其辅助设备检测，确保各类设备、仪器仪表、水管线路运行正常</w:t>
            </w:r>
            <w:r>
              <w:rPr>
                <w:rFonts w:hint="eastAsia" w:eastAsia="宋体" w:cs="Calibri"/>
                <w:b w:val="0"/>
                <w:bCs w:val="0"/>
                <w:color w:val="auto"/>
                <w:kern w:val="0"/>
                <w:szCs w:val="21"/>
                <w:highlight w:val="none"/>
                <w:lang w:val="en-US" w:eastAsia="zh-CN"/>
              </w:rPr>
              <w:t>。</w:t>
            </w:r>
          </w:p>
        </w:tc>
      </w:tr>
      <w:tr w14:paraId="15D62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14:paraId="06BC2A3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p>
        </w:tc>
        <w:tc>
          <w:tcPr>
            <w:tcW w:w="3348" w:type="dxa"/>
            <w:vMerge w:val="continue"/>
            <w:noWrap w:val="0"/>
            <w:vAlign w:val="center"/>
          </w:tcPr>
          <w:p w14:paraId="5F5D950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10020" w:type="dxa"/>
            <w:noWrap w:val="0"/>
            <w:vAlign w:val="center"/>
          </w:tcPr>
          <w:p w14:paraId="6A149D72">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（4）</w:t>
            </w:r>
            <w:r>
              <w:rPr>
                <w:rFonts w:hint="eastAsia" w:ascii="Calibri" w:hAnsi="Calibri" w:eastAsia="宋体" w:cs="Calibri"/>
                <w:b w:val="0"/>
                <w:bCs w:val="0"/>
                <w:color w:val="auto"/>
                <w:kern w:val="0"/>
                <w:szCs w:val="21"/>
                <w:highlight w:val="none"/>
                <w:lang w:val="en-US" w:eastAsia="zh-CN"/>
              </w:rPr>
              <w:t>每年至少</w:t>
            </w:r>
            <w:r>
              <w:rPr>
                <w:rFonts w:hint="eastAsia" w:cs="Calibri"/>
                <w:b w:val="0"/>
                <w:bCs w:val="0"/>
                <w:color w:val="auto"/>
                <w:kern w:val="0"/>
                <w:szCs w:val="21"/>
                <w:highlight w:val="none"/>
                <w:lang w:val="en-US" w:eastAsia="zh-CN"/>
              </w:rPr>
              <w:t>开展</w:t>
            </w:r>
            <w:r>
              <w:rPr>
                <w:rFonts w:hint="eastAsia" w:ascii="Calibri" w:hAnsi="Calibri" w:eastAsia="宋体" w:cs="Calibri"/>
                <w:b w:val="0"/>
                <w:bCs w:val="0"/>
                <w:color w:val="auto"/>
                <w:kern w:val="0"/>
                <w:szCs w:val="21"/>
                <w:highlight w:val="none"/>
                <w:lang w:val="en-US" w:eastAsia="zh-CN"/>
              </w:rPr>
              <w:t>1次锅炉水质检测，确保水质合格</w:t>
            </w:r>
            <w:r>
              <w:rPr>
                <w:rFonts w:hint="eastAsia" w:eastAsia="宋体" w:cs="Calibri"/>
                <w:b w:val="0"/>
                <w:bCs w:val="0"/>
                <w:color w:val="auto"/>
                <w:kern w:val="0"/>
                <w:szCs w:val="21"/>
                <w:highlight w:val="none"/>
                <w:lang w:val="en-US" w:eastAsia="zh-CN"/>
              </w:rPr>
              <w:t>。</w:t>
            </w:r>
          </w:p>
        </w:tc>
      </w:tr>
      <w:tr w14:paraId="4D927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14:paraId="0774C4D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p>
        </w:tc>
        <w:tc>
          <w:tcPr>
            <w:tcW w:w="3348" w:type="dxa"/>
            <w:vMerge w:val="continue"/>
            <w:noWrap w:val="0"/>
            <w:vAlign w:val="center"/>
          </w:tcPr>
          <w:p w14:paraId="7CB98C7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10020" w:type="dxa"/>
            <w:noWrap w:val="0"/>
            <w:vAlign w:val="center"/>
          </w:tcPr>
          <w:p w14:paraId="30125F31">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（5）按锅炉厂家制定的检修规程对锅炉进行检修。</w:t>
            </w:r>
          </w:p>
        </w:tc>
      </w:tr>
      <w:tr w14:paraId="43170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restart"/>
            <w:noWrap w:val="0"/>
            <w:vAlign w:val="center"/>
          </w:tcPr>
          <w:p w14:paraId="6496D61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r>
              <w:rPr>
                <w:rFonts w:hint="eastAsia"/>
                <w:highlight w:val="none"/>
                <w:lang w:val="en-US" w:eastAsia="zh-CN"/>
              </w:rPr>
              <w:t>9</w:t>
            </w:r>
          </w:p>
        </w:tc>
        <w:tc>
          <w:tcPr>
            <w:tcW w:w="3348" w:type="dxa"/>
            <w:vMerge w:val="restart"/>
            <w:noWrap w:val="0"/>
            <w:vAlign w:val="center"/>
          </w:tcPr>
          <w:p w14:paraId="358B176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highlight w:val="none"/>
                <w:lang w:val="en-US" w:eastAsia="zh-CN"/>
              </w:rPr>
            </w:pPr>
            <w:r>
              <w:rPr>
                <w:rFonts w:hint="eastAsia"/>
                <w:highlight w:val="none"/>
                <w:lang w:val="en-US" w:eastAsia="zh-CN"/>
              </w:rPr>
              <w:t>采暖系统</w:t>
            </w:r>
          </w:p>
        </w:tc>
        <w:tc>
          <w:tcPr>
            <w:tcW w:w="10020" w:type="dxa"/>
            <w:noWrap w:val="0"/>
            <w:vAlign w:val="center"/>
          </w:tcPr>
          <w:p w14:paraId="7F80F6F6">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（1）</w:t>
            </w:r>
            <w:r>
              <w:rPr>
                <w:rFonts w:hint="default" w:ascii="Calibri" w:hAnsi="Calibri" w:eastAsia="宋体" w:cs="Calibri"/>
                <w:b w:val="0"/>
                <w:bCs w:val="0"/>
                <w:color w:val="auto"/>
                <w:kern w:val="0"/>
                <w:szCs w:val="21"/>
                <w:highlight w:val="none"/>
                <w:lang w:val="en-US" w:eastAsia="zh-CN"/>
              </w:rPr>
              <w:t>定期检查供暖管道、阀门运行情况，确保正常无隐患</w:t>
            </w:r>
            <w:r>
              <w:rPr>
                <w:rFonts w:hint="eastAsia" w:cs="Calibri"/>
                <w:b w:val="0"/>
                <w:bCs w:val="0"/>
                <w:color w:val="auto"/>
                <w:kern w:val="0"/>
                <w:szCs w:val="21"/>
                <w:highlight w:val="none"/>
                <w:lang w:val="en-US" w:eastAsia="zh-CN"/>
              </w:rPr>
              <w:t>。</w:t>
            </w:r>
          </w:p>
        </w:tc>
      </w:tr>
      <w:tr w14:paraId="44C0A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14:paraId="6881C3E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p>
        </w:tc>
        <w:tc>
          <w:tcPr>
            <w:tcW w:w="3348" w:type="dxa"/>
            <w:vMerge w:val="continue"/>
            <w:noWrap w:val="0"/>
            <w:vAlign w:val="center"/>
          </w:tcPr>
          <w:p w14:paraId="2961917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10020" w:type="dxa"/>
            <w:noWrap w:val="0"/>
            <w:vAlign w:val="center"/>
          </w:tcPr>
          <w:p w14:paraId="033AF3CF">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（2）</w:t>
            </w:r>
            <w:r>
              <w:rPr>
                <w:rFonts w:hint="default" w:ascii="Calibri" w:hAnsi="Calibri" w:eastAsia="宋体" w:cs="Calibri"/>
                <w:b w:val="0"/>
                <w:bCs w:val="0"/>
                <w:color w:val="auto"/>
                <w:kern w:val="0"/>
                <w:szCs w:val="21"/>
                <w:highlight w:val="none"/>
                <w:lang w:val="en-US" w:eastAsia="zh-CN"/>
              </w:rPr>
              <w:t>负责暖气片、阀门龙头等新装布置及旧装拆除、日常维修更换及管线的跑、冒、滴、漏的维修</w:t>
            </w:r>
            <w:r>
              <w:rPr>
                <w:rFonts w:hint="eastAsia" w:eastAsia="宋体" w:cs="Calibri"/>
                <w:b w:val="0"/>
                <w:bCs w:val="0"/>
                <w:color w:val="auto"/>
                <w:kern w:val="0"/>
                <w:szCs w:val="21"/>
                <w:highlight w:val="none"/>
                <w:lang w:val="en-US" w:eastAsia="zh-CN"/>
              </w:rPr>
              <w:t>。</w:t>
            </w:r>
          </w:p>
        </w:tc>
      </w:tr>
      <w:tr w14:paraId="22387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14:paraId="5A92DC1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p>
        </w:tc>
        <w:tc>
          <w:tcPr>
            <w:tcW w:w="3348" w:type="dxa"/>
            <w:vMerge w:val="continue"/>
            <w:noWrap w:val="0"/>
            <w:vAlign w:val="center"/>
          </w:tcPr>
          <w:p w14:paraId="4A735BF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highlight w:val="none"/>
                <w:lang w:val="en-US" w:eastAsia="zh-CN"/>
              </w:rPr>
            </w:pPr>
          </w:p>
        </w:tc>
        <w:tc>
          <w:tcPr>
            <w:tcW w:w="10020" w:type="dxa"/>
            <w:noWrap w:val="0"/>
            <w:vAlign w:val="center"/>
          </w:tcPr>
          <w:p w14:paraId="12C17C9C">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（3）</w:t>
            </w:r>
            <w:r>
              <w:rPr>
                <w:rFonts w:hint="default" w:ascii="Calibri" w:hAnsi="Calibri" w:eastAsia="宋体" w:cs="Calibri"/>
                <w:b w:val="0"/>
                <w:bCs w:val="0"/>
                <w:color w:val="auto"/>
                <w:kern w:val="0"/>
                <w:szCs w:val="21"/>
                <w:highlight w:val="none"/>
                <w:lang w:val="en-US" w:eastAsia="zh-CN"/>
              </w:rPr>
              <w:t>做好供暖前检查等相关准备工作</w:t>
            </w:r>
            <w:r>
              <w:rPr>
                <w:rFonts w:hint="eastAsia" w:cs="Calibri"/>
                <w:b w:val="0"/>
                <w:bCs w:val="0"/>
                <w:color w:val="auto"/>
                <w:kern w:val="0"/>
                <w:szCs w:val="21"/>
                <w:highlight w:val="none"/>
                <w:lang w:val="en-US" w:eastAsia="zh-CN"/>
              </w:rPr>
              <w:t>。</w:t>
            </w:r>
          </w:p>
        </w:tc>
      </w:tr>
      <w:tr w14:paraId="471A2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14:paraId="221FCDA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p>
        </w:tc>
        <w:tc>
          <w:tcPr>
            <w:tcW w:w="3348" w:type="dxa"/>
            <w:vMerge w:val="continue"/>
            <w:noWrap w:val="0"/>
            <w:vAlign w:val="center"/>
          </w:tcPr>
          <w:p w14:paraId="763C9E6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10020" w:type="dxa"/>
            <w:noWrap w:val="0"/>
            <w:vAlign w:val="center"/>
          </w:tcPr>
          <w:p w14:paraId="7C8FB555">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（4）</w:t>
            </w:r>
            <w:r>
              <w:rPr>
                <w:rFonts w:hint="default" w:ascii="Calibri" w:hAnsi="Calibri" w:eastAsia="宋体" w:cs="Calibri"/>
                <w:b w:val="0"/>
                <w:bCs w:val="0"/>
                <w:color w:val="auto"/>
                <w:kern w:val="0"/>
                <w:szCs w:val="21"/>
                <w:highlight w:val="none"/>
                <w:lang w:val="en-US" w:eastAsia="zh-CN"/>
              </w:rPr>
              <w:t>暖气片上水前，提前通知采购人</w:t>
            </w:r>
            <w:r>
              <w:rPr>
                <w:rFonts w:hint="eastAsia" w:eastAsia="宋体" w:cs="Calibri"/>
                <w:b w:val="0"/>
                <w:bCs w:val="0"/>
                <w:color w:val="auto"/>
                <w:kern w:val="0"/>
                <w:szCs w:val="21"/>
                <w:highlight w:val="none"/>
                <w:lang w:val="en-US" w:eastAsia="zh-CN"/>
              </w:rPr>
              <w:t>。</w:t>
            </w:r>
          </w:p>
        </w:tc>
      </w:tr>
      <w:tr w14:paraId="33F3D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14:paraId="496B889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p>
        </w:tc>
        <w:tc>
          <w:tcPr>
            <w:tcW w:w="3348" w:type="dxa"/>
            <w:vMerge w:val="continue"/>
            <w:noWrap w:val="0"/>
            <w:vAlign w:val="center"/>
          </w:tcPr>
          <w:p w14:paraId="1370B4B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10020" w:type="dxa"/>
            <w:noWrap w:val="0"/>
            <w:vAlign w:val="center"/>
          </w:tcPr>
          <w:p w14:paraId="2D55BCDA">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（5）</w:t>
            </w:r>
            <w:r>
              <w:rPr>
                <w:rFonts w:hint="default" w:ascii="Calibri" w:hAnsi="Calibri" w:eastAsia="宋体" w:cs="Calibri"/>
                <w:b w:val="0"/>
                <w:bCs w:val="0"/>
                <w:color w:val="auto"/>
                <w:kern w:val="0"/>
                <w:szCs w:val="21"/>
                <w:highlight w:val="none"/>
                <w:lang w:val="en-US" w:eastAsia="zh-CN"/>
              </w:rPr>
              <w:t>供暖期间做好日常检查、维护、抢修、登记上报等工作</w:t>
            </w:r>
            <w:r>
              <w:rPr>
                <w:rFonts w:hint="eastAsia" w:eastAsia="宋体" w:cs="Calibri"/>
                <w:b w:val="0"/>
                <w:bCs w:val="0"/>
                <w:color w:val="auto"/>
                <w:kern w:val="0"/>
                <w:szCs w:val="21"/>
                <w:highlight w:val="none"/>
                <w:lang w:val="en-US" w:eastAsia="zh-CN"/>
              </w:rPr>
              <w:t>。</w:t>
            </w:r>
          </w:p>
        </w:tc>
      </w:tr>
      <w:tr w14:paraId="6EDB9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14:paraId="63DF05D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p>
        </w:tc>
        <w:tc>
          <w:tcPr>
            <w:tcW w:w="3348" w:type="dxa"/>
            <w:vMerge w:val="continue"/>
            <w:noWrap w:val="0"/>
            <w:vAlign w:val="center"/>
          </w:tcPr>
          <w:p w14:paraId="63AC324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10020" w:type="dxa"/>
            <w:noWrap w:val="0"/>
            <w:vAlign w:val="center"/>
          </w:tcPr>
          <w:p w14:paraId="7ABCCAB8">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（6）</w:t>
            </w:r>
            <w:r>
              <w:rPr>
                <w:rFonts w:hint="default" w:ascii="Calibri" w:hAnsi="Calibri" w:eastAsia="宋体" w:cs="Calibri"/>
                <w:b w:val="0"/>
                <w:bCs w:val="0"/>
                <w:color w:val="auto"/>
                <w:kern w:val="0"/>
                <w:szCs w:val="21"/>
                <w:highlight w:val="none"/>
                <w:lang w:val="en-US" w:eastAsia="zh-CN"/>
              </w:rPr>
              <w:t>根据天气情况适时调节供暖设备运行工况，节约能源。</w:t>
            </w:r>
          </w:p>
        </w:tc>
      </w:tr>
    </w:tbl>
    <w:p w14:paraId="09178409">
      <w:pPr>
        <w:pStyle w:val="17"/>
        <w:rPr>
          <w:rFonts w:hint="eastAsia" w:ascii="楷体" w:hAnsi="楷体" w:eastAsia="楷体" w:cs="楷体"/>
          <w:b w:val="0"/>
          <w:bCs w:val="0"/>
          <w:highlight w:val="none"/>
        </w:rPr>
      </w:pPr>
      <w:r>
        <w:rPr>
          <w:rFonts w:hint="eastAsia" w:ascii="楷体" w:hAnsi="楷体" w:eastAsia="楷体" w:cs="楷体"/>
          <w:highlight w:val="none"/>
          <w:lang w:val="en-US" w:eastAsia="zh-CN"/>
        </w:rPr>
        <w:t>注：电梯系统、锅炉设备等设施设备的安装改造维修应当由具备相应资质的供应商完成，如供应商自身不具备，可进行分包由具有相应资质的单位完成。</w:t>
      </w:r>
      <w:r>
        <w:rPr>
          <w:rFonts w:hint="eastAsia" w:ascii="楷体" w:hAnsi="楷体" w:eastAsia="楷体" w:cs="楷体"/>
          <w:b w:val="0"/>
          <w:bCs w:val="0"/>
          <w:sz w:val="21"/>
          <w:szCs w:val="21"/>
          <w:highlight w:val="none"/>
        </w:rPr>
        <w:t>服务标准涉及的国家标准有更新的，执行国家最新标准。</w:t>
      </w:r>
    </w:p>
    <w:p w14:paraId="116C2841">
      <w:pPr>
        <w:pStyle w:val="55"/>
        <w:pageBreakBefore w:val="0"/>
        <w:shd w:val="clear" w:color="auto" w:fill="auto"/>
        <w:kinsoku/>
        <w:wordWrap/>
        <w:overflowPunct/>
        <w:topLinePunct w:val="0"/>
        <w:bidi w:val="0"/>
        <w:spacing w:line="360" w:lineRule="auto"/>
        <w:ind w:firstLine="498" w:firstLineChars="177"/>
        <w:rPr>
          <w:rFonts w:hint="default" w:ascii="宋体" w:hAnsi="宋体" w:eastAsia="宋体" w:cs="宋体"/>
          <w:b/>
          <w:bCs/>
          <w:color w:val="auto"/>
          <w:kern w:val="44"/>
          <w:sz w:val="28"/>
          <w:szCs w:val="28"/>
          <w:highlight w:val="none"/>
          <w:lang w:val="en-US" w:eastAsia="zh-CN" w:bidi="ar-SA"/>
        </w:rPr>
      </w:pPr>
      <w:r>
        <w:rPr>
          <w:rFonts w:hint="eastAsia" w:ascii="宋体" w:hAnsi="宋体" w:eastAsia="宋体" w:cs="宋体"/>
          <w:b/>
          <w:bCs/>
          <w:color w:val="auto"/>
          <w:kern w:val="44"/>
          <w:sz w:val="28"/>
          <w:szCs w:val="28"/>
          <w:highlight w:val="none"/>
          <w:lang w:val="en-US" w:eastAsia="zh-CN" w:bidi="ar-SA"/>
        </w:rPr>
        <w:t>3.4</w:t>
      </w:r>
      <w:r>
        <w:rPr>
          <w:rFonts w:hint="default" w:ascii="宋体" w:hAnsi="宋体" w:eastAsia="宋体" w:cs="宋体"/>
          <w:b/>
          <w:bCs/>
          <w:color w:val="auto"/>
          <w:kern w:val="44"/>
          <w:sz w:val="28"/>
          <w:szCs w:val="28"/>
          <w:highlight w:val="none"/>
          <w:lang w:val="en-US" w:eastAsia="zh-CN" w:bidi="ar-SA"/>
        </w:rPr>
        <w:t>保洁服务</w:t>
      </w:r>
    </w:p>
    <w:tbl>
      <w:tblPr>
        <w:tblStyle w:val="32"/>
        <w:tblW w:w="500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974"/>
        <w:gridCol w:w="5840"/>
      </w:tblGrid>
      <w:tr w14:paraId="6426F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noWrap w:val="0"/>
            <w:vAlign w:val="center"/>
          </w:tcPr>
          <w:p w14:paraId="12771CAE">
            <w:pPr>
              <w:pageBreakBefore w:val="0"/>
              <w:widowControl/>
              <w:kinsoku/>
              <w:wordWrap/>
              <w:overflowPunct/>
              <w:topLinePunct w:val="0"/>
              <w:bidi w:val="0"/>
              <w:snapToGrid w:val="0"/>
              <w:spacing w:line="300" w:lineRule="auto"/>
              <w:ind w:left="0"/>
              <w:jc w:val="center"/>
              <w:rPr>
                <w:rFonts w:hint="eastAsia" w:ascii="Calibri" w:hAnsi="Calibri" w:eastAsia="宋体" w:cs="Calibri"/>
                <w:b/>
                <w:bCs/>
                <w:color w:val="auto"/>
                <w:kern w:val="0"/>
                <w:szCs w:val="21"/>
                <w:highlight w:val="none"/>
                <w:lang w:val="en-US" w:eastAsia="zh-CN"/>
              </w:rPr>
            </w:pPr>
            <w:r>
              <w:rPr>
                <w:rFonts w:hint="eastAsia" w:cs="Calibri"/>
                <w:b/>
                <w:bCs/>
                <w:color w:val="auto"/>
                <w:kern w:val="0"/>
                <w:szCs w:val="21"/>
                <w:highlight w:val="none"/>
                <w:lang w:val="en-US" w:eastAsia="zh-CN"/>
              </w:rPr>
              <w:t>序号</w:t>
            </w:r>
          </w:p>
        </w:tc>
        <w:tc>
          <w:tcPr>
            <w:tcW w:w="3372" w:type="dxa"/>
            <w:noWrap w:val="0"/>
            <w:vAlign w:val="center"/>
          </w:tcPr>
          <w:p w14:paraId="4CC0867C">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Cs w:val="21"/>
                <w:highlight w:val="none"/>
              </w:rPr>
            </w:pPr>
            <w:r>
              <w:rPr>
                <w:rFonts w:hint="default" w:ascii="Calibri" w:hAnsi="Calibri" w:eastAsia="宋体" w:cs="Calibri"/>
                <w:b/>
                <w:bCs/>
                <w:color w:val="auto"/>
                <w:kern w:val="0"/>
                <w:szCs w:val="21"/>
                <w:highlight w:val="none"/>
              </w:rPr>
              <w:t>服务内容</w:t>
            </w:r>
          </w:p>
        </w:tc>
        <w:tc>
          <w:tcPr>
            <w:tcW w:w="9978" w:type="dxa"/>
            <w:noWrap w:val="0"/>
            <w:vAlign w:val="center"/>
          </w:tcPr>
          <w:p w14:paraId="0C2C88F2">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Cs w:val="21"/>
                <w:highlight w:val="none"/>
                <w:lang w:val="en-US" w:eastAsia="zh-CN"/>
              </w:rPr>
            </w:pPr>
            <w:r>
              <w:rPr>
                <w:rFonts w:hint="eastAsia" w:cs="Calibri"/>
                <w:b/>
                <w:bCs/>
                <w:color w:val="auto"/>
                <w:kern w:val="0"/>
                <w:szCs w:val="21"/>
                <w:highlight w:val="none"/>
                <w:lang w:val="en-US" w:eastAsia="zh-CN"/>
              </w:rPr>
              <w:t>服务标准</w:t>
            </w:r>
          </w:p>
        </w:tc>
      </w:tr>
      <w:tr w14:paraId="30DF3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restart"/>
            <w:noWrap w:val="0"/>
            <w:vAlign w:val="center"/>
          </w:tcPr>
          <w:p w14:paraId="49EF37F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lang w:val="en-US" w:eastAsia="zh-CN"/>
              </w:rPr>
            </w:pPr>
            <w:r>
              <w:rPr>
                <w:rFonts w:hint="eastAsia"/>
                <w:highlight w:val="none"/>
                <w:lang w:val="en-US" w:eastAsia="zh-CN"/>
              </w:rPr>
              <w:t>1</w:t>
            </w:r>
          </w:p>
        </w:tc>
        <w:tc>
          <w:tcPr>
            <w:tcW w:w="3372" w:type="dxa"/>
            <w:vMerge w:val="restart"/>
            <w:noWrap w:val="0"/>
            <w:vAlign w:val="center"/>
          </w:tcPr>
          <w:p w14:paraId="592897A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r>
              <w:rPr>
                <w:rFonts w:hint="eastAsia"/>
                <w:highlight w:val="none"/>
                <w:lang w:val="en-US" w:eastAsia="zh-CN"/>
              </w:rPr>
              <w:t>基本要求</w:t>
            </w:r>
          </w:p>
        </w:tc>
        <w:tc>
          <w:tcPr>
            <w:tcW w:w="9978" w:type="dxa"/>
            <w:noWrap w:val="0"/>
            <w:vAlign w:val="center"/>
          </w:tcPr>
          <w:p w14:paraId="176B25D4">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建立保洁服务的工作制度及工作计划，并按照执行</w:t>
            </w:r>
            <w:r>
              <w:rPr>
                <w:rFonts w:hint="eastAsia" w:eastAsia="宋体" w:cs="Calibri"/>
                <w:b w:val="0"/>
                <w:bCs w:val="0"/>
                <w:color w:val="auto"/>
                <w:kern w:val="0"/>
                <w:szCs w:val="21"/>
                <w:highlight w:val="none"/>
                <w:lang w:val="en-US" w:eastAsia="zh-CN"/>
              </w:rPr>
              <w:t>。</w:t>
            </w:r>
          </w:p>
        </w:tc>
      </w:tr>
      <w:tr w14:paraId="48396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continue"/>
            <w:noWrap w:val="0"/>
            <w:vAlign w:val="center"/>
          </w:tcPr>
          <w:p w14:paraId="4B0E605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72" w:type="dxa"/>
            <w:vMerge w:val="continue"/>
            <w:noWrap w:val="0"/>
            <w:vAlign w:val="center"/>
          </w:tcPr>
          <w:p w14:paraId="2A2420C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highlight w:val="none"/>
                <w:lang w:val="en-US" w:eastAsia="zh-CN"/>
              </w:rPr>
            </w:pPr>
          </w:p>
        </w:tc>
        <w:tc>
          <w:tcPr>
            <w:tcW w:w="9978" w:type="dxa"/>
            <w:noWrap w:val="0"/>
            <w:vAlign w:val="center"/>
          </w:tcPr>
          <w:p w14:paraId="4FAD2B65">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（2）</w:t>
            </w:r>
            <w:r>
              <w:rPr>
                <w:rFonts w:hint="eastAsia" w:ascii="Calibri" w:hAnsi="Calibri" w:eastAsia="宋体" w:cs="Calibri"/>
                <w:b w:val="0"/>
                <w:bCs w:val="0"/>
                <w:color w:val="auto"/>
                <w:kern w:val="0"/>
                <w:szCs w:val="21"/>
                <w:highlight w:val="none"/>
                <w:lang w:val="en-US" w:eastAsia="zh-CN"/>
              </w:rPr>
              <w:t>做好保洁服务工作记录，记录填写规范、保存完好</w:t>
            </w:r>
            <w:r>
              <w:rPr>
                <w:rFonts w:hint="eastAsia" w:eastAsia="宋体" w:cs="Calibri"/>
                <w:b w:val="0"/>
                <w:bCs w:val="0"/>
                <w:color w:val="auto"/>
                <w:kern w:val="0"/>
                <w:szCs w:val="21"/>
                <w:highlight w:val="none"/>
                <w:lang w:val="en-US" w:eastAsia="zh-CN"/>
              </w:rPr>
              <w:t>。</w:t>
            </w:r>
          </w:p>
        </w:tc>
      </w:tr>
      <w:tr w14:paraId="088F8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continue"/>
            <w:noWrap w:val="0"/>
            <w:vAlign w:val="center"/>
          </w:tcPr>
          <w:p w14:paraId="4CD2557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72" w:type="dxa"/>
            <w:vMerge w:val="continue"/>
            <w:noWrap w:val="0"/>
            <w:vAlign w:val="center"/>
          </w:tcPr>
          <w:p w14:paraId="1A460EB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highlight w:val="none"/>
                <w:lang w:val="en-US" w:eastAsia="zh-CN"/>
              </w:rPr>
            </w:pPr>
          </w:p>
        </w:tc>
        <w:tc>
          <w:tcPr>
            <w:tcW w:w="9978" w:type="dxa"/>
            <w:noWrap w:val="0"/>
            <w:vAlign w:val="center"/>
          </w:tcPr>
          <w:p w14:paraId="25D4A4F5">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（3）</w:t>
            </w:r>
            <w:r>
              <w:rPr>
                <w:rFonts w:hint="eastAsia" w:ascii="Calibri" w:hAnsi="Calibri" w:eastAsia="宋体" w:cs="Calibri"/>
                <w:b w:val="0"/>
                <w:bCs w:val="0"/>
                <w:color w:val="auto"/>
                <w:kern w:val="0"/>
                <w:szCs w:val="21"/>
                <w:highlight w:val="none"/>
                <w:lang w:val="en-US" w:eastAsia="zh-CN"/>
              </w:rPr>
              <w:t>作业时采取安全防护措施，防止对作业人员或他人造成伤害。相关耗材的环保、安全性</w:t>
            </w:r>
            <w:r>
              <w:rPr>
                <w:rFonts w:hint="eastAsia" w:cs="Calibri"/>
                <w:b w:val="0"/>
                <w:bCs w:val="0"/>
                <w:color w:val="auto"/>
                <w:kern w:val="0"/>
                <w:szCs w:val="21"/>
                <w:highlight w:val="none"/>
                <w:lang w:val="en-US" w:eastAsia="zh-CN"/>
              </w:rPr>
              <w:t>等</w:t>
            </w:r>
            <w:r>
              <w:rPr>
                <w:rFonts w:hint="eastAsia" w:ascii="Calibri" w:hAnsi="Calibri" w:eastAsia="宋体" w:cs="Calibri"/>
                <w:b w:val="0"/>
                <w:bCs w:val="0"/>
                <w:color w:val="auto"/>
                <w:kern w:val="0"/>
                <w:szCs w:val="21"/>
                <w:highlight w:val="none"/>
                <w:lang w:val="en-US" w:eastAsia="zh-CN"/>
              </w:rPr>
              <w:t>应</w:t>
            </w:r>
            <w:r>
              <w:rPr>
                <w:rFonts w:hint="eastAsia" w:cs="Calibri"/>
                <w:b w:val="0"/>
                <w:bCs w:val="0"/>
                <w:color w:val="auto"/>
                <w:kern w:val="0"/>
                <w:szCs w:val="21"/>
                <w:highlight w:val="none"/>
                <w:lang w:val="en-US" w:eastAsia="zh-CN"/>
              </w:rPr>
              <w:t>当</w:t>
            </w:r>
            <w:r>
              <w:rPr>
                <w:rFonts w:hint="eastAsia" w:ascii="Calibri" w:hAnsi="Calibri" w:eastAsia="宋体" w:cs="Calibri"/>
                <w:b w:val="0"/>
                <w:bCs w:val="0"/>
                <w:color w:val="auto"/>
                <w:kern w:val="0"/>
                <w:szCs w:val="21"/>
                <w:highlight w:val="none"/>
                <w:lang w:val="en-US" w:eastAsia="zh-CN"/>
              </w:rPr>
              <w:t>符合</w:t>
            </w:r>
            <w:r>
              <w:rPr>
                <w:rFonts w:hint="eastAsia" w:cs="Calibri"/>
                <w:b w:val="0"/>
                <w:bCs w:val="0"/>
                <w:color w:val="auto"/>
                <w:kern w:val="0"/>
                <w:szCs w:val="21"/>
                <w:highlight w:val="none"/>
                <w:lang w:val="en-US" w:eastAsia="zh-CN"/>
              </w:rPr>
              <w:t>国家相关</w:t>
            </w:r>
            <w:r>
              <w:rPr>
                <w:rFonts w:hint="eastAsia" w:ascii="Calibri" w:hAnsi="Calibri" w:eastAsia="宋体" w:cs="Calibri"/>
                <w:b w:val="0"/>
                <w:bCs w:val="0"/>
                <w:color w:val="auto"/>
                <w:kern w:val="0"/>
                <w:szCs w:val="21"/>
                <w:highlight w:val="none"/>
                <w:lang w:val="en-US" w:eastAsia="zh-CN"/>
              </w:rPr>
              <w:t>规定要求</w:t>
            </w:r>
            <w:r>
              <w:rPr>
                <w:rFonts w:hint="eastAsia" w:eastAsia="宋体" w:cs="Calibri"/>
                <w:b w:val="0"/>
                <w:bCs w:val="0"/>
                <w:color w:val="auto"/>
                <w:kern w:val="0"/>
                <w:szCs w:val="21"/>
                <w:highlight w:val="none"/>
                <w:lang w:val="en-US" w:eastAsia="zh-CN"/>
              </w:rPr>
              <w:t>。</w:t>
            </w:r>
          </w:p>
        </w:tc>
      </w:tr>
      <w:tr w14:paraId="6B4DC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continue"/>
            <w:noWrap w:val="0"/>
            <w:vAlign w:val="center"/>
          </w:tcPr>
          <w:p w14:paraId="75017B8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lang w:val="en-US" w:eastAsia="zh-CN"/>
              </w:rPr>
            </w:pPr>
          </w:p>
        </w:tc>
        <w:tc>
          <w:tcPr>
            <w:tcW w:w="3372" w:type="dxa"/>
            <w:vMerge w:val="continue"/>
            <w:noWrap w:val="0"/>
            <w:vAlign w:val="center"/>
          </w:tcPr>
          <w:p w14:paraId="29E4B41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978" w:type="dxa"/>
            <w:noWrap w:val="0"/>
            <w:vAlign w:val="center"/>
          </w:tcPr>
          <w:p w14:paraId="28638F94">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（4）</w:t>
            </w:r>
            <w:r>
              <w:rPr>
                <w:rFonts w:hint="eastAsia" w:ascii="Calibri" w:hAnsi="Calibri" w:eastAsia="宋体" w:cs="Calibri"/>
                <w:b w:val="0"/>
                <w:bCs w:val="0"/>
                <w:color w:val="auto"/>
                <w:kern w:val="0"/>
                <w:szCs w:val="21"/>
                <w:highlight w:val="none"/>
                <w:lang w:val="en-US" w:eastAsia="zh-CN"/>
              </w:rPr>
              <w:t>进入保密区域时，有</w:t>
            </w:r>
            <w:r>
              <w:rPr>
                <w:rFonts w:hint="eastAsia" w:eastAsia="宋体" w:cs="Calibri"/>
                <w:b w:val="0"/>
                <w:bCs w:val="0"/>
                <w:color w:val="auto"/>
                <w:kern w:val="0"/>
                <w:szCs w:val="21"/>
                <w:highlight w:val="none"/>
                <w:lang w:val="en-US" w:eastAsia="zh-CN"/>
              </w:rPr>
              <w:t>采购人</w:t>
            </w:r>
            <w:r>
              <w:rPr>
                <w:rFonts w:hint="eastAsia" w:ascii="Calibri" w:hAnsi="Calibri" w:eastAsia="宋体" w:cs="Calibri"/>
                <w:b w:val="0"/>
                <w:bCs w:val="0"/>
                <w:color w:val="auto"/>
                <w:kern w:val="0"/>
                <w:szCs w:val="21"/>
                <w:highlight w:val="none"/>
                <w:lang w:val="en-US" w:eastAsia="zh-CN"/>
              </w:rPr>
              <w:t>相关人员</w:t>
            </w:r>
            <w:r>
              <w:rPr>
                <w:rFonts w:hint="eastAsia" w:cs="Calibri"/>
                <w:b w:val="0"/>
                <w:bCs w:val="0"/>
                <w:color w:val="auto"/>
                <w:kern w:val="0"/>
                <w:szCs w:val="21"/>
                <w:highlight w:val="none"/>
                <w:lang w:val="en-US" w:eastAsia="zh-CN"/>
              </w:rPr>
              <w:t>全程</w:t>
            </w:r>
            <w:r>
              <w:rPr>
                <w:rFonts w:hint="eastAsia" w:ascii="Calibri" w:hAnsi="Calibri" w:eastAsia="宋体" w:cs="Calibri"/>
                <w:b w:val="0"/>
                <w:bCs w:val="0"/>
                <w:color w:val="auto"/>
                <w:kern w:val="0"/>
                <w:szCs w:val="21"/>
                <w:highlight w:val="none"/>
                <w:lang w:val="en-US" w:eastAsia="zh-CN"/>
              </w:rPr>
              <w:t>在场</w:t>
            </w:r>
            <w:r>
              <w:rPr>
                <w:rFonts w:hint="eastAsia" w:eastAsia="宋体" w:cs="Calibri"/>
                <w:b w:val="0"/>
                <w:bCs w:val="0"/>
                <w:color w:val="auto"/>
                <w:kern w:val="0"/>
                <w:szCs w:val="21"/>
                <w:highlight w:val="none"/>
                <w:lang w:val="en-US" w:eastAsia="zh-CN"/>
              </w:rPr>
              <w:t>。</w:t>
            </w:r>
          </w:p>
        </w:tc>
      </w:tr>
      <w:tr w14:paraId="75FF6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trPr>
        <w:tc>
          <w:tcPr>
            <w:tcW w:w="1219" w:type="dxa"/>
            <w:vMerge w:val="restart"/>
            <w:noWrap w:val="0"/>
            <w:vAlign w:val="center"/>
          </w:tcPr>
          <w:p w14:paraId="45A207B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r>
              <w:rPr>
                <w:rFonts w:hint="eastAsia"/>
                <w:highlight w:val="none"/>
                <w:lang w:val="en-US" w:eastAsia="zh-CN"/>
              </w:rPr>
              <w:t>2</w:t>
            </w:r>
          </w:p>
        </w:tc>
        <w:tc>
          <w:tcPr>
            <w:tcW w:w="3372" w:type="dxa"/>
            <w:vMerge w:val="restart"/>
            <w:noWrap w:val="0"/>
            <w:vAlign w:val="center"/>
          </w:tcPr>
          <w:p w14:paraId="3F765FA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r>
              <w:rPr>
                <w:rFonts w:hint="default"/>
                <w:highlight w:val="none"/>
              </w:rPr>
              <w:t>办公用房区域保洁</w:t>
            </w:r>
          </w:p>
        </w:tc>
        <w:tc>
          <w:tcPr>
            <w:tcW w:w="9978" w:type="dxa"/>
            <w:noWrap w:val="0"/>
            <w:vAlign w:val="center"/>
          </w:tcPr>
          <w:p w14:paraId="0652B58F">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大厅、楼内公共通道</w:t>
            </w:r>
            <w:r>
              <w:rPr>
                <w:rFonts w:hint="eastAsia" w:eastAsia="宋体" w:cs="Calibri"/>
                <w:b w:val="0"/>
                <w:bCs w:val="0"/>
                <w:color w:val="auto"/>
                <w:kern w:val="0"/>
                <w:szCs w:val="21"/>
                <w:highlight w:val="none"/>
                <w:lang w:val="en-US" w:eastAsia="zh-CN"/>
              </w:rPr>
              <w:t>：</w:t>
            </w:r>
          </w:p>
          <w:p w14:paraId="7BE3516A">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 xml:space="preserve"> </w:t>
            </w:r>
            <w:r>
              <w:rPr>
                <w:rFonts w:hint="eastAsia" w:ascii="Calibri" w:hAnsi="Calibri" w:eastAsia="宋体" w:cs="Calibri"/>
                <w:b w:val="0"/>
                <w:bCs w:val="0"/>
                <w:color w:val="auto"/>
                <w:kern w:val="0"/>
                <w:szCs w:val="21"/>
                <w:highlight w:val="none"/>
                <w:lang w:val="en-US" w:eastAsia="zh-CN"/>
              </w:rPr>
              <w:t>①公共通道保持干净，无异味、无杂物、无积水</w:t>
            </w:r>
            <w:r>
              <w:rPr>
                <w:rFonts w:hint="eastAsia" w:eastAsia="宋体" w:cs="Calibri"/>
                <w:b w:val="0"/>
                <w:bCs w:val="0"/>
                <w:color w:val="auto"/>
                <w:kern w:val="0"/>
                <w:szCs w:val="21"/>
                <w:highlight w:val="none"/>
                <w:lang w:val="en-US" w:eastAsia="zh-CN"/>
              </w:rPr>
              <w:t>，每日</w:t>
            </w:r>
            <w:r>
              <w:rPr>
                <w:rFonts w:hint="eastAsia" w:cs="Calibri"/>
                <w:b w:val="0"/>
                <w:bCs w:val="0"/>
                <w:color w:val="auto"/>
                <w:kern w:val="0"/>
                <w:szCs w:val="21"/>
                <w:highlight w:val="none"/>
                <w:lang w:val="en-US" w:eastAsia="zh-CN"/>
              </w:rPr>
              <w:t>至少开展</w:t>
            </w:r>
            <w:r>
              <w:rPr>
                <w:rFonts w:hint="eastAsia" w:eastAsia="宋体" w:cs="Calibri"/>
                <w:b w:val="0"/>
                <w:bCs w:val="0"/>
                <w:color w:val="auto"/>
                <w:kern w:val="0"/>
                <w:szCs w:val="21"/>
                <w:highlight w:val="none"/>
                <w:lang w:val="en-US" w:eastAsia="zh-CN"/>
              </w:rPr>
              <w:t>1次清洁作业。</w:t>
            </w:r>
          </w:p>
          <w:p w14:paraId="2C08BBC2">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 xml:space="preserve"> </w:t>
            </w:r>
            <w:r>
              <w:rPr>
                <w:rFonts w:hint="eastAsia" w:ascii="Calibri" w:hAnsi="Calibri" w:eastAsia="宋体" w:cs="Calibri"/>
                <w:b w:val="0"/>
                <w:bCs w:val="0"/>
                <w:color w:val="auto"/>
                <w:kern w:val="0"/>
                <w:szCs w:val="21"/>
                <w:highlight w:val="none"/>
                <w:lang w:val="en-US" w:eastAsia="zh-CN"/>
              </w:rPr>
              <w:t>②门窗玻璃干净无尘，透光性好</w:t>
            </w:r>
            <w:r>
              <w:rPr>
                <w:rFonts w:hint="eastAsia" w:eastAsia="宋体" w:cs="Calibri"/>
                <w:b w:val="0"/>
                <w:bCs w:val="0"/>
                <w:color w:val="auto"/>
                <w:kern w:val="0"/>
                <w:szCs w:val="21"/>
                <w:highlight w:val="none"/>
                <w:lang w:val="en-US" w:eastAsia="zh-CN"/>
              </w:rPr>
              <w:t>，每周</w:t>
            </w:r>
            <w:r>
              <w:rPr>
                <w:rFonts w:hint="eastAsia" w:cs="Calibri"/>
                <w:b w:val="0"/>
                <w:bCs w:val="0"/>
                <w:color w:val="auto"/>
                <w:kern w:val="0"/>
                <w:szCs w:val="21"/>
                <w:highlight w:val="none"/>
                <w:lang w:val="en-US" w:eastAsia="zh-CN"/>
              </w:rPr>
              <w:t>至少开展</w:t>
            </w:r>
            <w:r>
              <w:rPr>
                <w:rFonts w:hint="eastAsia" w:eastAsia="宋体" w:cs="Calibri"/>
                <w:b w:val="0"/>
                <w:bCs w:val="0"/>
                <w:color w:val="auto"/>
                <w:kern w:val="0"/>
                <w:szCs w:val="21"/>
                <w:highlight w:val="none"/>
                <w:lang w:val="en-US" w:eastAsia="zh-CN"/>
              </w:rPr>
              <w:t>1次清洁作业</w:t>
            </w:r>
            <w:r>
              <w:rPr>
                <w:rFonts w:hint="eastAsia" w:ascii="Calibri" w:hAnsi="Calibri" w:eastAsia="宋体" w:cs="Calibri"/>
                <w:b w:val="0"/>
                <w:bCs w:val="0"/>
                <w:color w:val="auto"/>
                <w:kern w:val="0"/>
                <w:szCs w:val="21"/>
                <w:highlight w:val="none"/>
                <w:lang w:val="en-US" w:eastAsia="zh-CN"/>
              </w:rPr>
              <w:t>。</w:t>
            </w:r>
          </w:p>
          <w:p w14:paraId="4345DA92">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color w:val="auto"/>
                <w:szCs w:val="21"/>
                <w:highlight w:val="none"/>
                <w:u w:val="none"/>
                <w:lang w:val="en-US" w:eastAsia="zh-CN"/>
              </w:rPr>
            </w:pPr>
            <w:r>
              <w:rPr>
                <w:rFonts w:hint="eastAsia" w:cs="Calibri"/>
                <w:b w:val="0"/>
                <w:bCs w:val="0"/>
                <w:color w:val="auto"/>
                <w:kern w:val="0"/>
                <w:szCs w:val="21"/>
                <w:highlight w:val="none"/>
                <w:lang w:val="en-US" w:eastAsia="zh-CN"/>
              </w:rPr>
              <w:t xml:space="preserve"> </w:t>
            </w:r>
            <w:r>
              <w:rPr>
                <w:rFonts w:hint="eastAsia" w:ascii="Calibri" w:hAnsi="Calibri" w:eastAsia="宋体" w:cs="Calibri"/>
                <w:b w:val="0"/>
                <w:bCs w:val="0"/>
                <w:color w:val="auto"/>
                <w:kern w:val="0"/>
                <w:szCs w:val="21"/>
                <w:highlight w:val="none"/>
                <w:lang w:val="en-US" w:eastAsia="zh-CN"/>
              </w:rPr>
              <w:t>③指示牌干净，无污渍</w:t>
            </w:r>
            <w:r>
              <w:rPr>
                <w:rFonts w:hint="eastAsia" w:eastAsia="宋体" w:cs="Calibri"/>
                <w:b w:val="0"/>
                <w:bCs w:val="0"/>
                <w:color w:val="auto"/>
                <w:kern w:val="0"/>
                <w:szCs w:val="21"/>
                <w:highlight w:val="none"/>
                <w:lang w:val="en-US" w:eastAsia="zh-CN"/>
              </w:rPr>
              <w:t>，每日</w:t>
            </w:r>
            <w:r>
              <w:rPr>
                <w:rFonts w:hint="eastAsia" w:cs="Calibri"/>
                <w:b w:val="0"/>
                <w:bCs w:val="0"/>
                <w:color w:val="auto"/>
                <w:kern w:val="0"/>
                <w:szCs w:val="21"/>
                <w:highlight w:val="none"/>
                <w:lang w:val="en-US" w:eastAsia="zh-CN"/>
              </w:rPr>
              <w:t>至少开展</w:t>
            </w:r>
            <w:r>
              <w:rPr>
                <w:rFonts w:hint="eastAsia" w:eastAsia="宋体" w:cs="Calibri"/>
                <w:b w:val="0"/>
                <w:bCs w:val="0"/>
                <w:color w:val="auto"/>
                <w:kern w:val="0"/>
                <w:szCs w:val="21"/>
                <w:highlight w:val="none"/>
                <w:lang w:val="en-US" w:eastAsia="zh-CN"/>
              </w:rPr>
              <w:t>1次清洁作业。</w:t>
            </w:r>
          </w:p>
        </w:tc>
      </w:tr>
      <w:tr w14:paraId="503C9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219" w:type="dxa"/>
            <w:vMerge w:val="continue"/>
            <w:noWrap w:val="0"/>
            <w:vAlign w:val="center"/>
          </w:tcPr>
          <w:p w14:paraId="067B28C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72" w:type="dxa"/>
            <w:vMerge w:val="continue"/>
            <w:noWrap w:val="0"/>
            <w:vAlign w:val="center"/>
          </w:tcPr>
          <w:p w14:paraId="4FF668D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978" w:type="dxa"/>
            <w:noWrap w:val="0"/>
            <w:vAlign w:val="center"/>
          </w:tcPr>
          <w:p w14:paraId="461C97EC">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（2）</w:t>
            </w:r>
            <w:r>
              <w:rPr>
                <w:rFonts w:hint="eastAsia" w:ascii="Calibri" w:hAnsi="Calibri" w:eastAsia="宋体" w:cs="Calibri"/>
                <w:b w:val="0"/>
                <w:bCs w:val="0"/>
                <w:color w:val="auto"/>
                <w:kern w:val="0"/>
                <w:szCs w:val="21"/>
                <w:highlight w:val="none"/>
                <w:lang w:val="en-US" w:eastAsia="zh-CN"/>
              </w:rPr>
              <w:t>电器、消防等设施设备</w:t>
            </w:r>
            <w:r>
              <w:rPr>
                <w:rFonts w:hint="eastAsia" w:eastAsia="宋体" w:cs="Calibri"/>
                <w:b w:val="0"/>
                <w:bCs w:val="0"/>
                <w:color w:val="auto"/>
                <w:kern w:val="0"/>
                <w:szCs w:val="21"/>
                <w:highlight w:val="none"/>
                <w:lang w:val="en-US" w:eastAsia="zh-CN"/>
              </w:rPr>
              <w:t>：</w:t>
            </w:r>
          </w:p>
          <w:p w14:paraId="5D1AF706">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 xml:space="preserve"> </w:t>
            </w:r>
            <w:r>
              <w:rPr>
                <w:rFonts w:hint="eastAsia" w:ascii="Calibri" w:hAnsi="Calibri" w:eastAsia="宋体" w:cs="Calibri"/>
                <w:b w:val="0"/>
                <w:bCs w:val="0"/>
                <w:color w:val="auto"/>
                <w:kern w:val="0"/>
                <w:szCs w:val="21"/>
                <w:highlight w:val="none"/>
                <w:lang w:val="en-US" w:eastAsia="zh-CN"/>
              </w:rPr>
              <w:t>①配电箱、设备机房、</w:t>
            </w:r>
            <w:r>
              <w:rPr>
                <w:rFonts w:hint="eastAsia" w:cs="Calibri"/>
                <w:b w:val="0"/>
                <w:bCs w:val="0"/>
                <w:color w:val="auto"/>
                <w:kern w:val="0"/>
                <w:szCs w:val="21"/>
                <w:highlight w:val="none"/>
                <w:lang w:val="en-US" w:eastAsia="zh-CN"/>
              </w:rPr>
              <w:t>会议室音视频设备、</w:t>
            </w:r>
            <w:r>
              <w:rPr>
                <w:rFonts w:hint="eastAsia" w:ascii="Calibri" w:hAnsi="Calibri" w:eastAsia="宋体" w:cs="Calibri"/>
                <w:b w:val="0"/>
                <w:bCs w:val="0"/>
                <w:color w:val="auto"/>
                <w:kern w:val="0"/>
                <w:szCs w:val="21"/>
                <w:highlight w:val="none"/>
                <w:lang w:val="en-US" w:eastAsia="zh-CN"/>
              </w:rPr>
              <w:t>消防栓及开关插座等保持表面干净，无尘无污迹</w:t>
            </w:r>
            <w:r>
              <w:rPr>
                <w:rFonts w:hint="eastAsia" w:eastAsia="宋体" w:cs="Calibri"/>
                <w:b w:val="0"/>
                <w:bCs w:val="0"/>
                <w:color w:val="auto"/>
                <w:kern w:val="0"/>
                <w:szCs w:val="21"/>
                <w:highlight w:val="none"/>
                <w:lang w:val="en-US" w:eastAsia="zh-CN"/>
              </w:rPr>
              <w:t>，每月</w:t>
            </w:r>
            <w:r>
              <w:rPr>
                <w:rFonts w:hint="eastAsia" w:cs="Calibri"/>
                <w:b w:val="0"/>
                <w:bCs w:val="0"/>
                <w:color w:val="auto"/>
                <w:kern w:val="0"/>
                <w:szCs w:val="21"/>
                <w:highlight w:val="none"/>
                <w:lang w:val="en-US" w:eastAsia="zh-CN"/>
              </w:rPr>
              <w:t>至少开展</w:t>
            </w:r>
            <w:r>
              <w:rPr>
                <w:rFonts w:hint="eastAsia" w:eastAsia="宋体" w:cs="Calibri"/>
                <w:b w:val="0"/>
                <w:bCs w:val="0"/>
                <w:color w:val="auto"/>
                <w:kern w:val="0"/>
                <w:szCs w:val="21"/>
                <w:highlight w:val="none"/>
                <w:lang w:val="en-US" w:eastAsia="zh-CN"/>
              </w:rPr>
              <w:t>1次清洁作业</w:t>
            </w:r>
            <w:r>
              <w:rPr>
                <w:rFonts w:hint="eastAsia" w:ascii="Calibri" w:hAnsi="Calibri" w:eastAsia="宋体" w:cs="Calibri"/>
                <w:b w:val="0"/>
                <w:bCs w:val="0"/>
                <w:color w:val="auto"/>
                <w:kern w:val="0"/>
                <w:szCs w:val="21"/>
                <w:highlight w:val="none"/>
                <w:lang w:val="en-US" w:eastAsia="zh-CN"/>
              </w:rPr>
              <w:t>。</w:t>
            </w:r>
          </w:p>
          <w:p w14:paraId="6A310D01">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color w:val="auto"/>
                <w:szCs w:val="21"/>
                <w:highlight w:val="none"/>
                <w:u w:val="none"/>
                <w:lang w:val="en-US" w:eastAsia="zh-CN"/>
              </w:rPr>
            </w:pPr>
            <w:r>
              <w:rPr>
                <w:rFonts w:hint="eastAsia" w:cs="Calibri"/>
                <w:b w:val="0"/>
                <w:bCs w:val="0"/>
                <w:color w:val="auto"/>
                <w:kern w:val="0"/>
                <w:szCs w:val="21"/>
                <w:highlight w:val="none"/>
                <w:lang w:val="en-US" w:eastAsia="zh-CN"/>
              </w:rPr>
              <w:t xml:space="preserve"> </w:t>
            </w:r>
            <w:r>
              <w:rPr>
                <w:rFonts w:hint="eastAsia" w:ascii="Calibri" w:hAnsi="Calibri" w:eastAsia="宋体" w:cs="Calibri"/>
                <w:b w:val="0"/>
                <w:bCs w:val="0"/>
                <w:color w:val="auto"/>
                <w:kern w:val="0"/>
                <w:szCs w:val="21"/>
                <w:highlight w:val="none"/>
                <w:lang w:val="en-US" w:eastAsia="zh-CN"/>
              </w:rPr>
              <w:t>②监控摄像头、门禁系统等表面光亮，无尘、无斑点</w:t>
            </w:r>
            <w:r>
              <w:rPr>
                <w:rFonts w:hint="eastAsia" w:eastAsia="宋体" w:cs="Calibri"/>
                <w:b w:val="0"/>
                <w:bCs w:val="0"/>
                <w:color w:val="auto"/>
                <w:kern w:val="0"/>
                <w:szCs w:val="21"/>
                <w:highlight w:val="none"/>
                <w:lang w:val="en-US" w:eastAsia="zh-CN"/>
              </w:rPr>
              <w:t>，每月</w:t>
            </w:r>
            <w:r>
              <w:rPr>
                <w:rFonts w:hint="eastAsia" w:cs="Calibri"/>
                <w:b w:val="0"/>
                <w:bCs w:val="0"/>
                <w:color w:val="auto"/>
                <w:kern w:val="0"/>
                <w:szCs w:val="21"/>
                <w:highlight w:val="none"/>
                <w:lang w:val="en-US" w:eastAsia="zh-CN"/>
              </w:rPr>
              <w:t>至少开展</w:t>
            </w:r>
            <w:r>
              <w:rPr>
                <w:rFonts w:hint="eastAsia" w:eastAsia="宋体" w:cs="Calibri"/>
                <w:b w:val="0"/>
                <w:bCs w:val="0"/>
                <w:color w:val="auto"/>
                <w:kern w:val="0"/>
                <w:szCs w:val="21"/>
                <w:highlight w:val="none"/>
                <w:lang w:val="en-US" w:eastAsia="zh-CN"/>
              </w:rPr>
              <w:t>1次清洁作业</w:t>
            </w:r>
            <w:r>
              <w:rPr>
                <w:rFonts w:hint="eastAsia" w:ascii="Calibri" w:hAnsi="Calibri" w:eastAsia="宋体" w:cs="Calibri"/>
                <w:b w:val="0"/>
                <w:bCs w:val="0"/>
                <w:color w:val="auto"/>
                <w:kern w:val="0"/>
                <w:szCs w:val="21"/>
                <w:highlight w:val="none"/>
                <w:lang w:val="en-US" w:eastAsia="zh-CN"/>
              </w:rPr>
              <w:t>。</w:t>
            </w:r>
          </w:p>
        </w:tc>
      </w:tr>
      <w:tr w14:paraId="27F46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continue"/>
            <w:noWrap w:val="0"/>
            <w:vAlign w:val="center"/>
          </w:tcPr>
          <w:p w14:paraId="025614A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72" w:type="dxa"/>
            <w:vMerge w:val="continue"/>
            <w:noWrap w:val="0"/>
            <w:vAlign w:val="center"/>
          </w:tcPr>
          <w:p w14:paraId="7260EE1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978" w:type="dxa"/>
            <w:noWrap w:val="0"/>
            <w:vAlign w:val="center"/>
          </w:tcPr>
          <w:p w14:paraId="103B0869">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color w:val="auto"/>
                <w:szCs w:val="21"/>
                <w:highlight w:val="none"/>
                <w:u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（3）</w:t>
            </w:r>
            <w:r>
              <w:rPr>
                <w:rFonts w:hint="eastAsia" w:ascii="Calibri" w:hAnsi="Calibri" w:eastAsia="宋体" w:cs="Calibri"/>
                <w:b w:val="0"/>
                <w:bCs w:val="0"/>
                <w:color w:val="auto"/>
                <w:kern w:val="0"/>
                <w:szCs w:val="21"/>
                <w:highlight w:val="none"/>
                <w:lang w:val="en-US" w:eastAsia="zh-CN"/>
              </w:rPr>
              <w:t>楼梯及楼梯间保持干净、无异味、无杂物、无积水</w:t>
            </w:r>
            <w:r>
              <w:rPr>
                <w:rFonts w:hint="eastAsia" w:eastAsia="宋体" w:cs="Calibri"/>
                <w:b w:val="0"/>
                <w:bCs w:val="0"/>
                <w:color w:val="auto"/>
                <w:kern w:val="0"/>
                <w:szCs w:val="21"/>
                <w:highlight w:val="none"/>
                <w:lang w:val="en-US" w:eastAsia="zh-CN"/>
              </w:rPr>
              <w:t>，每日</w:t>
            </w:r>
            <w:r>
              <w:rPr>
                <w:rFonts w:hint="eastAsia" w:cs="Calibri"/>
                <w:b w:val="0"/>
                <w:bCs w:val="0"/>
                <w:color w:val="auto"/>
                <w:kern w:val="0"/>
                <w:szCs w:val="21"/>
                <w:highlight w:val="none"/>
                <w:lang w:val="en-US" w:eastAsia="zh-CN"/>
              </w:rPr>
              <w:t>至少开展</w:t>
            </w:r>
            <w:r>
              <w:rPr>
                <w:rFonts w:hint="eastAsia" w:eastAsia="宋体" w:cs="Calibri"/>
                <w:b w:val="0"/>
                <w:bCs w:val="0"/>
                <w:color w:val="auto"/>
                <w:kern w:val="0"/>
                <w:szCs w:val="21"/>
                <w:highlight w:val="none"/>
                <w:lang w:val="en-US" w:eastAsia="zh-CN"/>
              </w:rPr>
              <w:t>1次清洁作业。</w:t>
            </w:r>
          </w:p>
        </w:tc>
      </w:tr>
      <w:tr w14:paraId="4F183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continue"/>
            <w:noWrap w:val="0"/>
            <w:vAlign w:val="center"/>
          </w:tcPr>
          <w:p w14:paraId="6CB19C7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72" w:type="dxa"/>
            <w:vMerge w:val="continue"/>
            <w:noWrap w:val="0"/>
            <w:vAlign w:val="center"/>
          </w:tcPr>
          <w:p w14:paraId="1A598CD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978" w:type="dxa"/>
            <w:noWrap w:val="0"/>
            <w:vAlign w:val="center"/>
          </w:tcPr>
          <w:p w14:paraId="091D5F80">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color w:val="auto"/>
                <w:szCs w:val="21"/>
                <w:highlight w:val="none"/>
                <w:u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（4）</w:t>
            </w:r>
            <w:r>
              <w:rPr>
                <w:rFonts w:hint="eastAsia" w:ascii="Calibri" w:hAnsi="Calibri" w:eastAsia="宋体" w:cs="Calibri"/>
                <w:b w:val="0"/>
                <w:bCs w:val="0"/>
                <w:color w:val="auto"/>
                <w:kern w:val="0"/>
                <w:szCs w:val="21"/>
                <w:highlight w:val="none"/>
                <w:lang w:val="en-US" w:eastAsia="zh-CN"/>
              </w:rPr>
              <w:t>开水间保持干净、无异味、无杂物、无积水</w:t>
            </w:r>
            <w:r>
              <w:rPr>
                <w:rFonts w:hint="eastAsia" w:eastAsia="宋体" w:cs="Calibri"/>
                <w:b w:val="0"/>
                <w:bCs w:val="0"/>
                <w:color w:val="auto"/>
                <w:kern w:val="0"/>
                <w:szCs w:val="21"/>
                <w:highlight w:val="none"/>
                <w:lang w:val="en-US" w:eastAsia="zh-CN"/>
              </w:rPr>
              <w:t>，每日</w:t>
            </w:r>
            <w:r>
              <w:rPr>
                <w:rFonts w:hint="eastAsia" w:cs="Calibri"/>
                <w:b w:val="0"/>
                <w:bCs w:val="0"/>
                <w:color w:val="auto"/>
                <w:kern w:val="0"/>
                <w:szCs w:val="21"/>
                <w:highlight w:val="none"/>
                <w:lang w:val="en-US" w:eastAsia="zh-CN"/>
              </w:rPr>
              <w:t>至少开展</w:t>
            </w:r>
            <w:r>
              <w:rPr>
                <w:rFonts w:hint="eastAsia" w:eastAsia="宋体" w:cs="Calibri"/>
                <w:b w:val="0"/>
                <w:bCs w:val="0"/>
                <w:color w:val="auto"/>
                <w:kern w:val="0"/>
                <w:szCs w:val="21"/>
                <w:highlight w:val="none"/>
                <w:lang w:val="en-US" w:eastAsia="zh-CN"/>
              </w:rPr>
              <w:t>1次清洁作业。</w:t>
            </w:r>
          </w:p>
        </w:tc>
      </w:tr>
      <w:tr w14:paraId="3676A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continue"/>
            <w:noWrap w:val="0"/>
            <w:vAlign w:val="center"/>
          </w:tcPr>
          <w:p w14:paraId="287744E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72" w:type="dxa"/>
            <w:vMerge w:val="continue"/>
            <w:noWrap w:val="0"/>
            <w:vAlign w:val="center"/>
          </w:tcPr>
          <w:p w14:paraId="26B6DD9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978" w:type="dxa"/>
            <w:noWrap w:val="0"/>
            <w:vAlign w:val="center"/>
          </w:tcPr>
          <w:p w14:paraId="4370DCA2">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（5）</w:t>
            </w:r>
            <w:r>
              <w:rPr>
                <w:rFonts w:hint="eastAsia" w:ascii="Calibri" w:hAnsi="Calibri" w:eastAsia="宋体" w:cs="Calibri"/>
                <w:b w:val="0"/>
                <w:bCs w:val="0"/>
                <w:color w:val="auto"/>
                <w:kern w:val="0"/>
                <w:szCs w:val="21"/>
                <w:highlight w:val="none"/>
                <w:lang w:val="en-US" w:eastAsia="zh-CN"/>
              </w:rPr>
              <w:t>作业工具间</w:t>
            </w:r>
            <w:r>
              <w:rPr>
                <w:rFonts w:hint="eastAsia" w:eastAsia="宋体" w:cs="Calibri"/>
                <w:b w:val="0"/>
                <w:bCs w:val="0"/>
                <w:color w:val="auto"/>
                <w:kern w:val="0"/>
                <w:szCs w:val="21"/>
                <w:highlight w:val="none"/>
                <w:lang w:val="en-US" w:eastAsia="zh-CN"/>
              </w:rPr>
              <w:t>：</w:t>
            </w:r>
          </w:p>
          <w:p w14:paraId="68033B1E">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 xml:space="preserve"> </w:t>
            </w:r>
            <w:r>
              <w:rPr>
                <w:rFonts w:hint="eastAsia" w:ascii="Calibri" w:hAnsi="Calibri" w:eastAsia="宋体" w:cs="Calibri"/>
                <w:b w:val="0"/>
                <w:bCs w:val="0"/>
                <w:color w:val="auto"/>
                <w:kern w:val="0"/>
                <w:szCs w:val="21"/>
                <w:highlight w:val="none"/>
                <w:lang w:val="en-US" w:eastAsia="zh-CN"/>
              </w:rPr>
              <w:t>①保持干净，无异味、无杂物、无积水</w:t>
            </w:r>
            <w:r>
              <w:rPr>
                <w:rFonts w:hint="eastAsia" w:eastAsia="宋体" w:cs="Calibri"/>
                <w:b w:val="0"/>
                <w:bCs w:val="0"/>
                <w:color w:val="auto"/>
                <w:kern w:val="0"/>
                <w:szCs w:val="21"/>
                <w:highlight w:val="none"/>
                <w:lang w:val="en-US" w:eastAsia="zh-CN"/>
              </w:rPr>
              <w:t>，每日</w:t>
            </w:r>
            <w:r>
              <w:rPr>
                <w:rFonts w:hint="eastAsia" w:cs="Calibri"/>
                <w:b w:val="0"/>
                <w:bCs w:val="0"/>
                <w:color w:val="auto"/>
                <w:kern w:val="0"/>
                <w:szCs w:val="21"/>
                <w:highlight w:val="none"/>
                <w:lang w:val="en-US" w:eastAsia="zh-CN"/>
              </w:rPr>
              <w:t>至少开展</w:t>
            </w:r>
            <w:r>
              <w:rPr>
                <w:rFonts w:hint="eastAsia" w:eastAsia="宋体" w:cs="Calibri"/>
                <w:b w:val="0"/>
                <w:bCs w:val="0"/>
                <w:color w:val="auto"/>
                <w:kern w:val="0"/>
                <w:szCs w:val="21"/>
                <w:highlight w:val="none"/>
                <w:lang w:val="en-US" w:eastAsia="zh-CN"/>
              </w:rPr>
              <w:t>1次清洁作业。</w:t>
            </w:r>
          </w:p>
          <w:p w14:paraId="0CA3FB38">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color w:val="auto"/>
                <w:szCs w:val="21"/>
                <w:highlight w:val="none"/>
                <w:u w:val="none"/>
                <w:lang w:val="en-US" w:eastAsia="zh-CN"/>
              </w:rPr>
            </w:pPr>
            <w:r>
              <w:rPr>
                <w:rFonts w:hint="eastAsia" w:cs="Calibri"/>
                <w:b w:val="0"/>
                <w:bCs w:val="0"/>
                <w:color w:val="auto"/>
                <w:kern w:val="0"/>
                <w:szCs w:val="21"/>
                <w:highlight w:val="none"/>
                <w:lang w:val="en-US" w:eastAsia="zh-CN"/>
              </w:rPr>
              <w:t xml:space="preserve"> </w:t>
            </w:r>
            <w:r>
              <w:rPr>
                <w:rFonts w:hint="eastAsia" w:ascii="Calibri" w:hAnsi="Calibri" w:eastAsia="宋体" w:cs="Calibri"/>
                <w:b w:val="0"/>
                <w:bCs w:val="0"/>
                <w:color w:val="auto"/>
                <w:kern w:val="0"/>
                <w:szCs w:val="21"/>
                <w:highlight w:val="none"/>
                <w:lang w:val="en-US" w:eastAsia="zh-CN"/>
              </w:rPr>
              <w:t>②作业工具摆放整齐有序，表面干净无渍</w:t>
            </w:r>
            <w:r>
              <w:rPr>
                <w:rFonts w:hint="eastAsia" w:cs="Calibri"/>
                <w:b w:val="0"/>
                <w:bCs w:val="0"/>
                <w:color w:val="auto"/>
                <w:kern w:val="0"/>
                <w:szCs w:val="21"/>
                <w:highlight w:val="none"/>
                <w:lang w:val="en-US" w:eastAsia="zh-CN"/>
              </w:rPr>
              <w:t>，每日消毒</w:t>
            </w:r>
            <w:r>
              <w:rPr>
                <w:rFonts w:hint="eastAsia" w:eastAsia="宋体" w:cs="Calibri"/>
                <w:b w:val="0"/>
                <w:bCs w:val="0"/>
                <w:color w:val="auto"/>
                <w:kern w:val="0"/>
                <w:szCs w:val="21"/>
                <w:highlight w:val="none"/>
                <w:lang w:val="en-US" w:eastAsia="zh-CN"/>
              </w:rPr>
              <w:t>。</w:t>
            </w:r>
          </w:p>
        </w:tc>
      </w:tr>
      <w:tr w14:paraId="1D942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219" w:type="dxa"/>
            <w:vMerge w:val="continue"/>
            <w:noWrap w:val="0"/>
            <w:vAlign w:val="center"/>
          </w:tcPr>
          <w:p w14:paraId="4926A72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72" w:type="dxa"/>
            <w:vMerge w:val="continue"/>
            <w:noWrap w:val="0"/>
            <w:vAlign w:val="center"/>
          </w:tcPr>
          <w:p w14:paraId="7CBE444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978" w:type="dxa"/>
            <w:noWrap w:val="0"/>
            <w:vAlign w:val="center"/>
          </w:tcPr>
          <w:p w14:paraId="452E3152">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（6）</w:t>
            </w:r>
            <w:r>
              <w:rPr>
                <w:rFonts w:hint="eastAsia" w:ascii="Calibri" w:hAnsi="Calibri" w:eastAsia="宋体" w:cs="Calibri"/>
                <w:b w:val="0"/>
                <w:bCs w:val="0"/>
                <w:color w:val="auto"/>
                <w:kern w:val="0"/>
                <w:szCs w:val="21"/>
                <w:highlight w:val="none"/>
                <w:lang w:val="en-US" w:eastAsia="zh-CN"/>
              </w:rPr>
              <w:t>公共卫生间</w:t>
            </w:r>
            <w:r>
              <w:rPr>
                <w:rFonts w:hint="eastAsia" w:eastAsia="宋体" w:cs="Calibri"/>
                <w:b w:val="0"/>
                <w:bCs w:val="0"/>
                <w:color w:val="auto"/>
                <w:kern w:val="0"/>
                <w:szCs w:val="21"/>
                <w:highlight w:val="none"/>
                <w:lang w:val="en-US" w:eastAsia="zh-CN"/>
              </w:rPr>
              <w:t>：</w:t>
            </w:r>
          </w:p>
          <w:p w14:paraId="0DCB0B9D">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 xml:space="preserve"> </w:t>
            </w:r>
            <w:r>
              <w:rPr>
                <w:rFonts w:hint="eastAsia" w:ascii="Calibri" w:hAnsi="Calibri" w:eastAsia="宋体" w:cs="Calibri"/>
                <w:b w:val="0"/>
                <w:bCs w:val="0"/>
                <w:color w:val="auto"/>
                <w:kern w:val="0"/>
                <w:szCs w:val="21"/>
                <w:highlight w:val="none"/>
                <w:lang w:val="en-US" w:eastAsia="zh-CN"/>
              </w:rPr>
              <w:t>①保持干净，无异味，垃圾无溢出</w:t>
            </w:r>
            <w:r>
              <w:rPr>
                <w:rFonts w:hint="eastAsia" w:eastAsia="宋体" w:cs="Calibri"/>
                <w:b w:val="0"/>
                <w:bCs w:val="0"/>
                <w:color w:val="auto"/>
                <w:kern w:val="0"/>
                <w:szCs w:val="21"/>
                <w:highlight w:val="none"/>
                <w:lang w:val="en-US" w:eastAsia="zh-CN"/>
              </w:rPr>
              <w:t>，每日</w:t>
            </w:r>
            <w:r>
              <w:rPr>
                <w:rFonts w:hint="eastAsia" w:cs="Calibri"/>
                <w:b w:val="0"/>
                <w:bCs w:val="0"/>
                <w:color w:val="auto"/>
                <w:kern w:val="0"/>
                <w:szCs w:val="21"/>
                <w:highlight w:val="none"/>
                <w:lang w:val="en-US" w:eastAsia="zh-CN"/>
              </w:rPr>
              <w:t>至少开展</w:t>
            </w:r>
            <w:r>
              <w:rPr>
                <w:rFonts w:hint="eastAsia" w:eastAsia="宋体" w:cs="Calibri"/>
                <w:b w:val="0"/>
                <w:bCs w:val="0"/>
                <w:color w:val="auto"/>
                <w:kern w:val="0"/>
                <w:szCs w:val="21"/>
                <w:highlight w:val="none"/>
                <w:lang w:val="en-US" w:eastAsia="zh-CN"/>
              </w:rPr>
              <w:t>1次清洁作业。</w:t>
            </w:r>
          </w:p>
          <w:p w14:paraId="0FDB01F5">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color w:val="auto"/>
                <w:szCs w:val="21"/>
                <w:highlight w:val="none"/>
                <w:u w:val="none"/>
                <w:lang w:val="en-US" w:eastAsia="zh-CN"/>
              </w:rPr>
            </w:pPr>
            <w:r>
              <w:rPr>
                <w:rFonts w:hint="eastAsia" w:cs="Calibri"/>
                <w:b w:val="0"/>
                <w:bCs w:val="0"/>
                <w:color w:val="auto"/>
                <w:kern w:val="0"/>
                <w:szCs w:val="21"/>
                <w:highlight w:val="none"/>
                <w:lang w:val="en-US" w:eastAsia="zh-CN"/>
              </w:rPr>
              <w:t xml:space="preserve"> </w:t>
            </w:r>
            <w:r>
              <w:rPr>
                <w:rFonts w:hint="eastAsia" w:ascii="Calibri" w:hAnsi="Calibri" w:eastAsia="宋体" w:cs="Calibri"/>
                <w:b w:val="0"/>
                <w:bCs w:val="0"/>
                <w:color w:val="auto"/>
                <w:kern w:val="0"/>
                <w:szCs w:val="21"/>
                <w:highlight w:val="none"/>
                <w:lang w:val="en-US" w:eastAsia="zh-CN"/>
              </w:rPr>
              <w:t>②</w:t>
            </w:r>
            <w:r>
              <w:rPr>
                <w:rFonts w:hint="eastAsia" w:cs="Calibri"/>
                <w:b w:val="0"/>
                <w:bCs w:val="0"/>
                <w:color w:val="auto"/>
                <w:kern w:val="0"/>
                <w:szCs w:val="21"/>
                <w:highlight w:val="none"/>
                <w:lang w:val="en-US" w:eastAsia="zh-CN"/>
              </w:rPr>
              <w:t>及时补充</w:t>
            </w:r>
            <w:r>
              <w:rPr>
                <w:rFonts w:hint="eastAsia" w:ascii="Calibri" w:hAnsi="Calibri" w:eastAsia="宋体" w:cs="Calibri"/>
                <w:b w:val="0"/>
                <w:bCs w:val="0"/>
                <w:color w:val="auto"/>
                <w:kern w:val="0"/>
                <w:szCs w:val="21"/>
                <w:highlight w:val="none"/>
                <w:lang w:val="en-US" w:eastAsia="zh-CN"/>
              </w:rPr>
              <w:t>厕纸等必要用品</w:t>
            </w:r>
            <w:r>
              <w:rPr>
                <w:rFonts w:hint="eastAsia" w:eastAsia="宋体" w:cs="Calibri"/>
                <w:b w:val="0"/>
                <w:bCs w:val="0"/>
                <w:color w:val="auto"/>
                <w:kern w:val="0"/>
                <w:szCs w:val="21"/>
                <w:highlight w:val="none"/>
                <w:lang w:val="en-US" w:eastAsia="zh-CN"/>
              </w:rPr>
              <w:t>。</w:t>
            </w:r>
          </w:p>
        </w:tc>
      </w:tr>
      <w:tr w14:paraId="06381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1219" w:type="dxa"/>
            <w:vMerge w:val="continue"/>
            <w:noWrap w:val="0"/>
            <w:vAlign w:val="center"/>
          </w:tcPr>
          <w:p w14:paraId="5898F53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72" w:type="dxa"/>
            <w:vMerge w:val="continue"/>
            <w:noWrap w:val="0"/>
            <w:vAlign w:val="center"/>
          </w:tcPr>
          <w:p w14:paraId="6C5A3FC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978" w:type="dxa"/>
            <w:noWrap w:val="0"/>
            <w:vAlign w:val="center"/>
          </w:tcPr>
          <w:p w14:paraId="4C4CD72D">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（7）</w:t>
            </w:r>
            <w:r>
              <w:rPr>
                <w:rFonts w:hint="eastAsia" w:ascii="Calibri" w:hAnsi="Calibri" w:eastAsia="宋体" w:cs="Calibri"/>
                <w:b w:val="0"/>
                <w:bCs w:val="0"/>
                <w:color w:val="auto"/>
                <w:kern w:val="0"/>
                <w:szCs w:val="21"/>
                <w:highlight w:val="none"/>
                <w:lang w:val="en-US" w:eastAsia="zh-CN"/>
              </w:rPr>
              <w:t>电梯轿厢</w:t>
            </w:r>
            <w:r>
              <w:rPr>
                <w:rFonts w:hint="eastAsia" w:eastAsia="宋体" w:cs="Calibri"/>
                <w:b w:val="0"/>
                <w:bCs w:val="0"/>
                <w:color w:val="auto"/>
                <w:kern w:val="0"/>
                <w:szCs w:val="21"/>
                <w:highlight w:val="none"/>
                <w:lang w:val="en-US" w:eastAsia="zh-CN"/>
              </w:rPr>
              <w:t>：</w:t>
            </w:r>
          </w:p>
          <w:p w14:paraId="1933A09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315" w:firstLine="0" w:firstLineChars="0"/>
              <w:jc w:val="left"/>
              <w:textAlignment w:val="auto"/>
              <w:rPr>
                <w:rFonts w:hint="eastAsia"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①</w:t>
            </w:r>
            <w:r>
              <w:rPr>
                <w:rFonts w:hint="eastAsia" w:ascii="Calibri" w:hAnsi="Calibri" w:eastAsia="宋体" w:cs="Calibri"/>
                <w:b w:val="0"/>
                <w:bCs w:val="0"/>
                <w:color w:val="auto"/>
                <w:kern w:val="0"/>
                <w:szCs w:val="21"/>
                <w:highlight w:val="none"/>
                <w:lang w:val="en-US" w:eastAsia="zh-CN"/>
              </w:rPr>
              <w:t>保持干净，无污渍、无粘贴物、无异味</w:t>
            </w:r>
            <w:r>
              <w:rPr>
                <w:rFonts w:hint="eastAsia" w:eastAsia="宋体" w:cs="Calibri"/>
                <w:b w:val="0"/>
                <w:bCs w:val="0"/>
                <w:color w:val="auto"/>
                <w:kern w:val="0"/>
                <w:szCs w:val="21"/>
                <w:highlight w:val="none"/>
                <w:lang w:val="en-US" w:eastAsia="zh-CN"/>
              </w:rPr>
              <w:t>，每日</w:t>
            </w:r>
            <w:r>
              <w:rPr>
                <w:rFonts w:hint="eastAsia" w:cs="Calibri"/>
                <w:b w:val="0"/>
                <w:bCs w:val="0"/>
                <w:color w:val="auto"/>
                <w:kern w:val="0"/>
                <w:szCs w:val="21"/>
                <w:highlight w:val="none"/>
                <w:lang w:val="en-US" w:eastAsia="zh-CN"/>
              </w:rPr>
              <w:t>至少开展</w:t>
            </w:r>
            <w:r>
              <w:rPr>
                <w:rFonts w:hint="eastAsia" w:eastAsia="宋体" w:cs="Calibri"/>
                <w:b w:val="0"/>
                <w:bCs w:val="0"/>
                <w:color w:val="auto"/>
                <w:kern w:val="0"/>
                <w:szCs w:val="21"/>
                <w:highlight w:val="none"/>
                <w:lang w:val="en-US" w:eastAsia="zh-CN"/>
              </w:rPr>
              <w:t>1次清洁作业。</w:t>
            </w:r>
          </w:p>
          <w:p w14:paraId="5E83967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315" w:firstLine="0" w:firstLineChars="0"/>
              <w:jc w:val="left"/>
              <w:textAlignment w:val="auto"/>
              <w:rPr>
                <w:rFonts w:hint="eastAsia" w:ascii="Calibri" w:hAnsi="Calibri" w:eastAsia="宋体" w:cs="Calibri"/>
                <w:color w:val="auto"/>
                <w:szCs w:val="21"/>
                <w:highlight w:val="none"/>
                <w:u w:val="none"/>
                <w:lang w:val="en-US" w:eastAsia="zh-CN"/>
              </w:rPr>
            </w:pPr>
            <w:r>
              <w:rPr>
                <w:rFonts w:hint="eastAsia" w:ascii="Calibri" w:hAnsi="Calibri" w:eastAsia="宋体" w:cs="Calibri"/>
                <w:b w:val="0"/>
                <w:bCs w:val="0"/>
                <w:color w:val="auto"/>
                <w:kern w:val="0"/>
                <w:szCs w:val="21"/>
                <w:highlight w:val="none"/>
                <w:lang w:val="en-US" w:eastAsia="zh-CN"/>
              </w:rPr>
              <w:t>②灯具、操作指示板明亮</w:t>
            </w:r>
            <w:r>
              <w:rPr>
                <w:rFonts w:hint="eastAsia" w:eastAsia="宋体" w:cs="Calibri"/>
                <w:b w:val="0"/>
                <w:bCs w:val="0"/>
                <w:color w:val="auto"/>
                <w:kern w:val="0"/>
                <w:szCs w:val="21"/>
                <w:highlight w:val="none"/>
                <w:lang w:val="en-US" w:eastAsia="zh-CN"/>
              </w:rPr>
              <w:t>。</w:t>
            </w:r>
          </w:p>
        </w:tc>
      </w:tr>
      <w:tr w14:paraId="5DB52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continue"/>
            <w:noWrap w:val="0"/>
            <w:vAlign w:val="center"/>
          </w:tcPr>
          <w:p w14:paraId="61EF984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72" w:type="dxa"/>
            <w:vMerge w:val="continue"/>
            <w:noWrap w:val="0"/>
            <w:vAlign w:val="center"/>
          </w:tcPr>
          <w:p w14:paraId="11B9E79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978" w:type="dxa"/>
            <w:noWrap w:val="0"/>
            <w:vAlign w:val="center"/>
          </w:tcPr>
          <w:p w14:paraId="7E3CE60B">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color w:val="auto"/>
                <w:szCs w:val="21"/>
                <w:highlight w:val="none"/>
                <w:u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（8）</w:t>
            </w:r>
            <w:r>
              <w:rPr>
                <w:rFonts w:hint="eastAsia" w:ascii="Calibri" w:hAnsi="Calibri" w:eastAsia="宋体" w:cs="Calibri"/>
                <w:b w:val="0"/>
                <w:bCs w:val="0"/>
                <w:color w:val="auto"/>
                <w:kern w:val="0"/>
                <w:szCs w:val="21"/>
                <w:highlight w:val="none"/>
                <w:lang w:val="en-US" w:eastAsia="zh-CN"/>
              </w:rPr>
              <w:t>平台、屋顶</w:t>
            </w:r>
            <w:r>
              <w:rPr>
                <w:rFonts w:hint="eastAsia" w:eastAsia="宋体" w:cs="Calibri"/>
                <w:b w:val="0"/>
                <w:bCs w:val="0"/>
                <w:color w:val="auto"/>
                <w:kern w:val="0"/>
                <w:szCs w:val="21"/>
                <w:highlight w:val="none"/>
                <w:lang w:val="en-US" w:eastAsia="zh-CN"/>
              </w:rPr>
              <w:t>、天沟</w:t>
            </w:r>
            <w:r>
              <w:rPr>
                <w:rFonts w:hint="eastAsia" w:ascii="Calibri" w:hAnsi="Calibri" w:eastAsia="宋体" w:cs="Calibri"/>
                <w:b w:val="0"/>
                <w:bCs w:val="0"/>
                <w:color w:val="auto"/>
                <w:kern w:val="0"/>
                <w:szCs w:val="21"/>
                <w:highlight w:val="none"/>
                <w:lang w:val="en-US" w:eastAsia="zh-CN"/>
              </w:rPr>
              <w:t>保持干净，有杂物及时清扫</w:t>
            </w:r>
            <w:r>
              <w:rPr>
                <w:rFonts w:hint="eastAsia" w:eastAsia="宋体" w:cs="Calibri"/>
                <w:b w:val="0"/>
                <w:bCs w:val="0"/>
                <w:color w:val="auto"/>
                <w:kern w:val="0"/>
                <w:szCs w:val="21"/>
                <w:highlight w:val="none"/>
                <w:lang w:val="en-US" w:eastAsia="zh-CN"/>
              </w:rPr>
              <w:t>，每月</w:t>
            </w:r>
            <w:r>
              <w:rPr>
                <w:rFonts w:hint="eastAsia" w:cs="Calibri"/>
                <w:b w:val="0"/>
                <w:bCs w:val="0"/>
                <w:color w:val="auto"/>
                <w:kern w:val="0"/>
                <w:szCs w:val="21"/>
                <w:highlight w:val="none"/>
                <w:lang w:val="en-US" w:eastAsia="zh-CN"/>
              </w:rPr>
              <w:t>至少开展</w:t>
            </w:r>
            <w:r>
              <w:rPr>
                <w:rFonts w:hint="eastAsia" w:eastAsia="宋体" w:cs="Calibri"/>
                <w:b w:val="0"/>
                <w:bCs w:val="0"/>
                <w:color w:val="auto"/>
                <w:kern w:val="0"/>
                <w:szCs w:val="21"/>
                <w:highlight w:val="none"/>
                <w:lang w:val="en-US" w:eastAsia="zh-CN"/>
              </w:rPr>
              <w:t>1次清洁作业</w:t>
            </w:r>
            <w:r>
              <w:rPr>
                <w:rFonts w:hint="eastAsia" w:ascii="Calibri" w:hAnsi="Calibri" w:eastAsia="宋体" w:cs="Calibri"/>
                <w:b w:val="0"/>
                <w:bCs w:val="0"/>
                <w:color w:val="auto"/>
                <w:kern w:val="0"/>
                <w:szCs w:val="21"/>
                <w:highlight w:val="none"/>
                <w:lang w:val="en-US" w:eastAsia="zh-CN"/>
              </w:rPr>
              <w:t>。</w:t>
            </w:r>
          </w:p>
        </w:tc>
      </w:tr>
      <w:tr w14:paraId="74278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continue"/>
            <w:noWrap w:val="0"/>
            <w:vAlign w:val="center"/>
          </w:tcPr>
          <w:p w14:paraId="42638D4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72" w:type="dxa"/>
            <w:vMerge w:val="continue"/>
            <w:noWrap w:val="0"/>
            <w:vAlign w:val="center"/>
          </w:tcPr>
          <w:p w14:paraId="3ACB052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978" w:type="dxa"/>
            <w:noWrap w:val="0"/>
            <w:vAlign w:val="center"/>
          </w:tcPr>
          <w:p w14:paraId="1F9B13CC">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color w:val="auto"/>
                <w:szCs w:val="21"/>
                <w:highlight w:val="none"/>
                <w:u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（9）</w:t>
            </w:r>
            <w:r>
              <w:rPr>
                <w:rFonts w:hint="eastAsia" w:ascii="Calibri" w:hAnsi="Calibri" w:eastAsia="宋体" w:cs="Calibri"/>
                <w:color w:val="auto"/>
                <w:szCs w:val="21"/>
                <w:highlight w:val="none"/>
                <w:u w:val="none"/>
                <w:lang w:val="en-US" w:eastAsia="zh-CN"/>
              </w:rPr>
              <w:t>石材地面</w:t>
            </w:r>
            <w:r>
              <w:rPr>
                <w:rFonts w:hint="eastAsia" w:cs="Calibri"/>
                <w:color w:val="auto"/>
                <w:szCs w:val="21"/>
                <w:highlight w:val="none"/>
                <w:u w:val="none"/>
                <w:lang w:val="en-US" w:eastAsia="zh-CN"/>
              </w:rPr>
              <w:t>、</w:t>
            </w:r>
            <w:r>
              <w:rPr>
                <w:rFonts w:hint="eastAsia" w:eastAsia="宋体" w:cs="Calibri"/>
                <w:color w:val="auto"/>
                <w:szCs w:val="21"/>
                <w:highlight w:val="none"/>
                <w:u w:val="none"/>
                <w:lang w:val="en-US" w:eastAsia="zh-CN"/>
              </w:rPr>
              <w:t>内墙</w:t>
            </w:r>
            <w:r>
              <w:rPr>
                <w:rFonts w:hint="eastAsia" w:ascii="Calibri" w:hAnsi="Calibri" w:eastAsia="宋体" w:cs="Calibri"/>
                <w:color w:val="auto"/>
                <w:szCs w:val="21"/>
                <w:highlight w:val="none"/>
                <w:u w:val="none"/>
                <w:lang w:val="en-US" w:eastAsia="zh-CN"/>
              </w:rPr>
              <w:t>做好</w:t>
            </w:r>
            <w:r>
              <w:rPr>
                <w:rFonts w:hint="eastAsia" w:eastAsia="宋体" w:cs="Calibri"/>
                <w:color w:val="auto"/>
                <w:szCs w:val="21"/>
                <w:highlight w:val="none"/>
                <w:u w:val="none"/>
                <w:lang w:val="en-US" w:eastAsia="zh-CN"/>
              </w:rPr>
              <w:t>养护</w:t>
            </w:r>
            <w:r>
              <w:rPr>
                <w:rFonts w:hint="eastAsia" w:ascii="Calibri" w:hAnsi="Calibri" w:eastAsia="宋体" w:cs="Calibri"/>
                <w:color w:val="auto"/>
                <w:szCs w:val="21"/>
                <w:highlight w:val="none"/>
                <w:u w:val="none"/>
                <w:lang w:val="en-US" w:eastAsia="zh-CN"/>
              </w:rPr>
              <w:t>工作</w:t>
            </w:r>
            <w:r>
              <w:rPr>
                <w:rFonts w:hint="eastAsia" w:eastAsia="宋体" w:cs="Calibri"/>
                <w:b w:val="0"/>
                <w:bCs w:val="0"/>
                <w:color w:val="auto"/>
                <w:kern w:val="0"/>
                <w:szCs w:val="21"/>
                <w:highlight w:val="none"/>
                <w:lang w:val="en-US" w:eastAsia="zh-CN"/>
              </w:rPr>
              <w:t>，</w:t>
            </w:r>
            <w:r>
              <w:rPr>
                <w:rFonts w:hint="eastAsia" w:cs="Calibri"/>
                <w:b w:val="0"/>
                <w:bCs w:val="0"/>
                <w:color w:val="auto"/>
                <w:kern w:val="0"/>
                <w:szCs w:val="21"/>
                <w:highlight w:val="none"/>
                <w:lang w:val="en-US" w:eastAsia="zh-CN"/>
              </w:rPr>
              <w:t>每季度开展</w:t>
            </w:r>
            <w:r>
              <w:rPr>
                <w:rFonts w:hint="eastAsia" w:eastAsia="宋体" w:cs="Calibri"/>
                <w:b w:val="0"/>
                <w:bCs w:val="0"/>
                <w:color w:val="auto"/>
                <w:kern w:val="0"/>
                <w:szCs w:val="21"/>
                <w:highlight w:val="none"/>
                <w:lang w:val="en-US" w:eastAsia="zh-CN"/>
              </w:rPr>
              <w:t>1次清洁作业</w:t>
            </w:r>
            <w:r>
              <w:rPr>
                <w:rFonts w:hint="eastAsia" w:ascii="Calibri" w:hAnsi="Calibri" w:eastAsia="宋体" w:cs="Calibri"/>
                <w:b w:val="0"/>
                <w:bCs w:val="0"/>
                <w:color w:val="auto"/>
                <w:kern w:val="0"/>
                <w:szCs w:val="21"/>
                <w:highlight w:val="none"/>
                <w:lang w:val="en-US" w:eastAsia="zh-CN"/>
              </w:rPr>
              <w:t>。</w:t>
            </w:r>
            <w:r>
              <w:rPr>
                <w:rFonts w:hint="eastAsia" w:eastAsia="宋体" w:cs="Calibri"/>
                <w:b w:val="0"/>
                <w:bCs w:val="0"/>
                <w:color w:val="auto"/>
                <w:kern w:val="0"/>
                <w:szCs w:val="21"/>
                <w:highlight w:val="none"/>
                <w:lang w:val="en-US" w:eastAsia="zh-CN"/>
              </w:rPr>
              <w:t>（各类材质地面、内墙服务管理标准详见</w:t>
            </w:r>
            <w:r>
              <w:rPr>
                <w:rFonts w:hint="eastAsia" w:cs="Calibri"/>
                <w:b w:val="0"/>
                <w:bCs w:val="0"/>
                <w:color w:val="auto"/>
                <w:kern w:val="0"/>
                <w:szCs w:val="21"/>
                <w:highlight w:val="none"/>
                <w:lang w:val="en-US" w:eastAsia="zh-CN"/>
              </w:rPr>
              <w:t>3.4.1</w:t>
            </w:r>
            <w:r>
              <w:rPr>
                <w:rFonts w:hint="eastAsia" w:eastAsia="宋体" w:cs="Calibri"/>
                <w:b w:val="0"/>
                <w:bCs w:val="0"/>
                <w:color w:val="auto"/>
                <w:kern w:val="0"/>
                <w:szCs w:val="21"/>
                <w:highlight w:val="none"/>
                <w:lang w:val="en-US" w:eastAsia="zh-CN"/>
              </w:rPr>
              <w:t>）</w:t>
            </w:r>
          </w:p>
        </w:tc>
      </w:tr>
      <w:tr w14:paraId="2F47A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219" w:type="dxa"/>
            <w:vMerge w:val="continue"/>
            <w:noWrap w:val="0"/>
            <w:vAlign w:val="center"/>
          </w:tcPr>
          <w:p w14:paraId="2D3D832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p>
        </w:tc>
        <w:tc>
          <w:tcPr>
            <w:tcW w:w="3372" w:type="dxa"/>
            <w:vMerge w:val="continue"/>
            <w:noWrap w:val="0"/>
            <w:vAlign w:val="center"/>
          </w:tcPr>
          <w:p w14:paraId="7949400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978" w:type="dxa"/>
            <w:noWrap w:val="0"/>
            <w:vAlign w:val="center"/>
          </w:tcPr>
          <w:p w14:paraId="77C597A0">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eastAsia="宋体" w:cs="Calibri"/>
                <w:color w:val="auto"/>
                <w:szCs w:val="21"/>
                <w:highlight w:val="none"/>
                <w:u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（10）</w:t>
            </w:r>
            <w:r>
              <w:rPr>
                <w:rFonts w:hint="eastAsia" w:ascii="Calibri" w:hAnsi="Calibri" w:eastAsia="宋体" w:cs="Calibri"/>
                <w:color w:val="auto"/>
                <w:szCs w:val="21"/>
                <w:highlight w:val="none"/>
                <w:u w:val="none"/>
                <w:lang w:val="en-US" w:eastAsia="zh-CN"/>
              </w:rPr>
              <w:t>地毯干净、无油渍、无污渍、无褪色</w:t>
            </w:r>
            <w:r>
              <w:rPr>
                <w:rFonts w:hint="eastAsia" w:eastAsia="宋体" w:cs="Calibri"/>
                <w:b w:val="0"/>
                <w:bCs w:val="0"/>
                <w:color w:val="auto"/>
                <w:kern w:val="0"/>
                <w:szCs w:val="21"/>
                <w:highlight w:val="none"/>
                <w:lang w:val="en-US" w:eastAsia="zh-CN"/>
              </w:rPr>
              <w:t>，每月</w:t>
            </w:r>
            <w:r>
              <w:rPr>
                <w:rFonts w:hint="eastAsia" w:cs="Calibri"/>
                <w:b w:val="0"/>
                <w:bCs w:val="0"/>
                <w:color w:val="auto"/>
                <w:kern w:val="0"/>
                <w:szCs w:val="21"/>
                <w:highlight w:val="none"/>
                <w:lang w:val="en-US" w:eastAsia="zh-CN"/>
              </w:rPr>
              <w:t>至少开展</w:t>
            </w:r>
            <w:r>
              <w:rPr>
                <w:rFonts w:hint="eastAsia" w:eastAsia="宋体" w:cs="Calibri"/>
                <w:b w:val="0"/>
                <w:bCs w:val="0"/>
                <w:color w:val="auto"/>
                <w:kern w:val="0"/>
                <w:szCs w:val="21"/>
                <w:highlight w:val="none"/>
                <w:lang w:val="en-US" w:eastAsia="zh-CN"/>
              </w:rPr>
              <w:t>1次清洁作业</w:t>
            </w:r>
            <w:r>
              <w:rPr>
                <w:rFonts w:hint="eastAsia" w:ascii="Calibri" w:hAnsi="Calibri" w:eastAsia="宋体" w:cs="Calibri"/>
                <w:b w:val="0"/>
                <w:bCs w:val="0"/>
                <w:color w:val="auto"/>
                <w:kern w:val="0"/>
                <w:szCs w:val="21"/>
                <w:highlight w:val="none"/>
                <w:lang w:val="en-US" w:eastAsia="zh-CN"/>
              </w:rPr>
              <w:t>。</w:t>
            </w:r>
          </w:p>
        </w:tc>
      </w:tr>
      <w:tr w14:paraId="0DB24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restart"/>
            <w:noWrap w:val="0"/>
            <w:vAlign w:val="center"/>
          </w:tcPr>
          <w:p w14:paraId="2A38E4C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r>
              <w:rPr>
                <w:rFonts w:hint="eastAsia"/>
                <w:highlight w:val="none"/>
                <w:lang w:val="en-US" w:eastAsia="zh-CN"/>
              </w:rPr>
              <w:t>3</w:t>
            </w:r>
          </w:p>
        </w:tc>
        <w:tc>
          <w:tcPr>
            <w:tcW w:w="3372" w:type="dxa"/>
            <w:vMerge w:val="restart"/>
            <w:noWrap w:val="0"/>
            <w:vAlign w:val="center"/>
          </w:tcPr>
          <w:p w14:paraId="5F72326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r>
              <w:rPr>
                <w:rFonts w:hint="default"/>
                <w:highlight w:val="none"/>
              </w:rPr>
              <w:t>公共场地区域保洁</w:t>
            </w:r>
          </w:p>
        </w:tc>
        <w:tc>
          <w:tcPr>
            <w:tcW w:w="9978" w:type="dxa"/>
            <w:noWrap w:val="0"/>
            <w:vAlign w:val="center"/>
          </w:tcPr>
          <w:p w14:paraId="65CEBA29">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highlight w:val="none"/>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每日清扫道路地面、停车场等公共区域</w:t>
            </w:r>
            <w:r>
              <w:rPr>
                <w:rFonts w:hint="eastAsia" w:eastAsia="宋体" w:cs="Calibri"/>
                <w:b w:val="0"/>
                <w:bCs w:val="0"/>
                <w:color w:val="auto"/>
                <w:kern w:val="0"/>
                <w:szCs w:val="21"/>
                <w:highlight w:val="none"/>
                <w:lang w:val="en-US" w:eastAsia="zh-CN"/>
              </w:rPr>
              <w:t>2次</w:t>
            </w:r>
            <w:r>
              <w:rPr>
                <w:rFonts w:hint="eastAsia" w:ascii="Calibri" w:hAnsi="Calibri" w:eastAsia="宋体" w:cs="Calibri"/>
                <w:b w:val="0"/>
                <w:bCs w:val="0"/>
                <w:color w:val="auto"/>
                <w:kern w:val="0"/>
                <w:szCs w:val="21"/>
                <w:highlight w:val="none"/>
                <w:lang w:val="en-US" w:eastAsia="zh-CN"/>
              </w:rPr>
              <w:t>，保持干净、无杂物、无积水</w:t>
            </w:r>
            <w:r>
              <w:rPr>
                <w:rFonts w:hint="eastAsia" w:eastAsia="宋体" w:cs="Calibri"/>
                <w:b w:val="0"/>
                <w:bCs w:val="0"/>
                <w:color w:val="auto"/>
                <w:kern w:val="0"/>
                <w:szCs w:val="21"/>
                <w:highlight w:val="none"/>
                <w:lang w:val="en-US" w:eastAsia="zh-CN"/>
              </w:rPr>
              <w:t>。</w:t>
            </w:r>
          </w:p>
        </w:tc>
      </w:tr>
      <w:tr w14:paraId="5C673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continue"/>
            <w:noWrap w:val="0"/>
            <w:vAlign w:val="center"/>
          </w:tcPr>
          <w:p w14:paraId="2C22CBD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rPr>
            </w:pPr>
          </w:p>
        </w:tc>
        <w:tc>
          <w:tcPr>
            <w:tcW w:w="3372" w:type="dxa"/>
            <w:vMerge w:val="continue"/>
            <w:noWrap w:val="0"/>
            <w:vAlign w:val="center"/>
          </w:tcPr>
          <w:p w14:paraId="33DCF27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978" w:type="dxa"/>
            <w:noWrap w:val="0"/>
            <w:vAlign w:val="center"/>
          </w:tcPr>
          <w:p w14:paraId="143F233C">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highlight w:val="none"/>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（2）</w:t>
            </w:r>
            <w:r>
              <w:rPr>
                <w:rFonts w:hint="eastAsia" w:ascii="Calibri" w:hAnsi="Calibri" w:eastAsia="宋体" w:cs="Calibri"/>
                <w:b w:val="0"/>
                <w:bCs w:val="0"/>
                <w:color w:val="auto"/>
                <w:kern w:val="0"/>
                <w:szCs w:val="21"/>
                <w:highlight w:val="none"/>
                <w:lang w:val="en-US" w:eastAsia="zh-CN"/>
              </w:rPr>
              <w:t>雪、冰冻等恶劣天气时及时清扫积水、积雪，并采取安全防护措施</w:t>
            </w:r>
            <w:r>
              <w:rPr>
                <w:rFonts w:hint="eastAsia" w:eastAsia="宋体" w:cs="Calibri"/>
                <w:b w:val="0"/>
                <w:bCs w:val="0"/>
                <w:color w:val="auto"/>
                <w:kern w:val="0"/>
                <w:szCs w:val="21"/>
                <w:highlight w:val="none"/>
                <w:lang w:val="en-US" w:eastAsia="zh-CN"/>
              </w:rPr>
              <w:t>。</w:t>
            </w:r>
          </w:p>
        </w:tc>
      </w:tr>
      <w:tr w14:paraId="44D0C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continue"/>
            <w:noWrap w:val="0"/>
            <w:vAlign w:val="center"/>
          </w:tcPr>
          <w:p w14:paraId="5C99FBB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rPr>
            </w:pPr>
          </w:p>
        </w:tc>
        <w:tc>
          <w:tcPr>
            <w:tcW w:w="3372" w:type="dxa"/>
            <w:vMerge w:val="continue"/>
            <w:noWrap w:val="0"/>
            <w:vAlign w:val="center"/>
          </w:tcPr>
          <w:p w14:paraId="6D8FCB0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978" w:type="dxa"/>
            <w:noWrap w:val="0"/>
            <w:vAlign w:val="center"/>
          </w:tcPr>
          <w:p w14:paraId="7CBABD85">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highlight w:val="none"/>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（3）</w:t>
            </w:r>
            <w:r>
              <w:rPr>
                <w:rFonts w:hint="eastAsia" w:ascii="Calibri" w:hAnsi="Calibri" w:eastAsia="宋体" w:cs="Calibri"/>
                <w:b w:val="0"/>
                <w:bCs w:val="0"/>
                <w:color w:val="auto"/>
                <w:kern w:val="0"/>
                <w:szCs w:val="21"/>
                <w:highlight w:val="none"/>
                <w:lang w:val="en-US" w:eastAsia="zh-CN"/>
              </w:rPr>
              <w:t>各种路标、宣传栏等保持干净</w:t>
            </w:r>
            <w:r>
              <w:rPr>
                <w:rFonts w:hint="eastAsia" w:eastAsia="宋体" w:cs="Calibri"/>
                <w:b w:val="0"/>
                <w:bCs w:val="0"/>
                <w:color w:val="auto"/>
                <w:kern w:val="0"/>
                <w:szCs w:val="21"/>
                <w:highlight w:val="none"/>
                <w:lang w:val="en-US" w:eastAsia="zh-CN"/>
              </w:rPr>
              <w:t>，每月</w:t>
            </w:r>
            <w:r>
              <w:rPr>
                <w:rFonts w:hint="eastAsia" w:cs="Calibri"/>
                <w:b w:val="0"/>
                <w:bCs w:val="0"/>
                <w:color w:val="auto"/>
                <w:kern w:val="0"/>
                <w:szCs w:val="21"/>
                <w:highlight w:val="none"/>
                <w:lang w:val="en-US" w:eastAsia="zh-CN"/>
              </w:rPr>
              <w:t>至少开展</w:t>
            </w:r>
            <w:r>
              <w:rPr>
                <w:rFonts w:hint="eastAsia" w:eastAsia="宋体" w:cs="Calibri"/>
                <w:b w:val="0"/>
                <w:bCs w:val="0"/>
                <w:color w:val="auto"/>
                <w:kern w:val="0"/>
                <w:szCs w:val="21"/>
                <w:highlight w:val="none"/>
                <w:lang w:val="en-US" w:eastAsia="zh-CN"/>
              </w:rPr>
              <w:t>1次清洁作业</w:t>
            </w:r>
            <w:r>
              <w:rPr>
                <w:rFonts w:hint="eastAsia" w:ascii="Calibri" w:hAnsi="Calibri" w:eastAsia="宋体" w:cs="Calibri"/>
                <w:b w:val="0"/>
                <w:bCs w:val="0"/>
                <w:color w:val="auto"/>
                <w:kern w:val="0"/>
                <w:szCs w:val="21"/>
                <w:highlight w:val="none"/>
                <w:lang w:val="en-US" w:eastAsia="zh-CN"/>
              </w:rPr>
              <w:t>。</w:t>
            </w:r>
          </w:p>
        </w:tc>
      </w:tr>
      <w:tr w14:paraId="05AAF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continue"/>
            <w:noWrap w:val="0"/>
            <w:vAlign w:val="center"/>
          </w:tcPr>
          <w:p w14:paraId="55A24ED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rPr>
            </w:pPr>
          </w:p>
        </w:tc>
        <w:tc>
          <w:tcPr>
            <w:tcW w:w="3372" w:type="dxa"/>
            <w:vMerge w:val="continue"/>
            <w:noWrap w:val="0"/>
            <w:vAlign w:val="center"/>
          </w:tcPr>
          <w:p w14:paraId="475CEFB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978" w:type="dxa"/>
            <w:noWrap w:val="0"/>
            <w:vAlign w:val="center"/>
          </w:tcPr>
          <w:p w14:paraId="63F8672F">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highlight w:val="none"/>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（4）</w:t>
            </w:r>
            <w:r>
              <w:rPr>
                <w:rFonts w:hint="eastAsia" w:ascii="Calibri" w:hAnsi="Calibri" w:eastAsia="宋体" w:cs="Calibri"/>
                <w:b w:val="0"/>
                <w:bCs w:val="0"/>
                <w:color w:val="auto"/>
                <w:kern w:val="0"/>
                <w:szCs w:val="21"/>
                <w:highlight w:val="none"/>
                <w:lang w:val="en-US" w:eastAsia="zh-CN"/>
              </w:rPr>
              <w:t>清洁室外照明设备</w:t>
            </w:r>
            <w:r>
              <w:rPr>
                <w:rFonts w:hint="eastAsia" w:eastAsia="宋体" w:cs="Calibri"/>
                <w:b w:val="0"/>
                <w:bCs w:val="0"/>
                <w:color w:val="auto"/>
                <w:kern w:val="0"/>
                <w:szCs w:val="21"/>
                <w:highlight w:val="none"/>
                <w:lang w:val="en-US" w:eastAsia="zh-CN"/>
              </w:rPr>
              <w:t>，每月</w:t>
            </w:r>
            <w:r>
              <w:rPr>
                <w:rFonts w:hint="eastAsia" w:cs="Calibri"/>
                <w:b w:val="0"/>
                <w:bCs w:val="0"/>
                <w:color w:val="auto"/>
                <w:kern w:val="0"/>
                <w:szCs w:val="21"/>
                <w:highlight w:val="none"/>
                <w:lang w:val="en-US" w:eastAsia="zh-CN"/>
              </w:rPr>
              <w:t>至少开展</w:t>
            </w:r>
            <w:r>
              <w:rPr>
                <w:rFonts w:hint="eastAsia" w:eastAsia="宋体" w:cs="Calibri"/>
                <w:b w:val="0"/>
                <w:bCs w:val="0"/>
                <w:color w:val="auto"/>
                <w:kern w:val="0"/>
                <w:szCs w:val="21"/>
                <w:highlight w:val="none"/>
                <w:lang w:val="en-US" w:eastAsia="zh-CN"/>
              </w:rPr>
              <w:t>1次清洁作业</w:t>
            </w:r>
            <w:r>
              <w:rPr>
                <w:rFonts w:hint="eastAsia" w:ascii="Calibri" w:hAnsi="Calibri" w:eastAsia="宋体" w:cs="Calibri"/>
                <w:b w:val="0"/>
                <w:bCs w:val="0"/>
                <w:color w:val="auto"/>
                <w:kern w:val="0"/>
                <w:szCs w:val="21"/>
                <w:highlight w:val="none"/>
                <w:lang w:val="en-US" w:eastAsia="zh-CN"/>
              </w:rPr>
              <w:t>。</w:t>
            </w:r>
          </w:p>
        </w:tc>
      </w:tr>
      <w:tr w14:paraId="2177D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continue"/>
            <w:noWrap w:val="0"/>
            <w:vAlign w:val="center"/>
          </w:tcPr>
          <w:p w14:paraId="5398364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rPr>
            </w:pPr>
          </w:p>
        </w:tc>
        <w:tc>
          <w:tcPr>
            <w:tcW w:w="3372" w:type="dxa"/>
            <w:vMerge w:val="continue"/>
            <w:noWrap w:val="0"/>
            <w:vAlign w:val="center"/>
          </w:tcPr>
          <w:p w14:paraId="4FDBB7B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978" w:type="dxa"/>
            <w:noWrap w:val="0"/>
            <w:vAlign w:val="center"/>
          </w:tcPr>
          <w:p w14:paraId="1BD2CE4C">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highlight w:val="none"/>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（5）</w:t>
            </w:r>
            <w:r>
              <w:rPr>
                <w:rFonts w:hint="eastAsia" w:ascii="Calibri" w:hAnsi="Calibri" w:eastAsia="宋体" w:cs="Calibri"/>
                <w:b w:val="0"/>
                <w:bCs w:val="0"/>
                <w:color w:val="auto"/>
                <w:kern w:val="0"/>
                <w:szCs w:val="21"/>
                <w:highlight w:val="none"/>
                <w:lang w:val="en-US" w:eastAsia="zh-CN"/>
              </w:rPr>
              <w:t>绿地内无杂物、无改变用途和破坏、践踏、占用现象</w:t>
            </w:r>
            <w:r>
              <w:rPr>
                <w:rFonts w:hint="eastAsia" w:eastAsia="宋体" w:cs="Calibri"/>
                <w:b w:val="0"/>
                <w:bCs w:val="0"/>
                <w:color w:val="auto"/>
                <w:kern w:val="0"/>
                <w:szCs w:val="21"/>
                <w:highlight w:val="none"/>
                <w:lang w:val="en-US" w:eastAsia="zh-CN"/>
              </w:rPr>
              <w:t>，每天</w:t>
            </w:r>
            <w:r>
              <w:rPr>
                <w:rFonts w:hint="eastAsia" w:cs="Calibri"/>
                <w:b w:val="0"/>
                <w:bCs w:val="0"/>
                <w:color w:val="auto"/>
                <w:kern w:val="0"/>
                <w:szCs w:val="21"/>
                <w:highlight w:val="none"/>
                <w:lang w:val="en-US" w:eastAsia="zh-CN"/>
              </w:rPr>
              <w:t>至少开展</w:t>
            </w:r>
            <w:r>
              <w:rPr>
                <w:rFonts w:hint="eastAsia" w:eastAsia="宋体" w:cs="Calibri"/>
                <w:b w:val="0"/>
                <w:bCs w:val="0"/>
                <w:color w:val="auto"/>
                <w:kern w:val="0"/>
                <w:szCs w:val="21"/>
                <w:highlight w:val="none"/>
                <w:lang w:val="en-US" w:eastAsia="zh-CN"/>
              </w:rPr>
              <w:t>1次巡查。</w:t>
            </w:r>
          </w:p>
        </w:tc>
      </w:tr>
      <w:tr w14:paraId="3F2E8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219" w:type="dxa"/>
            <w:vMerge w:val="continue"/>
            <w:noWrap w:val="0"/>
            <w:vAlign w:val="center"/>
          </w:tcPr>
          <w:p w14:paraId="47EE981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rPr>
            </w:pPr>
          </w:p>
        </w:tc>
        <w:tc>
          <w:tcPr>
            <w:tcW w:w="3372" w:type="dxa"/>
            <w:vMerge w:val="continue"/>
            <w:noWrap w:val="0"/>
            <w:vAlign w:val="center"/>
          </w:tcPr>
          <w:p w14:paraId="3371B8E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978" w:type="dxa"/>
            <w:noWrap w:val="0"/>
            <w:vAlign w:val="center"/>
          </w:tcPr>
          <w:p w14:paraId="548CDC60">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（6）</w:t>
            </w:r>
            <w:r>
              <w:rPr>
                <w:rFonts w:hint="eastAsia"/>
                <w:highlight w:val="none"/>
              </w:rPr>
              <w:t>办公区外立面</w:t>
            </w:r>
            <w:r>
              <w:rPr>
                <w:rFonts w:hint="eastAsia" w:ascii="Calibri" w:hAnsi="Calibri" w:eastAsia="宋体" w:cs="Calibri"/>
                <w:color w:val="auto"/>
                <w:szCs w:val="21"/>
                <w:highlight w:val="none"/>
                <w:u w:val="none"/>
                <w:lang w:val="en-US" w:eastAsia="zh-CN"/>
              </w:rPr>
              <w:t>定期</w:t>
            </w:r>
            <w:r>
              <w:rPr>
                <w:rFonts w:hint="eastAsia"/>
                <w:highlight w:val="none"/>
              </w:rPr>
              <w:t>清洗、</w:t>
            </w:r>
            <w:r>
              <w:rPr>
                <w:rFonts w:hint="eastAsia"/>
                <w:highlight w:val="none"/>
                <w:lang w:val="en-US" w:eastAsia="zh-CN"/>
              </w:rPr>
              <w:t>2米以上</w:t>
            </w:r>
            <w:r>
              <w:rPr>
                <w:rFonts w:hint="eastAsia"/>
                <w:highlight w:val="none"/>
              </w:rPr>
              <w:t>外窗玻璃擦拭</w:t>
            </w:r>
            <w:r>
              <w:rPr>
                <w:rFonts w:hint="eastAsia"/>
                <w:highlight w:val="none"/>
                <w:lang w:eastAsia="zh-CN"/>
              </w:rPr>
              <w:t>，</w:t>
            </w:r>
            <w:r>
              <w:rPr>
                <w:rFonts w:hint="eastAsia"/>
                <w:highlight w:val="none"/>
                <w:lang w:val="en-US" w:eastAsia="zh-CN"/>
              </w:rPr>
              <w:t>每年</w:t>
            </w:r>
            <w:r>
              <w:rPr>
                <w:rFonts w:hint="eastAsia" w:cs="Calibri"/>
                <w:b w:val="0"/>
                <w:bCs w:val="0"/>
                <w:color w:val="auto"/>
                <w:kern w:val="0"/>
                <w:szCs w:val="21"/>
                <w:highlight w:val="none"/>
                <w:lang w:val="en-US" w:eastAsia="zh-CN"/>
              </w:rPr>
              <w:t>至少开展</w:t>
            </w:r>
            <w:r>
              <w:rPr>
                <w:rFonts w:hint="eastAsia"/>
                <w:highlight w:val="none"/>
                <w:lang w:val="en-US" w:eastAsia="zh-CN"/>
              </w:rPr>
              <w:t>1次清洗。</w:t>
            </w:r>
            <w:r>
              <w:rPr>
                <w:rFonts w:hint="eastAsia" w:eastAsia="宋体" w:cs="Calibri"/>
                <w:b w:val="0"/>
                <w:bCs w:val="0"/>
                <w:color w:val="auto"/>
                <w:kern w:val="0"/>
                <w:szCs w:val="21"/>
                <w:highlight w:val="none"/>
                <w:lang w:val="en-US" w:eastAsia="zh-CN"/>
              </w:rPr>
              <w:t>（各类材质外立面服务标准详见</w:t>
            </w:r>
            <w:r>
              <w:rPr>
                <w:rFonts w:hint="eastAsia" w:cs="Calibri"/>
                <w:b w:val="0"/>
                <w:bCs w:val="0"/>
                <w:color w:val="auto"/>
                <w:kern w:val="0"/>
                <w:szCs w:val="21"/>
                <w:highlight w:val="none"/>
                <w:lang w:val="en-US" w:eastAsia="zh-CN"/>
              </w:rPr>
              <w:t>3.4.1</w:t>
            </w:r>
            <w:r>
              <w:rPr>
                <w:rFonts w:hint="eastAsia" w:eastAsia="宋体" w:cs="Calibri"/>
                <w:b w:val="0"/>
                <w:bCs w:val="0"/>
                <w:color w:val="auto"/>
                <w:kern w:val="0"/>
                <w:szCs w:val="21"/>
                <w:highlight w:val="none"/>
                <w:lang w:val="en-US" w:eastAsia="zh-CN"/>
              </w:rPr>
              <w:t>）</w:t>
            </w:r>
          </w:p>
        </w:tc>
      </w:tr>
      <w:tr w14:paraId="3ECD1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restart"/>
            <w:noWrap w:val="0"/>
            <w:vAlign w:val="center"/>
          </w:tcPr>
          <w:p w14:paraId="18B85CE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r>
              <w:rPr>
                <w:rFonts w:hint="eastAsia"/>
                <w:highlight w:val="none"/>
                <w:lang w:val="en-US" w:eastAsia="zh-CN"/>
              </w:rPr>
              <w:t>4</w:t>
            </w:r>
          </w:p>
        </w:tc>
        <w:tc>
          <w:tcPr>
            <w:tcW w:w="3372" w:type="dxa"/>
            <w:vMerge w:val="restart"/>
            <w:noWrap w:val="0"/>
            <w:vAlign w:val="center"/>
          </w:tcPr>
          <w:p w14:paraId="1B6DE5D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r>
              <w:rPr>
                <w:rFonts w:hint="default"/>
                <w:highlight w:val="none"/>
              </w:rPr>
              <w:t>垃圾处理</w:t>
            </w:r>
          </w:p>
        </w:tc>
        <w:tc>
          <w:tcPr>
            <w:tcW w:w="9978" w:type="dxa"/>
            <w:noWrap w:val="0"/>
            <w:vAlign w:val="center"/>
          </w:tcPr>
          <w:p w14:paraId="36E9ACAB">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color w:val="auto"/>
                <w:szCs w:val="21"/>
                <w:highlight w:val="none"/>
                <w:u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在指定位置摆放分类垃圾桶，并在显著处张贴垃圾分类标识。分类垃圾桶和垃圾分类标识根据所在城市的要求设置</w:t>
            </w:r>
            <w:r>
              <w:rPr>
                <w:rFonts w:hint="eastAsia" w:eastAsia="宋体" w:cs="Calibri"/>
                <w:b w:val="0"/>
                <w:bCs w:val="0"/>
                <w:color w:val="auto"/>
                <w:kern w:val="0"/>
                <w:szCs w:val="21"/>
                <w:highlight w:val="none"/>
                <w:lang w:val="en-US" w:eastAsia="zh-CN"/>
              </w:rPr>
              <w:t>。</w:t>
            </w:r>
          </w:p>
        </w:tc>
      </w:tr>
      <w:tr w14:paraId="3F4E6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continue"/>
            <w:noWrap w:val="0"/>
            <w:vAlign w:val="center"/>
          </w:tcPr>
          <w:p w14:paraId="0D92A8A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72" w:type="dxa"/>
            <w:vMerge w:val="continue"/>
            <w:noWrap w:val="0"/>
            <w:vAlign w:val="center"/>
          </w:tcPr>
          <w:p w14:paraId="1FCDAE8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978" w:type="dxa"/>
            <w:noWrap w:val="0"/>
            <w:vAlign w:val="center"/>
          </w:tcPr>
          <w:p w14:paraId="59E8E4B2">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color w:val="auto"/>
                <w:szCs w:val="21"/>
                <w:highlight w:val="none"/>
                <w:u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（2）</w:t>
            </w:r>
            <w:r>
              <w:rPr>
                <w:rFonts w:hint="eastAsia" w:ascii="Calibri" w:hAnsi="Calibri" w:eastAsia="宋体" w:cs="Calibri"/>
                <w:b w:val="0"/>
                <w:bCs w:val="0"/>
                <w:color w:val="auto"/>
                <w:kern w:val="0"/>
                <w:szCs w:val="21"/>
                <w:highlight w:val="none"/>
                <w:lang w:val="en-US" w:eastAsia="zh-CN"/>
              </w:rPr>
              <w:t>桶身表面干净无污渍</w:t>
            </w:r>
            <w:r>
              <w:rPr>
                <w:rFonts w:hint="eastAsia" w:eastAsia="宋体" w:cs="Calibri"/>
                <w:b w:val="0"/>
                <w:bCs w:val="0"/>
                <w:color w:val="auto"/>
                <w:kern w:val="0"/>
                <w:szCs w:val="21"/>
                <w:highlight w:val="none"/>
                <w:lang w:val="en-US" w:eastAsia="zh-CN"/>
              </w:rPr>
              <w:t>，每日</w:t>
            </w:r>
            <w:r>
              <w:rPr>
                <w:rFonts w:hint="eastAsia" w:cs="Calibri"/>
                <w:b w:val="0"/>
                <w:bCs w:val="0"/>
                <w:color w:val="auto"/>
                <w:kern w:val="0"/>
                <w:szCs w:val="21"/>
                <w:highlight w:val="none"/>
                <w:lang w:val="en-US" w:eastAsia="zh-CN"/>
              </w:rPr>
              <w:t>开展至少</w:t>
            </w:r>
            <w:r>
              <w:rPr>
                <w:rFonts w:hint="eastAsia" w:eastAsia="宋体" w:cs="Calibri"/>
                <w:b w:val="0"/>
                <w:bCs w:val="0"/>
                <w:color w:val="auto"/>
                <w:kern w:val="0"/>
                <w:szCs w:val="21"/>
                <w:highlight w:val="none"/>
                <w:lang w:val="en-US" w:eastAsia="zh-CN"/>
              </w:rPr>
              <w:t>1次清洁作业。</w:t>
            </w:r>
          </w:p>
        </w:tc>
      </w:tr>
      <w:tr w14:paraId="5F46C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continue"/>
            <w:noWrap w:val="0"/>
            <w:vAlign w:val="center"/>
          </w:tcPr>
          <w:p w14:paraId="6533D43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72" w:type="dxa"/>
            <w:vMerge w:val="continue"/>
            <w:noWrap w:val="0"/>
            <w:vAlign w:val="center"/>
          </w:tcPr>
          <w:p w14:paraId="1A8DE77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978" w:type="dxa"/>
            <w:noWrap w:val="0"/>
            <w:vAlign w:val="center"/>
          </w:tcPr>
          <w:p w14:paraId="05B28C1D">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color w:val="auto"/>
                <w:szCs w:val="21"/>
                <w:highlight w:val="none"/>
                <w:u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（3）</w:t>
            </w:r>
            <w:r>
              <w:rPr>
                <w:rFonts w:hint="eastAsia" w:ascii="Calibri" w:hAnsi="Calibri" w:eastAsia="宋体" w:cs="Calibri"/>
                <w:b w:val="0"/>
                <w:bCs w:val="0"/>
                <w:color w:val="auto"/>
                <w:kern w:val="0"/>
                <w:szCs w:val="21"/>
                <w:highlight w:val="none"/>
                <w:lang w:val="en-US" w:eastAsia="zh-CN"/>
              </w:rPr>
              <w:t>垃圾中转房保持整洁，无明显异味</w:t>
            </w:r>
            <w:r>
              <w:rPr>
                <w:rFonts w:hint="eastAsia" w:eastAsia="宋体" w:cs="Calibri"/>
                <w:b w:val="0"/>
                <w:bCs w:val="0"/>
                <w:color w:val="auto"/>
                <w:kern w:val="0"/>
                <w:szCs w:val="21"/>
                <w:highlight w:val="none"/>
                <w:lang w:val="en-US" w:eastAsia="zh-CN"/>
              </w:rPr>
              <w:t>，每日</w:t>
            </w:r>
            <w:r>
              <w:rPr>
                <w:rFonts w:hint="eastAsia" w:cs="Calibri"/>
                <w:b w:val="0"/>
                <w:bCs w:val="0"/>
                <w:color w:val="auto"/>
                <w:kern w:val="0"/>
                <w:szCs w:val="21"/>
                <w:highlight w:val="none"/>
                <w:lang w:val="en-US" w:eastAsia="zh-CN"/>
              </w:rPr>
              <w:t>至少开展</w:t>
            </w:r>
            <w:r>
              <w:rPr>
                <w:rFonts w:hint="eastAsia" w:eastAsia="宋体" w:cs="Calibri"/>
                <w:b w:val="0"/>
                <w:bCs w:val="0"/>
                <w:color w:val="auto"/>
                <w:kern w:val="0"/>
                <w:szCs w:val="21"/>
                <w:highlight w:val="none"/>
                <w:lang w:val="en-US" w:eastAsia="zh-CN"/>
              </w:rPr>
              <w:t>1次清洁作业。</w:t>
            </w:r>
          </w:p>
        </w:tc>
      </w:tr>
      <w:tr w14:paraId="25132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continue"/>
            <w:noWrap w:val="0"/>
            <w:vAlign w:val="center"/>
          </w:tcPr>
          <w:p w14:paraId="26599C9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72" w:type="dxa"/>
            <w:vMerge w:val="continue"/>
            <w:noWrap w:val="0"/>
            <w:vAlign w:val="center"/>
          </w:tcPr>
          <w:p w14:paraId="79E60A4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978" w:type="dxa"/>
            <w:noWrap w:val="0"/>
            <w:vAlign w:val="center"/>
          </w:tcPr>
          <w:p w14:paraId="7DB66EED">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color w:val="auto"/>
                <w:szCs w:val="21"/>
                <w:highlight w:val="none"/>
                <w:u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（4）</w:t>
            </w:r>
            <w:r>
              <w:rPr>
                <w:rFonts w:hint="eastAsia" w:ascii="Calibri" w:hAnsi="Calibri" w:eastAsia="宋体" w:cs="Calibri"/>
                <w:b w:val="0"/>
                <w:bCs w:val="0"/>
                <w:color w:val="auto"/>
                <w:kern w:val="0"/>
                <w:szCs w:val="21"/>
                <w:highlight w:val="none"/>
                <w:lang w:val="en-US" w:eastAsia="zh-CN"/>
              </w:rPr>
              <w:t>化粪池清掏，无明显异味</w:t>
            </w:r>
            <w:r>
              <w:rPr>
                <w:rFonts w:hint="eastAsia" w:eastAsia="宋体" w:cs="Calibri"/>
                <w:b w:val="0"/>
                <w:bCs w:val="0"/>
                <w:color w:val="auto"/>
                <w:kern w:val="0"/>
                <w:szCs w:val="21"/>
                <w:highlight w:val="none"/>
                <w:lang w:val="en-US" w:eastAsia="zh-CN"/>
              </w:rPr>
              <w:t>，每半年</w:t>
            </w:r>
            <w:r>
              <w:rPr>
                <w:rFonts w:hint="eastAsia" w:cs="Calibri"/>
                <w:b w:val="0"/>
                <w:bCs w:val="0"/>
                <w:color w:val="auto"/>
                <w:kern w:val="0"/>
                <w:szCs w:val="21"/>
                <w:highlight w:val="none"/>
                <w:lang w:val="en-US" w:eastAsia="zh-CN"/>
              </w:rPr>
              <w:t>至少开展</w:t>
            </w:r>
            <w:r>
              <w:rPr>
                <w:rFonts w:hint="eastAsia" w:eastAsia="宋体" w:cs="Calibri"/>
                <w:b w:val="0"/>
                <w:bCs w:val="0"/>
                <w:color w:val="auto"/>
                <w:kern w:val="0"/>
                <w:szCs w:val="21"/>
                <w:highlight w:val="none"/>
                <w:lang w:val="en-US" w:eastAsia="zh-CN"/>
              </w:rPr>
              <w:t>1次清洁作业。</w:t>
            </w:r>
          </w:p>
        </w:tc>
      </w:tr>
      <w:tr w14:paraId="7F5AD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continue"/>
            <w:noWrap w:val="0"/>
            <w:vAlign w:val="center"/>
          </w:tcPr>
          <w:p w14:paraId="6243329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72" w:type="dxa"/>
            <w:vMerge w:val="continue"/>
            <w:noWrap w:val="0"/>
            <w:vAlign w:val="center"/>
          </w:tcPr>
          <w:p w14:paraId="129A668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978" w:type="dxa"/>
            <w:noWrap w:val="0"/>
            <w:vAlign w:val="center"/>
          </w:tcPr>
          <w:p w14:paraId="763F3230">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color w:val="auto"/>
                <w:szCs w:val="21"/>
                <w:highlight w:val="none"/>
                <w:u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（5）</w:t>
            </w:r>
            <w:r>
              <w:rPr>
                <w:rFonts w:hint="eastAsia" w:ascii="Calibri" w:hAnsi="Calibri" w:eastAsia="宋体" w:cs="Calibri"/>
                <w:color w:val="auto"/>
                <w:szCs w:val="21"/>
                <w:highlight w:val="none"/>
                <w:u w:val="none"/>
                <w:lang w:val="en-US" w:eastAsia="zh-CN"/>
              </w:rPr>
              <w:t>每个工作日内要对楼层产生的垃圾，进行清理分类，并运至垃圾集中堆放点</w:t>
            </w:r>
            <w:r>
              <w:rPr>
                <w:rFonts w:hint="eastAsia" w:cs="Calibri"/>
                <w:color w:val="auto"/>
                <w:szCs w:val="21"/>
                <w:highlight w:val="none"/>
                <w:u w:val="none"/>
                <w:lang w:val="en-US" w:eastAsia="zh-CN"/>
              </w:rPr>
              <w:t>。</w:t>
            </w:r>
          </w:p>
        </w:tc>
      </w:tr>
      <w:tr w14:paraId="7FB79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continue"/>
            <w:noWrap w:val="0"/>
            <w:vAlign w:val="center"/>
          </w:tcPr>
          <w:p w14:paraId="1C39038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72" w:type="dxa"/>
            <w:vMerge w:val="continue"/>
            <w:noWrap w:val="0"/>
            <w:vAlign w:val="center"/>
          </w:tcPr>
          <w:p w14:paraId="26630A3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978" w:type="dxa"/>
            <w:noWrap w:val="0"/>
            <w:vAlign w:val="center"/>
          </w:tcPr>
          <w:p w14:paraId="4377CACD">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color w:val="auto"/>
                <w:szCs w:val="21"/>
                <w:highlight w:val="none"/>
                <w:u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（6）</w:t>
            </w:r>
            <w:r>
              <w:rPr>
                <w:rFonts w:hint="eastAsia" w:ascii="Calibri" w:hAnsi="Calibri" w:eastAsia="宋体" w:cs="Calibri"/>
                <w:b w:val="0"/>
                <w:bCs w:val="0"/>
                <w:color w:val="auto"/>
                <w:kern w:val="0"/>
                <w:szCs w:val="21"/>
                <w:highlight w:val="none"/>
                <w:lang w:val="en-US" w:eastAsia="zh-CN"/>
              </w:rPr>
              <w:t>垃圾装袋，日产日清</w:t>
            </w:r>
            <w:r>
              <w:rPr>
                <w:rFonts w:hint="eastAsia" w:eastAsia="宋体" w:cs="Calibri"/>
                <w:b w:val="0"/>
                <w:bCs w:val="0"/>
                <w:color w:val="auto"/>
                <w:kern w:val="0"/>
                <w:szCs w:val="21"/>
                <w:highlight w:val="none"/>
                <w:lang w:val="en-US" w:eastAsia="zh-CN"/>
              </w:rPr>
              <w:t>。</w:t>
            </w:r>
          </w:p>
        </w:tc>
      </w:tr>
      <w:tr w14:paraId="6E29F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continue"/>
            <w:noWrap w:val="0"/>
            <w:vAlign w:val="center"/>
          </w:tcPr>
          <w:p w14:paraId="0C828E0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72" w:type="dxa"/>
            <w:vMerge w:val="continue"/>
            <w:noWrap w:val="0"/>
            <w:vAlign w:val="center"/>
          </w:tcPr>
          <w:p w14:paraId="7AB927A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978" w:type="dxa"/>
            <w:noWrap w:val="0"/>
            <w:vAlign w:val="center"/>
          </w:tcPr>
          <w:p w14:paraId="61335242">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color w:val="auto"/>
                <w:szCs w:val="21"/>
                <w:highlight w:val="none"/>
                <w:u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（7）</w:t>
            </w:r>
            <w:r>
              <w:rPr>
                <w:rFonts w:hint="eastAsia" w:ascii="Calibri" w:hAnsi="Calibri" w:eastAsia="宋体" w:cs="Calibri"/>
                <w:b w:val="0"/>
                <w:bCs w:val="0"/>
                <w:color w:val="auto"/>
                <w:kern w:val="0"/>
                <w:szCs w:val="21"/>
                <w:highlight w:val="none"/>
                <w:lang w:val="en-US" w:eastAsia="zh-CN"/>
              </w:rPr>
              <w:t>建立垃圾清运台账，交由规范的渠道回收处理</w:t>
            </w:r>
            <w:r>
              <w:rPr>
                <w:rFonts w:hint="eastAsia" w:eastAsia="宋体" w:cs="Calibri"/>
                <w:b w:val="0"/>
                <w:bCs w:val="0"/>
                <w:color w:val="auto"/>
                <w:kern w:val="0"/>
                <w:szCs w:val="21"/>
                <w:highlight w:val="none"/>
                <w:lang w:val="en-US" w:eastAsia="zh-CN"/>
              </w:rPr>
              <w:t>。</w:t>
            </w:r>
          </w:p>
        </w:tc>
      </w:tr>
      <w:tr w14:paraId="3749D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continue"/>
            <w:noWrap w:val="0"/>
            <w:vAlign w:val="center"/>
          </w:tcPr>
          <w:p w14:paraId="40548BA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72" w:type="dxa"/>
            <w:vMerge w:val="continue"/>
            <w:noWrap w:val="0"/>
            <w:vAlign w:val="center"/>
          </w:tcPr>
          <w:p w14:paraId="32D242B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978" w:type="dxa"/>
            <w:noWrap w:val="0"/>
            <w:vAlign w:val="center"/>
          </w:tcPr>
          <w:p w14:paraId="104EB28C">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color w:val="auto"/>
                <w:szCs w:val="21"/>
                <w:highlight w:val="none"/>
                <w:u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（8）</w:t>
            </w:r>
            <w:r>
              <w:rPr>
                <w:rFonts w:hint="default" w:ascii="Calibri" w:hAnsi="Calibri" w:eastAsia="宋体" w:cs="Calibri"/>
                <w:color w:val="auto"/>
                <w:szCs w:val="21"/>
                <w:highlight w:val="none"/>
                <w:u w:val="none"/>
                <w:lang w:val="en-US" w:eastAsia="zh-CN"/>
              </w:rPr>
              <w:t>做好垃圾分类管理的宣传工作，督促并引导全员参与垃圾分类投放</w:t>
            </w:r>
            <w:r>
              <w:rPr>
                <w:rFonts w:hint="eastAsia" w:cs="Calibri"/>
                <w:color w:val="auto"/>
                <w:szCs w:val="21"/>
                <w:highlight w:val="none"/>
                <w:u w:val="none"/>
                <w:lang w:val="en-US" w:eastAsia="zh-CN"/>
              </w:rPr>
              <w:t>。</w:t>
            </w:r>
          </w:p>
        </w:tc>
      </w:tr>
      <w:tr w14:paraId="2DA3A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219" w:type="dxa"/>
            <w:vMerge w:val="continue"/>
            <w:noWrap w:val="0"/>
            <w:vAlign w:val="center"/>
          </w:tcPr>
          <w:p w14:paraId="38745AD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p>
        </w:tc>
        <w:tc>
          <w:tcPr>
            <w:tcW w:w="3372" w:type="dxa"/>
            <w:vMerge w:val="continue"/>
            <w:noWrap w:val="0"/>
            <w:vAlign w:val="center"/>
          </w:tcPr>
          <w:p w14:paraId="6BA88DA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978" w:type="dxa"/>
            <w:noWrap w:val="0"/>
            <w:vAlign w:val="center"/>
          </w:tcPr>
          <w:p w14:paraId="490B3B60">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（9）</w:t>
            </w:r>
            <w:r>
              <w:rPr>
                <w:rFonts w:hint="eastAsia" w:ascii="Calibri" w:hAnsi="Calibri" w:eastAsia="宋体" w:cs="Calibri"/>
                <w:color w:val="auto"/>
                <w:szCs w:val="21"/>
                <w:highlight w:val="none"/>
                <w:u w:val="none"/>
                <w:lang w:val="en-US" w:eastAsia="zh-CN"/>
              </w:rPr>
              <w:t>垃圾分类投放管理工作的执行标准，按</w:t>
            </w:r>
            <w:r>
              <w:rPr>
                <w:rFonts w:hint="eastAsia" w:ascii="Calibri" w:hAnsi="Calibri" w:eastAsia="宋体" w:cs="Calibri"/>
                <w:b w:val="0"/>
                <w:bCs w:val="0"/>
                <w:color w:val="auto"/>
                <w:kern w:val="0"/>
                <w:szCs w:val="21"/>
                <w:highlight w:val="none"/>
                <w:lang w:val="en-US" w:eastAsia="zh-CN"/>
              </w:rPr>
              <w:t>所在城市</w:t>
            </w:r>
            <w:r>
              <w:rPr>
                <w:rFonts w:hint="eastAsia" w:ascii="Calibri" w:hAnsi="Calibri" w:eastAsia="宋体" w:cs="Calibri"/>
                <w:color w:val="auto"/>
                <w:szCs w:val="21"/>
                <w:highlight w:val="none"/>
                <w:u w:val="none"/>
                <w:lang w:val="en-US" w:eastAsia="zh-CN"/>
              </w:rPr>
              <w:t>的要求执行。</w:t>
            </w:r>
          </w:p>
        </w:tc>
      </w:tr>
      <w:tr w14:paraId="7469C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219" w:type="dxa"/>
            <w:vMerge w:val="restart"/>
            <w:noWrap w:val="0"/>
            <w:vAlign w:val="center"/>
          </w:tcPr>
          <w:p w14:paraId="1F82918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r>
              <w:rPr>
                <w:rFonts w:hint="eastAsia"/>
                <w:highlight w:val="none"/>
                <w:lang w:val="en-US" w:eastAsia="zh-CN"/>
              </w:rPr>
              <w:t>5</w:t>
            </w:r>
          </w:p>
        </w:tc>
        <w:tc>
          <w:tcPr>
            <w:tcW w:w="3372" w:type="dxa"/>
            <w:vMerge w:val="restart"/>
            <w:noWrap w:val="0"/>
            <w:vAlign w:val="center"/>
          </w:tcPr>
          <w:p w14:paraId="21E8F81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r>
              <w:rPr>
                <w:rFonts w:hint="default"/>
                <w:highlight w:val="none"/>
              </w:rPr>
              <w:t>卫生消毒</w:t>
            </w:r>
          </w:p>
        </w:tc>
        <w:tc>
          <w:tcPr>
            <w:tcW w:w="9978" w:type="dxa"/>
            <w:noWrap w:val="0"/>
            <w:vAlign w:val="center"/>
          </w:tcPr>
          <w:p w14:paraId="0074E9F4">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办公用房区域、公共场所区域和周围环境预防性卫生消毒</w:t>
            </w:r>
            <w:r>
              <w:rPr>
                <w:rFonts w:hint="eastAsia" w:eastAsia="宋体" w:cs="Calibri"/>
                <w:b w:val="0"/>
                <w:bCs w:val="0"/>
                <w:color w:val="auto"/>
                <w:kern w:val="0"/>
                <w:szCs w:val="21"/>
                <w:highlight w:val="none"/>
                <w:lang w:val="en-US" w:eastAsia="zh-CN"/>
              </w:rPr>
              <w:t>，</w:t>
            </w:r>
            <w:r>
              <w:rPr>
                <w:rFonts w:hint="eastAsia" w:ascii="Calibri" w:hAnsi="Calibri" w:eastAsia="宋体" w:cs="Calibri"/>
                <w:color w:val="auto"/>
                <w:szCs w:val="21"/>
                <w:highlight w:val="none"/>
                <w:u w:val="none"/>
                <w:lang w:val="en-US" w:eastAsia="zh-CN"/>
              </w:rPr>
              <w:t>消毒后及时通风</w:t>
            </w:r>
            <w:r>
              <w:rPr>
                <w:rFonts w:hint="eastAsia" w:eastAsia="宋体" w:cs="Calibri"/>
                <w:color w:val="auto"/>
                <w:szCs w:val="21"/>
                <w:highlight w:val="none"/>
                <w:u w:val="none"/>
                <w:lang w:val="en-US" w:eastAsia="zh-CN"/>
              </w:rPr>
              <w:t>，每周</w:t>
            </w:r>
            <w:r>
              <w:rPr>
                <w:rFonts w:hint="eastAsia" w:cs="Calibri"/>
                <w:b w:val="0"/>
                <w:bCs w:val="0"/>
                <w:color w:val="auto"/>
                <w:kern w:val="0"/>
                <w:szCs w:val="21"/>
                <w:highlight w:val="none"/>
                <w:lang w:val="en-US" w:eastAsia="zh-CN"/>
              </w:rPr>
              <w:t>至少开展</w:t>
            </w:r>
            <w:r>
              <w:rPr>
                <w:rFonts w:hint="eastAsia" w:eastAsia="宋体" w:cs="Calibri"/>
                <w:color w:val="auto"/>
                <w:szCs w:val="21"/>
                <w:highlight w:val="none"/>
                <w:u w:val="none"/>
                <w:lang w:val="en-US" w:eastAsia="zh-CN"/>
              </w:rPr>
              <w:t>1次作业。</w:t>
            </w:r>
          </w:p>
        </w:tc>
      </w:tr>
      <w:tr w14:paraId="5BB9F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19" w:type="dxa"/>
            <w:vMerge w:val="continue"/>
            <w:noWrap w:val="0"/>
            <w:vAlign w:val="center"/>
          </w:tcPr>
          <w:p w14:paraId="7C62E07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72" w:type="dxa"/>
            <w:vMerge w:val="continue"/>
            <w:noWrap w:val="0"/>
            <w:vAlign w:val="center"/>
          </w:tcPr>
          <w:p w14:paraId="40BECC3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978" w:type="dxa"/>
            <w:noWrap w:val="0"/>
            <w:vAlign w:val="center"/>
          </w:tcPr>
          <w:p w14:paraId="4CE1117F">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（2）</w:t>
            </w:r>
            <w:r>
              <w:rPr>
                <w:rFonts w:hint="eastAsia" w:ascii="Calibri" w:hAnsi="Calibri" w:eastAsia="宋体" w:cs="Calibri"/>
                <w:b w:val="0"/>
                <w:bCs w:val="0"/>
                <w:color w:val="auto"/>
                <w:kern w:val="0"/>
                <w:szCs w:val="21"/>
                <w:highlight w:val="none"/>
                <w:lang w:val="en-US" w:eastAsia="zh-CN"/>
              </w:rPr>
              <w:t>采取综合措施消灭老鼠、蟑螂，控制室内外蚊虫孳生，达到基本无蝇</w:t>
            </w:r>
            <w:r>
              <w:rPr>
                <w:rFonts w:hint="eastAsia" w:eastAsia="宋体" w:cs="Calibri"/>
                <w:color w:val="auto"/>
                <w:szCs w:val="21"/>
                <w:highlight w:val="none"/>
                <w:u w:val="none"/>
                <w:lang w:val="en-US" w:eastAsia="zh-CN"/>
              </w:rPr>
              <w:t>，</w:t>
            </w:r>
            <w:r>
              <w:rPr>
                <w:rFonts w:hint="eastAsia" w:cs="Calibri"/>
                <w:color w:val="auto"/>
                <w:szCs w:val="21"/>
                <w:highlight w:val="none"/>
                <w:u w:val="none"/>
                <w:lang w:val="en-US" w:eastAsia="zh-CN"/>
              </w:rPr>
              <w:t>每季度</w:t>
            </w:r>
            <w:r>
              <w:rPr>
                <w:rFonts w:hint="eastAsia" w:cs="Calibri"/>
                <w:b w:val="0"/>
                <w:bCs w:val="0"/>
                <w:color w:val="auto"/>
                <w:kern w:val="0"/>
                <w:szCs w:val="21"/>
                <w:highlight w:val="none"/>
                <w:lang w:val="en-US" w:eastAsia="zh-CN"/>
              </w:rPr>
              <w:t>至少开展</w:t>
            </w:r>
            <w:r>
              <w:rPr>
                <w:rFonts w:hint="eastAsia" w:eastAsia="宋体" w:cs="Calibri"/>
                <w:color w:val="auto"/>
                <w:szCs w:val="21"/>
                <w:highlight w:val="none"/>
                <w:u w:val="none"/>
                <w:lang w:val="en-US" w:eastAsia="zh-CN"/>
              </w:rPr>
              <w:t>1次作业。</w:t>
            </w:r>
          </w:p>
        </w:tc>
      </w:tr>
      <w:tr w14:paraId="34AA9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219" w:type="dxa"/>
            <w:vMerge w:val="continue"/>
            <w:noWrap w:val="0"/>
            <w:vAlign w:val="center"/>
          </w:tcPr>
          <w:p w14:paraId="72ACC33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p>
        </w:tc>
        <w:tc>
          <w:tcPr>
            <w:tcW w:w="3372" w:type="dxa"/>
            <w:vMerge w:val="continue"/>
            <w:noWrap w:val="0"/>
            <w:vAlign w:val="center"/>
          </w:tcPr>
          <w:p w14:paraId="3F8CCAB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978" w:type="dxa"/>
            <w:noWrap w:val="0"/>
            <w:vAlign w:val="center"/>
          </w:tcPr>
          <w:p w14:paraId="699AF2E1">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（3）</w:t>
            </w:r>
            <w:r>
              <w:rPr>
                <w:rFonts w:hint="eastAsia" w:ascii="Calibri" w:hAnsi="Calibri" w:eastAsia="宋体" w:cs="Calibri"/>
                <w:b w:val="0"/>
                <w:bCs w:val="0"/>
                <w:color w:val="auto"/>
                <w:kern w:val="0"/>
                <w:szCs w:val="21"/>
                <w:highlight w:val="none"/>
                <w:lang w:val="en-US" w:eastAsia="zh-CN"/>
              </w:rPr>
              <w:t>发生公共卫生事件时，邀请专业单位开展消毒、检测等工作</w:t>
            </w:r>
            <w:r>
              <w:rPr>
                <w:rFonts w:hint="eastAsia" w:eastAsia="宋体" w:cs="Calibri"/>
                <w:b w:val="0"/>
                <w:bCs w:val="0"/>
                <w:color w:val="auto"/>
                <w:kern w:val="0"/>
                <w:szCs w:val="21"/>
                <w:highlight w:val="none"/>
                <w:lang w:val="en-US" w:eastAsia="zh-CN"/>
              </w:rPr>
              <w:t>。</w:t>
            </w:r>
          </w:p>
        </w:tc>
      </w:tr>
    </w:tbl>
    <w:p w14:paraId="6726D874">
      <w:pPr>
        <w:pStyle w:val="55"/>
        <w:pageBreakBefore w:val="0"/>
        <w:shd w:val="clear" w:color="auto" w:fill="auto"/>
        <w:kinsoku/>
        <w:wordWrap/>
        <w:overflowPunct/>
        <w:topLinePunct w:val="0"/>
        <w:bidi w:val="0"/>
        <w:spacing w:line="360" w:lineRule="auto"/>
        <w:ind w:firstLine="498" w:firstLineChars="177"/>
        <w:rPr>
          <w:rFonts w:hint="eastAsia" w:ascii="宋体" w:hAnsi="宋体" w:eastAsia="宋体" w:cs="宋体"/>
          <w:b/>
          <w:bCs/>
          <w:color w:val="auto"/>
          <w:kern w:val="44"/>
          <w:sz w:val="28"/>
          <w:szCs w:val="28"/>
          <w:highlight w:val="none"/>
          <w:lang w:val="en-US" w:eastAsia="zh-CN" w:bidi="ar-SA"/>
        </w:rPr>
      </w:pPr>
      <w:r>
        <w:rPr>
          <w:rFonts w:hint="eastAsia" w:ascii="宋体" w:hAnsi="宋体" w:eastAsia="宋体" w:cs="宋体"/>
          <w:b/>
          <w:bCs/>
          <w:color w:val="auto"/>
          <w:kern w:val="44"/>
          <w:sz w:val="28"/>
          <w:szCs w:val="28"/>
          <w:highlight w:val="none"/>
          <w:lang w:val="en-US" w:eastAsia="zh-CN" w:bidi="ar-SA"/>
        </w:rPr>
        <w:t>3.4.1具体清洁要求</w:t>
      </w:r>
    </w:p>
    <w:tbl>
      <w:tblPr>
        <w:tblStyle w:val="32"/>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
        <w:gridCol w:w="1930"/>
        <w:gridCol w:w="5735"/>
      </w:tblGrid>
      <w:tr w14:paraId="17284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noWrap w:val="0"/>
            <w:vAlign w:val="center"/>
          </w:tcPr>
          <w:p w14:paraId="7E9C28F9">
            <w:pPr>
              <w:jc w:val="center"/>
              <w:rPr>
                <w:rFonts w:hint="default"/>
                <w:b/>
                <w:bCs/>
                <w:highlight w:val="none"/>
                <w:vertAlign w:val="baseline"/>
                <w:lang w:val="en-US" w:eastAsia="zh-CN"/>
              </w:rPr>
            </w:pPr>
            <w:r>
              <w:rPr>
                <w:rFonts w:hint="eastAsia"/>
                <w:b/>
                <w:bCs/>
                <w:highlight w:val="none"/>
                <w:vertAlign w:val="baseline"/>
                <w:lang w:val="en-US" w:eastAsia="zh-CN"/>
              </w:rPr>
              <w:t>序号</w:t>
            </w:r>
          </w:p>
        </w:tc>
        <w:tc>
          <w:tcPr>
            <w:tcW w:w="1930" w:type="dxa"/>
            <w:noWrap w:val="0"/>
            <w:vAlign w:val="center"/>
          </w:tcPr>
          <w:p w14:paraId="4B2CB3D1">
            <w:pPr>
              <w:jc w:val="center"/>
              <w:rPr>
                <w:rFonts w:hint="default"/>
                <w:b/>
                <w:bCs/>
                <w:highlight w:val="none"/>
                <w:vertAlign w:val="baseline"/>
                <w:lang w:val="en-US" w:eastAsia="zh-CN"/>
              </w:rPr>
            </w:pPr>
            <w:r>
              <w:rPr>
                <w:rFonts w:hint="eastAsia"/>
                <w:b/>
                <w:bCs/>
                <w:highlight w:val="none"/>
                <w:vertAlign w:val="baseline"/>
                <w:lang w:val="en-US" w:eastAsia="zh-CN"/>
              </w:rPr>
              <w:t>材质</w:t>
            </w:r>
          </w:p>
        </w:tc>
        <w:tc>
          <w:tcPr>
            <w:tcW w:w="5735" w:type="dxa"/>
            <w:noWrap w:val="0"/>
            <w:vAlign w:val="center"/>
          </w:tcPr>
          <w:p w14:paraId="33C2CBF2">
            <w:pPr>
              <w:jc w:val="center"/>
              <w:rPr>
                <w:rFonts w:hint="default"/>
                <w:b/>
                <w:bCs/>
                <w:highlight w:val="none"/>
                <w:vertAlign w:val="baseline"/>
                <w:lang w:val="en-US" w:eastAsia="zh-CN"/>
              </w:rPr>
            </w:pPr>
            <w:r>
              <w:rPr>
                <w:rFonts w:hint="eastAsia"/>
                <w:b/>
                <w:bCs/>
                <w:highlight w:val="none"/>
                <w:vertAlign w:val="baseline"/>
                <w:lang w:val="en-US" w:eastAsia="zh-CN"/>
              </w:rPr>
              <w:t>清洁要求</w:t>
            </w:r>
          </w:p>
        </w:tc>
      </w:tr>
      <w:tr w14:paraId="1C2C6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vMerge w:val="restart"/>
            <w:noWrap w:val="0"/>
            <w:vAlign w:val="center"/>
          </w:tcPr>
          <w:p w14:paraId="47C8C493">
            <w:pPr>
              <w:jc w:val="center"/>
              <w:rPr>
                <w:rFonts w:hint="default" w:eastAsia="宋体"/>
                <w:highlight w:val="none"/>
                <w:vertAlign w:val="baseline"/>
                <w:lang w:val="en-US" w:eastAsia="zh-CN"/>
              </w:rPr>
            </w:pPr>
            <w:r>
              <w:rPr>
                <w:rFonts w:hint="eastAsia"/>
                <w:highlight w:val="none"/>
                <w:vertAlign w:val="baseline"/>
                <w:lang w:val="en-US" w:eastAsia="zh-CN"/>
              </w:rPr>
              <w:t>1</w:t>
            </w:r>
          </w:p>
        </w:tc>
        <w:tc>
          <w:tcPr>
            <w:tcW w:w="1930" w:type="dxa"/>
            <w:vMerge w:val="restart"/>
            <w:noWrap w:val="0"/>
            <w:vAlign w:val="center"/>
          </w:tcPr>
          <w:p w14:paraId="2AC9F46B">
            <w:pPr>
              <w:jc w:val="both"/>
              <w:rPr>
                <w:rFonts w:hint="default" w:eastAsia="宋体"/>
                <w:highlight w:val="none"/>
                <w:vertAlign w:val="baseline"/>
                <w:lang w:val="en-US" w:eastAsia="zh-CN"/>
              </w:rPr>
            </w:pPr>
            <w:r>
              <w:rPr>
                <w:rFonts w:hint="eastAsia" w:eastAsia="宋体"/>
                <w:highlight w:val="none"/>
                <w:vertAlign w:val="baseline"/>
                <w:lang w:val="en-US" w:eastAsia="zh-CN"/>
              </w:rPr>
              <w:t>瓷砖地面</w:t>
            </w:r>
          </w:p>
        </w:tc>
        <w:tc>
          <w:tcPr>
            <w:tcW w:w="5735" w:type="dxa"/>
            <w:noWrap w:val="0"/>
            <w:vAlign w:val="center"/>
          </w:tcPr>
          <w:p w14:paraId="2E685F24">
            <w:pPr>
              <w:ind w:firstLine="240" w:firstLineChars="100"/>
              <w:jc w:val="both"/>
              <w:rPr>
                <w:rFonts w:hint="eastAsia"/>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（1）</w:t>
            </w:r>
            <w:r>
              <w:rPr>
                <w:rFonts w:hint="eastAsia"/>
                <w:highlight w:val="none"/>
              </w:rPr>
              <w:t>日常清洁：</w:t>
            </w:r>
            <w:r>
              <w:rPr>
                <w:rFonts w:hint="eastAsia"/>
                <w:highlight w:val="none"/>
                <w:lang w:val="en-US" w:eastAsia="zh-CN"/>
              </w:rPr>
              <w:t>推尘，保持地面干净无杂物。</w:t>
            </w:r>
          </w:p>
        </w:tc>
      </w:tr>
      <w:tr w14:paraId="24F74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vMerge w:val="continue"/>
            <w:noWrap w:val="0"/>
            <w:vAlign w:val="center"/>
          </w:tcPr>
          <w:p w14:paraId="12DD183E">
            <w:pPr>
              <w:jc w:val="center"/>
              <w:rPr>
                <w:rFonts w:hint="eastAsia" w:eastAsia="宋体"/>
                <w:highlight w:val="none"/>
                <w:vertAlign w:val="baseline"/>
                <w:lang w:val="en-US" w:eastAsia="zh-CN"/>
              </w:rPr>
            </w:pPr>
          </w:p>
        </w:tc>
        <w:tc>
          <w:tcPr>
            <w:tcW w:w="1930" w:type="dxa"/>
            <w:vMerge w:val="continue"/>
            <w:noWrap w:val="0"/>
            <w:vAlign w:val="center"/>
          </w:tcPr>
          <w:p w14:paraId="37FF54FC">
            <w:pPr>
              <w:jc w:val="both"/>
              <w:rPr>
                <w:rFonts w:hint="default" w:eastAsia="宋体"/>
                <w:highlight w:val="none"/>
                <w:vertAlign w:val="baseline"/>
                <w:lang w:val="en-US" w:eastAsia="zh-CN"/>
              </w:rPr>
            </w:pPr>
          </w:p>
        </w:tc>
        <w:tc>
          <w:tcPr>
            <w:tcW w:w="5735" w:type="dxa"/>
            <w:noWrap w:val="0"/>
            <w:vAlign w:val="center"/>
          </w:tcPr>
          <w:p w14:paraId="66F660B2">
            <w:pPr>
              <w:ind w:firstLine="240" w:firstLineChars="100"/>
              <w:jc w:val="both"/>
              <w:rPr>
                <w:rFonts w:hint="default"/>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（2）</w:t>
            </w:r>
            <w:r>
              <w:rPr>
                <w:rFonts w:hint="eastAsia"/>
                <w:highlight w:val="none"/>
                <w:lang w:val="en-US" w:eastAsia="zh-CN"/>
              </w:rPr>
              <w:t>深度清洁：使用洗洁精或肥皂水清理。</w:t>
            </w:r>
          </w:p>
        </w:tc>
      </w:tr>
      <w:tr w14:paraId="379B1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vMerge w:val="restart"/>
            <w:noWrap w:val="0"/>
            <w:vAlign w:val="center"/>
          </w:tcPr>
          <w:p w14:paraId="213A3FA6">
            <w:pPr>
              <w:jc w:val="center"/>
              <w:rPr>
                <w:rFonts w:hint="default" w:eastAsia="宋体"/>
                <w:highlight w:val="none"/>
                <w:vertAlign w:val="baseline"/>
                <w:lang w:val="en-US" w:eastAsia="zh-CN"/>
              </w:rPr>
            </w:pPr>
            <w:r>
              <w:rPr>
                <w:rFonts w:hint="eastAsia"/>
                <w:highlight w:val="none"/>
                <w:vertAlign w:val="baseline"/>
                <w:lang w:val="en-US" w:eastAsia="zh-CN"/>
              </w:rPr>
              <w:t>2</w:t>
            </w:r>
          </w:p>
        </w:tc>
        <w:tc>
          <w:tcPr>
            <w:tcW w:w="1930" w:type="dxa"/>
            <w:vMerge w:val="restart"/>
            <w:noWrap w:val="0"/>
            <w:vAlign w:val="center"/>
          </w:tcPr>
          <w:p w14:paraId="3A8542B3">
            <w:pPr>
              <w:jc w:val="both"/>
              <w:rPr>
                <w:rFonts w:hint="eastAsia" w:eastAsia="宋体"/>
                <w:highlight w:val="none"/>
                <w:vertAlign w:val="baseline"/>
                <w:lang w:val="en-US" w:eastAsia="zh-CN"/>
              </w:rPr>
            </w:pPr>
            <w:r>
              <w:rPr>
                <w:rFonts w:hint="eastAsia" w:eastAsia="宋体"/>
                <w:highlight w:val="none"/>
                <w:vertAlign w:val="baseline"/>
                <w:lang w:val="en-US" w:eastAsia="zh-CN"/>
              </w:rPr>
              <w:t>地板地面</w:t>
            </w:r>
          </w:p>
        </w:tc>
        <w:tc>
          <w:tcPr>
            <w:tcW w:w="5735" w:type="dxa"/>
            <w:noWrap w:val="0"/>
            <w:vAlign w:val="center"/>
          </w:tcPr>
          <w:p w14:paraId="31F81B10">
            <w:pPr>
              <w:ind w:firstLine="240" w:firstLineChars="100"/>
              <w:jc w:val="both"/>
              <w:rPr>
                <w:rFonts w:hint="eastAsia"/>
                <w:highlight w:val="none"/>
                <w:vertAlign w:val="baseli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（1）</w:t>
            </w:r>
            <w:r>
              <w:rPr>
                <w:rFonts w:hint="default"/>
                <w:highlight w:val="none"/>
                <w:vertAlign w:val="baseline"/>
                <w:lang w:val="en-US" w:eastAsia="zh-CN"/>
              </w:rPr>
              <w:t>定期保养。使用中性清洁剂清洁，避免使用强酸或强碱清洁剂，定期进行基础维护。</w:t>
            </w:r>
          </w:p>
        </w:tc>
      </w:tr>
      <w:tr w14:paraId="3B2BA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vMerge w:val="continue"/>
            <w:noWrap w:val="0"/>
            <w:vAlign w:val="center"/>
          </w:tcPr>
          <w:p w14:paraId="207B26BB">
            <w:pPr>
              <w:jc w:val="center"/>
              <w:rPr>
                <w:rFonts w:hint="default" w:eastAsia="宋体"/>
                <w:highlight w:val="none"/>
                <w:vertAlign w:val="baseline"/>
                <w:lang w:val="en-US" w:eastAsia="zh-CN"/>
              </w:rPr>
            </w:pPr>
          </w:p>
        </w:tc>
        <w:tc>
          <w:tcPr>
            <w:tcW w:w="1930" w:type="dxa"/>
            <w:vMerge w:val="continue"/>
            <w:noWrap w:val="0"/>
            <w:vAlign w:val="center"/>
          </w:tcPr>
          <w:p w14:paraId="552656A8">
            <w:pPr>
              <w:jc w:val="both"/>
              <w:rPr>
                <w:rFonts w:hint="eastAsia" w:eastAsia="宋体"/>
                <w:highlight w:val="none"/>
                <w:vertAlign w:val="baseline"/>
                <w:lang w:val="en-US" w:eastAsia="zh-CN"/>
              </w:rPr>
            </w:pPr>
          </w:p>
        </w:tc>
        <w:tc>
          <w:tcPr>
            <w:tcW w:w="5735" w:type="dxa"/>
            <w:noWrap w:val="0"/>
            <w:vAlign w:val="center"/>
          </w:tcPr>
          <w:p w14:paraId="0532A3CF">
            <w:pPr>
              <w:ind w:firstLine="240" w:firstLineChars="100"/>
              <w:jc w:val="both"/>
              <w:rPr>
                <w:rFonts w:hint="default"/>
                <w:highlight w:val="none"/>
                <w:vertAlign w:val="baseli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（2）</w:t>
            </w:r>
            <w:r>
              <w:rPr>
                <w:rFonts w:hint="default"/>
                <w:highlight w:val="none"/>
                <w:vertAlign w:val="baseline"/>
                <w:lang w:val="en-US" w:eastAsia="zh-CN"/>
              </w:rPr>
              <w:t>日常维护。使用湿润的拖把清洁，污染严重时局部清洁，每月对地板进行打蜡处理。</w:t>
            </w:r>
          </w:p>
        </w:tc>
      </w:tr>
      <w:tr w14:paraId="14A24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noWrap w:val="0"/>
            <w:vAlign w:val="center"/>
          </w:tcPr>
          <w:p w14:paraId="1795278A">
            <w:pPr>
              <w:jc w:val="center"/>
              <w:rPr>
                <w:rFonts w:hint="default" w:eastAsia="宋体"/>
                <w:highlight w:val="none"/>
                <w:vertAlign w:val="baseline"/>
                <w:lang w:val="en-US" w:eastAsia="zh-CN"/>
              </w:rPr>
            </w:pPr>
            <w:r>
              <w:rPr>
                <w:rFonts w:hint="eastAsia"/>
                <w:highlight w:val="none"/>
                <w:vertAlign w:val="baseline"/>
                <w:lang w:val="en-US" w:eastAsia="zh-CN"/>
              </w:rPr>
              <w:t>3</w:t>
            </w:r>
          </w:p>
        </w:tc>
        <w:tc>
          <w:tcPr>
            <w:tcW w:w="1930" w:type="dxa"/>
            <w:noWrap w:val="0"/>
            <w:vAlign w:val="center"/>
          </w:tcPr>
          <w:p w14:paraId="0F34C3BE">
            <w:pPr>
              <w:jc w:val="both"/>
              <w:rPr>
                <w:rFonts w:hint="default" w:eastAsia="宋体"/>
                <w:highlight w:val="none"/>
                <w:vertAlign w:val="baseline"/>
                <w:lang w:val="en-US" w:eastAsia="zh-CN"/>
              </w:rPr>
            </w:pPr>
            <w:r>
              <w:rPr>
                <w:rFonts w:hint="eastAsia" w:eastAsia="宋体"/>
                <w:highlight w:val="none"/>
                <w:vertAlign w:val="baseline"/>
                <w:lang w:val="en-US" w:eastAsia="zh-CN"/>
              </w:rPr>
              <w:t>乳胶漆内墙</w:t>
            </w:r>
          </w:p>
        </w:tc>
        <w:tc>
          <w:tcPr>
            <w:tcW w:w="5735" w:type="dxa"/>
            <w:noWrap w:val="0"/>
            <w:vAlign w:val="center"/>
          </w:tcPr>
          <w:p w14:paraId="6DE5E0B3">
            <w:pPr>
              <w:ind w:firstLine="240" w:firstLineChars="100"/>
              <w:jc w:val="both"/>
              <w:rPr>
                <w:rFonts w:hint="default"/>
                <w:highlight w:val="none"/>
                <w:vertAlign w:val="baseli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highlight w:val="none"/>
                <w:vertAlign w:val="baseline"/>
                <w:lang w:val="en-US" w:eastAsia="zh-CN"/>
              </w:rPr>
              <w:t>有污渍时用半干布擦拭。</w:t>
            </w:r>
          </w:p>
        </w:tc>
      </w:tr>
      <w:tr w14:paraId="04B78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noWrap w:val="0"/>
            <w:vAlign w:val="center"/>
          </w:tcPr>
          <w:p w14:paraId="32A1BC5C">
            <w:pPr>
              <w:jc w:val="center"/>
              <w:rPr>
                <w:rFonts w:hint="default" w:eastAsia="宋体"/>
                <w:highlight w:val="none"/>
                <w:vertAlign w:val="baseline"/>
                <w:lang w:val="en-US" w:eastAsia="zh-CN"/>
              </w:rPr>
            </w:pPr>
            <w:r>
              <w:rPr>
                <w:rFonts w:hint="eastAsia"/>
                <w:highlight w:val="none"/>
                <w:vertAlign w:val="baseline"/>
                <w:lang w:val="en-US" w:eastAsia="zh-CN"/>
              </w:rPr>
              <w:t>4</w:t>
            </w:r>
          </w:p>
        </w:tc>
        <w:tc>
          <w:tcPr>
            <w:tcW w:w="1930" w:type="dxa"/>
            <w:noWrap w:val="0"/>
            <w:vAlign w:val="center"/>
          </w:tcPr>
          <w:p w14:paraId="5636E959">
            <w:pPr>
              <w:jc w:val="both"/>
              <w:rPr>
                <w:rFonts w:hint="default" w:eastAsia="宋体"/>
                <w:highlight w:val="none"/>
                <w:vertAlign w:val="baseline"/>
                <w:lang w:val="en-US" w:eastAsia="zh-CN"/>
              </w:rPr>
            </w:pPr>
            <w:r>
              <w:rPr>
                <w:rFonts w:hint="eastAsia" w:eastAsia="宋体"/>
                <w:highlight w:val="none"/>
                <w:vertAlign w:val="baseline"/>
                <w:lang w:val="en-US" w:eastAsia="zh-CN"/>
              </w:rPr>
              <w:t>木饰面内墙</w:t>
            </w:r>
          </w:p>
        </w:tc>
        <w:tc>
          <w:tcPr>
            <w:tcW w:w="5735" w:type="dxa"/>
            <w:noWrap w:val="0"/>
            <w:vAlign w:val="center"/>
          </w:tcPr>
          <w:p w14:paraId="30DD9277">
            <w:pPr>
              <w:ind w:firstLine="240" w:firstLineChars="100"/>
              <w:jc w:val="both"/>
              <w:rPr>
                <w:rFonts w:hint="default"/>
                <w:highlight w:val="none"/>
                <w:vertAlign w:val="baseli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highlight w:val="none"/>
                <w:vertAlign w:val="baseline"/>
                <w:lang w:val="en-US" w:eastAsia="zh-CN"/>
              </w:rPr>
              <w:t>有污渍时用中性清洁剂、半干布擦拭。</w:t>
            </w:r>
          </w:p>
        </w:tc>
      </w:tr>
    </w:tbl>
    <w:p w14:paraId="611DA46C">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注：根据物业用材情况选择清洁要求</w:t>
      </w:r>
    </w:p>
    <w:p w14:paraId="024C42DA">
      <w:pPr>
        <w:pStyle w:val="55"/>
        <w:pageBreakBefore w:val="0"/>
        <w:shd w:val="clear" w:color="auto" w:fill="auto"/>
        <w:kinsoku/>
        <w:wordWrap/>
        <w:overflowPunct/>
        <w:topLinePunct w:val="0"/>
        <w:bidi w:val="0"/>
        <w:spacing w:line="360" w:lineRule="auto"/>
        <w:ind w:firstLine="498" w:firstLineChars="177"/>
        <w:rPr>
          <w:rFonts w:hint="default" w:ascii="宋体" w:hAnsi="宋体" w:eastAsia="宋体" w:cs="宋体"/>
          <w:b/>
          <w:bCs/>
          <w:color w:val="auto"/>
          <w:kern w:val="44"/>
          <w:sz w:val="28"/>
          <w:szCs w:val="28"/>
          <w:highlight w:val="none"/>
          <w:lang w:val="en-US" w:eastAsia="zh-CN" w:bidi="ar-SA"/>
        </w:rPr>
      </w:pPr>
      <w:r>
        <w:rPr>
          <w:rFonts w:hint="eastAsia" w:ascii="宋体" w:hAnsi="宋体" w:eastAsia="宋体" w:cs="宋体"/>
          <w:b/>
          <w:bCs/>
          <w:color w:val="auto"/>
          <w:kern w:val="44"/>
          <w:sz w:val="28"/>
          <w:szCs w:val="28"/>
          <w:highlight w:val="none"/>
          <w:lang w:val="en-US" w:eastAsia="zh-CN" w:bidi="ar-SA"/>
        </w:rPr>
        <w:t>3.5</w:t>
      </w:r>
      <w:r>
        <w:rPr>
          <w:rFonts w:hint="default" w:ascii="宋体" w:hAnsi="宋体" w:eastAsia="宋体" w:cs="宋体"/>
          <w:b/>
          <w:bCs/>
          <w:color w:val="auto"/>
          <w:kern w:val="44"/>
          <w:sz w:val="28"/>
          <w:szCs w:val="28"/>
          <w:highlight w:val="none"/>
          <w:lang w:val="en-US" w:eastAsia="zh-CN" w:bidi="ar-SA"/>
        </w:rPr>
        <w:t>绿化服务</w:t>
      </w:r>
    </w:p>
    <w:tbl>
      <w:tblPr>
        <w:tblStyle w:val="32"/>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972"/>
        <w:gridCol w:w="5814"/>
      </w:tblGrid>
      <w:tr w14:paraId="27E98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0" w:type="dxa"/>
            <w:noWrap w:val="0"/>
            <w:vAlign w:val="center"/>
          </w:tcPr>
          <w:p w14:paraId="5C61CF75">
            <w:pPr>
              <w:pageBreakBefore w:val="0"/>
              <w:widowControl/>
              <w:kinsoku/>
              <w:wordWrap/>
              <w:overflowPunct/>
              <w:topLinePunct w:val="0"/>
              <w:bidi w:val="0"/>
              <w:snapToGrid w:val="0"/>
              <w:spacing w:line="300" w:lineRule="auto"/>
              <w:ind w:left="0"/>
              <w:jc w:val="center"/>
              <w:rPr>
                <w:rFonts w:hint="eastAsia" w:ascii="Calibri" w:hAnsi="Calibri" w:eastAsia="宋体" w:cs="Calibri"/>
                <w:b/>
                <w:bCs/>
                <w:color w:val="auto"/>
                <w:kern w:val="0"/>
                <w:szCs w:val="21"/>
                <w:highlight w:val="none"/>
                <w:lang w:val="en-US" w:eastAsia="zh-CN"/>
              </w:rPr>
            </w:pPr>
            <w:r>
              <w:rPr>
                <w:rFonts w:hint="eastAsia" w:cs="Calibri"/>
                <w:b/>
                <w:bCs/>
                <w:color w:val="auto"/>
                <w:kern w:val="0"/>
                <w:szCs w:val="21"/>
                <w:highlight w:val="none"/>
                <w:lang w:val="en-US" w:eastAsia="zh-CN"/>
              </w:rPr>
              <w:t>序号</w:t>
            </w:r>
          </w:p>
        </w:tc>
        <w:tc>
          <w:tcPr>
            <w:tcW w:w="3369" w:type="dxa"/>
            <w:noWrap w:val="0"/>
            <w:vAlign w:val="center"/>
          </w:tcPr>
          <w:p w14:paraId="4FFDB9D2">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Cs w:val="21"/>
                <w:highlight w:val="none"/>
              </w:rPr>
            </w:pPr>
            <w:r>
              <w:rPr>
                <w:rFonts w:hint="default" w:ascii="Calibri" w:hAnsi="Calibri" w:eastAsia="宋体" w:cs="Calibri"/>
                <w:b/>
                <w:bCs/>
                <w:color w:val="auto"/>
                <w:kern w:val="0"/>
                <w:szCs w:val="21"/>
                <w:highlight w:val="none"/>
              </w:rPr>
              <w:t>服务内容</w:t>
            </w:r>
          </w:p>
        </w:tc>
        <w:tc>
          <w:tcPr>
            <w:tcW w:w="9934" w:type="dxa"/>
            <w:noWrap w:val="0"/>
            <w:vAlign w:val="center"/>
          </w:tcPr>
          <w:p w14:paraId="7387DFFE">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Cs w:val="21"/>
                <w:highlight w:val="none"/>
                <w:lang w:val="en-US" w:eastAsia="zh-CN"/>
              </w:rPr>
            </w:pPr>
            <w:r>
              <w:rPr>
                <w:rFonts w:hint="eastAsia" w:cs="Calibri"/>
                <w:b/>
                <w:bCs/>
                <w:color w:val="auto"/>
                <w:kern w:val="0"/>
                <w:szCs w:val="21"/>
                <w:highlight w:val="none"/>
                <w:lang w:val="en-US" w:eastAsia="zh-CN"/>
              </w:rPr>
              <w:t>服务标准</w:t>
            </w:r>
          </w:p>
        </w:tc>
      </w:tr>
      <w:tr w14:paraId="4A047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0" w:type="dxa"/>
            <w:vMerge w:val="restart"/>
            <w:noWrap w:val="0"/>
            <w:vAlign w:val="center"/>
          </w:tcPr>
          <w:p w14:paraId="7C0EB36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lang w:val="en-US" w:eastAsia="zh-CN"/>
              </w:rPr>
            </w:pPr>
            <w:r>
              <w:rPr>
                <w:rFonts w:hint="eastAsia"/>
                <w:highlight w:val="none"/>
                <w:lang w:val="en-US" w:eastAsia="zh-CN"/>
              </w:rPr>
              <w:t>1</w:t>
            </w:r>
          </w:p>
        </w:tc>
        <w:tc>
          <w:tcPr>
            <w:tcW w:w="3369" w:type="dxa"/>
            <w:vMerge w:val="restart"/>
            <w:noWrap w:val="0"/>
            <w:vAlign w:val="center"/>
          </w:tcPr>
          <w:p w14:paraId="2B53040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kern w:val="2"/>
                <w:sz w:val="21"/>
                <w:szCs w:val="21"/>
                <w:highlight w:val="none"/>
                <w:lang w:val="en-US" w:eastAsia="zh-CN" w:bidi="ar-SA"/>
              </w:rPr>
            </w:pPr>
            <w:r>
              <w:rPr>
                <w:rFonts w:hint="eastAsia"/>
                <w:highlight w:val="none"/>
                <w:lang w:val="en-US" w:eastAsia="zh-CN"/>
              </w:rPr>
              <w:t>基本要求</w:t>
            </w:r>
          </w:p>
        </w:tc>
        <w:tc>
          <w:tcPr>
            <w:tcW w:w="9934" w:type="dxa"/>
            <w:noWrap w:val="0"/>
            <w:vAlign w:val="center"/>
          </w:tcPr>
          <w:p w14:paraId="1C212214">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制定绿化服务的工作制度及工作计划，并按照执行</w:t>
            </w:r>
            <w:r>
              <w:rPr>
                <w:rFonts w:hint="eastAsia" w:eastAsia="宋体" w:cs="Calibri"/>
                <w:b w:val="0"/>
                <w:bCs w:val="0"/>
                <w:color w:val="auto"/>
                <w:kern w:val="0"/>
                <w:szCs w:val="21"/>
                <w:highlight w:val="none"/>
                <w:lang w:val="en-US" w:eastAsia="zh-CN"/>
              </w:rPr>
              <w:t>。</w:t>
            </w:r>
          </w:p>
        </w:tc>
      </w:tr>
      <w:tr w14:paraId="36BA8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0" w:type="dxa"/>
            <w:vMerge w:val="continue"/>
            <w:noWrap w:val="0"/>
            <w:vAlign w:val="center"/>
          </w:tcPr>
          <w:p w14:paraId="18849A0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69" w:type="dxa"/>
            <w:vMerge w:val="continue"/>
            <w:noWrap w:val="0"/>
            <w:vAlign w:val="center"/>
          </w:tcPr>
          <w:p w14:paraId="0EF99F5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highlight w:val="none"/>
                <w:lang w:val="en-US" w:eastAsia="zh-CN"/>
              </w:rPr>
            </w:pPr>
          </w:p>
        </w:tc>
        <w:tc>
          <w:tcPr>
            <w:tcW w:w="9934" w:type="dxa"/>
            <w:noWrap w:val="0"/>
            <w:vAlign w:val="center"/>
          </w:tcPr>
          <w:p w14:paraId="3A4EFB06">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（2）</w:t>
            </w:r>
            <w:r>
              <w:rPr>
                <w:rFonts w:hint="eastAsia" w:ascii="Calibri" w:hAnsi="Calibri" w:eastAsia="宋体" w:cs="Calibri"/>
                <w:b w:val="0"/>
                <w:bCs w:val="0"/>
                <w:color w:val="auto"/>
                <w:kern w:val="0"/>
                <w:szCs w:val="21"/>
                <w:highlight w:val="none"/>
                <w:lang w:val="en-US" w:eastAsia="zh-CN"/>
              </w:rPr>
              <w:t>做好绿化服务工作记录，填写规范</w:t>
            </w:r>
            <w:r>
              <w:rPr>
                <w:rFonts w:hint="eastAsia" w:eastAsia="宋体" w:cs="Calibri"/>
                <w:b w:val="0"/>
                <w:bCs w:val="0"/>
                <w:color w:val="auto"/>
                <w:kern w:val="0"/>
                <w:szCs w:val="21"/>
                <w:highlight w:val="none"/>
                <w:lang w:val="en-US" w:eastAsia="zh-CN"/>
              </w:rPr>
              <w:t>。</w:t>
            </w:r>
          </w:p>
        </w:tc>
      </w:tr>
      <w:tr w14:paraId="260B4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0" w:type="dxa"/>
            <w:vMerge w:val="continue"/>
            <w:noWrap w:val="0"/>
            <w:vAlign w:val="center"/>
          </w:tcPr>
          <w:p w14:paraId="307B695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69" w:type="dxa"/>
            <w:vMerge w:val="continue"/>
            <w:noWrap w:val="0"/>
            <w:vAlign w:val="center"/>
          </w:tcPr>
          <w:p w14:paraId="3552EF3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highlight w:val="none"/>
                <w:lang w:val="en-US" w:eastAsia="zh-CN"/>
              </w:rPr>
            </w:pPr>
          </w:p>
        </w:tc>
        <w:tc>
          <w:tcPr>
            <w:tcW w:w="9934" w:type="dxa"/>
            <w:noWrap w:val="0"/>
            <w:vAlign w:val="center"/>
          </w:tcPr>
          <w:p w14:paraId="1D4BA5F0">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（3）</w:t>
            </w:r>
            <w:r>
              <w:rPr>
                <w:rFonts w:hint="eastAsia" w:ascii="Calibri" w:hAnsi="Calibri" w:eastAsia="宋体" w:cs="Calibri"/>
                <w:b w:val="0"/>
                <w:bCs w:val="0"/>
                <w:color w:val="auto"/>
                <w:kern w:val="0"/>
                <w:szCs w:val="21"/>
                <w:highlight w:val="none"/>
                <w:lang w:val="en-US" w:eastAsia="zh-CN"/>
              </w:rPr>
              <w:t>作业时采取安全防护措施，防止对作业人员或他人造成伤害。</w:t>
            </w:r>
          </w:p>
        </w:tc>
      </w:tr>
      <w:tr w14:paraId="07D4C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0" w:type="dxa"/>
            <w:vMerge w:val="continue"/>
            <w:noWrap w:val="0"/>
            <w:vAlign w:val="center"/>
          </w:tcPr>
          <w:p w14:paraId="5CC06EF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lang w:val="en-US" w:eastAsia="zh-CN"/>
              </w:rPr>
            </w:pPr>
          </w:p>
        </w:tc>
        <w:tc>
          <w:tcPr>
            <w:tcW w:w="3369" w:type="dxa"/>
            <w:vMerge w:val="continue"/>
            <w:noWrap w:val="0"/>
            <w:vAlign w:val="center"/>
          </w:tcPr>
          <w:p w14:paraId="682CF5C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kern w:val="2"/>
                <w:sz w:val="21"/>
                <w:szCs w:val="21"/>
                <w:highlight w:val="none"/>
                <w:lang w:val="en-US" w:eastAsia="zh-CN" w:bidi="ar-SA"/>
              </w:rPr>
            </w:pPr>
          </w:p>
        </w:tc>
        <w:tc>
          <w:tcPr>
            <w:tcW w:w="9934" w:type="dxa"/>
            <w:noWrap w:val="0"/>
            <w:vAlign w:val="center"/>
          </w:tcPr>
          <w:p w14:paraId="4A094EE4">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（4）</w:t>
            </w:r>
            <w:r>
              <w:rPr>
                <w:rFonts w:hint="eastAsia" w:ascii="Calibri" w:hAnsi="Calibri" w:eastAsia="宋体" w:cs="Calibri"/>
                <w:b w:val="0"/>
                <w:bCs w:val="0"/>
                <w:color w:val="auto"/>
                <w:kern w:val="0"/>
                <w:szCs w:val="21"/>
                <w:highlight w:val="none"/>
                <w:lang w:val="en-US" w:eastAsia="zh-CN"/>
              </w:rPr>
              <w:t>相关耗材的环保、安全性应</w:t>
            </w:r>
            <w:r>
              <w:rPr>
                <w:rFonts w:hint="eastAsia" w:cs="Calibri"/>
                <w:b w:val="0"/>
                <w:bCs w:val="0"/>
                <w:color w:val="auto"/>
                <w:kern w:val="0"/>
                <w:szCs w:val="21"/>
                <w:highlight w:val="none"/>
                <w:lang w:val="en-US" w:eastAsia="zh-CN"/>
              </w:rPr>
              <w:t>当</w:t>
            </w:r>
            <w:r>
              <w:rPr>
                <w:rFonts w:hint="eastAsia" w:ascii="Calibri" w:hAnsi="Calibri" w:eastAsia="宋体" w:cs="Calibri"/>
                <w:b w:val="0"/>
                <w:bCs w:val="0"/>
                <w:color w:val="auto"/>
                <w:kern w:val="0"/>
                <w:szCs w:val="21"/>
                <w:highlight w:val="none"/>
                <w:lang w:val="en-US" w:eastAsia="zh-CN"/>
              </w:rPr>
              <w:t>符合规定要求</w:t>
            </w:r>
            <w:r>
              <w:rPr>
                <w:rFonts w:hint="eastAsia" w:eastAsia="宋体" w:cs="Calibri"/>
                <w:b w:val="0"/>
                <w:bCs w:val="0"/>
                <w:color w:val="auto"/>
                <w:kern w:val="0"/>
                <w:szCs w:val="21"/>
                <w:highlight w:val="none"/>
                <w:lang w:val="en-US" w:eastAsia="zh-CN"/>
              </w:rPr>
              <w:t>。</w:t>
            </w:r>
          </w:p>
        </w:tc>
      </w:tr>
      <w:tr w14:paraId="5AA5E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0" w:type="dxa"/>
            <w:vMerge w:val="restart"/>
            <w:noWrap w:val="0"/>
            <w:vAlign w:val="center"/>
          </w:tcPr>
          <w:p w14:paraId="15385BF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lang w:val="en-US" w:eastAsia="zh-CN"/>
              </w:rPr>
            </w:pPr>
            <w:r>
              <w:rPr>
                <w:rFonts w:hint="eastAsia"/>
                <w:highlight w:val="none"/>
                <w:lang w:val="en-US" w:eastAsia="zh-CN"/>
              </w:rPr>
              <w:t>2</w:t>
            </w:r>
          </w:p>
        </w:tc>
        <w:tc>
          <w:tcPr>
            <w:tcW w:w="3369" w:type="dxa"/>
            <w:vMerge w:val="restart"/>
            <w:noWrap w:val="0"/>
            <w:vAlign w:val="center"/>
          </w:tcPr>
          <w:p w14:paraId="5191404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kern w:val="2"/>
                <w:sz w:val="21"/>
                <w:szCs w:val="21"/>
                <w:highlight w:val="none"/>
                <w:lang w:val="en-US" w:eastAsia="zh-CN" w:bidi="ar-SA"/>
              </w:rPr>
            </w:pPr>
            <w:r>
              <w:rPr>
                <w:rFonts w:hint="eastAsia"/>
                <w:highlight w:val="none"/>
                <w:lang w:val="en-US" w:eastAsia="zh-CN"/>
              </w:rPr>
              <w:t>室外绿化养护</w:t>
            </w:r>
          </w:p>
        </w:tc>
        <w:tc>
          <w:tcPr>
            <w:tcW w:w="9934" w:type="dxa"/>
            <w:noWrap w:val="0"/>
            <w:vAlign w:val="center"/>
          </w:tcPr>
          <w:p w14:paraId="0A56B656">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（1）</w:t>
            </w:r>
            <w:r>
              <w:rPr>
                <w:rFonts w:hint="eastAsia" w:cs="Calibri"/>
                <w:color w:val="auto"/>
                <w:szCs w:val="21"/>
                <w:highlight w:val="none"/>
                <w:u w:val="none"/>
                <w:lang w:val="en-US" w:eastAsia="zh-CN"/>
              </w:rPr>
              <w:t>根据</w:t>
            </w:r>
            <w:r>
              <w:rPr>
                <w:rFonts w:hint="eastAsia" w:ascii="Calibri" w:hAnsi="Calibri" w:eastAsia="宋体" w:cs="Calibri"/>
                <w:color w:val="auto"/>
                <w:szCs w:val="21"/>
                <w:highlight w:val="none"/>
                <w:u w:val="none"/>
                <w:lang w:val="en-US" w:eastAsia="zh-CN"/>
              </w:rPr>
              <w:t>生长环境、植物特性进行除草、灌溉、施肥、整形修剪、防治病虫害等</w:t>
            </w:r>
            <w:r>
              <w:rPr>
                <w:rFonts w:hint="eastAsia" w:eastAsia="宋体" w:cs="Calibri"/>
                <w:color w:val="auto"/>
                <w:szCs w:val="21"/>
                <w:highlight w:val="none"/>
                <w:u w:val="none"/>
                <w:lang w:val="en-US" w:eastAsia="zh-CN"/>
              </w:rPr>
              <w:t>。</w:t>
            </w:r>
          </w:p>
        </w:tc>
      </w:tr>
      <w:tr w14:paraId="5D9DE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0" w:type="dxa"/>
            <w:vMerge w:val="continue"/>
            <w:noWrap w:val="0"/>
            <w:vAlign w:val="center"/>
          </w:tcPr>
          <w:p w14:paraId="341F1E8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69" w:type="dxa"/>
            <w:vMerge w:val="continue"/>
            <w:noWrap w:val="0"/>
            <w:vAlign w:val="center"/>
          </w:tcPr>
          <w:p w14:paraId="55D908C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highlight w:val="none"/>
                <w:lang w:val="en-US" w:eastAsia="zh-CN"/>
              </w:rPr>
            </w:pPr>
          </w:p>
        </w:tc>
        <w:tc>
          <w:tcPr>
            <w:tcW w:w="9934" w:type="dxa"/>
            <w:noWrap w:val="0"/>
            <w:vAlign w:val="center"/>
          </w:tcPr>
          <w:p w14:paraId="10188438">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（2）</w:t>
            </w:r>
            <w:r>
              <w:rPr>
                <w:rFonts w:hint="eastAsia" w:ascii="Calibri" w:hAnsi="Calibri" w:eastAsia="宋体" w:cs="Calibri"/>
                <w:b w:val="0"/>
                <w:bCs w:val="0"/>
                <w:color w:val="auto"/>
                <w:kern w:val="0"/>
                <w:szCs w:val="21"/>
                <w:highlight w:val="none"/>
                <w:lang w:val="en-US" w:eastAsia="zh-CN"/>
              </w:rPr>
              <w:t>根据生长情况修剪绿地，绿地内无枯草、无杂物</w:t>
            </w:r>
            <w:r>
              <w:rPr>
                <w:rFonts w:hint="eastAsia" w:eastAsia="宋体" w:cs="Calibri"/>
                <w:b w:val="0"/>
                <w:bCs w:val="0"/>
                <w:color w:val="auto"/>
                <w:kern w:val="0"/>
                <w:szCs w:val="21"/>
                <w:highlight w:val="none"/>
                <w:lang w:val="en-US" w:eastAsia="zh-CN"/>
              </w:rPr>
              <w:t>，</w:t>
            </w:r>
            <w:r>
              <w:rPr>
                <w:rFonts w:hint="eastAsia" w:ascii="Calibri" w:hAnsi="Calibri" w:eastAsia="宋体" w:cs="Calibri"/>
                <w:color w:val="auto"/>
                <w:szCs w:val="21"/>
                <w:highlight w:val="none"/>
                <w:u w:val="none"/>
                <w:lang w:val="en-US" w:eastAsia="zh-CN"/>
              </w:rPr>
              <w:t>无干枯坏死和病虫侵害，基本无裸露土地</w:t>
            </w:r>
            <w:r>
              <w:rPr>
                <w:rFonts w:hint="eastAsia" w:eastAsia="宋体" w:cs="Calibri"/>
                <w:color w:val="auto"/>
                <w:szCs w:val="21"/>
                <w:highlight w:val="none"/>
                <w:u w:val="none"/>
                <w:lang w:val="en-US" w:eastAsia="zh-CN"/>
              </w:rPr>
              <w:t>。</w:t>
            </w:r>
          </w:p>
        </w:tc>
      </w:tr>
      <w:tr w14:paraId="1494C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0" w:type="dxa"/>
            <w:vMerge w:val="continue"/>
            <w:noWrap w:val="0"/>
            <w:vAlign w:val="center"/>
          </w:tcPr>
          <w:p w14:paraId="557254D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69" w:type="dxa"/>
            <w:vMerge w:val="continue"/>
            <w:noWrap w:val="0"/>
            <w:vAlign w:val="center"/>
          </w:tcPr>
          <w:p w14:paraId="38E78C3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highlight w:val="none"/>
                <w:lang w:val="en-US" w:eastAsia="zh-CN"/>
              </w:rPr>
            </w:pPr>
          </w:p>
        </w:tc>
        <w:tc>
          <w:tcPr>
            <w:tcW w:w="9934" w:type="dxa"/>
            <w:noWrap w:val="0"/>
            <w:vAlign w:val="center"/>
          </w:tcPr>
          <w:p w14:paraId="53E83DE1">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（3）</w:t>
            </w:r>
            <w:r>
              <w:rPr>
                <w:rFonts w:hint="eastAsia" w:ascii="Calibri" w:hAnsi="Calibri" w:eastAsia="宋体" w:cs="Calibri"/>
                <w:b w:val="0"/>
                <w:bCs w:val="0"/>
                <w:color w:val="auto"/>
                <w:kern w:val="0"/>
                <w:szCs w:val="21"/>
                <w:highlight w:val="none"/>
                <w:lang w:val="en-US" w:eastAsia="zh-CN"/>
              </w:rPr>
              <w:t>定期修剪树木、花卉等</w:t>
            </w:r>
            <w:r>
              <w:rPr>
                <w:rFonts w:hint="eastAsia" w:eastAsia="宋体" w:cs="Calibri"/>
                <w:b w:val="0"/>
                <w:bCs w:val="0"/>
                <w:color w:val="auto"/>
                <w:kern w:val="0"/>
                <w:szCs w:val="21"/>
                <w:highlight w:val="none"/>
                <w:lang w:val="en-US" w:eastAsia="zh-CN"/>
              </w:rPr>
              <w:t>，</w:t>
            </w:r>
            <w:r>
              <w:rPr>
                <w:rFonts w:hint="default" w:ascii="Calibri" w:hAnsi="Calibri" w:eastAsia="宋体" w:cs="Calibri"/>
                <w:color w:val="auto"/>
                <w:szCs w:val="21"/>
                <w:highlight w:val="none"/>
                <w:u w:val="none"/>
                <w:lang w:val="en-US" w:eastAsia="zh-CN"/>
              </w:rPr>
              <w:t>灌乔木生长正常、造型美观自然、花枝新鲜，无枯叶、无病虫、无死树缺株</w:t>
            </w:r>
            <w:r>
              <w:rPr>
                <w:rFonts w:hint="eastAsia" w:eastAsia="宋体" w:cs="Calibri"/>
                <w:color w:val="auto"/>
                <w:szCs w:val="21"/>
                <w:highlight w:val="none"/>
                <w:u w:val="none"/>
                <w:lang w:val="en-US" w:eastAsia="zh-CN"/>
              </w:rPr>
              <w:t>。</w:t>
            </w:r>
          </w:p>
        </w:tc>
      </w:tr>
      <w:tr w14:paraId="4E9FC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0" w:type="dxa"/>
            <w:vMerge w:val="continue"/>
            <w:noWrap w:val="0"/>
            <w:vAlign w:val="center"/>
          </w:tcPr>
          <w:p w14:paraId="6AD6D53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69" w:type="dxa"/>
            <w:vMerge w:val="continue"/>
            <w:noWrap w:val="0"/>
            <w:vAlign w:val="center"/>
          </w:tcPr>
          <w:p w14:paraId="2F6EA9B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highlight w:val="none"/>
                <w:lang w:val="en-US" w:eastAsia="zh-CN"/>
              </w:rPr>
            </w:pPr>
          </w:p>
        </w:tc>
        <w:tc>
          <w:tcPr>
            <w:tcW w:w="9934" w:type="dxa"/>
            <w:noWrap w:val="0"/>
            <w:vAlign w:val="center"/>
          </w:tcPr>
          <w:p w14:paraId="4DF38659">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（4）</w:t>
            </w:r>
            <w:r>
              <w:rPr>
                <w:rFonts w:hint="eastAsia" w:ascii="Calibri" w:hAnsi="Calibri" w:eastAsia="宋体" w:cs="Calibri"/>
                <w:color w:val="auto"/>
                <w:szCs w:val="21"/>
                <w:highlight w:val="none"/>
                <w:u w:val="none"/>
                <w:lang w:val="en-US" w:eastAsia="zh-CN"/>
              </w:rPr>
              <w:t>绿篱生长造型正常，颜色正常，修剪及时，基本无死株和干死株，有虫株率在10%以下</w:t>
            </w:r>
            <w:r>
              <w:rPr>
                <w:rFonts w:hint="eastAsia" w:eastAsia="宋体" w:cs="Calibri"/>
                <w:color w:val="auto"/>
                <w:szCs w:val="21"/>
                <w:highlight w:val="none"/>
                <w:u w:val="none"/>
                <w:lang w:val="en-US" w:eastAsia="zh-CN"/>
              </w:rPr>
              <w:t>。</w:t>
            </w:r>
          </w:p>
        </w:tc>
      </w:tr>
      <w:tr w14:paraId="31A32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0" w:type="dxa"/>
            <w:vMerge w:val="continue"/>
            <w:noWrap w:val="0"/>
            <w:vAlign w:val="center"/>
          </w:tcPr>
          <w:p w14:paraId="5F4623A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69" w:type="dxa"/>
            <w:vMerge w:val="continue"/>
            <w:noWrap w:val="0"/>
            <w:vAlign w:val="center"/>
          </w:tcPr>
          <w:p w14:paraId="7F50AFE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highlight w:val="none"/>
                <w:lang w:val="en-US" w:eastAsia="zh-CN"/>
              </w:rPr>
            </w:pPr>
          </w:p>
        </w:tc>
        <w:tc>
          <w:tcPr>
            <w:tcW w:w="9934" w:type="dxa"/>
            <w:noWrap w:val="0"/>
            <w:vAlign w:val="center"/>
          </w:tcPr>
          <w:p w14:paraId="6D657CEC">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（5）</w:t>
            </w:r>
            <w:r>
              <w:rPr>
                <w:rFonts w:hint="eastAsia" w:ascii="Calibri" w:hAnsi="Calibri" w:eastAsia="宋体" w:cs="Calibri"/>
                <w:color w:val="auto"/>
                <w:szCs w:val="21"/>
                <w:highlight w:val="none"/>
                <w:u w:val="none"/>
                <w:lang w:val="en-US" w:eastAsia="zh-CN"/>
              </w:rPr>
              <w:t>清除花坛和花景的花蒂、黄叶、杂草、垃圾，做好病虫害防治。</w:t>
            </w:r>
          </w:p>
        </w:tc>
      </w:tr>
      <w:tr w14:paraId="4D473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0" w:type="dxa"/>
            <w:vMerge w:val="continue"/>
            <w:noWrap w:val="0"/>
            <w:vAlign w:val="center"/>
          </w:tcPr>
          <w:p w14:paraId="109499E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69" w:type="dxa"/>
            <w:vMerge w:val="continue"/>
            <w:noWrap w:val="0"/>
            <w:vAlign w:val="center"/>
          </w:tcPr>
          <w:p w14:paraId="1FF51F9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highlight w:val="none"/>
                <w:lang w:val="en-US" w:eastAsia="zh-CN"/>
              </w:rPr>
            </w:pPr>
          </w:p>
        </w:tc>
        <w:tc>
          <w:tcPr>
            <w:tcW w:w="9934" w:type="dxa"/>
            <w:noWrap w:val="0"/>
            <w:vAlign w:val="center"/>
          </w:tcPr>
          <w:p w14:paraId="4EE11F7B">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（6）</w:t>
            </w:r>
            <w:r>
              <w:rPr>
                <w:rFonts w:hint="eastAsia" w:ascii="Calibri" w:hAnsi="Calibri" w:eastAsia="宋体" w:cs="Calibri"/>
                <w:color w:val="auto"/>
                <w:szCs w:val="21"/>
                <w:highlight w:val="none"/>
                <w:u w:val="none"/>
                <w:lang w:val="en-US" w:eastAsia="zh-CN"/>
              </w:rPr>
              <w:t>水池水面定期清理，无枯枝落叶、水质清洁</w:t>
            </w:r>
            <w:r>
              <w:rPr>
                <w:rFonts w:hint="eastAsia" w:eastAsia="宋体" w:cs="Calibri"/>
                <w:color w:val="auto"/>
                <w:szCs w:val="21"/>
                <w:highlight w:val="none"/>
                <w:u w:val="none"/>
                <w:lang w:val="en-US" w:eastAsia="zh-CN"/>
              </w:rPr>
              <w:t>。</w:t>
            </w:r>
          </w:p>
        </w:tc>
      </w:tr>
      <w:tr w14:paraId="69091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0" w:type="dxa"/>
            <w:vMerge w:val="continue"/>
            <w:noWrap w:val="0"/>
            <w:vAlign w:val="center"/>
          </w:tcPr>
          <w:p w14:paraId="40D018E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69" w:type="dxa"/>
            <w:vMerge w:val="continue"/>
            <w:noWrap w:val="0"/>
            <w:vAlign w:val="center"/>
          </w:tcPr>
          <w:p w14:paraId="23B349F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highlight w:val="none"/>
                <w:lang w:val="en-US" w:eastAsia="zh-CN"/>
              </w:rPr>
            </w:pPr>
          </w:p>
        </w:tc>
        <w:tc>
          <w:tcPr>
            <w:tcW w:w="9934" w:type="dxa"/>
            <w:noWrap w:val="0"/>
            <w:vAlign w:val="center"/>
          </w:tcPr>
          <w:p w14:paraId="7CF0A6BA">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（7）</w:t>
            </w:r>
            <w:r>
              <w:rPr>
                <w:rFonts w:hint="eastAsia" w:ascii="Calibri" w:hAnsi="Calibri" w:eastAsia="宋体" w:cs="Calibri"/>
                <w:b w:val="0"/>
                <w:bCs w:val="0"/>
                <w:color w:val="auto"/>
                <w:kern w:val="0"/>
                <w:szCs w:val="21"/>
                <w:highlight w:val="none"/>
                <w:lang w:val="en-US" w:eastAsia="zh-CN"/>
              </w:rPr>
              <w:t>根据病虫害发生规律实施综合治理，通常在病虫率高时，以药剂杀死病虫，以确保植物良好生长</w:t>
            </w:r>
            <w:r>
              <w:rPr>
                <w:rFonts w:hint="eastAsia"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产生垃圾的主要区域和路段做到日产日清。</w:t>
            </w:r>
          </w:p>
        </w:tc>
      </w:tr>
      <w:tr w14:paraId="5E898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0" w:type="dxa"/>
            <w:vMerge w:val="continue"/>
            <w:noWrap w:val="0"/>
            <w:vAlign w:val="center"/>
          </w:tcPr>
          <w:p w14:paraId="74F387D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69" w:type="dxa"/>
            <w:vMerge w:val="continue"/>
            <w:noWrap w:val="0"/>
            <w:vAlign w:val="center"/>
          </w:tcPr>
          <w:p w14:paraId="3BFA3C2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highlight w:val="none"/>
                <w:lang w:val="en-US" w:eastAsia="zh-CN"/>
              </w:rPr>
            </w:pPr>
          </w:p>
        </w:tc>
        <w:tc>
          <w:tcPr>
            <w:tcW w:w="9934" w:type="dxa"/>
            <w:noWrap w:val="0"/>
            <w:vAlign w:val="center"/>
          </w:tcPr>
          <w:p w14:paraId="62AF99CC">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（8）</w:t>
            </w:r>
            <w:r>
              <w:rPr>
                <w:rFonts w:hint="eastAsia" w:ascii="Calibri" w:hAnsi="Calibri" w:eastAsia="宋体" w:cs="Calibri"/>
                <w:b w:val="0"/>
                <w:bCs w:val="0"/>
                <w:color w:val="auto"/>
                <w:kern w:val="0"/>
                <w:szCs w:val="21"/>
                <w:highlight w:val="none"/>
                <w:lang w:val="en-US" w:eastAsia="zh-CN"/>
              </w:rPr>
              <w:t>雨雪、冰冻等恶劣天气来临前，专人巡查，对绿植做好预防措施，排除安全隐患。</w:t>
            </w:r>
          </w:p>
        </w:tc>
      </w:tr>
      <w:tr w14:paraId="366D3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0" w:type="dxa"/>
            <w:vMerge w:val="continue"/>
            <w:noWrap w:val="0"/>
            <w:vAlign w:val="center"/>
          </w:tcPr>
          <w:p w14:paraId="052BB2E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lang w:val="en-US" w:eastAsia="zh-CN"/>
              </w:rPr>
            </w:pPr>
          </w:p>
        </w:tc>
        <w:tc>
          <w:tcPr>
            <w:tcW w:w="3369" w:type="dxa"/>
            <w:vMerge w:val="continue"/>
            <w:noWrap w:val="0"/>
            <w:vAlign w:val="center"/>
          </w:tcPr>
          <w:p w14:paraId="1DC3F81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kern w:val="2"/>
                <w:sz w:val="21"/>
                <w:szCs w:val="21"/>
                <w:highlight w:val="none"/>
                <w:lang w:val="en-US" w:eastAsia="zh-CN" w:bidi="ar-SA"/>
              </w:rPr>
            </w:pPr>
          </w:p>
        </w:tc>
        <w:tc>
          <w:tcPr>
            <w:tcW w:w="9934" w:type="dxa"/>
            <w:noWrap w:val="0"/>
            <w:vAlign w:val="center"/>
          </w:tcPr>
          <w:p w14:paraId="1B4B2E00">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（9）</w:t>
            </w:r>
            <w:r>
              <w:rPr>
                <w:rFonts w:hint="eastAsia" w:ascii="Calibri" w:hAnsi="Calibri" w:eastAsia="宋体" w:cs="Calibri"/>
                <w:b w:val="0"/>
                <w:bCs w:val="0"/>
                <w:color w:val="auto"/>
                <w:kern w:val="0"/>
                <w:szCs w:val="21"/>
                <w:highlight w:val="none"/>
                <w:lang w:val="en-US" w:eastAsia="zh-CN"/>
              </w:rPr>
              <w:t>恶劣天气后，及时清除倒树断枝，疏通道路，尽快恢复原状</w:t>
            </w:r>
            <w:r>
              <w:rPr>
                <w:rFonts w:hint="eastAsia" w:eastAsia="宋体" w:cs="Calibri"/>
                <w:b w:val="0"/>
                <w:bCs w:val="0"/>
                <w:color w:val="auto"/>
                <w:kern w:val="0"/>
                <w:szCs w:val="21"/>
                <w:highlight w:val="none"/>
                <w:lang w:val="en-US" w:eastAsia="zh-CN"/>
              </w:rPr>
              <w:t>。</w:t>
            </w:r>
          </w:p>
        </w:tc>
      </w:tr>
    </w:tbl>
    <w:p w14:paraId="5635CA36">
      <w:pPr>
        <w:pStyle w:val="55"/>
        <w:pageBreakBefore w:val="0"/>
        <w:shd w:val="clear" w:color="auto" w:fill="auto"/>
        <w:kinsoku/>
        <w:wordWrap/>
        <w:overflowPunct/>
        <w:topLinePunct w:val="0"/>
        <w:bidi w:val="0"/>
        <w:spacing w:line="360" w:lineRule="auto"/>
        <w:ind w:firstLine="498" w:firstLineChars="177"/>
        <w:rPr>
          <w:rFonts w:hint="default" w:ascii="宋体" w:hAnsi="宋体" w:eastAsia="宋体" w:cs="宋体"/>
          <w:b/>
          <w:bCs/>
          <w:color w:val="auto"/>
          <w:kern w:val="44"/>
          <w:sz w:val="28"/>
          <w:szCs w:val="28"/>
          <w:highlight w:val="none"/>
          <w:lang w:val="en-US" w:eastAsia="zh-CN" w:bidi="ar-SA"/>
        </w:rPr>
      </w:pPr>
      <w:r>
        <w:rPr>
          <w:rFonts w:hint="eastAsia" w:ascii="宋体" w:hAnsi="宋体" w:eastAsia="宋体" w:cs="宋体"/>
          <w:b/>
          <w:bCs/>
          <w:color w:val="auto"/>
          <w:kern w:val="44"/>
          <w:sz w:val="28"/>
          <w:szCs w:val="28"/>
          <w:highlight w:val="none"/>
          <w:lang w:val="en-US" w:eastAsia="zh-CN" w:bidi="ar-SA"/>
        </w:rPr>
        <w:t>3.6保安服务</w:t>
      </w:r>
    </w:p>
    <w:tbl>
      <w:tblPr>
        <w:tblStyle w:val="32"/>
        <w:tblW w:w="498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971"/>
        <w:gridCol w:w="5785"/>
      </w:tblGrid>
      <w:tr w14:paraId="38E21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noWrap w:val="0"/>
            <w:vAlign w:val="center"/>
          </w:tcPr>
          <w:p w14:paraId="7497BC98">
            <w:pPr>
              <w:pageBreakBefore w:val="0"/>
              <w:widowControl/>
              <w:kinsoku/>
              <w:wordWrap/>
              <w:overflowPunct/>
              <w:topLinePunct w:val="0"/>
              <w:bidi w:val="0"/>
              <w:snapToGrid w:val="0"/>
              <w:spacing w:line="300" w:lineRule="auto"/>
              <w:ind w:left="0"/>
              <w:jc w:val="center"/>
              <w:rPr>
                <w:rFonts w:hint="eastAsia" w:ascii="Calibri" w:hAnsi="Calibri" w:eastAsia="宋体" w:cs="Calibri"/>
                <w:b/>
                <w:bCs/>
                <w:color w:val="auto"/>
                <w:kern w:val="0"/>
                <w:szCs w:val="21"/>
                <w:highlight w:val="none"/>
                <w:lang w:val="en-US" w:eastAsia="zh-CN"/>
              </w:rPr>
            </w:pPr>
            <w:r>
              <w:rPr>
                <w:rFonts w:hint="eastAsia" w:cs="Calibri"/>
                <w:b/>
                <w:bCs/>
                <w:color w:val="auto"/>
                <w:kern w:val="0"/>
                <w:szCs w:val="21"/>
                <w:highlight w:val="none"/>
                <w:lang w:val="en-US" w:eastAsia="zh-CN"/>
              </w:rPr>
              <w:t>序号</w:t>
            </w:r>
          </w:p>
        </w:tc>
        <w:tc>
          <w:tcPr>
            <w:tcW w:w="3367" w:type="dxa"/>
            <w:noWrap w:val="0"/>
            <w:vAlign w:val="center"/>
          </w:tcPr>
          <w:p w14:paraId="27FFF41D">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Cs w:val="21"/>
                <w:highlight w:val="none"/>
              </w:rPr>
            </w:pPr>
            <w:r>
              <w:rPr>
                <w:rFonts w:hint="default" w:ascii="Calibri" w:hAnsi="Calibri" w:eastAsia="宋体" w:cs="Calibri"/>
                <w:b/>
                <w:bCs/>
                <w:color w:val="auto"/>
                <w:kern w:val="0"/>
                <w:szCs w:val="21"/>
                <w:highlight w:val="none"/>
              </w:rPr>
              <w:t>服务内容</w:t>
            </w:r>
          </w:p>
        </w:tc>
        <w:tc>
          <w:tcPr>
            <w:tcW w:w="9886" w:type="dxa"/>
            <w:noWrap w:val="0"/>
            <w:vAlign w:val="center"/>
          </w:tcPr>
          <w:p w14:paraId="70E7C2DF">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Cs w:val="21"/>
                <w:highlight w:val="none"/>
                <w:lang w:val="en-US" w:eastAsia="zh-CN"/>
              </w:rPr>
            </w:pPr>
            <w:r>
              <w:rPr>
                <w:rFonts w:hint="eastAsia" w:cs="Calibri"/>
                <w:b/>
                <w:bCs/>
                <w:color w:val="auto"/>
                <w:kern w:val="0"/>
                <w:szCs w:val="21"/>
                <w:highlight w:val="none"/>
                <w:lang w:val="en-US" w:eastAsia="zh-CN"/>
              </w:rPr>
              <w:t>服务标准</w:t>
            </w:r>
          </w:p>
        </w:tc>
      </w:tr>
      <w:tr w14:paraId="71243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restart"/>
            <w:noWrap w:val="0"/>
            <w:vAlign w:val="center"/>
          </w:tcPr>
          <w:p w14:paraId="59D7DF8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r>
              <w:rPr>
                <w:rFonts w:hint="eastAsia"/>
                <w:highlight w:val="none"/>
                <w:lang w:val="en-US" w:eastAsia="zh-CN"/>
              </w:rPr>
              <w:t>1</w:t>
            </w:r>
          </w:p>
        </w:tc>
        <w:tc>
          <w:tcPr>
            <w:tcW w:w="3367" w:type="dxa"/>
            <w:vMerge w:val="restart"/>
            <w:noWrap w:val="0"/>
            <w:vAlign w:val="center"/>
          </w:tcPr>
          <w:p w14:paraId="1B25A12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r>
              <w:rPr>
                <w:rFonts w:hint="default"/>
                <w:highlight w:val="none"/>
              </w:rPr>
              <w:t>基本要求</w:t>
            </w:r>
          </w:p>
        </w:tc>
        <w:tc>
          <w:tcPr>
            <w:tcW w:w="9886" w:type="dxa"/>
            <w:noWrap w:val="0"/>
            <w:vAlign w:val="center"/>
          </w:tcPr>
          <w:p w14:paraId="5F0BA700">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建立</w:t>
            </w:r>
            <w:r>
              <w:rPr>
                <w:rFonts w:hint="eastAsia" w:cs="Calibri"/>
                <w:b w:val="0"/>
                <w:bCs w:val="0"/>
                <w:color w:val="auto"/>
                <w:kern w:val="0"/>
                <w:szCs w:val="21"/>
                <w:highlight w:val="none"/>
                <w:lang w:val="en-US" w:eastAsia="zh-CN"/>
              </w:rPr>
              <w:t>保安</w:t>
            </w:r>
            <w:r>
              <w:rPr>
                <w:rFonts w:hint="eastAsia" w:ascii="Calibri" w:hAnsi="Calibri" w:eastAsia="宋体" w:cs="Calibri"/>
                <w:b w:val="0"/>
                <w:bCs w:val="0"/>
                <w:color w:val="auto"/>
                <w:kern w:val="0"/>
                <w:szCs w:val="21"/>
                <w:highlight w:val="none"/>
                <w:lang w:val="en-US" w:eastAsia="zh-CN"/>
              </w:rPr>
              <w:t>服务相关制度，并按照执行</w:t>
            </w:r>
            <w:r>
              <w:rPr>
                <w:rFonts w:hint="eastAsia" w:eastAsia="宋体" w:cs="Calibri"/>
                <w:b w:val="0"/>
                <w:bCs w:val="0"/>
                <w:color w:val="auto"/>
                <w:kern w:val="0"/>
                <w:szCs w:val="21"/>
                <w:highlight w:val="none"/>
                <w:lang w:val="en-US" w:eastAsia="zh-CN"/>
              </w:rPr>
              <w:t>。</w:t>
            </w:r>
          </w:p>
        </w:tc>
      </w:tr>
      <w:tr w14:paraId="272DB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14:paraId="1E0167B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67" w:type="dxa"/>
            <w:vMerge w:val="continue"/>
            <w:noWrap w:val="0"/>
            <w:vAlign w:val="center"/>
          </w:tcPr>
          <w:p w14:paraId="33ECD3C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886" w:type="dxa"/>
            <w:noWrap w:val="0"/>
            <w:vAlign w:val="center"/>
          </w:tcPr>
          <w:p w14:paraId="77E6EE79">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（2）</w:t>
            </w:r>
            <w:r>
              <w:rPr>
                <w:rFonts w:hint="eastAsia" w:ascii="Calibri" w:hAnsi="Calibri" w:eastAsia="宋体" w:cs="Calibri"/>
                <w:b w:val="0"/>
                <w:bCs w:val="0"/>
                <w:color w:val="auto"/>
                <w:kern w:val="0"/>
                <w:szCs w:val="21"/>
                <w:highlight w:val="none"/>
                <w:lang w:val="en-US" w:eastAsia="zh-CN"/>
              </w:rPr>
              <w:t>对巡查、值守及异常情况等做好相关记录，填写规范，保存完好</w:t>
            </w:r>
            <w:r>
              <w:rPr>
                <w:rFonts w:hint="eastAsia" w:eastAsia="宋体" w:cs="Calibri"/>
                <w:b w:val="0"/>
                <w:bCs w:val="0"/>
                <w:color w:val="auto"/>
                <w:kern w:val="0"/>
                <w:szCs w:val="21"/>
                <w:highlight w:val="none"/>
                <w:lang w:val="en-US" w:eastAsia="zh-CN"/>
              </w:rPr>
              <w:t>。</w:t>
            </w:r>
          </w:p>
        </w:tc>
      </w:tr>
      <w:tr w14:paraId="65398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14:paraId="4816F2C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p>
        </w:tc>
        <w:tc>
          <w:tcPr>
            <w:tcW w:w="3367" w:type="dxa"/>
            <w:vMerge w:val="continue"/>
            <w:noWrap w:val="0"/>
            <w:vAlign w:val="center"/>
          </w:tcPr>
          <w:p w14:paraId="1D54D64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886" w:type="dxa"/>
            <w:noWrap w:val="0"/>
            <w:vAlign w:val="center"/>
          </w:tcPr>
          <w:p w14:paraId="324D22DF">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（3）</w:t>
            </w:r>
            <w:r>
              <w:rPr>
                <w:rFonts w:hint="eastAsia" w:ascii="Calibri" w:hAnsi="Calibri" w:eastAsia="宋体" w:cs="Calibri"/>
                <w:b w:val="0"/>
                <w:bCs w:val="0"/>
                <w:color w:val="auto"/>
                <w:kern w:val="0"/>
                <w:szCs w:val="21"/>
                <w:highlight w:val="none"/>
                <w:lang w:val="en-US" w:eastAsia="zh-CN"/>
              </w:rPr>
              <w:t>配备</w:t>
            </w:r>
            <w:r>
              <w:rPr>
                <w:rFonts w:hint="eastAsia" w:cs="Calibri"/>
                <w:b w:val="0"/>
                <w:bCs w:val="0"/>
                <w:color w:val="auto"/>
                <w:kern w:val="0"/>
                <w:szCs w:val="21"/>
                <w:highlight w:val="none"/>
                <w:lang w:val="en-US" w:eastAsia="zh-CN"/>
              </w:rPr>
              <w:t>保安</w:t>
            </w:r>
            <w:r>
              <w:rPr>
                <w:rFonts w:hint="eastAsia" w:ascii="Calibri" w:hAnsi="Calibri" w:eastAsia="宋体" w:cs="Calibri"/>
                <w:b w:val="0"/>
                <w:bCs w:val="0"/>
                <w:color w:val="auto"/>
                <w:kern w:val="0"/>
                <w:szCs w:val="21"/>
                <w:highlight w:val="none"/>
                <w:lang w:val="en-US" w:eastAsia="zh-CN"/>
              </w:rPr>
              <w:t>服务必要的器材</w:t>
            </w:r>
            <w:r>
              <w:rPr>
                <w:rFonts w:hint="eastAsia" w:eastAsia="宋体" w:cs="Calibri"/>
                <w:b w:val="0"/>
                <w:bCs w:val="0"/>
                <w:color w:val="auto"/>
                <w:kern w:val="0"/>
                <w:szCs w:val="21"/>
                <w:highlight w:val="none"/>
                <w:lang w:val="en-US" w:eastAsia="zh-CN"/>
              </w:rPr>
              <w:t>。</w:t>
            </w:r>
          </w:p>
        </w:tc>
      </w:tr>
      <w:tr w14:paraId="0E7EB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restart"/>
            <w:noWrap w:val="0"/>
            <w:vAlign w:val="center"/>
          </w:tcPr>
          <w:p w14:paraId="577D1B5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r>
              <w:rPr>
                <w:rFonts w:hint="eastAsia"/>
                <w:highlight w:val="none"/>
                <w:lang w:val="en-US" w:eastAsia="zh-CN"/>
              </w:rPr>
              <w:t>2</w:t>
            </w:r>
          </w:p>
        </w:tc>
        <w:tc>
          <w:tcPr>
            <w:tcW w:w="3367" w:type="dxa"/>
            <w:vMerge w:val="restart"/>
            <w:noWrap w:val="0"/>
            <w:vAlign w:val="center"/>
          </w:tcPr>
          <w:p w14:paraId="442816F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eastAsia="宋体"/>
                <w:highlight w:val="none"/>
                <w:lang w:eastAsia="zh-CN"/>
              </w:rPr>
            </w:pPr>
            <w:r>
              <w:rPr>
                <w:rFonts w:hint="default"/>
                <w:highlight w:val="none"/>
              </w:rPr>
              <w:t>出入管理</w:t>
            </w:r>
          </w:p>
        </w:tc>
        <w:tc>
          <w:tcPr>
            <w:tcW w:w="9886" w:type="dxa"/>
            <w:noWrap w:val="0"/>
            <w:vAlign w:val="center"/>
          </w:tcPr>
          <w:p w14:paraId="6DA77E80">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办公楼</w:t>
            </w:r>
            <w:r>
              <w:rPr>
                <w:rFonts w:hint="eastAsia" w:eastAsia="宋体"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区</w:t>
            </w:r>
            <w:r>
              <w:rPr>
                <w:rFonts w:hint="eastAsia" w:eastAsia="宋体"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主出入口应</w:t>
            </w:r>
            <w:r>
              <w:rPr>
                <w:rFonts w:hint="eastAsia" w:cs="Calibri"/>
                <w:b w:val="0"/>
                <w:bCs w:val="0"/>
                <w:color w:val="auto"/>
                <w:kern w:val="0"/>
                <w:szCs w:val="21"/>
                <w:highlight w:val="none"/>
                <w:lang w:val="en-US" w:eastAsia="zh-CN"/>
              </w:rPr>
              <w:t>当</w:t>
            </w:r>
            <w:r>
              <w:rPr>
                <w:rFonts w:hint="eastAsia" w:ascii="Calibri" w:hAnsi="Calibri" w:eastAsia="宋体" w:cs="Calibri"/>
                <w:b w:val="0"/>
                <w:bCs w:val="0"/>
                <w:color w:val="auto"/>
                <w:kern w:val="0"/>
                <w:szCs w:val="21"/>
                <w:highlight w:val="none"/>
                <w:lang w:val="en-US" w:eastAsia="zh-CN"/>
              </w:rPr>
              <w:t xml:space="preserve">实行 </w:t>
            </w:r>
            <w:r>
              <w:rPr>
                <w:rFonts w:hint="eastAsia" w:cs="Calibri"/>
                <w:b w:val="0"/>
                <w:bCs w:val="0"/>
                <w:color w:val="auto"/>
                <w:kern w:val="0"/>
                <w:szCs w:val="21"/>
                <w:highlight w:val="none"/>
                <w:lang w:val="en-US" w:eastAsia="zh-CN"/>
              </w:rPr>
              <w:t>24小时</w:t>
            </w:r>
            <w:r>
              <w:rPr>
                <w:rFonts w:hint="eastAsia" w:ascii="Calibri" w:hAnsi="Calibri" w:eastAsia="宋体" w:cs="Calibri"/>
                <w:b w:val="0"/>
                <w:bCs w:val="0"/>
                <w:color w:val="auto"/>
                <w:kern w:val="0"/>
                <w:szCs w:val="21"/>
                <w:highlight w:val="none"/>
                <w:lang w:val="en-US" w:eastAsia="zh-CN"/>
              </w:rPr>
              <w:t>值班制</w:t>
            </w:r>
            <w:r>
              <w:rPr>
                <w:rFonts w:hint="eastAsia" w:cs="Calibri"/>
                <w:b w:val="0"/>
                <w:bCs w:val="0"/>
                <w:color w:val="auto"/>
                <w:kern w:val="0"/>
                <w:szCs w:val="21"/>
                <w:highlight w:val="none"/>
                <w:lang w:val="en-US" w:eastAsia="zh-CN"/>
              </w:rPr>
              <w:t>。</w:t>
            </w:r>
          </w:p>
        </w:tc>
      </w:tr>
      <w:tr w14:paraId="7884D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14:paraId="28055AB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67" w:type="dxa"/>
            <w:vMerge w:val="continue"/>
            <w:noWrap w:val="0"/>
            <w:vAlign w:val="center"/>
          </w:tcPr>
          <w:p w14:paraId="177FBDD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886" w:type="dxa"/>
            <w:noWrap w:val="0"/>
            <w:vAlign w:val="center"/>
          </w:tcPr>
          <w:p w14:paraId="083BAD94">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（2）设置门岗。</w:t>
            </w:r>
          </w:p>
        </w:tc>
      </w:tr>
      <w:tr w14:paraId="6C1A9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14:paraId="448184E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67" w:type="dxa"/>
            <w:vMerge w:val="continue"/>
            <w:noWrap w:val="0"/>
            <w:vAlign w:val="center"/>
          </w:tcPr>
          <w:p w14:paraId="620C0F7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886" w:type="dxa"/>
            <w:noWrap w:val="0"/>
            <w:vAlign w:val="center"/>
          </w:tcPr>
          <w:p w14:paraId="43B1BCA9">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（3）</w:t>
            </w:r>
            <w:r>
              <w:rPr>
                <w:rFonts w:hint="eastAsia" w:ascii="Calibri" w:hAnsi="Calibri" w:eastAsia="宋体" w:cs="Calibri"/>
                <w:b w:val="0"/>
                <w:bCs w:val="0"/>
                <w:color w:val="auto"/>
                <w:kern w:val="0"/>
                <w:szCs w:val="21"/>
                <w:highlight w:val="none"/>
                <w:lang w:val="en-US" w:eastAsia="zh-CN"/>
              </w:rPr>
              <w:t>在出入口对外来人员及其携带大件物品、外来车辆进行询问和记录，并与相关部门取得联系，同意后方可进入</w:t>
            </w:r>
            <w:r>
              <w:rPr>
                <w:rFonts w:hint="eastAsia" w:eastAsia="宋体" w:cs="Calibri"/>
                <w:b w:val="0"/>
                <w:bCs w:val="0"/>
                <w:color w:val="auto"/>
                <w:kern w:val="0"/>
                <w:szCs w:val="21"/>
                <w:highlight w:val="none"/>
                <w:lang w:val="en-US" w:eastAsia="zh-CN"/>
              </w:rPr>
              <w:t>。</w:t>
            </w:r>
          </w:p>
        </w:tc>
      </w:tr>
      <w:tr w14:paraId="12B16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14:paraId="3046506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67" w:type="dxa"/>
            <w:vMerge w:val="continue"/>
            <w:noWrap w:val="0"/>
            <w:vAlign w:val="center"/>
          </w:tcPr>
          <w:p w14:paraId="3026D40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886" w:type="dxa"/>
            <w:noWrap w:val="0"/>
            <w:vAlign w:val="center"/>
          </w:tcPr>
          <w:p w14:paraId="7007438F">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（4）</w:t>
            </w:r>
            <w:r>
              <w:rPr>
                <w:rFonts w:hint="eastAsia" w:ascii="Calibri" w:hAnsi="Calibri" w:eastAsia="宋体" w:cs="Calibri"/>
                <w:b w:val="0"/>
                <w:bCs w:val="0"/>
                <w:color w:val="auto"/>
                <w:kern w:val="0"/>
                <w:szCs w:val="21"/>
                <w:highlight w:val="none"/>
                <w:lang w:val="en-US" w:eastAsia="zh-CN"/>
              </w:rPr>
              <w:t>大件物品搬出有相关部门开具的证明和清单，经核实后放行</w:t>
            </w:r>
            <w:r>
              <w:rPr>
                <w:rFonts w:hint="eastAsia" w:eastAsia="宋体" w:cs="Calibri"/>
                <w:b w:val="0"/>
                <w:bCs w:val="0"/>
                <w:color w:val="auto"/>
                <w:kern w:val="0"/>
                <w:szCs w:val="21"/>
                <w:highlight w:val="none"/>
                <w:lang w:val="en-US" w:eastAsia="zh-CN"/>
              </w:rPr>
              <w:t>。</w:t>
            </w:r>
          </w:p>
        </w:tc>
      </w:tr>
      <w:tr w14:paraId="7D373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255" w:type="dxa"/>
            <w:vMerge w:val="continue"/>
            <w:noWrap w:val="0"/>
            <w:vAlign w:val="center"/>
          </w:tcPr>
          <w:p w14:paraId="0D87430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67" w:type="dxa"/>
            <w:vMerge w:val="continue"/>
            <w:noWrap w:val="0"/>
            <w:vAlign w:val="center"/>
          </w:tcPr>
          <w:p w14:paraId="23BBCCE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886" w:type="dxa"/>
            <w:noWrap w:val="0"/>
            <w:vAlign w:val="center"/>
          </w:tcPr>
          <w:p w14:paraId="4CCC64C9">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（5）</w:t>
            </w:r>
            <w:r>
              <w:rPr>
                <w:rFonts w:hint="eastAsia" w:ascii="Calibri" w:hAnsi="Calibri" w:eastAsia="宋体" w:cs="Calibri"/>
                <w:b w:val="0"/>
                <w:bCs w:val="0"/>
                <w:color w:val="auto"/>
                <w:kern w:val="0"/>
                <w:szCs w:val="21"/>
                <w:highlight w:val="none"/>
                <w:lang w:val="en-US" w:eastAsia="zh-CN"/>
              </w:rPr>
              <w:t>排查可疑人员，对于不出示证件、不按规定登记、不听劝阻而强行闯入者，及时劝离，必要时通知公安机关进行处理</w:t>
            </w:r>
            <w:r>
              <w:rPr>
                <w:rFonts w:hint="eastAsia" w:eastAsia="宋体" w:cs="Calibri"/>
                <w:b w:val="0"/>
                <w:bCs w:val="0"/>
                <w:color w:val="auto"/>
                <w:kern w:val="0"/>
                <w:szCs w:val="21"/>
                <w:highlight w:val="none"/>
                <w:lang w:val="en-US" w:eastAsia="zh-CN"/>
              </w:rPr>
              <w:t>。</w:t>
            </w:r>
          </w:p>
        </w:tc>
      </w:tr>
      <w:tr w14:paraId="5B875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14:paraId="40426EF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67" w:type="dxa"/>
            <w:vMerge w:val="continue"/>
            <w:noWrap w:val="0"/>
            <w:vAlign w:val="center"/>
          </w:tcPr>
          <w:p w14:paraId="7901786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886" w:type="dxa"/>
            <w:noWrap w:val="0"/>
            <w:vAlign w:val="center"/>
          </w:tcPr>
          <w:p w14:paraId="3ADE4FA1">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（6）</w:t>
            </w:r>
            <w:r>
              <w:rPr>
                <w:rFonts w:hint="eastAsia" w:ascii="Calibri" w:hAnsi="Calibri" w:eastAsia="宋体" w:cs="Calibri"/>
                <w:b w:val="0"/>
                <w:bCs w:val="0"/>
                <w:color w:val="auto"/>
                <w:kern w:val="0"/>
                <w:szCs w:val="21"/>
                <w:highlight w:val="none"/>
                <w:lang w:val="en-US" w:eastAsia="zh-CN"/>
              </w:rPr>
              <w:t>配合相关部门积极疏导上访人员，有效疏导如出入口人群集聚、车辆拥堵、货物堵塞道路等情况</w:t>
            </w:r>
            <w:r>
              <w:rPr>
                <w:rFonts w:hint="eastAsia" w:eastAsia="宋体" w:cs="Calibri"/>
                <w:b w:val="0"/>
                <w:bCs w:val="0"/>
                <w:color w:val="auto"/>
                <w:kern w:val="0"/>
                <w:szCs w:val="21"/>
                <w:highlight w:val="none"/>
                <w:lang w:val="en-US" w:eastAsia="zh-CN"/>
              </w:rPr>
              <w:t>。</w:t>
            </w:r>
          </w:p>
        </w:tc>
      </w:tr>
      <w:tr w14:paraId="3C2C0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14:paraId="2CE6B72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p>
        </w:tc>
        <w:tc>
          <w:tcPr>
            <w:tcW w:w="3367" w:type="dxa"/>
            <w:vMerge w:val="continue"/>
            <w:noWrap w:val="0"/>
            <w:vAlign w:val="center"/>
          </w:tcPr>
          <w:p w14:paraId="1CE1FEF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886" w:type="dxa"/>
            <w:noWrap w:val="0"/>
            <w:vAlign w:val="center"/>
          </w:tcPr>
          <w:p w14:paraId="639DE441">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（7）</w:t>
            </w:r>
            <w:r>
              <w:rPr>
                <w:rFonts w:hint="eastAsia" w:ascii="Calibri" w:hAnsi="Calibri" w:eastAsia="宋体" w:cs="Calibri"/>
                <w:b w:val="0"/>
                <w:bCs w:val="0"/>
                <w:color w:val="auto"/>
                <w:kern w:val="0"/>
                <w:szCs w:val="21"/>
                <w:highlight w:val="none"/>
                <w:lang w:val="en-US" w:eastAsia="zh-CN"/>
              </w:rPr>
              <w:t>根据物业服务合同约定，对物品进出实行安检、登记、电话确认等分类管理措施。大宗物品进出会同接收单位收件人审检，严防违禁品</w:t>
            </w:r>
            <w:r>
              <w:rPr>
                <w:rFonts w:hint="eastAsia" w:eastAsia="宋体"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包括毒品、军火弹药、管制刀具、易燃易爆品等</w:t>
            </w:r>
            <w:r>
              <w:rPr>
                <w:rFonts w:hint="eastAsia" w:eastAsia="宋体"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、限带品</w:t>
            </w:r>
            <w:r>
              <w:rPr>
                <w:rFonts w:hint="eastAsia" w:eastAsia="宋体"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包括动物、任何未经授权的专业摄影设备、无人机等</w:t>
            </w:r>
            <w:r>
              <w:rPr>
                <w:rFonts w:hint="eastAsia" w:eastAsia="宋体"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进入</w:t>
            </w:r>
            <w:r>
              <w:rPr>
                <w:rFonts w:hint="eastAsia" w:eastAsia="宋体" w:cs="Calibri"/>
                <w:b w:val="0"/>
                <w:bCs w:val="0"/>
                <w:color w:val="auto"/>
                <w:kern w:val="0"/>
                <w:szCs w:val="21"/>
                <w:highlight w:val="none"/>
                <w:lang w:val="en-US" w:eastAsia="zh-CN"/>
              </w:rPr>
              <w:t>。</w:t>
            </w:r>
          </w:p>
        </w:tc>
      </w:tr>
      <w:tr w14:paraId="1F8BE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14:paraId="5CAF71B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p>
        </w:tc>
        <w:tc>
          <w:tcPr>
            <w:tcW w:w="3367" w:type="dxa"/>
            <w:vMerge w:val="continue"/>
            <w:noWrap w:val="0"/>
            <w:vAlign w:val="center"/>
          </w:tcPr>
          <w:p w14:paraId="2EE96BA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886" w:type="dxa"/>
            <w:noWrap w:val="0"/>
            <w:vAlign w:val="center"/>
          </w:tcPr>
          <w:p w14:paraId="743E2C5C">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（8）</w:t>
            </w:r>
            <w:r>
              <w:rPr>
                <w:rFonts w:hint="default" w:ascii="Calibri" w:hAnsi="Calibri" w:eastAsia="宋体" w:cs="Calibri"/>
                <w:b w:val="0"/>
                <w:bCs w:val="0"/>
                <w:color w:val="auto"/>
                <w:kern w:val="0"/>
                <w:szCs w:val="21"/>
                <w:highlight w:val="none"/>
                <w:lang w:val="en-US" w:eastAsia="zh-CN"/>
              </w:rPr>
              <w:t>提供现场接待服务。</w:t>
            </w:r>
          </w:p>
          <w:p w14:paraId="171F7C8F">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color w:val="auto"/>
                <w:szCs w:val="21"/>
                <w:highlight w:val="none"/>
                <w:u w:val="none"/>
                <w:lang w:eastAsia="zh-CN"/>
              </w:rPr>
            </w:pPr>
            <w:r>
              <w:rPr>
                <w:rFonts w:hint="default" w:ascii="Calibri" w:hAnsi="Calibri" w:eastAsia="宋体" w:cs="Calibri"/>
                <w:color w:val="auto"/>
                <w:szCs w:val="21"/>
                <w:highlight w:val="none"/>
                <w:u w:val="none"/>
                <w:lang w:val="en-US" w:eastAsia="zh-CN"/>
              </w:rPr>
              <w:t>①</w:t>
            </w:r>
            <w:r>
              <w:rPr>
                <w:rFonts w:hint="default" w:ascii="Calibri" w:hAnsi="Calibri" w:eastAsia="宋体" w:cs="Calibri"/>
                <w:color w:val="auto"/>
                <w:szCs w:val="21"/>
                <w:highlight w:val="none"/>
                <w:u w:val="none"/>
                <w:lang w:eastAsia="zh-CN"/>
              </w:rPr>
              <w:t>做好来访人员、车辆进出证件登记，及时通报</w:t>
            </w:r>
            <w:r>
              <w:rPr>
                <w:rFonts w:hint="eastAsia" w:cs="Calibri"/>
                <w:color w:val="auto"/>
                <w:szCs w:val="21"/>
                <w:highlight w:val="none"/>
                <w:u w:val="none"/>
                <w:lang w:eastAsia="zh-CN"/>
              </w:rPr>
              <w:t>。</w:t>
            </w:r>
          </w:p>
          <w:p w14:paraId="40B59EAD">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color w:val="auto"/>
                <w:szCs w:val="21"/>
                <w:highlight w:val="none"/>
                <w:u w:val="none"/>
                <w:lang w:eastAsia="zh-CN"/>
              </w:rPr>
            </w:pPr>
            <w:r>
              <w:rPr>
                <w:rFonts w:hint="default" w:ascii="Calibri" w:hAnsi="Calibri" w:eastAsia="宋体" w:cs="Calibri"/>
                <w:color w:val="auto"/>
                <w:szCs w:val="21"/>
                <w:highlight w:val="none"/>
                <w:u w:val="none"/>
                <w:lang w:val="en-US" w:eastAsia="zh-CN"/>
              </w:rPr>
              <w:t>②</w:t>
            </w:r>
            <w:r>
              <w:rPr>
                <w:rFonts w:hint="default" w:ascii="Calibri" w:hAnsi="Calibri" w:eastAsia="宋体" w:cs="Calibri"/>
                <w:color w:val="auto"/>
                <w:szCs w:val="21"/>
                <w:highlight w:val="none"/>
                <w:u w:val="none"/>
                <w:lang w:eastAsia="zh-CN"/>
              </w:rPr>
              <w:t>严禁无关人员、可疑人员和危险物品进入办公楼（区）内。</w:t>
            </w:r>
          </w:p>
          <w:p w14:paraId="713CCCB5">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color w:val="auto"/>
                <w:highlight w:val="none"/>
                <w:u w:val="none"/>
              </w:rPr>
            </w:pPr>
            <w:r>
              <w:rPr>
                <w:rFonts w:hint="default"/>
                <w:color w:val="auto"/>
                <w:highlight w:val="none"/>
                <w:u w:val="none"/>
              </w:rPr>
              <w:t>③物品摆放整齐有序、分类放置。</w:t>
            </w:r>
          </w:p>
          <w:p w14:paraId="6ADAB7B9">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color w:val="auto"/>
                <w:highlight w:val="none"/>
                <w:u w:val="none"/>
              </w:rPr>
            </w:pPr>
            <w:r>
              <w:rPr>
                <w:rFonts w:hint="default"/>
                <w:color w:val="auto"/>
                <w:highlight w:val="none"/>
                <w:u w:val="none"/>
              </w:rPr>
              <w:t>④现场办理等待时间不超过5分钟，等待较长时间应</w:t>
            </w:r>
            <w:r>
              <w:rPr>
                <w:rFonts w:hint="eastAsia"/>
                <w:color w:val="auto"/>
                <w:highlight w:val="none"/>
                <w:u w:val="none"/>
                <w:lang w:eastAsia="zh-CN"/>
              </w:rPr>
              <w:t>当</w:t>
            </w:r>
            <w:r>
              <w:rPr>
                <w:rFonts w:hint="default"/>
                <w:color w:val="auto"/>
                <w:highlight w:val="none"/>
                <w:u w:val="none"/>
              </w:rPr>
              <w:t>及时沟通。</w:t>
            </w:r>
          </w:p>
          <w:p w14:paraId="5EDA585B">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color w:val="auto"/>
                <w:highlight w:val="none"/>
                <w:u w:val="none"/>
              </w:rPr>
            </w:pPr>
            <w:r>
              <w:rPr>
                <w:rFonts w:hint="default"/>
                <w:color w:val="auto"/>
                <w:highlight w:val="none"/>
                <w:u w:val="none"/>
              </w:rPr>
              <w:t>⑤对来访人员咨询、建议、求助等事项，及时处理或答复，处理和答复率100%。</w:t>
            </w:r>
          </w:p>
          <w:p w14:paraId="79BEB2D6">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color w:val="auto"/>
                <w:highlight w:val="none"/>
                <w:u w:val="none"/>
              </w:rPr>
            </w:pPr>
            <w:r>
              <w:rPr>
                <w:rFonts w:hint="default"/>
                <w:color w:val="auto"/>
                <w:highlight w:val="none"/>
                <w:u w:val="none"/>
              </w:rPr>
              <w:t>⑥接待服务工作时间应</w:t>
            </w:r>
            <w:r>
              <w:rPr>
                <w:rFonts w:hint="eastAsia"/>
                <w:color w:val="auto"/>
                <w:highlight w:val="none"/>
                <w:u w:val="none"/>
                <w:lang w:eastAsia="zh-CN"/>
              </w:rPr>
              <w:t>当</w:t>
            </w:r>
            <w:r>
              <w:rPr>
                <w:rFonts w:hint="default"/>
                <w:color w:val="auto"/>
                <w:highlight w:val="none"/>
                <w:u w:val="none"/>
              </w:rPr>
              <w:t>覆盖采购人工作时间（上班时间为—____-____）。</w:t>
            </w:r>
          </w:p>
          <w:p w14:paraId="19666FBD">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color w:val="auto"/>
                <w:highlight w:val="none"/>
                <w:u w:val="none"/>
              </w:rPr>
            </w:pPr>
            <w:r>
              <w:rPr>
                <w:rFonts w:hint="default"/>
                <w:color w:val="auto"/>
                <w:highlight w:val="none"/>
                <w:u w:val="none"/>
              </w:rPr>
              <w:t>⑦与被访人进行核实确认；告知被访人的办公室门牌号；告知访客注意事项（</w:t>
            </w:r>
            <w:r>
              <w:rPr>
                <w:rFonts w:hint="eastAsia"/>
                <w:color w:val="auto"/>
                <w:highlight w:val="none"/>
                <w:u w:val="none"/>
                <w:lang w:val="en-US" w:eastAsia="zh-CN"/>
              </w:rPr>
              <w:t>根据实际需要</w:t>
            </w:r>
            <w:r>
              <w:rPr>
                <w:rFonts w:hint="default"/>
                <w:color w:val="auto"/>
                <w:highlight w:val="none"/>
                <w:u w:val="none"/>
              </w:rPr>
              <w:t>填写</w:t>
            </w:r>
            <w:r>
              <w:rPr>
                <w:rFonts w:hint="eastAsia"/>
                <w:color w:val="auto"/>
                <w:highlight w:val="none"/>
                <w:u w:val="none"/>
                <w:lang w:val="en-US" w:eastAsia="zh-CN"/>
              </w:rPr>
              <w:t>注意事项</w:t>
            </w:r>
            <w:r>
              <w:rPr>
                <w:rFonts w:hint="default"/>
                <w:color w:val="auto"/>
                <w:highlight w:val="none"/>
                <w:u w:val="none"/>
              </w:rPr>
              <w:t>）。</w:t>
            </w:r>
          </w:p>
        </w:tc>
      </w:tr>
      <w:tr w14:paraId="159B3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restart"/>
            <w:noWrap w:val="0"/>
            <w:vAlign w:val="center"/>
          </w:tcPr>
          <w:p w14:paraId="2480801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r>
              <w:rPr>
                <w:rFonts w:hint="eastAsia"/>
                <w:highlight w:val="none"/>
                <w:lang w:val="en-US" w:eastAsia="zh-CN"/>
              </w:rPr>
              <w:t>3</w:t>
            </w:r>
          </w:p>
        </w:tc>
        <w:tc>
          <w:tcPr>
            <w:tcW w:w="3367" w:type="dxa"/>
            <w:vMerge w:val="restart"/>
            <w:noWrap w:val="0"/>
            <w:vAlign w:val="center"/>
          </w:tcPr>
          <w:p w14:paraId="5B20562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r>
              <w:rPr>
                <w:rFonts w:hint="default" w:eastAsia="宋体"/>
                <w:highlight w:val="none"/>
                <w:lang w:val="en-US" w:eastAsia="zh-CN"/>
              </w:rPr>
              <w:t>值班</w:t>
            </w:r>
            <w:r>
              <w:rPr>
                <w:rFonts w:hint="default"/>
                <w:highlight w:val="none"/>
              </w:rPr>
              <w:t>巡查</w:t>
            </w:r>
          </w:p>
        </w:tc>
        <w:tc>
          <w:tcPr>
            <w:tcW w:w="9886" w:type="dxa"/>
            <w:noWrap w:val="0"/>
            <w:vAlign w:val="center"/>
          </w:tcPr>
          <w:p w14:paraId="66C1740F">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建立</w:t>
            </w:r>
            <w:r>
              <w:rPr>
                <w:rFonts w:hint="eastAsia" w:cs="Calibri"/>
                <w:b w:val="0"/>
                <w:bCs w:val="0"/>
                <w:color w:val="auto"/>
                <w:kern w:val="0"/>
                <w:szCs w:val="21"/>
                <w:highlight w:val="none"/>
                <w:lang w:val="en-US" w:eastAsia="zh-CN"/>
              </w:rPr>
              <w:t>24小时</w:t>
            </w:r>
            <w:r>
              <w:rPr>
                <w:rFonts w:hint="eastAsia" w:ascii="Calibri" w:hAnsi="Calibri" w:eastAsia="宋体" w:cs="Calibri"/>
                <w:b w:val="0"/>
                <w:bCs w:val="0"/>
                <w:color w:val="auto"/>
                <w:kern w:val="0"/>
                <w:szCs w:val="21"/>
                <w:highlight w:val="none"/>
                <w:lang w:val="en-US" w:eastAsia="zh-CN"/>
              </w:rPr>
              <w:t>值班巡查制度</w:t>
            </w:r>
            <w:r>
              <w:rPr>
                <w:rFonts w:hint="eastAsia" w:cs="Calibri"/>
                <w:b w:val="0"/>
                <w:bCs w:val="0"/>
                <w:color w:val="auto"/>
                <w:kern w:val="0"/>
                <w:szCs w:val="21"/>
                <w:highlight w:val="none"/>
                <w:lang w:val="en-US" w:eastAsia="zh-CN"/>
              </w:rPr>
              <w:t>。</w:t>
            </w:r>
          </w:p>
        </w:tc>
      </w:tr>
      <w:tr w14:paraId="5DBCF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14:paraId="53063ED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67" w:type="dxa"/>
            <w:vMerge w:val="continue"/>
            <w:noWrap w:val="0"/>
            <w:vAlign w:val="center"/>
          </w:tcPr>
          <w:p w14:paraId="2543CDA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highlight w:val="none"/>
                <w:lang w:val="en-US" w:eastAsia="zh-CN"/>
              </w:rPr>
            </w:pPr>
          </w:p>
        </w:tc>
        <w:tc>
          <w:tcPr>
            <w:tcW w:w="9886" w:type="dxa"/>
            <w:noWrap w:val="0"/>
            <w:vAlign w:val="center"/>
          </w:tcPr>
          <w:p w14:paraId="5B837D9D">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（2）</w:t>
            </w:r>
            <w:r>
              <w:rPr>
                <w:rFonts w:hint="eastAsia" w:ascii="Calibri" w:hAnsi="Calibri" w:eastAsia="宋体" w:cs="Calibri"/>
                <w:b w:val="0"/>
                <w:bCs w:val="0"/>
                <w:color w:val="auto"/>
                <w:kern w:val="0"/>
                <w:szCs w:val="21"/>
                <w:highlight w:val="none"/>
                <w:lang w:val="en-US" w:eastAsia="zh-CN"/>
              </w:rPr>
              <w:t>制定巡查路线，按照指定时间和路线执行，加强重点区域、重点部位及装修区域的巡查</w:t>
            </w:r>
            <w:r>
              <w:rPr>
                <w:rFonts w:hint="eastAsia" w:cs="Calibri"/>
                <w:b w:val="0"/>
                <w:bCs w:val="0"/>
                <w:color w:val="auto"/>
                <w:kern w:val="0"/>
                <w:szCs w:val="21"/>
                <w:highlight w:val="none"/>
                <w:lang w:val="en-US" w:eastAsia="zh-CN"/>
              </w:rPr>
              <w:t>。</w:t>
            </w:r>
          </w:p>
        </w:tc>
      </w:tr>
      <w:tr w14:paraId="0DBF1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14:paraId="5223487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67" w:type="dxa"/>
            <w:vMerge w:val="continue"/>
            <w:noWrap w:val="0"/>
            <w:vAlign w:val="center"/>
          </w:tcPr>
          <w:p w14:paraId="0674AD0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highlight w:val="none"/>
                <w:lang w:val="en-US" w:eastAsia="zh-CN"/>
              </w:rPr>
            </w:pPr>
          </w:p>
        </w:tc>
        <w:tc>
          <w:tcPr>
            <w:tcW w:w="9886" w:type="dxa"/>
            <w:noWrap w:val="0"/>
            <w:vAlign w:val="center"/>
          </w:tcPr>
          <w:p w14:paraId="75B35DE4">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（3）</w:t>
            </w:r>
            <w:r>
              <w:rPr>
                <w:rFonts w:hint="eastAsia" w:ascii="Calibri" w:hAnsi="Calibri" w:eastAsia="宋体" w:cs="Calibri"/>
                <w:b w:val="0"/>
                <w:bCs w:val="0"/>
                <w:color w:val="auto"/>
                <w:kern w:val="0"/>
                <w:szCs w:val="21"/>
                <w:highlight w:val="none"/>
                <w:lang w:val="en-US" w:eastAsia="zh-CN"/>
              </w:rPr>
              <w:t>巡查期间保持通信设施设备畅通，遇到异常情况立即上报并在现场采取相应措施</w:t>
            </w:r>
            <w:r>
              <w:rPr>
                <w:rFonts w:hint="eastAsia" w:cs="Calibri"/>
                <w:b w:val="0"/>
                <w:bCs w:val="0"/>
                <w:color w:val="auto"/>
                <w:kern w:val="0"/>
                <w:szCs w:val="21"/>
                <w:highlight w:val="none"/>
                <w:lang w:val="en-US" w:eastAsia="zh-CN"/>
              </w:rPr>
              <w:t>。</w:t>
            </w:r>
          </w:p>
        </w:tc>
      </w:tr>
      <w:tr w14:paraId="5ACF7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14:paraId="048E0A7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p>
        </w:tc>
        <w:tc>
          <w:tcPr>
            <w:tcW w:w="3367" w:type="dxa"/>
            <w:vMerge w:val="continue"/>
            <w:noWrap w:val="0"/>
            <w:vAlign w:val="center"/>
          </w:tcPr>
          <w:p w14:paraId="6CE593C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886" w:type="dxa"/>
            <w:noWrap w:val="0"/>
            <w:vAlign w:val="center"/>
          </w:tcPr>
          <w:p w14:paraId="620103CF">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（4）</w:t>
            </w:r>
            <w:r>
              <w:rPr>
                <w:rFonts w:hint="eastAsia" w:ascii="Calibri" w:hAnsi="Calibri" w:eastAsia="宋体" w:cs="Calibri"/>
                <w:b w:val="0"/>
                <w:bCs w:val="0"/>
                <w:color w:val="auto"/>
                <w:kern w:val="0"/>
                <w:szCs w:val="21"/>
                <w:highlight w:val="none"/>
                <w:lang w:val="en-US" w:eastAsia="zh-CN"/>
              </w:rPr>
              <w:t>收到监控室指令后，巡查人员及时到达指定地点并迅速采取相应措施</w:t>
            </w:r>
            <w:r>
              <w:rPr>
                <w:rFonts w:hint="eastAsia" w:cs="Calibri"/>
                <w:b w:val="0"/>
                <w:bCs w:val="0"/>
                <w:color w:val="auto"/>
                <w:kern w:val="0"/>
                <w:szCs w:val="21"/>
                <w:highlight w:val="none"/>
                <w:lang w:val="en-US" w:eastAsia="zh-CN"/>
              </w:rPr>
              <w:t>。</w:t>
            </w:r>
          </w:p>
        </w:tc>
      </w:tr>
      <w:tr w14:paraId="1AD36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restart"/>
            <w:noWrap w:val="0"/>
            <w:vAlign w:val="center"/>
          </w:tcPr>
          <w:p w14:paraId="14408F1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r>
              <w:rPr>
                <w:rFonts w:hint="eastAsia"/>
                <w:highlight w:val="none"/>
                <w:lang w:val="en-US" w:eastAsia="zh-CN"/>
              </w:rPr>
              <w:t>4</w:t>
            </w:r>
          </w:p>
        </w:tc>
        <w:tc>
          <w:tcPr>
            <w:tcW w:w="3367" w:type="dxa"/>
            <w:vMerge w:val="restart"/>
            <w:noWrap w:val="0"/>
            <w:vAlign w:val="center"/>
          </w:tcPr>
          <w:p w14:paraId="29DB762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r>
              <w:rPr>
                <w:rFonts w:hint="default"/>
                <w:highlight w:val="none"/>
              </w:rPr>
              <w:t>监控</w:t>
            </w:r>
            <w:r>
              <w:rPr>
                <w:rFonts w:hint="default" w:eastAsia="宋体"/>
                <w:highlight w:val="none"/>
                <w:lang w:val="en-US" w:eastAsia="zh-CN"/>
              </w:rPr>
              <w:t>值守</w:t>
            </w:r>
          </w:p>
        </w:tc>
        <w:tc>
          <w:tcPr>
            <w:tcW w:w="9886" w:type="dxa"/>
            <w:noWrap w:val="0"/>
            <w:vAlign w:val="center"/>
          </w:tcPr>
          <w:p w14:paraId="498E6A3E">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监控室环境符合系统设备运行要求，定期进行检查和检测，确保系统功能正常</w:t>
            </w:r>
            <w:r>
              <w:rPr>
                <w:rFonts w:hint="eastAsia" w:cs="Calibri"/>
                <w:b w:val="0"/>
                <w:bCs w:val="0"/>
                <w:color w:val="auto"/>
                <w:kern w:val="0"/>
                <w:szCs w:val="21"/>
                <w:highlight w:val="none"/>
                <w:lang w:val="en-US" w:eastAsia="zh-CN"/>
              </w:rPr>
              <w:t>。</w:t>
            </w:r>
          </w:p>
        </w:tc>
      </w:tr>
      <w:tr w14:paraId="66A83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14:paraId="19D51A9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67" w:type="dxa"/>
            <w:vMerge w:val="continue"/>
            <w:noWrap w:val="0"/>
            <w:vAlign w:val="center"/>
          </w:tcPr>
          <w:p w14:paraId="5D905BE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886" w:type="dxa"/>
            <w:noWrap w:val="0"/>
            <w:vAlign w:val="center"/>
          </w:tcPr>
          <w:p w14:paraId="19E8266E">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（2）</w:t>
            </w:r>
            <w:r>
              <w:rPr>
                <w:rFonts w:hint="eastAsia" w:ascii="Calibri" w:hAnsi="Calibri" w:eastAsia="宋体" w:cs="Calibri"/>
                <w:b w:val="0"/>
                <w:bCs w:val="0"/>
                <w:color w:val="auto"/>
                <w:kern w:val="0"/>
                <w:szCs w:val="21"/>
                <w:highlight w:val="none"/>
                <w:lang w:val="en-US" w:eastAsia="zh-CN"/>
              </w:rPr>
              <w:t>监控设备</w:t>
            </w:r>
            <w:r>
              <w:rPr>
                <w:rFonts w:hint="eastAsia" w:cs="Calibri"/>
                <w:b w:val="0"/>
                <w:bCs w:val="0"/>
                <w:color w:val="auto"/>
                <w:kern w:val="0"/>
                <w:szCs w:val="21"/>
                <w:highlight w:val="none"/>
                <w:lang w:val="en-US" w:eastAsia="zh-CN"/>
              </w:rPr>
              <w:t>24小时</w:t>
            </w:r>
            <w:r>
              <w:rPr>
                <w:rFonts w:hint="eastAsia" w:ascii="Calibri" w:hAnsi="Calibri" w:eastAsia="宋体" w:cs="Calibri"/>
                <w:b w:val="0"/>
                <w:bCs w:val="0"/>
                <w:color w:val="auto"/>
                <w:kern w:val="0"/>
                <w:szCs w:val="21"/>
                <w:highlight w:val="none"/>
                <w:lang w:val="en-US" w:eastAsia="zh-CN"/>
              </w:rPr>
              <w:t>正常运行，监控室实行专人</w:t>
            </w:r>
            <w:r>
              <w:rPr>
                <w:rFonts w:hint="eastAsia" w:cs="Calibri"/>
                <w:b w:val="0"/>
                <w:bCs w:val="0"/>
                <w:color w:val="auto"/>
                <w:kern w:val="0"/>
                <w:szCs w:val="21"/>
                <w:highlight w:val="none"/>
                <w:lang w:val="en-US" w:eastAsia="zh-CN"/>
              </w:rPr>
              <w:t>24小时</w:t>
            </w:r>
            <w:r>
              <w:rPr>
                <w:rFonts w:hint="eastAsia" w:ascii="Calibri" w:hAnsi="Calibri" w:eastAsia="宋体" w:cs="Calibri"/>
                <w:b w:val="0"/>
                <w:bCs w:val="0"/>
                <w:color w:val="auto"/>
                <w:kern w:val="0"/>
                <w:szCs w:val="21"/>
                <w:highlight w:val="none"/>
                <w:lang w:val="en-US" w:eastAsia="zh-CN"/>
              </w:rPr>
              <w:t>值班制度</w:t>
            </w:r>
            <w:r>
              <w:rPr>
                <w:rFonts w:hint="eastAsia" w:cs="Calibri"/>
                <w:b w:val="0"/>
                <w:bCs w:val="0"/>
                <w:color w:val="auto"/>
                <w:kern w:val="0"/>
                <w:szCs w:val="21"/>
                <w:highlight w:val="none"/>
                <w:lang w:val="en-US" w:eastAsia="zh-CN"/>
              </w:rPr>
              <w:t>。</w:t>
            </w:r>
          </w:p>
        </w:tc>
      </w:tr>
      <w:tr w14:paraId="7CC87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14:paraId="224586A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67" w:type="dxa"/>
            <w:vMerge w:val="continue"/>
            <w:noWrap w:val="0"/>
            <w:vAlign w:val="center"/>
          </w:tcPr>
          <w:p w14:paraId="2BDE641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886" w:type="dxa"/>
            <w:noWrap w:val="0"/>
            <w:vAlign w:val="center"/>
          </w:tcPr>
          <w:p w14:paraId="45FCD7F0">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（3）</w:t>
            </w:r>
            <w:r>
              <w:rPr>
                <w:rFonts w:hint="eastAsia" w:ascii="Calibri" w:hAnsi="Calibri" w:eastAsia="宋体" w:cs="Calibri"/>
                <w:b w:val="0"/>
                <w:bCs w:val="0"/>
                <w:color w:val="auto"/>
                <w:kern w:val="0"/>
                <w:szCs w:val="21"/>
                <w:highlight w:val="none"/>
                <w:lang w:val="en-US" w:eastAsia="zh-CN"/>
              </w:rPr>
              <w:t>监控记录画面清晰，视频监控无死角、无盲区</w:t>
            </w:r>
            <w:r>
              <w:rPr>
                <w:rFonts w:hint="eastAsia" w:cs="Calibri"/>
                <w:b w:val="0"/>
                <w:bCs w:val="0"/>
                <w:color w:val="auto"/>
                <w:kern w:val="0"/>
                <w:szCs w:val="21"/>
                <w:highlight w:val="none"/>
                <w:lang w:val="en-US" w:eastAsia="zh-CN"/>
              </w:rPr>
              <w:t>。</w:t>
            </w:r>
          </w:p>
        </w:tc>
      </w:tr>
      <w:tr w14:paraId="5225D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14:paraId="6470C5C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67" w:type="dxa"/>
            <w:vMerge w:val="continue"/>
            <w:noWrap w:val="0"/>
            <w:vAlign w:val="center"/>
          </w:tcPr>
          <w:p w14:paraId="4BA0296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886" w:type="dxa"/>
            <w:noWrap w:val="0"/>
            <w:vAlign w:val="center"/>
          </w:tcPr>
          <w:p w14:paraId="1F933896">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（4）</w:t>
            </w:r>
            <w:r>
              <w:rPr>
                <w:rFonts w:hint="eastAsia" w:ascii="Calibri" w:hAnsi="Calibri" w:eastAsia="宋体" w:cs="Calibri"/>
                <w:b w:val="0"/>
                <w:bCs w:val="0"/>
                <w:color w:val="auto"/>
                <w:kern w:val="0"/>
                <w:szCs w:val="21"/>
                <w:highlight w:val="none"/>
                <w:lang w:val="en-US" w:eastAsia="zh-CN"/>
              </w:rPr>
              <w:t>值班期间遵守操作规程和保密制度，做好监控记录的保存工作</w:t>
            </w:r>
            <w:r>
              <w:rPr>
                <w:rFonts w:hint="eastAsia" w:cs="Calibri"/>
                <w:b w:val="0"/>
                <w:bCs w:val="0"/>
                <w:color w:val="auto"/>
                <w:kern w:val="0"/>
                <w:szCs w:val="21"/>
                <w:highlight w:val="none"/>
                <w:lang w:val="en-US" w:eastAsia="zh-CN"/>
              </w:rPr>
              <w:t>。</w:t>
            </w:r>
          </w:p>
        </w:tc>
      </w:tr>
      <w:tr w14:paraId="623CA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14:paraId="151DE1C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67" w:type="dxa"/>
            <w:vMerge w:val="continue"/>
            <w:noWrap w:val="0"/>
            <w:vAlign w:val="center"/>
          </w:tcPr>
          <w:p w14:paraId="2DE6ADC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886" w:type="dxa"/>
            <w:noWrap w:val="0"/>
            <w:vAlign w:val="center"/>
          </w:tcPr>
          <w:p w14:paraId="190BFF52">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（5）</w:t>
            </w:r>
            <w:r>
              <w:rPr>
                <w:rFonts w:hint="eastAsia" w:ascii="Calibri" w:hAnsi="Calibri" w:eastAsia="宋体" w:cs="Calibri"/>
                <w:b w:val="0"/>
                <w:bCs w:val="0"/>
                <w:color w:val="auto"/>
                <w:kern w:val="0"/>
                <w:szCs w:val="21"/>
                <w:highlight w:val="none"/>
                <w:lang w:val="en-US" w:eastAsia="zh-CN"/>
              </w:rPr>
              <w:t>监控记录保持完整，保存时间不应少于90</w:t>
            </w:r>
            <w:r>
              <w:rPr>
                <w:rFonts w:hint="eastAsia" w:cs="Calibri"/>
                <w:b w:val="0"/>
                <w:bCs w:val="0"/>
                <w:color w:val="auto"/>
                <w:kern w:val="0"/>
                <w:szCs w:val="21"/>
                <w:highlight w:val="none"/>
                <w:lang w:val="en-US" w:eastAsia="zh-CN"/>
              </w:rPr>
              <w:t>天。</w:t>
            </w:r>
          </w:p>
        </w:tc>
      </w:tr>
      <w:tr w14:paraId="36E71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255" w:type="dxa"/>
            <w:vMerge w:val="continue"/>
            <w:noWrap w:val="0"/>
            <w:vAlign w:val="center"/>
          </w:tcPr>
          <w:p w14:paraId="34C44C2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67" w:type="dxa"/>
            <w:vMerge w:val="continue"/>
            <w:noWrap w:val="0"/>
            <w:vAlign w:val="center"/>
          </w:tcPr>
          <w:p w14:paraId="6F097B1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886" w:type="dxa"/>
            <w:noWrap w:val="0"/>
            <w:vAlign w:val="center"/>
          </w:tcPr>
          <w:p w14:paraId="7002D150">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（6）</w:t>
            </w:r>
            <w:r>
              <w:rPr>
                <w:rFonts w:hint="eastAsia" w:ascii="Calibri" w:hAnsi="Calibri" w:eastAsia="宋体" w:cs="Calibri"/>
                <w:b w:val="0"/>
                <w:bCs w:val="0"/>
                <w:color w:val="auto"/>
                <w:kern w:val="0"/>
                <w:szCs w:val="21"/>
                <w:highlight w:val="none"/>
                <w:lang w:val="en-US" w:eastAsia="zh-CN"/>
              </w:rPr>
              <w:t>无关人员进入监控室或查阅监控记录，经授权人批准并做好相关记录</w:t>
            </w:r>
            <w:r>
              <w:rPr>
                <w:rFonts w:hint="eastAsia" w:cs="Calibri"/>
                <w:b w:val="0"/>
                <w:bCs w:val="0"/>
                <w:color w:val="auto"/>
                <w:kern w:val="0"/>
                <w:szCs w:val="21"/>
                <w:highlight w:val="none"/>
                <w:lang w:val="en-US" w:eastAsia="zh-CN"/>
              </w:rPr>
              <w:t>。</w:t>
            </w:r>
          </w:p>
        </w:tc>
      </w:tr>
      <w:tr w14:paraId="75628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14:paraId="3AECBA8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p>
        </w:tc>
        <w:tc>
          <w:tcPr>
            <w:tcW w:w="3367" w:type="dxa"/>
            <w:vMerge w:val="continue"/>
            <w:noWrap w:val="0"/>
            <w:vAlign w:val="center"/>
          </w:tcPr>
          <w:p w14:paraId="24C95D1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886" w:type="dxa"/>
            <w:noWrap w:val="0"/>
            <w:vAlign w:val="center"/>
          </w:tcPr>
          <w:p w14:paraId="29029AC6">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（7）</w:t>
            </w:r>
            <w:r>
              <w:rPr>
                <w:rFonts w:hint="eastAsia" w:ascii="Calibri" w:hAnsi="Calibri" w:eastAsia="宋体" w:cs="Calibri"/>
                <w:b w:val="0"/>
                <w:bCs w:val="0"/>
                <w:color w:val="auto"/>
                <w:kern w:val="0"/>
                <w:szCs w:val="21"/>
                <w:highlight w:val="none"/>
                <w:lang w:val="en-US" w:eastAsia="zh-CN"/>
              </w:rPr>
              <w:t>监控室收到火情等报警信号、其他异常情况信号后，及时报警并安排其他安保人员前往现场进行处理</w:t>
            </w:r>
            <w:r>
              <w:rPr>
                <w:rFonts w:hint="eastAsia" w:cs="Calibri"/>
                <w:b w:val="0"/>
                <w:bCs w:val="0"/>
                <w:color w:val="auto"/>
                <w:kern w:val="0"/>
                <w:szCs w:val="21"/>
                <w:highlight w:val="none"/>
                <w:lang w:val="en-US" w:eastAsia="zh-CN"/>
              </w:rPr>
              <w:t>。</w:t>
            </w:r>
          </w:p>
        </w:tc>
      </w:tr>
      <w:tr w14:paraId="0E9B1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restart"/>
            <w:noWrap w:val="0"/>
            <w:vAlign w:val="center"/>
          </w:tcPr>
          <w:p w14:paraId="268A604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r>
              <w:rPr>
                <w:rFonts w:hint="eastAsia"/>
                <w:highlight w:val="none"/>
                <w:lang w:val="en-US" w:eastAsia="zh-CN"/>
              </w:rPr>
              <w:t>5</w:t>
            </w:r>
          </w:p>
        </w:tc>
        <w:tc>
          <w:tcPr>
            <w:tcW w:w="3367" w:type="dxa"/>
            <w:vMerge w:val="restart"/>
            <w:noWrap w:val="0"/>
            <w:vAlign w:val="center"/>
          </w:tcPr>
          <w:p w14:paraId="4CE37E1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r>
              <w:rPr>
                <w:rFonts w:hint="default"/>
                <w:highlight w:val="none"/>
              </w:rPr>
              <w:t>车辆停放</w:t>
            </w:r>
          </w:p>
        </w:tc>
        <w:tc>
          <w:tcPr>
            <w:tcW w:w="9886" w:type="dxa"/>
            <w:noWrap w:val="0"/>
            <w:vAlign w:val="center"/>
          </w:tcPr>
          <w:p w14:paraId="72AB205C">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车辆行驶路线设置合理、规范，导向标志完整、清晰</w:t>
            </w:r>
            <w:r>
              <w:rPr>
                <w:rFonts w:hint="eastAsia" w:eastAsia="宋体" w:cs="Calibri"/>
                <w:b w:val="0"/>
                <w:bCs w:val="0"/>
                <w:color w:val="auto"/>
                <w:kern w:val="0"/>
                <w:szCs w:val="21"/>
                <w:highlight w:val="none"/>
                <w:lang w:val="en-US" w:eastAsia="zh-CN"/>
              </w:rPr>
              <w:t>。</w:t>
            </w:r>
          </w:p>
        </w:tc>
      </w:tr>
      <w:tr w14:paraId="032CD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14:paraId="0E24CA3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67" w:type="dxa"/>
            <w:vMerge w:val="continue"/>
            <w:noWrap w:val="0"/>
            <w:vAlign w:val="center"/>
          </w:tcPr>
          <w:p w14:paraId="30C697F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886" w:type="dxa"/>
            <w:noWrap w:val="0"/>
            <w:vAlign w:val="center"/>
          </w:tcPr>
          <w:p w14:paraId="4A0C221D">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（2）</w:t>
            </w:r>
            <w:r>
              <w:rPr>
                <w:rFonts w:hint="eastAsia" w:ascii="Calibri" w:hAnsi="Calibri" w:eastAsia="宋体" w:cs="Calibri"/>
                <w:b w:val="0"/>
                <w:bCs w:val="0"/>
                <w:color w:val="auto"/>
                <w:kern w:val="0"/>
                <w:szCs w:val="21"/>
                <w:highlight w:val="none"/>
                <w:lang w:val="en-US" w:eastAsia="zh-CN"/>
              </w:rPr>
              <w:t>合理规划车辆停放区域，张贴车辆引导标识，对车辆及停放区域实行规范管理</w:t>
            </w:r>
            <w:r>
              <w:rPr>
                <w:rFonts w:hint="eastAsia" w:eastAsia="宋体" w:cs="Calibri"/>
                <w:b w:val="0"/>
                <w:bCs w:val="0"/>
                <w:color w:val="auto"/>
                <w:kern w:val="0"/>
                <w:szCs w:val="21"/>
                <w:highlight w:val="none"/>
                <w:lang w:val="en-US" w:eastAsia="zh-CN"/>
              </w:rPr>
              <w:t>。</w:t>
            </w:r>
          </w:p>
        </w:tc>
      </w:tr>
      <w:tr w14:paraId="37E8B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14:paraId="7FAA5B3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67" w:type="dxa"/>
            <w:vMerge w:val="continue"/>
            <w:noWrap w:val="0"/>
            <w:vAlign w:val="center"/>
          </w:tcPr>
          <w:p w14:paraId="534ED22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886" w:type="dxa"/>
            <w:noWrap w:val="0"/>
            <w:vAlign w:val="center"/>
          </w:tcPr>
          <w:p w14:paraId="17D1E850">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（3）</w:t>
            </w:r>
            <w:r>
              <w:rPr>
                <w:rFonts w:hint="eastAsia" w:ascii="Calibri" w:hAnsi="Calibri" w:eastAsia="宋体" w:cs="Calibri"/>
                <w:b w:val="0"/>
                <w:bCs w:val="0"/>
                <w:color w:val="auto"/>
                <w:kern w:val="0"/>
                <w:szCs w:val="21"/>
                <w:highlight w:val="none"/>
                <w:lang w:val="en-US" w:eastAsia="zh-CN"/>
              </w:rPr>
              <w:t>严禁在办公楼的公用走道、楼梯间、安全出口处等公共区域停放车辆或充电</w:t>
            </w:r>
            <w:r>
              <w:rPr>
                <w:rFonts w:hint="eastAsia" w:eastAsia="宋体" w:cs="Calibri"/>
                <w:b w:val="0"/>
                <w:bCs w:val="0"/>
                <w:color w:val="auto"/>
                <w:kern w:val="0"/>
                <w:szCs w:val="21"/>
                <w:highlight w:val="none"/>
                <w:lang w:val="en-US" w:eastAsia="zh-CN"/>
              </w:rPr>
              <w:t>。</w:t>
            </w:r>
          </w:p>
        </w:tc>
      </w:tr>
      <w:tr w14:paraId="6E86F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14:paraId="35156C8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67" w:type="dxa"/>
            <w:vMerge w:val="continue"/>
            <w:noWrap w:val="0"/>
            <w:vAlign w:val="center"/>
          </w:tcPr>
          <w:p w14:paraId="4B8EB96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886" w:type="dxa"/>
            <w:noWrap w:val="0"/>
            <w:vAlign w:val="center"/>
          </w:tcPr>
          <w:p w14:paraId="1EE76646">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（4）</w:t>
            </w:r>
            <w:r>
              <w:rPr>
                <w:rFonts w:hint="eastAsia" w:ascii="Calibri" w:hAnsi="Calibri" w:eastAsia="宋体" w:cs="Calibri"/>
                <w:b w:val="0"/>
                <w:bCs w:val="0"/>
                <w:color w:val="auto"/>
                <w:kern w:val="0"/>
                <w:szCs w:val="21"/>
                <w:highlight w:val="none"/>
                <w:lang w:val="en-US" w:eastAsia="zh-CN"/>
              </w:rPr>
              <w:t>非机动车定点有序停放</w:t>
            </w:r>
            <w:r>
              <w:rPr>
                <w:rFonts w:hint="eastAsia" w:eastAsia="宋体" w:cs="Calibri"/>
                <w:b w:val="0"/>
                <w:bCs w:val="0"/>
                <w:color w:val="auto"/>
                <w:kern w:val="0"/>
                <w:szCs w:val="21"/>
                <w:highlight w:val="none"/>
                <w:lang w:val="en-US" w:eastAsia="zh-CN"/>
              </w:rPr>
              <w:t>。</w:t>
            </w:r>
          </w:p>
        </w:tc>
      </w:tr>
      <w:tr w14:paraId="29D28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14:paraId="57C683D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p>
        </w:tc>
        <w:tc>
          <w:tcPr>
            <w:tcW w:w="3367" w:type="dxa"/>
            <w:vMerge w:val="continue"/>
            <w:noWrap w:val="0"/>
            <w:vAlign w:val="center"/>
          </w:tcPr>
          <w:p w14:paraId="5C0A647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886" w:type="dxa"/>
            <w:noWrap w:val="0"/>
            <w:vAlign w:val="center"/>
          </w:tcPr>
          <w:p w14:paraId="17B87065">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（5）</w:t>
            </w:r>
            <w:r>
              <w:rPr>
                <w:rFonts w:hint="eastAsia" w:ascii="Calibri" w:hAnsi="Calibri" w:eastAsia="宋体" w:cs="Calibri"/>
                <w:b w:val="0"/>
                <w:bCs w:val="0"/>
                <w:color w:val="auto"/>
                <w:kern w:val="0"/>
                <w:szCs w:val="21"/>
                <w:highlight w:val="none"/>
                <w:lang w:val="en-US" w:eastAsia="zh-CN"/>
              </w:rPr>
              <w:t>发现车辆异常情况及时通知车主，并做好登记</w:t>
            </w:r>
            <w:r>
              <w:rPr>
                <w:rFonts w:hint="eastAsia" w:eastAsia="宋体"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发生交通事故、自然灾害等意外事故时及时赶赴现场疏导和协助处理，响应时间不超过3</w:t>
            </w:r>
            <w:r>
              <w:rPr>
                <w:rFonts w:hint="eastAsia" w:cs="Calibri"/>
                <w:b w:val="0"/>
                <w:bCs w:val="0"/>
                <w:color w:val="auto"/>
                <w:kern w:val="0"/>
                <w:szCs w:val="21"/>
                <w:highlight w:val="none"/>
                <w:lang w:val="en-US" w:eastAsia="zh-CN"/>
              </w:rPr>
              <w:t>分钟</w:t>
            </w:r>
            <w:r>
              <w:rPr>
                <w:rFonts w:hint="eastAsia" w:eastAsia="宋体" w:cs="Calibri"/>
                <w:b w:val="0"/>
                <w:bCs w:val="0"/>
                <w:color w:val="auto"/>
                <w:kern w:val="0"/>
                <w:szCs w:val="21"/>
                <w:highlight w:val="none"/>
                <w:lang w:val="en-US" w:eastAsia="zh-CN"/>
              </w:rPr>
              <w:t>。</w:t>
            </w:r>
          </w:p>
        </w:tc>
      </w:tr>
      <w:tr w14:paraId="369C0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restart"/>
            <w:noWrap w:val="0"/>
            <w:vAlign w:val="center"/>
          </w:tcPr>
          <w:p w14:paraId="6513216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r>
              <w:rPr>
                <w:rFonts w:hint="eastAsia"/>
                <w:highlight w:val="none"/>
                <w:lang w:val="en-US" w:eastAsia="zh-CN"/>
              </w:rPr>
              <w:t>6</w:t>
            </w:r>
          </w:p>
        </w:tc>
        <w:tc>
          <w:tcPr>
            <w:tcW w:w="3367" w:type="dxa"/>
            <w:vMerge w:val="restart"/>
            <w:noWrap w:val="0"/>
            <w:vAlign w:val="center"/>
          </w:tcPr>
          <w:p w14:paraId="4029CA3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eastAsia="宋体"/>
                <w:highlight w:val="none"/>
                <w:lang w:eastAsia="zh-CN"/>
              </w:rPr>
            </w:pPr>
            <w:r>
              <w:rPr>
                <w:rFonts w:hint="default"/>
                <w:highlight w:val="none"/>
              </w:rPr>
              <w:t>消防安全管理</w:t>
            </w:r>
          </w:p>
        </w:tc>
        <w:tc>
          <w:tcPr>
            <w:tcW w:w="9886" w:type="dxa"/>
            <w:noWrap w:val="0"/>
            <w:vAlign w:val="center"/>
          </w:tcPr>
          <w:p w14:paraId="1882DCD7">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建立消防安全责任制，确定各级消防安全责任人及其职责</w:t>
            </w:r>
            <w:r>
              <w:rPr>
                <w:rFonts w:hint="eastAsia" w:eastAsia="宋体" w:cs="Calibri"/>
                <w:b w:val="0"/>
                <w:bCs w:val="0"/>
                <w:color w:val="auto"/>
                <w:kern w:val="0"/>
                <w:szCs w:val="21"/>
                <w:highlight w:val="none"/>
                <w:lang w:val="en-US" w:eastAsia="zh-CN"/>
              </w:rPr>
              <w:t>。</w:t>
            </w:r>
          </w:p>
        </w:tc>
      </w:tr>
      <w:tr w14:paraId="080F1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14:paraId="7755C5C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67" w:type="dxa"/>
            <w:vMerge w:val="continue"/>
            <w:noWrap w:val="0"/>
            <w:vAlign w:val="center"/>
          </w:tcPr>
          <w:p w14:paraId="34815AA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886" w:type="dxa"/>
            <w:noWrap w:val="0"/>
            <w:vAlign w:val="center"/>
          </w:tcPr>
          <w:p w14:paraId="3465A5A6">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（2）</w:t>
            </w:r>
            <w:r>
              <w:rPr>
                <w:rFonts w:hint="eastAsia" w:ascii="Calibri" w:hAnsi="Calibri" w:eastAsia="宋体" w:cs="Calibri"/>
                <w:b w:val="0"/>
                <w:bCs w:val="0"/>
                <w:color w:val="auto"/>
                <w:kern w:val="0"/>
                <w:szCs w:val="21"/>
                <w:highlight w:val="none"/>
                <w:lang w:val="en-US" w:eastAsia="zh-CN"/>
              </w:rPr>
              <w:t>消防控制室实行</w:t>
            </w:r>
            <w:r>
              <w:rPr>
                <w:rFonts w:hint="eastAsia" w:cs="Calibri"/>
                <w:b w:val="0"/>
                <w:bCs w:val="0"/>
                <w:color w:val="auto"/>
                <w:kern w:val="0"/>
                <w:szCs w:val="21"/>
                <w:highlight w:val="none"/>
                <w:lang w:val="en-US" w:eastAsia="zh-CN"/>
              </w:rPr>
              <w:t>24小时</w:t>
            </w:r>
            <w:r>
              <w:rPr>
                <w:rFonts w:hint="eastAsia" w:ascii="Calibri" w:hAnsi="Calibri" w:eastAsia="宋体" w:cs="Calibri"/>
                <w:b w:val="0"/>
                <w:bCs w:val="0"/>
                <w:color w:val="auto"/>
                <w:kern w:val="0"/>
                <w:szCs w:val="21"/>
                <w:highlight w:val="none"/>
                <w:lang w:val="en-US" w:eastAsia="zh-CN"/>
              </w:rPr>
              <w:t>值班制度，每班不少于2人</w:t>
            </w:r>
            <w:r>
              <w:rPr>
                <w:rFonts w:hint="eastAsia" w:eastAsia="宋体" w:cs="Calibri"/>
                <w:b w:val="0"/>
                <w:bCs w:val="0"/>
                <w:color w:val="auto"/>
                <w:kern w:val="0"/>
                <w:szCs w:val="21"/>
                <w:highlight w:val="none"/>
                <w:lang w:val="en-US" w:eastAsia="zh-CN"/>
              </w:rPr>
              <w:t>。</w:t>
            </w:r>
          </w:p>
        </w:tc>
      </w:tr>
      <w:tr w14:paraId="3E121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14:paraId="7325714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67" w:type="dxa"/>
            <w:vMerge w:val="continue"/>
            <w:noWrap w:val="0"/>
            <w:vAlign w:val="center"/>
          </w:tcPr>
          <w:p w14:paraId="2AF36CE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886" w:type="dxa"/>
            <w:noWrap w:val="0"/>
            <w:vAlign w:val="center"/>
          </w:tcPr>
          <w:p w14:paraId="4AF453EB">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（3）</w:t>
            </w:r>
            <w:r>
              <w:rPr>
                <w:rFonts w:hint="eastAsia" w:ascii="Calibri" w:hAnsi="Calibri" w:eastAsia="宋体" w:cs="Calibri"/>
                <w:b w:val="0"/>
                <w:bCs w:val="0"/>
                <w:color w:val="auto"/>
                <w:kern w:val="0"/>
                <w:szCs w:val="21"/>
                <w:highlight w:val="none"/>
                <w:lang w:val="en-US" w:eastAsia="zh-CN"/>
              </w:rPr>
              <w:t>消火栓、应急照明、应急物资、消防及人员逃生通道、消防车通道可随时正常使用</w:t>
            </w:r>
            <w:r>
              <w:rPr>
                <w:rFonts w:hint="eastAsia" w:eastAsia="宋体" w:cs="Calibri"/>
                <w:b w:val="0"/>
                <w:bCs w:val="0"/>
                <w:color w:val="auto"/>
                <w:kern w:val="0"/>
                <w:szCs w:val="21"/>
                <w:highlight w:val="none"/>
                <w:lang w:val="en-US" w:eastAsia="zh-CN"/>
              </w:rPr>
              <w:t>。</w:t>
            </w:r>
          </w:p>
        </w:tc>
      </w:tr>
      <w:tr w14:paraId="6516F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14:paraId="34B4D46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67" w:type="dxa"/>
            <w:vMerge w:val="continue"/>
            <w:noWrap w:val="0"/>
            <w:vAlign w:val="center"/>
          </w:tcPr>
          <w:p w14:paraId="5CD1EA6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886" w:type="dxa"/>
            <w:noWrap w:val="0"/>
            <w:vAlign w:val="center"/>
          </w:tcPr>
          <w:p w14:paraId="6637D13D">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（4）</w:t>
            </w:r>
            <w:r>
              <w:rPr>
                <w:rFonts w:hint="eastAsia" w:ascii="Calibri" w:hAnsi="Calibri" w:eastAsia="宋体" w:cs="Calibri"/>
                <w:b w:val="0"/>
                <w:bCs w:val="0"/>
                <w:color w:val="auto"/>
                <w:kern w:val="0"/>
                <w:szCs w:val="21"/>
                <w:highlight w:val="none"/>
                <w:lang w:val="en-US" w:eastAsia="zh-CN"/>
              </w:rPr>
              <w:t>易燃易爆品设专区专人管理，做好相关记录</w:t>
            </w:r>
            <w:r>
              <w:rPr>
                <w:rFonts w:hint="eastAsia" w:eastAsia="宋体" w:cs="Calibri"/>
                <w:b w:val="0"/>
                <w:bCs w:val="0"/>
                <w:color w:val="auto"/>
                <w:kern w:val="0"/>
                <w:szCs w:val="21"/>
                <w:highlight w:val="none"/>
                <w:lang w:val="en-US" w:eastAsia="zh-CN"/>
              </w:rPr>
              <w:t>。</w:t>
            </w:r>
          </w:p>
        </w:tc>
      </w:tr>
      <w:tr w14:paraId="33AA0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14:paraId="67C5E24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p>
        </w:tc>
        <w:tc>
          <w:tcPr>
            <w:tcW w:w="3367" w:type="dxa"/>
            <w:vMerge w:val="continue"/>
            <w:noWrap w:val="0"/>
            <w:vAlign w:val="center"/>
          </w:tcPr>
          <w:p w14:paraId="10E1DCE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886" w:type="dxa"/>
            <w:noWrap w:val="0"/>
            <w:vAlign w:val="center"/>
          </w:tcPr>
          <w:p w14:paraId="50A3D763">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（5）</w:t>
            </w:r>
            <w:r>
              <w:rPr>
                <w:rFonts w:hint="eastAsia" w:ascii="Calibri" w:hAnsi="Calibri" w:eastAsia="宋体" w:cs="Calibri"/>
                <w:b w:val="0"/>
                <w:bCs w:val="0"/>
                <w:color w:val="auto"/>
                <w:kern w:val="0"/>
                <w:szCs w:val="21"/>
                <w:highlight w:val="none"/>
                <w:lang w:val="en-US" w:eastAsia="zh-CN"/>
              </w:rPr>
              <w:t>定期组织消防安全宣传，每半年</w:t>
            </w:r>
            <w:r>
              <w:rPr>
                <w:rFonts w:hint="eastAsia" w:cs="Calibri"/>
                <w:b w:val="0"/>
                <w:bCs w:val="0"/>
                <w:color w:val="auto"/>
                <w:kern w:val="0"/>
                <w:szCs w:val="21"/>
                <w:highlight w:val="none"/>
                <w:lang w:val="en-US" w:eastAsia="zh-CN"/>
              </w:rPr>
              <w:t>至少开展</w:t>
            </w:r>
            <w:r>
              <w:rPr>
                <w:rFonts w:hint="eastAsia" w:ascii="Calibri" w:hAnsi="Calibri" w:eastAsia="宋体" w:cs="Calibri"/>
                <w:b w:val="0"/>
                <w:bCs w:val="0"/>
                <w:color w:val="auto"/>
                <w:kern w:val="0"/>
                <w:szCs w:val="21"/>
                <w:highlight w:val="none"/>
                <w:lang w:val="en-US" w:eastAsia="zh-CN"/>
              </w:rPr>
              <w:t>1次消防演练</w:t>
            </w:r>
            <w:r>
              <w:rPr>
                <w:rFonts w:hint="eastAsia" w:eastAsia="宋体" w:cs="Calibri"/>
                <w:b w:val="0"/>
                <w:bCs w:val="0"/>
                <w:color w:val="auto"/>
                <w:kern w:val="0"/>
                <w:szCs w:val="21"/>
                <w:highlight w:val="none"/>
                <w:lang w:val="en-US" w:eastAsia="zh-CN"/>
              </w:rPr>
              <w:t>。</w:t>
            </w:r>
          </w:p>
        </w:tc>
      </w:tr>
      <w:tr w14:paraId="39EDC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restart"/>
            <w:noWrap w:val="0"/>
            <w:vAlign w:val="center"/>
          </w:tcPr>
          <w:p w14:paraId="0CD861F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r>
              <w:rPr>
                <w:rFonts w:hint="eastAsia"/>
                <w:highlight w:val="none"/>
                <w:lang w:val="en-US" w:eastAsia="zh-CN"/>
              </w:rPr>
              <w:t>7</w:t>
            </w:r>
          </w:p>
        </w:tc>
        <w:tc>
          <w:tcPr>
            <w:tcW w:w="3367" w:type="dxa"/>
            <w:vMerge w:val="restart"/>
            <w:noWrap w:val="0"/>
            <w:vAlign w:val="center"/>
          </w:tcPr>
          <w:p w14:paraId="0238A4F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r>
              <w:rPr>
                <w:rFonts w:hint="default"/>
                <w:highlight w:val="none"/>
              </w:rPr>
              <w:t>突发事件处理</w:t>
            </w:r>
          </w:p>
        </w:tc>
        <w:tc>
          <w:tcPr>
            <w:tcW w:w="9886" w:type="dxa"/>
            <w:noWrap w:val="0"/>
            <w:vAlign w:val="center"/>
          </w:tcPr>
          <w:p w14:paraId="3A7A2032">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制定突发事件安全责任书，明确突发事件责任人及应承担的安全责任</w:t>
            </w:r>
            <w:r>
              <w:rPr>
                <w:rFonts w:hint="eastAsia" w:eastAsia="宋体" w:cs="Calibri"/>
                <w:b w:val="0"/>
                <w:bCs w:val="0"/>
                <w:color w:val="auto"/>
                <w:kern w:val="0"/>
                <w:szCs w:val="21"/>
                <w:highlight w:val="none"/>
                <w:lang w:val="en-US" w:eastAsia="zh-CN"/>
              </w:rPr>
              <w:t>。</w:t>
            </w:r>
          </w:p>
        </w:tc>
      </w:tr>
      <w:tr w14:paraId="43B04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14:paraId="3797D74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67" w:type="dxa"/>
            <w:vMerge w:val="continue"/>
            <w:noWrap w:val="0"/>
            <w:vAlign w:val="center"/>
          </w:tcPr>
          <w:p w14:paraId="4690A91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886" w:type="dxa"/>
            <w:noWrap w:val="0"/>
            <w:vAlign w:val="center"/>
          </w:tcPr>
          <w:p w14:paraId="06976D08">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（2）</w:t>
            </w:r>
            <w:r>
              <w:rPr>
                <w:rFonts w:hint="eastAsia" w:ascii="Calibri" w:hAnsi="Calibri" w:eastAsia="宋体" w:cs="Calibri"/>
                <w:b w:val="0"/>
                <w:bCs w:val="0"/>
                <w:color w:val="auto"/>
                <w:kern w:val="0"/>
                <w:szCs w:val="21"/>
                <w:highlight w:val="none"/>
                <w:lang w:val="en-US" w:eastAsia="zh-CN"/>
              </w:rPr>
              <w:t>建立应急突发事件处置队伍，明确各自的职责</w:t>
            </w:r>
            <w:r>
              <w:rPr>
                <w:rFonts w:hint="eastAsia" w:eastAsia="宋体" w:cs="Calibri"/>
                <w:b w:val="0"/>
                <w:bCs w:val="0"/>
                <w:color w:val="auto"/>
                <w:kern w:val="0"/>
                <w:szCs w:val="21"/>
                <w:highlight w:val="none"/>
                <w:lang w:val="en-US" w:eastAsia="zh-CN"/>
              </w:rPr>
              <w:t>。</w:t>
            </w:r>
          </w:p>
        </w:tc>
      </w:tr>
      <w:tr w14:paraId="599B2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14:paraId="5C26E5E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67" w:type="dxa"/>
            <w:vMerge w:val="continue"/>
            <w:noWrap w:val="0"/>
            <w:vAlign w:val="center"/>
          </w:tcPr>
          <w:p w14:paraId="0BABD59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886" w:type="dxa"/>
            <w:noWrap w:val="0"/>
            <w:vAlign w:val="center"/>
          </w:tcPr>
          <w:p w14:paraId="305E239A">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（3）</w:t>
            </w:r>
            <w:r>
              <w:rPr>
                <w:rFonts w:hint="eastAsia" w:ascii="Calibri" w:hAnsi="Calibri" w:eastAsia="宋体" w:cs="Calibri"/>
                <w:b w:val="0"/>
                <w:bCs w:val="0"/>
                <w:color w:val="auto"/>
                <w:kern w:val="0"/>
                <w:szCs w:val="21"/>
                <w:highlight w:val="none"/>
                <w:lang w:val="en-US" w:eastAsia="zh-CN"/>
              </w:rPr>
              <w:t>识别、分析各种潜在风险，针对不同风险类型制定相应解决方案，并配备应急物资</w:t>
            </w:r>
            <w:r>
              <w:rPr>
                <w:rFonts w:hint="eastAsia" w:eastAsia="宋体" w:cs="Calibri"/>
                <w:b w:val="0"/>
                <w:bCs w:val="0"/>
                <w:color w:val="auto"/>
                <w:kern w:val="0"/>
                <w:szCs w:val="21"/>
                <w:highlight w:val="none"/>
                <w:lang w:val="en-US" w:eastAsia="zh-CN"/>
              </w:rPr>
              <w:t>。</w:t>
            </w:r>
          </w:p>
        </w:tc>
      </w:tr>
      <w:tr w14:paraId="189D1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14:paraId="7045013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67" w:type="dxa"/>
            <w:vMerge w:val="continue"/>
            <w:noWrap w:val="0"/>
            <w:vAlign w:val="center"/>
          </w:tcPr>
          <w:p w14:paraId="2029668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886" w:type="dxa"/>
            <w:noWrap w:val="0"/>
            <w:vAlign w:val="center"/>
          </w:tcPr>
          <w:p w14:paraId="3A2EECB8">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（4）</w:t>
            </w:r>
            <w:r>
              <w:rPr>
                <w:rFonts w:hint="eastAsia" w:ascii="Calibri" w:hAnsi="Calibri" w:eastAsia="宋体" w:cs="Calibri"/>
                <w:b w:val="0"/>
                <w:bCs w:val="0"/>
                <w:color w:val="auto"/>
                <w:kern w:val="0"/>
                <w:szCs w:val="21"/>
                <w:highlight w:val="none"/>
                <w:lang w:val="en-US" w:eastAsia="zh-CN"/>
              </w:rPr>
              <w:t>每半年</w:t>
            </w:r>
            <w:r>
              <w:rPr>
                <w:rFonts w:hint="eastAsia" w:eastAsia="宋体" w:cs="Calibri"/>
                <w:b w:val="0"/>
                <w:bCs w:val="0"/>
                <w:color w:val="auto"/>
                <w:kern w:val="0"/>
                <w:szCs w:val="21"/>
                <w:highlight w:val="none"/>
                <w:lang w:val="en-US" w:eastAsia="zh-CN"/>
              </w:rPr>
              <w:t>至少开展</w:t>
            </w:r>
            <w:r>
              <w:rPr>
                <w:rFonts w:hint="eastAsia" w:ascii="Calibri" w:hAnsi="Calibri" w:eastAsia="宋体" w:cs="Calibri"/>
                <w:b w:val="0"/>
                <w:bCs w:val="0"/>
                <w:color w:val="auto"/>
                <w:kern w:val="0"/>
                <w:szCs w:val="21"/>
                <w:highlight w:val="none"/>
                <w:lang w:val="en-US" w:eastAsia="zh-CN"/>
              </w:rPr>
              <w:t>1次突发事件应急演练，并有相应记录</w:t>
            </w:r>
            <w:r>
              <w:rPr>
                <w:rFonts w:hint="eastAsia" w:eastAsia="宋体" w:cs="Calibri"/>
                <w:b w:val="0"/>
                <w:bCs w:val="0"/>
                <w:color w:val="auto"/>
                <w:kern w:val="0"/>
                <w:szCs w:val="21"/>
                <w:highlight w:val="none"/>
                <w:lang w:val="en-US" w:eastAsia="zh-CN"/>
              </w:rPr>
              <w:t>。</w:t>
            </w:r>
          </w:p>
        </w:tc>
      </w:tr>
      <w:tr w14:paraId="2E89C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255" w:type="dxa"/>
            <w:vMerge w:val="continue"/>
            <w:noWrap w:val="0"/>
            <w:vAlign w:val="center"/>
          </w:tcPr>
          <w:p w14:paraId="4525030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67" w:type="dxa"/>
            <w:vMerge w:val="continue"/>
            <w:noWrap w:val="0"/>
            <w:vAlign w:val="center"/>
          </w:tcPr>
          <w:p w14:paraId="1B19B75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886" w:type="dxa"/>
            <w:noWrap w:val="0"/>
            <w:vAlign w:val="center"/>
          </w:tcPr>
          <w:p w14:paraId="649AE5BD">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（5）</w:t>
            </w:r>
            <w:r>
              <w:rPr>
                <w:rFonts w:hint="eastAsia" w:ascii="Calibri" w:hAnsi="Calibri" w:eastAsia="宋体" w:cs="Calibri"/>
                <w:b w:val="0"/>
                <w:bCs w:val="0"/>
                <w:color w:val="auto"/>
                <w:kern w:val="0"/>
                <w:szCs w:val="21"/>
                <w:highlight w:val="none"/>
                <w:lang w:val="en-US" w:eastAsia="zh-CN"/>
              </w:rPr>
              <w:t>发生意外事件时，及时采取应急措施，维护办公区域物业服务正常进行，保护人身财产安全</w:t>
            </w:r>
            <w:r>
              <w:rPr>
                <w:rFonts w:hint="eastAsia" w:eastAsia="宋体" w:cs="Calibri"/>
                <w:b w:val="0"/>
                <w:bCs w:val="0"/>
                <w:color w:val="auto"/>
                <w:kern w:val="0"/>
                <w:szCs w:val="21"/>
                <w:highlight w:val="none"/>
                <w:lang w:val="en-US" w:eastAsia="zh-CN"/>
              </w:rPr>
              <w:t>。</w:t>
            </w:r>
          </w:p>
        </w:tc>
      </w:tr>
      <w:tr w14:paraId="48AD6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14:paraId="1FAC667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67" w:type="dxa"/>
            <w:vMerge w:val="continue"/>
            <w:noWrap w:val="0"/>
            <w:vAlign w:val="center"/>
          </w:tcPr>
          <w:p w14:paraId="4AAC12E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886" w:type="dxa"/>
            <w:noWrap w:val="0"/>
            <w:vAlign w:val="center"/>
          </w:tcPr>
          <w:p w14:paraId="76BEF721">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（6）</w:t>
            </w:r>
            <w:r>
              <w:rPr>
                <w:rFonts w:hint="eastAsia" w:ascii="Calibri" w:hAnsi="Calibri" w:eastAsia="宋体" w:cs="Calibri"/>
                <w:b w:val="0"/>
                <w:bCs w:val="0"/>
                <w:color w:val="auto"/>
                <w:kern w:val="0"/>
                <w:szCs w:val="21"/>
                <w:highlight w:val="none"/>
                <w:lang w:val="en-US" w:eastAsia="zh-CN"/>
              </w:rPr>
              <w:t>办公区域物业服务应急预案终止实施后，积极采取措施，在尽可能短的时间内，消除事故带来的不良影响，妥善安置和慰问受害及受影响的人员和部门</w:t>
            </w:r>
            <w:r>
              <w:rPr>
                <w:rFonts w:hint="eastAsia" w:eastAsia="宋体" w:cs="Calibri"/>
                <w:b w:val="0"/>
                <w:bCs w:val="0"/>
                <w:color w:val="auto"/>
                <w:kern w:val="0"/>
                <w:szCs w:val="21"/>
                <w:highlight w:val="none"/>
                <w:lang w:val="en-US" w:eastAsia="zh-CN"/>
              </w:rPr>
              <w:t>。</w:t>
            </w:r>
          </w:p>
        </w:tc>
      </w:tr>
      <w:tr w14:paraId="3DDE4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14:paraId="7A176BA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p>
        </w:tc>
        <w:tc>
          <w:tcPr>
            <w:tcW w:w="3367" w:type="dxa"/>
            <w:vMerge w:val="continue"/>
            <w:noWrap w:val="0"/>
            <w:vAlign w:val="center"/>
          </w:tcPr>
          <w:p w14:paraId="4F46179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886" w:type="dxa"/>
            <w:noWrap w:val="0"/>
            <w:vAlign w:val="center"/>
          </w:tcPr>
          <w:p w14:paraId="03226F71">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（7）</w:t>
            </w:r>
            <w:r>
              <w:rPr>
                <w:rFonts w:hint="eastAsia" w:ascii="Calibri" w:hAnsi="Calibri" w:eastAsia="宋体" w:cs="Calibri"/>
                <w:b w:val="0"/>
                <w:bCs w:val="0"/>
                <w:color w:val="auto"/>
                <w:kern w:val="0"/>
                <w:szCs w:val="21"/>
                <w:highlight w:val="none"/>
                <w:lang w:val="en-US" w:eastAsia="zh-CN"/>
              </w:rPr>
              <w:t>事故处理后，及时形成事故应急总结报告，完善应急救援工作方案</w:t>
            </w:r>
            <w:r>
              <w:rPr>
                <w:rFonts w:hint="eastAsia" w:eastAsia="宋体" w:cs="Calibri"/>
                <w:b w:val="0"/>
                <w:bCs w:val="0"/>
                <w:color w:val="auto"/>
                <w:kern w:val="0"/>
                <w:szCs w:val="21"/>
                <w:highlight w:val="none"/>
                <w:lang w:val="en-US" w:eastAsia="zh-CN"/>
              </w:rPr>
              <w:t>。</w:t>
            </w:r>
          </w:p>
        </w:tc>
      </w:tr>
      <w:tr w14:paraId="222A3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restart"/>
            <w:noWrap w:val="0"/>
            <w:vAlign w:val="center"/>
          </w:tcPr>
          <w:p w14:paraId="745F2C1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r>
              <w:rPr>
                <w:rFonts w:hint="eastAsia"/>
                <w:highlight w:val="none"/>
                <w:lang w:val="en-US" w:eastAsia="zh-CN"/>
              </w:rPr>
              <w:t>8</w:t>
            </w:r>
          </w:p>
        </w:tc>
        <w:tc>
          <w:tcPr>
            <w:tcW w:w="3367" w:type="dxa"/>
            <w:vMerge w:val="restart"/>
            <w:noWrap w:val="0"/>
            <w:vAlign w:val="center"/>
          </w:tcPr>
          <w:p w14:paraId="001B903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r>
              <w:rPr>
                <w:rFonts w:hint="default"/>
                <w:highlight w:val="none"/>
              </w:rPr>
              <w:t>大型活动秩序</w:t>
            </w:r>
          </w:p>
        </w:tc>
        <w:tc>
          <w:tcPr>
            <w:tcW w:w="9886" w:type="dxa"/>
            <w:noWrap w:val="0"/>
            <w:vAlign w:val="center"/>
          </w:tcPr>
          <w:p w14:paraId="70EF0975">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制定相应的活动秩序维护方案，合理安排人员，并对场所的安全隐患进行排查</w:t>
            </w:r>
            <w:r>
              <w:rPr>
                <w:rFonts w:hint="eastAsia" w:eastAsia="宋体" w:cs="Calibri"/>
                <w:b w:val="0"/>
                <w:bCs w:val="0"/>
                <w:color w:val="auto"/>
                <w:kern w:val="0"/>
                <w:szCs w:val="21"/>
                <w:highlight w:val="none"/>
                <w:lang w:val="en-US" w:eastAsia="zh-CN"/>
              </w:rPr>
              <w:t>。</w:t>
            </w:r>
          </w:p>
        </w:tc>
      </w:tr>
      <w:tr w14:paraId="0E9ED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14:paraId="418035C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67" w:type="dxa"/>
            <w:vMerge w:val="continue"/>
            <w:noWrap w:val="0"/>
            <w:vAlign w:val="center"/>
          </w:tcPr>
          <w:p w14:paraId="31CA4BC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886" w:type="dxa"/>
            <w:noWrap w:val="0"/>
            <w:vAlign w:val="center"/>
          </w:tcPr>
          <w:p w14:paraId="201E6239">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（2）</w:t>
            </w:r>
            <w:r>
              <w:rPr>
                <w:rFonts w:hint="eastAsia" w:ascii="Calibri" w:hAnsi="Calibri" w:eastAsia="宋体" w:cs="Calibri"/>
                <w:b w:val="0"/>
                <w:bCs w:val="0"/>
                <w:color w:val="auto"/>
                <w:kern w:val="0"/>
                <w:szCs w:val="21"/>
                <w:highlight w:val="none"/>
                <w:lang w:val="en-US" w:eastAsia="zh-CN"/>
              </w:rPr>
              <w:t>应</w:t>
            </w:r>
            <w:r>
              <w:rPr>
                <w:rFonts w:hint="eastAsia" w:cs="Calibri"/>
                <w:b w:val="0"/>
                <w:bCs w:val="0"/>
                <w:color w:val="auto"/>
                <w:kern w:val="0"/>
                <w:szCs w:val="21"/>
                <w:highlight w:val="none"/>
                <w:lang w:val="en-US" w:eastAsia="zh-CN"/>
              </w:rPr>
              <w:t>当</w:t>
            </w:r>
            <w:r>
              <w:rPr>
                <w:rFonts w:hint="eastAsia" w:ascii="Calibri" w:hAnsi="Calibri" w:eastAsia="宋体" w:cs="Calibri"/>
                <w:b w:val="0"/>
                <w:bCs w:val="0"/>
                <w:color w:val="auto"/>
                <w:kern w:val="0"/>
                <w:szCs w:val="21"/>
                <w:highlight w:val="none"/>
                <w:lang w:val="en-US" w:eastAsia="zh-CN"/>
              </w:rPr>
              <w:t>保障通道、出入口、停车场等区域畅通</w:t>
            </w:r>
            <w:r>
              <w:rPr>
                <w:rFonts w:hint="eastAsia" w:eastAsia="宋体" w:cs="Calibri"/>
                <w:b w:val="0"/>
                <w:bCs w:val="0"/>
                <w:color w:val="auto"/>
                <w:kern w:val="0"/>
                <w:szCs w:val="21"/>
                <w:highlight w:val="none"/>
                <w:lang w:val="en-US" w:eastAsia="zh-CN"/>
              </w:rPr>
              <w:t>。</w:t>
            </w:r>
          </w:p>
        </w:tc>
      </w:tr>
      <w:tr w14:paraId="0CC90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14:paraId="7533CBD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p>
        </w:tc>
        <w:tc>
          <w:tcPr>
            <w:tcW w:w="3367" w:type="dxa"/>
            <w:vMerge w:val="continue"/>
            <w:noWrap w:val="0"/>
            <w:vAlign w:val="center"/>
          </w:tcPr>
          <w:p w14:paraId="468B662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886" w:type="dxa"/>
            <w:noWrap w:val="0"/>
            <w:vAlign w:val="center"/>
          </w:tcPr>
          <w:p w14:paraId="6082FDF1">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（3）</w:t>
            </w:r>
            <w:r>
              <w:rPr>
                <w:rFonts w:hint="eastAsia" w:ascii="Calibri" w:hAnsi="Calibri" w:eastAsia="宋体" w:cs="Calibri"/>
                <w:b w:val="0"/>
                <w:bCs w:val="0"/>
                <w:color w:val="auto"/>
                <w:kern w:val="0"/>
                <w:szCs w:val="21"/>
                <w:highlight w:val="none"/>
                <w:lang w:val="en-US" w:eastAsia="zh-CN"/>
              </w:rPr>
              <w:t>活动举办过程中，做好现场秩序的维护和突发事故的处置工作，确保活动正常进行</w:t>
            </w:r>
            <w:r>
              <w:rPr>
                <w:rFonts w:hint="eastAsia" w:eastAsia="宋体" w:cs="Calibri"/>
                <w:b w:val="0"/>
                <w:bCs w:val="0"/>
                <w:color w:val="auto"/>
                <w:kern w:val="0"/>
                <w:szCs w:val="21"/>
                <w:highlight w:val="none"/>
                <w:lang w:val="en-US" w:eastAsia="zh-CN"/>
              </w:rPr>
              <w:t>。</w:t>
            </w:r>
          </w:p>
        </w:tc>
      </w:tr>
    </w:tbl>
    <w:p w14:paraId="1346605A">
      <w:pPr>
        <w:pStyle w:val="55"/>
        <w:pageBreakBefore w:val="0"/>
        <w:shd w:val="clear" w:color="auto" w:fill="auto"/>
        <w:kinsoku/>
        <w:wordWrap/>
        <w:overflowPunct/>
        <w:topLinePunct w:val="0"/>
        <w:bidi w:val="0"/>
        <w:spacing w:line="360" w:lineRule="auto"/>
        <w:ind w:firstLine="498" w:firstLineChars="177"/>
        <w:rPr>
          <w:rFonts w:hint="default" w:ascii="宋体" w:hAnsi="宋体" w:eastAsia="宋体" w:cs="宋体"/>
          <w:b/>
          <w:bCs/>
          <w:color w:val="auto"/>
          <w:kern w:val="44"/>
          <w:sz w:val="28"/>
          <w:szCs w:val="28"/>
          <w:highlight w:val="none"/>
          <w:lang w:val="en-US" w:eastAsia="zh-CN" w:bidi="ar-SA"/>
        </w:rPr>
      </w:pPr>
      <w:bookmarkStart w:id="447" w:name="_Toc12052"/>
      <w:bookmarkStart w:id="448" w:name="_Toc27983"/>
      <w:bookmarkStart w:id="449" w:name="_Toc26417"/>
      <w:r>
        <w:rPr>
          <w:rFonts w:hint="eastAsia" w:ascii="宋体" w:hAnsi="宋体" w:eastAsia="宋体" w:cs="宋体"/>
          <w:b/>
          <w:bCs/>
          <w:color w:val="auto"/>
          <w:kern w:val="44"/>
          <w:sz w:val="28"/>
          <w:szCs w:val="28"/>
          <w:highlight w:val="none"/>
          <w:lang w:val="en-US" w:eastAsia="zh-CN" w:bidi="ar-SA"/>
        </w:rPr>
        <w:t>3.7宿管服务</w:t>
      </w:r>
    </w:p>
    <w:tbl>
      <w:tblPr>
        <w:tblStyle w:val="32"/>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972"/>
        <w:gridCol w:w="5814"/>
      </w:tblGrid>
      <w:tr w14:paraId="673F6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0" w:type="dxa"/>
            <w:noWrap w:val="0"/>
            <w:vAlign w:val="center"/>
          </w:tcPr>
          <w:p w14:paraId="59B011A2">
            <w:pPr>
              <w:pageBreakBefore w:val="0"/>
              <w:widowControl/>
              <w:kinsoku/>
              <w:wordWrap/>
              <w:overflowPunct/>
              <w:topLinePunct w:val="0"/>
              <w:bidi w:val="0"/>
              <w:snapToGrid w:val="0"/>
              <w:spacing w:line="300" w:lineRule="auto"/>
              <w:ind w:left="0"/>
              <w:jc w:val="center"/>
              <w:rPr>
                <w:rFonts w:hint="eastAsia" w:ascii="Calibri" w:hAnsi="Calibri" w:eastAsia="宋体" w:cs="Calibri"/>
                <w:b/>
                <w:bCs/>
                <w:color w:val="auto"/>
                <w:kern w:val="0"/>
                <w:szCs w:val="21"/>
                <w:highlight w:val="none"/>
                <w:lang w:val="en-US" w:eastAsia="zh-CN"/>
              </w:rPr>
            </w:pPr>
            <w:r>
              <w:rPr>
                <w:rFonts w:hint="eastAsia" w:cs="Calibri"/>
                <w:b/>
                <w:bCs/>
                <w:color w:val="auto"/>
                <w:kern w:val="0"/>
                <w:szCs w:val="21"/>
                <w:highlight w:val="none"/>
                <w:lang w:val="en-US" w:eastAsia="zh-CN"/>
              </w:rPr>
              <w:t>序号</w:t>
            </w:r>
          </w:p>
        </w:tc>
        <w:tc>
          <w:tcPr>
            <w:tcW w:w="3369" w:type="dxa"/>
            <w:noWrap w:val="0"/>
            <w:vAlign w:val="center"/>
          </w:tcPr>
          <w:p w14:paraId="13876599">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Cs w:val="21"/>
                <w:highlight w:val="none"/>
              </w:rPr>
            </w:pPr>
            <w:r>
              <w:rPr>
                <w:rFonts w:hint="default" w:ascii="Calibri" w:hAnsi="Calibri" w:eastAsia="宋体" w:cs="Calibri"/>
                <w:b/>
                <w:bCs/>
                <w:color w:val="auto"/>
                <w:kern w:val="0"/>
                <w:szCs w:val="21"/>
                <w:highlight w:val="none"/>
              </w:rPr>
              <w:t>服务内容</w:t>
            </w:r>
          </w:p>
        </w:tc>
        <w:tc>
          <w:tcPr>
            <w:tcW w:w="9934" w:type="dxa"/>
            <w:noWrap w:val="0"/>
            <w:vAlign w:val="center"/>
          </w:tcPr>
          <w:p w14:paraId="2674DE0B">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Cs w:val="21"/>
                <w:highlight w:val="none"/>
                <w:lang w:val="en-US" w:eastAsia="zh-CN"/>
              </w:rPr>
            </w:pPr>
            <w:r>
              <w:rPr>
                <w:rFonts w:hint="eastAsia" w:cs="Calibri"/>
                <w:b/>
                <w:bCs/>
                <w:color w:val="auto"/>
                <w:kern w:val="0"/>
                <w:szCs w:val="21"/>
                <w:highlight w:val="none"/>
                <w:lang w:val="en-US" w:eastAsia="zh-CN"/>
              </w:rPr>
              <w:t>服务标准</w:t>
            </w:r>
          </w:p>
        </w:tc>
      </w:tr>
      <w:tr w14:paraId="64A4F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0" w:type="dxa"/>
            <w:vMerge w:val="restart"/>
            <w:noWrap w:val="0"/>
            <w:vAlign w:val="center"/>
          </w:tcPr>
          <w:p w14:paraId="62314BC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lang w:val="en-US" w:eastAsia="zh-CN"/>
              </w:rPr>
            </w:pPr>
            <w:r>
              <w:rPr>
                <w:rFonts w:hint="eastAsia"/>
                <w:highlight w:val="none"/>
                <w:lang w:val="en-US" w:eastAsia="zh-CN"/>
              </w:rPr>
              <w:t>1</w:t>
            </w:r>
          </w:p>
        </w:tc>
        <w:tc>
          <w:tcPr>
            <w:tcW w:w="3369" w:type="dxa"/>
            <w:vMerge w:val="restart"/>
            <w:noWrap w:val="0"/>
            <w:vAlign w:val="center"/>
          </w:tcPr>
          <w:p w14:paraId="153EA80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kern w:val="2"/>
                <w:sz w:val="21"/>
                <w:szCs w:val="21"/>
                <w:highlight w:val="none"/>
                <w:lang w:val="en-US" w:eastAsia="zh-CN" w:bidi="ar-SA"/>
              </w:rPr>
            </w:pPr>
            <w:r>
              <w:rPr>
                <w:rFonts w:hint="eastAsia"/>
                <w:highlight w:val="none"/>
                <w:lang w:val="en-US" w:eastAsia="zh-CN"/>
              </w:rPr>
              <w:t>基本要求</w:t>
            </w:r>
          </w:p>
        </w:tc>
        <w:tc>
          <w:tcPr>
            <w:tcW w:w="9934" w:type="dxa"/>
            <w:noWrap w:val="0"/>
            <w:vAlign w:val="center"/>
          </w:tcPr>
          <w:p w14:paraId="41225D55">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详细填写学生就寝记录</w:t>
            </w:r>
            <w:r>
              <w:rPr>
                <w:rFonts w:hint="eastAsia" w:eastAsia="宋体" w:cs="Calibri"/>
                <w:b w:val="0"/>
                <w:bCs w:val="0"/>
                <w:color w:val="auto"/>
                <w:kern w:val="0"/>
                <w:szCs w:val="21"/>
                <w:highlight w:val="none"/>
                <w:lang w:val="en-US" w:eastAsia="zh-CN"/>
              </w:rPr>
              <w:t>。</w:t>
            </w:r>
          </w:p>
        </w:tc>
      </w:tr>
      <w:tr w14:paraId="488CD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0" w:type="dxa"/>
            <w:vMerge w:val="continue"/>
            <w:noWrap w:val="0"/>
            <w:vAlign w:val="center"/>
          </w:tcPr>
          <w:p w14:paraId="07069D4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69" w:type="dxa"/>
            <w:vMerge w:val="continue"/>
            <w:noWrap w:val="0"/>
            <w:vAlign w:val="center"/>
          </w:tcPr>
          <w:p w14:paraId="5F1BEBC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highlight w:val="none"/>
                <w:lang w:val="en-US" w:eastAsia="zh-CN"/>
              </w:rPr>
            </w:pPr>
          </w:p>
        </w:tc>
        <w:tc>
          <w:tcPr>
            <w:tcW w:w="9934" w:type="dxa"/>
            <w:noWrap w:val="0"/>
            <w:vAlign w:val="center"/>
          </w:tcPr>
          <w:p w14:paraId="1D6BE6BE">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（2）</w:t>
            </w:r>
            <w:r>
              <w:rPr>
                <w:rFonts w:hint="eastAsia" w:ascii="Calibri" w:hAnsi="Calibri" w:eastAsia="宋体" w:cs="Calibri"/>
                <w:b w:val="0"/>
                <w:bCs w:val="0"/>
                <w:color w:val="auto"/>
                <w:kern w:val="0"/>
                <w:szCs w:val="21"/>
                <w:highlight w:val="none"/>
                <w:lang w:val="en-US" w:eastAsia="zh-CN"/>
              </w:rPr>
              <w:t>负责男生、女生宿舍的值班巡查及日常事务。</w:t>
            </w:r>
          </w:p>
        </w:tc>
      </w:tr>
      <w:tr w14:paraId="4F113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0" w:type="dxa"/>
            <w:vMerge w:val="continue"/>
            <w:noWrap w:val="0"/>
            <w:vAlign w:val="center"/>
          </w:tcPr>
          <w:p w14:paraId="4914F8A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69" w:type="dxa"/>
            <w:vMerge w:val="continue"/>
            <w:noWrap w:val="0"/>
            <w:vAlign w:val="center"/>
          </w:tcPr>
          <w:p w14:paraId="62577D0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highlight w:val="none"/>
                <w:lang w:val="en-US" w:eastAsia="zh-CN"/>
              </w:rPr>
            </w:pPr>
          </w:p>
        </w:tc>
        <w:tc>
          <w:tcPr>
            <w:tcW w:w="9934" w:type="dxa"/>
            <w:noWrap w:val="0"/>
            <w:vAlign w:val="center"/>
          </w:tcPr>
          <w:p w14:paraId="54E31D7B">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（3）</w:t>
            </w:r>
            <w:r>
              <w:rPr>
                <w:rFonts w:hint="eastAsia" w:ascii="Calibri" w:hAnsi="Calibri" w:eastAsia="宋体" w:cs="Calibri"/>
                <w:b w:val="0"/>
                <w:bCs w:val="0"/>
                <w:color w:val="auto"/>
                <w:kern w:val="0"/>
                <w:szCs w:val="21"/>
                <w:highlight w:val="none"/>
                <w:lang w:val="en-US" w:eastAsia="zh-CN"/>
              </w:rPr>
              <w:t>每日至少进行安全巡视</w:t>
            </w:r>
            <w:r>
              <w:rPr>
                <w:rFonts w:hint="eastAsia" w:cs="Calibri"/>
                <w:b w:val="0"/>
                <w:bCs w:val="0"/>
                <w:color w:val="auto"/>
                <w:kern w:val="0"/>
                <w:szCs w:val="21"/>
                <w:highlight w:val="none"/>
                <w:lang w:val="en-US" w:eastAsia="zh-CN"/>
              </w:rPr>
              <w:t>四</w:t>
            </w:r>
            <w:r>
              <w:rPr>
                <w:rFonts w:hint="eastAsia" w:ascii="Calibri" w:hAnsi="Calibri" w:eastAsia="宋体" w:cs="Calibri"/>
                <w:b w:val="0"/>
                <w:bCs w:val="0"/>
                <w:color w:val="auto"/>
                <w:kern w:val="0"/>
                <w:szCs w:val="21"/>
                <w:highlight w:val="none"/>
                <w:lang w:val="en-US" w:eastAsia="zh-CN"/>
              </w:rPr>
              <w:t>次，详细查看电开关，水阀门是否正常，查看安全门是否正常并做好巡视记录。</w:t>
            </w:r>
          </w:p>
        </w:tc>
      </w:tr>
      <w:tr w14:paraId="2427C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0" w:type="dxa"/>
            <w:vMerge w:val="continue"/>
            <w:noWrap w:val="0"/>
            <w:vAlign w:val="center"/>
          </w:tcPr>
          <w:p w14:paraId="5FDC8C0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lang w:val="en-US" w:eastAsia="zh-CN"/>
              </w:rPr>
            </w:pPr>
          </w:p>
        </w:tc>
        <w:tc>
          <w:tcPr>
            <w:tcW w:w="3369" w:type="dxa"/>
            <w:vMerge w:val="continue"/>
            <w:noWrap w:val="0"/>
            <w:vAlign w:val="center"/>
          </w:tcPr>
          <w:p w14:paraId="3A32DB0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kern w:val="2"/>
                <w:sz w:val="21"/>
                <w:szCs w:val="21"/>
                <w:highlight w:val="none"/>
                <w:lang w:val="en-US" w:eastAsia="zh-CN" w:bidi="ar-SA"/>
              </w:rPr>
            </w:pPr>
          </w:p>
        </w:tc>
        <w:tc>
          <w:tcPr>
            <w:tcW w:w="9934" w:type="dxa"/>
            <w:noWrap w:val="0"/>
            <w:vAlign w:val="center"/>
          </w:tcPr>
          <w:p w14:paraId="52A2CF19">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（4）</w:t>
            </w:r>
            <w:r>
              <w:rPr>
                <w:rFonts w:hint="eastAsia" w:ascii="Calibri" w:hAnsi="Calibri" w:eastAsia="宋体" w:cs="Calibri"/>
                <w:b w:val="0"/>
                <w:bCs w:val="0"/>
                <w:color w:val="auto"/>
                <w:kern w:val="0"/>
                <w:szCs w:val="21"/>
                <w:highlight w:val="none"/>
                <w:lang w:val="en-US" w:eastAsia="zh-CN"/>
              </w:rPr>
              <w:t>会正确使用消防器材</w:t>
            </w:r>
            <w:r>
              <w:rPr>
                <w:rFonts w:hint="eastAsia" w:eastAsia="宋体" w:cs="Calibri"/>
                <w:b w:val="0"/>
                <w:bCs w:val="0"/>
                <w:color w:val="auto"/>
                <w:kern w:val="0"/>
                <w:szCs w:val="21"/>
                <w:highlight w:val="none"/>
                <w:lang w:val="en-US" w:eastAsia="zh-CN"/>
              </w:rPr>
              <w:t>。</w:t>
            </w:r>
          </w:p>
        </w:tc>
      </w:tr>
      <w:tr w14:paraId="7FE56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0" w:type="dxa"/>
            <w:vMerge w:val="continue"/>
            <w:noWrap w:val="0"/>
            <w:vAlign w:val="center"/>
          </w:tcPr>
          <w:p w14:paraId="49FAABE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lang w:val="en-US" w:eastAsia="zh-CN"/>
              </w:rPr>
            </w:pPr>
          </w:p>
        </w:tc>
        <w:tc>
          <w:tcPr>
            <w:tcW w:w="3369" w:type="dxa"/>
            <w:vMerge w:val="continue"/>
            <w:noWrap w:val="0"/>
            <w:vAlign w:val="center"/>
          </w:tcPr>
          <w:p w14:paraId="43B5647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kern w:val="2"/>
                <w:sz w:val="21"/>
                <w:szCs w:val="21"/>
                <w:highlight w:val="none"/>
                <w:lang w:val="en-US" w:eastAsia="zh-CN" w:bidi="ar-SA"/>
              </w:rPr>
            </w:pPr>
          </w:p>
        </w:tc>
        <w:tc>
          <w:tcPr>
            <w:tcW w:w="9934" w:type="dxa"/>
            <w:noWrap w:val="0"/>
            <w:vAlign w:val="center"/>
          </w:tcPr>
          <w:p w14:paraId="08E79E50">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（5）</w:t>
            </w:r>
            <w:r>
              <w:rPr>
                <w:rFonts w:hint="eastAsia" w:ascii="Calibri" w:hAnsi="Calibri" w:eastAsia="宋体" w:cs="Calibri"/>
                <w:b w:val="0"/>
                <w:bCs w:val="0"/>
                <w:color w:val="auto"/>
                <w:kern w:val="0"/>
                <w:szCs w:val="21"/>
                <w:highlight w:val="none"/>
                <w:lang w:val="en-US" w:eastAsia="zh-CN"/>
              </w:rPr>
              <w:t>突发情况下能及时疏散楼内人员。</w:t>
            </w:r>
          </w:p>
        </w:tc>
      </w:tr>
    </w:tbl>
    <w:p w14:paraId="7207F3FB">
      <w:pPr>
        <w:pStyle w:val="55"/>
        <w:pageBreakBefore w:val="0"/>
        <w:shd w:val="clear" w:color="auto" w:fill="auto"/>
        <w:kinsoku/>
        <w:wordWrap/>
        <w:overflowPunct/>
        <w:topLinePunct w:val="0"/>
        <w:bidi w:val="0"/>
        <w:spacing w:line="360" w:lineRule="auto"/>
        <w:ind w:firstLine="498" w:firstLineChars="177"/>
        <w:rPr>
          <w:rFonts w:hint="eastAsia" w:ascii="宋体" w:hAnsi="宋体" w:eastAsia="宋体" w:cs="宋体"/>
          <w:b/>
          <w:bCs/>
          <w:color w:val="auto"/>
          <w:kern w:val="44"/>
          <w:sz w:val="28"/>
          <w:szCs w:val="28"/>
          <w:highlight w:val="none"/>
          <w:lang w:val="en-US" w:eastAsia="zh-CN" w:bidi="ar-SA"/>
        </w:rPr>
      </w:pPr>
      <w:r>
        <w:rPr>
          <w:rFonts w:hint="eastAsia" w:ascii="宋体" w:hAnsi="宋体" w:eastAsia="宋体" w:cs="宋体"/>
          <w:b/>
          <w:bCs/>
          <w:color w:val="auto"/>
          <w:kern w:val="44"/>
          <w:sz w:val="28"/>
          <w:szCs w:val="28"/>
          <w:highlight w:val="none"/>
          <w:lang w:val="en-US" w:eastAsia="zh-CN" w:bidi="ar-SA"/>
        </w:rPr>
        <w:t>4.供应商履行合同所需的设备</w:t>
      </w:r>
    </w:p>
    <w:p w14:paraId="22B3CE7D">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default"/>
          <w:highlight w:val="none"/>
          <w:lang w:val="en-US" w:eastAsia="zh-CN"/>
        </w:rPr>
      </w:pPr>
      <w:r>
        <w:rPr>
          <w:rFonts w:hint="eastAsia"/>
          <w:highlight w:val="none"/>
          <w:lang w:val="en-US" w:eastAsia="zh-CN"/>
        </w:rPr>
        <w:t>采购人根据项目实际需求，需要供应商提供作业设备</w:t>
      </w:r>
      <w:r>
        <w:rPr>
          <w:rFonts w:hint="eastAsia" w:eastAsia="宋体"/>
          <w:b w:val="0"/>
          <w:bCs w:val="0"/>
          <w:color w:val="auto"/>
          <w:highlight w:val="none"/>
          <w:lang w:val="en-US" w:eastAsia="zh-CN"/>
        </w:rPr>
        <w:t>（自有或租赁）</w:t>
      </w:r>
      <w:r>
        <w:rPr>
          <w:rFonts w:hint="eastAsia"/>
          <w:highlight w:val="none"/>
          <w:lang w:val="en-US" w:eastAsia="zh-CN"/>
        </w:rPr>
        <w:t>用于物业管理服务的，可在下表中列出，举例如下：</w:t>
      </w:r>
    </w:p>
    <w:tbl>
      <w:tblPr>
        <w:tblStyle w:val="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2722"/>
        <w:gridCol w:w="3412"/>
        <w:gridCol w:w="874"/>
        <w:gridCol w:w="850"/>
      </w:tblGrid>
      <w:tr w14:paraId="0FB93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4" w:type="dxa"/>
            <w:noWrap w:val="0"/>
            <w:vAlign w:val="center"/>
          </w:tcPr>
          <w:p w14:paraId="0090D5D1">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Cs w:val="21"/>
                <w:highlight w:val="none"/>
              </w:rPr>
            </w:pPr>
            <w:r>
              <w:rPr>
                <w:rFonts w:hint="default" w:ascii="Calibri" w:hAnsi="Calibri" w:eastAsia="宋体" w:cs="Calibri"/>
                <w:b/>
                <w:bCs/>
                <w:color w:val="auto"/>
                <w:kern w:val="0"/>
                <w:szCs w:val="21"/>
                <w:highlight w:val="none"/>
              </w:rPr>
              <w:t>序号</w:t>
            </w:r>
          </w:p>
        </w:tc>
        <w:tc>
          <w:tcPr>
            <w:tcW w:w="4650" w:type="dxa"/>
            <w:noWrap w:val="0"/>
            <w:vAlign w:val="center"/>
          </w:tcPr>
          <w:p w14:paraId="51CA84B8">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Cs w:val="21"/>
                <w:highlight w:val="none"/>
              </w:rPr>
            </w:pPr>
            <w:r>
              <w:rPr>
                <w:rFonts w:hint="eastAsia" w:ascii="Calibri" w:hAnsi="Calibri" w:eastAsia="宋体" w:cs="Calibri"/>
                <w:b/>
                <w:bCs/>
                <w:color w:val="auto"/>
                <w:kern w:val="0"/>
                <w:szCs w:val="21"/>
                <w:highlight w:val="none"/>
                <w:lang w:val="en-US" w:eastAsia="zh-CN"/>
              </w:rPr>
              <w:t>用途</w:t>
            </w:r>
          </w:p>
        </w:tc>
        <w:tc>
          <w:tcPr>
            <w:tcW w:w="5829" w:type="dxa"/>
            <w:noWrap w:val="0"/>
            <w:vAlign w:val="center"/>
          </w:tcPr>
          <w:p w14:paraId="6F26CF39">
            <w:pPr>
              <w:pageBreakBefore w:val="0"/>
              <w:widowControl/>
              <w:kinsoku/>
              <w:wordWrap/>
              <w:overflowPunct/>
              <w:topLinePunct w:val="0"/>
              <w:bidi w:val="0"/>
              <w:snapToGrid w:val="0"/>
              <w:spacing w:line="300" w:lineRule="auto"/>
              <w:ind w:left="0"/>
              <w:jc w:val="center"/>
              <w:rPr>
                <w:rFonts w:hint="eastAsia" w:ascii="Calibri" w:hAnsi="Calibri" w:eastAsia="宋体" w:cs="Calibri"/>
                <w:b/>
                <w:bCs/>
                <w:color w:val="auto"/>
                <w:kern w:val="0"/>
                <w:szCs w:val="21"/>
                <w:highlight w:val="none"/>
                <w:lang w:eastAsia="zh-CN"/>
              </w:rPr>
            </w:pPr>
            <w:r>
              <w:rPr>
                <w:rFonts w:hint="eastAsia" w:ascii="Calibri" w:hAnsi="Calibri" w:eastAsia="宋体" w:cs="Calibri"/>
                <w:b/>
                <w:bCs/>
                <w:color w:val="auto"/>
                <w:kern w:val="0"/>
                <w:szCs w:val="21"/>
                <w:highlight w:val="none"/>
                <w:lang w:val="en-US" w:eastAsia="zh-CN"/>
              </w:rPr>
              <w:t>作业设备</w:t>
            </w:r>
            <w:r>
              <w:rPr>
                <w:rFonts w:hint="default" w:ascii="Calibri" w:hAnsi="Calibri" w:eastAsia="宋体" w:cs="Calibri"/>
                <w:b/>
                <w:bCs/>
                <w:color w:val="auto"/>
                <w:kern w:val="0"/>
                <w:szCs w:val="21"/>
                <w:highlight w:val="none"/>
              </w:rPr>
              <w:t>名称</w:t>
            </w:r>
          </w:p>
        </w:tc>
        <w:tc>
          <w:tcPr>
            <w:tcW w:w="1494" w:type="dxa"/>
            <w:noWrap w:val="0"/>
            <w:vAlign w:val="center"/>
          </w:tcPr>
          <w:p w14:paraId="694C663C">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Cs w:val="21"/>
                <w:highlight w:val="none"/>
                <w:lang w:val="en-US" w:eastAsia="zh-CN"/>
              </w:rPr>
            </w:pPr>
            <w:r>
              <w:rPr>
                <w:rFonts w:hint="eastAsia" w:ascii="Calibri" w:hAnsi="Calibri" w:eastAsia="宋体" w:cs="Calibri"/>
                <w:b/>
                <w:bCs/>
                <w:color w:val="auto"/>
                <w:kern w:val="0"/>
                <w:szCs w:val="21"/>
                <w:highlight w:val="none"/>
                <w:lang w:val="en-US" w:eastAsia="zh-CN"/>
              </w:rPr>
              <w:t>数量</w:t>
            </w:r>
          </w:p>
        </w:tc>
        <w:tc>
          <w:tcPr>
            <w:tcW w:w="1453" w:type="dxa"/>
            <w:noWrap w:val="0"/>
            <w:vAlign w:val="center"/>
          </w:tcPr>
          <w:p w14:paraId="68B6EEEE">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Cs w:val="21"/>
                <w:highlight w:val="none"/>
                <w:lang w:val="en-US" w:eastAsia="zh-CN"/>
              </w:rPr>
            </w:pPr>
            <w:r>
              <w:rPr>
                <w:rFonts w:hint="eastAsia" w:ascii="Calibri" w:hAnsi="Calibri" w:eastAsia="宋体" w:cs="Calibri"/>
                <w:b/>
                <w:bCs/>
                <w:color w:val="auto"/>
                <w:kern w:val="0"/>
                <w:szCs w:val="21"/>
                <w:highlight w:val="none"/>
                <w:lang w:val="en-US" w:eastAsia="zh-CN"/>
              </w:rPr>
              <w:t>单位</w:t>
            </w:r>
          </w:p>
        </w:tc>
      </w:tr>
      <w:tr w14:paraId="1E390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4" w:type="dxa"/>
            <w:noWrap w:val="0"/>
            <w:vAlign w:val="center"/>
          </w:tcPr>
          <w:p w14:paraId="69D39A0F">
            <w:pPr>
              <w:pageBreakBefore w:val="0"/>
              <w:widowControl/>
              <w:numPr>
                <w:ilvl w:val="0"/>
                <w:numId w:val="0"/>
              </w:numPr>
              <w:kinsoku/>
              <w:wordWrap/>
              <w:overflowPunct/>
              <w:topLinePunct w:val="0"/>
              <w:bidi w:val="0"/>
              <w:snapToGrid w:val="0"/>
              <w:spacing w:line="300" w:lineRule="auto"/>
              <w:ind w:left="0" w:firstLine="0"/>
              <w:jc w:val="center"/>
              <w:rPr>
                <w:rFonts w:hint="eastAsia" w:ascii="Calibri" w:hAnsi="Calibri" w:eastAsia="宋体" w:cs="Calibri"/>
                <w:b w:val="0"/>
                <w:bCs w:val="0"/>
                <w:color w:val="auto"/>
                <w:kern w:val="0"/>
                <w:sz w:val="21"/>
                <w:szCs w:val="21"/>
                <w:highlight w:val="none"/>
                <w:lang w:val="en-US" w:eastAsia="zh-CN"/>
              </w:rPr>
            </w:pPr>
            <w:r>
              <w:rPr>
                <w:rFonts w:hint="eastAsia" w:cs="Calibri"/>
                <w:b w:val="0"/>
                <w:bCs w:val="0"/>
                <w:color w:val="auto"/>
                <w:kern w:val="0"/>
                <w:sz w:val="21"/>
                <w:szCs w:val="21"/>
                <w:highlight w:val="none"/>
                <w:lang w:val="en-US" w:eastAsia="zh-CN"/>
              </w:rPr>
              <w:t>1</w:t>
            </w:r>
          </w:p>
        </w:tc>
        <w:tc>
          <w:tcPr>
            <w:tcW w:w="4650" w:type="dxa"/>
            <w:noWrap w:val="0"/>
            <w:vAlign w:val="center"/>
          </w:tcPr>
          <w:p w14:paraId="10AF0104">
            <w:pPr>
              <w:pageBreakBefore w:val="0"/>
              <w:widowControl/>
              <w:kinsoku/>
              <w:wordWrap/>
              <w:overflowPunct/>
              <w:topLinePunct w:val="0"/>
              <w:bidi w:val="0"/>
              <w:snapToGrid w:val="0"/>
              <w:spacing w:line="300" w:lineRule="auto"/>
              <w:ind w:left="0" w:leftChars="0"/>
              <w:jc w:val="center"/>
              <w:rPr>
                <w:rFonts w:hint="default" w:ascii="Calibri" w:hAnsi="Calibri" w:eastAsia="宋体" w:cs="Calibri"/>
                <w:b w:val="0"/>
                <w:bCs w:val="0"/>
                <w:color w:val="auto"/>
                <w:kern w:val="0"/>
                <w:sz w:val="21"/>
                <w:szCs w:val="21"/>
                <w:highlight w:val="none"/>
                <w:lang w:val="en-US" w:eastAsia="zh-CN" w:bidi="ar-SA"/>
              </w:rPr>
            </w:pPr>
            <w:r>
              <w:rPr>
                <w:rFonts w:hint="eastAsia" w:eastAsia="宋体" w:cs="Calibri"/>
                <w:b w:val="0"/>
                <w:bCs w:val="0"/>
                <w:color w:val="auto"/>
                <w:kern w:val="0"/>
                <w:sz w:val="21"/>
                <w:szCs w:val="21"/>
                <w:highlight w:val="none"/>
                <w:lang w:val="en-US" w:eastAsia="zh-CN" w:bidi="ar-SA"/>
              </w:rPr>
              <w:t>房屋维修服务</w:t>
            </w:r>
          </w:p>
        </w:tc>
        <w:tc>
          <w:tcPr>
            <w:tcW w:w="5829" w:type="dxa"/>
            <w:noWrap w:val="0"/>
            <w:vAlign w:val="center"/>
          </w:tcPr>
          <w:p w14:paraId="1F857BC6">
            <w:pPr>
              <w:pageBreakBefore w:val="0"/>
              <w:widowControl/>
              <w:kinsoku/>
              <w:wordWrap/>
              <w:overflowPunct/>
              <w:topLinePunct w:val="0"/>
              <w:bidi w:val="0"/>
              <w:snapToGrid w:val="0"/>
              <w:spacing w:line="300" w:lineRule="auto"/>
              <w:ind w:left="0" w:leftChars="0"/>
              <w:jc w:val="center"/>
              <w:rPr>
                <w:rFonts w:hint="eastAsia" w:ascii="Calibri" w:hAnsi="Calibri" w:eastAsia="宋体" w:cs="Calibri"/>
                <w:b w:val="0"/>
                <w:bCs w:val="0"/>
                <w:color w:val="auto"/>
                <w:kern w:val="0"/>
                <w:sz w:val="21"/>
                <w:szCs w:val="21"/>
                <w:highlight w:val="none"/>
                <w:lang w:val="en-US" w:eastAsia="zh-CN" w:bidi="ar-SA"/>
              </w:rPr>
            </w:pPr>
            <w:r>
              <w:rPr>
                <w:rFonts w:hint="eastAsia" w:cs="Calibri"/>
                <w:b w:val="0"/>
                <w:bCs w:val="0"/>
                <w:color w:val="auto"/>
                <w:kern w:val="0"/>
                <w:sz w:val="21"/>
                <w:szCs w:val="21"/>
                <w:highlight w:val="none"/>
                <w:lang w:val="en-US" w:eastAsia="zh-CN" w:bidi="ar-SA"/>
              </w:rPr>
              <w:t>梯子</w:t>
            </w:r>
          </w:p>
        </w:tc>
        <w:tc>
          <w:tcPr>
            <w:tcW w:w="1494" w:type="dxa"/>
            <w:noWrap w:val="0"/>
            <w:vAlign w:val="center"/>
          </w:tcPr>
          <w:p w14:paraId="479114C3">
            <w:pPr>
              <w:pageBreakBefore w:val="0"/>
              <w:widowControl/>
              <w:kinsoku/>
              <w:wordWrap/>
              <w:overflowPunct/>
              <w:topLinePunct w:val="0"/>
              <w:bidi w:val="0"/>
              <w:snapToGrid w:val="0"/>
              <w:spacing w:line="300" w:lineRule="auto"/>
              <w:ind w:left="0" w:leftChars="0"/>
              <w:jc w:val="center"/>
              <w:rPr>
                <w:rFonts w:hint="default" w:ascii="Calibri" w:hAnsi="Calibri" w:eastAsia="宋体" w:cs="Calibri"/>
                <w:b w:val="0"/>
                <w:bCs w:val="0"/>
                <w:color w:val="auto"/>
                <w:kern w:val="0"/>
                <w:sz w:val="21"/>
                <w:szCs w:val="21"/>
                <w:highlight w:val="none"/>
                <w:lang w:val="en-US" w:eastAsia="zh-CN"/>
              </w:rPr>
            </w:pPr>
            <w:r>
              <w:rPr>
                <w:rFonts w:hint="eastAsia" w:cs="Calibri"/>
                <w:b w:val="0"/>
                <w:bCs w:val="0"/>
                <w:color w:val="auto"/>
                <w:kern w:val="0"/>
                <w:sz w:val="21"/>
                <w:szCs w:val="21"/>
                <w:highlight w:val="none"/>
                <w:lang w:val="en-US" w:eastAsia="zh-CN"/>
              </w:rPr>
              <w:t>1</w:t>
            </w:r>
          </w:p>
        </w:tc>
        <w:tc>
          <w:tcPr>
            <w:tcW w:w="1453" w:type="dxa"/>
            <w:noWrap w:val="0"/>
            <w:vAlign w:val="center"/>
          </w:tcPr>
          <w:p w14:paraId="781BE50A">
            <w:pPr>
              <w:pageBreakBefore w:val="0"/>
              <w:widowControl/>
              <w:kinsoku/>
              <w:wordWrap/>
              <w:overflowPunct/>
              <w:topLinePunct w:val="0"/>
              <w:bidi w:val="0"/>
              <w:snapToGrid w:val="0"/>
              <w:spacing w:line="300" w:lineRule="auto"/>
              <w:ind w:left="0" w:leftChars="0"/>
              <w:jc w:val="center"/>
              <w:rPr>
                <w:rFonts w:hint="default" w:ascii="Calibri" w:hAnsi="Calibri" w:eastAsia="宋体" w:cs="Calibri"/>
                <w:b w:val="0"/>
                <w:bCs w:val="0"/>
                <w:color w:val="auto"/>
                <w:kern w:val="0"/>
                <w:sz w:val="21"/>
                <w:szCs w:val="21"/>
                <w:highlight w:val="none"/>
                <w:lang w:val="en-US" w:eastAsia="zh-CN"/>
              </w:rPr>
            </w:pPr>
            <w:r>
              <w:rPr>
                <w:rFonts w:hint="eastAsia" w:eastAsia="宋体" w:cs="Calibri"/>
                <w:b w:val="0"/>
                <w:bCs w:val="0"/>
                <w:color w:val="auto"/>
                <w:kern w:val="0"/>
                <w:sz w:val="21"/>
                <w:szCs w:val="21"/>
                <w:highlight w:val="none"/>
                <w:lang w:val="en-US" w:eastAsia="zh-CN"/>
              </w:rPr>
              <w:t>台</w:t>
            </w:r>
          </w:p>
        </w:tc>
      </w:tr>
      <w:tr w14:paraId="28329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4" w:type="dxa"/>
            <w:noWrap w:val="0"/>
            <w:vAlign w:val="center"/>
          </w:tcPr>
          <w:p w14:paraId="11FB68F7">
            <w:pPr>
              <w:pageBreakBefore w:val="0"/>
              <w:widowControl/>
              <w:numPr>
                <w:ilvl w:val="0"/>
                <w:numId w:val="0"/>
              </w:numPr>
              <w:kinsoku/>
              <w:wordWrap/>
              <w:overflowPunct/>
              <w:topLinePunct w:val="0"/>
              <w:bidi w:val="0"/>
              <w:snapToGrid w:val="0"/>
              <w:spacing w:line="300" w:lineRule="auto"/>
              <w:ind w:left="0" w:firstLine="0"/>
              <w:jc w:val="center"/>
              <w:rPr>
                <w:rFonts w:hint="eastAsia" w:ascii="Calibri" w:hAnsi="Calibri" w:eastAsia="宋体" w:cs="Calibri"/>
                <w:b w:val="0"/>
                <w:bCs w:val="0"/>
                <w:color w:val="auto"/>
                <w:kern w:val="0"/>
                <w:sz w:val="21"/>
                <w:szCs w:val="21"/>
                <w:highlight w:val="none"/>
                <w:lang w:val="en-US" w:eastAsia="zh-CN"/>
              </w:rPr>
            </w:pPr>
            <w:r>
              <w:rPr>
                <w:rFonts w:hint="eastAsia" w:cs="Calibri"/>
                <w:b w:val="0"/>
                <w:bCs w:val="0"/>
                <w:color w:val="auto"/>
                <w:kern w:val="0"/>
                <w:sz w:val="21"/>
                <w:szCs w:val="21"/>
                <w:highlight w:val="none"/>
                <w:lang w:val="en-US" w:eastAsia="zh-CN"/>
              </w:rPr>
              <w:t>2</w:t>
            </w:r>
          </w:p>
        </w:tc>
        <w:tc>
          <w:tcPr>
            <w:tcW w:w="4650" w:type="dxa"/>
            <w:noWrap w:val="0"/>
            <w:vAlign w:val="center"/>
          </w:tcPr>
          <w:p w14:paraId="0EC089E6">
            <w:pPr>
              <w:pageBreakBefore w:val="0"/>
              <w:widowControl/>
              <w:kinsoku/>
              <w:wordWrap/>
              <w:overflowPunct/>
              <w:topLinePunct w:val="0"/>
              <w:bidi w:val="0"/>
              <w:snapToGrid w:val="0"/>
              <w:spacing w:line="300" w:lineRule="auto"/>
              <w:ind w:left="0" w:leftChars="0"/>
              <w:jc w:val="center"/>
              <w:rPr>
                <w:rFonts w:hint="eastAsia" w:eastAsia="宋体" w:cs="Calibri"/>
                <w:b w:val="0"/>
                <w:bCs w:val="0"/>
                <w:color w:val="auto"/>
                <w:kern w:val="0"/>
                <w:sz w:val="21"/>
                <w:szCs w:val="21"/>
                <w:highlight w:val="none"/>
                <w:lang w:val="en-US" w:eastAsia="zh-CN" w:bidi="ar-SA"/>
              </w:rPr>
            </w:pPr>
            <w:r>
              <w:rPr>
                <w:rFonts w:hint="eastAsia"/>
                <w:sz w:val="21"/>
                <w:szCs w:val="21"/>
                <w:highlight w:val="none"/>
                <w:lang w:val="en-US" w:eastAsia="zh-CN"/>
              </w:rPr>
              <w:t>公用设施设备维护服务</w:t>
            </w:r>
          </w:p>
        </w:tc>
        <w:tc>
          <w:tcPr>
            <w:tcW w:w="5829" w:type="dxa"/>
            <w:noWrap w:val="0"/>
            <w:vAlign w:val="center"/>
          </w:tcPr>
          <w:p w14:paraId="59378C67">
            <w:pPr>
              <w:pageBreakBefore w:val="0"/>
              <w:widowControl/>
              <w:kinsoku/>
              <w:wordWrap/>
              <w:overflowPunct/>
              <w:topLinePunct w:val="0"/>
              <w:bidi w:val="0"/>
              <w:snapToGrid w:val="0"/>
              <w:spacing w:line="300" w:lineRule="auto"/>
              <w:ind w:left="0" w:leftChars="0"/>
              <w:jc w:val="center"/>
              <w:rPr>
                <w:rFonts w:hint="default" w:ascii="Calibri" w:hAnsi="Calibri" w:eastAsia="宋体" w:cs="Calibri"/>
                <w:b w:val="0"/>
                <w:bCs w:val="0"/>
                <w:color w:val="auto"/>
                <w:kern w:val="0"/>
                <w:sz w:val="21"/>
                <w:szCs w:val="21"/>
                <w:highlight w:val="none"/>
                <w:lang w:val="en-US" w:eastAsia="zh-CN" w:bidi="ar-SA"/>
              </w:rPr>
            </w:pPr>
            <w:r>
              <w:rPr>
                <w:rFonts w:hint="eastAsia" w:cs="Calibri"/>
                <w:b w:val="0"/>
                <w:bCs w:val="0"/>
                <w:color w:val="auto"/>
                <w:kern w:val="0"/>
                <w:sz w:val="21"/>
                <w:szCs w:val="21"/>
                <w:highlight w:val="none"/>
                <w:lang w:val="en-US" w:eastAsia="zh-CN" w:bidi="ar-SA"/>
              </w:rPr>
              <w:t>弹簧机、电焊机、切割机、角磨机</w:t>
            </w:r>
          </w:p>
        </w:tc>
        <w:tc>
          <w:tcPr>
            <w:tcW w:w="1494" w:type="dxa"/>
            <w:noWrap w:val="0"/>
            <w:vAlign w:val="center"/>
          </w:tcPr>
          <w:p w14:paraId="16299D7E">
            <w:pPr>
              <w:pageBreakBefore w:val="0"/>
              <w:widowControl/>
              <w:kinsoku/>
              <w:wordWrap/>
              <w:overflowPunct/>
              <w:topLinePunct w:val="0"/>
              <w:bidi w:val="0"/>
              <w:snapToGrid w:val="0"/>
              <w:spacing w:line="300" w:lineRule="auto"/>
              <w:ind w:left="0" w:leftChars="0"/>
              <w:jc w:val="center"/>
              <w:rPr>
                <w:rFonts w:hint="default" w:ascii="Calibri" w:hAnsi="Calibri" w:eastAsia="宋体" w:cs="Calibri"/>
                <w:b w:val="0"/>
                <w:bCs w:val="0"/>
                <w:color w:val="auto"/>
                <w:kern w:val="0"/>
                <w:sz w:val="21"/>
                <w:szCs w:val="21"/>
                <w:highlight w:val="none"/>
                <w:lang w:val="en-US" w:eastAsia="zh-CN" w:bidi="ar-SA"/>
              </w:rPr>
            </w:pPr>
            <w:r>
              <w:rPr>
                <w:rFonts w:hint="eastAsia" w:cs="Calibri"/>
                <w:b w:val="0"/>
                <w:bCs w:val="0"/>
                <w:color w:val="auto"/>
                <w:kern w:val="0"/>
                <w:sz w:val="21"/>
                <w:szCs w:val="21"/>
                <w:highlight w:val="none"/>
                <w:lang w:val="en-US" w:eastAsia="zh-CN" w:bidi="ar-SA"/>
              </w:rPr>
              <w:t>各1台</w:t>
            </w:r>
          </w:p>
        </w:tc>
        <w:tc>
          <w:tcPr>
            <w:tcW w:w="1453" w:type="dxa"/>
            <w:noWrap w:val="0"/>
            <w:vAlign w:val="center"/>
          </w:tcPr>
          <w:p w14:paraId="04A93058">
            <w:pPr>
              <w:pageBreakBefore w:val="0"/>
              <w:widowControl/>
              <w:kinsoku/>
              <w:wordWrap/>
              <w:overflowPunct/>
              <w:topLinePunct w:val="0"/>
              <w:bidi w:val="0"/>
              <w:snapToGrid w:val="0"/>
              <w:spacing w:line="300" w:lineRule="auto"/>
              <w:ind w:left="0" w:leftChars="0"/>
              <w:jc w:val="center"/>
              <w:rPr>
                <w:rFonts w:hint="eastAsia" w:ascii="Calibri" w:hAnsi="Calibri" w:eastAsia="宋体" w:cs="Calibri"/>
                <w:b w:val="0"/>
                <w:bCs w:val="0"/>
                <w:color w:val="auto"/>
                <w:kern w:val="0"/>
                <w:sz w:val="21"/>
                <w:szCs w:val="21"/>
                <w:highlight w:val="none"/>
                <w:lang w:val="en-US" w:eastAsia="zh-CN" w:bidi="ar-SA"/>
              </w:rPr>
            </w:pPr>
            <w:r>
              <w:rPr>
                <w:rFonts w:hint="eastAsia" w:eastAsia="宋体" w:cs="Calibri"/>
                <w:b w:val="0"/>
                <w:bCs w:val="0"/>
                <w:color w:val="auto"/>
                <w:kern w:val="0"/>
                <w:sz w:val="21"/>
                <w:szCs w:val="21"/>
                <w:highlight w:val="none"/>
                <w:lang w:val="en-US" w:eastAsia="zh-CN"/>
              </w:rPr>
              <w:t>台</w:t>
            </w:r>
          </w:p>
        </w:tc>
      </w:tr>
      <w:tr w14:paraId="2AE33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134" w:type="dxa"/>
            <w:noWrap w:val="0"/>
            <w:vAlign w:val="center"/>
          </w:tcPr>
          <w:p w14:paraId="368C42E0">
            <w:pPr>
              <w:pageBreakBefore w:val="0"/>
              <w:widowControl/>
              <w:numPr>
                <w:ilvl w:val="0"/>
                <w:numId w:val="0"/>
              </w:numPr>
              <w:kinsoku/>
              <w:wordWrap/>
              <w:overflowPunct/>
              <w:topLinePunct w:val="0"/>
              <w:bidi w:val="0"/>
              <w:snapToGrid w:val="0"/>
              <w:spacing w:line="300" w:lineRule="auto"/>
              <w:ind w:left="0" w:firstLine="0"/>
              <w:jc w:val="center"/>
              <w:rPr>
                <w:rFonts w:hint="eastAsia" w:ascii="Calibri" w:hAnsi="Calibri" w:eastAsia="宋体" w:cs="Calibri"/>
                <w:b w:val="0"/>
                <w:bCs w:val="0"/>
                <w:color w:val="auto"/>
                <w:kern w:val="0"/>
                <w:sz w:val="21"/>
                <w:szCs w:val="21"/>
                <w:highlight w:val="none"/>
                <w:lang w:val="en-US" w:eastAsia="zh-CN"/>
              </w:rPr>
            </w:pPr>
            <w:r>
              <w:rPr>
                <w:rFonts w:hint="eastAsia" w:cs="Calibri"/>
                <w:b w:val="0"/>
                <w:bCs w:val="0"/>
                <w:color w:val="auto"/>
                <w:kern w:val="0"/>
                <w:sz w:val="21"/>
                <w:szCs w:val="21"/>
                <w:highlight w:val="none"/>
                <w:lang w:val="en-US" w:eastAsia="zh-CN"/>
              </w:rPr>
              <w:t>3</w:t>
            </w:r>
          </w:p>
        </w:tc>
        <w:tc>
          <w:tcPr>
            <w:tcW w:w="4650" w:type="dxa"/>
            <w:noWrap w:val="0"/>
            <w:vAlign w:val="center"/>
          </w:tcPr>
          <w:p w14:paraId="1D6CFC8D">
            <w:pPr>
              <w:pageBreakBefore w:val="0"/>
              <w:widowControl/>
              <w:kinsoku/>
              <w:wordWrap/>
              <w:overflowPunct/>
              <w:topLinePunct w:val="0"/>
              <w:bidi w:val="0"/>
              <w:snapToGrid w:val="0"/>
              <w:spacing w:line="300" w:lineRule="auto"/>
              <w:ind w:left="0" w:leftChars="0"/>
              <w:jc w:val="center"/>
              <w:rPr>
                <w:rFonts w:hint="default"/>
                <w:sz w:val="21"/>
                <w:szCs w:val="21"/>
                <w:highlight w:val="none"/>
                <w:lang w:val="en-US" w:eastAsia="zh-CN"/>
              </w:rPr>
            </w:pPr>
            <w:r>
              <w:rPr>
                <w:rFonts w:hint="eastAsia"/>
                <w:sz w:val="21"/>
                <w:szCs w:val="21"/>
                <w:highlight w:val="none"/>
                <w:lang w:val="en-US" w:eastAsia="zh-CN"/>
              </w:rPr>
              <w:t>保洁服务</w:t>
            </w:r>
          </w:p>
        </w:tc>
        <w:tc>
          <w:tcPr>
            <w:tcW w:w="5829" w:type="dxa"/>
            <w:noWrap w:val="0"/>
            <w:vAlign w:val="center"/>
          </w:tcPr>
          <w:p w14:paraId="0567B69B">
            <w:pPr>
              <w:pageBreakBefore w:val="0"/>
              <w:widowControl/>
              <w:kinsoku/>
              <w:wordWrap/>
              <w:overflowPunct/>
              <w:topLinePunct w:val="0"/>
              <w:bidi w:val="0"/>
              <w:snapToGrid w:val="0"/>
              <w:spacing w:line="300" w:lineRule="auto"/>
              <w:ind w:left="0" w:leftChars="0"/>
              <w:jc w:val="center"/>
              <w:rPr>
                <w:rFonts w:hint="default" w:ascii="Calibri" w:hAnsi="Calibri" w:eastAsia="宋体" w:cs="Calibri"/>
                <w:b w:val="0"/>
                <w:bCs w:val="0"/>
                <w:color w:val="auto"/>
                <w:kern w:val="0"/>
                <w:sz w:val="21"/>
                <w:szCs w:val="21"/>
                <w:highlight w:val="none"/>
                <w:lang w:val="en-US" w:eastAsia="zh-CN" w:bidi="ar-SA"/>
              </w:rPr>
            </w:pPr>
            <w:r>
              <w:rPr>
                <w:rFonts w:hint="eastAsia" w:cs="Calibri"/>
                <w:b w:val="0"/>
                <w:bCs w:val="0"/>
                <w:color w:val="auto"/>
                <w:kern w:val="0"/>
                <w:sz w:val="21"/>
                <w:szCs w:val="21"/>
                <w:highlight w:val="none"/>
                <w:lang w:val="en-US" w:eastAsia="zh-CN" w:bidi="ar-SA"/>
              </w:rPr>
              <w:t>三轮车、驾驶洗地机、驾驶扫地机、扫雪车</w:t>
            </w:r>
          </w:p>
        </w:tc>
        <w:tc>
          <w:tcPr>
            <w:tcW w:w="1494" w:type="dxa"/>
            <w:noWrap w:val="0"/>
            <w:vAlign w:val="center"/>
          </w:tcPr>
          <w:p w14:paraId="56093EEC">
            <w:pPr>
              <w:pageBreakBefore w:val="0"/>
              <w:widowControl/>
              <w:kinsoku/>
              <w:wordWrap/>
              <w:overflowPunct/>
              <w:topLinePunct w:val="0"/>
              <w:bidi w:val="0"/>
              <w:snapToGrid w:val="0"/>
              <w:spacing w:line="300" w:lineRule="auto"/>
              <w:ind w:left="0" w:leftChars="0"/>
              <w:jc w:val="center"/>
              <w:rPr>
                <w:rFonts w:hint="default" w:ascii="Calibri" w:hAnsi="Calibri" w:eastAsia="宋体" w:cs="Calibri"/>
                <w:b w:val="0"/>
                <w:bCs w:val="0"/>
                <w:color w:val="auto"/>
                <w:kern w:val="0"/>
                <w:sz w:val="21"/>
                <w:szCs w:val="21"/>
                <w:highlight w:val="none"/>
                <w:lang w:val="en-US" w:eastAsia="zh-CN" w:bidi="ar-SA"/>
              </w:rPr>
            </w:pPr>
            <w:r>
              <w:rPr>
                <w:rFonts w:hint="eastAsia" w:cs="Calibri"/>
                <w:b w:val="0"/>
                <w:bCs w:val="0"/>
                <w:color w:val="auto"/>
                <w:kern w:val="0"/>
                <w:sz w:val="21"/>
                <w:szCs w:val="21"/>
                <w:highlight w:val="none"/>
                <w:lang w:val="en-US" w:eastAsia="zh-CN" w:bidi="ar-SA"/>
              </w:rPr>
              <w:t>各1台</w:t>
            </w:r>
          </w:p>
        </w:tc>
        <w:tc>
          <w:tcPr>
            <w:tcW w:w="1453" w:type="dxa"/>
            <w:noWrap w:val="0"/>
            <w:vAlign w:val="center"/>
          </w:tcPr>
          <w:p w14:paraId="2BB57B9A">
            <w:pPr>
              <w:pageBreakBefore w:val="0"/>
              <w:widowControl/>
              <w:kinsoku/>
              <w:wordWrap/>
              <w:overflowPunct/>
              <w:topLinePunct w:val="0"/>
              <w:bidi w:val="0"/>
              <w:snapToGrid w:val="0"/>
              <w:spacing w:line="300" w:lineRule="auto"/>
              <w:ind w:left="0" w:leftChars="0"/>
              <w:jc w:val="center"/>
              <w:rPr>
                <w:rFonts w:hint="eastAsia" w:ascii="Calibri" w:hAnsi="Calibri" w:eastAsia="宋体" w:cs="Calibri"/>
                <w:b w:val="0"/>
                <w:bCs w:val="0"/>
                <w:color w:val="auto"/>
                <w:kern w:val="0"/>
                <w:sz w:val="21"/>
                <w:szCs w:val="21"/>
                <w:highlight w:val="none"/>
                <w:lang w:val="en-US" w:eastAsia="zh-CN" w:bidi="ar-SA"/>
              </w:rPr>
            </w:pPr>
            <w:r>
              <w:rPr>
                <w:rFonts w:hint="eastAsia" w:eastAsia="宋体" w:cs="Calibri"/>
                <w:b w:val="0"/>
                <w:bCs w:val="0"/>
                <w:color w:val="auto"/>
                <w:kern w:val="0"/>
                <w:sz w:val="21"/>
                <w:szCs w:val="21"/>
                <w:highlight w:val="none"/>
                <w:lang w:val="en-US" w:eastAsia="zh-CN"/>
              </w:rPr>
              <w:t>台</w:t>
            </w:r>
          </w:p>
        </w:tc>
      </w:tr>
      <w:tr w14:paraId="0D539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4" w:type="dxa"/>
            <w:noWrap w:val="0"/>
            <w:vAlign w:val="center"/>
          </w:tcPr>
          <w:p w14:paraId="642E940F">
            <w:pPr>
              <w:pageBreakBefore w:val="0"/>
              <w:widowControl/>
              <w:numPr>
                <w:ilvl w:val="0"/>
                <w:numId w:val="0"/>
              </w:numPr>
              <w:kinsoku/>
              <w:wordWrap/>
              <w:overflowPunct/>
              <w:topLinePunct w:val="0"/>
              <w:bidi w:val="0"/>
              <w:snapToGrid w:val="0"/>
              <w:spacing w:line="300" w:lineRule="auto"/>
              <w:ind w:left="0" w:firstLine="0"/>
              <w:jc w:val="center"/>
              <w:rPr>
                <w:rFonts w:hint="eastAsia" w:ascii="Calibri" w:hAnsi="Calibri" w:eastAsia="宋体" w:cs="Calibri"/>
                <w:b w:val="0"/>
                <w:bCs w:val="0"/>
                <w:color w:val="auto"/>
                <w:kern w:val="0"/>
                <w:sz w:val="21"/>
                <w:szCs w:val="21"/>
                <w:highlight w:val="none"/>
                <w:lang w:val="en-US" w:eastAsia="zh-CN"/>
              </w:rPr>
            </w:pPr>
            <w:r>
              <w:rPr>
                <w:rFonts w:hint="eastAsia" w:cs="Calibri"/>
                <w:b w:val="0"/>
                <w:bCs w:val="0"/>
                <w:color w:val="auto"/>
                <w:kern w:val="0"/>
                <w:sz w:val="21"/>
                <w:szCs w:val="21"/>
                <w:highlight w:val="none"/>
                <w:lang w:val="en-US" w:eastAsia="zh-CN"/>
              </w:rPr>
              <w:t>4</w:t>
            </w:r>
          </w:p>
        </w:tc>
        <w:tc>
          <w:tcPr>
            <w:tcW w:w="4650" w:type="dxa"/>
            <w:noWrap w:val="0"/>
            <w:vAlign w:val="center"/>
          </w:tcPr>
          <w:p w14:paraId="114CD3E8">
            <w:pPr>
              <w:pageBreakBefore w:val="0"/>
              <w:widowControl/>
              <w:kinsoku/>
              <w:wordWrap/>
              <w:overflowPunct/>
              <w:topLinePunct w:val="0"/>
              <w:bidi w:val="0"/>
              <w:snapToGrid w:val="0"/>
              <w:spacing w:line="300" w:lineRule="auto"/>
              <w:ind w:left="0" w:leftChars="0"/>
              <w:jc w:val="center"/>
              <w:rPr>
                <w:rFonts w:hint="default"/>
                <w:sz w:val="21"/>
                <w:szCs w:val="21"/>
                <w:highlight w:val="none"/>
                <w:lang w:val="en-US" w:eastAsia="zh-CN"/>
              </w:rPr>
            </w:pPr>
            <w:r>
              <w:rPr>
                <w:rFonts w:hint="eastAsia"/>
                <w:sz w:val="21"/>
                <w:szCs w:val="21"/>
                <w:highlight w:val="none"/>
                <w:lang w:val="en-US" w:eastAsia="zh-CN"/>
              </w:rPr>
              <w:t>绿化服务</w:t>
            </w:r>
          </w:p>
        </w:tc>
        <w:tc>
          <w:tcPr>
            <w:tcW w:w="5829" w:type="dxa"/>
            <w:noWrap w:val="0"/>
            <w:vAlign w:val="center"/>
          </w:tcPr>
          <w:p w14:paraId="5DFCAB3C">
            <w:pPr>
              <w:pageBreakBefore w:val="0"/>
              <w:widowControl/>
              <w:kinsoku/>
              <w:wordWrap/>
              <w:overflowPunct/>
              <w:topLinePunct w:val="0"/>
              <w:bidi w:val="0"/>
              <w:snapToGrid w:val="0"/>
              <w:spacing w:line="300" w:lineRule="auto"/>
              <w:ind w:left="0" w:leftChars="0"/>
              <w:jc w:val="center"/>
              <w:rPr>
                <w:rFonts w:hint="default" w:ascii="Calibri" w:hAnsi="Calibri" w:eastAsia="宋体" w:cs="Calibri"/>
                <w:b w:val="0"/>
                <w:bCs w:val="0"/>
                <w:color w:val="auto"/>
                <w:kern w:val="0"/>
                <w:sz w:val="21"/>
                <w:szCs w:val="21"/>
                <w:highlight w:val="none"/>
                <w:lang w:val="en-US" w:eastAsia="zh-CN" w:bidi="ar-SA"/>
              </w:rPr>
            </w:pPr>
            <w:r>
              <w:rPr>
                <w:rFonts w:hint="eastAsia" w:cs="Calibri"/>
                <w:b w:val="0"/>
                <w:bCs w:val="0"/>
                <w:color w:val="auto"/>
                <w:kern w:val="0"/>
                <w:sz w:val="21"/>
                <w:szCs w:val="21"/>
                <w:highlight w:val="none"/>
                <w:lang w:val="en-US" w:eastAsia="zh-CN" w:bidi="ar-SA"/>
              </w:rPr>
              <w:t>割草机、旋耕机</w:t>
            </w:r>
          </w:p>
        </w:tc>
        <w:tc>
          <w:tcPr>
            <w:tcW w:w="1494" w:type="dxa"/>
            <w:noWrap w:val="0"/>
            <w:vAlign w:val="center"/>
          </w:tcPr>
          <w:p w14:paraId="51D9386F">
            <w:pPr>
              <w:pageBreakBefore w:val="0"/>
              <w:widowControl/>
              <w:kinsoku/>
              <w:wordWrap/>
              <w:overflowPunct/>
              <w:topLinePunct w:val="0"/>
              <w:bidi w:val="0"/>
              <w:snapToGrid w:val="0"/>
              <w:spacing w:line="300" w:lineRule="auto"/>
              <w:ind w:left="0" w:leftChars="0"/>
              <w:jc w:val="center"/>
              <w:rPr>
                <w:rFonts w:hint="default" w:ascii="Calibri" w:hAnsi="Calibri" w:eastAsia="宋体" w:cs="Calibri"/>
                <w:b w:val="0"/>
                <w:bCs w:val="0"/>
                <w:color w:val="auto"/>
                <w:kern w:val="0"/>
                <w:sz w:val="21"/>
                <w:szCs w:val="21"/>
                <w:highlight w:val="none"/>
                <w:lang w:val="en-US" w:eastAsia="zh-CN" w:bidi="ar-SA"/>
              </w:rPr>
            </w:pPr>
            <w:r>
              <w:rPr>
                <w:rFonts w:hint="eastAsia" w:cs="Calibri"/>
                <w:b w:val="0"/>
                <w:bCs w:val="0"/>
                <w:color w:val="auto"/>
                <w:kern w:val="0"/>
                <w:sz w:val="21"/>
                <w:szCs w:val="21"/>
                <w:highlight w:val="none"/>
                <w:lang w:val="en-US" w:eastAsia="zh-CN" w:bidi="ar-SA"/>
              </w:rPr>
              <w:t>各1台</w:t>
            </w:r>
          </w:p>
        </w:tc>
        <w:tc>
          <w:tcPr>
            <w:tcW w:w="1453" w:type="dxa"/>
            <w:noWrap w:val="0"/>
            <w:vAlign w:val="center"/>
          </w:tcPr>
          <w:p w14:paraId="2F064523">
            <w:pPr>
              <w:pageBreakBefore w:val="0"/>
              <w:widowControl/>
              <w:kinsoku/>
              <w:wordWrap/>
              <w:overflowPunct/>
              <w:topLinePunct w:val="0"/>
              <w:bidi w:val="0"/>
              <w:snapToGrid w:val="0"/>
              <w:spacing w:line="300" w:lineRule="auto"/>
              <w:ind w:left="0" w:leftChars="0"/>
              <w:jc w:val="center"/>
              <w:rPr>
                <w:rFonts w:hint="eastAsia" w:ascii="Calibri" w:hAnsi="Calibri" w:eastAsia="宋体" w:cs="Calibri"/>
                <w:b w:val="0"/>
                <w:bCs w:val="0"/>
                <w:color w:val="auto"/>
                <w:kern w:val="0"/>
                <w:sz w:val="21"/>
                <w:szCs w:val="21"/>
                <w:highlight w:val="none"/>
                <w:lang w:val="en-US" w:eastAsia="zh-CN" w:bidi="ar-SA"/>
              </w:rPr>
            </w:pPr>
            <w:r>
              <w:rPr>
                <w:rFonts w:hint="eastAsia" w:eastAsia="宋体" w:cs="Calibri"/>
                <w:b w:val="0"/>
                <w:bCs w:val="0"/>
                <w:color w:val="auto"/>
                <w:kern w:val="0"/>
                <w:sz w:val="21"/>
                <w:szCs w:val="21"/>
                <w:highlight w:val="none"/>
                <w:lang w:val="en-US" w:eastAsia="zh-CN"/>
              </w:rPr>
              <w:t>台</w:t>
            </w:r>
          </w:p>
        </w:tc>
      </w:tr>
    </w:tbl>
    <w:p w14:paraId="02FE661B">
      <w:pPr>
        <w:pStyle w:val="17"/>
        <w:rPr>
          <w:rFonts w:hint="default"/>
          <w:lang w:val="en-US" w:eastAsia="zh-CN"/>
        </w:rPr>
      </w:pPr>
      <w:r>
        <w:rPr>
          <w:rFonts w:hint="eastAsia" w:ascii="楷体" w:hAnsi="楷体" w:eastAsia="楷体" w:cs="楷体"/>
          <w:b w:val="0"/>
          <w:bCs w:val="0"/>
          <w:szCs w:val="21"/>
          <w:highlight w:val="none"/>
          <w:lang w:val="en-US" w:eastAsia="zh-CN"/>
        </w:rPr>
        <w:t>注：</w:t>
      </w:r>
      <w:r>
        <w:rPr>
          <w:rFonts w:hint="eastAsia" w:ascii="楷体" w:hAnsi="楷体" w:eastAsia="楷体" w:cs="楷体"/>
          <w:b w:val="0"/>
          <w:bCs w:val="0"/>
          <w:highlight w:val="none"/>
          <w:lang w:val="en-US" w:eastAsia="zh-CN"/>
        </w:rPr>
        <w:t>采购人已无偿提供的作业设备，不在此重复要求。</w:t>
      </w:r>
    </w:p>
    <w:p w14:paraId="3DD4E787">
      <w:pPr>
        <w:pStyle w:val="55"/>
        <w:pageBreakBefore w:val="0"/>
        <w:shd w:val="clear" w:color="auto" w:fill="auto"/>
        <w:kinsoku/>
        <w:wordWrap/>
        <w:overflowPunct/>
        <w:topLinePunct w:val="0"/>
        <w:bidi w:val="0"/>
        <w:spacing w:line="360" w:lineRule="auto"/>
        <w:ind w:firstLine="498" w:firstLineChars="177"/>
        <w:rPr>
          <w:rFonts w:hint="default" w:ascii="宋体" w:hAnsi="宋体" w:eastAsia="宋体" w:cs="宋体"/>
          <w:b/>
          <w:bCs/>
          <w:color w:val="auto"/>
          <w:kern w:val="44"/>
          <w:sz w:val="28"/>
          <w:szCs w:val="28"/>
          <w:highlight w:val="none"/>
          <w:lang w:val="en-US" w:eastAsia="zh-CN" w:bidi="ar-SA"/>
        </w:rPr>
      </w:pPr>
      <w:r>
        <w:rPr>
          <w:rFonts w:hint="eastAsia" w:ascii="宋体" w:hAnsi="宋体" w:eastAsia="宋体" w:cs="宋体"/>
          <w:b/>
          <w:bCs/>
          <w:color w:val="auto"/>
          <w:kern w:val="44"/>
          <w:sz w:val="28"/>
          <w:szCs w:val="28"/>
          <w:highlight w:val="none"/>
          <w:lang w:val="en-US" w:eastAsia="zh-CN" w:bidi="ar-SA"/>
        </w:rPr>
        <w:t>5.</w:t>
      </w:r>
      <w:r>
        <w:rPr>
          <w:rFonts w:hint="default" w:ascii="宋体" w:hAnsi="宋体" w:eastAsia="宋体" w:cs="宋体"/>
          <w:b/>
          <w:bCs/>
          <w:color w:val="auto"/>
          <w:kern w:val="44"/>
          <w:sz w:val="28"/>
          <w:szCs w:val="28"/>
          <w:highlight w:val="none"/>
          <w:lang w:val="en-US" w:eastAsia="zh-CN" w:bidi="ar-SA"/>
        </w:rPr>
        <w:t>物业管理服务人员需求</w:t>
      </w:r>
    </w:p>
    <w:tbl>
      <w:tblPr>
        <w:tblStyle w:val="3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1256"/>
        <w:gridCol w:w="1354"/>
        <w:gridCol w:w="1912"/>
        <w:gridCol w:w="3099"/>
      </w:tblGrid>
      <w:tr w14:paraId="0C2D3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1" w:type="dxa"/>
            <w:noWrap w:val="0"/>
            <w:vAlign w:val="center"/>
          </w:tcPr>
          <w:p w14:paraId="44C61756">
            <w:pPr>
              <w:pageBreakBefore w:val="0"/>
              <w:widowControl/>
              <w:kinsoku/>
              <w:wordWrap/>
              <w:overflowPunct/>
              <w:topLinePunct w:val="0"/>
              <w:bidi w:val="0"/>
              <w:snapToGrid w:val="0"/>
              <w:spacing w:line="300" w:lineRule="auto"/>
              <w:ind w:left="0"/>
              <w:jc w:val="center"/>
              <w:rPr>
                <w:rFonts w:hint="default" w:ascii="Calibri" w:hAnsi="Calibri" w:eastAsia="宋体" w:cs="Calibri"/>
                <w:b/>
                <w:bCs w:val="0"/>
                <w:color w:val="auto"/>
                <w:szCs w:val="21"/>
                <w:highlight w:val="none"/>
                <w:lang w:val="en-US" w:eastAsia="zh-CN"/>
              </w:rPr>
            </w:pPr>
            <w:r>
              <w:rPr>
                <w:rFonts w:hint="default" w:ascii="Calibri" w:hAnsi="Calibri" w:eastAsia="宋体" w:cs="Calibri"/>
                <w:b/>
                <w:bCs w:val="0"/>
                <w:color w:val="auto"/>
                <w:szCs w:val="21"/>
                <w:highlight w:val="none"/>
              </w:rPr>
              <w:t>部门</w:t>
            </w:r>
            <w:r>
              <w:rPr>
                <w:rFonts w:hint="default" w:ascii="Calibri" w:hAnsi="Calibri" w:eastAsia="宋体" w:cs="Calibri"/>
                <w:b/>
                <w:bCs w:val="0"/>
                <w:color w:val="auto"/>
                <w:szCs w:val="21"/>
                <w:highlight w:val="none"/>
                <w:lang w:eastAsia="zh-CN"/>
              </w:rPr>
              <w:t>职能</w:t>
            </w:r>
          </w:p>
        </w:tc>
        <w:tc>
          <w:tcPr>
            <w:tcW w:w="1256" w:type="dxa"/>
            <w:noWrap w:val="0"/>
            <w:vAlign w:val="center"/>
          </w:tcPr>
          <w:p w14:paraId="5BA43611">
            <w:pPr>
              <w:pageBreakBefore w:val="0"/>
              <w:widowControl/>
              <w:kinsoku/>
              <w:wordWrap/>
              <w:overflowPunct/>
              <w:topLinePunct w:val="0"/>
              <w:bidi w:val="0"/>
              <w:snapToGrid w:val="0"/>
              <w:spacing w:line="300" w:lineRule="auto"/>
              <w:ind w:left="0"/>
              <w:jc w:val="center"/>
              <w:rPr>
                <w:rFonts w:hint="default" w:ascii="Calibri" w:hAnsi="Calibri" w:eastAsia="宋体" w:cs="Calibri"/>
                <w:b/>
                <w:bCs w:val="0"/>
                <w:color w:val="auto"/>
                <w:szCs w:val="21"/>
                <w:highlight w:val="none"/>
              </w:rPr>
            </w:pPr>
            <w:r>
              <w:rPr>
                <w:rFonts w:hint="default" w:ascii="Calibri" w:hAnsi="Calibri" w:eastAsia="宋体" w:cs="Calibri"/>
                <w:b/>
                <w:bCs w:val="0"/>
                <w:color w:val="auto"/>
                <w:szCs w:val="21"/>
                <w:highlight w:val="none"/>
              </w:rPr>
              <w:t>岗位</w:t>
            </w:r>
          </w:p>
        </w:tc>
        <w:tc>
          <w:tcPr>
            <w:tcW w:w="1354" w:type="dxa"/>
            <w:noWrap w:val="0"/>
            <w:vAlign w:val="center"/>
          </w:tcPr>
          <w:p w14:paraId="7CEDD380">
            <w:pPr>
              <w:pageBreakBefore w:val="0"/>
              <w:widowControl/>
              <w:kinsoku/>
              <w:wordWrap/>
              <w:overflowPunct/>
              <w:topLinePunct w:val="0"/>
              <w:bidi w:val="0"/>
              <w:snapToGrid w:val="0"/>
              <w:spacing w:line="300" w:lineRule="auto"/>
              <w:ind w:left="0"/>
              <w:jc w:val="center"/>
              <w:rPr>
                <w:rFonts w:hint="default" w:ascii="Calibri" w:hAnsi="Calibri" w:eastAsia="宋体" w:cs="Calibri"/>
                <w:b/>
                <w:bCs w:val="0"/>
                <w:color w:val="auto"/>
                <w:szCs w:val="21"/>
                <w:highlight w:val="none"/>
              </w:rPr>
            </w:pPr>
            <w:r>
              <w:rPr>
                <w:rFonts w:hint="default" w:ascii="Calibri" w:hAnsi="Calibri" w:eastAsia="宋体" w:cs="Calibri"/>
                <w:b/>
                <w:bCs w:val="0"/>
                <w:color w:val="auto"/>
                <w:szCs w:val="21"/>
                <w:highlight w:val="none"/>
              </w:rPr>
              <w:t>同时在岗人数</w:t>
            </w:r>
          </w:p>
        </w:tc>
        <w:tc>
          <w:tcPr>
            <w:tcW w:w="1912" w:type="dxa"/>
            <w:noWrap w:val="0"/>
            <w:vAlign w:val="center"/>
          </w:tcPr>
          <w:p w14:paraId="054B6C5E">
            <w:pPr>
              <w:pageBreakBefore w:val="0"/>
              <w:widowControl/>
              <w:kinsoku/>
              <w:wordWrap/>
              <w:overflowPunct/>
              <w:topLinePunct w:val="0"/>
              <w:bidi w:val="0"/>
              <w:snapToGrid w:val="0"/>
              <w:spacing w:line="300" w:lineRule="auto"/>
              <w:ind w:left="0"/>
              <w:jc w:val="center"/>
              <w:rPr>
                <w:rFonts w:hint="default" w:ascii="Calibri" w:hAnsi="Calibri" w:eastAsia="宋体" w:cs="Calibri"/>
                <w:b/>
                <w:bCs w:val="0"/>
                <w:color w:val="auto"/>
                <w:szCs w:val="21"/>
                <w:highlight w:val="none"/>
              </w:rPr>
            </w:pPr>
            <w:r>
              <w:rPr>
                <w:rFonts w:hint="default" w:ascii="Calibri" w:hAnsi="Calibri" w:eastAsia="宋体" w:cs="Calibri"/>
                <w:b/>
                <w:bCs w:val="0"/>
                <w:color w:val="auto"/>
                <w:szCs w:val="21"/>
                <w:highlight w:val="none"/>
              </w:rPr>
              <w:t>岗位所需总人数</w:t>
            </w:r>
          </w:p>
        </w:tc>
        <w:tc>
          <w:tcPr>
            <w:tcW w:w="3099" w:type="dxa"/>
            <w:noWrap w:val="0"/>
            <w:vAlign w:val="center"/>
          </w:tcPr>
          <w:p w14:paraId="27D98DB9">
            <w:pPr>
              <w:pageBreakBefore w:val="0"/>
              <w:widowControl/>
              <w:kinsoku/>
              <w:wordWrap/>
              <w:overflowPunct/>
              <w:topLinePunct w:val="0"/>
              <w:bidi w:val="0"/>
              <w:snapToGrid w:val="0"/>
              <w:spacing w:line="300" w:lineRule="auto"/>
              <w:ind w:left="0"/>
              <w:jc w:val="center"/>
              <w:rPr>
                <w:rFonts w:hint="default" w:ascii="Calibri" w:hAnsi="Calibri" w:eastAsia="宋体" w:cs="Calibri"/>
                <w:b/>
                <w:bCs w:val="0"/>
                <w:color w:val="auto"/>
                <w:szCs w:val="21"/>
                <w:highlight w:val="none"/>
              </w:rPr>
            </w:pPr>
            <w:r>
              <w:rPr>
                <w:rFonts w:hint="default" w:ascii="Calibri" w:hAnsi="Calibri" w:eastAsia="宋体" w:cs="Calibri"/>
                <w:b/>
                <w:bCs w:val="0"/>
                <w:color w:val="auto"/>
                <w:szCs w:val="21"/>
                <w:highlight w:val="none"/>
              </w:rPr>
              <w:t>备注（岗位所需服务时长或时段、需具备的上岗资格证</w:t>
            </w:r>
            <w:r>
              <w:rPr>
                <w:rFonts w:hint="eastAsia" w:ascii="Calibri" w:hAnsi="Calibri" w:cs="Calibri"/>
                <w:b/>
                <w:bCs w:val="0"/>
                <w:color w:val="auto"/>
                <w:szCs w:val="21"/>
                <w:highlight w:val="none"/>
                <w:lang w:eastAsia="zh-CN"/>
              </w:rPr>
              <w:t>、人员学历、工作经验</w:t>
            </w:r>
            <w:r>
              <w:rPr>
                <w:rFonts w:hint="default" w:ascii="Calibri" w:hAnsi="Calibri" w:eastAsia="宋体" w:cs="Calibri"/>
                <w:b/>
                <w:bCs w:val="0"/>
                <w:color w:val="auto"/>
                <w:szCs w:val="21"/>
                <w:highlight w:val="none"/>
              </w:rPr>
              <w:t>等</w:t>
            </w:r>
            <w:r>
              <w:rPr>
                <w:rFonts w:hint="eastAsia" w:ascii="Calibri" w:hAnsi="Calibri" w:cs="Calibri"/>
                <w:b/>
                <w:bCs w:val="0"/>
                <w:color w:val="auto"/>
                <w:szCs w:val="21"/>
                <w:highlight w:val="none"/>
                <w:lang w:eastAsia="zh-CN"/>
              </w:rPr>
              <w:t>要求</w:t>
            </w:r>
            <w:r>
              <w:rPr>
                <w:rFonts w:hint="default" w:ascii="Calibri" w:hAnsi="Calibri" w:eastAsia="宋体" w:cs="Calibri"/>
                <w:b/>
                <w:bCs w:val="0"/>
                <w:color w:val="auto"/>
                <w:szCs w:val="21"/>
                <w:highlight w:val="none"/>
              </w:rPr>
              <w:t>）</w:t>
            </w:r>
          </w:p>
        </w:tc>
      </w:tr>
      <w:tr w14:paraId="15F6C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1" w:type="dxa"/>
            <w:noWrap w:val="0"/>
            <w:vAlign w:val="center"/>
          </w:tcPr>
          <w:p w14:paraId="4D2479B5">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r>
              <w:rPr>
                <w:rFonts w:hint="default" w:ascii="Calibri" w:hAnsi="Calibri" w:eastAsia="宋体" w:cs="Calibri"/>
                <w:bCs/>
                <w:color w:val="auto"/>
                <w:szCs w:val="21"/>
                <w:highlight w:val="none"/>
              </w:rPr>
              <w:t>服务中心</w:t>
            </w:r>
          </w:p>
        </w:tc>
        <w:tc>
          <w:tcPr>
            <w:tcW w:w="1256" w:type="dxa"/>
            <w:noWrap w:val="0"/>
            <w:vAlign w:val="center"/>
          </w:tcPr>
          <w:p w14:paraId="03762679">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r>
              <w:rPr>
                <w:rFonts w:hint="default" w:ascii="Calibri" w:hAnsi="Calibri" w:eastAsia="宋体" w:cs="Calibri"/>
                <w:bCs/>
                <w:color w:val="auto"/>
                <w:szCs w:val="21"/>
                <w:highlight w:val="none"/>
              </w:rPr>
              <w:t>项目经理</w:t>
            </w:r>
          </w:p>
        </w:tc>
        <w:tc>
          <w:tcPr>
            <w:tcW w:w="1354" w:type="dxa"/>
            <w:noWrap w:val="0"/>
            <w:vAlign w:val="center"/>
          </w:tcPr>
          <w:p w14:paraId="43710D28">
            <w:pPr>
              <w:pageBreakBefore w:val="0"/>
              <w:widowControl/>
              <w:kinsoku/>
              <w:wordWrap/>
              <w:overflowPunct/>
              <w:topLinePunct w:val="0"/>
              <w:bidi w:val="0"/>
              <w:snapToGrid w:val="0"/>
              <w:spacing w:line="300" w:lineRule="auto"/>
              <w:ind w:left="0"/>
              <w:jc w:val="center"/>
              <w:rPr>
                <w:rFonts w:hint="default" w:ascii="Calibri" w:hAnsi="Calibri" w:eastAsia="宋体" w:cs="Calibri"/>
                <w:bCs/>
                <w:color w:val="auto"/>
                <w:szCs w:val="21"/>
                <w:highlight w:val="none"/>
              </w:rPr>
            </w:pPr>
            <w:r>
              <w:rPr>
                <w:rFonts w:hint="default" w:ascii="Calibri" w:hAnsi="Calibri" w:eastAsia="宋体" w:cs="Calibri"/>
                <w:bCs/>
                <w:color w:val="auto"/>
                <w:szCs w:val="21"/>
                <w:highlight w:val="none"/>
              </w:rPr>
              <w:t>1</w:t>
            </w:r>
          </w:p>
        </w:tc>
        <w:tc>
          <w:tcPr>
            <w:tcW w:w="1912" w:type="dxa"/>
            <w:noWrap w:val="0"/>
            <w:vAlign w:val="center"/>
          </w:tcPr>
          <w:p w14:paraId="28BF37B4">
            <w:pPr>
              <w:pageBreakBefore w:val="0"/>
              <w:widowControl/>
              <w:kinsoku/>
              <w:wordWrap/>
              <w:overflowPunct/>
              <w:topLinePunct w:val="0"/>
              <w:bidi w:val="0"/>
              <w:snapToGrid w:val="0"/>
              <w:spacing w:line="300" w:lineRule="auto"/>
              <w:ind w:left="0"/>
              <w:jc w:val="center"/>
              <w:rPr>
                <w:rFonts w:hint="default" w:ascii="Calibri" w:hAnsi="Calibri" w:eastAsia="宋体" w:cs="Calibri"/>
                <w:bCs/>
                <w:color w:val="auto"/>
                <w:szCs w:val="21"/>
                <w:highlight w:val="none"/>
              </w:rPr>
            </w:pPr>
            <w:r>
              <w:rPr>
                <w:rFonts w:hint="default" w:ascii="Calibri" w:hAnsi="Calibri" w:eastAsia="宋体" w:cs="Calibri"/>
                <w:bCs/>
                <w:color w:val="auto"/>
                <w:szCs w:val="21"/>
                <w:highlight w:val="none"/>
              </w:rPr>
              <w:t>1</w:t>
            </w:r>
          </w:p>
        </w:tc>
        <w:tc>
          <w:tcPr>
            <w:tcW w:w="3099" w:type="dxa"/>
            <w:noWrap w:val="0"/>
            <w:vAlign w:val="center"/>
          </w:tcPr>
          <w:p w14:paraId="36B26CC2">
            <w:pPr>
              <w:pageBreakBefore w:val="0"/>
              <w:widowControl/>
              <w:kinsoku/>
              <w:wordWrap/>
              <w:overflowPunct/>
              <w:topLinePunct w:val="0"/>
              <w:bidi w:val="0"/>
              <w:snapToGrid w:val="0"/>
              <w:spacing w:line="300" w:lineRule="auto"/>
              <w:jc w:val="both"/>
              <w:rPr>
                <w:rFonts w:hint="default" w:ascii="Calibri" w:hAnsi="Calibri" w:eastAsia="宋体" w:cs="Calibri"/>
                <w:bCs/>
                <w:color w:val="auto"/>
                <w:szCs w:val="21"/>
                <w:highlight w:val="none"/>
              </w:rPr>
            </w:pPr>
            <w:r>
              <w:rPr>
                <w:rFonts w:hint="default" w:ascii="Calibri" w:hAnsi="Calibri" w:eastAsia="宋体" w:cs="Calibri"/>
                <w:bCs/>
                <w:color w:val="auto"/>
                <w:szCs w:val="21"/>
                <w:highlight w:val="none"/>
                <w:lang w:val="en-US" w:eastAsia="zh-CN"/>
              </w:rPr>
              <w:t>年龄30-</w:t>
            </w:r>
            <w:r>
              <w:rPr>
                <w:rFonts w:hint="eastAsia" w:cs="Calibri"/>
                <w:bCs/>
                <w:color w:val="auto"/>
                <w:szCs w:val="21"/>
                <w:highlight w:val="none"/>
                <w:lang w:val="en-US" w:eastAsia="zh-CN"/>
              </w:rPr>
              <w:t>60</w:t>
            </w:r>
            <w:r>
              <w:rPr>
                <w:rFonts w:hint="default" w:ascii="Calibri" w:hAnsi="Calibri" w:eastAsia="宋体" w:cs="Calibri"/>
                <w:bCs/>
                <w:color w:val="auto"/>
                <w:szCs w:val="21"/>
                <w:highlight w:val="none"/>
                <w:lang w:val="en-US" w:eastAsia="zh-CN"/>
              </w:rPr>
              <w:t xml:space="preserve">周岁(以身份证件为准)汉语流利、服务时长 </w:t>
            </w:r>
            <w:r>
              <w:rPr>
                <w:rFonts w:hint="eastAsia" w:cs="Calibri"/>
                <w:bCs/>
                <w:color w:val="auto"/>
                <w:szCs w:val="21"/>
                <w:highlight w:val="none"/>
                <w:lang w:val="en-US" w:eastAsia="zh-CN"/>
              </w:rPr>
              <w:t>8</w:t>
            </w:r>
            <w:r>
              <w:rPr>
                <w:rFonts w:hint="default" w:ascii="Calibri" w:hAnsi="Calibri" w:eastAsia="宋体" w:cs="Calibri"/>
                <w:bCs/>
                <w:color w:val="auto"/>
                <w:szCs w:val="21"/>
                <w:highlight w:val="none"/>
                <w:lang w:val="en-US" w:eastAsia="zh-CN"/>
              </w:rPr>
              <w:t>小时;</w:t>
            </w:r>
            <w:r>
              <w:rPr>
                <w:rFonts w:hint="eastAsia" w:ascii="Calibri" w:hAnsi="Calibri" w:cs="Calibri"/>
                <w:bCs/>
                <w:color w:val="auto"/>
                <w:szCs w:val="21"/>
                <w:highlight w:val="none"/>
                <w:lang w:val="en-US" w:eastAsia="zh-CN"/>
              </w:rPr>
              <w:t>身体健康(提供健康证，以供应商承诺为准);无任何违法乱纪行为记录(提供公安部门出具的无犯罪记录证明，以供应商承诺为准）</w:t>
            </w:r>
            <w:r>
              <w:rPr>
                <w:rFonts w:hint="default" w:ascii="Calibri" w:hAnsi="Calibri" w:eastAsia="宋体" w:cs="Calibri"/>
                <w:bCs/>
                <w:color w:val="auto"/>
                <w:szCs w:val="21"/>
                <w:highlight w:val="none"/>
                <w:lang w:val="en-US" w:eastAsia="zh-CN"/>
              </w:rPr>
              <w:t>)</w:t>
            </w:r>
            <w:r>
              <w:rPr>
                <w:rFonts w:hint="eastAsia" w:cs="Calibri"/>
                <w:bCs/>
                <w:color w:val="auto"/>
                <w:szCs w:val="21"/>
                <w:highlight w:val="none"/>
                <w:lang w:val="en-US" w:eastAsia="zh-CN"/>
              </w:rPr>
              <w:t>。</w:t>
            </w:r>
          </w:p>
        </w:tc>
      </w:tr>
      <w:tr w14:paraId="22353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1" w:type="dxa"/>
            <w:noWrap w:val="0"/>
            <w:vAlign w:val="center"/>
          </w:tcPr>
          <w:p w14:paraId="661495C6">
            <w:pPr>
              <w:pageBreakBefore w:val="0"/>
              <w:widowControl/>
              <w:kinsoku/>
              <w:wordWrap/>
              <w:overflowPunct/>
              <w:topLinePunct w:val="0"/>
              <w:bidi w:val="0"/>
              <w:snapToGrid w:val="0"/>
              <w:spacing w:line="300" w:lineRule="auto"/>
              <w:ind w:left="0"/>
              <w:jc w:val="both"/>
              <w:rPr>
                <w:rFonts w:hint="default" w:cs="Calibri"/>
                <w:bCs/>
                <w:color w:val="auto"/>
                <w:szCs w:val="21"/>
                <w:highlight w:val="none"/>
                <w:lang w:val="en-US" w:eastAsia="zh-CN"/>
              </w:rPr>
            </w:pPr>
            <w:r>
              <w:rPr>
                <w:rFonts w:hint="eastAsia" w:cs="Calibri"/>
                <w:bCs/>
                <w:color w:val="auto"/>
                <w:szCs w:val="21"/>
                <w:highlight w:val="none"/>
                <w:lang w:val="en-US" w:eastAsia="zh-CN"/>
              </w:rPr>
              <w:t>公共设施设备维护服务</w:t>
            </w:r>
          </w:p>
        </w:tc>
        <w:tc>
          <w:tcPr>
            <w:tcW w:w="1256" w:type="dxa"/>
            <w:noWrap w:val="0"/>
            <w:vAlign w:val="center"/>
          </w:tcPr>
          <w:p w14:paraId="68CC7AFC">
            <w:pPr>
              <w:pageBreakBefore w:val="0"/>
              <w:widowControl/>
              <w:kinsoku/>
              <w:wordWrap/>
              <w:overflowPunct/>
              <w:topLinePunct w:val="0"/>
              <w:bidi w:val="0"/>
              <w:snapToGrid w:val="0"/>
              <w:spacing w:line="300" w:lineRule="auto"/>
              <w:ind w:left="0"/>
              <w:jc w:val="both"/>
              <w:rPr>
                <w:rFonts w:hint="eastAsia" w:ascii="Calibri" w:hAnsi="Calibri" w:eastAsia="宋体" w:cs="Calibri"/>
                <w:bCs/>
                <w:color w:val="auto"/>
                <w:szCs w:val="21"/>
                <w:highlight w:val="none"/>
                <w:lang w:val="en-US" w:eastAsia="zh-CN"/>
              </w:rPr>
            </w:pPr>
            <w:r>
              <w:rPr>
                <w:rFonts w:hint="eastAsia" w:cs="Calibri"/>
                <w:bCs/>
                <w:color w:val="auto"/>
                <w:szCs w:val="21"/>
                <w:highlight w:val="none"/>
                <w:lang w:val="en-US" w:eastAsia="zh-CN"/>
              </w:rPr>
              <w:t>水电工</w:t>
            </w:r>
          </w:p>
        </w:tc>
        <w:tc>
          <w:tcPr>
            <w:tcW w:w="1354" w:type="dxa"/>
            <w:noWrap w:val="0"/>
            <w:vAlign w:val="center"/>
          </w:tcPr>
          <w:p w14:paraId="3306F4EE">
            <w:pPr>
              <w:pageBreakBefore w:val="0"/>
              <w:widowControl/>
              <w:kinsoku/>
              <w:wordWrap/>
              <w:overflowPunct/>
              <w:topLinePunct w:val="0"/>
              <w:bidi w:val="0"/>
              <w:snapToGrid w:val="0"/>
              <w:spacing w:line="300" w:lineRule="auto"/>
              <w:ind w:left="0"/>
              <w:jc w:val="center"/>
              <w:rPr>
                <w:rFonts w:hint="default" w:cs="Calibri"/>
                <w:bCs/>
                <w:color w:val="auto"/>
                <w:szCs w:val="21"/>
                <w:highlight w:val="none"/>
                <w:lang w:val="en-US" w:eastAsia="zh-CN"/>
              </w:rPr>
            </w:pPr>
            <w:r>
              <w:rPr>
                <w:rFonts w:hint="eastAsia" w:cs="Calibri"/>
                <w:bCs/>
                <w:color w:val="auto"/>
                <w:szCs w:val="21"/>
                <w:highlight w:val="none"/>
                <w:lang w:val="en-US" w:eastAsia="zh-CN"/>
              </w:rPr>
              <w:t>1</w:t>
            </w:r>
          </w:p>
        </w:tc>
        <w:tc>
          <w:tcPr>
            <w:tcW w:w="1912" w:type="dxa"/>
            <w:noWrap w:val="0"/>
            <w:vAlign w:val="center"/>
          </w:tcPr>
          <w:p w14:paraId="3A02963F">
            <w:pPr>
              <w:pageBreakBefore w:val="0"/>
              <w:widowControl/>
              <w:kinsoku/>
              <w:wordWrap/>
              <w:overflowPunct/>
              <w:topLinePunct w:val="0"/>
              <w:bidi w:val="0"/>
              <w:snapToGrid w:val="0"/>
              <w:spacing w:line="300" w:lineRule="auto"/>
              <w:ind w:left="0"/>
              <w:jc w:val="center"/>
              <w:rPr>
                <w:rFonts w:hint="default" w:cs="Calibri"/>
                <w:bCs/>
                <w:color w:val="auto"/>
                <w:szCs w:val="21"/>
                <w:highlight w:val="none"/>
                <w:lang w:val="en-US" w:eastAsia="zh-CN"/>
              </w:rPr>
            </w:pPr>
            <w:r>
              <w:rPr>
                <w:rFonts w:hint="eastAsia" w:cs="Calibri"/>
                <w:bCs/>
                <w:color w:val="auto"/>
                <w:szCs w:val="21"/>
                <w:highlight w:val="none"/>
                <w:lang w:val="en-US" w:eastAsia="zh-CN"/>
              </w:rPr>
              <w:t>1</w:t>
            </w:r>
          </w:p>
        </w:tc>
        <w:tc>
          <w:tcPr>
            <w:tcW w:w="3099" w:type="dxa"/>
            <w:noWrap w:val="0"/>
            <w:vAlign w:val="center"/>
          </w:tcPr>
          <w:p w14:paraId="017E2F24">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lang w:val="en-US" w:eastAsia="zh-CN"/>
              </w:rPr>
            </w:pPr>
            <w:r>
              <w:rPr>
                <w:rFonts w:hint="default" w:ascii="Calibri" w:hAnsi="Calibri" w:eastAsia="宋体" w:cs="Calibri"/>
                <w:bCs/>
                <w:color w:val="auto"/>
                <w:szCs w:val="21"/>
                <w:highlight w:val="none"/>
                <w:lang w:val="en-US" w:eastAsia="zh-CN"/>
              </w:rPr>
              <w:t>年龄30-55周岁、男性(以身份证件为准)汉语流利、服务时长 24小时(以供应商承诺为准);有相关岗位资格证件;</w:t>
            </w:r>
            <w:r>
              <w:rPr>
                <w:rFonts w:hint="eastAsia" w:ascii="Calibri" w:hAnsi="Calibri" w:cs="Calibri"/>
                <w:bCs/>
                <w:color w:val="auto"/>
                <w:szCs w:val="21"/>
                <w:highlight w:val="none"/>
                <w:lang w:val="en-US" w:eastAsia="zh-CN"/>
              </w:rPr>
              <w:t>身体健康(提供健康证，以供应商承诺为准);无任何违法乱纪行为记录(提供公安部门出具的无犯罪记录证明，</w:t>
            </w:r>
            <w:bookmarkStart w:id="820" w:name="_GoBack"/>
            <w:bookmarkEnd w:id="820"/>
            <w:r>
              <w:rPr>
                <w:rFonts w:hint="eastAsia" w:ascii="Calibri" w:hAnsi="Calibri" w:cs="Calibri"/>
                <w:bCs/>
                <w:color w:val="auto"/>
                <w:szCs w:val="21"/>
                <w:highlight w:val="none"/>
                <w:lang w:val="en-US" w:eastAsia="zh-CN"/>
              </w:rPr>
              <w:t>以供应商承诺为准）</w:t>
            </w:r>
            <w:r>
              <w:rPr>
                <w:rFonts w:hint="default" w:ascii="Calibri" w:hAnsi="Calibri" w:eastAsia="宋体" w:cs="Calibri"/>
                <w:bCs/>
                <w:color w:val="auto"/>
                <w:szCs w:val="21"/>
                <w:highlight w:val="none"/>
                <w:lang w:val="en-US" w:eastAsia="zh-CN"/>
              </w:rPr>
              <w:t>)</w:t>
            </w:r>
            <w:r>
              <w:rPr>
                <w:rFonts w:hint="eastAsia" w:cs="Calibri"/>
                <w:bCs/>
                <w:color w:val="auto"/>
                <w:szCs w:val="21"/>
                <w:highlight w:val="none"/>
                <w:lang w:val="en-US" w:eastAsia="zh-CN"/>
              </w:rPr>
              <w:t>。</w:t>
            </w:r>
          </w:p>
        </w:tc>
      </w:tr>
      <w:tr w14:paraId="6C352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1" w:type="dxa"/>
            <w:noWrap w:val="0"/>
            <w:vAlign w:val="center"/>
          </w:tcPr>
          <w:p w14:paraId="11EC1A2D">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lang w:val="en-US" w:eastAsia="zh-CN"/>
              </w:rPr>
            </w:pPr>
            <w:r>
              <w:rPr>
                <w:rFonts w:hint="eastAsia" w:cs="Calibri"/>
                <w:bCs/>
                <w:color w:val="auto"/>
                <w:szCs w:val="21"/>
                <w:highlight w:val="none"/>
                <w:lang w:val="en-US" w:eastAsia="zh-CN"/>
              </w:rPr>
              <w:t>保洁服务</w:t>
            </w:r>
          </w:p>
        </w:tc>
        <w:tc>
          <w:tcPr>
            <w:tcW w:w="1256" w:type="dxa"/>
            <w:noWrap w:val="0"/>
            <w:vAlign w:val="center"/>
          </w:tcPr>
          <w:p w14:paraId="4B9F28A2">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r>
              <w:rPr>
                <w:rFonts w:hint="default" w:ascii="Calibri" w:hAnsi="Calibri" w:eastAsia="宋体" w:cs="Calibri"/>
                <w:bCs/>
                <w:color w:val="auto"/>
                <w:szCs w:val="21"/>
                <w:highlight w:val="none"/>
              </w:rPr>
              <w:t>保洁员</w:t>
            </w:r>
          </w:p>
        </w:tc>
        <w:tc>
          <w:tcPr>
            <w:tcW w:w="1354" w:type="dxa"/>
            <w:noWrap w:val="0"/>
            <w:vAlign w:val="center"/>
          </w:tcPr>
          <w:p w14:paraId="2CAADD56">
            <w:pPr>
              <w:pageBreakBefore w:val="0"/>
              <w:widowControl/>
              <w:kinsoku/>
              <w:wordWrap/>
              <w:overflowPunct/>
              <w:topLinePunct w:val="0"/>
              <w:bidi w:val="0"/>
              <w:snapToGrid w:val="0"/>
              <w:spacing w:line="300" w:lineRule="auto"/>
              <w:ind w:left="0"/>
              <w:jc w:val="center"/>
              <w:rPr>
                <w:rFonts w:hint="default" w:ascii="Calibri" w:hAnsi="Calibri" w:eastAsia="宋体" w:cs="Calibri"/>
                <w:bCs/>
                <w:color w:val="auto"/>
                <w:szCs w:val="21"/>
                <w:highlight w:val="none"/>
                <w:lang w:val="en-US" w:eastAsia="zh-CN"/>
              </w:rPr>
            </w:pPr>
            <w:r>
              <w:rPr>
                <w:rFonts w:hint="eastAsia" w:cs="Calibri"/>
                <w:bCs/>
                <w:color w:val="auto"/>
                <w:szCs w:val="21"/>
                <w:highlight w:val="none"/>
                <w:lang w:val="en-US" w:eastAsia="zh-CN"/>
              </w:rPr>
              <w:t>15</w:t>
            </w:r>
          </w:p>
        </w:tc>
        <w:tc>
          <w:tcPr>
            <w:tcW w:w="1912" w:type="dxa"/>
            <w:noWrap w:val="0"/>
            <w:vAlign w:val="center"/>
          </w:tcPr>
          <w:p w14:paraId="528A2645">
            <w:pPr>
              <w:pageBreakBefore w:val="0"/>
              <w:widowControl/>
              <w:kinsoku/>
              <w:wordWrap/>
              <w:overflowPunct/>
              <w:topLinePunct w:val="0"/>
              <w:bidi w:val="0"/>
              <w:snapToGrid w:val="0"/>
              <w:spacing w:line="300" w:lineRule="auto"/>
              <w:ind w:left="0"/>
              <w:jc w:val="center"/>
              <w:rPr>
                <w:rFonts w:hint="default" w:ascii="Calibri" w:hAnsi="Calibri" w:eastAsia="宋体" w:cs="Calibri"/>
                <w:bCs/>
                <w:color w:val="auto"/>
                <w:szCs w:val="21"/>
                <w:highlight w:val="none"/>
                <w:lang w:val="en-US" w:eastAsia="zh-CN"/>
              </w:rPr>
            </w:pPr>
            <w:r>
              <w:rPr>
                <w:rFonts w:hint="eastAsia" w:cs="Calibri"/>
                <w:bCs/>
                <w:color w:val="auto"/>
                <w:szCs w:val="21"/>
                <w:highlight w:val="none"/>
                <w:lang w:val="en-US" w:eastAsia="zh-CN"/>
              </w:rPr>
              <w:t>15</w:t>
            </w:r>
          </w:p>
        </w:tc>
        <w:tc>
          <w:tcPr>
            <w:tcW w:w="3099" w:type="dxa"/>
            <w:noWrap w:val="0"/>
            <w:vAlign w:val="center"/>
          </w:tcPr>
          <w:p w14:paraId="1D95F5F8">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lang w:val="en-US" w:eastAsia="zh-CN"/>
              </w:rPr>
            </w:pPr>
            <w:r>
              <w:rPr>
                <w:rFonts w:hint="default" w:ascii="Calibri" w:hAnsi="Calibri" w:eastAsia="宋体" w:cs="Calibri"/>
                <w:bCs/>
                <w:color w:val="auto"/>
                <w:szCs w:val="21"/>
                <w:highlight w:val="none"/>
                <w:lang w:val="en-US" w:eastAsia="zh-CN"/>
              </w:rPr>
              <w:t>女性、年龄45岁以下（以身份证件为准）：</w:t>
            </w:r>
          </w:p>
          <w:p w14:paraId="57554CDA">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lang w:val="en-US" w:eastAsia="zh-CN"/>
              </w:rPr>
            </w:pPr>
            <w:r>
              <w:rPr>
                <w:rFonts w:hint="eastAsia" w:ascii="Calibri" w:hAnsi="Calibri" w:cs="Calibri"/>
                <w:bCs/>
                <w:color w:val="auto"/>
                <w:szCs w:val="21"/>
                <w:highlight w:val="none"/>
                <w:lang w:val="en-US" w:eastAsia="zh-CN"/>
              </w:rPr>
              <w:t>身体健康(提供健康证，以供应商承诺为准);无任何违法乱纪行为记录(提供公安部门出具的无犯罪记录证明，以供应商承诺为准）</w:t>
            </w:r>
            <w:r>
              <w:rPr>
                <w:rFonts w:hint="default" w:ascii="Calibri" w:hAnsi="Calibri" w:eastAsia="宋体" w:cs="Calibri"/>
                <w:bCs/>
                <w:color w:val="auto"/>
                <w:szCs w:val="21"/>
                <w:highlight w:val="none"/>
                <w:lang w:val="en-US" w:eastAsia="zh-CN"/>
              </w:rPr>
              <w:t>。</w:t>
            </w:r>
          </w:p>
        </w:tc>
      </w:tr>
      <w:tr w14:paraId="2204F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1" w:type="dxa"/>
            <w:noWrap w:val="0"/>
            <w:vAlign w:val="center"/>
          </w:tcPr>
          <w:p w14:paraId="3D92AA22">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r>
              <w:rPr>
                <w:rFonts w:hint="eastAsia" w:cs="Calibri"/>
                <w:bCs/>
                <w:color w:val="auto"/>
                <w:szCs w:val="21"/>
                <w:highlight w:val="none"/>
                <w:lang w:val="en-US" w:eastAsia="zh-CN"/>
              </w:rPr>
              <w:t>绿化服务</w:t>
            </w:r>
          </w:p>
        </w:tc>
        <w:tc>
          <w:tcPr>
            <w:tcW w:w="1256" w:type="dxa"/>
            <w:noWrap w:val="0"/>
            <w:vAlign w:val="center"/>
          </w:tcPr>
          <w:p w14:paraId="6577AE81">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r>
              <w:rPr>
                <w:rFonts w:hint="default" w:ascii="Calibri" w:hAnsi="Calibri" w:eastAsia="宋体" w:cs="Calibri"/>
                <w:bCs/>
                <w:color w:val="auto"/>
                <w:szCs w:val="21"/>
                <w:highlight w:val="none"/>
              </w:rPr>
              <w:t>绿化工</w:t>
            </w:r>
          </w:p>
        </w:tc>
        <w:tc>
          <w:tcPr>
            <w:tcW w:w="1354" w:type="dxa"/>
            <w:noWrap w:val="0"/>
            <w:vAlign w:val="center"/>
          </w:tcPr>
          <w:p w14:paraId="3127A1D6">
            <w:pPr>
              <w:pageBreakBefore w:val="0"/>
              <w:widowControl/>
              <w:kinsoku/>
              <w:wordWrap/>
              <w:overflowPunct/>
              <w:topLinePunct w:val="0"/>
              <w:bidi w:val="0"/>
              <w:snapToGrid w:val="0"/>
              <w:spacing w:line="300" w:lineRule="auto"/>
              <w:ind w:left="0"/>
              <w:jc w:val="center"/>
              <w:rPr>
                <w:rFonts w:hint="eastAsia" w:ascii="Calibri" w:hAnsi="Calibri" w:eastAsia="宋体" w:cs="Calibri"/>
                <w:bCs/>
                <w:color w:val="auto"/>
                <w:szCs w:val="21"/>
                <w:highlight w:val="none"/>
                <w:lang w:val="en-US" w:eastAsia="zh-CN"/>
              </w:rPr>
            </w:pPr>
            <w:r>
              <w:rPr>
                <w:rFonts w:hint="eastAsia" w:cs="Calibri"/>
                <w:bCs/>
                <w:color w:val="auto"/>
                <w:szCs w:val="21"/>
                <w:highlight w:val="none"/>
                <w:lang w:val="en-US" w:eastAsia="zh-CN"/>
              </w:rPr>
              <w:t>6</w:t>
            </w:r>
          </w:p>
        </w:tc>
        <w:tc>
          <w:tcPr>
            <w:tcW w:w="1912" w:type="dxa"/>
            <w:noWrap w:val="0"/>
            <w:vAlign w:val="center"/>
          </w:tcPr>
          <w:p w14:paraId="0A8029BD">
            <w:pPr>
              <w:pageBreakBefore w:val="0"/>
              <w:widowControl/>
              <w:kinsoku/>
              <w:wordWrap/>
              <w:overflowPunct/>
              <w:topLinePunct w:val="0"/>
              <w:bidi w:val="0"/>
              <w:snapToGrid w:val="0"/>
              <w:spacing w:line="300" w:lineRule="auto"/>
              <w:ind w:left="0"/>
              <w:jc w:val="center"/>
              <w:rPr>
                <w:rFonts w:hint="eastAsia" w:ascii="Calibri" w:hAnsi="Calibri" w:eastAsia="宋体" w:cs="Calibri"/>
                <w:bCs/>
                <w:color w:val="auto"/>
                <w:szCs w:val="21"/>
                <w:highlight w:val="none"/>
                <w:lang w:val="en-US" w:eastAsia="zh-CN"/>
              </w:rPr>
            </w:pPr>
            <w:r>
              <w:rPr>
                <w:rFonts w:hint="eastAsia" w:cs="Calibri"/>
                <w:bCs/>
                <w:color w:val="auto"/>
                <w:szCs w:val="21"/>
                <w:highlight w:val="none"/>
                <w:lang w:val="en-US" w:eastAsia="zh-CN"/>
              </w:rPr>
              <w:t>6</w:t>
            </w:r>
          </w:p>
        </w:tc>
        <w:tc>
          <w:tcPr>
            <w:tcW w:w="3099" w:type="dxa"/>
            <w:noWrap w:val="0"/>
            <w:vAlign w:val="center"/>
          </w:tcPr>
          <w:p w14:paraId="3A5168C0">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r>
              <w:rPr>
                <w:rFonts w:hint="default" w:ascii="Calibri" w:hAnsi="Calibri" w:eastAsia="宋体" w:cs="Calibri"/>
                <w:bCs/>
                <w:color w:val="auto"/>
                <w:szCs w:val="21"/>
                <w:highlight w:val="none"/>
              </w:rPr>
              <w:t xml:space="preserve">30-55 </w:t>
            </w:r>
            <w:r>
              <w:rPr>
                <w:rFonts w:hint="eastAsia" w:cs="Calibri"/>
                <w:bCs/>
                <w:color w:val="auto"/>
                <w:szCs w:val="21"/>
                <w:highlight w:val="none"/>
                <w:lang w:val="en-US" w:eastAsia="zh-CN"/>
              </w:rPr>
              <w:t>周</w:t>
            </w:r>
            <w:r>
              <w:rPr>
                <w:rFonts w:hint="default" w:ascii="Calibri" w:hAnsi="Calibri" w:eastAsia="宋体" w:cs="Calibri"/>
                <w:bCs/>
                <w:color w:val="auto"/>
                <w:szCs w:val="21"/>
                <w:highlight w:val="none"/>
              </w:rPr>
              <w:t>岁（以身份证件为</w:t>
            </w:r>
            <w:r>
              <w:rPr>
                <w:rFonts w:hint="eastAsia" w:cs="Calibri"/>
                <w:bCs/>
                <w:color w:val="auto"/>
                <w:szCs w:val="21"/>
                <w:highlight w:val="none"/>
                <w:lang w:val="en-US" w:eastAsia="zh-CN"/>
              </w:rPr>
              <w:t>准</w:t>
            </w:r>
            <w:r>
              <w:rPr>
                <w:rFonts w:hint="default" w:ascii="Calibri" w:hAnsi="Calibri" w:eastAsia="宋体" w:cs="Calibri"/>
                <w:bCs/>
                <w:color w:val="auto"/>
                <w:szCs w:val="21"/>
                <w:highlight w:val="none"/>
              </w:rPr>
              <w:t>）：具备相关绿化养护技能证书（如园艺师证书等）。</w:t>
            </w:r>
          </w:p>
          <w:p w14:paraId="5985821B">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r>
              <w:rPr>
                <w:rFonts w:hint="default" w:ascii="Calibri" w:hAnsi="Calibri" w:eastAsia="宋体" w:cs="Calibri"/>
                <w:bCs/>
                <w:color w:val="auto"/>
                <w:szCs w:val="21"/>
                <w:highlight w:val="none"/>
              </w:rPr>
              <w:t>或有五年以上</w:t>
            </w:r>
            <w:r>
              <w:rPr>
                <w:rFonts w:hint="eastAsia" w:cs="Calibri"/>
                <w:bCs/>
                <w:color w:val="auto"/>
                <w:szCs w:val="21"/>
                <w:highlight w:val="none"/>
                <w:lang w:val="en-US" w:eastAsia="zh-CN"/>
              </w:rPr>
              <w:t>绿</w:t>
            </w:r>
            <w:r>
              <w:rPr>
                <w:rFonts w:hint="default" w:ascii="Calibri" w:hAnsi="Calibri" w:eastAsia="宋体" w:cs="Calibri"/>
                <w:bCs/>
                <w:color w:val="auto"/>
                <w:szCs w:val="21"/>
                <w:highlight w:val="none"/>
              </w:rPr>
              <w:t>化工作经验（以</w:t>
            </w:r>
            <w:r>
              <w:rPr>
                <w:rFonts w:hint="eastAsia" w:cs="Calibri"/>
                <w:bCs/>
                <w:color w:val="auto"/>
                <w:szCs w:val="21"/>
                <w:highlight w:val="none"/>
                <w:lang w:val="en-US" w:eastAsia="zh-CN"/>
              </w:rPr>
              <w:t>劳</w:t>
            </w:r>
            <w:r>
              <w:rPr>
                <w:rFonts w:hint="default" w:ascii="Calibri" w:hAnsi="Calibri" w:eastAsia="宋体" w:cs="Calibri"/>
                <w:bCs/>
                <w:color w:val="auto"/>
                <w:szCs w:val="21"/>
                <w:highlight w:val="none"/>
              </w:rPr>
              <w:t>动合同为准）：身体健康（以</w:t>
            </w:r>
            <w:r>
              <w:rPr>
                <w:rFonts w:hint="eastAsia" w:ascii="Calibri" w:hAnsi="Calibri" w:cs="Calibri"/>
                <w:bCs/>
                <w:color w:val="auto"/>
                <w:szCs w:val="21"/>
                <w:highlight w:val="none"/>
                <w:lang w:eastAsia="zh-CN"/>
              </w:rPr>
              <w:t>健康证</w:t>
            </w:r>
            <w:r>
              <w:rPr>
                <w:rFonts w:hint="default" w:ascii="Calibri" w:hAnsi="Calibri" w:eastAsia="宋体" w:cs="Calibri"/>
                <w:bCs/>
                <w:color w:val="auto"/>
                <w:szCs w:val="21"/>
                <w:highlight w:val="none"/>
              </w:rPr>
              <w:t>为准）：无任何违法乱纪行为记录（需提供户籍所在地公安部门出具的无犯罪记录证明）</w:t>
            </w:r>
          </w:p>
        </w:tc>
      </w:tr>
      <w:tr w14:paraId="1AA11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1" w:type="dxa"/>
            <w:vMerge w:val="restart"/>
            <w:noWrap w:val="0"/>
            <w:vAlign w:val="center"/>
          </w:tcPr>
          <w:p w14:paraId="1260F732">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lang w:val="en-US" w:eastAsia="zh-CN"/>
              </w:rPr>
            </w:pPr>
            <w:r>
              <w:rPr>
                <w:rFonts w:hint="eastAsia" w:cs="Calibri"/>
                <w:bCs/>
                <w:color w:val="auto"/>
                <w:szCs w:val="21"/>
                <w:highlight w:val="none"/>
                <w:lang w:val="en-US" w:eastAsia="zh-CN"/>
              </w:rPr>
              <w:t>保安服务</w:t>
            </w:r>
          </w:p>
        </w:tc>
        <w:tc>
          <w:tcPr>
            <w:tcW w:w="1256" w:type="dxa"/>
            <w:noWrap w:val="0"/>
            <w:vAlign w:val="center"/>
          </w:tcPr>
          <w:p w14:paraId="1A38A6FA">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r>
              <w:rPr>
                <w:rFonts w:hint="default" w:ascii="Calibri" w:hAnsi="Calibri" w:eastAsia="宋体" w:cs="Calibri"/>
                <w:bCs/>
                <w:color w:val="auto"/>
                <w:szCs w:val="21"/>
                <w:highlight w:val="none"/>
              </w:rPr>
              <w:t>门岗</w:t>
            </w:r>
          </w:p>
        </w:tc>
        <w:tc>
          <w:tcPr>
            <w:tcW w:w="1354" w:type="dxa"/>
            <w:noWrap w:val="0"/>
            <w:vAlign w:val="center"/>
          </w:tcPr>
          <w:p w14:paraId="57142DB1">
            <w:pPr>
              <w:pageBreakBefore w:val="0"/>
              <w:widowControl/>
              <w:kinsoku/>
              <w:wordWrap/>
              <w:overflowPunct/>
              <w:topLinePunct w:val="0"/>
              <w:bidi w:val="0"/>
              <w:snapToGrid w:val="0"/>
              <w:spacing w:line="300" w:lineRule="auto"/>
              <w:ind w:left="0"/>
              <w:jc w:val="center"/>
              <w:rPr>
                <w:rFonts w:hint="default" w:ascii="Calibri" w:hAnsi="Calibri" w:eastAsia="宋体" w:cs="Calibri"/>
                <w:bCs/>
                <w:color w:val="auto"/>
                <w:szCs w:val="21"/>
                <w:highlight w:val="none"/>
                <w:lang w:val="en-US" w:eastAsia="zh-CN"/>
              </w:rPr>
            </w:pPr>
            <w:r>
              <w:rPr>
                <w:rFonts w:hint="eastAsia" w:cs="Calibri"/>
                <w:bCs/>
                <w:color w:val="auto"/>
                <w:szCs w:val="21"/>
                <w:highlight w:val="none"/>
                <w:lang w:val="en-US" w:eastAsia="zh-CN"/>
              </w:rPr>
              <w:t>4</w:t>
            </w:r>
          </w:p>
        </w:tc>
        <w:tc>
          <w:tcPr>
            <w:tcW w:w="1912" w:type="dxa"/>
            <w:noWrap w:val="0"/>
            <w:vAlign w:val="center"/>
          </w:tcPr>
          <w:p w14:paraId="4FAA53B7">
            <w:pPr>
              <w:pageBreakBefore w:val="0"/>
              <w:widowControl/>
              <w:kinsoku/>
              <w:wordWrap/>
              <w:overflowPunct/>
              <w:topLinePunct w:val="0"/>
              <w:bidi w:val="0"/>
              <w:snapToGrid w:val="0"/>
              <w:spacing w:line="300" w:lineRule="auto"/>
              <w:ind w:left="0"/>
              <w:jc w:val="center"/>
              <w:rPr>
                <w:rFonts w:hint="default" w:ascii="Calibri" w:hAnsi="Calibri" w:eastAsia="宋体" w:cs="Calibri"/>
                <w:bCs/>
                <w:color w:val="auto"/>
                <w:szCs w:val="21"/>
                <w:highlight w:val="none"/>
                <w:lang w:val="en-US" w:eastAsia="zh-CN"/>
              </w:rPr>
            </w:pPr>
            <w:r>
              <w:rPr>
                <w:rFonts w:hint="eastAsia" w:cs="Calibri"/>
                <w:bCs/>
                <w:color w:val="auto"/>
                <w:szCs w:val="21"/>
                <w:highlight w:val="none"/>
                <w:lang w:val="en-US" w:eastAsia="zh-CN"/>
              </w:rPr>
              <w:t>12</w:t>
            </w:r>
          </w:p>
        </w:tc>
        <w:tc>
          <w:tcPr>
            <w:tcW w:w="3099" w:type="dxa"/>
            <w:noWrap w:val="0"/>
            <w:vAlign w:val="center"/>
          </w:tcPr>
          <w:p w14:paraId="4143DF16">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u w:val="none"/>
              </w:rPr>
            </w:pPr>
            <w:r>
              <w:rPr>
                <w:rFonts w:hint="default" w:ascii="Calibri" w:hAnsi="Calibri" w:eastAsia="宋体" w:cs="Calibri"/>
                <w:bCs/>
                <w:color w:val="auto"/>
                <w:szCs w:val="21"/>
                <w:highlight w:val="none"/>
                <w:u w:val="none"/>
              </w:rPr>
              <w:t>年龄30-55周岁、男性（以身份证件为</w:t>
            </w:r>
            <w:r>
              <w:rPr>
                <w:rFonts w:hint="eastAsia" w:cs="Calibri"/>
                <w:bCs/>
                <w:color w:val="auto"/>
                <w:szCs w:val="21"/>
                <w:highlight w:val="none"/>
                <w:u w:val="none"/>
                <w:lang w:val="en-US" w:eastAsia="zh-CN"/>
              </w:rPr>
              <w:t>准</w:t>
            </w:r>
            <w:r>
              <w:rPr>
                <w:rFonts w:hint="default" w:ascii="Calibri" w:hAnsi="Calibri" w:eastAsia="宋体" w:cs="Calibri"/>
                <w:bCs/>
                <w:color w:val="auto"/>
                <w:szCs w:val="21"/>
                <w:highlight w:val="none"/>
                <w:u w:val="none"/>
              </w:rPr>
              <w:t>）：</w:t>
            </w:r>
          </w:p>
          <w:p w14:paraId="2F02259B">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lang w:val="en-US" w:eastAsia="zh-CN"/>
              </w:rPr>
            </w:pPr>
            <w:r>
              <w:rPr>
                <w:rFonts w:hint="default" w:ascii="Calibri" w:hAnsi="Calibri" w:eastAsia="宋体" w:cs="Calibri"/>
                <w:bCs/>
                <w:color w:val="auto"/>
                <w:szCs w:val="21"/>
                <w:highlight w:val="none"/>
                <w:u w:val="none"/>
              </w:rPr>
              <w:t>汉语流利、服务时长24小时（以</w:t>
            </w:r>
            <w:r>
              <w:rPr>
                <w:rFonts w:hint="eastAsia" w:cs="Calibri"/>
                <w:bCs/>
                <w:color w:val="auto"/>
                <w:szCs w:val="21"/>
                <w:highlight w:val="none"/>
                <w:u w:val="none"/>
                <w:lang w:val="en-US" w:eastAsia="zh-CN"/>
              </w:rPr>
              <w:t>供应商</w:t>
            </w:r>
            <w:r>
              <w:rPr>
                <w:rFonts w:hint="default" w:ascii="Calibri" w:hAnsi="Calibri" w:eastAsia="宋体" w:cs="Calibri"/>
                <w:bCs/>
                <w:color w:val="auto"/>
                <w:szCs w:val="21"/>
                <w:highlight w:val="none"/>
                <w:u w:val="none"/>
              </w:rPr>
              <w:t>承诺为准）：有保安证</w:t>
            </w:r>
            <w:r>
              <w:rPr>
                <w:rFonts w:hint="eastAsia" w:cs="Calibri"/>
                <w:bCs/>
                <w:color w:val="auto"/>
                <w:szCs w:val="21"/>
                <w:highlight w:val="none"/>
                <w:u w:val="none"/>
                <w:lang w:eastAsia="zh-CN"/>
              </w:rPr>
              <w:t>：</w:t>
            </w:r>
            <w:r>
              <w:rPr>
                <w:rFonts w:hint="eastAsia" w:ascii="Calibri" w:hAnsi="Calibri" w:cs="Calibri"/>
                <w:bCs/>
                <w:color w:val="auto"/>
                <w:szCs w:val="21"/>
                <w:highlight w:val="none"/>
                <w:u w:val="none"/>
                <w:lang w:eastAsia="zh-CN"/>
              </w:rPr>
              <w:t>身体健康(提供健康证，以供应商承诺为准);无任何违法乱纪行为记录(提供公安部门出具的无犯罪记录证明，以供应商承诺为准）</w:t>
            </w:r>
            <w:r>
              <w:rPr>
                <w:rFonts w:hint="default" w:ascii="Calibri" w:hAnsi="Calibri" w:eastAsia="宋体" w:cs="Calibri"/>
                <w:bCs/>
                <w:color w:val="auto"/>
                <w:szCs w:val="21"/>
                <w:highlight w:val="none"/>
                <w:u w:val="none"/>
              </w:rPr>
              <w:t>。</w:t>
            </w:r>
          </w:p>
        </w:tc>
      </w:tr>
      <w:tr w14:paraId="781E9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1" w:type="dxa"/>
            <w:vMerge w:val="continue"/>
            <w:noWrap w:val="0"/>
            <w:vAlign w:val="center"/>
          </w:tcPr>
          <w:p w14:paraId="220FB7C7">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p>
        </w:tc>
        <w:tc>
          <w:tcPr>
            <w:tcW w:w="1256" w:type="dxa"/>
            <w:noWrap w:val="0"/>
            <w:vAlign w:val="center"/>
          </w:tcPr>
          <w:p w14:paraId="1CBD82E1">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r>
              <w:rPr>
                <w:rFonts w:hint="default" w:ascii="Calibri" w:hAnsi="Calibri" w:eastAsia="宋体" w:cs="Calibri"/>
                <w:bCs/>
                <w:color w:val="auto"/>
                <w:szCs w:val="21"/>
                <w:highlight w:val="none"/>
              </w:rPr>
              <w:t>消控岗</w:t>
            </w:r>
          </w:p>
        </w:tc>
        <w:tc>
          <w:tcPr>
            <w:tcW w:w="1354" w:type="dxa"/>
            <w:noWrap w:val="0"/>
            <w:vAlign w:val="center"/>
          </w:tcPr>
          <w:p w14:paraId="776F2AC9">
            <w:pPr>
              <w:pageBreakBefore w:val="0"/>
              <w:widowControl/>
              <w:kinsoku/>
              <w:wordWrap/>
              <w:overflowPunct/>
              <w:topLinePunct w:val="0"/>
              <w:bidi w:val="0"/>
              <w:snapToGrid w:val="0"/>
              <w:spacing w:line="300" w:lineRule="auto"/>
              <w:ind w:left="0"/>
              <w:jc w:val="center"/>
              <w:rPr>
                <w:rFonts w:hint="default" w:ascii="Calibri" w:hAnsi="Calibri" w:eastAsia="宋体" w:cs="Calibri"/>
                <w:bCs/>
                <w:color w:val="auto"/>
                <w:szCs w:val="21"/>
                <w:highlight w:val="none"/>
                <w:lang w:val="en-US" w:eastAsia="zh-CN"/>
              </w:rPr>
            </w:pPr>
            <w:r>
              <w:rPr>
                <w:rFonts w:hint="eastAsia" w:cs="Calibri"/>
                <w:bCs/>
                <w:color w:val="auto"/>
                <w:szCs w:val="21"/>
                <w:highlight w:val="none"/>
                <w:lang w:val="en-US" w:eastAsia="zh-CN"/>
              </w:rPr>
              <w:t>1</w:t>
            </w:r>
          </w:p>
        </w:tc>
        <w:tc>
          <w:tcPr>
            <w:tcW w:w="1912" w:type="dxa"/>
            <w:noWrap w:val="0"/>
            <w:vAlign w:val="center"/>
          </w:tcPr>
          <w:p w14:paraId="1088AF3F">
            <w:pPr>
              <w:pageBreakBefore w:val="0"/>
              <w:widowControl/>
              <w:kinsoku/>
              <w:wordWrap/>
              <w:overflowPunct/>
              <w:topLinePunct w:val="0"/>
              <w:bidi w:val="0"/>
              <w:snapToGrid w:val="0"/>
              <w:spacing w:line="300" w:lineRule="auto"/>
              <w:ind w:left="0"/>
              <w:jc w:val="center"/>
              <w:rPr>
                <w:rFonts w:hint="eastAsia" w:ascii="Calibri" w:hAnsi="Calibri" w:eastAsia="宋体" w:cs="Calibri"/>
                <w:bCs/>
                <w:color w:val="auto"/>
                <w:szCs w:val="21"/>
                <w:highlight w:val="none"/>
                <w:lang w:val="en-US" w:eastAsia="zh-CN"/>
              </w:rPr>
            </w:pPr>
            <w:r>
              <w:rPr>
                <w:rFonts w:hint="eastAsia" w:cs="Calibri"/>
                <w:bCs/>
                <w:color w:val="auto"/>
                <w:szCs w:val="21"/>
                <w:highlight w:val="none"/>
                <w:lang w:val="en-US" w:eastAsia="zh-CN"/>
              </w:rPr>
              <w:t>3</w:t>
            </w:r>
          </w:p>
        </w:tc>
        <w:tc>
          <w:tcPr>
            <w:tcW w:w="3099" w:type="dxa"/>
            <w:noWrap w:val="0"/>
            <w:vAlign w:val="center"/>
          </w:tcPr>
          <w:p w14:paraId="3C229919">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lang w:val="en-US"/>
              </w:rPr>
            </w:pPr>
            <w:r>
              <w:rPr>
                <w:rFonts w:hint="default" w:ascii="Calibri" w:hAnsi="Calibri" w:eastAsia="宋体" w:cs="Calibri"/>
                <w:bCs/>
                <w:color w:val="auto"/>
                <w:szCs w:val="21"/>
                <w:highlight w:val="none"/>
              </w:rPr>
              <w:t>有中级消控资格证书：年龄 30-55 岁、男性（以身份证件为准》；</w:t>
            </w:r>
            <w:r>
              <w:rPr>
                <w:rFonts w:hint="eastAsia" w:cs="Calibri"/>
                <w:bCs/>
                <w:color w:val="auto"/>
                <w:szCs w:val="21"/>
                <w:highlight w:val="none"/>
                <w:lang w:val="en-US" w:eastAsia="zh-CN"/>
              </w:rPr>
              <w:t>服务</w:t>
            </w:r>
            <w:r>
              <w:rPr>
                <w:rFonts w:hint="default" w:ascii="Calibri" w:hAnsi="Calibri" w:eastAsia="宋体" w:cs="Calibri"/>
                <w:bCs/>
                <w:color w:val="auto"/>
                <w:szCs w:val="21"/>
                <w:highlight w:val="none"/>
              </w:rPr>
              <w:t>时长24 小时（以供应商承诺为准》：身体健康（以</w:t>
            </w:r>
            <w:r>
              <w:rPr>
                <w:rFonts w:hint="eastAsia" w:ascii="Calibri" w:hAnsi="Calibri" w:cs="Calibri"/>
                <w:bCs/>
                <w:color w:val="auto"/>
                <w:szCs w:val="21"/>
                <w:highlight w:val="none"/>
                <w:lang w:eastAsia="zh-CN"/>
              </w:rPr>
              <w:t>健康证</w:t>
            </w:r>
            <w:r>
              <w:rPr>
                <w:rFonts w:hint="default" w:ascii="Calibri" w:hAnsi="Calibri" w:eastAsia="宋体" w:cs="Calibri"/>
                <w:bCs/>
                <w:color w:val="auto"/>
                <w:szCs w:val="21"/>
                <w:highlight w:val="none"/>
              </w:rPr>
              <w:t>为准）：无任何违法乱纪行为记录（提供户籍所在地公安部门出具的无犯罪记承证明》</w:t>
            </w:r>
          </w:p>
        </w:tc>
      </w:tr>
      <w:tr w14:paraId="69121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1" w:type="dxa"/>
            <w:noWrap w:val="0"/>
            <w:vAlign w:val="center"/>
          </w:tcPr>
          <w:p w14:paraId="19F8DAD4">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lang w:val="en-US" w:eastAsia="zh-CN"/>
              </w:rPr>
            </w:pPr>
            <w:r>
              <w:rPr>
                <w:rFonts w:hint="eastAsia" w:cs="Calibri"/>
                <w:bCs/>
                <w:color w:val="auto"/>
                <w:szCs w:val="21"/>
                <w:highlight w:val="none"/>
                <w:lang w:val="en-US" w:eastAsia="zh-CN"/>
              </w:rPr>
              <w:t>宿管服务</w:t>
            </w:r>
          </w:p>
        </w:tc>
        <w:tc>
          <w:tcPr>
            <w:tcW w:w="1256" w:type="dxa"/>
            <w:noWrap w:val="0"/>
            <w:vAlign w:val="center"/>
          </w:tcPr>
          <w:p w14:paraId="4ED06E4B">
            <w:pPr>
              <w:pageBreakBefore w:val="0"/>
              <w:widowControl/>
              <w:kinsoku/>
              <w:wordWrap/>
              <w:overflowPunct/>
              <w:topLinePunct w:val="0"/>
              <w:bidi w:val="0"/>
              <w:snapToGrid w:val="0"/>
              <w:spacing w:line="300" w:lineRule="auto"/>
              <w:ind w:left="0"/>
              <w:jc w:val="both"/>
              <w:rPr>
                <w:rFonts w:hint="eastAsia" w:ascii="Calibri" w:hAnsi="Calibri" w:eastAsia="宋体" w:cs="Calibri"/>
                <w:bCs/>
                <w:color w:val="auto"/>
                <w:szCs w:val="21"/>
                <w:highlight w:val="none"/>
                <w:lang w:val="en-US" w:eastAsia="zh-CN"/>
              </w:rPr>
            </w:pPr>
            <w:r>
              <w:rPr>
                <w:rFonts w:hint="eastAsia" w:cs="Calibri"/>
                <w:bCs/>
                <w:color w:val="auto"/>
                <w:szCs w:val="21"/>
                <w:highlight w:val="none"/>
                <w:lang w:val="en-US" w:eastAsia="zh-CN"/>
              </w:rPr>
              <w:t>宿管</w:t>
            </w:r>
          </w:p>
        </w:tc>
        <w:tc>
          <w:tcPr>
            <w:tcW w:w="1354" w:type="dxa"/>
            <w:noWrap w:val="0"/>
            <w:vAlign w:val="center"/>
          </w:tcPr>
          <w:p w14:paraId="0E5D136A">
            <w:pPr>
              <w:pageBreakBefore w:val="0"/>
              <w:widowControl/>
              <w:kinsoku/>
              <w:wordWrap/>
              <w:overflowPunct/>
              <w:topLinePunct w:val="0"/>
              <w:bidi w:val="0"/>
              <w:snapToGrid w:val="0"/>
              <w:spacing w:line="300" w:lineRule="auto"/>
              <w:ind w:left="0"/>
              <w:jc w:val="center"/>
              <w:rPr>
                <w:rFonts w:hint="default" w:ascii="Calibri" w:hAnsi="Calibri" w:eastAsia="宋体" w:cs="Calibri"/>
                <w:bCs/>
                <w:color w:val="auto"/>
                <w:szCs w:val="21"/>
                <w:highlight w:val="none"/>
                <w:lang w:val="en-US" w:eastAsia="zh-CN"/>
              </w:rPr>
            </w:pPr>
            <w:r>
              <w:rPr>
                <w:rFonts w:hint="eastAsia" w:cs="Calibri"/>
                <w:bCs/>
                <w:color w:val="auto"/>
                <w:szCs w:val="21"/>
                <w:highlight w:val="none"/>
                <w:lang w:val="en-US" w:eastAsia="zh-CN"/>
              </w:rPr>
              <w:t>8</w:t>
            </w:r>
          </w:p>
        </w:tc>
        <w:tc>
          <w:tcPr>
            <w:tcW w:w="1912" w:type="dxa"/>
            <w:noWrap w:val="0"/>
            <w:vAlign w:val="center"/>
          </w:tcPr>
          <w:p w14:paraId="59ED0925">
            <w:pPr>
              <w:pageBreakBefore w:val="0"/>
              <w:widowControl/>
              <w:kinsoku/>
              <w:wordWrap/>
              <w:overflowPunct/>
              <w:topLinePunct w:val="0"/>
              <w:bidi w:val="0"/>
              <w:snapToGrid w:val="0"/>
              <w:spacing w:line="300" w:lineRule="auto"/>
              <w:ind w:left="0"/>
              <w:jc w:val="center"/>
              <w:rPr>
                <w:rFonts w:hint="default" w:ascii="Calibri" w:hAnsi="Calibri" w:eastAsia="宋体" w:cs="Calibri"/>
                <w:bCs/>
                <w:color w:val="auto"/>
                <w:szCs w:val="21"/>
                <w:highlight w:val="none"/>
                <w:lang w:val="en-US" w:eastAsia="zh-CN"/>
              </w:rPr>
            </w:pPr>
            <w:r>
              <w:rPr>
                <w:rFonts w:hint="eastAsia" w:cs="Calibri"/>
                <w:bCs/>
                <w:color w:val="auto"/>
                <w:szCs w:val="21"/>
                <w:highlight w:val="none"/>
                <w:lang w:val="en-US" w:eastAsia="zh-CN"/>
              </w:rPr>
              <w:t>12</w:t>
            </w:r>
          </w:p>
        </w:tc>
        <w:tc>
          <w:tcPr>
            <w:tcW w:w="3099" w:type="dxa"/>
            <w:noWrap w:val="0"/>
            <w:vAlign w:val="center"/>
          </w:tcPr>
          <w:p w14:paraId="67FF8155">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r>
              <w:rPr>
                <w:rFonts w:hint="default" w:ascii="Calibri" w:hAnsi="Calibri" w:eastAsia="宋体" w:cs="Calibri"/>
                <w:bCs/>
                <w:color w:val="auto"/>
                <w:szCs w:val="21"/>
                <w:highlight w:val="none"/>
              </w:rPr>
              <w:t>年龄 30-55 岁、女性（以身份证件为准》；服务时长24 小时；</w:t>
            </w:r>
            <w:r>
              <w:rPr>
                <w:rFonts w:hint="eastAsia" w:ascii="Calibri" w:hAnsi="Calibri" w:cs="Calibri"/>
                <w:bCs/>
                <w:color w:val="auto"/>
                <w:szCs w:val="21"/>
                <w:highlight w:val="none"/>
                <w:lang w:eastAsia="zh-CN"/>
              </w:rPr>
              <w:t>身体健康(提供健康证，以供应商承诺为准);无任何违法乱纪行为记录(提供公安部门出具的无犯罪记录证明，以供应商承诺为准）</w:t>
            </w:r>
            <w:r>
              <w:rPr>
                <w:rFonts w:hint="default" w:ascii="Calibri" w:hAnsi="Calibri" w:eastAsia="宋体" w:cs="Calibri"/>
                <w:bCs/>
                <w:color w:val="auto"/>
                <w:szCs w:val="21"/>
                <w:highlight w:val="none"/>
                <w:u w:val="none"/>
              </w:rPr>
              <w:t>。</w:t>
            </w:r>
          </w:p>
        </w:tc>
      </w:tr>
    </w:tbl>
    <w:p w14:paraId="0997219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firstLine="420" w:firstLineChars="200"/>
        <w:jc w:val="left"/>
        <w:textAlignment w:val="auto"/>
        <w:rPr>
          <w:rFonts w:hint="eastAsia" w:ascii="楷体" w:hAnsi="楷体" w:eastAsia="楷体" w:cs="楷体"/>
          <w:b w:val="0"/>
          <w:bCs/>
          <w:color w:val="auto"/>
          <w:szCs w:val="21"/>
          <w:highlight w:val="none"/>
          <w:u w:val="none"/>
        </w:rPr>
      </w:pPr>
      <w:r>
        <w:rPr>
          <w:rFonts w:hint="eastAsia" w:ascii="楷体" w:hAnsi="楷体" w:eastAsia="楷体" w:cs="楷体"/>
          <w:color w:val="auto"/>
          <w:sz w:val="21"/>
          <w:szCs w:val="21"/>
          <w:highlight w:val="none"/>
          <w:u w:val="none"/>
          <w:lang w:val="en-US" w:eastAsia="zh-CN"/>
        </w:rPr>
        <w:t>注：</w:t>
      </w:r>
      <w:r>
        <w:rPr>
          <w:rFonts w:hint="eastAsia" w:ascii="楷体" w:hAnsi="楷体" w:eastAsia="楷体" w:cs="楷体"/>
          <w:b w:val="0"/>
          <w:bCs/>
          <w:color w:val="auto"/>
          <w:szCs w:val="21"/>
          <w:highlight w:val="none"/>
          <w:u w:val="none"/>
          <w:lang w:val="en-US" w:eastAsia="zh-CN"/>
        </w:rPr>
        <w:t>供应商</w:t>
      </w:r>
      <w:r>
        <w:rPr>
          <w:rFonts w:hint="eastAsia" w:ascii="楷体" w:hAnsi="楷体" w:eastAsia="楷体" w:cs="楷体"/>
          <w:b w:val="0"/>
          <w:bCs/>
          <w:color w:val="auto"/>
          <w:szCs w:val="21"/>
          <w:highlight w:val="none"/>
          <w:u w:val="none"/>
        </w:rPr>
        <w:t>应</w:t>
      </w:r>
      <w:r>
        <w:rPr>
          <w:rFonts w:hint="eastAsia" w:ascii="楷体" w:hAnsi="楷体" w:eastAsia="楷体" w:cs="楷体"/>
          <w:b w:val="0"/>
          <w:bCs/>
          <w:color w:val="auto"/>
          <w:szCs w:val="21"/>
          <w:highlight w:val="none"/>
          <w:u w:val="none"/>
          <w:lang w:eastAsia="zh-CN"/>
        </w:rPr>
        <w:t>当按国家相关法律法规，合理确定服务人员工资标准、</w:t>
      </w:r>
      <w:r>
        <w:rPr>
          <w:rFonts w:hint="eastAsia" w:ascii="楷体" w:hAnsi="楷体" w:eastAsia="楷体" w:cs="楷体"/>
          <w:b w:val="0"/>
          <w:bCs/>
          <w:color w:val="auto"/>
          <w:szCs w:val="21"/>
          <w:highlight w:val="none"/>
          <w:u w:val="none"/>
        </w:rPr>
        <w:t>工作时间</w:t>
      </w:r>
      <w:r>
        <w:rPr>
          <w:rFonts w:hint="eastAsia" w:ascii="楷体" w:hAnsi="楷体" w:eastAsia="楷体" w:cs="楷体"/>
          <w:b w:val="0"/>
          <w:bCs/>
          <w:color w:val="auto"/>
          <w:szCs w:val="21"/>
          <w:highlight w:val="none"/>
          <w:u w:val="none"/>
          <w:lang w:eastAsia="zh-CN"/>
        </w:rPr>
        <w:t>等</w:t>
      </w:r>
      <w:r>
        <w:rPr>
          <w:rFonts w:hint="eastAsia" w:ascii="楷体" w:hAnsi="楷体" w:eastAsia="楷体" w:cs="楷体"/>
          <w:b w:val="0"/>
          <w:bCs/>
          <w:color w:val="auto"/>
          <w:szCs w:val="21"/>
          <w:highlight w:val="none"/>
          <w:u w:val="none"/>
        </w:rPr>
        <w:t>。</w:t>
      </w:r>
    </w:p>
    <w:p w14:paraId="29009E6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firstLine="420" w:firstLineChars="200"/>
        <w:jc w:val="left"/>
        <w:textAlignment w:val="auto"/>
        <w:rPr>
          <w:rFonts w:hint="default" w:ascii="Calibri" w:hAnsi="Calibri" w:eastAsia="宋体" w:cs="Calibri"/>
          <w:bCs/>
          <w:color w:val="auto"/>
          <w:szCs w:val="21"/>
          <w:highlight w:val="none"/>
          <w:lang w:val="en-US" w:eastAsia="zh-CN"/>
        </w:rPr>
      </w:pPr>
      <w:r>
        <w:rPr>
          <w:rFonts w:hint="eastAsia" w:ascii="楷体" w:hAnsi="楷体" w:eastAsia="楷体" w:cs="楷体"/>
          <w:b w:val="0"/>
          <w:bCs/>
          <w:color w:val="auto"/>
          <w:kern w:val="0"/>
          <w:sz w:val="21"/>
          <w:szCs w:val="21"/>
          <w:highlight w:val="none"/>
          <w:lang w:val="en-US" w:eastAsia="zh-CN" w:bidi="ar-SA"/>
        </w:rPr>
        <w:t xml:space="preserve">    </w:t>
      </w:r>
      <w:r>
        <w:rPr>
          <w:rFonts w:hint="eastAsia" w:ascii="楷体" w:hAnsi="楷体" w:eastAsia="楷体" w:cs="楷体"/>
          <w:b w:val="0"/>
          <w:bCs/>
          <w:color w:val="auto"/>
          <w:szCs w:val="21"/>
          <w:highlight w:val="none"/>
          <w:u w:val="none"/>
          <w:lang w:val="en-US" w:eastAsia="zh-CN"/>
        </w:rPr>
        <w:t>供应商</w:t>
      </w:r>
      <w:r>
        <w:rPr>
          <w:rFonts w:hint="eastAsia" w:ascii="楷体" w:hAnsi="楷体" w:eastAsia="楷体" w:cs="楷体"/>
          <w:bCs/>
          <w:i w:val="0"/>
          <w:iCs w:val="0"/>
          <w:color w:val="auto"/>
          <w:kern w:val="0"/>
          <w:sz w:val="21"/>
          <w:szCs w:val="21"/>
          <w:highlight w:val="none"/>
          <w:u w:val="none"/>
          <w:lang w:val="en-US" w:eastAsia="zh-CN" w:bidi="ar"/>
        </w:rPr>
        <w:t>应当自行为服务人员办理必需的保险</w:t>
      </w:r>
      <w:r>
        <w:rPr>
          <w:rFonts w:hint="eastAsia" w:ascii="楷体" w:hAnsi="楷体" w:eastAsia="楷体" w:cs="楷体"/>
          <w:b w:val="0"/>
          <w:bCs/>
          <w:color w:val="auto"/>
          <w:szCs w:val="21"/>
          <w:highlight w:val="none"/>
          <w:u w:val="none"/>
        </w:rPr>
        <w:t>，有关人员伤亡及第三者责任险均</w:t>
      </w:r>
      <w:r>
        <w:rPr>
          <w:rFonts w:hint="eastAsia" w:ascii="楷体" w:hAnsi="楷体" w:eastAsia="楷体" w:cs="楷体"/>
          <w:b w:val="0"/>
          <w:bCs/>
          <w:color w:val="auto"/>
          <w:szCs w:val="21"/>
          <w:highlight w:val="none"/>
          <w:u w:val="none"/>
          <w:lang w:val="en-US" w:eastAsia="zh-CN"/>
        </w:rPr>
        <w:t>应当</w:t>
      </w:r>
      <w:r>
        <w:rPr>
          <w:rFonts w:hint="eastAsia" w:ascii="楷体" w:hAnsi="楷体" w:eastAsia="楷体" w:cs="楷体"/>
          <w:b w:val="0"/>
          <w:bCs/>
          <w:color w:val="auto"/>
          <w:szCs w:val="21"/>
          <w:highlight w:val="none"/>
          <w:u w:val="none"/>
        </w:rPr>
        <w:t>考虑在报价因素中</w:t>
      </w:r>
      <w:r>
        <w:rPr>
          <w:rFonts w:hint="eastAsia" w:ascii="楷体" w:hAnsi="楷体" w:eastAsia="楷体" w:cs="楷体"/>
          <w:b w:val="0"/>
          <w:bCs/>
          <w:color w:val="auto"/>
          <w:kern w:val="0"/>
          <w:szCs w:val="21"/>
          <w:highlight w:val="none"/>
          <w:u w:val="none"/>
        </w:rPr>
        <w:t>。</w:t>
      </w:r>
    </w:p>
    <w:bookmarkEnd w:id="447"/>
    <w:bookmarkEnd w:id="448"/>
    <w:bookmarkEnd w:id="449"/>
    <w:p w14:paraId="2C826C76">
      <w:pPr>
        <w:bidi w:val="0"/>
        <w:rPr>
          <w:rFonts w:hint="default"/>
          <w:highlight w:val="none"/>
        </w:rPr>
      </w:pPr>
      <w:bookmarkStart w:id="450" w:name="_Toc20385"/>
      <w:bookmarkStart w:id="451" w:name="_Toc21574"/>
      <w:bookmarkStart w:id="452" w:name="_Toc1962"/>
    </w:p>
    <w:p w14:paraId="3A982DB0">
      <w:pPr>
        <w:pStyle w:val="55"/>
        <w:pageBreakBefore w:val="0"/>
        <w:shd w:val="clear" w:color="auto" w:fill="auto"/>
        <w:kinsoku/>
        <w:wordWrap/>
        <w:overflowPunct/>
        <w:topLinePunct w:val="0"/>
        <w:bidi w:val="0"/>
        <w:spacing w:line="360" w:lineRule="auto"/>
        <w:ind w:firstLine="498" w:firstLineChars="177"/>
        <w:rPr>
          <w:rFonts w:hint="eastAsia"/>
          <w:highlight w:val="none"/>
          <w:lang w:val="en-US" w:eastAsia="zh-CN"/>
        </w:rPr>
      </w:pPr>
      <w:r>
        <w:rPr>
          <w:rFonts w:hint="eastAsia" w:ascii="宋体" w:hAnsi="宋体" w:eastAsia="宋体" w:cs="宋体"/>
          <w:b/>
          <w:bCs/>
          <w:color w:val="auto"/>
          <w:kern w:val="44"/>
          <w:sz w:val="28"/>
          <w:szCs w:val="28"/>
          <w:highlight w:val="none"/>
          <w:lang w:val="en-US" w:eastAsia="zh-CN" w:bidi="ar-SA"/>
        </w:rPr>
        <w:t>6.</w:t>
      </w:r>
      <w:r>
        <w:rPr>
          <w:rFonts w:hint="default" w:ascii="宋体" w:hAnsi="宋体" w:eastAsia="宋体" w:cs="宋体"/>
          <w:b/>
          <w:bCs/>
          <w:color w:val="auto"/>
          <w:kern w:val="44"/>
          <w:sz w:val="28"/>
          <w:szCs w:val="28"/>
          <w:highlight w:val="none"/>
          <w:lang w:val="en-US" w:eastAsia="zh-CN" w:bidi="ar-SA"/>
        </w:rPr>
        <w:t>商务要求</w:t>
      </w:r>
    </w:p>
    <w:p w14:paraId="23985142">
      <w:pPr>
        <w:pStyle w:val="55"/>
        <w:pageBreakBefore w:val="0"/>
        <w:shd w:val="clear" w:color="auto" w:fill="auto"/>
        <w:kinsoku/>
        <w:wordWrap/>
        <w:overflowPunct/>
        <w:topLinePunct w:val="0"/>
        <w:bidi w:val="0"/>
        <w:spacing w:line="360" w:lineRule="auto"/>
        <w:ind w:firstLine="498" w:firstLineChars="177"/>
        <w:rPr>
          <w:rFonts w:hint="default" w:ascii="宋体" w:hAnsi="宋体" w:eastAsia="宋体" w:cs="宋体"/>
          <w:b/>
          <w:bCs/>
          <w:color w:val="auto"/>
          <w:kern w:val="44"/>
          <w:sz w:val="28"/>
          <w:szCs w:val="28"/>
          <w:highlight w:val="none"/>
          <w:lang w:val="en-US" w:eastAsia="zh-CN" w:bidi="ar-SA"/>
        </w:rPr>
      </w:pPr>
      <w:r>
        <w:rPr>
          <w:rFonts w:hint="eastAsia" w:ascii="宋体" w:hAnsi="宋体" w:eastAsia="宋体" w:cs="宋体"/>
          <w:b/>
          <w:bCs/>
          <w:color w:val="auto"/>
          <w:kern w:val="44"/>
          <w:sz w:val="28"/>
          <w:szCs w:val="28"/>
          <w:highlight w:val="none"/>
          <w:lang w:val="en-US" w:eastAsia="zh-CN" w:bidi="ar-SA"/>
        </w:rPr>
        <w:t>6.1</w:t>
      </w:r>
      <w:r>
        <w:rPr>
          <w:rFonts w:hint="default" w:ascii="宋体" w:hAnsi="宋体" w:eastAsia="宋体" w:cs="宋体"/>
          <w:b/>
          <w:bCs/>
          <w:color w:val="auto"/>
          <w:kern w:val="44"/>
          <w:sz w:val="28"/>
          <w:szCs w:val="28"/>
          <w:highlight w:val="none"/>
          <w:lang w:val="en-US" w:eastAsia="zh-CN" w:bidi="ar-SA"/>
        </w:rPr>
        <w:t>实施期限</w:t>
      </w:r>
    </w:p>
    <w:p w14:paraId="599AC0F3">
      <w:pPr>
        <w:pStyle w:val="55"/>
        <w:pageBreakBefore w:val="0"/>
        <w:shd w:val="clear" w:color="auto" w:fill="auto"/>
        <w:kinsoku/>
        <w:wordWrap/>
        <w:overflowPunct/>
        <w:topLinePunct w:val="0"/>
        <w:bidi w:val="0"/>
        <w:spacing w:line="360" w:lineRule="auto"/>
        <w:ind w:firstLine="498" w:firstLineChars="177"/>
        <w:rPr>
          <w:rFonts w:hint="eastAsia" w:ascii="宋体" w:hAnsi="宋体" w:eastAsia="宋体" w:cs="宋体"/>
          <w:b/>
          <w:bCs/>
          <w:color w:val="auto"/>
          <w:kern w:val="44"/>
          <w:sz w:val="28"/>
          <w:szCs w:val="28"/>
          <w:highlight w:val="none"/>
          <w:lang w:val="en-US" w:eastAsia="zh-CN" w:bidi="ar-SA"/>
        </w:rPr>
      </w:pPr>
      <w:r>
        <w:rPr>
          <w:rFonts w:hint="eastAsia" w:ascii="宋体" w:hAnsi="宋体" w:eastAsia="宋体" w:cs="宋体"/>
          <w:b/>
          <w:bCs/>
          <w:color w:val="auto"/>
          <w:kern w:val="44"/>
          <w:sz w:val="28"/>
          <w:szCs w:val="28"/>
          <w:highlight w:val="none"/>
          <w:lang w:val="en-US" w:eastAsia="zh-CN" w:bidi="ar-SA"/>
        </w:rPr>
        <w:t>2025年7月1日至2025年12月31日，</w:t>
      </w:r>
      <w:r>
        <w:rPr>
          <w:rFonts w:hint="default" w:ascii="宋体" w:hAnsi="宋体" w:eastAsia="宋体" w:cs="宋体"/>
          <w:b/>
          <w:bCs/>
          <w:color w:val="auto"/>
          <w:kern w:val="44"/>
          <w:sz w:val="28"/>
          <w:szCs w:val="28"/>
          <w:highlight w:val="none"/>
          <w:lang w:val="en-US" w:eastAsia="zh-CN" w:bidi="ar-SA"/>
        </w:rPr>
        <w:t>共计</w:t>
      </w:r>
      <w:r>
        <w:rPr>
          <w:rFonts w:hint="eastAsia" w:ascii="宋体" w:hAnsi="宋体" w:eastAsia="宋体" w:cs="宋体"/>
          <w:b/>
          <w:bCs/>
          <w:color w:val="auto"/>
          <w:kern w:val="44"/>
          <w:sz w:val="28"/>
          <w:szCs w:val="28"/>
          <w:highlight w:val="none"/>
          <w:lang w:val="en-US" w:eastAsia="zh-CN" w:bidi="ar-SA"/>
        </w:rPr>
        <w:t>六</w:t>
      </w:r>
      <w:r>
        <w:rPr>
          <w:rFonts w:hint="default" w:ascii="宋体" w:hAnsi="宋体" w:eastAsia="宋体" w:cs="宋体"/>
          <w:b/>
          <w:bCs/>
          <w:color w:val="auto"/>
          <w:kern w:val="44"/>
          <w:sz w:val="28"/>
          <w:szCs w:val="28"/>
          <w:highlight w:val="none"/>
          <w:lang w:val="en-US" w:eastAsia="zh-CN" w:bidi="ar-SA"/>
        </w:rPr>
        <w:t>个月，以合同</w:t>
      </w:r>
      <w:r>
        <w:rPr>
          <w:rFonts w:hint="eastAsia" w:ascii="宋体" w:hAnsi="宋体" w:eastAsia="宋体" w:cs="宋体"/>
          <w:b/>
          <w:bCs/>
          <w:color w:val="auto"/>
          <w:kern w:val="44"/>
          <w:sz w:val="28"/>
          <w:szCs w:val="28"/>
          <w:highlight w:val="none"/>
          <w:lang w:val="en-US" w:eastAsia="zh-CN" w:bidi="ar-SA"/>
        </w:rPr>
        <w:t>约</w:t>
      </w:r>
      <w:r>
        <w:rPr>
          <w:rFonts w:hint="default" w:ascii="宋体" w:hAnsi="宋体" w:eastAsia="宋体" w:cs="宋体"/>
          <w:b/>
          <w:bCs/>
          <w:color w:val="auto"/>
          <w:kern w:val="44"/>
          <w:sz w:val="28"/>
          <w:szCs w:val="28"/>
          <w:highlight w:val="none"/>
          <w:lang w:val="en-US" w:eastAsia="zh-CN" w:bidi="ar-SA"/>
        </w:rPr>
        <w:t>定时间为准</w:t>
      </w:r>
      <w:r>
        <w:rPr>
          <w:rFonts w:hint="eastAsia" w:ascii="宋体" w:hAnsi="宋体" w:eastAsia="宋体" w:cs="宋体"/>
          <w:b/>
          <w:bCs/>
          <w:color w:val="auto"/>
          <w:kern w:val="44"/>
          <w:sz w:val="28"/>
          <w:szCs w:val="28"/>
          <w:highlight w:val="none"/>
          <w:lang w:val="en-US" w:eastAsia="zh-CN" w:bidi="ar-SA"/>
        </w:rPr>
        <w:t>。</w:t>
      </w:r>
    </w:p>
    <w:p w14:paraId="60A4BD4E">
      <w:pPr>
        <w:pStyle w:val="55"/>
        <w:pageBreakBefore w:val="0"/>
        <w:shd w:val="clear" w:color="auto" w:fill="auto"/>
        <w:kinsoku/>
        <w:wordWrap/>
        <w:overflowPunct/>
        <w:topLinePunct w:val="0"/>
        <w:bidi w:val="0"/>
        <w:spacing w:line="360" w:lineRule="auto"/>
        <w:ind w:firstLine="498" w:firstLineChars="177"/>
        <w:rPr>
          <w:rFonts w:hint="default" w:ascii="宋体" w:hAnsi="宋体" w:eastAsia="宋体" w:cs="宋体"/>
          <w:b/>
          <w:bCs/>
          <w:color w:val="auto"/>
          <w:kern w:val="44"/>
          <w:sz w:val="28"/>
          <w:szCs w:val="28"/>
          <w:highlight w:val="none"/>
          <w:lang w:val="en-US" w:eastAsia="zh-CN" w:bidi="ar-SA"/>
        </w:rPr>
      </w:pPr>
      <w:r>
        <w:rPr>
          <w:rFonts w:hint="eastAsia" w:ascii="宋体" w:hAnsi="宋体" w:eastAsia="宋体" w:cs="宋体"/>
          <w:b/>
          <w:bCs/>
          <w:color w:val="auto"/>
          <w:kern w:val="44"/>
          <w:sz w:val="28"/>
          <w:szCs w:val="28"/>
          <w:highlight w:val="none"/>
          <w:lang w:val="en-US" w:eastAsia="zh-CN" w:bidi="ar-SA"/>
        </w:rPr>
        <w:t>6.2付款方式</w:t>
      </w:r>
    </w:p>
    <w:p w14:paraId="57390D30">
      <w:pPr>
        <w:pStyle w:val="55"/>
        <w:pageBreakBefore w:val="0"/>
        <w:shd w:val="clear" w:color="auto" w:fill="auto"/>
        <w:kinsoku/>
        <w:wordWrap/>
        <w:overflowPunct/>
        <w:topLinePunct w:val="0"/>
        <w:bidi w:val="0"/>
        <w:spacing w:line="360" w:lineRule="auto"/>
        <w:ind w:firstLine="498" w:firstLineChars="177"/>
        <w:rPr>
          <w:rFonts w:hint="eastAsia" w:ascii="宋体" w:hAnsi="宋体" w:eastAsia="宋体" w:cs="宋体"/>
          <w:b/>
          <w:bCs/>
          <w:color w:val="auto"/>
          <w:kern w:val="44"/>
          <w:sz w:val="28"/>
          <w:szCs w:val="28"/>
          <w:highlight w:val="none"/>
          <w:lang w:val="en-US" w:eastAsia="zh-CN" w:bidi="ar-SA"/>
        </w:rPr>
      </w:pPr>
      <w:r>
        <w:rPr>
          <w:rFonts w:hint="eastAsia" w:ascii="宋体" w:hAnsi="宋体" w:eastAsia="宋体" w:cs="宋体"/>
          <w:b/>
          <w:bCs/>
          <w:color w:val="auto"/>
          <w:kern w:val="44"/>
          <w:sz w:val="28"/>
          <w:szCs w:val="28"/>
          <w:highlight w:val="none"/>
          <w:lang w:val="en-US" w:eastAsia="zh-CN" w:bidi="ar-SA"/>
        </w:rPr>
        <w:t>按月支付：次月十五号支付上月费用</w:t>
      </w:r>
    </w:p>
    <w:p w14:paraId="6FAED383">
      <w:pPr>
        <w:bidi w:val="0"/>
        <w:ind w:firstLine="482" w:firstLineChars="200"/>
        <w:rPr>
          <w:rFonts w:hint="eastAsia" w:eastAsia="宋体"/>
          <w:b/>
          <w:bCs/>
          <w:szCs w:val="32"/>
          <w:highlight w:val="none"/>
          <w:lang w:val="en-US" w:eastAsia="zh-CN"/>
        </w:rPr>
      </w:pPr>
      <w:r>
        <w:rPr>
          <w:rFonts w:hint="eastAsia" w:eastAsia="宋体"/>
          <w:b/>
          <w:bCs/>
          <w:szCs w:val="32"/>
          <w:highlight w:val="none"/>
          <w:lang w:val="en-US" w:eastAsia="zh-CN"/>
        </w:rPr>
        <w:t>6.3验收标准与要求</w:t>
      </w:r>
    </w:p>
    <w:p w14:paraId="7E2C69FD">
      <w:pPr>
        <w:bidi w:val="0"/>
        <w:ind w:firstLine="482" w:firstLineChars="200"/>
        <w:rPr>
          <w:rFonts w:hint="eastAsia"/>
          <w:lang w:val="en-US" w:eastAsia="zh-CN"/>
        </w:rPr>
      </w:pPr>
      <w:r>
        <w:rPr>
          <w:rFonts w:hint="eastAsia" w:eastAsia="宋体"/>
          <w:b/>
          <w:bCs/>
          <w:szCs w:val="32"/>
          <w:highlight w:val="none"/>
          <w:lang w:val="en-US" w:eastAsia="zh-CN"/>
        </w:rPr>
        <w:t>与各类服务标准保持一致</w:t>
      </w:r>
    </w:p>
    <w:bookmarkEnd w:id="450"/>
    <w:bookmarkEnd w:id="451"/>
    <w:bookmarkEnd w:id="452"/>
    <w:p w14:paraId="79BBA63F">
      <w:pPr>
        <w:pStyle w:val="17"/>
        <w:ind w:firstLine="420" w:firstLineChars="200"/>
        <w:rPr>
          <w:rFonts w:hint="default" w:ascii="Calibri" w:hAnsi="Calibri" w:eastAsia="宋体" w:cs="Calibri"/>
          <w:color w:val="auto"/>
          <w:szCs w:val="21"/>
          <w:highlight w:val="none"/>
          <w:u w:val="none"/>
          <w:lang w:val="en-US" w:eastAsia="zh-CN"/>
        </w:rPr>
      </w:pPr>
    </w:p>
    <w:p w14:paraId="345A7455">
      <w:pPr>
        <w:pStyle w:val="55"/>
        <w:pageBreakBefore w:val="0"/>
        <w:shd w:val="clear" w:color="auto" w:fill="auto"/>
        <w:kinsoku/>
        <w:wordWrap/>
        <w:overflowPunct/>
        <w:topLinePunct w:val="0"/>
        <w:bidi w:val="0"/>
        <w:spacing w:line="360" w:lineRule="auto"/>
        <w:ind w:firstLine="424" w:firstLineChars="177"/>
        <w:rPr>
          <w:rFonts w:hint="eastAsia" w:ascii="宋体" w:hAnsi="宋体" w:eastAsia="宋体" w:cs="宋体"/>
          <w:color w:val="auto"/>
          <w:sz w:val="24"/>
          <w:highlight w:val="none"/>
          <w:lang w:val="en-US" w:eastAsia="zh-CN"/>
        </w:rPr>
      </w:pPr>
    </w:p>
    <w:p w14:paraId="2E0CBC41">
      <w:pP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br w:type="page"/>
      </w:r>
    </w:p>
    <w:p w14:paraId="6FA25D4F">
      <w:pPr>
        <w:pStyle w:val="55"/>
        <w:pageBreakBefore w:val="0"/>
        <w:shd w:val="clear" w:color="auto" w:fill="auto"/>
        <w:kinsoku/>
        <w:wordWrap/>
        <w:overflowPunct/>
        <w:topLinePunct w:val="0"/>
        <w:bidi w:val="0"/>
        <w:spacing w:line="360" w:lineRule="auto"/>
        <w:ind w:firstLine="424" w:firstLineChars="177"/>
        <w:rPr>
          <w:rFonts w:hint="eastAsia" w:ascii="宋体" w:hAnsi="宋体" w:eastAsia="宋体" w:cs="宋体"/>
          <w:color w:val="auto"/>
          <w:sz w:val="24"/>
          <w:highlight w:val="none"/>
          <w:lang w:val="en-US" w:eastAsia="zh-CN"/>
        </w:rPr>
      </w:pPr>
    </w:p>
    <w:p w14:paraId="087FBCED">
      <w:pPr>
        <w:pStyle w:val="55"/>
        <w:pageBreakBefore w:val="0"/>
        <w:shd w:val="clear" w:color="auto" w:fill="auto"/>
        <w:kinsoku/>
        <w:wordWrap/>
        <w:overflowPunct/>
        <w:topLinePunct w:val="0"/>
        <w:bidi w:val="0"/>
        <w:spacing w:line="360" w:lineRule="auto"/>
        <w:ind w:firstLine="498" w:firstLineChars="177"/>
        <w:rPr>
          <w:rFonts w:hint="default" w:ascii="宋体" w:hAnsi="宋体" w:eastAsia="宋体" w:cs="宋体"/>
          <w:b/>
          <w:bCs/>
          <w:color w:val="auto"/>
          <w:kern w:val="44"/>
          <w:sz w:val="28"/>
          <w:szCs w:val="28"/>
          <w:highlight w:val="none"/>
          <w:lang w:val="en-US" w:eastAsia="zh-CN" w:bidi="ar-SA"/>
        </w:rPr>
      </w:pPr>
      <w:r>
        <w:rPr>
          <w:rFonts w:hint="eastAsia" w:ascii="宋体" w:hAnsi="宋体" w:eastAsia="宋体" w:cs="宋体"/>
          <w:b/>
          <w:bCs/>
          <w:color w:val="auto"/>
          <w:kern w:val="44"/>
          <w:sz w:val="28"/>
          <w:szCs w:val="28"/>
          <w:highlight w:val="none"/>
          <w:lang w:val="en-US" w:eastAsia="zh-CN" w:bidi="ar-SA"/>
        </w:rPr>
        <w:t>包2：伊宁市校区（物业服务）</w:t>
      </w:r>
    </w:p>
    <w:bookmarkEnd w:id="440"/>
    <w:bookmarkEnd w:id="441"/>
    <w:p w14:paraId="438F4121">
      <w:pPr>
        <w:pStyle w:val="55"/>
        <w:pageBreakBefore w:val="0"/>
        <w:shd w:val="clear" w:color="auto" w:fill="auto"/>
        <w:kinsoku/>
        <w:wordWrap/>
        <w:overflowPunct/>
        <w:topLinePunct w:val="0"/>
        <w:bidi w:val="0"/>
        <w:spacing w:line="360" w:lineRule="auto"/>
        <w:ind w:firstLine="498" w:firstLineChars="177"/>
        <w:rPr>
          <w:rFonts w:hint="default" w:ascii="宋体" w:hAnsi="宋体" w:eastAsia="宋体" w:cs="宋体"/>
          <w:b/>
          <w:bCs/>
          <w:color w:val="auto"/>
          <w:kern w:val="44"/>
          <w:sz w:val="28"/>
          <w:szCs w:val="28"/>
          <w:highlight w:val="none"/>
          <w:lang w:val="en-US" w:eastAsia="zh-CN" w:bidi="ar-SA"/>
        </w:rPr>
      </w:pPr>
      <w:bookmarkStart w:id="453" w:name="_Toc17312"/>
      <w:r>
        <w:rPr>
          <w:rFonts w:hint="eastAsia" w:ascii="宋体" w:hAnsi="宋体" w:eastAsia="宋体" w:cs="宋体"/>
          <w:b/>
          <w:bCs/>
          <w:color w:val="auto"/>
          <w:kern w:val="44"/>
          <w:sz w:val="28"/>
          <w:szCs w:val="28"/>
          <w:highlight w:val="none"/>
          <w:lang w:val="en-US" w:eastAsia="zh-CN" w:bidi="ar-SA"/>
        </w:rPr>
        <w:t>1.项目基本情况</w:t>
      </w:r>
      <w:bookmarkEnd w:id="453"/>
    </w:p>
    <w:p w14:paraId="4D3BE26B">
      <w:pPr>
        <w:pStyle w:val="55"/>
        <w:pageBreakBefore w:val="0"/>
        <w:shd w:val="clear" w:color="auto" w:fill="auto"/>
        <w:kinsoku/>
        <w:wordWrap/>
        <w:overflowPunct/>
        <w:topLinePunct w:val="0"/>
        <w:bidi w:val="0"/>
        <w:spacing w:line="360" w:lineRule="auto"/>
        <w:ind w:firstLine="498" w:firstLineChars="177"/>
        <w:rPr>
          <w:rFonts w:hint="default" w:ascii="宋体" w:hAnsi="宋体" w:eastAsia="宋体" w:cs="宋体"/>
          <w:b/>
          <w:bCs/>
          <w:color w:val="auto"/>
          <w:kern w:val="44"/>
          <w:sz w:val="28"/>
          <w:szCs w:val="28"/>
          <w:highlight w:val="none"/>
          <w:lang w:val="en-US" w:eastAsia="zh-CN" w:bidi="ar-SA"/>
        </w:rPr>
      </w:pPr>
      <w:r>
        <w:rPr>
          <w:rFonts w:hint="default" w:ascii="宋体" w:hAnsi="宋体" w:eastAsia="宋体" w:cs="宋体"/>
          <w:b/>
          <w:bCs/>
          <w:color w:val="auto"/>
          <w:kern w:val="44"/>
          <w:sz w:val="28"/>
          <w:szCs w:val="28"/>
          <w:highlight w:val="none"/>
          <w:lang w:val="en-US" w:eastAsia="zh-CN" w:bidi="ar-SA"/>
        </w:rPr>
        <w:t>1.1物业情况</w:t>
      </w:r>
    </w:p>
    <w:tbl>
      <w:tblPr>
        <w:tblStyle w:val="32"/>
        <w:tblW w:w="293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3"/>
        <w:gridCol w:w="2594"/>
      </w:tblGrid>
      <w:tr w14:paraId="46732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06" w:type="dxa"/>
            <w:noWrap w:val="0"/>
            <w:vAlign w:val="center"/>
          </w:tcPr>
          <w:p w14:paraId="2265E055">
            <w:pPr>
              <w:pageBreakBefore w:val="0"/>
              <w:kinsoku/>
              <w:wordWrap/>
              <w:overflowPunct/>
              <w:topLinePunct w:val="0"/>
              <w:bidi w:val="0"/>
              <w:snapToGrid w:val="0"/>
              <w:spacing w:line="300" w:lineRule="auto"/>
              <w:rPr>
                <w:rFonts w:hint="default" w:ascii="Calibri" w:hAnsi="Calibri" w:eastAsia="宋体" w:cs="Calibri"/>
                <w:color w:val="auto"/>
                <w:szCs w:val="21"/>
                <w:highlight w:val="none"/>
              </w:rPr>
            </w:pPr>
            <w:r>
              <w:rPr>
                <w:rFonts w:hint="default" w:ascii="Calibri" w:hAnsi="Calibri" w:cs="Calibri"/>
                <w:highlight w:val="none"/>
              </w:rPr>
              <w:t>物业名称</w:t>
            </w:r>
          </w:p>
        </w:tc>
        <w:tc>
          <w:tcPr>
            <w:tcW w:w="4432" w:type="dxa"/>
            <w:noWrap w:val="0"/>
            <w:vAlign w:val="center"/>
          </w:tcPr>
          <w:p w14:paraId="78272319">
            <w:pPr>
              <w:pageBreakBefore w:val="0"/>
              <w:kinsoku/>
              <w:wordWrap/>
              <w:overflowPunct/>
              <w:topLinePunct w:val="0"/>
              <w:bidi w:val="0"/>
              <w:snapToGrid w:val="0"/>
              <w:spacing w:line="300" w:lineRule="auto"/>
              <w:rPr>
                <w:rFonts w:hint="default" w:ascii="Calibri" w:hAnsi="Calibri" w:cs="Calibri"/>
                <w:highlight w:val="none"/>
              </w:rPr>
            </w:pPr>
            <w:r>
              <w:rPr>
                <w:rFonts w:hint="default" w:ascii="Calibri" w:hAnsi="Calibri" w:cs="Calibri"/>
                <w:highlight w:val="none"/>
              </w:rPr>
              <w:t>物业地址</w:t>
            </w:r>
          </w:p>
        </w:tc>
      </w:tr>
      <w:tr w14:paraId="57E85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06" w:type="dxa"/>
            <w:noWrap w:val="0"/>
            <w:vAlign w:val="center"/>
          </w:tcPr>
          <w:p w14:paraId="1AE56E03">
            <w:pPr>
              <w:pageBreakBefore w:val="0"/>
              <w:kinsoku/>
              <w:wordWrap/>
              <w:overflowPunct/>
              <w:topLinePunct w:val="0"/>
              <w:bidi w:val="0"/>
              <w:snapToGrid w:val="0"/>
              <w:spacing w:line="300" w:lineRule="auto"/>
              <w:rPr>
                <w:rFonts w:hint="default" w:ascii="Calibri" w:hAnsi="Calibri" w:cs="Calibri"/>
                <w:highlight w:val="none"/>
              </w:rPr>
            </w:pPr>
            <w:r>
              <w:rPr>
                <w:rFonts w:hint="default" w:ascii="Calibri" w:hAnsi="Calibri" w:cs="Calibri"/>
                <w:highlight w:val="none"/>
              </w:rPr>
              <w:t>物业名称1</w:t>
            </w:r>
          </w:p>
          <w:p w14:paraId="63B3CE17">
            <w:pPr>
              <w:pageBreakBefore w:val="0"/>
              <w:kinsoku/>
              <w:wordWrap/>
              <w:overflowPunct/>
              <w:topLinePunct w:val="0"/>
              <w:bidi w:val="0"/>
              <w:snapToGrid w:val="0"/>
              <w:spacing w:line="300" w:lineRule="auto"/>
              <w:rPr>
                <w:rFonts w:hint="default" w:ascii="Calibri" w:hAnsi="Calibri" w:eastAsia="宋体" w:cs="Calibri"/>
                <w:highlight w:val="none"/>
                <w:lang w:val="en-US" w:eastAsia="zh-CN"/>
              </w:rPr>
            </w:pPr>
            <w:r>
              <w:rPr>
                <w:rFonts w:hint="eastAsia" w:ascii="Calibri" w:hAnsi="Calibri" w:cs="Calibri"/>
                <w:highlight w:val="none"/>
                <w:lang w:val="en-US" w:eastAsia="zh-CN"/>
              </w:rPr>
              <w:t>新疆生产建设兵团第四师第一中学</w:t>
            </w:r>
            <w:r>
              <w:rPr>
                <w:rFonts w:hint="eastAsia" w:cs="Calibri"/>
                <w:highlight w:val="none"/>
                <w:lang w:val="en-US" w:eastAsia="zh-CN"/>
              </w:rPr>
              <w:t>（伊宁校区）</w:t>
            </w:r>
          </w:p>
        </w:tc>
        <w:tc>
          <w:tcPr>
            <w:tcW w:w="4432" w:type="dxa"/>
            <w:noWrap w:val="0"/>
            <w:vAlign w:val="center"/>
          </w:tcPr>
          <w:p w14:paraId="0AB4654A">
            <w:pPr>
              <w:pageBreakBefore w:val="0"/>
              <w:kinsoku/>
              <w:wordWrap/>
              <w:overflowPunct/>
              <w:topLinePunct w:val="0"/>
              <w:bidi w:val="0"/>
              <w:snapToGrid w:val="0"/>
              <w:spacing w:line="300" w:lineRule="auto"/>
              <w:rPr>
                <w:rFonts w:hint="default" w:ascii="Calibri" w:hAnsi="Calibri" w:eastAsia="宋体" w:cs="Calibri"/>
                <w:highlight w:val="none"/>
                <w:lang w:val="en-US" w:eastAsia="zh-CN"/>
              </w:rPr>
            </w:pPr>
            <w:r>
              <w:rPr>
                <w:rFonts w:hint="eastAsia" w:cs="Calibri"/>
                <w:highlight w:val="none"/>
                <w:lang w:val="en-US" w:eastAsia="zh-CN"/>
              </w:rPr>
              <w:t>新疆伊宁市公园街四巷2号</w:t>
            </w:r>
          </w:p>
        </w:tc>
      </w:tr>
    </w:tbl>
    <w:p w14:paraId="55492864">
      <w:pPr>
        <w:pageBreakBefore w:val="0"/>
        <w:widowControl/>
        <w:kinsoku/>
        <w:wordWrap/>
        <w:overflowPunct/>
        <w:topLinePunct w:val="0"/>
        <w:bidi w:val="0"/>
        <w:snapToGrid w:val="0"/>
        <w:spacing w:line="300" w:lineRule="auto"/>
        <w:ind w:left="0" w:firstLine="420" w:firstLineChars="200"/>
        <w:jc w:val="left"/>
        <w:rPr>
          <w:rFonts w:hint="eastAsia" w:ascii="楷体" w:hAnsi="楷体" w:eastAsia="楷体" w:cs="楷体"/>
          <w:color w:val="auto"/>
          <w:sz w:val="21"/>
          <w:szCs w:val="21"/>
          <w:highlight w:val="none"/>
          <w:u w:val="none"/>
          <w:lang w:val="en-US" w:eastAsia="zh-CN"/>
        </w:rPr>
      </w:pPr>
      <w:r>
        <w:rPr>
          <w:rFonts w:hint="eastAsia" w:ascii="楷体" w:hAnsi="楷体" w:eastAsia="楷体" w:cs="楷体"/>
          <w:color w:val="auto"/>
          <w:sz w:val="21"/>
          <w:szCs w:val="21"/>
          <w:highlight w:val="none"/>
          <w:u w:val="none"/>
          <w:lang w:val="en-US" w:eastAsia="zh-CN"/>
        </w:rPr>
        <w:t>注：</w:t>
      </w:r>
      <w:r>
        <w:rPr>
          <w:rFonts w:hint="eastAsia" w:ascii="楷体" w:hAnsi="楷体" w:eastAsia="楷体" w:cs="楷体"/>
          <w:color w:val="auto"/>
          <w:kern w:val="2"/>
          <w:sz w:val="21"/>
          <w:szCs w:val="21"/>
          <w:highlight w:val="none"/>
          <w:u w:val="none"/>
          <w:lang w:val="en-US" w:eastAsia="zh-CN" w:bidi="ar-SA"/>
        </w:rPr>
        <w:t>物业管理服务项目涉及多处物业的，可以分不同地址在上表中列明各物业名称</w:t>
      </w:r>
      <w:r>
        <w:rPr>
          <w:rFonts w:hint="eastAsia" w:ascii="楷体" w:hAnsi="楷体" w:eastAsia="楷体" w:cs="楷体"/>
          <w:color w:val="auto"/>
          <w:sz w:val="21"/>
          <w:szCs w:val="21"/>
          <w:highlight w:val="none"/>
          <w:u w:val="none"/>
          <w:lang w:val="en-US" w:eastAsia="zh-CN"/>
        </w:rPr>
        <w:t>和地址。</w:t>
      </w:r>
    </w:p>
    <w:p w14:paraId="6F389D9E">
      <w:pPr>
        <w:pageBreakBefore w:val="0"/>
        <w:widowControl/>
        <w:kinsoku/>
        <w:wordWrap/>
        <w:overflowPunct/>
        <w:topLinePunct w:val="0"/>
        <w:bidi w:val="0"/>
        <w:snapToGrid w:val="0"/>
        <w:spacing w:line="300" w:lineRule="auto"/>
        <w:ind w:left="0" w:firstLine="420" w:firstLineChars="200"/>
        <w:jc w:val="left"/>
        <w:rPr>
          <w:rFonts w:hint="eastAsia" w:ascii="Calibri" w:hAnsi="Calibri" w:cs="Calibri"/>
          <w:color w:val="auto"/>
          <w:kern w:val="2"/>
          <w:sz w:val="21"/>
          <w:szCs w:val="21"/>
          <w:highlight w:val="none"/>
          <w:u w:val="none"/>
          <w:lang w:val="en-US" w:eastAsia="zh-CN" w:bidi="ar-SA"/>
        </w:rPr>
      </w:pPr>
      <w:r>
        <w:rPr>
          <w:rFonts w:hint="eastAsia" w:ascii="楷体" w:hAnsi="楷体" w:eastAsia="楷体" w:cs="楷体"/>
          <w:color w:val="auto"/>
          <w:sz w:val="21"/>
          <w:szCs w:val="21"/>
          <w:highlight w:val="none"/>
          <w:u w:val="none"/>
          <w:lang w:val="en-US" w:eastAsia="zh-CN"/>
        </w:rPr>
        <w:t xml:space="preserve">    本需求标准中的省略号为自行添加部分。</w:t>
      </w:r>
    </w:p>
    <w:p w14:paraId="1CFFA6AD">
      <w:pPr>
        <w:pStyle w:val="55"/>
        <w:pageBreakBefore w:val="0"/>
        <w:shd w:val="clear" w:color="auto" w:fill="auto"/>
        <w:kinsoku/>
        <w:wordWrap/>
        <w:overflowPunct/>
        <w:topLinePunct w:val="0"/>
        <w:bidi w:val="0"/>
        <w:spacing w:line="360" w:lineRule="auto"/>
        <w:ind w:firstLine="498" w:firstLineChars="177"/>
        <w:rPr>
          <w:rFonts w:hint="eastAsia" w:ascii="宋体" w:hAnsi="宋体" w:eastAsia="宋体" w:cs="宋体"/>
          <w:b/>
          <w:bCs/>
          <w:color w:val="auto"/>
          <w:kern w:val="44"/>
          <w:sz w:val="28"/>
          <w:szCs w:val="28"/>
          <w:highlight w:val="none"/>
          <w:lang w:val="en-US" w:eastAsia="zh-CN" w:bidi="ar-SA"/>
        </w:rPr>
      </w:pPr>
      <w:r>
        <w:rPr>
          <w:rFonts w:hint="eastAsia" w:ascii="宋体" w:hAnsi="宋体" w:eastAsia="宋体" w:cs="宋体"/>
          <w:b/>
          <w:bCs/>
          <w:color w:val="auto"/>
          <w:kern w:val="44"/>
          <w:sz w:val="28"/>
          <w:szCs w:val="28"/>
          <w:highlight w:val="none"/>
          <w:lang w:val="en-US" w:eastAsia="zh-CN" w:bidi="ar-SA"/>
        </w:rPr>
        <w:t>1.2采购人提供供应商使用的场地、设施、设备、材料等（结合“4.供应商履行合同所需的设备”统筹考虑）</w:t>
      </w:r>
    </w:p>
    <w:p w14:paraId="4023B4A3">
      <w:pPr>
        <w:pageBreakBefore w:val="0"/>
        <w:kinsoku/>
        <w:wordWrap/>
        <w:overflowPunct/>
        <w:topLinePunct w:val="0"/>
        <w:bidi w:val="0"/>
        <w:snapToGrid w:val="0"/>
        <w:spacing w:line="300" w:lineRule="auto"/>
        <w:ind w:firstLine="420" w:firstLineChars="200"/>
        <w:outlineLvl w:val="9"/>
        <w:rPr>
          <w:rFonts w:hint="eastAsia" w:cs="Calibri"/>
          <w:color w:val="auto"/>
          <w:kern w:val="2"/>
          <w:sz w:val="21"/>
          <w:szCs w:val="21"/>
          <w:highlight w:val="none"/>
          <w:u w:val="none"/>
          <w:lang w:val="en-US" w:eastAsia="zh-CN" w:bidi="ar-SA"/>
        </w:rPr>
      </w:pPr>
      <w:r>
        <w:rPr>
          <w:rFonts w:hint="eastAsia" w:cs="Calibri"/>
          <w:color w:val="auto"/>
          <w:kern w:val="2"/>
          <w:sz w:val="21"/>
          <w:szCs w:val="21"/>
          <w:highlight w:val="none"/>
          <w:u w:val="none"/>
          <w:lang w:val="en-US" w:eastAsia="zh-CN" w:bidi="ar-SA"/>
        </w:rPr>
        <w:t>如采购人拥有与物业管理服务有关的且可以无偿提供给供应商在本项目中使用的设施、设备、材料、场地等，可在此列明。</w:t>
      </w:r>
    </w:p>
    <w:p w14:paraId="63A68C3C">
      <w:pPr>
        <w:pStyle w:val="2"/>
        <w:bidi w:val="0"/>
        <w:rPr>
          <w:rFonts w:hint="eastAsia" w:cs="Calibri"/>
          <w:b w:val="0"/>
          <w:bCs w:val="0"/>
          <w:color w:val="auto"/>
          <w:kern w:val="2"/>
          <w:sz w:val="21"/>
          <w:szCs w:val="21"/>
          <w:highlight w:val="none"/>
          <w:u w:val="none"/>
          <w:lang w:val="en-US" w:eastAsia="zh-CN" w:bidi="ar-SA"/>
        </w:rPr>
      </w:pPr>
      <w:r>
        <w:rPr>
          <w:rFonts w:hint="eastAsia" w:cs="Calibri"/>
          <w:b w:val="0"/>
          <w:bCs w:val="0"/>
          <w:color w:val="auto"/>
          <w:kern w:val="2"/>
          <w:sz w:val="21"/>
          <w:szCs w:val="21"/>
          <w:highlight w:val="none"/>
          <w:u w:val="none"/>
          <w:lang w:val="en-US" w:eastAsia="zh-CN" w:bidi="ar-SA"/>
        </w:rPr>
        <w:t>(1)住宿场所可以无偿提供给供应商在本项目中使用，采购人可提供住宿(男宿一间、女宿一间)</w:t>
      </w:r>
    </w:p>
    <w:p w14:paraId="52461D75">
      <w:pPr>
        <w:pStyle w:val="2"/>
        <w:bidi w:val="0"/>
        <w:rPr>
          <w:rFonts w:hint="eastAsia" w:cs="Calibri"/>
          <w:b w:val="0"/>
          <w:bCs w:val="0"/>
          <w:color w:val="auto"/>
          <w:kern w:val="2"/>
          <w:sz w:val="21"/>
          <w:szCs w:val="21"/>
          <w:highlight w:val="none"/>
          <w:u w:val="none"/>
          <w:lang w:val="en-US" w:eastAsia="zh-CN" w:bidi="ar-SA"/>
        </w:rPr>
      </w:pPr>
      <w:r>
        <w:rPr>
          <w:rFonts w:hint="eastAsia" w:cs="Calibri"/>
          <w:b w:val="0"/>
          <w:bCs w:val="0"/>
          <w:color w:val="auto"/>
          <w:kern w:val="2"/>
          <w:sz w:val="21"/>
          <w:szCs w:val="21"/>
          <w:highlight w:val="none"/>
          <w:u w:val="none"/>
          <w:lang w:val="en-US" w:eastAsia="zh-CN" w:bidi="ar-SA"/>
        </w:rPr>
        <w:t>(2)采购人可提供的食堂就餐，餐费由供应商自理:</w:t>
      </w:r>
    </w:p>
    <w:p w14:paraId="7268DB83">
      <w:pPr>
        <w:pStyle w:val="2"/>
        <w:bidi w:val="0"/>
        <w:rPr>
          <w:rFonts w:hint="default" w:cs="Calibri"/>
          <w:b w:val="0"/>
          <w:bCs w:val="0"/>
          <w:color w:val="auto"/>
          <w:kern w:val="2"/>
          <w:sz w:val="21"/>
          <w:szCs w:val="21"/>
          <w:highlight w:val="none"/>
          <w:u w:val="none"/>
          <w:lang w:val="en-US" w:eastAsia="zh-CN" w:bidi="ar-SA"/>
        </w:rPr>
      </w:pPr>
      <w:r>
        <w:rPr>
          <w:rFonts w:hint="eastAsia" w:cs="Calibri"/>
          <w:b w:val="0"/>
          <w:bCs w:val="0"/>
          <w:color w:val="auto"/>
          <w:kern w:val="2"/>
          <w:sz w:val="21"/>
          <w:szCs w:val="21"/>
          <w:highlight w:val="none"/>
          <w:u w:val="none"/>
          <w:lang w:val="en-US" w:eastAsia="zh-CN" w:bidi="ar-SA"/>
        </w:rPr>
        <w:t>(3)采购人可提供的维修，材料由学校提供</w:t>
      </w:r>
    </w:p>
    <w:p w14:paraId="0B71E9F4">
      <w:pPr>
        <w:pStyle w:val="2"/>
        <w:bidi w:val="0"/>
        <w:rPr>
          <w:rFonts w:hint="eastAsia"/>
          <w:highlight w:val="none"/>
          <w:lang w:val="en-US" w:eastAsia="zh-CN"/>
        </w:rPr>
      </w:pPr>
      <w:r>
        <w:rPr>
          <w:rFonts w:hint="eastAsia" w:cs="Calibri"/>
          <w:b w:val="0"/>
          <w:bCs w:val="0"/>
          <w:color w:val="auto"/>
          <w:kern w:val="2"/>
          <w:sz w:val="21"/>
          <w:szCs w:val="21"/>
          <w:highlight w:val="none"/>
          <w:u w:val="none"/>
          <w:lang w:val="en-US" w:eastAsia="zh-CN" w:bidi="ar-SA"/>
        </w:rPr>
        <w:t>供应商应当承担除以上所列场地、设施、设备、材料外，与物业管理服务有关的其他场地设施、设备、材料等。</w:t>
      </w:r>
    </w:p>
    <w:p w14:paraId="36CBB6AF">
      <w:pPr>
        <w:pStyle w:val="2"/>
        <w:bidi w:val="0"/>
        <w:rPr>
          <w:rFonts w:hint="default" w:ascii="宋体" w:hAnsi="宋体" w:eastAsia="宋体" w:cs="宋体"/>
          <w:b/>
          <w:bCs/>
          <w:color w:val="auto"/>
          <w:kern w:val="44"/>
          <w:sz w:val="28"/>
          <w:szCs w:val="28"/>
          <w:highlight w:val="none"/>
          <w:lang w:val="en-US" w:eastAsia="zh-CN" w:bidi="ar-SA"/>
        </w:rPr>
      </w:pPr>
      <w:r>
        <w:rPr>
          <w:rFonts w:hint="eastAsia" w:ascii="宋体" w:hAnsi="宋体" w:eastAsia="宋体" w:cs="宋体"/>
          <w:b/>
          <w:bCs/>
          <w:color w:val="auto"/>
          <w:kern w:val="44"/>
          <w:sz w:val="28"/>
          <w:szCs w:val="28"/>
          <w:highlight w:val="none"/>
          <w:lang w:val="en-US" w:eastAsia="zh-CN" w:bidi="ar-SA"/>
        </w:rPr>
        <w:t>2.物业服务范围</w:t>
      </w:r>
    </w:p>
    <w:p w14:paraId="4CB58145">
      <w:pPr>
        <w:pStyle w:val="4"/>
        <w:bidi w:val="0"/>
        <w:rPr>
          <w:rFonts w:hint="default" w:ascii="宋体" w:hAnsi="宋体" w:eastAsia="宋体" w:cs="宋体"/>
          <w:b/>
          <w:bCs/>
          <w:color w:val="auto"/>
          <w:kern w:val="44"/>
          <w:sz w:val="28"/>
          <w:szCs w:val="28"/>
          <w:highlight w:val="none"/>
          <w:lang w:val="en-US" w:eastAsia="zh-CN" w:bidi="ar-SA"/>
        </w:rPr>
      </w:pPr>
      <w:r>
        <w:rPr>
          <w:rFonts w:hint="eastAsia" w:ascii="宋体" w:hAnsi="宋体" w:eastAsia="宋体" w:cs="宋体"/>
          <w:b/>
          <w:bCs/>
          <w:color w:val="auto"/>
          <w:kern w:val="44"/>
          <w:sz w:val="28"/>
          <w:szCs w:val="28"/>
          <w:highlight w:val="none"/>
          <w:lang w:val="en-US" w:eastAsia="zh-CN" w:bidi="ar-SA"/>
        </w:rPr>
        <w:t>（1）物业管理（建筑物）</w:t>
      </w:r>
    </w:p>
    <w:tbl>
      <w:tblPr>
        <w:tblStyle w:val="3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428"/>
        <w:gridCol w:w="3957"/>
        <w:gridCol w:w="2450"/>
      </w:tblGrid>
      <w:tr w14:paraId="4BCBB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3613" w:type="dxa"/>
            <w:gridSpan w:val="2"/>
            <w:noWrap w:val="0"/>
            <w:vAlign w:val="center"/>
          </w:tcPr>
          <w:p w14:paraId="621FC99E">
            <w:pPr>
              <w:pageBreakBefore w:val="0"/>
              <w:kinsoku/>
              <w:wordWrap/>
              <w:overflowPunct/>
              <w:topLinePunct w:val="0"/>
              <w:bidi w:val="0"/>
              <w:snapToGrid w:val="0"/>
              <w:spacing w:line="300" w:lineRule="auto"/>
              <w:jc w:val="center"/>
              <w:rPr>
                <w:rFonts w:hint="default" w:ascii="Calibri" w:hAnsi="Calibri" w:eastAsia="宋体" w:cs="Calibri"/>
                <w:b/>
                <w:bCs/>
                <w:color w:val="auto"/>
                <w:szCs w:val="21"/>
                <w:highlight w:val="none"/>
              </w:rPr>
            </w:pPr>
            <w:r>
              <w:rPr>
                <w:rFonts w:hint="eastAsia" w:ascii="Calibri" w:hAnsi="Calibri" w:cs="Calibri"/>
                <w:b/>
                <w:bCs/>
                <w:highlight w:val="none"/>
                <w:lang w:val="en-US" w:eastAsia="zh-CN"/>
              </w:rPr>
              <w:t>名称</w:t>
            </w:r>
          </w:p>
        </w:tc>
        <w:tc>
          <w:tcPr>
            <w:tcW w:w="6761" w:type="dxa"/>
            <w:noWrap w:val="0"/>
            <w:vAlign w:val="center"/>
          </w:tcPr>
          <w:p w14:paraId="4293BDC3">
            <w:pPr>
              <w:pageBreakBefore w:val="0"/>
              <w:kinsoku/>
              <w:wordWrap/>
              <w:overflowPunct/>
              <w:topLinePunct w:val="0"/>
              <w:bidi w:val="0"/>
              <w:snapToGrid w:val="0"/>
              <w:spacing w:line="300" w:lineRule="auto"/>
              <w:jc w:val="center"/>
              <w:rPr>
                <w:rFonts w:hint="eastAsia" w:ascii="Calibri" w:hAnsi="Calibri" w:eastAsia="宋体" w:cs="Calibri"/>
                <w:b/>
                <w:bCs/>
                <w:color w:val="auto"/>
                <w:szCs w:val="21"/>
                <w:highlight w:val="none"/>
                <w:lang w:eastAsia="zh-CN"/>
              </w:rPr>
            </w:pPr>
            <w:r>
              <w:rPr>
                <w:rFonts w:hint="default" w:ascii="Calibri" w:hAnsi="Calibri" w:cs="Calibri"/>
                <w:b/>
                <w:bCs/>
                <w:highlight w:val="none"/>
              </w:rPr>
              <w:t>明细</w:t>
            </w:r>
          </w:p>
        </w:tc>
        <w:tc>
          <w:tcPr>
            <w:tcW w:w="4186" w:type="dxa"/>
            <w:noWrap w:val="0"/>
            <w:vAlign w:val="center"/>
          </w:tcPr>
          <w:p w14:paraId="0D8D58F2">
            <w:pPr>
              <w:pageBreakBefore w:val="0"/>
              <w:kinsoku/>
              <w:wordWrap/>
              <w:overflowPunct/>
              <w:topLinePunct w:val="0"/>
              <w:bidi w:val="0"/>
              <w:snapToGrid w:val="0"/>
              <w:spacing w:line="300" w:lineRule="auto"/>
              <w:jc w:val="center"/>
              <w:rPr>
                <w:rFonts w:hint="default" w:ascii="Calibri" w:hAnsi="Calibri" w:eastAsia="宋体" w:cs="Calibri"/>
                <w:b/>
                <w:bCs/>
                <w:highlight w:val="none"/>
                <w:lang w:val="en-US" w:eastAsia="zh-CN"/>
              </w:rPr>
            </w:pPr>
            <w:r>
              <w:rPr>
                <w:rFonts w:hint="eastAsia" w:cs="Calibri"/>
                <w:b/>
                <w:bCs/>
                <w:highlight w:val="none"/>
                <w:lang w:val="en-US" w:eastAsia="zh-CN"/>
              </w:rPr>
              <w:t>服务内容及标准</w:t>
            </w:r>
          </w:p>
        </w:tc>
      </w:tr>
      <w:tr w14:paraId="5D460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13" w:type="dxa"/>
            <w:gridSpan w:val="2"/>
            <w:noWrap w:val="0"/>
            <w:vAlign w:val="center"/>
          </w:tcPr>
          <w:p w14:paraId="4E573C7F">
            <w:pPr>
              <w:pageBreakBefore w:val="0"/>
              <w:kinsoku/>
              <w:wordWrap/>
              <w:overflowPunct/>
              <w:topLinePunct w:val="0"/>
              <w:bidi w:val="0"/>
              <w:snapToGrid w:val="0"/>
              <w:spacing w:line="300" w:lineRule="auto"/>
              <w:rPr>
                <w:rFonts w:hint="default" w:ascii="Calibri" w:hAnsi="Calibri" w:eastAsia="宋体" w:cs="Calibri"/>
                <w:color w:val="auto"/>
                <w:szCs w:val="21"/>
                <w:highlight w:val="none"/>
              </w:rPr>
            </w:pPr>
            <w:r>
              <w:rPr>
                <w:rFonts w:hint="eastAsia" w:ascii="Calibri" w:hAnsi="Calibri" w:cs="Calibri"/>
                <w:highlight w:val="none"/>
                <w:lang w:val="en-US" w:eastAsia="zh-CN"/>
              </w:rPr>
              <w:t>新疆生产建设兵团第四师第一中学</w:t>
            </w:r>
          </w:p>
        </w:tc>
        <w:tc>
          <w:tcPr>
            <w:tcW w:w="6761" w:type="dxa"/>
            <w:noWrap w:val="0"/>
            <w:vAlign w:val="center"/>
          </w:tcPr>
          <w:p w14:paraId="3C1C48F0">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ascii="Calibri" w:hAnsi="Calibri" w:cs="Calibri"/>
                <w:highlight w:val="none"/>
                <w:lang w:val="en-US" w:eastAsia="zh-CN"/>
              </w:rPr>
              <w:t>新疆生产建设兵团第四师第一中学</w:t>
            </w:r>
            <w:r>
              <w:rPr>
                <w:rFonts w:hint="eastAsia" w:cs="Calibri"/>
                <w:highlight w:val="none"/>
                <w:lang w:val="en-US" w:eastAsia="zh-CN"/>
              </w:rPr>
              <w:t>（伊宁校区）</w:t>
            </w:r>
          </w:p>
        </w:tc>
        <w:tc>
          <w:tcPr>
            <w:tcW w:w="4186" w:type="dxa"/>
            <w:noWrap w:val="0"/>
            <w:vAlign w:val="center"/>
          </w:tcPr>
          <w:p w14:paraId="7712BB9B">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p>
        </w:tc>
      </w:tr>
      <w:tr w14:paraId="3B02A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restart"/>
            <w:noWrap w:val="0"/>
            <w:vAlign w:val="center"/>
          </w:tcPr>
          <w:p w14:paraId="57D3E034">
            <w:pPr>
              <w:pageBreakBefore w:val="0"/>
              <w:kinsoku/>
              <w:wordWrap/>
              <w:overflowPunct/>
              <w:topLinePunct w:val="0"/>
              <w:bidi w:val="0"/>
              <w:snapToGrid w:val="0"/>
              <w:spacing w:line="300" w:lineRule="auto"/>
              <w:rPr>
                <w:rFonts w:hint="default" w:ascii="Calibri" w:hAnsi="Calibri" w:eastAsia="宋体" w:cs="Calibri"/>
                <w:color w:val="auto"/>
                <w:szCs w:val="21"/>
                <w:highlight w:val="none"/>
              </w:rPr>
            </w:pPr>
            <w:r>
              <w:rPr>
                <w:rFonts w:hint="eastAsia" w:cs="Calibri"/>
                <w:highlight w:val="none"/>
                <w:lang w:val="en-US" w:eastAsia="zh-CN"/>
              </w:rPr>
              <w:t>总面积</w:t>
            </w:r>
          </w:p>
        </w:tc>
        <w:tc>
          <w:tcPr>
            <w:tcW w:w="2440" w:type="dxa"/>
            <w:noWrap w:val="0"/>
            <w:vAlign w:val="center"/>
          </w:tcPr>
          <w:p w14:paraId="6D122635">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default" w:ascii="Calibri" w:hAnsi="Calibri" w:cs="Calibri"/>
                <w:highlight w:val="none"/>
              </w:rPr>
              <w:t>建筑面积</w:t>
            </w:r>
            <w:r>
              <w:rPr>
                <w:rFonts w:hint="default" w:ascii="Calibri" w:hAnsi="Calibri" w:cs="Calibri"/>
                <w:highlight w:val="none"/>
                <w:lang w:eastAsia="zh-CN"/>
              </w:rPr>
              <w:t>（</w:t>
            </w:r>
            <w:r>
              <w:rPr>
                <w:rFonts w:hint="default" w:ascii="Calibri" w:hAnsi="Calibri" w:cs="Calibri"/>
                <w:highlight w:val="none"/>
              </w:rPr>
              <w:t>㎡</w:t>
            </w:r>
            <w:r>
              <w:rPr>
                <w:rFonts w:hint="default" w:ascii="Calibri" w:hAnsi="Calibri" w:cs="Calibri"/>
                <w:highlight w:val="none"/>
                <w:lang w:eastAsia="zh-CN"/>
              </w:rPr>
              <w:t>）</w:t>
            </w:r>
          </w:p>
        </w:tc>
        <w:tc>
          <w:tcPr>
            <w:tcW w:w="6761" w:type="dxa"/>
            <w:noWrap w:val="0"/>
            <w:vAlign w:val="center"/>
          </w:tcPr>
          <w:p w14:paraId="693DBCA4">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eastAsia" w:ascii="楷体" w:hAnsi="楷体" w:eastAsia="楷体" w:cs="楷体"/>
                <w:highlight w:val="none"/>
                <w:lang w:val="en-US" w:eastAsia="zh-CN"/>
              </w:rPr>
              <w:t>42853.6</w:t>
            </w:r>
            <w:r>
              <w:rPr>
                <w:rFonts w:hint="default" w:ascii="Calibri" w:hAnsi="Calibri" w:cs="Calibri"/>
                <w:highlight w:val="none"/>
              </w:rPr>
              <w:t>㎡</w:t>
            </w:r>
          </w:p>
        </w:tc>
        <w:tc>
          <w:tcPr>
            <w:tcW w:w="4186" w:type="dxa"/>
            <w:noWrap w:val="0"/>
            <w:vAlign w:val="center"/>
          </w:tcPr>
          <w:p w14:paraId="6D013D43">
            <w:pPr>
              <w:pageBreakBefore w:val="0"/>
              <w:kinsoku/>
              <w:wordWrap/>
              <w:overflowPunct/>
              <w:topLinePunct w:val="0"/>
              <w:bidi w:val="0"/>
              <w:snapToGrid w:val="0"/>
              <w:spacing w:line="300" w:lineRule="auto"/>
              <w:rPr>
                <w:rFonts w:hint="default" w:ascii="楷体" w:hAnsi="楷体" w:eastAsia="楷体" w:cs="楷体"/>
                <w:highlight w:val="none"/>
                <w:lang w:val="en-US" w:eastAsia="zh-CN"/>
              </w:rPr>
            </w:pPr>
            <w:r>
              <w:rPr>
                <w:rFonts w:hint="eastAsia" w:ascii="Calibri" w:hAnsi="Calibri" w:eastAsia="宋体" w:cs="Calibri"/>
                <w:color w:val="auto"/>
                <w:highlight w:val="none"/>
                <w:lang w:val="en-US" w:eastAsia="zh-CN"/>
              </w:rPr>
              <w:t>见“3.6保安服务”</w:t>
            </w:r>
          </w:p>
        </w:tc>
      </w:tr>
      <w:tr w14:paraId="7F16E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continue"/>
            <w:noWrap w:val="0"/>
            <w:vAlign w:val="center"/>
          </w:tcPr>
          <w:p w14:paraId="28823AB0">
            <w:pPr>
              <w:pageBreakBefore w:val="0"/>
              <w:kinsoku/>
              <w:wordWrap/>
              <w:overflowPunct/>
              <w:topLinePunct w:val="0"/>
              <w:bidi w:val="0"/>
              <w:snapToGrid w:val="0"/>
              <w:spacing w:line="300" w:lineRule="auto"/>
              <w:ind w:left="0" w:firstLine="0" w:firstLineChars="0"/>
              <w:jc w:val="center"/>
              <w:rPr>
                <w:rFonts w:hint="default" w:ascii="Calibri" w:hAnsi="Calibri" w:eastAsia="宋体" w:cs="Calibri"/>
                <w:color w:val="auto"/>
                <w:szCs w:val="21"/>
                <w:highlight w:val="none"/>
              </w:rPr>
            </w:pPr>
          </w:p>
        </w:tc>
        <w:tc>
          <w:tcPr>
            <w:tcW w:w="2440" w:type="dxa"/>
            <w:noWrap w:val="0"/>
            <w:vAlign w:val="center"/>
          </w:tcPr>
          <w:p w14:paraId="292899BF">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default" w:ascii="Calibri" w:hAnsi="Calibri" w:cs="Calibri"/>
                <w:highlight w:val="none"/>
              </w:rPr>
              <w:t>需保洁面积</w:t>
            </w:r>
            <w:r>
              <w:rPr>
                <w:rFonts w:hint="default" w:ascii="Calibri" w:hAnsi="Calibri" w:cs="Calibri"/>
                <w:highlight w:val="none"/>
                <w:lang w:eastAsia="zh-CN"/>
              </w:rPr>
              <w:t>（</w:t>
            </w:r>
            <w:r>
              <w:rPr>
                <w:rFonts w:hint="default" w:ascii="Calibri" w:hAnsi="Calibri" w:cs="Calibri"/>
                <w:highlight w:val="none"/>
              </w:rPr>
              <w:t>㎡</w:t>
            </w:r>
            <w:r>
              <w:rPr>
                <w:rFonts w:hint="default" w:ascii="Calibri" w:hAnsi="Calibri" w:cs="Calibri"/>
                <w:highlight w:val="none"/>
                <w:lang w:eastAsia="zh-CN"/>
              </w:rPr>
              <w:t>）</w:t>
            </w:r>
          </w:p>
        </w:tc>
        <w:tc>
          <w:tcPr>
            <w:tcW w:w="6761" w:type="dxa"/>
            <w:noWrap w:val="0"/>
            <w:vAlign w:val="center"/>
          </w:tcPr>
          <w:p w14:paraId="40EE57A1">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eastAsia" w:ascii="楷体" w:hAnsi="楷体" w:eastAsia="楷体" w:cs="楷体"/>
                <w:highlight w:val="none"/>
                <w:lang w:val="en-US" w:eastAsia="zh-CN"/>
              </w:rPr>
              <w:t>42853.6</w:t>
            </w:r>
            <w:r>
              <w:rPr>
                <w:rFonts w:hint="default" w:ascii="Calibri" w:hAnsi="Calibri" w:cs="Calibri"/>
                <w:highlight w:val="none"/>
              </w:rPr>
              <w:t>㎡</w:t>
            </w:r>
          </w:p>
        </w:tc>
        <w:tc>
          <w:tcPr>
            <w:tcW w:w="4186" w:type="dxa"/>
            <w:noWrap w:val="0"/>
            <w:vAlign w:val="center"/>
          </w:tcPr>
          <w:p w14:paraId="5E32D0EB">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eastAsia" w:eastAsia="宋体" w:cs="Calibri"/>
                <w:color w:val="auto"/>
                <w:kern w:val="2"/>
                <w:sz w:val="21"/>
                <w:szCs w:val="21"/>
                <w:highlight w:val="none"/>
                <w:lang w:val="en-US" w:eastAsia="zh-CN" w:bidi="ar-SA"/>
              </w:rPr>
              <w:t>见“3.4保洁服务”</w:t>
            </w:r>
          </w:p>
        </w:tc>
      </w:tr>
      <w:tr w14:paraId="5CF56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173" w:type="dxa"/>
            <w:noWrap w:val="0"/>
            <w:vAlign w:val="center"/>
          </w:tcPr>
          <w:p w14:paraId="09787D57">
            <w:pPr>
              <w:pageBreakBefore w:val="0"/>
              <w:kinsoku/>
              <w:wordWrap/>
              <w:overflowPunct/>
              <w:topLinePunct w:val="0"/>
              <w:bidi w:val="0"/>
              <w:snapToGrid w:val="0"/>
              <w:spacing w:line="300" w:lineRule="auto"/>
              <w:rPr>
                <w:rFonts w:hint="default" w:ascii="Calibri" w:hAnsi="Calibri" w:eastAsia="宋体" w:cs="Calibri"/>
                <w:color w:val="auto"/>
                <w:szCs w:val="21"/>
                <w:highlight w:val="none"/>
              </w:rPr>
            </w:pPr>
            <w:r>
              <w:rPr>
                <w:rFonts w:hint="eastAsia" w:cs="Calibri"/>
                <w:highlight w:val="none"/>
                <w:lang w:val="en-US" w:eastAsia="zh-CN"/>
              </w:rPr>
              <w:t>门窗</w:t>
            </w:r>
          </w:p>
        </w:tc>
        <w:tc>
          <w:tcPr>
            <w:tcW w:w="2440" w:type="dxa"/>
            <w:noWrap w:val="0"/>
            <w:vAlign w:val="center"/>
          </w:tcPr>
          <w:p w14:paraId="4E1F2A80">
            <w:pPr>
              <w:pageBreakBefore w:val="0"/>
              <w:kinsoku/>
              <w:wordWrap/>
              <w:overflowPunct/>
              <w:topLinePunct w:val="0"/>
              <w:bidi w:val="0"/>
              <w:snapToGrid w:val="0"/>
              <w:spacing w:line="300" w:lineRule="auto"/>
              <w:rPr>
                <w:rFonts w:hint="default" w:ascii="Calibri" w:hAnsi="Calibri" w:eastAsia="宋体" w:cs="Calibri"/>
                <w:kern w:val="2"/>
                <w:sz w:val="21"/>
                <w:szCs w:val="21"/>
                <w:highlight w:val="none"/>
                <w:lang w:val="en-US" w:eastAsia="zh-CN" w:bidi="ar-SA"/>
              </w:rPr>
            </w:pPr>
            <w:r>
              <w:rPr>
                <w:rFonts w:hint="eastAsia" w:cs="Calibri"/>
                <w:highlight w:val="none"/>
                <w:lang w:val="en-US" w:eastAsia="zh-CN"/>
              </w:rPr>
              <w:t>门窗</w:t>
            </w:r>
            <w:r>
              <w:rPr>
                <w:rFonts w:hint="eastAsia" w:ascii="Calibri" w:hAnsi="Calibri" w:cs="Calibri"/>
                <w:highlight w:val="none"/>
                <w:lang w:val="en-US" w:eastAsia="zh-CN"/>
              </w:rPr>
              <w:t>总数量（个）及总面积</w:t>
            </w:r>
            <w:r>
              <w:rPr>
                <w:rFonts w:hint="default" w:ascii="Calibri" w:hAnsi="Calibri" w:cs="Calibri"/>
                <w:highlight w:val="none"/>
                <w:lang w:eastAsia="zh-CN"/>
              </w:rPr>
              <w:t>（</w:t>
            </w:r>
            <w:r>
              <w:rPr>
                <w:rFonts w:hint="default" w:ascii="Calibri" w:hAnsi="Calibri" w:cs="Calibri"/>
                <w:highlight w:val="none"/>
              </w:rPr>
              <w:t>㎡</w:t>
            </w:r>
            <w:r>
              <w:rPr>
                <w:rFonts w:hint="default" w:ascii="Calibri" w:hAnsi="Calibri" w:cs="Calibri"/>
                <w:highlight w:val="none"/>
                <w:lang w:eastAsia="zh-CN"/>
              </w:rPr>
              <w:t>）</w:t>
            </w:r>
          </w:p>
        </w:tc>
        <w:tc>
          <w:tcPr>
            <w:tcW w:w="6761" w:type="dxa"/>
            <w:noWrap w:val="0"/>
            <w:vAlign w:val="center"/>
          </w:tcPr>
          <w:p w14:paraId="4EAE5490">
            <w:pPr>
              <w:pageBreakBefore w:val="0"/>
              <w:kinsoku/>
              <w:wordWrap/>
              <w:overflowPunct/>
              <w:topLinePunct w:val="0"/>
              <w:bidi w:val="0"/>
              <w:snapToGrid w:val="0"/>
              <w:spacing w:line="300" w:lineRule="auto"/>
              <w:rPr>
                <w:rFonts w:hint="default" w:ascii="Calibri" w:hAnsi="Calibri" w:eastAsia="宋体" w:cs="Calibri"/>
                <w:kern w:val="2"/>
                <w:sz w:val="21"/>
                <w:szCs w:val="21"/>
                <w:highlight w:val="none"/>
                <w:lang w:val="en-US" w:eastAsia="zh-CN" w:bidi="ar-SA"/>
              </w:rPr>
            </w:pPr>
            <w:r>
              <w:rPr>
                <w:rFonts w:hint="eastAsia" w:cs="Calibri"/>
                <w:kern w:val="2"/>
                <w:sz w:val="21"/>
                <w:szCs w:val="21"/>
                <w:highlight w:val="none"/>
                <w:lang w:val="en-US" w:eastAsia="zh-CN" w:bidi="ar-SA"/>
              </w:rPr>
              <w:t>3052个，1605.35</w:t>
            </w:r>
            <w:r>
              <w:rPr>
                <w:rFonts w:hint="default" w:ascii="Calibri" w:hAnsi="Calibri" w:cs="Calibri"/>
                <w:highlight w:val="none"/>
              </w:rPr>
              <w:t>㎡</w:t>
            </w:r>
          </w:p>
        </w:tc>
        <w:tc>
          <w:tcPr>
            <w:tcW w:w="4186" w:type="dxa"/>
            <w:noWrap w:val="0"/>
            <w:vAlign w:val="center"/>
          </w:tcPr>
          <w:p w14:paraId="570F0143">
            <w:pPr>
              <w:pageBreakBefore w:val="0"/>
              <w:kinsoku/>
              <w:wordWrap/>
              <w:overflowPunct/>
              <w:topLinePunct w:val="0"/>
              <w:bidi w:val="0"/>
              <w:snapToGrid w:val="0"/>
              <w:spacing w:line="300" w:lineRule="auto"/>
              <w:rPr>
                <w:rFonts w:hint="eastAsia" w:ascii="楷体" w:hAnsi="楷体" w:eastAsia="楷体" w:cs="楷体"/>
                <w:highlight w:val="none"/>
                <w:lang w:val="en-US" w:eastAsia="zh-CN"/>
              </w:rPr>
            </w:pPr>
            <w:r>
              <w:rPr>
                <w:rFonts w:hint="eastAsia" w:eastAsia="宋体" w:cs="Calibri"/>
                <w:color w:val="auto"/>
                <w:kern w:val="2"/>
                <w:sz w:val="21"/>
                <w:szCs w:val="21"/>
                <w:highlight w:val="none"/>
                <w:lang w:val="en-US" w:eastAsia="zh-CN" w:bidi="ar-SA"/>
              </w:rPr>
              <w:t>见“3.2房屋维护服务”“3.4保洁服务”</w:t>
            </w:r>
          </w:p>
        </w:tc>
      </w:tr>
      <w:tr w14:paraId="76329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restart"/>
            <w:noWrap w:val="0"/>
            <w:vAlign w:val="center"/>
          </w:tcPr>
          <w:p w14:paraId="5BFF6F8F">
            <w:pPr>
              <w:pageBreakBefore w:val="0"/>
              <w:kinsoku/>
              <w:wordWrap/>
              <w:overflowPunct/>
              <w:topLinePunct w:val="0"/>
              <w:bidi w:val="0"/>
              <w:snapToGrid w:val="0"/>
              <w:spacing w:line="300" w:lineRule="auto"/>
              <w:rPr>
                <w:rFonts w:hint="default" w:ascii="Calibri" w:hAnsi="Calibri" w:eastAsia="宋体" w:cs="Calibri"/>
                <w:color w:val="auto"/>
                <w:szCs w:val="21"/>
                <w:highlight w:val="none"/>
              </w:rPr>
            </w:pPr>
            <w:r>
              <w:rPr>
                <w:rFonts w:hint="default" w:ascii="Calibri" w:hAnsi="Calibri" w:cs="Calibri"/>
                <w:highlight w:val="none"/>
              </w:rPr>
              <w:t>地面</w:t>
            </w:r>
          </w:p>
        </w:tc>
        <w:tc>
          <w:tcPr>
            <w:tcW w:w="2440" w:type="dxa"/>
            <w:noWrap w:val="0"/>
            <w:vAlign w:val="center"/>
          </w:tcPr>
          <w:p w14:paraId="0716864E">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default" w:ascii="Calibri" w:hAnsi="Calibri" w:cs="Calibri"/>
                <w:highlight w:val="none"/>
              </w:rPr>
              <w:t>地面</w:t>
            </w:r>
            <w:r>
              <w:rPr>
                <w:rFonts w:hint="eastAsia" w:cs="Calibri"/>
                <w:highlight w:val="none"/>
                <w:lang w:val="en-US" w:eastAsia="zh-CN"/>
              </w:rPr>
              <w:t>各</w:t>
            </w:r>
            <w:r>
              <w:rPr>
                <w:rFonts w:hint="default" w:ascii="Calibri" w:hAnsi="Calibri" w:cs="Calibri"/>
                <w:highlight w:val="none"/>
              </w:rPr>
              <w:t>材质</w:t>
            </w:r>
            <w:r>
              <w:rPr>
                <w:rFonts w:hint="eastAsia" w:ascii="Calibri" w:hAnsi="Calibri" w:cs="Calibri"/>
                <w:highlight w:val="none"/>
                <w:lang w:val="en-US" w:eastAsia="zh-CN"/>
              </w:rPr>
              <w:t>及</w:t>
            </w:r>
            <w:r>
              <w:rPr>
                <w:rFonts w:hint="eastAsia" w:cs="Calibri"/>
                <w:highlight w:val="none"/>
                <w:lang w:val="en-US" w:eastAsia="zh-CN"/>
              </w:rPr>
              <w:t>总</w:t>
            </w:r>
            <w:r>
              <w:rPr>
                <w:rFonts w:hint="eastAsia" w:ascii="Calibri" w:hAnsi="Calibri" w:cs="Calibri"/>
                <w:highlight w:val="none"/>
                <w:lang w:val="en-US" w:eastAsia="zh-CN"/>
              </w:rPr>
              <w:t>面积</w:t>
            </w:r>
            <w:r>
              <w:rPr>
                <w:rFonts w:hint="default" w:ascii="Calibri" w:hAnsi="Calibri" w:cs="Calibri"/>
                <w:highlight w:val="none"/>
                <w:lang w:eastAsia="zh-CN"/>
              </w:rPr>
              <w:t>（</w:t>
            </w:r>
            <w:r>
              <w:rPr>
                <w:rFonts w:hint="default" w:ascii="Calibri" w:hAnsi="Calibri" w:cs="Calibri"/>
                <w:highlight w:val="none"/>
              </w:rPr>
              <w:t>㎡</w:t>
            </w:r>
            <w:r>
              <w:rPr>
                <w:rFonts w:hint="default" w:ascii="Calibri" w:hAnsi="Calibri" w:cs="Calibri"/>
                <w:highlight w:val="none"/>
                <w:lang w:eastAsia="zh-CN"/>
              </w:rPr>
              <w:t>）</w:t>
            </w:r>
          </w:p>
        </w:tc>
        <w:tc>
          <w:tcPr>
            <w:tcW w:w="6761" w:type="dxa"/>
            <w:noWrap w:val="0"/>
            <w:vAlign w:val="center"/>
          </w:tcPr>
          <w:p w14:paraId="670C67A0">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eastAsia" w:ascii="楷体" w:hAnsi="楷体" w:eastAsia="楷体" w:cs="楷体"/>
                <w:highlight w:val="none"/>
                <w:lang w:val="en-US" w:eastAsia="zh-CN"/>
              </w:rPr>
              <w:t>石材、瓷砖总面积为42853.6</w:t>
            </w:r>
            <w:r>
              <w:rPr>
                <w:rFonts w:hint="default" w:ascii="Calibri" w:hAnsi="Calibri" w:cs="Calibri"/>
                <w:highlight w:val="none"/>
              </w:rPr>
              <w:t>㎡</w:t>
            </w:r>
          </w:p>
        </w:tc>
        <w:tc>
          <w:tcPr>
            <w:tcW w:w="4186" w:type="dxa"/>
            <w:noWrap w:val="0"/>
            <w:vAlign w:val="center"/>
          </w:tcPr>
          <w:p w14:paraId="01CB8CA8">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见“3.2房屋维护服务”“3.4保洁服务”</w:t>
            </w:r>
          </w:p>
        </w:tc>
      </w:tr>
      <w:tr w14:paraId="6578E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73" w:type="dxa"/>
            <w:noWrap w:val="0"/>
            <w:vAlign w:val="center"/>
          </w:tcPr>
          <w:p w14:paraId="711F3CB1">
            <w:pPr>
              <w:pageBreakBefore w:val="0"/>
              <w:kinsoku/>
              <w:wordWrap/>
              <w:overflowPunct/>
              <w:topLinePunct w:val="0"/>
              <w:bidi w:val="0"/>
              <w:snapToGrid w:val="0"/>
              <w:spacing w:line="300" w:lineRule="auto"/>
              <w:rPr>
                <w:rFonts w:hint="default" w:ascii="Calibri" w:hAnsi="Calibri" w:eastAsia="宋体" w:cs="Calibri"/>
                <w:highlight w:val="none"/>
                <w:lang w:val="en-US" w:eastAsia="zh-CN"/>
              </w:rPr>
            </w:pPr>
            <w:r>
              <w:rPr>
                <w:rFonts w:hint="default" w:eastAsia="宋体"/>
                <w:b w:val="0"/>
                <w:bCs w:val="0"/>
                <w:highlight w:val="none"/>
                <w:lang w:val="en-US" w:eastAsia="zh-CN"/>
              </w:rPr>
              <w:t>内墙饰面</w:t>
            </w:r>
          </w:p>
        </w:tc>
        <w:tc>
          <w:tcPr>
            <w:tcW w:w="2440" w:type="dxa"/>
            <w:noWrap w:val="0"/>
            <w:vAlign w:val="center"/>
          </w:tcPr>
          <w:p w14:paraId="35829ED1">
            <w:pPr>
              <w:pageBreakBefore w:val="0"/>
              <w:kinsoku/>
              <w:wordWrap/>
              <w:overflowPunct/>
              <w:topLinePunct w:val="0"/>
              <w:bidi w:val="0"/>
              <w:snapToGrid w:val="0"/>
              <w:spacing w:line="300" w:lineRule="auto"/>
              <w:rPr>
                <w:rFonts w:hint="default" w:ascii="Calibri" w:hAnsi="Calibri" w:eastAsia="宋体" w:cs="Calibri"/>
                <w:kern w:val="2"/>
                <w:sz w:val="21"/>
                <w:szCs w:val="21"/>
                <w:highlight w:val="none"/>
                <w:lang w:val="en-US" w:eastAsia="zh-CN" w:bidi="ar-SA"/>
              </w:rPr>
            </w:pPr>
            <w:r>
              <w:rPr>
                <w:rFonts w:hint="default" w:eastAsia="宋体"/>
                <w:b w:val="0"/>
                <w:bCs w:val="0"/>
                <w:highlight w:val="none"/>
                <w:lang w:val="en-US" w:eastAsia="zh-CN"/>
              </w:rPr>
              <w:t>内墙饰面</w:t>
            </w:r>
            <w:r>
              <w:rPr>
                <w:rFonts w:hint="default" w:ascii="Calibri" w:hAnsi="Calibri" w:eastAsia="宋体" w:cs="Calibri"/>
                <w:highlight w:val="none"/>
                <w:lang w:val="en-US" w:eastAsia="zh-CN"/>
              </w:rPr>
              <w:t>各</w:t>
            </w:r>
            <w:r>
              <w:rPr>
                <w:rFonts w:hint="default" w:ascii="Calibri" w:hAnsi="Calibri" w:eastAsia="宋体" w:cs="Calibri"/>
                <w:highlight w:val="none"/>
              </w:rPr>
              <w:t>材质</w:t>
            </w:r>
            <w:r>
              <w:rPr>
                <w:rFonts w:hint="default" w:ascii="Calibri" w:hAnsi="Calibri" w:eastAsia="宋体" w:cs="Calibri"/>
                <w:highlight w:val="none"/>
                <w:lang w:val="en-US" w:eastAsia="zh-CN"/>
              </w:rPr>
              <w:t>及</w:t>
            </w:r>
            <w:r>
              <w:rPr>
                <w:rFonts w:hint="default" w:eastAsia="宋体" w:cs="Calibri"/>
                <w:highlight w:val="none"/>
                <w:lang w:val="en-US" w:eastAsia="zh-CN"/>
              </w:rPr>
              <w:t>总</w:t>
            </w:r>
            <w:r>
              <w:rPr>
                <w:rFonts w:hint="default" w:ascii="Calibri" w:hAnsi="Calibri" w:eastAsia="宋体" w:cs="Calibri"/>
                <w:highlight w:val="none"/>
                <w:lang w:val="en-US" w:eastAsia="zh-CN"/>
              </w:rPr>
              <w:t>面积</w:t>
            </w:r>
            <w:r>
              <w:rPr>
                <w:rFonts w:hint="default" w:ascii="Calibri" w:hAnsi="Calibri" w:eastAsia="宋体" w:cs="Calibri"/>
                <w:highlight w:val="none"/>
                <w:lang w:eastAsia="zh-CN"/>
              </w:rPr>
              <w:t>（</w:t>
            </w:r>
            <w:r>
              <w:rPr>
                <w:rFonts w:hint="default" w:ascii="Calibri" w:hAnsi="Calibri" w:eastAsia="宋体" w:cs="Calibri"/>
                <w:highlight w:val="none"/>
              </w:rPr>
              <w:t>㎡</w:t>
            </w:r>
            <w:r>
              <w:rPr>
                <w:rFonts w:hint="default" w:ascii="Calibri" w:hAnsi="Calibri" w:eastAsia="宋体" w:cs="Calibri"/>
                <w:highlight w:val="none"/>
                <w:lang w:eastAsia="zh-CN"/>
              </w:rPr>
              <w:t>）</w:t>
            </w:r>
          </w:p>
        </w:tc>
        <w:tc>
          <w:tcPr>
            <w:tcW w:w="6761" w:type="dxa"/>
            <w:noWrap w:val="0"/>
            <w:vAlign w:val="center"/>
          </w:tcPr>
          <w:p w14:paraId="229B5DD2">
            <w:pPr>
              <w:pageBreakBefore w:val="0"/>
              <w:kinsoku/>
              <w:wordWrap/>
              <w:overflowPunct/>
              <w:topLinePunct w:val="0"/>
              <w:bidi w:val="0"/>
              <w:snapToGrid w:val="0"/>
              <w:spacing w:line="300" w:lineRule="auto"/>
              <w:rPr>
                <w:rFonts w:hint="default" w:ascii="Calibri" w:hAnsi="Calibri" w:eastAsia="宋体" w:cs="Calibri"/>
                <w:highlight w:val="none"/>
                <w:lang w:val="en-US" w:eastAsia="zh-CN"/>
              </w:rPr>
            </w:pPr>
            <w:r>
              <w:rPr>
                <w:rFonts w:hint="eastAsia" w:ascii="楷体" w:hAnsi="楷体" w:eastAsia="楷体" w:cs="楷体"/>
                <w:highlight w:val="none"/>
                <w:lang w:val="en-US" w:eastAsia="zh-CN"/>
              </w:rPr>
              <w:t>木饰面、石材、瓷砖墙裙总面积为42853.6</w:t>
            </w:r>
            <w:r>
              <w:rPr>
                <w:rFonts w:hint="default" w:ascii="Calibri" w:hAnsi="Calibri" w:cs="Calibri"/>
                <w:highlight w:val="none"/>
              </w:rPr>
              <w:t>㎡</w:t>
            </w:r>
          </w:p>
        </w:tc>
        <w:tc>
          <w:tcPr>
            <w:tcW w:w="4186" w:type="dxa"/>
            <w:noWrap w:val="0"/>
            <w:vAlign w:val="center"/>
          </w:tcPr>
          <w:p w14:paraId="5AA3F592">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见“3.2房屋维护服务”“3.4保洁服务”</w:t>
            </w:r>
          </w:p>
        </w:tc>
      </w:tr>
      <w:tr w14:paraId="27951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noWrap w:val="0"/>
            <w:vAlign w:val="center"/>
          </w:tcPr>
          <w:p w14:paraId="27DED60F">
            <w:pPr>
              <w:pageBreakBefore w:val="0"/>
              <w:kinsoku/>
              <w:wordWrap/>
              <w:overflowPunct/>
              <w:topLinePunct w:val="0"/>
              <w:bidi w:val="0"/>
              <w:snapToGrid w:val="0"/>
              <w:spacing w:line="300" w:lineRule="auto"/>
              <w:ind w:left="0" w:firstLine="0" w:firstLineChars="0"/>
              <w:jc w:val="left"/>
              <w:rPr>
                <w:rFonts w:hint="eastAsia" w:ascii="Calibri" w:hAnsi="Calibri" w:eastAsia="宋体" w:cs="Calibri"/>
                <w:color w:val="auto"/>
                <w:szCs w:val="21"/>
                <w:highlight w:val="none"/>
                <w:lang w:val="en-US" w:eastAsia="zh-CN"/>
              </w:rPr>
            </w:pPr>
            <w:r>
              <w:rPr>
                <w:rFonts w:hint="eastAsia" w:cs="Calibri"/>
                <w:color w:val="auto"/>
                <w:szCs w:val="21"/>
                <w:highlight w:val="none"/>
                <w:lang w:val="en-US" w:eastAsia="zh-CN"/>
              </w:rPr>
              <w:t>会议室</w:t>
            </w:r>
          </w:p>
        </w:tc>
        <w:tc>
          <w:tcPr>
            <w:tcW w:w="2440" w:type="dxa"/>
            <w:noWrap w:val="0"/>
            <w:vAlign w:val="center"/>
          </w:tcPr>
          <w:p w14:paraId="7B6AB477">
            <w:pPr>
              <w:pageBreakBefore w:val="0"/>
              <w:kinsoku/>
              <w:wordWrap/>
              <w:overflowPunct/>
              <w:topLinePunct w:val="0"/>
              <w:bidi w:val="0"/>
              <w:snapToGrid w:val="0"/>
              <w:spacing w:line="300" w:lineRule="auto"/>
              <w:rPr>
                <w:rFonts w:hint="default" w:ascii="Calibri" w:hAnsi="Calibri" w:eastAsia="宋体" w:cs="Calibri"/>
                <w:color w:val="auto"/>
                <w:szCs w:val="21"/>
                <w:highlight w:val="none"/>
                <w:lang w:val="en-US" w:eastAsia="zh-CN"/>
              </w:rPr>
            </w:pPr>
            <w:r>
              <w:rPr>
                <w:rFonts w:hint="eastAsia" w:ascii="Calibri" w:hAnsi="Calibri" w:cs="Calibri"/>
                <w:color w:val="auto"/>
                <w:szCs w:val="21"/>
                <w:highlight w:val="none"/>
                <w:lang w:val="en-US" w:eastAsia="zh-CN"/>
              </w:rPr>
              <w:t>会议室数量</w:t>
            </w:r>
            <w:r>
              <w:rPr>
                <w:rFonts w:hint="eastAsia" w:ascii="Calibri" w:hAnsi="Calibri" w:cs="Calibri"/>
                <w:highlight w:val="none"/>
                <w:lang w:val="en-US" w:eastAsia="zh-CN"/>
              </w:rPr>
              <w:t>（个）</w:t>
            </w:r>
            <w:r>
              <w:rPr>
                <w:rFonts w:hint="eastAsia" w:ascii="Calibri" w:hAnsi="Calibri" w:cs="Calibri"/>
                <w:color w:val="auto"/>
                <w:szCs w:val="21"/>
                <w:highlight w:val="none"/>
                <w:lang w:val="en-US" w:eastAsia="zh-CN"/>
              </w:rPr>
              <w:t>及总面积</w:t>
            </w:r>
            <w:r>
              <w:rPr>
                <w:rFonts w:hint="default" w:ascii="Calibri" w:hAnsi="Calibri" w:cs="Calibri"/>
                <w:highlight w:val="none"/>
                <w:lang w:eastAsia="zh-CN"/>
              </w:rPr>
              <w:t>（</w:t>
            </w:r>
            <w:r>
              <w:rPr>
                <w:rFonts w:hint="default" w:ascii="Calibri" w:hAnsi="Calibri" w:cs="Calibri"/>
                <w:highlight w:val="none"/>
              </w:rPr>
              <w:t>㎡</w:t>
            </w:r>
            <w:r>
              <w:rPr>
                <w:rFonts w:hint="default" w:ascii="Calibri" w:hAnsi="Calibri" w:cs="Calibri"/>
                <w:highlight w:val="none"/>
                <w:lang w:eastAsia="zh-CN"/>
              </w:rPr>
              <w:t>）</w:t>
            </w:r>
          </w:p>
        </w:tc>
        <w:tc>
          <w:tcPr>
            <w:tcW w:w="6761" w:type="dxa"/>
            <w:noWrap w:val="0"/>
            <w:vAlign w:val="center"/>
          </w:tcPr>
          <w:p w14:paraId="67577CF6">
            <w:pPr>
              <w:pageBreakBefore w:val="0"/>
              <w:kinsoku/>
              <w:wordWrap/>
              <w:overflowPunct/>
              <w:topLinePunct w:val="0"/>
              <w:bidi w:val="0"/>
              <w:snapToGrid w:val="0"/>
              <w:spacing w:line="300" w:lineRule="auto"/>
              <w:rPr>
                <w:rFonts w:hint="default" w:ascii="Calibri" w:hAnsi="Calibri" w:eastAsia="宋体" w:cs="Calibri"/>
                <w:color w:val="auto"/>
                <w:szCs w:val="21"/>
                <w:highlight w:val="none"/>
                <w:lang w:val="en-US"/>
              </w:rPr>
            </w:pPr>
            <w:r>
              <w:rPr>
                <w:rFonts w:hint="eastAsia" w:ascii="楷体" w:hAnsi="楷体" w:eastAsia="楷体" w:cs="楷体"/>
                <w:highlight w:val="none"/>
                <w:lang w:val="en-US" w:eastAsia="zh-CN"/>
              </w:rPr>
              <w:t>3个会议室，600</w:t>
            </w:r>
            <w:r>
              <w:rPr>
                <w:rFonts w:hint="default" w:ascii="Calibri" w:hAnsi="Calibri" w:cs="Calibri"/>
                <w:highlight w:val="none"/>
              </w:rPr>
              <w:t>㎡</w:t>
            </w:r>
          </w:p>
        </w:tc>
        <w:tc>
          <w:tcPr>
            <w:tcW w:w="4186" w:type="dxa"/>
            <w:noWrap w:val="0"/>
            <w:vAlign w:val="center"/>
          </w:tcPr>
          <w:p w14:paraId="44AD1E2E">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见“3.4保洁服务”“3.7会议服务”</w:t>
            </w:r>
          </w:p>
        </w:tc>
      </w:tr>
      <w:tr w14:paraId="62739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noWrap w:val="0"/>
            <w:vAlign w:val="center"/>
          </w:tcPr>
          <w:p w14:paraId="6072C706">
            <w:pPr>
              <w:pageBreakBefore w:val="0"/>
              <w:kinsoku/>
              <w:wordWrap/>
              <w:overflowPunct/>
              <w:topLinePunct w:val="0"/>
              <w:bidi w:val="0"/>
              <w:snapToGrid w:val="0"/>
              <w:spacing w:line="300" w:lineRule="auto"/>
              <w:ind w:left="0" w:firstLine="0" w:firstLineChars="0"/>
              <w:jc w:val="both"/>
              <w:rPr>
                <w:rFonts w:hint="eastAsia" w:ascii="Calibri" w:hAnsi="Calibri" w:eastAsia="宋体" w:cs="Calibri"/>
                <w:color w:val="auto"/>
                <w:szCs w:val="21"/>
                <w:highlight w:val="none"/>
                <w:lang w:val="en-US" w:eastAsia="zh-CN"/>
              </w:rPr>
            </w:pPr>
            <w:r>
              <w:rPr>
                <w:rFonts w:hint="eastAsia" w:cs="Calibri"/>
                <w:color w:val="auto"/>
                <w:szCs w:val="21"/>
                <w:highlight w:val="none"/>
                <w:lang w:val="en-US" w:eastAsia="zh-CN"/>
              </w:rPr>
              <w:t>报告厅</w:t>
            </w:r>
          </w:p>
        </w:tc>
        <w:tc>
          <w:tcPr>
            <w:tcW w:w="2440" w:type="dxa"/>
            <w:noWrap w:val="0"/>
            <w:vAlign w:val="center"/>
          </w:tcPr>
          <w:p w14:paraId="1225927F">
            <w:pPr>
              <w:pageBreakBefore w:val="0"/>
              <w:kinsoku/>
              <w:wordWrap/>
              <w:overflowPunct/>
              <w:topLinePunct w:val="0"/>
              <w:bidi w:val="0"/>
              <w:snapToGrid w:val="0"/>
              <w:spacing w:line="300" w:lineRule="auto"/>
              <w:rPr>
                <w:rFonts w:hint="eastAsia" w:ascii="Calibri" w:hAnsi="Calibri" w:cs="Calibri"/>
                <w:highlight w:val="none"/>
                <w:lang w:val="en-US" w:eastAsia="zh-CN"/>
              </w:rPr>
            </w:pPr>
            <w:r>
              <w:rPr>
                <w:rFonts w:hint="eastAsia" w:ascii="Calibri" w:hAnsi="Calibri" w:cs="Calibri"/>
                <w:color w:val="auto"/>
                <w:szCs w:val="21"/>
                <w:highlight w:val="none"/>
                <w:lang w:val="en-US" w:eastAsia="zh-CN"/>
              </w:rPr>
              <w:t>报告厅数量</w:t>
            </w:r>
            <w:r>
              <w:rPr>
                <w:rFonts w:hint="eastAsia" w:ascii="Calibri" w:hAnsi="Calibri" w:cs="Calibri"/>
                <w:highlight w:val="none"/>
                <w:lang w:val="en-US" w:eastAsia="zh-CN"/>
              </w:rPr>
              <w:t>（个）</w:t>
            </w:r>
            <w:r>
              <w:rPr>
                <w:rFonts w:hint="eastAsia" w:ascii="Calibri" w:hAnsi="Calibri" w:cs="Calibri"/>
                <w:color w:val="auto"/>
                <w:szCs w:val="21"/>
                <w:highlight w:val="none"/>
                <w:lang w:val="en-US" w:eastAsia="zh-CN"/>
              </w:rPr>
              <w:t>及总面积</w:t>
            </w:r>
            <w:r>
              <w:rPr>
                <w:rFonts w:hint="default" w:ascii="Calibri" w:hAnsi="Calibri" w:cs="Calibri"/>
                <w:highlight w:val="none"/>
                <w:lang w:eastAsia="zh-CN"/>
              </w:rPr>
              <w:t>（</w:t>
            </w:r>
            <w:r>
              <w:rPr>
                <w:rFonts w:hint="default" w:ascii="Calibri" w:hAnsi="Calibri" w:cs="Calibri"/>
                <w:highlight w:val="none"/>
              </w:rPr>
              <w:t>㎡</w:t>
            </w:r>
            <w:r>
              <w:rPr>
                <w:rFonts w:hint="default" w:ascii="Calibri" w:hAnsi="Calibri" w:cs="Calibri"/>
                <w:highlight w:val="none"/>
                <w:lang w:eastAsia="zh-CN"/>
              </w:rPr>
              <w:t>）</w:t>
            </w:r>
          </w:p>
        </w:tc>
        <w:tc>
          <w:tcPr>
            <w:tcW w:w="6761" w:type="dxa"/>
            <w:noWrap w:val="0"/>
            <w:vAlign w:val="center"/>
          </w:tcPr>
          <w:p w14:paraId="618FADE7">
            <w:pPr>
              <w:pageBreakBefore w:val="0"/>
              <w:kinsoku/>
              <w:wordWrap/>
              <w:overflowPunct/>
              <w:topLinePunct w:val="0"/>
              <w:bidi w:val="0"/>
              <w:snapToGrid w:val="0"/>
              <w:spacing w:line="300" w:lineRule="auto"/>
              <w:rPr>
                <w:rFonts w:hint="default" w:ascii="Calibri" w:hAnsi="Calibri" w:cs="Calibri"/>
                <w:highlight w:val="none"/>
                <w:lang w:val="en-US"/>
              </w:rPr>
            </w:pPr>
            <w:r>
              <w:rPr>
                <w:rFonts w:hint="eastAsia" w:ascii="楷体" w:hAnsi="楷体" w:eastAsia="楷体" w:cs="楷体"/>
                <w:highlight w:val="none"/>
                <w:lang w:val="en-US" w:eastAsia="zh-CN"/>
              </w:rPr>
              <w:t>1个，3000</w:t>
            </w:r>
            <w:r>
              <w:rPr>
                <w:rFonts w:hint="default" w:ascii="Calibri" w:hAnsi="Calibri" w:cs="Calibri"/>
                <w:highlight w:val="none"/>
              </w:rPr>
              <w:t>㎡</w:t>
            </w:r>
          </w:p>
        </w:tc>
        <w:tc>
          <w:tcPr>
            <w:tcW w:w="4186" w:type="dxa"/>
            <w:noWrap w:val="0"/>
            <w:vAlign w:val="center"/>
          </w:tcPr>
          <w:p w14:paraId="0CDCA46F">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见“3.4保洁服务”“3.7会议服务”</w:t>
            </w:r>
          </w:p>
        </w:tc>
      </w:tr>
      <w:tr w14:paraId="67660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noWrap w:val="0"/>
            <w:vAlign w:val="center"/>
          </w:tcPr>
          <w:p w14:paraId="657A6A53">
            <w:pPr>
              <w:pageBreakBefore w:val="0"/>
              <w:kinsoku/>
              <w:wordWrap/>
              <w:overflowPunct/>
              <w:topLinePunct w:val="0"/>
              <w:bidi w:val="0"/>
              <w:snapToGrid w:val="0"/>
              <w:spacing w:line="300" w:lineRule="auto"/>
              <w:ind w:left="0" w:firstLine="0" w:firstLineChars="0"/>
              <w:jc w:val="both"/>
              <w:rPr>
                <w:rFonts w:hint="default" w:ascii="Calibri" w:hAnsi="Calibri" w:eastAsia="宋体" w:cs="Calibri"/>
                <w:color w:val="auto"/>
                <w:szCs w:val="21"/>
                <w:highlight w:val="none"/>
                <w:lang w:val="en-US" w:eastAsia="zh-CN"/>
              </w:rPr>
            </w:pPr>
            <w:r>
              <w:rPr>
                <w:rFonts w:hint="eastAsia" w:ascii="Calibri" w:hAnsi="Calibri" w:cs="Calibri"/>
                <w:color w:val="auto"/>
                <w:szCs w:val="21"/>
                <w:highlight w:val="none"/>
                <w:lang w:val="en-US" w:eastAsia="zh-CN"/>
              </w:rPr>
              <w:t>卫生间</w:t>
            </w:r>
          </w:p>
        </w:tc>
        <w:tc>
          <w:tcPr>
            <w:tcW w:w="2440" w:type="dxa"/>
            <w:noWrap w:val="0"/>
            <w:vAlign w:val="center"/>
          </w:tcPr>
          <w:p w14:paraId="6326D69A">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eastAsia" w:ascii="Calibri" w:hAnsi="Calibri" w:cs="Calibri"/>
                <w:highlight w:val="none"/>
                <w:lang w:val="en-US" w:eastAsia="zh-CN"/>
              </w:rPr>
              <w:t>卫生间</w:t>
            </w:r>
            <w:r>
              <w:rPr>
                <w:rFonts w:hint="eastAsia" w:ascii="Calibri" w:hAnsi="Calibri" w:cs="Calibri"/>
                <w:color w:val="auto"/>
                <w:szCs w:val="21"/>
                <w:highlight w:val="none"/>
                <w:lang w:val="en-US" w:eastAsia="zh-CN"/>
              </w:rPr>
              <w:t>数量</w:t>
            </w:r>
            <w:r>
              <w:rPr>
                <w:rFonts w:hint="eastAsia" w:ascii="Calibri" w:hAnsi="Calibri" w:cs="Calibri"/>
                <w:highlight w:val="none"/>
                <w:lang w:val="en-US" w:eastAsia="zh-CN"/>
              </w:rPr>
              <w:t>（个）</w:t>
            </w:r>
            <w:r>
              <w:rPr>
                <w:rFonts w:hint="eastAsia" w:ascii="Calibri" w:hAnsi="Calibri" w:cs="Calibri"/>
                <w:color w:val="auto"/>
                <w:szCs w:val="21"/>
                <w:highlight w:val="none"/>
                <w:lang w:val="en-US" w:eastAsia="zh-CN"/>
              </w:rPr>
              <w:t>及总面积</w:t>
            </w:r>
            <w:r>
              <w:rPr>
                <w:rFonts w:hint="default" w:ascii="Calibri" w:hAnsi="Calibri" w:cs="Calibri"/>
                <w:highlight w:val="none"/>
                <w:lang w:eastAsia="zh-CN"/>
              </w:rPr>
              <w:t>（</w:t>
            </w:r>
            <w:r>
              <w:rPr>
                <w:rFonts w:hint="default" w:ascii="Calibri" w:hAnsi="Calibri" w:cs="Calibri"/>
                <w:highlight w:val="none"/>
              </w:rPr>
              <w:t>㎡</w:t>
            </w:r>
            <w:r>
              <w:rPr>
                <w:rFonts w:hint="default" w:ascii="Calibri" w:hAnsi="Calibri" w:cs="Calibri"/>
                <w:highlight w:val="none"/>
                <w:lang w:eastAsia="zh-CN"/>
              </w:rPr>
              <w:t>）</w:t>
            </w:r>
          </w:p>
        </w:tc>
        <w:tc>
          <w:tcPr>
            <w:tcW w:w="6761" w:type="dxa"/>
            <w:noWrap w:val="0"/>
            <w:vAlign w:val="center"/>
          </w:tcPr>
          <w:p w14:paraId="0854A8EC">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eastAsia" w:cs="Calibri"/>
                <w:color w:val="auto"/>
                <w:kern w:val="2"/>
                <w:sz w:val="21"/>
                <w:szCs w:val="21"/>
                <w:highlight w:val="none"/>
                <w:lang w:val="en-US" w:eastAsia="zh-CN" w:bidi="ar-SA"/>
              </w:rPr>
              <w:t>2个，500</w:t>
            </w:r>
            <w:r>
              <w:rPr>
                <w:rFonts w:hint="default" w:ascii="Calibri" w:hAnsi="Calibri" w:cs="Calibri"/>
                <w:highlight w:val="none"/>
              </w:rPr>
              <w:t>㎡</w:t>
            </w:r>
          </w:p>
        </w:tc>
        <w:tc>
          <w:tcPr>
            <w:tcW w:w="4186" w:type="dxa"/>
            <w:noWrap w:val="0"/>
            <w:vAlign w:val="center"/>
          </w:tcPr>
          <w:p w14:paraId="5BE90DD9">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见“3.4保洁服务”</w:t>
            </w:r>
          </w:p>
        </w:tc>
      </w:tr>
      <w:tr w14:paraId="6F93D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noWrap w:val="0"/>
            <w:vAlign w:val="center"/>
          </w:tcPr>
          <w:p w14:paraId="10B34C4B">
            <w:pPr>
              <w:pageBreakBefore w:val="0"/>
              <w:kinsoku/>
              <w:wordWrap/>
              <w:overflowPunct/>
              <w:topLinePunct w:val="0"/>
              <w:bidi w:val="0"/>
              <w:snapToGrid w:val="0"/>
              <w:spacing w:line="300" w:lineRule="auto"/>
              <w:ind w:left="0" w:firstLine="0" w:firstLineChars="0"/>
              <w:jc w:val="both"/>
              <w:rPr>
                <w:rFonts w:hint="default" w:ascii="Calibri" w:hAnsi="Calibri" w:cs="Calibri"/>
                <w:color w:val="auto"/>
                <w:szCs w:val="21"/>
                <w:highlight w:val="none"/>
                <w:lang w:val="en-US" w:eastAsia="zh-CN"/>
              </w:rPr>
            </w:pPr>
            <w:r>
              <w:rPr>
                <w:rFonts w:hint="eastAsia" w:ascii="Calibri" w:hAnsi="Calibri" w:cs="Calibri"/>
                <w:color w:val="auto"/>
                <w:szCs w:val="21"/>
                <w:highlight w:val="none"/>
                <w:lang w:val="en-US" w:eastAsia="zh-CN"/>
              </w:rPr>
              <w:t>垃圾存放点</w:t>
            </w:r>
          </w:p>
        </w:tc>
        <w:tc>
          <w:tcPr>
            <w:tcW w:w="2440" w:type="dxa"/>
            <w:noWrap w:val="0"/>
            <w:vAlign w:val="center"/>
          </w:tcPr>
          <w:p w14:paraId="1B86D52A">
            <w:pPr>
              <w:pageBreakBefore w:val="0"/>
              <w:kinsoku/>
              <w:wordWrap/>
              <w:overflowPunct/>
              <w:topLinePunct w:val="0"/>
              <w:bidi w:val="0"/>
              <w:snapToGrid w:val="0"/>
              <w:spacing w:line="300" w:lineRule="auto"/>
              <w:rPr>
                <w:rFonts w:hint="default" w:ascii="Calibri" w:hAnsi="Calibri" w:eastAsia="宋体" w:cs="Calibri"/>
                <w:kern w:val="2"/>
                <w:sz w:val="21"/>
                <w:szCs w:val="24"/>
                <w:highlight w:val="none"/>
                <w:lang w:val="en-US" w:eastAsia="zh-CN" w:bidi="ar-SA"/>
              </w:rPr>
            </w:pPr>
            <w:r>
              <w:rPr>
                <w:rFonts w:hint="eastAsia" w:ascii="Calibri" w:hAnsi="Calibri" w:cs="Calibri"/>
                <w:highlight w:val="none"/>
                <w:lang w:val="en-US" w:eastAsia="zh-CN"/>
              </w:rPr>
              <w:t>各垃圾存放点位置、</w:t>
            </w:r>
            <w:r>
              <w:rPr>
                <w:rFonts w:hint="default" w:ascii="Calibri" w:hAnsi="Calibri" w:cs="Calibri"/>
                <w:highlight w:val="none"/>
              </w:rPr>
              <w:t>面积</w:t>
            </w:r>
            <w:r>
              <w:rPr>
                <w:rFonts w:hint="default" w:ascii="Calibri" w:hAnsi="Calibri" w:cs="Calibri"/>
                <w:highlight w:val="none"/>
                <w:lang w:eastAsia="zh-CN"/>
              </w:rPr>
              <w:t>（</w:t>
            </w:r>
            <w:r>
              <w:rPr>
                <w:rFonts w:hint="default" w:ascii="Calibri" w:hAnsi="Calibri" w:cs="Calibri"/>
                <w:highlight w:val="none"/>
              </w:rPr>
              <w:t>㎡</w:t>
            </w:r>
            <w:r>
              <w:rPr>
                <w:rFonts w:hint="default" w:ascii="Calibri" w:hAnsi="Calibri" w:cs="Calibri"/>
                <w:highlight w:val="none"/>
                <w:lang w:eastAsia="zh-CN"/>
              </w:rPr>
              <w:t>）</w:t>
            </w:r>
            <w:r>
              <w:rPr>
                <w:rFonts w:hint="eastAsia" w:ascii="Calibri" w:hAnsi="Calibri" w:cs="Calibri"/>
                <w:highlight w:val="none"/>
                <w:lang w:val="en-US" w:eastAsia="zh-CN"/>
              </w:rPr>
              <w:t>及数量（个）</w:t>
            </w:r>
          </w:p>
        </w:tc>
        <w:tc>
          <w:tcPr>
            <w:tcW w:w="6761" w:type="dxa"/>
            <w:noWrap w:val="0"/>
            <w:vAlign w:val="center"/>
          </w:tcPr>
          <w:p w14:paraId="55A8431E">
            <w:pPr>
              <w:pageBreakBefore w:val="0"/>
              <w:kinsoku/>
              <w:wordWrap/>
              <w:overflowPunct/>
              <w:topLinePunct w:val="0"/>
              <w:bidi w:val="0"/>
              <w:snapToGrid w:val="0"/>
              <w:spacing w:line="300" w:lineRule="auto"/>
              <w:rPr>
                <w:rFonts w:hint="default" w:ascii="Calibri" w:hAnsi="Calibri" w:eastAsia="宋体" w:cs="Calibri"/>
                <w:kern w:val="2"/>
                <w:sz w:val="21"/>
                <w:szCs w:val="24"/>
                <w:highlight w:val="none"/>
                <w:lang w:val="en-US" w:eastAsia="zh-CN" w:bidi="ar-SA"/>
              </w:rPr>
            </w:pPr>
            <w:r>
              <w:rPr>
                <w:rFonts w:hint="eastAsia" w:ascii="楷体" w:hAnsi="楷体" w:eastAsia="楷体" w:cs="楷体"/>
                <w:highlight w:val="none"/>
                <w:lang w:val="en-US" w:eastAsia="zh-CN"/>
              </w:rPr>
              <w:t>学生宿舍楼后1个、初中部1个、小学部1个，75</w:t>
            </w:r>
            <w:r>
              <w:rPr>
                <w:rFonts w:hint="default" w:ascii="Calibri" w:hAnsi="Calibri" w:cs="Calibri"/>
                <w:highlight w:val="none"/>
              </w:rPr>
              <w:t>㎡</w:t>
            </w:r>
          </w:p>
        </w:tc>
        <w:tc>
          <w:tcPr>
            <w:tcW w:w="4186" w:type="dxa"/>
            <w:noWrap w:val="0"/>
            <w:vAlign w:val="center"/>
          </w:tcPr>
          <w:p w14:paraId="715445CA">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见“3.4保洁服务”</w:t>
            </w:r>
          </w:p>
        </w:tc>
      </w:tr>
      <w:tr w14:paraId="0999C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restart"/>
            <w:noWrap w:val="0"/>
            <w:vAlign w:val="center"/>
          </w:tcPr>
          <w:p w14:paraId="05019C45">
            <w:pPr>
              <w:pageBreakBefore w:val="0"/>
              <w:kinsoku/>
              <w:wordWrap/>
              <w:overflowPunct/>
              <w:topLinePunct w:val="0"/>
              <w:bidi w:val="0"/>
              <w:snapToGrid w:val="0"/>
              <w:spacing w:line="300" w:lineRule="auto"/>
              <w:ind w:left="0" w:firstLine="0" w:firstLineChars="0"/>
              <w:jc w:val="both"/>
              <w:rPr>
                <w:rFonts w:hint="default" w:ascii="Calibri" w:hAnsi="Calibri" w:cs="Calibri"/>
                <w:highlight w:val="none"/>
              </w:rPr>
            </w:pPr>
            <w:r>
              <w:rPr>
                <w:rFonts w:hint="default" w:ascii="Calibri" w:hAnsi="Calibri" w:cs="Calibri"/>
                <w:highlight w:val="none"/>
                <w:lang w:val="en-US" w:eastAsia="zh-CN"/>
              </w:rPr>
              <w:t>车行/人行口</w:t>
            </w:r>
          </w:p>
        </w:tc>
        <w:tc>
          <w:tcPr>
            <w:tcW w:w="2440" w:type="dxa"/>
            <w:noWrap w:val="0"/>
            <w:vAlign w:val="center"/>
          </w:tcPr>
          <w:p w14:paraId="26112B1E">
            <w:pPr>
              <w:pageBreakBefore w:val="0"/>
              <w:kinsoku/>
              <w:wordWrap/>
              <w:overflowPunct/>
              <w:topLinePunct w:val="0"/>
              <w:bidi w:val="0"/>
              <w:snapToGrid w:val="0"/>
              <w:spacing w:line="300" w:lineRule="auto"/>
              <w:ind w:left="0" w:leftChars="0" w:firstLine="0" w:firstLineChars="0"/>
              <w:jc w:val="both"/>
              <w:rPr>
                <w:rFonts w:hint="eastAsia" w:ascii="Calibri" w:hAnsi="Calibri" w:eastAsia="宋体" w:cs="Calibri"/>
                <w:kern w:val="2"/>
                <w:sz w:val="21"/>
                <w:szCs w:val="24"/>
                <w:highlight w:val="none"/>
                <w:lang w:val="en-US" w:eastAsia="zh-CN" w:bidi="ar-SA"/>
              </w:rPr>
            </w:pPr>
            <w:r>
              <w:rPr>
                <w:rFonts w:hint="default" w:ascii="Calibri" w:hAnsi="Calibri" w:cs="Calibri"/>
                <w:highlight w:val="none"/>
                <w:lang w:val="en-US" w:eastAsia="zh-CN"/>
              </w:rPr>
              <w:t>车行</w:t>
            </w:r>
            <w:r>
              <w:rPr>
                <w:rFonts w:hint="eastAsia" w:cs="Calibri"/>
                <w:highlight w:val="none"/>
                <w:lang w:val="en-US" w:eastAsia="zh-CN"/>
              </w:rPr>
              <w:t>口</w:t>
            </w:r>
          </w:p>
        </w:tc>
        <w:tc>
          <w:tcPr>
            <w:tcW w:w="6761" w:type="dxa"/>
            <w:noWrap w:val="0"/>
            <w:vAlign w:val="center"/>
          </w:tcPr>
          <w:p w14:paraId="23D6D5BB">
            <w:pPr>
              <w:pageBreakBefore w:val="0"/>
              <w:kinsoku/>
              <w:wordWrap/>
              <w:overflowPunct/>
              <w:topLinePunct w:val="0"/>
              <w:bidi w:val="0"/>
              <w:snapToGrid w:val="0"/>
              <w:spacing w:line="300" w:lineRule="auto"/>
              <w:rPr>
                <w:rFonts w:hint="default" w:ascii="Calibri" w:hAnsi="Calibri" w:eastAsia="宋体" w:cs="Calibri"/>
                <w:kern w:val="2"/>
                <w:sz w:val="21"/>
                <w:szCs w:val="24"/>
                <w:highlight w:val="none"/>
                <w:lang w:val="en-US" w:eastAsia="zh-CN" w:bidi="ar-SA"/>
              </w:rPr>
            </w:pPr>
            <w:r>
              <w:rPr>
                <w:rFonts w:hint="eastAsia" w:ascii="楷体" w:hAnsi="楷体" w:eastAsia="楷体" w:cs="楷体"/>
                <w:highlight w:val="none"/>
                <w:lang w:val="en-US" w:eastAsia="zh-CN"/>
              </w:rPr>
              <w:t>1个</w:t>
            </w:r>
          </w:p>
        </w:tc>
        <w:tc>
          <w:tcPr>
            <w:tcW w:w="4186" w:type="dxa"/>
            <w:noWrap w:val="0"/>
            <w:vAlign w:val="center"/>
          </w:tcPr>
          <w:p w14:paraId="4C5E3989">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ascii="Calibri" w:hAnsi="Calibri" w:eastAsia="宋体" w:cs="Calibri"/>
                <w:color w:val="auto"/>
                <w:highlight w:val="none"/>
                <w:lang w:val="en-US" w:eastAsia="zh-CN"/>
              </w:rPr>
              <w:t>见“3.6保安服务”</w:t>
            </w:r>
          </w:p>
        </w:tc>
      </w:tr>
      <w:tr w14:paraId="5F3CD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continue"/>
            <w:noWrap w:val="0"/>
            <w:vAlign w:val="center"/>
          </w:tcPr>
          <w:p w14:paraId="24F70F4E">
            <w:pPr>
              <w:pageBreakBefore w:val="0"/>
              <w:kinsoku/>
              <w:wordWrap/>
              <w:overflowPunct/>
              <w:topLinePunct w:val="0"/>
              <w:bidi w:val="0"/>
              <w:snapToGrid w:val="0"/>
              <w:spacing w:line="300" w:lineRule="auto"/>
              <w:ind w:left="0" w:firstLine="0" w:firstLineChars="0"/>
              <w:jc w:val="both"/>
              <w:rPr>
                <w:rFonts w:hint="default" w:ascii="Calibri" w:hAnsi="Calibri" w:cs="Calibri"/>
                <w:highlight w:val="none"/>
                <w:lang w:val="en-US" w:eastAsia="zh-CN"/>
              </w:rPr>
            </w:pPr>
          </w:p>
        </w:tc>
        <w:tc>
          <w:tcPr>
            <w:tcW w:w="2440" w:type="dxa"/>
            <w:noWrap w:val="0"/>
            <w:vAlign w:val="center"/>
          </w:tcPr>
          <w:p w14:paraId="519FC2EA">
            <w:pPr>
              <w:pageBreakBefore w:val="0"/>
              <w:kinsoku/>
              <w:wordWrap/>
              <w:overflowPunct/>
              <w:topLinePunct w:val="0"/>
              <w:bidi w:val="0"/>
              <w:snapToGrid w:val="0"/>
              <w:spacing w:line="300" w:lineRule="auto"/>
              <w:ind w:left="0" w:leftChars="0" w:firstLine="0" w:firstLineChars="0"/>
              <w:jc w:val="both"/>
              <w:rPr>
                <w:rFonts w:hint="default" w:ascii="Calibri" w:hAnsi="Calibri" w:cs="Calibri"/>
                <w:highlight w:val="none"/>
                <w:lang w:val="en-US" w:eastAsia="zh-CN"/>
              </w:rPr>
            </w:pPr>
            <w:r>
              <w:rPr>
                <w:rFonts w:hint="default" w:ascii="Calibri" w:hAnsi="Calibri" w:cs="Calibri"/>
                <w:highlight w:val="none"/>
                <w:lang w:val="en-US" w:eastAsia="zh-CN"/>
              </w:rPr>
              <w:t>人行口</w:t>
            </w:r>
          </w:p>
        </w:tc>
        <w:tc>
          <w:tcPr>
            <w:tcW w:w="6761" w:type="dxa"/>
            <w:noWrap w:val="0"/>
            <w:vAlign w:val="center"/>
          </w:tcPr>
          <w:p w14:paraId="6093DB63">
            <w:pPr>
              <w:pageBreakBefore w:val="0"/>
              <w:kinsoku/>
              <w:wordWrap/>
              <w:overflowPunct/>
              <w:topLinePunct w:val="0"/>
              <w:bidi w:val="0"/>
              <w:snapToGrid w:val="0"/>
              <w:spacing w:line="300" w:lineRule="auto"/>
              <w:rPr>
                <w:rFonts w:hint="default" w:ascii="Calibri" w:hAnsi="Calibri" w:eastAsia="宋体" w:cs="Calibri"/>
                <w:kern w:val="2"/>
                <w:sz w:val="21"/>
                <w:szCs w:val="24"/>
                <w:highlight w:val="none"/>
                <w:lang w:val="en-US" w:eastAsia="zh-CN" w:bidi="ar-SA"/>
              </w:rPr>
            </w:pPr>
            <w:r>
              <w:rPr>
                <w:rFonts w:hint="eastAsia" w:ascii="楷体" w:hAnsi="楷体" w:eastAsia="楷体" w:cs="楷体"/>
                <w:highlight w:val="none"/>
                <w:lang w:val="en-US" w:eastAsia="zh-CN"/>
              </w:rPr>
              <w:t>2个</w:t>
            </w:r>
          </w:p>
        </w:tc>
        <w:tc>
          <w:tcPr>
            <w:tcW w:w="4186" w:type="dxa"/>
            <w:noWrap w:val="0"/>
            <w:vAlign w:val="center"/>
          </w:tcPr>
          <w:p w14:paraId="3B8D8534">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ascii="Calibri" w:hAnsi="Calibri" w:eastAsia="宋体" w:cs="Calibri"/>
                <w:color w:val="auto"/>
                <w:highlight w:val="none"/>
                <w:lang w:val="en-US" w:eastAsia="zh-CN"/>
              </w:rPr>
              <w:t>见“3.6保安服务”</w:t>
            </w:r>
          </w:p>
        </w:tc>
      </w:tr>
      <w:tr w14:paraId="2E335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continue"/>
            <w:noWrap w:val="0"/>
            <w:vAlign w:val="center"/>
          </w:tcPr>
          <w:p w14:paraId="5E938693">
            <w:pPr>
              <w:pageBreakBefore w:val="0"/>
              <w:kinsoku/>
              <w:wordWrap/>
              <w:overflowPunct/>
              <w:topLinePunct w:val="0"/>
              <w:bidi w:val="0"/>
              <w:snapToGrid w:val="0"/>
              <w:spacing w:line="300" w:lineRule="auto"/>
              <w:ind w:left="0" w:firstLine="0" w:firstLineChars="0"/>
              <w:jc w:val="both"/>
              <w:rPr>
                <w:rFonts w:hint="default" w:ascii="Calibri" w:hAnsi="Calibri" w:eastAsia="宋体" w:cs="Calibri"/>
                <w:color w:val="auto"/>
                <w:szCs w:val="21"/>
                <w:highlight w:val="none"/>
              </w:rPr>
            </w:pPr>
          </w:p>
        </w:tc>
        <w:tc>
          <w:tcPr>
            <w:tcW w:w="2440" w:type="dxa"/>
            <w:noWrap w:val="0"/>
            <w:vAlign w:val="center"/>
          </w:tcPr>
          <w:p w14:paraId="2F101480">
            <w:pPr>
              <w:pageBreakBefore w:val="0"/>
              <w:kinsoku/>
              <w:wordWrap/>
              <w:overflowPunct/>
              <w:topLinePunct w:val="0"/>
              <w:bidi w:val="0"/>
              <w:snapToGrid w:val="0"/>
              <w:spacing w:line="300" w:lineRule="auto"/>
              <w:rPr>
                <w:rFonts w:hint="eastAsia" w:ascii="Calibri" w:hAnsi="Calibri" w:eastAsia="宋体" w:cs="Calibri"/>
                <w:color w:val="auto"/>
                <w:kern w:val="2"/>
                <w:sz w:val="21"/>
                <w:szCs w:val="21"/>
                <w:highlight w:val="none"/>
                <w:lang w:val="en-US" w:eastAsia="zh-CN" w:bidi="ar-SA"/>
              </w:rPr>
            </w:pPr>
            <w:r>
              <w:rPr>
                <w:rFonts w:hint="default" w:ascii="Calibri" w:hAnsi="Calibri" w:cs="Calibri"/>
                <w:highlight w:val="none"/>
              </w:rPr>
              <w:t>消防</w:t>
            </w:r>
            <w:r>
              <w:rPr>
                <w:rFonts w:hint="eastAsia" w:ascii="Calibri" w:hAnsi="Calibri" w:cs="Calibri"/>
                <w:highlight w:val="none"/>
                <w:lang w:val="en-US" w:eastAsia="zh-CN"/>
              </w:rPr>
              <w:t>系统</w:t>
            </w:r>
          </w:p>
        </w:tc>
        <w:tc>
          <w:tcPr>
            <w:tcW w:w="6761" w:type="dxa"/>
            <w:noWrap w:val="0"/>
            <w:vAlign w:val="center"/>
          </w:tcPr>
          <w:p w14:paraId="7C942E72">
            <w:pPr>
              <w:pageBreakBefore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eastAsia" w:ascii="楷体" w:hAnsi="楷体" w:eastAsia="楷体" w:cs="楷体"/>
                <w:highlight w:val="none"/>
                <w:lang w:val="en-US" w:eastAsia="zh-CN"/>
              </w:rPr>
              <w:t>1个</w:t>
            </w:r>
          </w:p>
        </w:tc>
        <w:tc>
          <w:tcPr>
            <w:tcW w:w="4186" w:type="dxa"/>
            <w:noWrap w:val="0"/>
            <w:vAlign w:val="center"/>
          </w:tcPr>
          <w:p w14:paraId="611B64E1">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ascii="Calibri" w:hAnsi="Calibri" w:eastAsia="宋体" w:cs="Calibri"/>
                <w:color w:val="auto"/>
                <w:highlight w:val="none"/>
                <w:lang w:val="en-US" w:eastAsia="zh-CN"/>
              </w:rPr>
              <w:t>见“3.6保安服务”“3.3</w:t>
            </w:r>
            <w:r>
              <w:rPr>
                <w:rFonts w:hint="eastAsia" w:cs="Calibri"/>
                <w:color w:val="auto"/>
                <w:highlight w:val="none"/>
                <w:lang w:val="en-US" w:eastAsia="zh-CN"/>
              </w:rPr>
              <w:t>公用设施</w:t>
            </w:r>
            <w:r>
              <w:rPr>
                <w:rFonts w:hint="eastAsia" w:ascii="Calibri" w:hAnsi="Calibri" w:eastAsia="宋体" w:cs="Calibri"/>
                <w:color w:val="auto"/>
                <w:highlight w:val="none"/>
                <w:lang w:val="en-US" w:eastAsia="zh-CN"/>
              </w:rPr>
              <w:t>设备维护服务”</w:t>
            </w:r>
          </w:p>
        </w:tc>
      </w:tr>
      <w:tr w14:paraId="6FFCB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vMerge w:val="continue"/>
            <w:noWrap w:val="0"/>
            <w:vAlign w:val="center"/>
          </w:tcPr>
          <w:p w14:paraId="5129B939">
            <w:pPr>
              <w:pageBreakBefore w:val="0"/>
              <w:kinsoku/>
              <w:wordWrap/>
              <w:overflowPunct/>
              <w:topLinePunct w:val="0"/>
              <w:bidi w:val="0"/>
              <w:snapToGrid w:val="0"/>
              <w:spacing w:line="300" w:lineRule="auto"/>
              <w:ind w:left="0" w:firstLine="0" w:firstLineChars="0"/>
              <w:jc w:val="both"/>
              <w:rPr>
                <w:rFonts w:hint="default" w:ascii="Calibri" w:hAnsi="Calibri" w:eastAsia="宋体" w:cs="Calibri"/>
                <w:color w:val="auto"/>
                <w:szCs w:val="21"/>
                <w:highlight w:val="none"/>
              </w:rPr>
            </w:pPr>
          </w:p>
        </w:tc>
        <w:tc>
          <w:tcPr>
            <w:tcW w:w="2440" w:type="dxa"/>
            <w:noWrap w:val="0"/>
            <w:vAlign w:val="center"/>
          </w:tcPr>
          <w:p w14:paraId="3B47A6A9">
            <w:pPr>
              <w:pageBreakBefore w:val="0"/>
              <w:kinsoku/>
              <w:wordWrap/>
              <w:overflowPunct/>
              <w:topLinePunct w:val="0"/>
              <w:bidi w:val="0"/>
              <w:snapToGrid w:val="0"/>
              <w:spacing w:line="300" w:lineRule="auto"/>
              <w:rPr>
                <w:rFonts w:hint="default" w:ascii="Calibri" w:hAnsi="Calibri" w:eastAsia="宋体" w:cs="Calibri"/>
                <w:kern w:val="2"/>
                <w:sz w:val="21"/>
                <w:szCs w:val="21"/>
                <w:highlight w:val="none"/>
                <w:lang w:val="en-US" w:eastAsia="zh-CN" w:bidi="ar-SA"/>
              </w:rPr>
            </w:pPr>
            <w:r>
              <w:rPr>
                <w:rFonts w:hint="default" w:ascii="Calibri" w:hAnsi="Calibri" w:cs="Calibri"/>
                <w:highlight w:val="none"/>
              </w:rPr>
              <w:t>安防系统</w:t>
            </w:r>
          </w:p>
        </w:tc>
        <w:tc>
          <w:tcPr>
            <w:tcW w:w="6761" w:type="dxa"/>
            <w:noWrap w:val="0"/>
            <w:vAlign w:val="center"/>
          </w:tcPr>
          <w:p w14:paraId="2EC39D62">
            <w:pPr>
              <w:pageBreakBefore w:val="0"/>
              <w:kinsoku/>
              <w:wordWrap/>
              <w:overflowPunct/>
              <w:topLinePunct w:val="0"/>
              <w:bidi w:val="0"/>
              <w:snapToGrid w:val="0"/>
              <w:spacing w:line="300" w:lineRule="auto"/>
              <w:rPr>
                <w:rFonts w:hint="eastAsia" w:ascii="Calibri" w:hAnsi="Calibri" w:eastAsia="宋体" w:cs="Calibri"/>
                <w:kern w:val="2"/>
                <w:sz w:val="21"/>
                <w:szCs w:val="21"/>
                <w:highlight w:val="none"/>
                <w:lang w:val="en-US" w:eastAsia="zh-CN" w:bidi="ar-SA"/>
              </w:rPr>
            </w:pPr>
            <w:r>
              <w:rPr>
                <w:rFonts w:hint="eastAsia" w:ascii="楷体" w:hAnsi="楷体" w:eastAsia="楷体" w:cs="楷体"/>
                <w:highlight w:val="none"/>
                <w:lang w:val="en-US" w:eastAsia="zh-CN"/>
              </w:rPr>
              <w:t>1个</w:t>
            </w:r>
          </w:p>
        </w:tc>
        <w:tc>
          <w:tcPr>
            <w:tcW w:w="4186" w:type="dxa"/>
            <w:noWrap w:val="0"/>
            <w:vAlign w:val="center"/>
          </w:tcPr>
          <w:p w14:paraId="515ADA92">
            <w:pPr>
              <w:pageBreakBefore w:val="0"/>
              <w:kinsoku/>
              <w:wordWrap/>
              <w:overflowPunct/>
              <w:topLinePunct w:val="0"/>
              <w:bidi w:val="0"/>
              <w:snapToGrid w:val="0"/>
              <w:spacing w:line="300" w:lineRule="auto"/>
              <w:rPr>
                <w:rFonts w:hint="eastAsia" w:ascii="Calibri" w:hAnsi="Calibri" w:eastAsia="宋体" w:cs="Calibri"/>
                <w:color w:val="auto"/>
                <w:highlight w:val="none"/>
                <w:lang w:val="en-US" w:eastAsia="zh-CN"/>
              </w:rPr>
            </w:pPr>
            <w:r>
              <w:rPr>
                <w:rFonts w:hint="eastAsia" w:ascii="Calibri" w:hAnsi="Calibri" w:eastAsia="宋体" w:cs="Calibri"/>
                <w:color w:val="auto"/>
                <w:highlight w:val="none"/>
                <w:lang w:val="en-US" w:eastAsia="zh-CN"/>
              </w:rPr>
              <w:t>见“3.6保安服务”“3.3</w:t>
            </w:r>
            <w:r>
              <w:rPr>
                <w:rFonts w:hint="eastAsia" w:cs="Calibri"/>
                <w:color w:val="auto"/>
                <w:highlight w:val="none"/>
                <w:lang w:val="en-US" w:eastAsia="zh-CN"/>
              </w:rPr>
              <w:t>公用设施</w:t>
            </w:r>
            <w:r>
              <w:rPr>
                <w:rFonts w:hint="eastAsia" w:ascii="Calibri" w:hAnsi="Calibri" w:eastAsia="宋体" w:cs="Calibri"/>
                <w:color w:val="auto"/>
                <w:highlight w:val="none"/>
                <w:lang w:val="en-US" w:eastAsia="zh-CN"/>
              </w:rPr>
              <w:t>设备维护服务”</w:t>
            </w:r>
          </w:p>
        </w:tc>
      </w:tr>
    </w:tbl>
    <w:p w14:paraId="7A03A4F6">
      <w:pPr>
        <w:pageBreakBefore w:val="0"/>
        <w:widowControl/>
        <w:kinsoku/>
        <w:wordWrap/>
        <w:overflowPunct/>
        <w:topLinePunct w:val="0"/>
        <w:bidi w:val="0"/>
        <w:snapToGrid w:val="0"/>
        <w:spacing w:line="300" w:lineRule="auto"/>
        <w:ind w:left="0" w:firstLine="420" w:firstLineChars="200"/>
        <w:jc w:val="left"/>
        <w:rPr>
          <w:rFonts w:hint="default" w:ascii="楷体" w:hAnsi="楷体" w:eastAsia="楷体" w:cs="楷体"/>
          <w:color w:val="auto"/>
          <w:kern w:val="2"/>
          <w:sz w:val="21"/>
          <w:szCs w:val="21"/>
          <w:highlight w:val="none"/>
          <w:u w:val="none"/>
          <w:lang w:val="en-US" w:eastAsia="zh-CN" w:bidi="ar-SA"/>
        </w:rPr>
      </w:pPr>
      <w:r>
        <w:rPr>
          <w:rFonts w:hint="default" w:ascii="楷体" w:hAnsi="楷体" w:eastAsia="楷体" w:cs="楷体"/>
          <w:color w:val="auto"/>
          <w:kern w:val="2"/>
          <w:sz w:val="21"/>
          <w:szCs w:val="21"/>
          <w:highlight w:val="none"/>
          <w:u w:val="none"/>
          <w:lang w:val="en-US" w:eastAsia="zh-CN" w:bidi="ar-SA"/>
        </w:rPr>
        <w:t>注：此表格详细列出了</w:t>
      </w:r>
      <w:r>
        <w:rPr>
          <w:rFonts w:hint="eastAsia" w:ascii="楷体" w:hAnsi="楷体" w:eastAsia="楷体" w:cs="楷体"/>
          <w:color w:val="auto"/>
          <w:kern w:val="2"/>
          <w:sz w:val="21"/>
          <w:szCs w:val="21"/>
          <w:highlight w:val="none"/>
          <w:u w:val="none"/>
          <w:lang w:val="en-US" w:eastAsia="zh-CN" w:bidi="ar-SA"/>
        </w:rPr>
        <w:t>不同建筑物</w:t>
      </w:r>
      <w:r>
        <w:rPr>
          <w:rFonts w:hint="default" w:ascii="楷体" w:hAnsi="楷体" w:eastAsia="楷体" w:cs="楷体"/>
          <w:color w:val="auto"/>
          <w:kern w:val="2"/>
          <w:sz w:val="21"/>
          <w:szCs w:val="21"/>
          <w:highlight w:val="none"/>
          <w:u w:val="none"/>
          <w:lang w:val="en-US" w:eastAsia="zh-CN" w:bidi="ar-SA"/>
        </w:rPr>
        <w:t>的物业管理指标项及其明细。若存在</w:t>
      </w:r>
      <w:r>
        <w:rPr>
          <w:rFonts w:hint="eastAsia" w:ascii="楷体" w:hAnsi="楷体" w:eastAsia="楷体" w:cs="楷体"/>
          <w:color w:val="auto"/>
          <w:kern w:val="2"/>
          <w:sz w:val="21"/>
          <w:szCs w:val="21"/>
          <w:highlight w:val="none"/>
          <w:u w:val="none"/>
          <w:lang w:val="en-US" w:eastAsia="zh-CN" w:bidi="ar-SA"/>
        </w:rPr>
        <w:t>“建筑2”</w:t>
      </w:r>
      <w:r>
        <w:rPr>
          <w:rFonts w:hint="default" w:ascii="楷体" w:hAnsi="楷体" w:eastAsia="楷体" w:cs="楷体"/>
          <w:color w:val="auto"/>
          <w:kern w:val="2"/>
          <w:sz w:val="21"/>
          <w:szCs w:val="21"/>
          <w:highlight w:val="none"/>
          <w:u w:val="none"/>
          <w:lang w:val="en-US" w:eastAsia="zh-CN" w:bidi="ar-SA"/>
        </w:rPr>
        <w:t>，则相应增加内容，以此类推。</w:t>
      </w:r>
    </w:p>
    <w:p w14:paraId="1C3D2CFF">
      <w:pPr>
        <w:pageBreakBefore w:val="0"/>
        <w:widowControl/>
        <w:kinsoku/>
        <w:wordWrap/>
        <w:overflowPunct/>
        <w:topLinePunct w:val="0"/>
        <w:bidi w:val="0"/>
        <w:snapToGrid w:val="0"/>
        <w:spacing w:line="300" w:lineRule="auto"/>
        <w:ind w:left="0" w:firstLine="840" w:firstLineChars="400"/>
        <w:jc w:val="left"/>
        <w:rPr>
          <w:rFonts w:hint="eastAsia"/>
          <w:highlight w:val="none"/>
          <w:lang w:val="en-US" w:eastAsia="zh-CN"/>
        </w:rPr>
      </w:pPr>
      <w:r>
        <w:rPr>
          <w:rFonts w:hint="eastAsia" w:ascii="楷体" w:hAnsi="楷体" w:eastAsia="楷体" w:cs="楷体"/>
          <w:color w:val="auto"/>
          <w:kern w:val="2"/>
          <w:sz w:val="21"/>
          <w:szCs w:val="21"/>
          <w:highlight w:val="none"/>
          <w:u w:val="none"/>
          <w:lang w:val="en-US" w:eastAsia="zh-CN" w:bidi="ar-SA"/>
        </w:rPr>
        <w:t>以上内容体现需要供应商进行物业管理的物业的情况、边界、范围。指标的设置要充分考虑可能影响供应商报价和项目实施风险的因素。</w:t>
      </w:r>
    </w:p>
    <w:p w14:paraId="472491BB">
      <w:pPr>
        <w:pStyle w:val="4"/>
        <w:bidi w:val="0"/>
        <w:rPr>
          <w:rFonts w:hint="eastAsia" w:ascii="宋体" w:hAnsi="宋体" w:eastAsia="宋体" w:cs="宋体"/>
          <w:b/>
          <w:bCs/>
          <w:color w:val="auto"/>
          <w:kern w:val="44"/>
          <w:sz w:val="28"/>
          <w:szCs w:val="28"/>
          <w:highlight w:val="none"/>
          <w:lang w:val="en-US" w:eastAsia="zh-CN" w:bidi="ar-SA"/>
        </w:rPr>
      </w:pPr>
      <w:r>
        <w:rPr>
          <w:rFonts w:hint="eastAsia" w:ascii="宋体" w:hAnsi="宋体" w:eastAsia="宋体" w:cs="宋体"/>
          <w:b/>
          <w:bCs/>
          <w:color w:val="auto"/>
          <w:kern w:val="44"/>
          <w:sz w:val="28"/>
          <w:szCs w:val="28"/>
          <w:highlight w:val="none"/>
          <w:lang w:val="en-US" w:eastAsia="zh-CN" w:bidi="ar-SA"/>
        </w:rPr>
        <w:t>物业管理（室外）</w:t>
      </w:r>
    </w:p>
    <w:tbl>
      <w:tblPr>
        <w:tblStyle w:val="32"/>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8"/>
        <w:gridCol w:w="3218"/>
        <w:gridCol w:w="3796"/>
      </w:tblGrid>
      <w:tr w14:paraId="211E4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noWrap w:val="0"/>
            <w:vAlign w:val="center"/>
          </w:tcPr>
          <w:p w14:paraId="7508DFA8">
            <w:pPr>
              <w:pageBreakBefore w:val="0"/>
              <w:kinsoku/>
              <w:wordWrap/>
              <w:overflowPunct/>
              <w:topLinePunct w:val="0"/>
              <w:bidi w:val="0"/>
              <w:snapToGrid w:val="0"/>
              <w:spacing w:line="300" w:lineRule="auto"/>
              <w:jc w:val="center"/>
              <w:rPr>
                <w:rFonts w:hint="eastAsia" w:ascii="Calibri" w:hAnsi="Calibri" w:eastAsia="宋体" w:cs="Calibri"/>
                <w:b/>
                <w:bCs/>
                <w:color w:val="auto"/>
                <w:kern w:val="2"/>
                <w:sz w:val="21"/>
                <w:szCs w:val="21"/>
                <w:highlight w:val="none"/>
                <w:lang w:val="en-US" w:eastAsia="zh-CN" w:bidi="ar-SA"/>
              </w:rPr>
            </w:pPr>
            <w:r>
              <w:rPr>
                <w:rFonts w:hint="eastAsia" w:ascii="Calibri" w:hAnsi="Calibri" w:cs="Calibri"/>
                <w:b/>
                <w:bCs/>
                <w:highlight w:val="none"/>
                <w:lang w:val="en-US" w:eastAsia="zh-CN"/>
              </w:rPr>
              <w:t>名称</w:t>
            </w:r>
          </w:p>
        </w:tc>
        <w:tc>
          <w:tcPr>
            <w:tcW w:w="5295" w:type="dxa"/>
            <w:noWrap w:val="0"/>
            <w:vAlign w:val="center"/>
          </w:tcPr>
          <w:p w14:paraId="02A31D19">
            <w:pPr>
              <w:pageBreakBefore w:val="0"/>
              <w:kinsoku/>
              <w:wordWrap/>
              <w:overflowPunct/>
              <w:topLinePunct w:val="0"/>
              <w:bidi w:val="0"/>
              <w:snapToGrid w:val="0"/>
              <w:spacing w:line="300" w:lineRule="auto"/>
              <w:jc w:val="center"/>
              <w:rPr>
                <w:rFonts w:hint="eastAsia" w:ascii="Calibri" w:hAnsi="Calibri" w:eastAsia="宋体" w:cs="Calibri"/>
                <w:b/>
                <w:bCs/>
                <w:color w:val="auto"/>
                <w:kern w:val="2"/>
                <w:sz w:val="21"/>
                <w:szCs w:val="21"/>
                <w:highlight w:val="none"/>
                <w:lang w:val="en-US" w:eastAsia="zh-CN" w:bidi="ar-SA"/>
              </w:rPr>
            </w:pPr>
            <w:r>
              <w:rPr>
                <w:rFonts w:hint="default" w:ascii="Calibri" w:hAnsi="Calibri" w:cs="Calibri"/>
                <w:b/>
                <w:bCs/>
                <w:highlight w:val="none"/>
              </w:rPr>
              <w:t>明细</w:t>
            </w:r>
          </w:p>
        </w:tc>
        <w:tc>
          <w:tcPr>
            <w:tcW w:w="6624" w:type="dxa"/>
            <w:noWrap w:val="0"/>
            <w:vAlign w:val="center"/>
          </w:tcPr>
          <w:p w14:paraId="7FABE354">
            <w:pPr>
              <w:pageBreakBefore w:val="0"/>
              <w:kinsoku/>
              <w:wordWrap/>
              <w:overflowPunct/>
              <w:topLinePunct w:val="0"/>
              <w:bidi w:val="0"/>
              <w:snapToGrid w:val="0"/>
              <w:spacing w:line="300" w:lineRule="auto"/>
              <w:jc w:val="center"/>
              <w:rPr>
                <w:rFonts w:hint="default" w:ascii="Calibri" w:hAnsi="Calibri" w:cs="Calibri"/>
                <w:b/>
                <w:bCs/>
                <w:highlight w:val="none"/>
              </w:rPr>
            </w:pPr>
            <w:r>
              <w:rPr>
                <w:rFonts w:hint="eastAsia" w:cs="Calibri"/>
                <w:b/>
                <w:bCs/>
                <w:highlight w:val="none"/>
                <w:lang w:val="en-US" w:eastAsia="zh-CN"/>
              </w:rPr>
              <w:t>服务内容及标准</w:t>
            </w:r>
          </w:p>
        </w:tc>
      </w:tr>
      <w:tr w14:paraId="5A984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noWrap w:val="0"/>
            <w:vAlign w:val="center"/>
          </w:tcPr>
          <w:p w14:paraId="7C069B81">
            <w:pPr>
              <w:jc w:val="both"/>
              <w:rPr>
                <w:rFonts w:hint="default"/>
                <w:highlight w:val="none"/>
                <w:vertAlign w:val="baseline"/>
                <w:lang w:val="en-US" w:eastAsia="zh-CN"/>
              </w:rPr>
            </w:pPr>
            <w:r>
              <w:rPr>
                <w:rFonts w:hint="eastAsia"/>
                <w:highlight w:val="none"/>
                <w:vertAlign w:val="baseline"/>
                <w:lang w:val="en-US" w:eastAsia="zh-CN"/>
              </w:rPr>
              <w:t>室外面积</w:t>
            </w:r>
          </w:p>
        </w:tc>
        <w:tc>
          <w:tcPr>
            <w:tcW w:w="5295" w:type="dxa"/>
            <w:noWrap w:val="0"/>
            <w:vAlign w:val="center"/>
          </w:tcPr>
          <w:p w14:paraId="7C635513">
            <w:pPr>
              <w:jc w:val="both"/>
              <w:rPr>
                <w:rFonts w:hint="default"/>
                <w:highlight w:val="none"/>
                <w:vertAlign w:val="baseline"/>
                <w:lang w:val="en-US" w:eastAsia="zh-CN"/>
              </w:rPr>
            </w:pPr>
            <w:r>
              <w:rPr>
                <w:rFonts w:hint="eastAsia"/>
                <w:highlight w:val="none"/>
                <w:vertAlign w:val="baseline"/>
                <w:lang w:val="en-US" w:eastAsia="zh-CN"/>
              </w:rPr>
              <w:t>27732.15</w:t>
            </w:r>
            <w:r>
              <w:rPr>
                <w:rFonts w:hint="default" w:ascii="Calibri" w:hAnsi="Calibri" w:cs="Calibri"/>
                <w:highlight w:val="none"/>
              </w:rPr>
              <w:t>㎡</w:t>
            </w:r>
          </w:p>
        </w:tc>
        <w:tc>
          <w:tcPr>
            <w:tcW w:w="6624" w:type="dxa"/>
            <w:noWrap w:val="0"/>
            <w:vAlign w:val="center"/>
          </w:tcPr>
          <w:p w14:paraId="096071CD">
            <w:pPr>
              <w:jc w:val="both"/>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见“3.4保洁服务”</w:t>
            </w:r>
            <w:r>
              <w:rPr>
                <w:rFonts w:hint="eastAsia" w:ascii="Calibri" w:hAnsi="Calibri" w:eastAsia="宋体" w:cs="Calibri"/>
                <w:color w:val="auto"/>
                <w:highlight w:val="none"/>
                <w:lang w:val="en-US" w:eastAsia="zh-CN"/>
              </w:rPr>
              <w:t>“3.6保安服务”</w:t>
            </w:r>
          </w:p>
        </w:tc>
      </w:tr>
      <w:tr w14:paraId="148D3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noWrap w:val="0"/>
            <w:vAlign w:val="center"/>
          </w:tcPr>
          <w:p w14:paraId="0348DF3C">
            <w:pPr>
              <w:jc w:val="both"/>
              <w:rPr>
                <w:rFonts w:hint="eastAsia"/>
                <w:highlight w:val="none"/>
                <w:vertAlign w:val="baseline"/>
                <w:lang w:val="en-US" w:eastAsia="zh-CN"/>
              </w:rPr>
            </w:pPr>
            <w:r>
              <w:rPr>
                <w:rFonts w:hint="default" w:ascii="Calibri" w:hAnsi="Calibri" w:cs="Calibri"/>
                <w:highlight w:val="none"/>
              </w:rPr>
              <w:t>绿化</w:t>
            </w:r>
          </w:p>
        </w:tc>
        <w:tc>
          <w:tcPr>
            <w:tcW w:w="5295" w:type="dxa"/>
            <w:noWrap w:val="0"/>
            <w:vAlign w:val="center"/>
          </w:tcPr>
          <w:p w14:paraId="23769816">
            <w:pPr>
              <w:jc w:val="both"/>
              <w:rPr>
                <w:rFonts w:hint="eastAsia"/>
                <w:highlight w:val="none"/>
                <w:vertAlign w:val="baseline"/>
                <w:lang w:val="en-US" w:eastAsia="zh-CN"/>
              </w:rPr>
            </w:pPr>
            <w:r>
              <w:rPr>
                <w:rFonts w:hint="eastAsia" w:ascii="楷体" w:hAnsi="楷体" w:eastAsia="楷体" w:cs="楷体"/>
                <w:highlight w:val="none"/>
                <w:lang w:val="en-US" w:eastAsia="zh-CN"/>
              </w:rPr>
              <w:t>9919.0487</w:t>
            </w:r>
            <w:r>
              <w:rPr>
                <w:rFonts w:hint="default" w:ascii="Calibri" w:hAnsi="Calibri" w:cs="Calibri"/>
                <w:highlight w:val="none"/>
              </w:rPr>
              <w:t>㎡</w:t>
            </w:r>
          </w:p>
        </w:tc>
        <w:tc>
          <w:tcPr>
            <w:tcW w:w="6624" w:type="dxa"/>
            <w:noWrap w:val="0"/>
            <w:vAlign w:val="center"/>
          </w:tcPr>
          <w:p w14:paraId="08D013A5">
            <w:pPr>
              <w:jc w:val="both"/>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见“3.4保洁服务”“3.5绿化服务”</w:t>
            </w:r>
          </w:p>
        </w:tc>
      </w:tr>
      <w:tr w14:paraId="5DCC4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noWrap w:val="0"/>
            <w:vAlign w:val="center"/>
          </w:tcPr>
          <w:p w14:paraId="191E187A">
            <w:pPr>
              <w:jc w:val="both"/>
              <w:rPr>
                <w:rFonts w:hint="default"/>
                <w:highlight w:val="none"/>
                <w:vertAlign w:val="baseline"/>
                <w:lang w:val="en-US" w:eastAsia="zh-CN"/>
              </w:rPr>
            </w:pPr>
            <w:r>
              <w:rPr>
                <w:rFonts w:hint="eastAsia"/>
                <w:highlight w:val="none"/>
                <w:vertAlign w:val="baseline"/>
                <w:lang w:val="en-US" w:eastAsia="zh-CN"/>
              </w:rPr>
              <w:t>广场</w:t>
            </w:r>
          </w:p>
        </w:tc>
        <w:tc>
          <w:tcPr>
            <w:tcW w:w="5295" w:type="dxa"/>
            <w:noWrap w:val="0"/>
            <w:vAlign w:val="center"/>
          </w:tcPr>
          <w:p w14:paraId="42101934">
            <w:pPr>
              <w:jc w:val="both"/>
              <w:rPr>
                <w:rFonts w:hint="default"/>
                <w:highlight w:val="none"/>
                <w:vertAlign w:val="baseline"/>
                <w:lang w:val="en-US" w:eastAsia="zh-CN"/>
              </w:rPr>
            </w:pPr>
            <w:r>
              <w:rPr>
                <w:rFonts w:hint="eastAsia"/>
                <w:highlight w:val="none"/>
                <w:vertAlign w:val="baseline"/>
                <w:lang w:val="en-US" w:eastAsia="zh-CN"/>
              </w:rPr>
              <w:t>19221.63</w:t>
            </w:r>
            <w:r>
              <w:rPr>
                <w:rFonts w:hint="default" w:ascii="Calibri" w:hAnsi="Calibri" w:cs="Calibri"/>
                <w:highlight w:val="none"/>
              </w:rPr>
              <w:t>㎡</w:t>
            </w:r>
          </w:p>
        </w:tc>
        <w:tc>
          <w:tcPr>
            <w:tcW w:w="6624" w:type="dxa"/>
            <w:noWrap w:val="0"/>
            <w:vAlign w:val="center"/>
          </w:tcPr>
          <w:p w14:paraId="70BC11BD">
            <w:pPr>
              <w:jc w:val="both"/>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见“3.4保洁服务”</w:t>
            </w:r>
            <w:r>
              <w:rPr>
                <w:rFonts w:hint="eastAsia" w:ascii="Calibri" w:hAnsi="Calibri" w:eastAsia="宋体" w:cs="Calibri"/>
                <w:color w:val="auto"/>
                <w:highlight w:val="none"/>
                <w:lang w:val="en-US" w:eastAsia="zh-CN"/>
              </w:rPr>
              <w:t>“3.6保安服务”</w:t>
            </w:r>
          </w:p>
        </w:tc>
      </w:tr>
      <w:tr w14:paraId="67C2F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noWrap w:val="0"/>
            <w:vAlign w:val="center"/>
          </w:tcPr>
          <w:p w14:paraId="3044B755">
            <w:pPr>
              <w:jc w:val="both"/>
              <w:rPr>
                <w:rFonts w:hint="default"/>
                <w:highlight w:val="none"/>
                <w:vertAlign w:val="baseline"/>
                <w:lang w:val="en-US" w:eastAsia="zh-CN"/>
              </w:rPr>
            </w:pPr>
            <w:r>
              <w:rPr>
                <w:rFonts w:hint="eastAsia"/>
                <w:highlight w:val="none"/>
                <w:vertAlign w:val="baseline"/>
                <w:lang w:val="en-US" w:eastAsia="zh-CN"/>
              </w:rPr>
              <w:t>垃圾箱</w:t>
            </w:r>
          </w:p>
        </w:tc>
        <w:tc>
          <w:tcPr>
            <w:tcW w:w="5295" w:type="dxa"/>
            <w:noWrap w:val="0"/>
            <w:vAlign w:val="center"/>
          </w:tcPr>
          <w:p w14:paraId="7294728E">
            <w:pPr>
              <w:jc w:val="both"/>
              <w:rPr>
                <w:rFonts w:hint="default"/>
                <w:highlight w:val="none"/>
                <w:vertAlign w:val="baseline"/>
                <w:lang w:val="en-US" w:eastAsia="zh-CN"/>
              </w:rPr>
            </w:pPr>
            <w:r>
              <w:rPr>
                <w:rFonts w:hint="eastAsia" w:ascii="楷体" w:hAnsi="楷体" w:eastAsia="楷体" w:cs="楷体"/>
                <w:highlight w:val="none"/>
                <w:lang w:val="en-US" w:eastAsia="zh-CN"/>
              </w:rPr>
              <w:t>30个</w:t>
            </w:r>
          </w:p>
        </w:tc>
        <w:tc>
          <w:tcPr>
            <w:tcW w:w="6624" w:type="dxa"/>
            <w:noWrap w:val="0"/>
            <w:vAlign w:val="center"/>
          </w:tcPr>
          <w:p w14:paraId="2488F56B">
            <w:pPr>
              <w:jc w:val="both"/>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见“3.4保洁服务”</w:t>
            </w:r>
          </w:p>
        </w:tc>
      </w:tr>
      <w:tr w14:paraId="71988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noWrap w:val="0"/>
            <w:vAlign w:val="center"/>
          </w:tcPr>
          <w:p w14:paraId="0EF32B00">
            <w:pPr>
              <w:jc w:val="both"/>
              <w:rPr>
                <w:rFonts w:hint="default"/>
                <w:highlight w:val="none"/>
                <w:vertAlign w:val="baseline"/>
                <w:lang w:val="en-US" w:eastAsia="zh-CN"/>
              </w:rPr>
            </w:pPr>
            <w:r>
              <w:rPr>
                <w:rFonts w:hint="eastAsia"/>
                <w:highlight w:val="none"/>
                <w:vertAlign w:val="baseline"/>
                <w:lang w:val="en-US" w:eastAsia="zh-CN"/>
              </w:rPr>
              <w:t>监控</w:t>
            </w:r>
          </w:p>
        </w:tc>
        <w:tc>
          <w:tcPr>
            <w:tcW w:w="5295" w:type="dxa"/>
            <w:noWrap w:val="0"/>
            <w:vAlign w:val="center"/>
          </w:tcPr>
          <w:p w14:paraId="2BCD31B6">
            <w:pPr>
              <w:jc w:val="both"/>
              <w:rPr>
                <w:rFonts w:hint="default"/>
                <w:highlight w:val="none"/>
                <w:vertAlign w:val="baseline"/>
                <w:lang w:val="en-US" w:eastAsia="zh-CN"/>
              </w:rPr>
            </w:pPr>
            <w:r>
              <w:rPr>
                <w:rFonts w:hint="eastAsia" w:ascii="楷体" w:hAnsi="楷体" w:eastAsia="楷体" w:cs="楷体"/>
                <w:highlight w:val="none"/>
                <w:lang w:val="en-US" w:eastAsia="zh-CN"/>
              </w:rPr>
              <w:t>249个</w:t>
            </w:r>
          </w:p>
        </w:tc>
        <w:tc>
          <w:tcPr>
            <w:tcW w:w="6624" w:type="dxa"/>
            <w:noWrap w:val="0"/>
            <w:vAlign w:val="center"/>
          </w:tcPr>
          <w:p w14:paraId="7B38BFC5">
            <w:pPr>
              <w:jc w:val="both"/>
              <w:rPr>
                <w:rFonts w:hint="eastAsia" w:ascii="Calibri" w:hAnsi="Calibri" w:eastAsia="宋体" w:cs="Calibri"/>
                <w:color w:val="auto"/>
                <w:highlight w:val="none"/>
                <w:lang w:val="en-US" w:eastAsia="zh-CN"/>
              </w:rPr>
            </w:pPr>
            <w:r>
              <w:rPr>
                <w:rFonts w:hint="eastAsia" w:eastAsia="宋体" w:cs="Calibri"/>
                <w:color w:val="auto"/>
                <w:kern w:val="2"/>
                <w:sz w:val="21"/>
                <w:szCs w:val="21"/>
                <w:highlight w:val="none"/>
                <w:lang w:val="en-US" w:eastAsia="zh-CN" w:bidi="ar-SA"/>
              </w:rPr>
              <w:t>见“3.4保洁服务”</w:t>
            </w:r>
            <w:r>
              <w:rPr>
                <w:rFonts w:hint="eastAsia" w:ascii="Calibri" w:hAnsi="Calibri" w:eastAsia="宋体" w:cs="Calibri"/>
                <w:color w:val="auto"/>
                <w:highlight w:val="none"/>
                <w:lang w:val="en-US" w:eastAsia="zh-CN"/>
              </w:rPr>
              <w:t>“3.3</w:t>
            </w:r>
            <w:r>
              <w:rPr>
                <w:rFonts w:hint="eastAsia" w:cs="Calibri"/>
                <w:color w:val="auto"/>
                <w:highlight w:val="none"/>
                <w:lang w:val="en-US" w:eastAsia="zh-CN"/>
              </w:rPr>
              <w:t>公用设施</w:t>
            </w:r>
            <w:r>
              <w:rPr>
                <w:rFonts w:hint="eastAsia" w:ascii="Calibri" w:hAnsi="Calibri" w:eastAsia="宋体" w:cs="Calibri"/>
                <w:color w:val="auto"/>
                <w:highlight w:val="none"/>
                <w:lang w:val="en-US" w:eastAsia="zh-CN"/>
              </w:rPr>
              <w:t>设备维护服务”</w:t>
            </w:r>
          </w:p>
        </w:tc>
      </w:tr>
    </w:tbl>
    <w:p w14:paraId="386EFBE4">
      <w:pPr>
        <w:pStyle w:val="4"/>
        <w:bidi w:val="0"/>
        <w:rPr>
          <w:rFonts w:hint="default" w:ascii="宋体" w:hAnsi="宋体" w:eastAsia="宋体" w:cs="宋体"/>
          <w:b/>
          <w:bCs/>
          <w:color w:val="auto"/>
          <w:kern w:val="44"/>
          <w:sz w:val="28"/>
          <w:szCs w:val="28"/>
          <w:highlight w:val="none"/>
          <w:lang w:val="en-US" w:eastAsia="zh-CN" w:bidi="ar-SA"/>
        </w:rPr>
      </w:pPr>
      <w:r>
        <w:rPr>
          <w:rFonts w:hint="eastAsia" w:ascii="宋体" w:hAnsi="宋体" w:eastAsia="宋体" w:cs="宋体"/>
          <w:b/>
          <w:bCs/>
          <w:color w:val="auto"/>
          <w:kern w:val="44"/>
          <w:sz w:val="28"/>
          <w:szCs w:val="28"/>
          <w:highlight w:val="none"/>
          <w:lang w:val="en-US" w:eastAsia="zh-CN" w:bidi="ar-SA"/>
        </w:rPr>
        <w:t>3.物业管理服务内容及标准</w:t>
      </w:r>
    </w:p>
    <w:p w14:paraId="77E3673D">
      <w:pPr>
        <w:pageBreakBefore w:val="0"/>
        <w:kinsoku/>
        <w:wordWrap/>
        <w:overflowPunct/>
        <w:topLinePunct w:val="0"/>
        <w:bidi w:val="0"/>
        <w:snapToGrid w:val="0"/>
        <w:spacing w:line="300" w:lineRule="auto"/>
        <w:ind w:firstLine="420" w:firstLineChars="200"/>
        <w:outlineLvl w:val="9"/>
        <w:rPr>
          <w:rFonts w:hint="eastAsia" w:eastAsia="宋体" w:cs="Calibri"/>
          <w:color w:val="auto"/>
          <w:kern w:val="2"/>
          <w:sz w:val="21"/>
          <w:szCs w:val="21"/>
          <w:highlight w:val="none"/>
          <w:u w:val="none"/>
          <w:lang w:val="en-US" w:eastAsia="zh-CN" w:bidi="ar-SA"/>
        </w:rPr>
      </w:pPr>
    </w:p>
    <w:p w14:paraId="45066CA0">
      <w:pPr>
        <w:pageBreakBefore w:val="0"/>
        <w:kinsoku/>
        <w:wordWrap/>
        <w:overflowPunct/>
        <w:topLinePunct w:val="0"/>
        <w:bidi w:val="0"/>
        <w:snapToGrid w:val="0"/>
        <w:spacing w:line="300" w:lineRule="auto"/>
        <w:ind w:firstLine="420" w:firstLineChars="200"/>
        <w:outlineLvl w:val="9"/>
        <w:rPr>
          <w:rFonts w:hint="default" w:ascii="Calibri" w:hAnsi="Calibri" w:eastAsia="宋体" w:cs="Calibri"/>
          <w:color w:val="auto"/>
          <w:kern w:val="2"/>
          <w:sz w:val="21"/>
          <w:szCs w:val="21"/>
          <w:highlight w:val="none"/>
          <w:u w:val="none"/>
          <w:lang w:val="en-US" w:eastAsia="zh-CN" w:bidi="ar-SA"/>
        </w:rPr>
      </w:pPr>
      <w:r>
        <w:rPr>
          <w:rFonts w:hint="eastAsia" w:eastAsia="宋体" w:cs="Calibri"/>
          <w:color w:val="auto"/>
          <w:kern w:val="2"/>
          <w:sz w:val="21"/>
          <w:szCs w:val="21"/>
          <w:highlight w:val="none"/>
          <w:u w:val="none"/>
          <w:lang w:val="en-US" w:eastAsia="zh-CN" w:bidi="ar-SA"/>
        </w:rPr>
        <w:t>物业管理服务包括基本服务、房屋维护服务、</w:t>
      </w:r>
      <w:r>
        <w:rPr>
          <w:rFonts w:hint="eastAsia" w:cs="Calibri"/>
          <w:color w:val="auto"/>
          <w:kern w:val="2"/>
          <w:sz w:val="21"/>
          <w:szCs w:val="21"/>
          <w:highlight w:val="none"/>
          <w:u w:val="none"/>
          <w:lang w:val="en-US" w:eastAsia="zh-CN" w:bidi="ar-SA"/>
        </w:rPr>
        <w:t>公用设施</w:t>
      </w:r>
      <w:r>
        <w:rPr>
          <w:rFonts w:hint="eastAsia" w:eastAsia="宋体" w:cs="Calibri"/>
          <w:color w:val="auto"/>
          <w:kern w:val="2"/>
          <w:sz w:val="21"/>
          <w:szCs w:val="21"/>
          <w:highlight w:val="none"/>
          <w:u w:val="none"/>
          <w:lang w:val="en-US" w:eastAsia="zh-CN" w:bidi="ar-SA"/>
        </w:rPr>
        <w:t>设备维护服务、保洁服务、绿化服务、保安服务、会议服务等。</w:t>
      </w:r>
    </w:p>
    <w:p w14:paraId="2ECB18D9">
      <w:pPr>
        <w:pStyle w:val="4"/>
        <w:bidi w:val="0"/>
        <w:rPr>
          <w:rFonts w:hint="eastAsia" w:ascii="宋体" w:hAnsi="宋体" w:eastAsia="宋体" w:cs="宋体"/>
          <w:b/>
          <w:bCs/>
          <w:color w:val="auto"/>
          <w:kern w:val="44"/>
          <w:sz w:val="28"/>
          <w:szCs w:val="28"/>
          <w:highlight w:val="none"/>
          <w:lang w:val="en-US" w:eastAsia="zh-CN" w:bidi="ar-SA"/>
        </w:rPr>
      </w:pPr>
      <w:r>
        <w:rPr>
          <w:rFonts w:hint="eastAsia" w:ascii="宋体" w:hAnsi="宋体" w:eastAsia="宋体" w:cs="宋体"/>
          <w:b/>
          <w:bCs/>
          <w:color w:val="auto"/>
          <w:kern w:val="44"/>
          <w:sz w:val="28"/>
          <w:szCs w:val="28"/>
          <w:highlight w:val="none"/>
          <w:lang w:val="en-US" w:eastAsia="zh-CN" w:bidi="ar-SA"/>
        </w:rPr>
        <w:t>3.1基本服务</w:t>
      </w:r>
    </w:p>
    <w:tbl>
      <w:tblPr>
        <w:tblStyle w:val="32"/>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30"/>
        <w:gridCol w:w="5862"/>
      </w:tblGrid>
      <w:tr w14:paraId="2B5ED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noWrap w:val="0"/>
            <w:vAlign w:val="center"/>
          </w:tcPr>
          <w:p w14:paraId="03D8BE5D">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Cs w:val="21"/>
                <w:highlight w:val="none"/>
                <w:lang w:val="en-US" w:eastAsia="zh-CN"/>
              </w:rPr>
            </w:pPr>
            <w:r>
              <w:rPr>
                <w:rFonts w:hint="default" w:ascii="Calibri" w:hAnsi="Calibri" w:cs="Calibri"/>
                <w:b/>
                <w:bCs/>
                <w:color w:val="auto"/>
                <w:kern w:val="0"/>
                <w:szCs w:val="21"/>
                <w:highlight w:val="none"/>
                <w:lang w:val="en-US" w:eastAsia="zh-CN"/>
              </w:rPr>
              <w:t>序号</w:t>
            </w:r>
          </w:p>
        </w:tc>
        <w:tc>
          <w:tcPr>
            <w:tcW w:w="3297" w:type="dxa"/>
            <w:noWrap w:val="0"/>
            <w:vAlign w:val="center"/>
          </w:tcPr>
          <w:p w14:paraId="4FF6319D">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Cs w:val="21"/>
                <w:highlight w:val="none"/>
              </w:rPr>
            </w:pPr>
            <w:r>
              <w:rPr>
                <w:rFonts w:hint="default" w:ascii="Calibri" w:hAnsi="Calibri" w:eastAsia="宋体" w:cs="Calibri"/>
                <w:b/>
                <w:bCs/>
                <w:color w:val="auto"/>
                <w:kern w:val="0"/>
                <w:szCs w:val="21"/>
                <w:highlight w:val="none"/>
              </w:rPr>
              <w:t>服务内容</w:t>
            </w:r>
          </w:p>
        </w:tc>
        <w:tc>
          <w:tcPr>
            <w:tcW w:w="10016" w:type="dxa"/>
            <w:noWrap w:val="0"/>
            <w:vAlign w:val="center"/>
          </w:tcPr>
          <w:p w14:paraId="4D4FD61F">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Cs w:val="21"/>
                <w:highlight w:val="none"/>
                <w:lang w:val="en-US" w:eastAsia="zh-CN"/>
              </w:rPr>
            </w:pPr>
            <w:r>
              <w:rPr>
                <w:rFonts w:hint="default" w:ascii="Calibri" w:hAnsi="Calibri" w:cs="Calibri"/>
                <w:b/>
                <w:bCs/>
                <w:color w:val="auto"/>
                <w:kern w:val="0"/>
                <w:szCs w:val="21"/>
                <w:highlight w:val="none"/>
                <w:lang w:val="en-US" w:eastAsia="zh-CN"/>
              </w:rPr>
              <w:t>服务标准</w:t>
            </w:r>
          </w:p>
        </w:tc>
      </w:tr>
      <w:tr w14:paraId="1D9B6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noWrap w:val="0"/>
            <w:vAlign w:val="center"/>
          </w:tcPr>
          <w:p w14:paraId="3B61A5B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cs="Calibri"/>
                <w:highlight w:val="none"/>
                <w:lang w:val="en-US" w:eastAsia="zh-CN"/>
              </w:rPr>
            </w:pPr>
            <w:r>
              <w:rPr>
                <w:rFonts w:hint="default" w:ascii="Calibri" w:hAnsi="Calibri" w:cs="Calibri"/>
                <w:highlight w:val="none"/>
                <w:lang w:val="en-US" w:eastAsia="zh-CN"/>
              </w:rPr>
              <w:t>1</w:t>
            </w:r>
          </w:p>
        </w:tc>
        <w:tc>
          <w:tcPr>
            <w:tcW w:w="3297" w:type="dxa"/>
            <w:noWrap w:val="0"/>
            <w:vAlign w:val="center"/>
          </w:tcPr>
          <w:p w14:paraId="45F1407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cs="Calibri"/>
                <w:highlight w:val="none"/>
              </w:rPr>
            </w:pPr>
            <w:r>
              <w:rPr>
                <w:rFonts w:hint="default" w:ascii="Calibri" w:hAnsi="Calibri" w:cs="Calibri"/>
                <w:highlight w:val="none"/>
                <w:lang w:val="en-US" w:eastAsia="zh-CN"/>
              </w:rPr>
              <w:t>目标与责任</w:t>
            </w:r>
          </w:p>
        </w:tc>
        <w:tc>
          <w:tcPr>
            <w:tcW w:w="10016" w:type="dxa"/>
            <w:noWrap w:val="0"/>
            <w:vAlign w:val="center"/>
          </w:tcPr>
          <w:p w14:paraId="14DDA0E6">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（1）</w:t>
            </w:r>
            <w:r>
              <w:rPr>
                <w:rFonts w:hint="default" w:ascii="Calibri" w:hAnsi="Calibri" w:eastAsia="宋体" w:cs="Calibri"/>
                <w:b w:val="0"/>
                <w:bCs w:val="0"/>
                <w:color w:val="auto"/>
                <w:kern w:val="0"/>
                <w:szCs w:val="21"/>
                <w:highlight w:val="none"/>
                <w:lang w:val="en-US" w:eastAsia="zh-CN"/>
              </w:rPr>
              <w:t>结合采购人要求及物业服务实际情况，制定年度管理目标，明确责任分工，并制定配套实施方案。</w:t>
            </w:r>
          </w:p>
        </w:tc>
      </w:tr>
      <w:tr w14:paraId="6BE9D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restart"/>
            <w:noWrap w:val="0"/>
            <w:vAlign w:val="center"/>
          </w:tcPr>
          <w:p w14:paraId="368106F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cs="Calibri"/>
                <w:highlight w:val="none"/>
                <w:lang w:val="en-US" w:eastAsia="zh-CN"/>
              </w:rPr>
            </w:pPr>
            <w:r>
              <w:rPr>
                <w:rFonts w:hint="default" w:ascii="Calibri" w:hAnsi="Calibri" w:cs="Calibri"/>
                <w:highlight w:val="none"/>
                <w:lang w:val="en-US" w:eastAsia="zh-CN"/>
              </w:rPr>
              <w:t>2</w:t>
            </w:r>
          </w:p>
        </w:tc>
        <w:tc>
          <w:tcPr>
            <w:tcW w:w="3297" w:type="dxa"/>
            <w:vMerge w:val="restart"/>
            <w:noWrap w:val="0"/>
            <w:vAlign w:val="center"/>
          </w:tcPr>
          <w:p w14:paraId="717F489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cs="Calibri"/>
                <w:highlight w:val="none"/>
                <w:lang w:val="en-US" w:eastAsia="zh-CN"/>
              </w:rPr>
            </w:pPr>
            <w:r>
              <w:rPr>
                <w:rFonts w:hint="default" w:ascii="Calibri" w:hAnsi="Calibri" w:cs="Calibri"/>
                <w:highlight w:val="none"/>
                <w:lang w:val="en-US" w:eastAsia="zh-CN"/>
              </w:rPr>
              <w:t>服务人员要求</w:t>
            </w:r>
          </w:p>
        </w:tc>
        <w:tc>
          <w:tcPr>
            <w:tcW w:w="10016" w:type="dxa"/>
            <w:noWrap w:val="0"/>
            <w:vAlign w:val="center"/>
          </w:tcPr>
          <w:p w14:paraId="2BBE0639">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（1）</w:t>
            </w:r>
            <w:r>
              <w:rPr>
                <w:rFonts w:hint="default" w:ascii="Calibri" w:hAnsi="Calibri" w:eastAsia="宋体" w:cs="Calibri"/>
                <w:b w:val="0"/>
                <w:bCs w:val="0"/>
                <w:color w:val="auto"/>
                <w:kern w:val="0"/>
                <w:szCs w:val="21"/>
                <w:highlight w:val="none"/>
                <w:lang w:val="en-US" w:eastAsia="zh-CN"/>
              </w:rPr>
              <w:t>每季度至少开展1次岗位技能、职业素质、服务知识、客户文化、绿色节能环保等教育培训，并进行适当形式的考核。</w:t>
            </w:r>
          </w:p>
        </w:tc>
      </w:tr>
      <w:tr w14:paraId="03DAF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noWrap w:val="0"/>
            <w:vAlign w:val="center"/>
          </w:tcPr>
          <w:p w14:paraId="70CA5D99">
            <w:pPr>
              <w:bidi w:val="0"/>
              <w:jc w:val="center"/>
              <w:rPr>
                <w:rFonts w:hint="default" w:ascii="Calibri" w:hAnsi="Calibri" w:cs="Calibri"/>
                <w:highlight w:val="none"/>
                <w:lang w:val="en-US" w:eastAsia="zh-CN"/>
              </w:rPr>
            </w:pPr>
          </w:p>
        </w:tc>
        <w:tc>
          <w:tcPr>
            <w:tcW w:w="3297" w:type="dxa"/>
            <w:vMerge w:val="continue"/>
            <w:noWrap w:val="0"/>
            <w:vAlign w:val="center"/>
          </w:tcPr>
          <w:p w14:paraId="3A3FFFC8">
            <w:pPr>
              <w:bidi w:val="0"/>
              <w:rPr>
                <w:rFonts w:hint="default" w:ascii="Calibri" w:hAnsi="Calibri" w:cs="Calibri"/>
                <w:highlight w:val="none"/>
                <w:lang w:val="en-US" w:eastAsia="zh-CN"/>
              </w:rPr>
            </w:pPr>
          </w:p>
        </w:tc>
        <w:tc>
          <w:tcPr>
            <w:tcW w:w="10016" w:type="dxa"/>
            <w:noWrap w:val="0"/>
            <w:vAlign w:val="center"/>
          </w:tcPr>
          <w:p w14:paraId="518D8A36">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（2）</w:t>
            </w:r>
            <w:r>
              <w:rPr>
                <w:rFonts w:hint="default" w:ascii="Calibri" w:hAnsi="Calibri" w:eastAsia="宋体" w:cs="Calibri"/>
                <w:b w:val="0"/>
                <w:bCs w:val="0"/>
                <w:color w:val="auto"/>
                <w:kern w:val="0"/>
                <w:szCs w:val="21"/>
                <w:highlight w:val="none"/>
                <w:lang w:val="en-US" w:eastAsia="zh-CN"/>
              </w:rPr>
              <w:t>根据采购人要求对服务人员进行从业资格审查，审查结果向采购人报备。</w:t>
            </w:r>
          </w:p>
        </w:tc>
      </w:tr>
      <w:tr w14:paraId="21013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noWrap w:val="0"/>
            <w:vAlign w:val="center"/>
          </w:tcPr>
          <w:p w14:paraId="60AD41D8">
            <w:pPr>
              <w:bidi w:val="0"/>
              <w:jc w:val="center"/>
              <w:rPr>
                <w:rFonts w:hint="default" w:ascii="Calibri" w:hAnsi="Calibri" w:cs="Calibri"/>
                <w:highlight w:val="none"/>
                <w:lang w:val="en-US" w:eastAsia="zh-CN"/>
              </w:rPr>
            </w:pPr>
          </w:p>
        </w:tc>
        <w:tc>
          <w:tcPr>
            <w:tcW w:w="3297" w:type="dxa"/>
            <w:vMerge w:val="continue"/>
            <w:noWrap w:val="0"/>
            <w:vAlign w:val="center"/>
          </w:tcPr>
          <w:p w14:paraId="78FB0F9A">
            <w:pPr>
              <w:bidi w:val="0"/>
              <w:rPr>
                <w:rFonts w:hint="default" w:ascii="Calibri" w:hAnsi="Calibri" w:cs="Calibri"/>
                <w:highlight w:val="none"/>
                <w:lang w:val="en-US" w:eastAsia="zh-CN"/>
              </w:rPr>
            </w:pPr>
          </w:p>
        </w:tc>
        <w:tc>
          <w:tcPr>
            <w:tcW w:w="10016" w:type="dxa"/>
            <w:noWrap w:val="0"/>
            <w:vAlign w:val="center"/>
          </w:tcPr>
          <w:p w14:paraId="48909255">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（3）</w:t>
            </w:r>
            <w:r>
              <w:rPr>
                <w:rFonts w:hint="default" w:ascii="Calibri" w:hAnsi="Calibri" w:eastAsia="宋体" w:cs="Calibri"/>
                <w:bCs/>
                <w:color w:val="auto"/>
                <w:szCs w:val="21"/>
                <w:highlight w:val="none"/>
                <w:lang w:val="en-US" w:eastAsia="zh-CN"/>
              </w:rPr>
              <w:t>服务人员的年龄、学历、工作经验及资格条件</w:t>
            </w:r>
            <w:r>
              <w:rPr>
                <w:rFonts w:hint="eastAsia" w:cs="Calibri"/>
                <w:bCs/>
                <w:color w:val="auto"/>
                <w:szCs w:val="21"/>
                <w:highlight w:val="none"/>
                <w:lang w:val="en-US" w:eastAsia="zh-CN"/>
              </w:rPr>
              <w:t>应当</w:t>
            </w:r>
            <w:r>
              <w:rPr>
                <w:rFonts w:hint="default" w:ascii="Calibri" w:hAnsi="Calibri" w:eastAsia="宋体" w:cs="Calibri"/>
                <w:bCs/>
                <w:color w:val="auto"/>
                <w:szCs w:val="21"/>
                <w:highlight w:val="none"/>
                <w:lang w:val="en-US" w:eastAsia="zh-CN"/>
              </w:rPr>
              <w:t>与所在岗位能力要求相匹配，到岗前</w:t>
            </w:r>
            <w:r>
              <w:rPr>
                <w:rFonts w:hint="eastAsia" w:cs="Calibri"/>
                <w:bCs/>
                <w:color w:val="auto"/>
                <w:szCs w:val="21"/>
                <w:highlight w:val="none"/>
                <w:lang w:val="en-US" w:eastAsia="zh-CN"/>
              </w:rPr>
              <w:t>应当</w:t>
            </w:r>
            <w:r>
              <w:rPr>
                <w:rFonts w:hint="default" w:ascii="Calibri" w:hAnsi="Calibri" w:eastAsia="宋体" w:cs="Calibri"/>
                <w:bCs/>
                <w:color w:val="auto"/>
                <w:szCs w:val="21"/>
                <w:highlight w:val="none"/>
                <w:lang w:val="en-US" w:eastAsia="zh-CN"/>
              </w:rPr>
              <w:t>经过必要的岗前培训以达到岗位能力要求，国家、行业规定应</w:t>
            </w:r>
            <w:r>
              <w:rPr>
                <w:rFonts w:hint="eastAsia" w:cs="Calibri"/>
                <w:bCs/>
                <w:color w:val="auto"/>
                <w:szCs w:val="21"/>
                <w:highlight w:val="none"/>
                <w:lang w:val="en-US" w:eastAsia="zh-CN"/>
              </w:rPr>
              <w:t>当</w:t>
            </w:r>
            <w:r>
              <w:rPr>
                <w:rFonts w:hint="default" w:ascii="Calibri" w:hAnsi="Calibri" w:eastAsia="宋体" w:cs="Calibri"/>
                <w:bCs/>
                <w:color w:val="auto"/>
                <w:szCs w:val="21"/>
                <w:highlight w:val="none"/>
                <w:lang w:val="en-US" w:eastAsia="zh-CN"/>
              </w:rPr>
              <w:t>取得职业资格证书或特种作业证书的，应</w:t>
            </w:r>
            <w:r>
              <w:rPr>
                <w:rFonts w:hint="eastAsia" w:cs="Calibri"/>
                <w:bCs/>
                <w:color w:val="auto"/>
                <w:szCs w:val="21"/>
                <w:highlight w:val="none"/>
                <w:lang w:val="en-US" w:eastAsia="zh-CN"/>
              </w:rPr>
              <w:t>当</w:t>
            </w:r>
            <w:r>
              <w:rPr>
                <w:rFonts w:hint="default" w:ascii="Calibri" w:hAnsi="Calibri" w:eastAsia="宋体" w:cs="Calibri"/>
                <w:bCs/>
                <w:color w:val="auto"/>
                <w:szCs w:val="21"/>
                <w:highlight w:val="none"/>
                <w:lang w:val="en-US" w:eastAsia="zh-CN"/>
              </w:rPr>
              <w:t>按规定持证上岗。</w:t>
            </w:r>
          </w:p>
        </w:tc>
      </w:tr>
      <w:tr w14:paraId="0455C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noWrap w:val="0"/>
            <w:vAlign w:val="center"/>
          </w:tcPr>
          <w:p w14:paraId="6FADC47A">
            <w:pPr>
              <w:bidi w:val="0"/>
              <w:jc w:val="center"/>
              <w:rPr>
                <w:rFonts w:hint="default" w:ascii="Calibri" w:hAnsi="Calibri" w:cs="Calibri"/>
                <w:highlight w:val="none"/>
                <w:lang w:val="en-US" w:eastAsia="zh-CN"/>
              </w:rPr>
            </w:pPr>
          </w:p>
        </w:tc>
        <w:tc>
          <w:tcPr>
            <w:tcW w:w="3297" w:type="dxa"/>
            <w:vMerge w:val="continue"/>
            <w:noWrap w:val="0"/>
            <w:vAlign w:val="center"/>
          </w:tcPr>
          <w:p w14:paraId="44802064">
            <w:pPr>
              <w:bidi w:val="0"/>
              <w:rPr>
                <w:rFonts w:hint="default" w:ascii="Calibri" w:hAnsi="Calibri" w:cs="Calibri"/>
                <w:highlight w:val="none"/>
                <w:lang w:val="en-US" w:eastAsia="zh-CN"/>
              </w:rPr>
            </w:pPr>
          </w:p>
        </w:tc>
        <w:tc>
          <w:tcPr>
            <w:tcW w:w="10016" w:type="dxa"/>
            <w:noWrap w:val="0"/>
            <w:vAlign w:val="center"/>
          </w:tcPr>
          <w:p w14:paraId="05CC38E0">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（4）</w:t>
            </w:r>
            <w:r>
              <w:rPr>
                <w:rFonts w:hint="default" w:ascii="Calibri" w:hAnsi="Calibri" w:eastAsia="宋体" w:cs="Calibri"/>
                <w:bCs/>
                <w:color w:val="auto"/>
                <w:szCs w:val="21"/>
                <w:highlight w:val="none"/>
                <w:lang w:val="en-US" w:eastAsia="zh-CN"/>
              </w:rPr>
              <w:t>如采购人认为服务人员不适应岗位要求或存在其他影响工作的，可要求供应商进行</w:t>
            </w:r>
            <w:r>
              <w:rPr>
                <w:rFonts w:hint="eastAsia" w:eastAsia="宋体" w:cs="Calibri"/>
                <w:bCs/>
                <w:color w:val="auto"/>
                <w:szCs w:val="21"/>
                <w:highlight w:val="none"/>
                <w:lang w:val="en-US" w:eastAsia="zh-CN"/>
              </w:rPr>
              <w:t>调换</w:t>
            </w:r>
            <w:r>
              <w:rPr>
                <w:rFonts w:hint="default" w:ascii="Calibri" w:hAnsi="Calibri" w:eastAsia="宋体" w:cs="Calibri"/>
                <w:bCs/>
                <w:color w:val="auto"/>
                <w:szCs w:val="21"/>
                <w:highlight w:val="none"/>
                <w:lang w:val="en-US" w:eastAsia="zh-CN"/>
              </w:rPr>
              <w:t>。如因供应商原因对服务人员进行</w:t>
            </w:r>
            <w:r>
              <w:rPr>
                <w:rFonts w:hint="eastAsia" w:eastAsia="宋体" w:cs="Calibri"/>
                <w:bCs/>
                <w:color w:val="auto"/>
                <w:szCs w:val="21"/>
                <w:highlight w:val="none"/>
                <w:lang w:val="en-US" w:eastAsia="zh-CN"/>
              </w:rPr>
              <w:t>调换</w:t>
            </w:r>
            <w:r>
              <w:rPr>
                <w:rFonts w:hint="default" w:ascii="Calibri" w:hAnsi="Calibri" w:eastAsia="宋体" w:cs="Calibri"/>
                <w:bCs/>
                <w:color w:val="auto"/>
                <w:szCs w:val="21"/>
                <w:highlight w:val="none"/>
                <w:lang w:val="en-US" w:eastAsia="zh-CN"/>
              </w:rPr>
              <w:t>，</w:t>
            </w:r>
            <w:r>
              <w:rPr>
                <w:rFonts w:hint="eastAsia" w:cs="Calibri"/>
                <w:bCs/>
                <w:color w:val="auto"/>
                <w:szCs w:val="21"/>
                <w:highlight w:val="none"/>
                <w:lang w:val="en-US" w:eastAsia="zh-CN"/>
              </w:rPr>
              <w:t>应当</w:t>
            </w:r>
            <w:r>
              <w:rPr>
                <w:rFonts w:hint="default" w:ascii="Calibri" w:hAnsi="Calibri" w:eastAsia="宋体" w:cs="Calibri"/>
                <w:bCs/>
                <w:color w:val="auto"/>
                <w:szCs w:val="21"/>
                <w:highlight w:val="none"/>
                <w:lang w:val="en-US" w:eastAsia="zh-CN"/>
              </w:rPr>
              <w:t>经采购人同意，更换比例不得超过本项目服务人员总数的20%。本项目服务人员不得在其他项目兼职。</w:t>
            </w:r>
          </w:p>
        </w:tc>
      </w:tr>
      <w:tr w14:paraId="34A1B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noWrap w:val="0"/>
            <w:vAlign w:val="center"/>
          </w:tcPr>
          <w:p w14:paraId="47695AC0">
            <w:pPr>
              <w:bidi w:val="0"/>
              <w:jc w:val="center"/>
              <w:rPr>
                <w:rFonts w:hint="default" w:ascii="Calibri" w:hAnsi="Calibri" w:cs="Calibri"/>
                <w:highlight w:val="none"/>
                <w:lang w:val="en-US" w:eastAsia="zh-CN"/>
              </w:rPr>
            </w:pPr>
          </w:p>
        </w:tc>
        <w:tc>
          <w:tcPr>
            <w:tcW w:w="3297" w:type="dxa"/>
            <w:vMerge w:val="continue"/>
            <w:noWrap w:val="0"/>
            <w:vAlign w:val="center"/>
          </w:tcPr>
          <w:p w14:paraId="5775C622">
            <w:pPr>
              <w:bidi w:val="0"/>
              <w:rPr>
                <w:rFonts w:hint="default" w:ascii="Calibri" w:hAnsi="Calibri" w:cs="Calibri"/>
                <w:highlight w:val="none"/>
                <w:lang w:val="en-US" w:eastAsia="zh-CN"/>
              </w:rPr>
            </w:pPr>
          </w:p>
        </w:tc>
        <w:tc>
          <w:tcPr>
            <w:tcW w:w="10016" w:type="dxa"/>
            <w:noWrap w:val="0"/>
            <w:vAlign w:val="center"/>
          </w:tcPr>
          <w:p w14:paraId="05767E83">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（5）</w:t>
            </w:r>
            <w:r>
              <w:rPr>
                <w:rFonts w:hint="default" w:ascii="Calibri" w:hAnsi="Calibri" w:eastAsia="宋体" w:cs="Calibri"/>
                <w:b w:val="0"/>
                <w:bCs w:val="0"/>
                <w:color w:val="auto"/>
                <w:kern w:val="0"/>
                <w:szCs w:val="21"/>
                <w:highlight w:val="none"/>
                <w:lang w:val="en-US" w:eastAsia="zh-CN"/>
              </w:rPr>
              <w:t>着装</w:t>
            </w:r>
            <w:r>
              <w:rPr>
                <w:rFonts w:hint="eastAsia" w:eastAsia="宋体" w:cs="Calibri"/>
                <w:b w:val="0"/>
                <w:bCs w:val="0"/>
                <w:color w:val="auto"/>
                <w:kern w:val="0"/>
                <w:szCs w:val="21"/>
                <w:highlight w:val="none"/>
                <w:lang w:val="en-US" w:eastAsia="zh-CN"/>
              </w:rPr>
              <w:t>分类</w:t>
            </w:r>
            <w:r>
              <w:rPr>
                <w:rFonts w:hint="default" w:ascii="Calibri" w:hAnsi="Calibri" w:eastAsia="宋体" w:cs="Calibri"/>
                <w:b w:val="0"/>
                <w:bCs w:val="0"/>
                <w:color w:val="auto"/>
                <w:kern w:val="0"/>
                <w:szCs w:val="21"/>
                <w:highlight w:val="none"/>
                <w:lang w:val="en-US" w:eastAsia="zh-CN"/>
              </w:rPr>
              <w:t>统一，佩戴标识。仪容整洁、姿态端正、举止文明。用语文明礼貌，态度温和耐心。</w:t>
            </w:r>
          </w:p>
        </w:tc>
      </w:tr>
      <w:tr w14:paraId="72E72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restart"/>
            <w:noWrap w:val="0"/>
            <w:vAlign w:val="center"/>
          </w:tcPr>
          <w:p w14:paraId="52CFC6F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cs="Calibri"/>
                <w:highlight w:val="none"/>
                <w:lang w:val="en-US" w:eastAsia="zh-CN"/>
              </w:rPr>
            </w:pPr>
            <w:r>
              <w:rPr>
                <w:rFonts w:hint="default" w:ascii="Calibri" w:hAnsi="Calibri" w:cs="Calibri"/>
                <w:highlight w:val="none"/>
                <w:lang w:val="en-US" w:eastAsia="zh-CN"/>
              </w:rPr>
              <w:t>3</w:t>
            </w:r>
          </w:p>
        </w:tc>
        <w:tc>
          <w:tcPr>
            <w:tcW w:w="3297" w:type="dxa"/>
            <w:vMerge w:val="restart"/>
            <w:noWrap w:val="0"/>
            <w:vAlign w:val="center"/>
          </w:tcPr>
          <w:p w14:paraId="6B1CB65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cs="Calibri"/>
                <w:highlight w:val="none"/>
                <w:lang w:val="en-US" w:eastAsia="zh-CN"/>
              </w:rPr>
            </w:pPr>
            <w:r>
              <w:rPr>
                <w:rFonts w:hint="default" w:ascii="Calibri" w:hAnsi="Calibri" w:cs="Calibri"/>
                <w:highlight w:val="none"/>
                <w:lang w:val="en-US" w:eastAsia="zh-CN"/>
              </w:rPr>
              <w:t>保密和</w:t>
            </w:r>
            <w:r>
              <w:rPr>
                <w:rFonts w:hint="eastAsia" w:cs="Calibri"/>
                <w:highlight w:val="none"/>
                <w:lang w:val="en-US" w:eastAsia="zh-CN"/>
              </w:rPr>
              <w:t>思想政治</w:t>
            </w:r>
            <w:r>
              <w:rPr>
                <w:rFonts w:hint="default" w:ascii="Calibri" w:hAnsi="Calibri" w:cs="Calibri"/>
                <w:highlight w:val="none"/>
                <w:lang w:val="en-US" w:eastAsia="zh-CN"/>
              </w:rPr>
              <w:t>教育</w:t>
            </w:r>
          </w:p>
        </w:tc>
        <w:tc>
          <w:tcPr>
            <w:tcW w:w="10016" w:type="dxa"/>
            <w:noWrap w:val="0"/>
            <w:vAlign w:val="center"/>
          </w:tcPr>
          <w:p w14:paraId="05881180">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（1）</w:t>
            </w:r>
            <w:r>
              <w:rPr>
                <w:rFonts w:hint="default" w:ascii="Calibri" w:hAnsi="Calibri" w:eastAsia="宋体" w:cs="Calibri"/>
                <w:b w:val="0"/>
                <w:bCs w:val="0"/>
                <w:color w:val="auto"/>
                <w:kern w:val="0"/>
                <w:szCs w:val="21"/>
                <w:highlight w:val="none"/>
                <w:lang w:val="en-US" w:eastAsia="zh-CN"/>
              </w:rPr>
              <w:t>建立保密管理制度。制度内容应</w:t>
            </w:r>
            <w:r>
              <w:rPr>
                <w:rFonts w:hint="eastAsia" w:cs="Calibri"/>
                <w:b w:val="0"/>
                <w:bCs w:val="0"/>
                <w:color w:val="auto"/>
                <w:kern w:val="0"/>
                <w:szCs w:val="21"/>
                <w:highlight w:val="none"/>
                <w:lang w:val="en-US" w:eastAsia="zh-CN"/>
              </w:rPr>
              <w:t>当</w:t>
            </w:r>
            <w:r>
              <w:rPr>
                <w:rFonts w:hint="default" w:ascii="Calibri" w:hAnsi="Calibri" w:eastAsia="宋体" w:cs="Calibri"/>
                <w:b w:val="0"/>
                <w:bCs w:val="0"/>
                <w:color w:val="auto"/>
                <w:kern w:val="0"/>
                <w:szCs w:val="21"/>
                <w:highlight w:val="none"/>
                <w:lang w:val="en-US" w:eastAsia="zh-CN"/>
              </w:rPr>
              <w:t>包括但不限于：①明确重点要害岗位保密职责。</w:t>
            </w:r>
            <w:r>
              <w:rPr>
                <w:rFonts w:hint="default" w:ascii="Calibri" w:hAnsi="Calibri" w:cs="Calibri"/>
                <w:b w:val="0"/>
                <w:bCs w:val="0"/>
                <w:color w:val="auto"/>
                <w:kern w:val="0"/>
                <w:szCs w:val="21"/>
                <w:highlight w:val="none"/>
                <w:lang w:val="en-US" w:eastAsia="zh-CN"/>
              </w:rPr>
              <w:t>②</w:t>
            </w:r>
            <w:r>
              <w:rPr>
                <w:rFonts w:hint="default" w:ascii="Calibri" w:hAnsi="Calibri" w:eastAsia="宋体" w:cs="Calibri"/>
                <w:b w:val="0"/>
                <w:bCs w:val="0"/>
                <w:color w:val="auto"/>
                <w:kern w:val="0"/>
                <w:szCs w:val="21"/>
                <w:highlight w:val="none"/>
                <w:lang w:val="en-US" w:eastAsia="zh-CN"/>
              </w:rPr>
              <w:t>对涉密工作岗位的保密要求。</w:t>
            </w:r>
          </w:p>
        </w:tc>
      </w:tr>
      <w:tr w14:paraId="09F91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noWrap w:val="0"/>
            <w:vAlign w:val="center"/>
          </w:tcPr>
          <w:p w14:paraId="0711A36A">
            <w:pPr>
              <w:bidi w:val="0"/>
              <w:jc w:val="center"/>
              <w:rPr>
                <w:rFonts w:hint="default" w:ascii="Calibri" w:hAnsi="Calibri" w:cs="Calibri"/>
                <w:highlight w:val="none"/>
                <w:lang w:val="en-US" w:eastAsia="zh-CN"/>
              </w:rPr>
            </w:pPr>
          </w:p>
        </w:tc>
        <w:tc>
          <w:tcPr>
            <w:tcW w:w="3297" w:type="dxa"/>
            <w:vMerge w:val="continue"/>
            <w:noWrap w:val="0"/>
            <w:vAlign w:val="center"/>
          </w:tcPr>
          <w:p w14:paraId="0BEF702B">
            <w:pPr>
              <w:bidi w:val="0"/>
              <w:rPr>
                <w:rFonts w:hint="default" w:ascii="Calibri" w:hAnsi="Calibri" w:cs="Calibri"/>
                <w:highlight w:val="none"/>
                <w:lang w:val="en-US" w:eastAsia="zh-CN"/>
              </w:rPr>
            </w:pPr>
          </w:p>
        </w:tc>
        <w:tc>
          <w:tcPr>
            <w:tcW w:w="10016" w:type="dxa"/>
            <w:noWrap w:val="0"/>
            <w:vAlign w:val="center"/>
          </w:tcPr>
          <w:p w14:paraId="7C16C7D9">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（2）</w:t>
            </w:r>
            <w:r>
              <w:rPr>
                <w:rFonts w:hint="default" w:ascii="Calibri" w:hAnsi="Calibri" w:eastAsia="宋体" w:cs="Calibri"/>
                <w:b w:val="0"/>
                <w:bCs w:val="0"/>
                <w:color w:val="auto"/>
                <w:kern w:val="0"/>
                <w:szCs w:val="21"/>
                <w:highlight w:val="none"/>
                <w:lang w:val="en-US" w:eastAsia="zh-CN"/>
              </w:rPr>
              <w:t>根据采购人要求与涉密工作岗位的服务人员签订保密协议。保密协议应</w:t>
            </w:r>
            <w:r>
              <w:rPr>
                <w:rFonts w:hint="eastAsia" w:cs="Calibri"/>
                <w:b w:val="0"/>
                <w:bCs w:val="0"/>
                <w:color w:val="auto"/>
                <w:kern w:val="0"/>
                <w:szCs w:val="21"/>
                <w:highlight w:val="none"/>
                <w:lang w:val="en-US" w:eastAsia="zh-CN"/>
              </w:rPr>
              <w:t>当</w:t>
            </w:r>
            <w:r>
              <w:rPr>
                <w:rFonts w:hint="default" w:ascii="Calibri" w:hAnsi="Calibri" w:eastAsia="宋体" w:cs="Calibri"/>
                <w:b w:val="0"/>
                <w:bCs w:val="0"/>
                <w:color w:val="auto"/>
                <w:kern w:val="0"/>
                <w:szCs w:val="21"/>
                <w:highlight w:val="none"/>
                <w:lang w:val="en-US" w:eastAsia="zh-CN"/>
              </w:rPr>
              <w:t>向采购人报备。</w:t>
            </w:r>
          </w:p>
        </w:tc>
      </w:tr>
      <w:tr w14:paraId="1B108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noWrap w:val="0"/>
            <w:vAlign w:val="center"/>
          </w:tcPr>
          <w:p w14:paraId="37EC3827">
            <w:pPr>
              <w:bidi w:val="0"/>
              <w:jc w:val="center"/>
              <w:rPr>
                <w:rFonts w:hint="default" w:ascii="Calibri" w:hAnsi="Calibri" w:cs="Calibri"/>
                <w:highlight w:val="none"/>
                <w:lang w:val="en-US" w:eastAsia="zh-CN"/>
              </w:rPr>
            </w:pPr>
          </w:p>
        </w:tc>
        <w:tc>
          <w:tcPr>
            <w:tcW w:w="3297" w:type="dxa"/>
            <w:vMerge w:val="continue"/>
            <w:noWrap w:val="0"/>
            <w:vAlign w:val="center"/>
          </w:tcPr>
          <w:p w14:paraId="6DE5231B">
            <w:pPr>
              <w:bidi w:val="0"/>
              <w:rPr>
                <w:rFonts w:hint="default" w:ascii="Calibri" w:hAnsi="Calibri" w:cs="Calibri"/>
                <w:highlight w:val="none"/>
                <w:lang w:val="en-US" w:eastAsia="zh-CN"/>
              </w:rPr>
            </w:pPr>
          </w:p>
        </w:tc>
        <w:tc>
          <w:tcPr>
            <w:tcW w:w="10016" w:type="dxa"/>
            <w:noWrap w:val="0"/>
            <w:vAlign w:val="center"/>
          </w:tcPr>
          <w:p w14:paraId="41FABA78">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（3）</w:t>
            </w:r>
            <w:r>
              <w:rPr>
                <w:rFonts w:hint="default" w:ascii="Calibri" w:hAnsi="Calibri" w:eastAsia="宋体" w:cs="Calibri"/>
                <w:b w:val="0"/>
                <w:bCs w:val="0"/>
                <w:color w:val="auto"/>
                <w:kern w:val="0"/>
                <w:szCs w:val="21"/>
                <w:highlight w:val="none"/>
                <w:lang w:val="en-US" w:eastAsia="zh-CN"/>
              </w:rPr>
              <w:t>每季度至少</w:t>
            </w:r>
            <w:r>
              <w:rPr>
                <w:rFonts w:hint="eastAsia" w:cs="Calibri"/>
                <w:b w:val="0"/>
                <w:bCs w:val="0"/>
                <w:color w:val="auto"/>
                <w:kern w:val="0"/>
                <w:szCs w:val="21"/>
                <w:highlight w:val="none"/>
                <w:lang w:val="en-US" w:eastAsia="zh-CN"/>
              </w:rPr>
              <w:t>开展</w:t>
            </w:r>
            <w:r>
              <w:rPr>
                <w:rFonts w:hint="default" w:ascii="Calibri" w:hAnsi="Calibri" w:eastAsia="宋体" w:cs="Calibri"/>
                <w:b w:val="0"/>
                <w:bCs w:val="0"/>
                <w:color w:val="auto"/>
                <w:kern w:val="0"/>
                <w:szCs w:val="21"/>
                <w:highlight w:val="none"/>
                <w:lang w:val="en-US" w:eastAsia="zh-CN"/>
              </w:rPr>
              <w:t>1次对服务人员进行保密、思想政治教育</w:t>
            </w:r>
            <w:r>
              <w:rPr>
                <w:rFonts w:hint="eastAsia" w:cs="Calibri"/>
                <w:b w:val="0"/>
                <w:bCs w:val="0"/>
                <w:color w:val="auto"/>
                <w:kern w:val="0"/>
                <w:szCs w:val="21"/>
                <w:highlight w:val="none"/>
                <w:lang w:val="en-US" w:eastAsia="zh-CN"/>
              </w:rPr>
              <w:t>的</w:t>
            </w:r>
            <w:r>
              <w:rPr>
                <w:rFonts w:hint="default" w:ascii="Calibri" w:hAnsi="Calibri" w:eastAsia="宋体" w:cs="Calibri"/>
                <w:b w:val="0"/>
                <w:bCs w:val="0"/>
                <w:color w:val="auto"/>
                <w:kern w:val="0"/>
                <w:szCs w:val="21"/>
                <w:highlight w:val="none"/>
                <w:lang w:val="en-US" w:eastAsia="zh-CN"/>
              </w:rPr>
              <w:t>培训，</w:t>
            </w:r>
            <w:r>
              <w:rPr>
                <w:rFonts w:hint="eastAsia" w:cs="Calibri"/>
                <w:b w:val="0"/>
                <w:bCs w:val="0"/>
                <w:color w:val="auto"/>
                <w:kern w:val="0"/>
                <w:szCs w:val="21"/>
                <w:highlight w:val="none"/>
                <w:lang w:val="en-US" w:eastAsia="zh-CN"/>
              </w:rPr>
              <w:t>提高</w:t>
            </w:r>
            <w:r>
              <w:rPr>
                <w:rFonts w:hint="default" w:ascii="Calibri" w:hAnsi="Calibri" w:eastAsia="宋体" w:cs="Calibri"/>
                <w:b w:val="0"/>
                <w:bCs w:val="0"/>
                <w:color w:val="auto"/>
                <w:kern w:val="0"/>
                <w:szCs w:val="21"/>
                <w:highlight w:val="none"/>
                <w:lang w:val="en-US" w:eastAsia="zh-CN"/>
              </w:rPr>
              <w:t>服务人员保密意识和思想政治意识。新入职员工应</w:t>
            </w:r>
            <w:r>
              <w:rPr>
                <w:rFonts w:hint="eastAsia" w:cs="Calibri"/>
                <w:b w:val="0"/>
                <w:bCs w:val="0"/>
                <w:color w:val="auto"/>
                <w:kern w:val="0"/>
                <w:szCs w:val="21"/>
                <w:highlight w:val="none"/>
                <w:lang w:val="en-US" w:eastAsia="zh-CN"/>
              </w:rPr>
              <w:t>当</w:t>
            </w:r>
            <w:r>
              <w:rPr>
                <w:rFonts w:hint="default" w:ascii="Calibri" w:hAnsi="Calibri" w:eastAsia="宋体" w:cs="Calibri"/>
                <w:b w:val="0"/>
                <w:bCs w:val="0"/>
                <w:color w:val="auto"/>
                <w:kern w:val="0"/>
                <w:szCs w:val="21"/>
                <w:highlight w:val="none"/>
                <w:lang w:val="en-US" w:eastAsia="zh-CN"/>
              </w:rPr>
              <w:t>接受保密、思想政治教育培训，进行必要的</w:t>
            </w:r>
            <w:r>
              <w:rPr>
                <w:rFonts w:hint="eastAsia" w:cs="Calibri"/>
                <w:b w:val="0"/>
                <w:bCs w:val="0"/>
                <w:color w:val="auto"/>
                <w:kern w:val="0"/>
                <w:szCs w:val="21"/>
                <w:highlight w:val="none"/>
                <w:lang w:val="en-US" w:eastAsia="zh-CN"/>
              </w:rPr>
              <w:t>人员经历</w:t>
            </w:r>
            <w:r>
              <w:rPr>
                <w:rFonts w:hint="default" w:ascii="Calibri" w:hAnsi="Calibri" w:eastAsia="宋体" w:cs="Calibri"/>
                <w:b w:val="0"/>
                <w:bCs w:val="0"/>
                <w:color w:val="auto"/>
                <w:kern w:val="0"/>
                <w:szCs w:val="21"/>
                <w:highlight w:val="none"/>
                <w:lang w:val="en-US" w:eastAsia="zh-CN"/>
              </w:rPr>
              <w:t>审查，合格后签订保密协议方可上岗。</w:t>
            </w:r>
          </w:p>
        </w:tc>
      </w:tr>
      <w:tr w14:paraId="14AA2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noWrap w:val="0"/>
            <w:vAlign w:val="center"/>
          </w:tcPr>
          <w:p w14:paraId="7F64A9A1">
            <w:pPr>
              <w:bidi w:val="0"/>
              <w:jc w:val="center"/>
              <w:rPr>
                <w:rFonts w:hint="default" w:ascii="Calibri" w:hAnsi="Calibri" w:cs="Calibri"/>
                <w:highlight w:val="none"/>
                <w:lang w:val="en-US" w:eastAsia="zh-CN"/>
              </w:rPr>
            </w:pPr>
          </w:p>
        </w:tc>
        <w:tc>
          <w:tcPr>
            <w:tcW w:w="3297" w:type="dxa"/>
            <w:vMerge w:val="continue"/>
            <w:noWrap w:val="0"/>
            <w:vAlign w:val="center"/>
          </w:tcPr>
          <w:p w14:paraId="660B3A2B">
            <w:pPr>
              <w:bidi w:val="0"/>
              <w:rPr>
                <w:rFonts w:hint="default" w:ascii="Calibri" w:hAnsi="Calibri" w:cs="Calibri"/>
                <w:highlight w:val="none"/>
                <w:lang w:val="en-US" w:eastAsia="zh-CN"/>
              </w:rPr>
            </w:pPr>
          </w:p>
        </w:tc>
        <w:tc>
          <w:tcPr>
            <w:tcW w:w="10016" w:type="dxa"/>
            <w:noWrap w:val="0"/>
            <w:vAlign w:val="center"/>
          </w:tcPr>
          <w:p w14:paraId="7F65E544">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（4）</w:t>
            </w:r>
            <w:r>
              <w:rPr>
                <w:rFonts w:hint="default" w:ascii="Calibri" w:hAnsi="Calibri" w:eastAsia="宋体" w:cs="Calibri"/>
                <w:b w:val="0"/>
                <w:bCs w:val="0"/>
                <w:color w:val="auto"/>
                <w:kern w:val="0"/>
                <w:szCs w:val="21"/>
                <w:highlight w:val="none"/>
                <w:lang w:val="en-US" w:eastAsia="zh-CN"/>
              </w:rPr>
              <w:t>发现服务人员</w:t>
            </w:r>
            <w:r>
              <w:rPr>
                <w:rFonts w:hint="eastAsia" w:cs="Calibri"/>
                <w:b w:val="0"/>
                <w:bCs w:val="0"/>
                <w:color w:val="auto"/>
                <w:kern w:val="0"/>
                <w:szCs w:val="21"/>
                <w:highlight w:val="none"/>
                <w:lang w:val="en-US" w:eastAsia="zh-CN"/>
              </w:rPr>
              <w:t>违法违规或</w:t>
            </w:r>
            <w:r>
              <w:rPr>
                <w:rFonts w:hint="default" w:ascii="Calibri" w:hAnsi="Calibri" w:eastAsia="宋体" w:cs="Calibri"/>
                <w:b w:val="0"/>
                <w:bCs w:val="0"/>
                <w:color w:val="auto"/>
                <w:kern w:val="0"/>
                <w:szCs w:val="21"/>
                <w:highlight w:val="none"/>
                <w:lang w:val="en-US" w:eastAsia="zh-CN"/>
              </w:rPr>
              <w:t>重大过失，及时报告采购人，并采取必要补救措施。</w:t>
            </w:r>
          </w:p>
        </w:tc>
      </w:tr>
      <w:tr w14:paraId="0F6A1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restart"/>
            <w:noWrap w:val="0"/>
            <w:vAlign w:val="center"/>
          </w:tcPr>
          <w:p w14:paraId="08582A9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cs="Calibri"/>
                <w:highlight w:val="none"/>
                <w:lang w:val="en-US" w:eastAsia="zh-CN"/>
              </w:rPr>
            </w:pPr>
            <w:r>
              <w:rPr>
                <w:rFonts w:hint="default" w:ascii="Calibri" w:hAnsi="Calibri" w:cs="Calibri"/>
                <w:highlight w:val="none"/>
                <w:lang w:val="en-US" w:eastAsia="zh-CN"/>
              </w:rPr>
              <w:t>4</w:t>
            </w:r>
          </w:p>
        </w:tc>
        <w:tc>
          <w:tcPr>
            <w:tcW w:w="3297" w:type="dxa"/>
            <w:vMerge w:val="restart"/>
            <w:noWrap w:val="0"/>
            <w:vAlign w:val="center"/>
          </w:tcPr>
          <w:p w14:paraId="4CAB273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cs="Calibri"/>
                <w:highlight w:val="none"/>
                <w:lang w:val="en-US" w:eastAsia="zh-CN"/>
              </w:rPr>
            </w:pPr>
            <w:r>
              <w:rPr>
                <w:rFonts w:hint="default" w:ascii="Calibri" w:hAnsi="Calibri" w:cs="Calibri"/>
                <w:highlight w:val="none"/>
                <w:lang w:val="en-US" w:eastAsia="zh-CN"/>
              </w:rPr>
              <w:t>档案管理</w:t>
            </w:r>
          </w:p>
        </w:tc>
        <w:tc>
          <w:tcPr>
            <w:tcW w:w="10016" w:type="dxa"/>
            <w:noWrap w:val="0"/>
            <w:vAlign w:val="center"/>
          </w:tcPr>
          <w:p w14:paraId="61A58245">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（1）</w:t>
            </w:r>
            <w:r>
              <w:rPr>
                <w:rFonts w:hint="default" w:ascii="Calibri" w:hAnsi="Calibri" w:eastAsia="宋体" w:cs="Calibri"/>
                <w:b w:val="0"/>
                <w:bCs w:val="0"/>
                <w:color w:val="auto"/>
                <w:kern w:val="0"/>
                <w:szCs w:val="21"/>
                <w:highlight w:val="none"/>
                <w:lang w:val="en-US" w:eastAsia="zh-CN"/>
              </w:rPr>
              <w:t>建立物业信息，准确、及时地对文件资料和服务记录进行归档保存，并确保其物理安全。</w:t>
            </w:r>
          </w:p>
        </w:tc>
      </w:tr>
      <w:tr w14:paraId="01CC9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noWrap w:val="0"/>
            <w:vAlign w:val="center"/>
          </w:tcPr>
          <w:p w14:paraId="2340C2E3">
            <w:pPr>
              <w:keepNext w:val="0"/>
              <w:keepLines w:val="0"/>
              <w:pageBreakBefore w:val="0"/>
              <w:widowControl/>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cs="Calibri"/>
                <w:highlight w:val="none"/>
                <w:lang w:val="en-US" w:eastAsia="zh-CN"/>
              </w:rPr>
            </w:pPr>
          </w:p>
        </w:tc>
        <w:tc>
          <w:tcPr>
            <w:tcW w:w="3297" w:type="dxa"/>
            <w:vMerge w:val="continue"/>
            <w:noWrap w:val="0"/>
            <w:vAlign w:val="center"/>
          </w:tcPr>
          <w:p w14:paraId="0DBC207F">
            <w:pPr>
              <w:keepNext w:val="0"/>
              <w:keepLines w:val="0"/>
              <w:pageBreakBefore w:val="0"/>
              <w:widowControl/>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cs="Calibri"/>
                <w:highlight w:val="none"/>
                <w:lang w:val="en-US" w:eastAsia="zh-CN"/>
              </w:rPr>
            </w:pPr>
          </w:p>
        </w:tc>
        <w:tc>
          <w:tcPr>
            <w:tcW w:w="10016" w:type="dxa"/>
            <w:noWrap w:val="0"/>
            <w:vAlign w:val="center"/>
          </w:tcPr>
          <w:p w14:paraId="0FE4CED8">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（2）</w:t>
            </w:r>
            <w:r>
              <w:rPr>
                <w:rFonts w:hint="default" w:ascii="Calibri" w:hAnsi="Calibri" w:eastAsia="宋体" w:cs="Calibri"/>
                <w:b w:val="0"/>
                <w:bCs w:val="0"/>
                <w:color w:val="auto"/>
                <w:kern w:val="0"/>
                <w:szCs w:val="21"/>
                <w:highlight w:val="none"/>
                <w:lang w:val="en-US" w:eastAsia="zh-CN"/>
              </w:rPr>
              <w:t>档案和记录齐全，包括但不限于：①</w:t>
            </w:r>
            <w:r>
              <w:rPr>
                <w:rFonts w:hint="eastAsia" w:cs="Calibri"/>
                <w:b w:val="0"/>
                <w:bCs w:val="0"/>
                <w:color w:val="auto"/>
                <w:kern w:val="0"/>
                <w:szCs w:val="21"/>
                <w:highlight w:val="none"/>
                <w:lang w:val="en-US" w:eastAsia="zh-CN"/>
              </w:rPr>
              <w:t>采购人</w:t>
            </w:r>
            <w:r>
              <w:rPr>
                <w:rFonts w:hint="default" w:ascii="Calibri" w:hAnsi="Calibri" w:eastAsia="宋体" w:cs="Calibri"/>
                <w:b w:val="0"/>
                <w:bCs w:val="0"/>
                <w:color w:val="auto"/>
                <w:kern w:val="0"/>
                <w:szCs w:val="21"/>
                <w:highlight w:val="none"/>
                <w:lang w:val="en-US" w:eastAsia="zh-CN"/>
              </w:rPr>
              <w:t>建议与投诉等。教育培训和考核记录。保密、思想政治教育培训记录。</w:t>
            </w:r>
            <w:r>
              <w:rPr>
                <w:rFonts w:hint="default" w:ascii="Calibri" w:hAnsi="Calibri" w:cs="Calibri"/>
                <w:b w:val="0"/>
                <w:bCs w:val="0"/>
                <w:color w:val="auto"/>
                <w:kern w:val="0"/>
                <w:szCs w:val="21"/>
                <w:highlight w:val="none"/>
                <w:lang w:val="en-US" w:eastAsia="zh-CN"/>
              </w:rPr>
              <w:t>②</w:t>
            </w:r>
            <w:r>
              <w:rPr>
                <w:rFonts w:hint="default" w:ascii="Calibri" w:hAnsi="Calibri" w:eastAsia="宋体" w:cs="Calibri"/>
                <w:b w:val="0"/>
                <w:bCs w:val="0"/>
                <w:color w:val="auto"/>
                <w:kern w:val="0"/>
                <w:szCs w:val="21"/>
                <w:highlight w:val="none"/>
                <w:lang w:val="en-US" w:eastAsia="zh-CN"/>
              </w:rPr>
              <w:t>房屋维护服务：房屋台账、使用说明、房屋装修、维保记录等。③</w:t>
            </w:r>
            <w:r>
              <w:rPr>
                <w:rFonts w:hint="eastAsia" w:cs="Calibri"/>
                <w:b w:val="0"/>
                <w:bCs w:val="0"/>
                <w:color w:val="auto"/>
                <w:kern w:val="0"/>
                <w:szCs w:val="21"/>
                <w:highlight w:val="none"/>
                <w:lang w:val="en-US" w:eastAsia="zh-CN"/>
              </w:rPr>
              <w:t>公用设施</w:t>
            </w:r>
            <w:r>
              <w:rPr>
                <w:rFonts w:hint="default" w:ascii="Calibri" w:hAnsi="Calibri" w:cs="Calibri"/>
                <w:b w:val="0"/>
                <w:bCs w:val="0"/>
                <w:color w:val="auto"/>
                <w:kern w:val="0"/>
                <w:szCs w:val="21"/>
                <w:highlight w:val="none"/>
                <w:lang w:val="en-US" w:eastAsia="zh-CN"/>
              </w:rPr>
              <w:t>设备维护服务</w:t>
            </w:r>
            <w:r>
              <w:rPr>
                <w:rFonts w:hint="default" w:ascii="Calibri" w:hAnsi="Calibri" w:eastAsia="宋体" w:cs="Calibri"/>
                <w:b w:val="0"/>
                <w:bCs w:val="0"/>
                <w:color w:val="auto"/>
                <w:kern w:val="0"/>
                <w:szCs w:val="21"/>
                <w:highlight w:val="none"/>
                <w:lang w:val="en-US" w:eastAsia="zh-CN"/>
              </w:rPr>
              <w:t>：设备台账、设备卡、使用说明、维保记录</w:t>
            </w:r>
            <w:r>
              <w:rPr>
                <w:rFonts w:hint="eastAsia" w:cs="Calibri"/>
                <w:b w:val="0"/>
                <w:bCs w:val="0"/>
                <w:color w:val="auto"/>
                <w:kern w:val="0"/>
                <w:szCs w:val="21"/>
                <w:highlight w:val="none"/>
                <w:lang w:val="en-US" w:eastAsia="zh-CN"/>
              </w:rPr>
              <w:t>、巡查记录、</w:t>
            </w:r>
            <w:r>
              <w:rPr>
                <w:rFonts w:hint="eastAsia"/>
                <w:color w:val="auto"/>
                <w:kern w:val="0"/>
                <w:highlight w:val="none"/>
              </w:rPr>
              <w:t>设施设备安全运行、设施设备定期巡检、维护保养、维修档案</w:t>
            </w:r>
            <w:r>
              <w:rPr>
                <w:rFonts w:hint="default" w:ascii="Calibri" w:hAnsi="Calibri" w:eastAsia="宋体" w:cs="Calibri"/>
                <w:b w:val="0"/>
                <w:bCs w:val="0"/>
                <w:color w:val="auto"/>
                <w:kern w:val="0"/>
                <w:szCs w:val="21"/>
                <w:highlight w:val="none"/>
                <w:lang w:val="en-US" w:eastAsia="zh-CN"/>
              </w:rPr>
              <w:t>等。④</w:t>
            </w:r>
            <w:r>
              <w:rPr>
                <w:rFonts w:hint="eastAsia" w:cs="Calibri"/>
                <w:b w:val="0"/>
                <w:bCs w:val="0"/>
                <w:color w:val="auto"/>
                <w:kern w:val="0"/>
                <w:szCs w:val="21"/>
                <w:highlight w:val="none"/>
                <w:lang w:val="en-US" w:eastAsia="zh-CN"/>
              </w:rPr>
              <w:t>保安服务</w:t>
            </w:r>
            <w:r>
              <w:rPr>
                <w:rFonts w:hint="default" w:ascii="Calibri" w:hAnsi="Calibri" w:eastAsia="宋体" w:cs="Calibri"/>
                <w:b w:val="0"/>
                <w:bCs w:val="0"/>
                <w:color w:val="auto"/>
                <w:kern w:val="0"/>
                <w:szCs w:val="21"/>
                <w:highlight w:val="none"/>
                <w:lang w:val="en-US" w:eastAsia="zh-CN"/>
              </w:rPr>
              <w:t>：监控记录、突发事件演习与处置记录等。⑤保洁服务：工作日志、清洁检查表、用品清单、客户反馈表等。⑥绿化服务：绿化总平面图、清洁整改记录、消杀记录等。⑦其他：客户信息、财务明细、合同协议</w:t>
            </w:r>
            <w:r>
              <w:rPr>
                <w:rFonts w:hint="eastAsia"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信报</w:t>
            </w:r>
            <w:r>
              <w:rPr>
                <w:rFonts w:hint="eastAsia" w:eastAsia="宋体" w:cs="Calibri"/>
                <w:b w:val="0"/>
                <w:bCs w:val="0"/>
                <w:color w:val="auto"/>
                <w:kern w:val="0"/>
                <w:szCs w:val="21"/>
                <w:highlight w:val="none"/>
                <w:lang w:val="en-US" w:eastAsia="zh-CN"/>
              </w:rPr>
              <w:t>信息登记、大件物品进出登记</w:t>
            </w:r>
            <w:r>
              <w:rPr>
                <w:rFonts w:hint="default" w:ascii="Calibri" w:hAnsi="Calibri" w:eastAsia="宋体" w:cs="Calibri"/>
                <w:b w:val="0"/>
                <w:bCs w:val="0"/>
                <w:color w:val="auto"/>
                <w:kern w:val="0"/>
                <w:szCs w:val="21"/>
                <w:highlight w:val="none"/>
                <w:lang w:val="en-US" w:eastAsia="zh-CN"/>
              </w:rPr>
              <w:t>等。</w:t>
            </w:r>
          </w:p>
        </w:tc>
      </w:tr>
      <w:tr w14:paraId="29E0B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noWrap w:val="0"/>
            <w:vAlign w:val="center"/>
          </w:tcPr>
          <w:p w14:paraId="2C9E36C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Chars="0"/>
              <w:jc w:val="center"/>
              <w:textAlignment w:val="auto"/>
              <w:rPr>
                <w:rFonts w:hint="default" w:ascii="Calibri" w:hAnsi="Calibri" w:cs="Calibri"/>
                <w:highlight w:val="none"/>
                <w:lang w:val="en-US" w:eastAsia="zh-CN"/>
              </w:rPr>
            </w:pPr>
          </w:p>
        </w:tc>
        <w:tc>
          <w:tcPr>
            <w:tcW w:w="3297" w:type="dxa"/>
            <w:vMerge w:val="continue"/>
            <w:noWrap w:val="0"/>
            <w:vAlign w:val="center"/>
          </w:tcPr>
          <w:p w14:paraId="03A6CF4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Chars="0"/>
              <w:textAlignment w:val="auto"/>
              <w:rPr>
                <w:rFonts w:hint="default" w:ascii="Calibri" w:hAnsi="Calibri" w:cs="Calibri"/>
                <w:highlight w:val="none"/>
                <w:lang w:val="en-US" w:eastAsia="zh-CN"/>
              </w:rPr>
            </w:pPr>
          </w:p>
        </w:tc>
        <w:tc>
          <w:tcPr>
            <w:tcW w:w="10016" w:type="dxa"/>
            <w:noWrap w:val="0"/>
            <w:vAlign w:val="center"/>
          </w:tcPr>
          <w:p w14:paraId="4C4A7ACB">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（3）</w:t>
            </w:r>
            <w:r>
              <w:rPr>
                <w:rFonts w:hint="default" w:ascii="Calibri" w:hAnsi="Calibri" w:eastAsia="宋体" w:cs="Calibri"/>
                <w:b w:val="0"/>
                <w:bCs w:val="0"/>
                <w:color w:val="auto"/>
                <w:kern w:val="0"/>
                <w:szCs w:val="21"/>
                <w:highlight w:val="none"/>
                <w:lang w:val="en-US" w:eastAsia="zh-CN"/>
              </w:rPr>
              <w:t>遵守采购人的信息、档案资料保密要求，未经许可，不得将</w:t>
            </w:r>
            <w:r>
              <w:rPr>
                <w:rFonts w:hint="eastAsia" w:cs="Calibri"/>
                <w:b w:val="0"/>
                <w:bCs w:val="0"/>
                <w:color w:val="auto"/>
                <w:kern w:val="0"/>
                <w:szCs w:val="21"/>
                <w:highlight w:val="none"/>
                <w:lang w:val="en-US" w:eastAsia="zh-CN"/>
              </w:rPr>
              <w:t>建筑物平面图等</w:t>
            </w:r>
            <w:r>
              <w:rPr>
                <w:rFonts w:hint="default" w:ascii="Calibri" w:hAnsi="Calibri" w:eastAsia="宋体" w:cs="Calibri"/>
                <w:b w:val="0"/>
                <w:bCs w:val="0"/>
                <w:color w:val="auto"/>
                <w:kern w:val="0"/>
                <w:szCs w:val="21"/>
                <w:highlight w:val="none"/>
                <w:lang w:val="en-US" w:eastAsia="zh-CN"/>
              </w:rPr>
              <w:t>资料转作其他用途</w:t>
            </w:r>
            <w:r>
              <w:rPr>
                <w:rFonts w:hint="eastAsia" w:cs="Calibri"/>
                <w:b w:val="0"/>
                <w:bCs w:val="0"/>
                <w:color w:val="auto"/>
                <w:kern w:val="0"/>
                <w:szCs w:val="21"/>
                <w:highlight w:val="none"/>
                <w:lang w:val="en-US" w:eastAsia="zh-CN"/>
              </w:rPr>
              <w:t>或向其他单位、个人提供</w:t>
            </w:r>
            <w:r>
              <w:rPr>
                <w:rFonts w:hint="default" w:ascii="Calibri" w:hAnsi="Calibri" w:eastAsia="宋体" w:cs="Calibri"/>
                <w:b w:val="0"/>
                <w:bCs w:val="0"/>
                <w:color w:val="auto"/>
                <w:kern w:val="0"/>
                <w:szCs w:val="21"/>
                <w:highlight w:val="none"/>
                <w:lang w:val="en-US" w:eastAsia="zh-CN"/>
              </w:rPr>
              <w:t>。</w:t>
            </w:r>
          </w:p>
        </w:tc>
      </w:tr>
      <w:tr w14:paraId="52EED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noWrap w:val="0"/>
            <w:vAlign w:val="center"/>
          </w:tcPr>
          <w:p w14:paraId="20860F6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Chars="0"/>
              <w:jc w:val="center"/>
              <w:textAlignment w:val="auto"/>
              <w:rPr>
                <w:rFonts w:hint="default" w:ascii="Calibri" w:hAnsi="Calibri" w:cs="Calibri"/>
                <w:highlight w:val="none"/>
                <w:lang w:val="en-US" w:eastAsia="zh-CN"/>
              </w:rPr>
            </w:pPr>
          </w:p>
        </w:tc>
        <w:tc>
          <w:tcPr>
            <w:tcW w:w="3297" w:type="dxa"/>
            <w:vMerge w:val="continue"/>
            <w:noWrap w:val="0"/>
            <w:vAlign w:val="center"/>
          </w:tcPr>
          <w:p w14:paraId="4C9254C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Chars="0"/>
              <w:textAlignment w:val="auto"/>
              <w:rPr>
                <w:rFonts w:hint="default" w:ascii="Calibri" w:hAnsi="Calibri" w:cs="Calibri"/>
                <w:highlight w:val="none"/>
                <w:lang w:val="en-US" w:eastAsia="zh-CN"/>
              </w:rPr>
            </w:pPr>
          </w:p>
        </w:tc>
        <w:tc>
          <w:tcPr>
            <w:tcW w:w="10016" w:type="dxa"/>
            <w:noWrap w:val="0"/>
            <w:vAlign w:val="center"/>
          </w:tcPr>
          <w:p w14:paraId="33C6FC6F">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（4）履约结束后，相关资料交还采购人，采购人按政府采购相关规定存档。</w:t>
            </w:r>
          </w:p>
        </w:tc>
      </w:tr>
      <w:tr w14:paraId="7E72C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restart"/>
            <w:noWrap w:val="0"/>
            <w:vAlign w:val="center"/>
          </w:tcPr>
          <w:p w14:paraId="4F5108F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highlight w:val="none"/>
                <w:lang w:val="en-US" w:eastAsia="zh-CN"/>
              </w:rPr>
            </w:pPr>
            <w:r>
              <w:rPr>
                <w:rFonts w:hint="eastAsia" w:cs="Calibri"/>
                <w:highlight w:val="none"/>
                <w:lang w:val="en-US" w:eastAsia="zh-CN"/>
              </w:rPr>
              <w:t>5</w:t>
            </w:r>
          </w:p>
        </w:tc>
        <w:tc>
          <w:tcPr>
            <w:tcW w:w="3297" w:type="dxa"/>
            <w:vMerge w:val="restart"/>
            <w:noWrap w:val="0"/>
            <w:vAlign w:val="center"/>
          </w:tcPr>
          <w:p w14:paraId="5B95B64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cs="Calibri"/>
                <w:highlight w:val="none"/>
                <w:lang w:val="en-US" w:eastAsia="zh-CN"/>
              </w:rPr>
            </w:pPr>
            <w:r>
              <w:rPr>
                <w:rFonts w:hint="default" w:ascii="Calibri" w:hAnsi="Calibri" w:cs="Calibri"/>
                <w:highlight w:val="none"/>
                <w:lang w:val="en-US" w:eastAsia="zh-CN"/>
              </w:rPr>
              <w:t>服务改进</w:t>
            </w:r>
          </w:p>
          <w:p w14:paraId="49E91E5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cs="Calibri"/>
                <w:highlight w:val="none"/>
                <w:lang w:val="en-US" w:eastAsia="zh-CN"/>
              </w:rPr>
            </w:pPr>
          </w:p>
        </w:tc>
        <w:tc>
          <w:tcPr>
            <w:tcW w:w="10016" w:type="dxa"/>
            <w:noWrap w:val="0"/>
            <w:vAlign w:val="center"/>
          </w:tcPr>
          <w:p w14:paraId="1D43C895">
            <w:pPr>
              <w:keepNext w:val="0"/>
              <w:keepLines w:val="0"/>
              <w:pageBreakBefore w:val="0"/>
              <w:widowControl/>
              <w:kinsoku/>
              <w:wordWrap/>
              <w:overflowPunct/>
              <w:topLinePunct w:val="0"/>
              <w:autoSpaceDE/>
              <w:autoSpaceDN/>
              <w:bidi w:val="0"/>
              <w:adjustRightInd/>
              <w:snapToGrid w:val="0"/>
              <w:spacing w:line="300" w:lineRule="auto"/>
              <w:ind w:left="0" w:leftChars="0" w:firstLine="240" w:firstLineChars="100"/>
              <w:jc w:val="left"/>
              <w:textAlignment w:val="auto"/>
              <w:rPr>
                <w:rFonts w:hint="default" w:ascii="Calibri" w:hAnsi="Calibri" w:eastAsia="宋体" w:cs="Calibri"/>
                <w:b w:val="0"/>
                <w:bCs w:val="0"/>
                <w:color w:val="auto"/>
                <w:kern w:val="0"/>
                <w:sz w:val="21"/>
                <w:szCs w:val="21"/>
                <w:highlight w:val="none"/>
                <w:lang w:val="en-US" w:eastAsia="zh-CN" w:bidi="ar-SA"/>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（1）</w:t>
            </w:r>
            <w:r>
              <w:rPr>
                <w:rFonts w:hint="default" w:ascii="Calibri" w:hAnsi="Calibri" w:eastAsia="宋体" w:cs="Calibri"/>
                <w:b w:val="0"/>
                <w:bCs w:val="0"/>
                <w:color w:val="auto"/>
                <w:kern w:val="0"/>
                <w:szCs w:val="21"/>
                <w:highlight w:val="none"/>
                <w:lang w:val="en-US" w:eastAsia="zh-CN"/>
              </w:rPr>
              <w:t>明确负责人，定期对物业服务过程进行自查，结合反馈意见与评价结果采取改进措施，持续提升管理与服务水平。</w:t>
            </w:r>
          </w:p>
        </w:tc>
      </w:tr>
      <w:tr w14:paraId="1E5BF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noWrap w:val="0"/>
            <w:vAlign w:val="center"/>
          </w:tcPr>
          <w:p w14:paraId="51996BD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Chars="0"/>
              <w:jc w:val="center"/>
              <w:textAlignment w:val="auto"/>
              <w:rPr>
                <w:rFonts w:hint="default" w:ascii="Calibri" w:hAnsi="Calibri" w:cs="Calibri"/>
                <w:highlight w:val="none"/>
                <w:lang w:val="en-US" w:eastAsia="zh-CN"/>
              </w:rPr>
            </w:pPr>
          </w:p>
        </w:tc>
        <w:tc>
          <w:tcPr>
            <w:tcW w:w="3297" w:type="dxa"/>
            <w:vMerge w:val="continue"/>
            <w:noWrap w:val="0"/>
            <w:vAlign w:val="center"/>
          </w:tcPr>
          <w:p w14:paraId="4632DAE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Chars="0"/>
              <w:textAlignment w:val="auto"/>
              <w:rPr>
                <w:rFonts w:hint="default" w:ascii="Calibri" w:hAnsi="Calibri" w:cs="Calibri"/>
                <w:highlight w:val="none"/>
                <w:lang w:val="en-US" w:eastAsia="zh-CN"/>
              </w:rPr>
            </w:pPr>
          </w:p>
        </w:tc>
        <w:tc>
          <w:tcPr>
            <w:tcW w:w="10016" w:type="dxa"/>
            <w:noWrap w:val="0"/>
            <w:vAlign w:val="center"/>
          </w:tcPr>
          <w:p w14:paraId="4A1B8D77">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（2）</w:t>
            </w:r>
            <w:r>
              <w:rPr>
                <w:rFonts w:hint="default" w:ascii="Calibri" w:hAnsi="Calibri" w:eastAsia="宋体" w:cs="Calibri"/>
                <w:b w:val="0"/>
                <w:bCs w:val="0"/>
                <w:color w:val="auto"/>
                <w:kern w:val="0"/>
                <w:szCs w:val="21"/>
                <w:highlight w:val="none"/>
                <w:lang w:val="en-US" w:eastAsia="zh-CN"/>
              </w:rPr>
              <w:t>对不合格服务进行控制，对不合格服务的原因进行识别和分析，及时采取纠正措施，消除不合格的原因，防止不合格再发生。</w:t>
            </w:r>
          </w:p>
        </w:tc>
      </w:tr>
      <w:tr w14:paraId="1CE8C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noWrap w:val="0"/>
            <w:vAlign w:val="center"/>
          </w:tcPr>
          <w:p w14:paraId="3BC2C5A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highlight w:val="none"/>
                <w:lang w:val="en-US" w:eastAsia="zh-CN"/>
              </w:rPr>
            </w:pPr>
          </w:p>
        </w:tc>
        <w:tc>
          <w:tcPr>
            <w:tcW w:w="3297" w:type="dxa"/>
            <w:vMerge w:val="continue"/>
            <w:noWrap w:val="0"/>
            <w:vAlign w:val="center"/>
          </w:tcPr>
          <w:p w14:paraId="70CB20C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cs="Calibri"/>
                <w:highlight w:val="none"/>
                <w:lang w:val="en-US" w:eastAsia="zh-CN"/>
              </w:rPr>
            </w:pPr>
          </w:p>
        </w:tc>
        <w:tc>
          <w:tcPr>
            <w:tcW w:w="10016" w:type="dxa"/>
            <w:noWrap w:val="0"/>
            <w:vAlign w:val="center"/>
          </w:tcPr>
          <w:p w14:paraId="5154B856">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（3）</w:t>
            </w:r>
            <w:r>
              <w:rPr>
                <w:rFonts w:hint="default" w:ascii="Calibri" w:hAnsi="Calibri" w:eastAsia="宋体" w:cs="Calibri"/>
                <w:b w:val="0"/>
                <w:bCs w:val="0"/>
                <w:color w:val="auto"/>
                <w:kern w:val="0"/>
                <w:szCs w:val="21"/>
                <w:highlight w:val="none"/>
                <w:lang w:val="en-US" w:eastAsia="zh-CN"/>
              </w:rPr>
              <w:t>需整改问题</w:t>
            </w:r>
            <w:r>
              <w:rPr>
                <w:rFonts w:hint="eastAsia" w:cs="Calibri"/>
                <w:b w:val="0"/>
                <w:bCs w:val="0"/>
                <w:color w:val="auto"/>
                <w:kern w:val="0"/>
                <w:szCs w:val="21"/>
                <w:highlight w:val="none"/>
                <w:lang w:val="en-US" w:eastAsia="zh-CN"/>
              </w:rPr>
              <w:t>及时</w:t>
            </w:r>
            <w:r>
              <w:rPr>
                <w:rFonts w:hint="default" w:ascii="Calibri" w:hAnsi="Calibri" w:eastAsia="宋体" w:cs="Calibri"/>
                <w:b w:val="0"/>
                <w:bCs w:val="0"/>
                <w:color w:val="auto"/>
                <w:kern w:val="0"/>
                <w:szCs w:val="21"/>
                <w:highlight w:val="none"/>
                <w:lang w:val="en-US" w:eastAsia="zh-CN"/>
              </w:rPr>
              <w:t>整改完成。</w:t>
            </w:r>
          </w:p>
        </w:tc>
      </w:tr>
      <w:tr w14:paraId="1704C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restart"/>
            <w:noWrap w:val="0"/>
            <w:vAlign w:val="center"/>
          </w:tcPr>
          <w:p w14:paraId="486B044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highlight w:val="none"/>
                <w:lang w:val="en-US" w:eastAsia="zh-CN"/>
              </w:rPr>
            </w:pPr>
            <w:r>
              <w:rPr>
                <w:rFonts w:hint="eastAsia" w:cs="Calibri"/>
                <w:highlight w:val="none"/>
                <w:lang w:val="en-US" w:eastAsia="zh-CN"/>
              </w:rPr>
              <w:t>6</w:t>
            </w:r>
          </w:p>
        </w:tc>
        <w:tc>
          <w:tcPr>
            <w:tcW w:w="3297" w:type="dxa"/>
            <w:vMerge w:val="restart"/>
            <w:noWrap w:val="0"/>
            <w:vAlign w:val="center"/>
          </w:tcPr>
          <w:p w14:paraId="68C95C1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default" w:ascii="Calibri" w:hAnsi="Calibri" w:eastAsia="宋体" w:cs="Calibri"/>
                <w:highlight w:val="none"/>
                <w:lang w:val="en-US" w:eastAsia="zh-CN"/>
              </w:rPr>
            </w:pPr>
            <w:r>
              <w:rPr>
                <w:rFonts w:hint="default" w:ascii="Calibri" w:hAnsi="Calibri" w:cs="Calibri"/>
                <w:highlight w:val="none"/>
              </w:rPr>
              <w:t>重大活动后勤保障</w:t>
            </w:r>
          </w:p>
        </w:tc>
        <w:tc>
          <w:tcPr>
            <w:tcW w:w="10016" w:type="dxa"/>
            <w:noWrap w:val="0"/>
            <w:vAlign w:val="center"/>
          </w:tcPr>
          <w:p w14:paraId="4F7EB211">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（1）</w:t>
            </w:r>
            <w:r>
              <w:rPr>
                <w:rFonts w:hint="default" w:ascii="Calibri" w:hAnsi="Calibri" w:eastAsia="宋体" w:cs="Calibri"/>
                <w:b w:val="0"/>
                <w:bCs w:val="0"/>
                <w:color w:val="auto"/>
                <w:kern w:val="0"/>
                <w:szCs w:val="21"/>
                <w:highlight w:val="none"/>
                <w:lang w:val="en-US" w:eastAsia="zh-CN"/>
              </w:rPr>
              <w:t>制订流程。配合采购人制订重大活动后勤保障工作流程，需对任务进行详细了解，并根据工作安排制定详细的后勤保障计划。</w:t>
            </w:r>
          </w:p>
        </w:tc>
      </w:tr>
      <w:tr w14:paraId="1FC6F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noWrap w:val="0"/>
            <w:vAlign w:val="center"/>
          </w:tcPr>
          <w:p w14:paraId="500E77D8">
            <w:pPr>
              <w:keepNext w:val="0"/>
              <w:keepLines w:val="0"/>
              <w:pageBreakBefore w:val="0"/>
              <w:widowControl/>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highlight w:val="none"/>
                <w:lang w:val="en-US" w:eastAsia="zh-CN"/>
              </w:rPr>
            </w:pPr>
          </w:p>
        </w:tc>
        <w:tc>
          <w:tcPr>
            <w:tcW w:w="3297" w:type="dxa"/>
            <w:vMerge w:val="continue"/>
            <w:noWrap w:val="0"/>
            <w:vAlign w:val="center"/>
          </w:tcPr>
          <w:p w14:paraId="3194D9AC">
            <w:pPr>
              <w:keepNext w:val="0"/>
              <w:keepLines w:val="0"/>
              <w:pageBreakBefore w:val="0"/>
              <w:widowControl/>
              <w:kinsoku/>
              <w:wordWrap/>
              <w:overflowPunct/>
              <w:topLinePunct w:val="0"/>
              <w:autoSpaceDE/>
              <w:autoSpaceDN/>
              <w:bidi w:val="0"/>
              <w:adjustRightInd/>
              <w:snapToGrid w:val="0"/>
              <w:spacing w:line="300" w:lineRule="auto"/>
              <w:ind w:left="0" w:leftChars="0" w:firstLine="0" w:firstLineChars="0"/>
              <w:jc w:val="both"/>
              <w:textAlignment w:val="auto"/>
              <w:rPr>
                <w:rFonts w:hint="default" w:ascii="Calibri" w:hAnsi="Calibri" w:eastAsia="宋体" w:cs="Calibri"/>
                <w:highlight w:val="none"/>
                <w:lang w:val="en-US" w:eastAsia="zh-CN"/>
              </w:rPr>
            </w:pPr>
          </w:p>
        </w:tc>
        <w:tc>
          <w:tcPr>
            <w:tcW w:w="10016" w:type="dxa"/>
            <w:noWrap w:val="0"/>
            <w:vAlign w:val="center"/>
          </w:tcPr>
          <w:p w14:paraId="0836B557">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（2）</w:t>
            </w:r>
            <w:r>
              <w:rPr>
                <w:rFonts w:hint="default" w:ascii="Calibri" w:hAnsi="Calibri" w:eastAsia="宋体" w:cs="Calibri"/>
                <w:b w:val="0"/>
                <w:bCs w:val="0"/>
                <w:color w:val="auto"/>
                <w:kern w:val="0"/>
                <w:szCs w:val="21"/>
                <w:highlight w:val="none"/>
                <w:lang w:val="en-US" w:eastAsia="zh-CN"/>
              </w:rPr>
              <w:t>实施保障。按计划在关键区域和重点部位进行部署，确保任务顺利进行，对活动区域进行全面安全检查，发现并排除安全隐患，对车辆进行有序引导和管理，确保交通安全畅通，以礼貌、专业的态度对待来宾，展现良好形象。</w:t>
            </w:r>
          </w:p>
        </w:tc>
      </w:tr>
      <w:tr w14:paraId="799BD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noWrap w:val="0"/>
            <w:vAlign w:val="center"/>
          </w:tcPr>
          <w:p w14:paraId="0084B4F7">
            <w:pPr>
              <w:keepNext w:val="0"/>
              <w:keepLines w:val="0"/>
              <w:pageBreakBefore w:val="0"/>
              <w:widowControl/>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highlight w:val="none"/>
                <w:lang w:val="en-US" w:eastAsia="zh-CN"/>
              </w:rPr>
            </w:pPr>
          </w:p>
        </w:tc>
        <w:tc>
          <w:tcPr>
            <w:tcW w:w="3297" w:type="dxa"/>
            <w:vMerge w:val="continue"/>
            <w:noWrap w:val="0"/>
            <w:vAlign w:val="center"/>
          </w:tcPr>
          <w:p w14:paraId="08312463">
            <w:pPr>
              <w:keepNext w:val="0"/>
              <w:keepLines w:val="0"/>
              <w:pageBreakBefore w:val="0"/>
              <w:widowControl/>
              <w:kinsoku/>
              <w:wordWrap/>
              <w:overflowPunct/>
              <w:topLinePunct w:val="0"/>
              <w:autoSpaceDE/>
              <w:autoSpaceDN/>
              <w:bidi w:val="0"/>
              <w:adjustRightInd/>
              <w:snapToGrid w:val="0"/>
              <w:spacing w:line="300" w:lineRule="auto"/>
              <w:ind w:left="0" w:leftChars="0" w:firstLine="0" w:firstLineChars="0"/>
              <w:jc w:val="both"/>
              <w:textAlignment w:val="auto"/>
              <w:rPr>
                <w:rFonts w:hint="default" w:ascii="Calibri" w:hAnsi="Calibri" w:eastAsia="宋体" w:cs="Calibri"/>
                <w:highlight w:val="none"/>
                <w:lang w:val="en-US" w:eastAsia="zh-CN"/>
              </w:rPr>
            </w:pPr>
          </w:p>
        </w:tc>
        <w:tc>
          <w:tcPr>
            <w:tcW w:w="10016" w:type="dxa"/>
            <w:noWrap w:val="0"/>
            <w:vAlign w:val="center"/>
          </w:tcPr>
          <w:p w14:paraId="75B26B90">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（3）</w:t>
            </w:r>
            <w:r>
              <w:rPr>
                <w:rFonts w:hint="default" w:ascii="Calibri" w:hAnsi="Calibri" w:eastAsia="宋体" w:cs="Calibri"/>
                <w:b w:val="0"/>
                <w:bCs w:val="0"/>
                <w:color w:val="auto"/>
                <w:kern w:val="0"/>
                <w:szCs w:val="21"/>
                <w:highlight w:val="none"/>
                <w:lang w:val="en-US" w:eastAsia="zh-CN"/>
              </w:rPr>
              <w:t>收尾工作。对现场进行检查，做好清理工作。</w:t>
            </w:r>
          </w:p>
        </w:tc>
      </w:tr>
      <w:tr w14:paraId="564F8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restart"/>
            <w:noWrap w:val="0"/>
            <w:vAlign w:val="center"/>
          </w:tcPr>
          <w:p w14:paraId="60996C2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color w:val="auto"/>
                <w:kern w:val="0"/>
                <w:szCs w:val="21"/>
                <w:highlight w:val="none"/>
                <w:lang w:val="en-US" w:eastAsia="zh-CN"/>
              </w:rPr>
            </w:pPr>
            <w:r>
              <w:rPr>
                <w:rFonts w:hint="eastAsia" w:cs="Calibri"/>
                <w:color w:val="auto"/>
                <w:kern w:val="0"/>
                <w:szCs w:val="21"/>
                <w:highlight w:val="none"/>
                <w:lang w:val="en-US" w:eastAsia="zh-CN"/>
              </w:rPr>
              <w:t>7</w:t>
            </w:r>
          </w:p>
        </w:tc>
        <w:tc>
          <w:tcPr>
            <w:tcW w:w="3297" w:type="dxa"/>
            <w:vMerge w:val="restart"/>
            <w:noWrap w:val="0"/>
            <w:vAlign w:val="center"/>
          </w:tcPr>
          <w:p w14:paraId="27B2042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default" w:ascii="Calibri" w:hAnsi="Calibri" w:eastAsia="宋体" w:cs="Calibri"/>
                <w:highlight w:val="none"/>
                <w:lang w:val="en-US" w:eastAsia="zh-CN"/>
              </w:rPr>
            </w:pPr>
            <w:r>
              <w:rPr>
                <w:rFonts w:hint="default" w:ascii="Calibri" w:hAnsi="Calibri" w:eastAsia="宋体" w:cs="Calibri"/>
                <w:color w:val="auto"/>
                <w:kern w:val="0"/>
                <w:szCs w:val="21"/>
                <w:highlight w:val="none"/>
                <w:lang w:val="en-US" w:eastAsia="zh-CN"/>
              </w:rPr>
              <w:t>应急保障预案</w:t>
            </w:r>
          </w:p>
        </w:tc>
        <w:tc>
          <w:tcPr>
            <w:tcW w:w="10016" w:type="dxa"/>
            <w:noWrap w:val="0"/>
            <w:vAlign w:val="center"/>
          </w:tcPr>
          <w:p w14:paraId="736B214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color w:val="auto"/>
                <w:szCs w:val="21"/>
                <w:highlight w:val="none"/>
                <w:u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（1）</w:t>
            </w:r>
            <w:r>
              <w:rPr>
                <w:rFonts w:hint="default" w:ascii="Calibri" w:hAnsi="Calibri" w:eastAsia="宋体" w:cs="Calibri"/>
                <w:color w:val="auto"/>
                <w:szCs w:val="21"/>
                <w:highlight w:val="none"/>
                <w:u w:val="none"/>
                <w:lang w:val="en-US" w:eastAsia="zh-CN"/>
              </w:rPr>
              <w:t>重点区域及安全隐患排查。结合项目的实际情况，对重点部位及危险隐患进行排查，并建立清单/台账；应</w:t>
            </w:r>
            <w:r>
              <w:rPr>
                <w:rFonts w:hint="eastAsia" w:cs="Calibri"/>
                <w:color w:val="auto"/>
                <w:szCs w:val="21"/>
                <w:highlight w:val="none"/>
                <w:u w:val="none"/>
                <w:lang w:val="en-US" w:eastAsia="zh-CN"/>
              </w:rPr>
              <w:t>当</w:t>
            </w:r>
            <w:r>
              <w:rPr>
                <w:rFonts w:hint="default" w:ascii="Calibri" w:hAnsi="Calibri" w:eastAsia="宋体" w:cs="Calibri"/>
                <w:color w:val="auto"/>
                <w:szCs w:val="21"/>
                <w:highlight w:val="none"/>
                <w:u w:val="none"/>
                <w:lang w:val="en-US" w:eastAsia="zh-CN"/>
              </w:rPr>
              <w:t>对危险隐患进行风险分析，制定相应措施进行控制或整改并定期监控；随着设施设备、服务内容的变化，及时更新清单/台账，使风险隐患始终处于受控状态</w:t>
            </w:r>
            <w:r>
              <w:rPr>
                <w:rFonts w:hint="eastAsia" w:cs="Calibri"/>
                <w:color w:val="auto"/>
                <w:szCs w:val="21"/>
                <w:highlight w:val="none"/>
                <w:u w:val="none"/>
                <w:lang w:val="en-US" w:eastAsia="zh-CN"/>
              </w:rPr>
              <w:t>。</w:t>
            </w:r>
          </w:p>
        </w:tc>
      </w:tr>
      <w:tr w14:paraId="63DD1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noWrap w:val="0"/>
            <w:vAlign w:val="center"/>
          </w:tcPr>
          <w:p w14:paraId="31EDB7B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color w:val="auto"/>
                <w:kern w:val="0"/>
                <w:szCs w:val="21"/>
                <w:highlight w:val="none"/>
                <w:lang w:val="en-US" w:eastAsia="zh-CN"/>
              </w:rPr>
            </w:pPr>
          </w:p>
        </w:tc>
        <w:tc>
          <w:tcPr>
            <w:tcW w:w="3297" w:type="dxa"/>
            <w:vMerge w:val="continue"/>
            <w:noWrap w:val="0"/>
            <w:vAlign w:val="center"/>
          </w:tcPr>
          <w:p w14:paraId="495946B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default" w:ascii="Calibri" w:hAnsi="Calibri" w:eastAsia="宋体" w:cs="Calibri"/>
                <w:color w:val="auto"/>
                <w:kern w:val="0"/>
                <w:szCs w:val="21"/>
                <w:highlight w:val="none"/>
                <w:lang w:val="en-US" w:eastAsia="zh-CN"/>
              </w:rPr>
            </w:pPr>
          </w:p>
        </w:tc>
        <w:tc>
          <w:tcPr>
            <w:tcW w:w="10016" w:type="dxa"/>
            <w:noWrap w:val="0"/>
            <w:vAlign w:val="center"/>
          </w:tcPr>
          <w:p w14:paraId="6C38919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color w:val="auto"/>
                <w:szCs w:val="21"/>
                <w:highlight w:val="none"/>
                <w:u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（2）</w:t>
            </w:r>
            <w:r>
              <w:rPr>
                <w:rFonts w:hint="default" w:ascii="Calibri" w:hAnsi="Calibri" w:eastAsia="宋体" w:cs="Calibri"/>
                <w:color w:val="auto"/>
                <w:szCs w:val="21"/>
                <w:highlight w:val="none"/>
                <w:u w:val="none"/>
                <w:lang w:val="en-US" w:eastAsia="zh-CN"/>
              </w:rPr>
              <w:t>应急预案的建立。根据办公楼隐患排查的结果和实际情况，制定专项预案，包括但不限于：火情火警紧急处理应急预案、紧急疏散应急预案、</w:t>
            </w:r>
            <w:r>
              <w:rPr>
                <w:rFonts w:hint="eastAsia" w:cs="Calibri"/>
                <w:color w:val="auto"/>
                <w:szCs w:val="21"/>
                <w:highlight w:val="none"/>
                <w:u w:val="none"/>
                <w:lang w:val="en-US" w:eastAsia="zh-CN"/>
              </w:rPr>
              <w:t>停水</w:t>
            </w:r>
            <w:r>
              <w:rPr>
                <w:rFonts w:hint="default" w:ascii="Calibri" w:hAnsi="Calibri" w:eastAsia="宋体" w:cs="Calibri"/>
                <w:color w:val="auto"/>
                <w:szCs w:val="21"/>
                <w:highlight w:val="none"/>
                <w:u w:val="none"/>
                <w:lang w:val="en-US" w:eastAsia="zh-CN"/>
              </w:rPr>
              <w:t>停电应急预案、有限空间救援应急预案、高空作业救援应急预案、恶劣天气应对应急预案等</w:t>
            </w:r>
            <w:r>
              <w:rPr>
                <w:rFonts w:hint="eastAsia" w:cs="Calibri"/>
                <w:color w:val="auto"/>
                <w:szCs w:val="21"/>
                <w:highlight w:val="none"/>
                <w:u w:val="none"/>
                <w:lang w:val="en-US" w:eastAsia="zh-CN"/>
              </w:rPr>
              <w:t>。</w:t>
            </w:r>
          </w:p>
        </w:tc>
      </w:tr>
      <w:tr w14:paraId="72ED8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noWrap w:val="0"/>
            <w:vAlign w:val="center"/>
          </w:tcPr>
          <w:p w14:paraId="209FC0D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color w:val="auto"/>
                <w:kern w:val="0"/>
                <w:szCs w:val="21"/>
                <w:highlight w:val="none"/>
                <w:lang w:val="en-US" w:eastAsia="zh-CN"/>
              </w:rPr>
            </w:pPr>
          </w:p>
        </w:tc>
        <w:tc>
          <w:tcPr>
            <w:tcW w:w="3297" w:type="dxa"/>
            <w:vMerge w:val="continue"/>
            <w:noWrap w:val="0"/>
            <w:vAlign w:val="center"/>
          </w:tcPr>
          <w:p w14:paraId="5582EF1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default" w:ascii="Calibri" w:hAnsi="Calibri" w:eastAsia="宋体" w:cs="Calibri"/>
                <w:color w:val="auto"/>
                <w:kern w:val="0"/>
                <w:szCs w:val="21"/>
                <w:highlight w:val="none"/>
                <w:lang w:val="en-US" w:eastAsia="zh-CN"/>
              </w:rPr>
            </w:pPr>
          </w:p>
        </w:tc>
        <w:tc>
          <w:tcPr>
            <w:tcW w:w="10016" w:type="dxa"/>
            <w:noWrap w:val="0"/>
            <w:vAlign w:val="center"/>
          </w:tcPr>
          <w:p w14:paraId="344B29E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color w:val="auto"/>
                <w:szCs w:val="21"/>
                <w:highlight w:val="none"/>
                <w:u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（3）</w:t>
            </w:r>
            <w:r>
              <w:rPr>
                <w:rFonts w:hint="default" w:ascii="Calibri" w:hAnsi="Calibri" w:eastAsia="宋体" w:cs="Calibri"/>
                <w:color w:val="auto"/>
                <w:szCs w:val="21"/>
                <w:highlight w:val="none"/>
                <w:u w:val="none"/>
                <w:lang w:val="en-US" w:eastAsia="zh-CN"/>
              </w:rPr>
              <w:t>应急预案的培训和演练。应急预案定期培训和演练，组织相关岗位每半年至少开展一次专项应急预案演练；留存培训及演练记录和影像资料，并对预案进行评价，确保与实际情况相结合</w:t>
            </w:r>
            <w:r>
              <w:rPr>
                <w:rFonts w:hint="eastAsia" w:cs="Calibri"/>
                <w:color w:val="auto"/>
                <w:szCs w:val="21"/>
                <w:highlight w:val="none"/>
                <w:u w:val="none"/>
                <w:lang w:val="en-US" w:eastAsia="zh-CN"/>
              </w:rPr>
              <w:t>。</w:t>
            </w:r>
          </w:p>
        </w:tc>
      </w:tr>
      <w:tr w14:paraId="1577E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noWrap w:val="0"/>
            <w:vAlign w:val="center"/>
          </w:tcPr>
          <w:p w14:paraId="4C6C12F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color w:val="auto"/>
                <w:kern w:val="0"/>
                <w:szCs w:val="21"/>
                <w:highlight w:val="none"/>
                <w:lang w:val="en-US" w:eastAsia="zh-CN"/>
              </w:rPr>
            </w:pPr>
          </w:p>
        </w:tc>
        <w:tc>
          <w:tcPr>
            <w:tcW w:w="3297" w:type="dxa"/>
            <w:vMerge w:val="continue"/>
            <w:noWrap w:val="0"/>
            <w:vAlign w:val="center"/>
          </w:tcPr>
          <w:p w14:paraId="06359A3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default" w:ascii="Calibri" w:hAnsi="Calibri" w:eastAsia="宋体" w:cs="Calibri"/>
                <w:highlight w:val="none"/>
                <w:lang w:val="en-US" w:eastAsia="zh-CN"/>
              </w:rPr>
            </w:pPr>
          </w:p>
        </w:tc>
        <w:tc>
          <w:tcPr>
            <w:tcW w:w="10016" w:type="dxa"/>
            <w:noWrap w:val="0"/>
            <w:vAlign w:val="center"/>
          </w:tcPr>
          <w:p w14:paraId="25D8A795">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（4）</w:t>
            </w:r>
            <w:r>
              <w:rPr>
                <w:rFonts w:hint="default" w:ascii="Calibri" w:hAnsi="Calibri" w:eastAsia="宋体" w:cs="Calibri"/>
                <w:color w:val="auto"/>
                <w:szCs w:val="21"/>
                <w:highlight w:val="none"/>
                <w:u w:val="none"/>
                <w:lang w:val="en-US" w:eastAsia="zh-CN"/>
              </w:rPr>
              <w:t>应急物资的管理。根据专项预案中的应对需要</w:t>
            </w:r>
            <w:r>
              <w:rPr>
                <w:rFonts w:hint="eastAsia" w:cs="Calibri"/>
                <w:color w:val="auto"/>
                <w:szCs w:val="21"/>
                <w:highlight w:val="none"/>
                <w:u w:val="none"/>
                <w:lang w:val="en-US" w:eastAsia="zh-CN"/>
              </w:rPr>
              <w:t>、</w:t>
            </w:r>
            <w:r>
              <w:rPr>
                <w:rFonts w:hint="default" w:ascii="Calibri" w:hAnsi="Calibri" w:eastAsia="宋体" w:cs="Calibri"/>
                <w:color w:val="auto"/>
                <w:szCs w:val="21"/>
                <w:highlight w:val="none"/>
                <w:u w:val="none"/>
                <w:lang w:val="en-US" w:eastAsia="zh-CN"/>
              </w:rPr>
              <w:t>必要的应急物资，建立清单或台账，并由专人定期对应急物资进行检查，</w:t>
            </w:r>
            <w:r>
              <w:rPr>
                <w:rFonts w:hint="eastAsia" w:cs="Calibri"/>
                <w:color w:val="auto"/>
                <w:szCs w:val="21"/>
                <w:highlight w:val="none"/>
                <w:u w:val="none"/>
                <w:lang w:val="en-US" w:eastAsia="zh-CN"/>
              </w:rPr>
              <w:t>如有应急物资不足，及时通知采购人购置齐全，</w:t>
            </w:r>
            <w:r>
              <w:rPr>
                <w:rFonts w:hint="default" w:ascii="Calibri" w:hAnsi="Calibri" w:eastAsia="宋体" w:cs="Calibri"/>
                <w:color w:val="auto"/>
                <w:szCs w:val="21"/>
                <w:highlight w:val="none"/>
                <w:u w:val="none"/>
                <w:lang w:val="en-US" w:eastAsia="zh-CN"/>
              </w:rPr>
              <w:t>确保能够随时正常使用。</w:t>
            </w:r>
          </w:p>
        </w:tc>
      </w:tr>
      <w:tr w14:paraId="3501D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restart"/>
            <w:noWrap w:val="0"/>
            <w:vAlign w:val="center"/>
          </w:tcPr>
          <w:p w14:paraId="31F7B4F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cs="Calibri"/>
                <w:highlight w:val="none"/>
                <w:lang w:val="en-US" w:eastAsia="zh-CN"/>
              </w:rPr>
            </w:pPr>
            <w:r>
              <w:rPr>
                <w:rFonts w:hint="eastAsia" w:cs="Calibri"/>
                <w:highlight w:val="none"/>
                <w:lang w:val="en-US" w:eastAsia="zh-CN"/>
              </w:rPr>
              <w:t>8</w:t>
            </w:r>
          </w:p>
        </w:tc>
        <w:tc>
          <w:tcPr>
            <w:tcW w:w="3297" w:type="dxa"/>
            <w:vMerge w:val="restart"/>
            <w:noWrap w:val="0"/>
            <w:vAlign w:val="center"/>
          </w:tcPr>
          <w:p w14:paraId="1153654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default" w:ascii="Calibri" w:hAnsi="Calibri" w:cs="Calibri"/>
                <w:highlight w:val="none"/>
                <w:lang w:val="en-US" w:eastAsia="zh-CN"/>
              </w:rPr>
            </w:pPr>
            <w:r>
              <w:rPr>
                <w:rFonts w:hint="default" w:ascii="Calibri" w:hAnsi="Calibri" w:cs="Calibri"/>
                <w:highlight w:val="none"/>
                <w:lang w:val="en-US" w:eastAsia="zh-CN"/>
              </w:rPr>
              <w:t>服务方案</w:t>
            </w:r>
            <w:r>
              <w:rPr>
                <w:rFonts w:hint="eastAsia" w:cs="Calibri"/>
                <w:highlight w:val="none"/>
                <w:lang w:val="en-US" w:eastAsia="zh-CN"/>
              </w:rPr>
              <w:t>及工作制度</w:t>
            </w:r>
          </w:p>
        </w:tc>
        <w:tc>
          <w:tcPr>
            <w:tcW w:w="10016" w:type="dxa"/>
            <w:noWrap w:val="0"/>
            <w:vAlign w:val="center"/>
          </w:tcPr>
          <w:p w14:paraId="38F1DA91">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bCs/>
                <w:color w:val="auto"/>
                <w:szCs w:val="21"/>
                <w:highlight w:val="none"/>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（1）制定工作制度，</w:t>
            </w:r>
            <w:r>
              <w:rPr>
                <w:rFonts w:hint="eastAsia" w:cs="Calibri"/>
                <w:bCs/>
                <w:color w:val="auto"/>
                <w:szCs w:val="21"/>
                <w:highlight w:val="none"/>
                <w:lang w:eastAsia="zh-CN"/>
              </w:rPr>
              <w:t>主要</w:t>
            </w:r>
            <w:r>
              <w:rPr>
                <w:rFonts w:hint="default" w:ascii="Calibri" w:hAnsi="Calibri" w:eastAsia="宋体" w:cs="Calibri"/>
                <w:bCs/>
                <w:color w:val="auto"/>
                <w:szCs w:val="21"/>
                <w:highlight w:val="none"/>
              </w:rPr>
              <w:t>包括：</w:t>
            </w:r>
            <w:r>
              <w:rPr>
                <w:rFonts w:hint="eastAsia" w:eastAsia="宋体" w:cs="Calibri"/>
                <w:bCs/>
                <w:color w:val="auto"/>
                <w:szCs w:val="21"/>
                <w:highlight w:val="none"/>
                <w:lang w:val="en-US" w:eastAsia="zh-CN"/>
              </w:rPr>
              <w:t>人员录用制度、</w:t>
            </w:r>
            <w:r>
              <w:rPr>
                <w:rFonts w:hint="default" w:ascii="Calibri" w:hAnsi="Calibri" w:eastAsia="宋体" w:cs="Calibri"/>
                <w:b w:val="0"/>
                <w:bCs w:val="0"/>
                <w:color w:val="auto"/>
                <w:kern w:val="0"/>
                <w:szCs w:val="21"/>
                <w:highlight w:val="none"/>
                <w:lang w:val="en-US" w:eastAsia="zh-CN"/>
              </w:rPr>
              <w:t>档案管理制度</w:t>
            </w:r>
            <w:r>
              <w:rPr>
                <w:rFonts w:hint="eastAsia" w:eastAsia="宋体" w:cs="Calibri"/>
                <w:b w:val="0"/>
                <w:bCs w:val="0"/>
                <w:color w:val="auto"/>
                <w:kern w:val="0"/>
                <w:szCs w:val="21"/>
                <w:highlight w:val="none"/>
                <w:lang w:val="en-US" w:eastAsia="zh-CN"/>
              </w:rPr>
              <w:t>、</w:t>
            </w:r>
            <w:r>
              <w:rPr>
                <w:rFonts w:hint="default" w:ascii="Calibri" w:hAnsi="Calibri" w:eastAsia="宋体" w:cs="Calibri"/>
                <w:bCs/>
                <w:color w:val="auto"/>
                <w:szCs w:val="21"/>
                <w:highlight w:val="none"/>
              </w:rPr>
              <w:t>物业服务管理制度</w:t>
            </w:r>
            <w:r>
              <w:rPr>
                <w:rFonts w:hint="eastAsia" w:eastAsia="宋体" w:cs="Calibri"/>
                <w:bCs/>
                <w:color w:val="auto"/>
                <w:szCs w:val="21"/>
                <w:highlight w:val="none"/>
                <w:lang w:eastAsia="zh-CN"/>
              </w:rPr>
              <w:t>、</w:t>
            </w:r>
            <w:r>
              <w:rPr>
                <w:rFonts w:hint="eastAsia" w:cs="Calibri"/>
                <w:b w:val="0"/>
                <w:bCs w:val="0"/>
                <w:color w:val="auto"/>
                <w:kern w:val="0"/>
                <w:szCs w:val="21"/>
                <w:highlight w:val="none"/>
                <w:lang w:val="en-US" w:eastAsia="zh-CN"/>
              </w:rPr>
              <w:t>公用设施设备</w:t>
            </w:r>
            <w:r>
              <w:rPr>
                <w:rFonts w:hint="eastAsia" w:ascii="Calibri" w:hAnsi="Calibri" w:eastAsia="宋体" w:cs="Calibri"/>
                <w:b w:val="0"/>
                <w:bCs w:val="0"/>
                <w:color w:val="auto"/>
                <w:kern w:val="0"/>
                <w:szCs w:val="21"/>
                <w:highlight w:val="none"/>
                <w:lang w:val="en-US" w:eastAsia="zh-CN"/>
              </w:rPr>
              <w:t>相关管理制度</w:t>
            </w:r>
            <w:r>
              <w:rPr>
                <w:rFonts w:hint="eastAsia" w:cs="Calibri"/>
                <w:b w:val="0"/>
                <w:bCs w:val="0"/>
                <w:color w:val="auto"/>
                <w:kern w:val="0"/>
                <w:szCs w:val="21"/>
                <w:highlight w:val="none"/>
                <w:lang w:val="en-US" w:eastAsia="zh-CN"/>
              </w:rPr>
              <w:t>等</w:t>
            </w:r>
            <w:r>
              <w:rPr>
                <w:rFonts w:hint="eastAsia" w:eastAsia="宋体" w:cs="Calibri"/>
                <w:bCs/>
                <w:color w:val="auto"/>
                <w:szCs w:val="21"/>
                <w:highlight w:val="none"/>
                <w:lang w:eastAsia="zh-CN"/>
              </w:rPr>
              <w:t>。</w:t>
            </w:r>
          </w:p>
        </w:tc>
      </w:tr>
      <w:tr w14:paraId="09B1A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noWrap w:val="0"/>
            <w:vAlign w:val="center"/>
          </w:tcPr>
          <w:p w14:paraId="037F0E0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cs="Calibri"/>
                <w:highlight w:val="none"/>
                <w:lang w:val="en-US" w:eastAsia="zh-CN"/>
              </w:rPr>
            </w:pPr>
          </w:p>
        </w:tc>
        <w:tc>
          <w:tcPr>
            <w:tcW w:w="3297" w:type="dxa"/>
            <w:vMerge w:val="continue"/>
            <w:noWrap w:val="0"/>
            <w:vAlign w:val="center"/>
          </w:tcPr>
          <w:p w14:paraId="785638E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default" w:ascii="Calibri" w:hAnsi="Calibri" w:cs="Calibri"/>
                <w:highlight w:val="none"/>
                <w:lang w:val="en-US" w:eastAsia="zh-CN"/>
              </w:rPr>
            </w:pPr>
          </w:p>
        </w:tc>
        <w:tc>
          <w:tcPr>
            <w:tcW w:w="10016" w:type="dxa"/>
            <w:noWrap w:val="0"/>
            <w:vAlign w:val="center"/>
          </w:tcPr>
          <w:p w14:paraId="313582A9">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（2）制定</w:t>
            </w:r>
            <w:r>
              <w:rPr>
                <w:rFonts w:hint="default" w:ascii="Calibri" w:hAnsi="Calibri" w:eastAsia="宋体" w:cs="Calibri"/>
                <w:bCs/>
                <w:color w:val="auto"/>
                <w:szCs w:val="21"/>
                <w:highlight w:val="none"/>
              </w:rPr>
              <w:t>项目实施方案</w:t>
            </w:r>
            <w:r>
              <w:rPr>
                <w:rFonts w:hint="eastAsia" w:cs="Calibri"/>
                <w:bCs/>
                <w:color w:val="auto"/>
                <w:szCs w:val="21"/>
                <w:highlight w:val="none"/>
                <w:lang w:eastAsia="zh-CN"/>
              </w:rPr>
              <w:t>，主要</w:t>
            </w:r>
            <w:r>
              <w:rPr>
                <w:rFonts w:hint="default" w:ascii="Calibri" w:hAnsi="Calibri" w:eastAsia="宋体" w:cs="Calibri"/>
                <w:bCs/>
                <w:color w:val="auto"/>
                <w:szCs w:val="21"/>
                <w:highlight w:val="none"/>
              </w:rPr>
              <w:t>包括：</w:t>
            </w:r>
            <w:r>
              <w:rPr>
                <w:rFonts w:hint="eastAsia" w:cs="Calibri"/>
                <w:bCs/>
                <w:color w:val="auto"/>
                <w:szCs w:val="21"/>
                <w:highlight w:val="none"/>
                <w:lang w:val="en-US" w:eastAsia="zh-CN"/>
              </w:rPr>
              <w:t>交接</w:t>
            </w:r>
            <w:r>
              <w:rPr>
                <w:rFonts w:hint="default" w:ascii="Calibri" w:hAnsi="Calibri" w:eastAsia="宋体" w:cs="Calibri"/>
                <w:bCs/>
                <w:color w:val="auto"/>
                <w:szCs w:val="21"/>
                <w:highlight w:val="none"/>
              </w:rPr>
              <w:t>方案、人员培训方案、人员稳定性方案、保密方案</w:t>
            </w:r>
            <w:r>
              <w:rPr>
                <w:rFonts w:hint="eastAsia" w:cs="Calibri"/>
                <w:bCs/>
                <w:color w:val="auto"/>
                <w:szCs w:val="21"/>
                <w:highlight w:val="none"/>
                <w:lang w:eastAsia="zh-CN"/>
              </w:rPr>
              <w:t>等</w:t>
            </w:r>
            <w:r>
              <w:rPr>
                <w:rFonts w:hint="default" w:ascii="Calibri" w:hAnsi="Calibri" w:eastAsia="宋体" w:cs="Calibri"/>
                <w:bCs/>
                <w:color w:val="auto"/>
                <w:szCs w:val="21"/>
                <w:highlight w:val="none"/>
              </w:rPr>
              <w:t>。</w:t>
            </w:r>
          </w:p>
        </w:tc>
      </w:tr>
      <w:tr w14:paraId="1627A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noWrap w:val="0"/>
            <w:vAlign w:val="center"/>
          </w:tcPr>
          <w:p w14:paraId="4BC481D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cs="Calibri"/>
                <w:highlight w:val="none"/>
                <w:lang w:val="en-US" w:eastAsia="zh-CN"/>
              </w:rPr>
            </w:pPr>
          </w:p>
        </w:tc>
        <w:tc>
          <w:tcPr>
            <w:tcW w:w="3297" w:type="dxa"/>
            <w:vMerge w:val="continue"/>
            <w:noWrap w:val="0"/>
            <w:vAlign w:val="center"/>
          </w:tcPr>
          <w:p w14:paraId="597B9C2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default" w:ascii="Calibri" w:hAnsi="Calibri" w:cs="Calibri"/>
                <w:highlight w:val="none"/>
                <w:lang w:val="en-US" w:eastAsia="zh-CN"/>
              </w:rPr>
            </w:pPr>
          </w:p>
        </w:tc>
        <w:tc>
          <w:tcPr>
            <w:tcW w:w="10016" w:type="dxa"/>
            <w:noWrap w:val="0"/>
            <w:vAlign w:val="center"/>
          </w:tcPr>
          <w:p w14:paraId="30C93D42">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（3）制定</w:t>
            </w:r>
            <w:r>
              <w:rPr>
                <w:rFonts w:hint="default" w:ascii="Calibri" w:hAnsi="Calibri" w:eastAsia="宋体" w:cs="Calibri"/>
                <w:bCs/>
                <w:color w:val="auto"/>
                <w:szCs w:val="21"/>
                <w:highlight w:val="none"/>
              </w:rPr>
              <w:t>物业服务方案</w:t>
            </w:r>
            <w:r>
              <w:rPr>
                <w:rFonts w:hint="eastAsia" w:eastAsia="宋体" w:cs="Calibri"/>
                <w:bCs/>
                <w:color w:val="auto"/>
                <w:szCs w:val="21"/>
                <w:highlight w:val="none"/>
                <w:lang w:eastAsia="zh-CN"/>
              </w:rPr>
              <w:t>，主要</w:t>
            </w:r>
            <w:r>
              <w:rPr>
                <w:rFonts w:hint="default" w:ascii="Calibri" w:hAnsi="Calibri" w:eastAsia="宋体" w:cs="Calibri"/>
                <w:bCs/>
                <w:color w:val="auto"/>
                <w:szCs w:val="21"/>
                <w:highlight w:val="none"/>
              </w:rPr>
              <w:t>包括：</w:t>
            </w:r>
            <w:r>
              <w:rPr>
                <w:rFonts w:hint="eastAsia" w:cs="Calibri"/>
                <w:bCs/>
                <w:color w:val="auto"/>
                <w:szCs w:val="21"/>
                <w:highlight w:val="none"/>
                <w:lang w:val="en-US" w:eastAsia="zh-CN"/>
              </w:rPr>
              <w:t>房屋维护服务方案、公用设施设备维护服务方案、</w:t>
            </w:r>
            <w:r>
              <w:rPr>
                <w:rFonts w:hint="default" w:ascii="Calibri" w:hAnsi="Calibri" w:eastAsia="宋体" w:cs="Calibri"/>
                <w:bCs/>
                <w:color w:val="auto"/>
                <w:szCs w:val="21"/>
                <w:highlight w:val="none"/>
              </w:rPr>
              <w:t>绿化</w:t>
            </w:r>
            <w:r>
              <w:rPr>
                <w:rFonts w:hint="default" w:ascii="Calibri" w:hAnsi="Calibri" w:eastAsia="宋体" w:cs="Calibri"/>
                <w:bCs/>
                <w:color w:val="auto"/>
                <w:szCs w:val="21"/>
                <w:highlight w:val="none"/>
                <w:lang w:val="en-US" w:eastAsia="zh-CN"/>
              </w:rPr>
              <w:t>服务</w:t>
            </w:r>
            <w:r>
              <w:rPr>
                <w:rFonts w:hint="default" w:ascii="Calibri" w:hAnsi="Calibri" w:eastAsia="宋体" w:cs="Calibri"/>
                <w:bCs/>
                <w:color w:val="auto"/>
                <w:szCs w:val="21"/>
                <w:highlight w:val="none"/>
              </w:rPr>
              <w:t>方案</w:t>
            </w:r>
            <w:r>
              <w:rPr>
                <w:rFonts w:hint="eastAsia" w:eastAsia="宋体" w:cs="Calibri"/>
                <w:bCs/>
                <w:color w:val="auto"/>
                <w:szCs w:val="21"/>
                <w:highlight w:val="none"/>
                <w:lang w:eastAsia="zh-CN"/>
              </w:rPr>
              <w:t>、</w:t>
            </w:r>
            <w:r>
              <w:rPr>
                <w:rFonts w:hint="default" w:ascii="Calibri" w:hAnsi="Calibri" w:eastAsia="宋体" w:cs="Calibri"/>
                <w:bCs/>
                <w:color w:val="auto"/>
                <w:szCs w:val="21"/>
                <w:highlight w:val="none"/>
              </w:rPr>
              <w:t>保洁服务方案、</w:t>
            </w:r>
            <w:r>
              <w:rPr>
                <w:rFonts w:hint="eastAsia" w:eastAsia="宋体" w:cs="Calibri"/>
                <w:bCs/>
                <w:color w:val="auto"/>
                <w:szCs w:val="21"/>
                <w:highlight w:val="none"/>
                <w:lang w:val="en-US" w:eastAsia="zh-CN"/>
              </w:rPr>
              <w:t>保安</w:t>
            </w:r>
            <w:r>
              <w:rPr>
                <w:rFonts w:hint="default" w:ascii="Calibri" w:hAnsi="Calibri" w:eastAsia="宋体" w:cs="Calibri"/>
                <w:bCs/>
                <w:color w:val="auto"/>
                <w:szCs w:val="21"/>
                <w:highlight w:val="none"/>
              </w:rPr>
              <w:t>服务方案、会议服务方案</w:t>
            </w:r>
            <w:r>
              <w:rPr>
                <w:rFonts w:hint="eastAsia" w:cs="Calibri"/>
                <w:bCs/>
                <w:color w:val="auto"/>
                <w:szCs w:val="21"/>
                <w:highlight w:val="none"/>
                <w:lang w:val="en-US" w:eastAsia="zh-CN"/>
              </w:rPr>
              <w:t>等</w:t>
            </w:r>
            <w:r>
              <w:rPr>
                <w:rFonts w:hint="default" w:ascii="Calibri" w:hAnsi="Calibri" w:eastAsia="宋体" w:cs="Calibri"/>
                <w:bCs/>
                <w:color w:val="auto"/>
                <w:szCs w:val="21"/>
                <w:highlight w:val="none"/>
              </w:rPr>
              <w:t>。</w:t>
            </w:r>
          </w:p>
        </w:tc>
      </w:tr>
      <w:tr w14:paraId="6202E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restart"/>
            <w:noWrap w:val="0"/>
            <w:vAlign w:val="center"/>
          </w:tcPr>
          <w:p w14:paraId="2EC6100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cs="Calibri"/>
                <w:highlight w:val="none"/>
                <w:lang w:val="en-US" w:eastAsia="zh-CN"/>
              </w:rPr>
            </w:pPr>
            <w:r>
              <w:rPr>
                <w:rFonts w:hint="eastAsia" w:cs="Calibri"/>
                <w:highlight w:val="none"/>
                <w:lang w:val="en-US" w:eastAsia="zh-CN"/>
              </w:rPr>
              <w:t>9</w:t>
            </w:r>
          </w:p>
        </w:tc>
        <w:tc>
          <w:tcPr>
            <w:tcW w:w="3297" w:type="dxa"/>
            <w:vMerge w:val="restart"/>
            <w:noWrap w:val="0"/>
            <w:vAlign w:val="center"/>
          </w:tcPr>
          <w:p w14:paraId="30038B7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default" w:eastAsia="宋体"/>
                <w:highlight w:val="none"/>
                <w:lang w:val="en-US" w:eastAsia="zh-CN"/>
              </w:rPr>
            </w:pPr>
            <w:r>
              <w:rPr>
                <w:rFonts w:hint="default" w:eastAsia="宋体"/>
                <w:highlight w:val="none"/>
                <w:lang w:val="en-US" w:eastAsia="zh-CN"/>
              </w:rPr>
              <w:t>信报服务</w:t>
            </w:r>
          </w:p>
        </w:tc>
        <w:tc>
          <w:tcPr>
            <w:tcW w:w="10016" w:type="dxa"/>
            <w:noWrap w:val="0"/>
            <w:vAlign w:val="center"/>
          </w:tcPr>
          <w:p w14:paraId="7B809D3D">
            <w:pPr>
              <w:keepNext w:val="0"/>
              <w:keepLines w:val="0"/>
              <w:pageBreakBefore w:val="0"/>
              <w:widowControl/>
              <w:kinsoku/>
              <w:wordWrap/>
              <w:overflowPunct/>
              <w:topLinePunct w:val="0"/>
              <w:autoSpaceDE/>
              <w:autoSpaceDN/>
              <w:bidi w:val="0"/>
              <w:adjustRightInd/>
              <w:snapToGrid w:val="0"/>
              <w:spacing w:line="300" w:lineRule="auto"/>
              <w:ind w:left="0" w:leftChars="0" w:firstLine="240" w:firstLineChars="100"/>
              <w:jc w:val="left"/>
              <w:textAlignment w:val="auto"/>
              <w:rPr>
                <w:rFonts w:hint="default" w:ascii="Calibri" w:hAnsi="Calibri" w:eastAsia="宋体" w:cs="Calibri"/>
                <w:b w:val="0"/>
                <w:bCs w:val="0"/>
                <w:color w:val="auto"/>
                <w:kern w:val="0"/>
                <w:sz w:val="21"/>
                <w:szCs w:val="21"/>
                <w:highlight w:val="none"/>
                <w:lang w:val="en-US" w:eastAsia="zh-CN" w:bidi="ar-SA"/>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对邮件、包裹和挂号信等进行</w:t>
            </w:r>
            <w:r>
              <w:rPr>
                <w:rFonts w:hint="eastAsia" w:cs="Calibri"/>
                <w:b w:val="0"/>
                <w:bCs w:val="0"/>
                <w:color w:val="auto"/>
                <w:kern w:val="0"/>
                <w:szCs w:val="21"/>
                <w:highlight w:val="none"/>
                <w:lang w:val="en-US" w:eastAsia="zh-CN"/>
              </w:rPr>
              <w:t>正确分理、</w:t>
            </w:r>
            <w:r>
              <w:rPr>
                <w:rFonts w:hint="eastAsia" w:ascii="Calibri" w:hAnsi="Calibri" w:eastAsia="宋体" w:cs="Calibri"/>
                <w:b w:val="0"/>
                <w:bCs w:val="0"/>
                <w:color w:val="auto"/>
                <w:kern w:val="0"/>
                <w:szCs w:val="21"/>
                <w:highlight w:val="none"/>
                <w:lang w:val="en-US" w:eastAsia="zh-CN"/>
              </w:rPr>
              <w:t>安全检查和防疫卫生检查</w:t>
            </w:r>
            <w:r>
              <w:rPr>
                <w:rFonts w:hint="eastAsia" w:cs="Calibri"/>
                <w:b w:val="0"/>
                <w:bCs w:val="0"/>
                <w:color w:val="auto"/>
                <w:kern w:val="0"/>
                <w:szCs w:val="21"/>
                <w:highlight w:val="none"/>
                <w:lang w:val="en-US" w:eastAsia="zh-CN"/>
              </w:rPr>
              <w:t>。</w:t>
            </w:r>
          </w:p>
        </w:tc>
      </w:tr>
      <w:tr w14:paraId="5EB12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noWrap w:val="0"/>
            <w:vAlign w:val="center"/>
          </w:tcPr>
          <w:p w14:paraId="0AE2668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cs="Calibri"/>
                <w:highlight w:val="none"/>
                <w:lang w:val="en-US" w:eastAsia="zh-CN"/>
              </w:rPr>
            </w:pPr>
          </w:p>
        </w:tc>
        <w:tc>
          <w:tcPr>
            <w:tcW w:w="3297" w:type="dxa"/>
            <w:vMerge w:val="continue"/>
            <w:noWrap w:val="0"/>
            <w:vAlign w:val="center"/>
          </w:tcPr>
          <w:p w14:paraId="07FF61C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default" w:eastAsia="宋体"/>
                <w:highlight w:val="none"/>
                <w:lang w:val="en-US" w:eastAsia="zh-CN"/>
              </w:rPr>
            </w:pPr>
          </w:p>
        </w:tc>
        <w:tc>
          <w:tcPr>
            <w:tcW w:w="10016" w:type="dxa"/>
            <w:noWrap w:val="0"/>
            <w:vAlign w:val="center"/>
          </w:tcPr>
          <w:p w14:paraId="18E6458B">
            <w:pPr>
              <w:keepNext w:val="0"/>
              <w:keepLines w:val="0"/>
              <w:pageBreakBefore w:val="0"/>
              <w:widowControl/>
              <w:kinsoku/>
              <w:wordWrap/>
              <w:overflowPunct/>
              <w:topLinePunct w:val="0"/>
              <w:autoSpaceDE/>
              <w:autoSpaceDN/>
              <w:bidi w:val="0"/>
              <w:adjustRightInd/>
              <w:snapToGrid w:val="0"/>
              <w:spacing w:line="300" w:lineRule="auto"/>
              <w:ind w:left="0" w:leftChars="0" w:firstLine="240" w:firstLineChars="100"/>
              <w:jc w:val="left"/>
              <w:textAlignment w:val="auto"/>
              <w:rPr>
                <w:rFonts w:hint="default" w:ascii="Calibri" w:hAnsi="Calibri" w:eastAsia="宋体" w:cs="Calibri"/>
                <w:b w:val="0"/>
                <w:bCs w:val="0"/>
                <w:color w:val="auto"/>
                <w:kern w:val="0"/>
                <w:sz w:val="21"/>
                <w:szCs w:val="21"/>
                <w:highlight w:val="none"/>
                <w:lang w:val="en-US" w:eastAsia="zh-CN" w:bidi="ar-SA"/>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（2）</w:t>
            </w:r>
            <w:r>
              <w:rPr>
                <w:rFonts w:hint="eastAsia" w:ascii="Calibri" w:hAnsi="Calibri" w:eastAsia="宋体" w:cs="Calibri"/>
                <w:b w:val="0"/>
                <w:bCs w:val="0"/>
                <w:color w:val="auto"/>
                <w:kern w:val="0"/>
                <w:szCs w:val="21"/>
                <w:highlight w:val="none"/>
                <w:lang w:val="en-US" w:eastAsia="zh-CN"/>
              </w:rPr>
              <w:t>及时投送或通知收件人领取</w:t>
            </w:r>
            <w:r>
              <w:rPr>
                <w:rFonts w:hint="eastAsia" w:eastAsia="宋体" w:cs="Calibri"/>
                <w:b w:val="0"/>
                <w:bCs w:val="0"/>
                <w:color w:val="auto"/>
                <w:kern w:val="0"/>
                <w:szCs w:val="21"/>
                <w:highlight w:val="none"/>
                <w:lang w:val="en-US" w:eastAsia="zh-CN"/>
              </w:rPr>
              <w:t>。</w:t>
            </w:r>
          </w:p>
        </w:tc>
      </w:tr>
      <w:tr w14:paraId="15265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noWrap w:val="0"/>
            <w:vAlign w:val="center"/>
          </w:tcPr>
          <w:p w14:paraId="283CD12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cs="Calibri"/>
                <w:highlight w:val="none"/>
                <w:lang w:val="en-US" w:eastAsia="zh-CN"/>
              </w:rPr>
            </w:pPr>
          </w:p>
        </w:tc>
        <w:tc>
          <w:tcPr>
            <w:tcW w:w="3297" w:type="dxa"/>
            <w:vMerge w:val="continue"/>
            <w:noWrap w:val="0"/>
            <w:vAlign w:val="center"/>
          </w:tcPr>
          <w:p w14:paraId="0912D16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default" w:eastAsia="宋体"/>
                <w:highlight w:val="none"/>
                <w:lang w:val="en-US" w:eastAsia="zh-CN"/>
              </w:rPr>
            </w:pPr>
          </w:p>
        </w:tc>
        <w:tc>
          <w:tcPr>
            <w:tcW w:w="10016" w:type="dxa"/>
            <w:noWrap w:val="0"/>
            <w:vAlign w:val="center"/>
          </w:tcPr>
          <w:p w14:paraId="68CC61AB">
            <w:pPr>
              <w:keepNext w:val="0"/>
              <w:keepLines w:val="0"/>
              <w:pageBreakBefore w:val="0"/>
              <w:widowControl/>
              <w:kinsoku/>
              <w:wordWrap/>
              <w:overflowPunct/>
              <w:topLinePunct w:val="0"/>
              <w:autoSpaceDE/>
              <w:autoSpaceDN/>
              <w:bidi w:val="0"/>
              <w:adjustRightInd/>
              <w:snapToGrid w:val="0"/>
              <w:spacing w:line="300" w:lineRule="auto"/>
              <w:ind w:left="0" w:leftChars="0" w:firstLine="240" w:firstLineChars="100"/>
              <w:jc w:val="left"/>
              <w:textAlignment w:val="auto"/>
              <w:rPr>
                <w:rFonts w:hint="default" w:ascii="Calibri" w:hAnsi="Calibri" w:eastAsia="宋体" w:cs="Calibri"/>
                <w:b w:val="0"/>
                <w:bCs w:val="0"/>
                <w:color w:val="auto"/>
                <w:kern w:val="0"/>
                <w:sz w:val="21"/>
                <w:szCs w:val="21"/>
                <w:highlight w:val="none"/>
                <w:lang w:val="en-US" w:eastAsia="zh-CN" w:bidi="ar-SA"/>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（3）</w:t>
            </w:r>
            <w:r>
              <w:rPr>
                <w:rFonts w:hint="default" w:ascii="Calibri" w:hAnsi="Calibri" w:eastAsia="宋体" w:cs="Calibri"/>
                <w:color w:val="auto"/>
                <w:szCs w:val="21"/>
                <w:highlight w:val="none"/>
                <w:u w:val="none"/>
              </w:rPr>
              <w:t>大件物品出入</w:t>
            </w:r>
            <w:r>
              <w:rPr>
                <w:rFonts w:hint="eastAsia" w:cs="Calibri"/>
                <w:color w:val="auto"/>
                <w:szCs w:val="21"/>
                <w:highlight w:val="none"/>
                <w:u w:val="none"/>
                <w:lang w:val="en-US" w:eastAsia="zh-CN"/>
              </w:rPr>
              <w:t>向采购人</w:t>
            </w:r>
            <w:r>
              <w:rPr>
                <w:rFonts w:hint="eastAsia" w:ascii="Calibri" w:hAnsi="Calibri" w:eastAsia="宋体" w:cs="Calibri"/>
                <w:color w:val="auto"/>
                <w:szCs w:val="21"/>
                <w:highlight w:val="none"/>
                <w:u w:val="none"/>
                <w:lang w:val="en-US" w:eastAsia="zh-CN"/>
              </w:rPr>
              <w:t>报告</w:t>
            </w:r>
            <w:r>
              <w:rPr>
                <w:rFonts w:hint="eastAsia" w:cs="Calibri"/>
                <w:color w:val="auto"/>
                <w:szCs w:val="21"/>
                <w:highlight w:val="none"/>
                <w:u w:val="none"/>
                <w:lang w:val="en-US" w:eastAsia="zh-CN"/>
              </w:rPr>
              <w:t>，待采购人确认无误后放行</w:t>
            </w:r>
            <w:r>
              <w:rPr>
                <w:rFonts w:hint="eastAsia" w:cs="Calibri"/>
                <w:color w:val="auto"/>
                <w:szCs w:val="21"/>
                <w:highlight w:val="none"/>
                <w:u w:val="none"/>
                <w:lang w:eastAsia="zh-CN"/>
              </w:rPr>
              <w:t>。</w:t>
            </w:r>
          </w:p>
        </w:tc>
      </w:tr>
      <w:tr w14:paraId="6FA42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restart"/>
            <w:noWrap w:val="0"/>
            <w:vAlign w:val="center"/>
          </w:tcPr>
          <w:p w14:paraId="4A6F226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cs="Calibri"/>
                <w:highlight w:val="none"/>
                <w:lang w:val="en-US" w:eastAsia="zh-CN"/>
              </w:rPr>
            </w:pPr>
            <w:r>
              <w:rPr>
                <w:rFonts w:hint="eastAsia" w:cs="Calibri"/>
                <w:highlight w:val="none"/>
                <w:lang w:val="en-US" w:eastAsia="zh-CN"/>
              </w:rPr>
              <w:t>10</w:t>
            </w:r>
          </w:p>
        </w:tc>
        <w:tc>
          <w:tcPr>
            <w:tcW w:w="3297" w:type="dxa"/>
            <w:vMerge w:val="restart"/>
            <w:noWrap w:val="0"/>
            <w:vAlign w:val="center"/>
          </w:tcPr>
          <w:p w14:paraId="60B5E5A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default" w:eastAsia="宋体"/>
                <w:highlight w:val="none"/>
                <w:lang w:val="en-US" w:eastAsia="zh-CN"/>
              </w:rPr>
            </w:pPr>
            <w:r>
              <w:rPr>
                <w:rFonts w:hint="default" w:eastAsia="宋体"/>
                <w:highlight w:val="none"/>
                <w:lang w:val="en-US" w:eastAsia="zh-CN"/>
              </w:rPr>
              <w:t>服务</w:t>
            </w:r>
            <w:r>
              <w:rPr>
                <w:rFonts w:hint="eastAsia"/>
                <w:highlight w:val="none"/>
                <w:lang w:val="en-US" w:eastAsia="zh-CN"/>
              </w:rPr>
              <w:t>热线及紧急维修</w:t>
            </w:r>
          </w:p>
        </w:tc>
        <w:tc>
          <w:tcPr>
            <w:tcW w:w="10016" w:type="dxa"/>
            <w:noWrap w:val="0"/>
            <w:vAlign w:val="center"/>
          </w:tcPr>
          <w:p w14:paraId="21858D16">
            <w:pPr>
              <w:keepNext w:val="0"/>
              <w:keepLines w:val="0"/>
              <w:pageBreakBefore w:val="0"/>
              <w:widowControl/>
              <w:kinsoku/>
              <w:wordWrap/>
              <w:overflowPunct/>
              <w:topLinePunct w:val="0"/>
              <w:autoSpaceDE/>
              <w:autoSpaceDN/>
              <w:bidi w:val="0"/>
              <w:adjustRightInd/>
              <w:snapToGrid w:val="0"/>
              <w:spacing w:line="300" w:lineRule="auto"/>
              <w:ind w:left="0" w:leftChars="0" w:firstLine="24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设置</w:t>
            </w:r>
            <w:r>
              <w:rPr>
                <w:rFonts w:hint="eastAsia" w:eastAsia="宋体" w:cs="Calibri"/>
                <w:b w:val="0"/>
                <w:bCs w:val="0"/>
                <w:color w:val="auto"/>
                <w:kern w:val="0"/>
                <w:szCs w:val="21"/>
                <w:highlight w:val="none"/>
                <w:lang w:val="en-US" w:eastAsia="zh-CN"/>
              </w:rPr>
              <w:t>24小时</w:t>
            </w:r>
            <w:r>
              <w:rPr>
                <w:rFonts w:hint="eastAsia" w:ascii="Calibri" w:hAnsi="Calibri" w:eastAsia="宋体" w:cs="Calibri"/>
                <w:b w:val="0"/>
                <w:bCs w:val="0"/>
                <w:color w:val="auto"/>
                <w:kern w:val="0"/>
                <w:szCs w:val="21"/>
                <w:highlight w:val="none"/>
                <w:lang w:val="en-US" w:eastAsia="zh-CN"/>
              </w:rPr>
              <w:t>报修服务热线</w:t>
            </w:r>
            <w:r>
              <w:rPr>
                <w:rFonts w:hint="eastAsia" w:eastAsia="宋体" w:cs="Calibri"/>
                <w:b w:val="0"/>
                <w:bCs w:val="0"/>
                <w:color w:val="auto"/>
                <w:kern w:val="0"/>
                <w:szCs w:val="21"/>
                <w:highlight w:val="none"/>
                <w:lang w:val="en-US" w:eastAsia="zh-CN"/>
              </w:rPr>
              <w:t>。</w:t>
            </w:r>
          </w:p>
        </w:tc>
      </w:tr>
      <w:tr w14:paraId="0C256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0" w:type="dxa"/>
            <w:vMerge w:val="continue"/>
            <w:noWrap w:val="0"/>
            <w:vAlign w:val="center"/>
          </w:tcPr>
          <w:p w14:paraId="0F50728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cs="Calibri"/>
                <w:highlight w:val="none"/>
                <w:lang w:val="en-US" w:eastAsia="zh-CN"/>
              </w:rPr>
            </w:pPr>
          </w:p>
        </w:tc>
        <w:tc>
          <w:tcPr>
            <w:tcW w:w="3297" w:type="dxa"/>
            <w:vMerge w:val="continue"/>
            <w:noWrap w:val="0"/>
            <w:vAlign w:val="center"/>
          </w:tcPr>
          <w:p w14:paraId="4C5B90F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default" w:eastAsia="宋体"/>
                <w:highlight w:val="none"/>
                <w:lang w:val="en-US" w:eastAsia="zh-CN"/>
              </w:rPr>
            </w:pPr>
          </w:p>
        </w:tc>
        <w:tc>
          <w:tcPr>
            <w:tcW w:w="10016" w:type="dxa"/>
            <w:noWrap w:val="0"/>
            <w:vAlign w:val="center"/>
          </w:tcPr>
          <w:p w14:paraId="63EF1F3E">
            <w:pPr>
              <w:keepNext w:val="0"/>
              <w:keepLines w:val="0"/>
              <w:pageBreakBefore w:val="0"/>
              <w:widowControl/>
              <w:kinsoku/>
              <w:wordWrap/>
              <w:overflowPunct/>
              <w:topLinePunct w:val="0"/>
              <w:autoSpaceDE/>
              <w:autoSpaceDN/>
              <w:bidi w:val="0"/>
              <w:adjustRightInd/>
              <w:snapToGrid w:val="0"/>
              <w:spacing w:line="300" w:lineRule="auto"/>
              <w:ind w:left="0" w:leftChars="0" w:firstLine="24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（2）</w:t>
            </w:r>
            <w:r>
              <w:rPr>
                <w:rFonts w:hint="default" w:ascii="Calibri" w:hAnsi="Calibri" w:eastAsia="宋体" w:cs="Calibri"/>
                <w:color w:val="auto"/>
                <w:szCs w:val="21"/>
                <w:highlight w:val="none"/>
                <w:u w:val="none"/>
                <w:lang w:val="en-US" w:eastAsia="zh-CN"/>
              </w:rPr>
              <w:t>紧急维修</w:t>
            </w:r>
            <w:r>
              <w:rPr>
                <w:rFonts w:hint="eastAsia" w:cs="Calibri"/>
                <w:color w:val="auto"/>
                <w:szCs w:val="21"/>
                <w:highlight w:val="none"/>
                <w:u w:val="none"/>
                <w:lang w:val="en-US" w:eastAsia="zh-CN"/>
              </w:rPr>
              <w:t>应当</w:t>
            </w:r>
            <w:r>
              <w:rPr>
                <w:rFonts w:hint="default" w:ascii="Calibri" w:hAnsi="Calibri" w:eastAsia="宋体" w:cs="Calibri"/>
                <w:color w:val="auto"/>
                <w:szCs w:val="21"/>
                <w:highlight w:val="none"/>
                <w:u w:val="none"/>
                <w:lang w:val="en-US" w:eastAsia="zh-CN"/>
              </w:rPr>
              <w:t>15分钟内到达现场</w:t>
            </w:r>
            <w:r>
              <w:rPr>
                <w:rFonts w:hint="eastAsia" w:eastAsia="宋体" w:cs="Calibri"/>
                <w:color w:val="auto"/>
                <w:szCs w:val="21"/>
                <w:highlight w:val="none"/>
                <w:u w:val="none"/>
                <w:lang w:val="en-US" w:eastAsia="zh-CN"/>
              </w:rPr>
              <w:t>，不间断维修直至修复。</w:t>
            </w:r>
          </w:p>
        </w:tc>
      </w:tr>
    </w:tbl>
    <w:p w14:paraId="584FE243">
      <w:pPr>
        <w:pStyle w:val="4"/>
        <w:bidi w:val="0"/>
        <w:rPr>
          <w:rFonts w:hint="default" w:ascii="宋体" w:hAnsi="宋体" w:eastAsia="宋体" w:cs="宋体"/>
          <w:b/>
          <w:bCs/>
          <w:color w:val="auto"/>
          <w:kern w:val="44"/>
          <w:sz w:val="28"/>
          <w:szCs w:val="28"/>
          <w:highlight w:val="none"/>
          <w:lang w:val="en-US" w:eastAsia="zh-CN" w:bidi="ar-SA"/>
        </w:rPr>
      </w:pPr>
      <w:r>
        <w:rPr>
          <w:rFonts w:hint="eastAsia" w:ascii="宋体" w:hAnsi="宋体" w:eastAsia="宋体" w:cs="宋体"/>
          <w:b/>
          <w:bCs/>
          <w:color w:val="auto"/>
          <w:kern w:val="44"/>
          <w:sz w:val="28"/>
          <w:szCs w:val="28"/>
          <w:highlight w:val="none"/>
          <w:lang w:val="en-US" w:eastAsia="zh-CN" w:bidi="ar-SA"/>
        </w:rPr>
        <w:t>3.2</w:t>
      </w:r>
      <w:r>
        <w:rPr>
          <w:rFonts w:hint="default" w:ascii="宋体" w:hAnsi="宋体" w:eastAsia="宋体" w:cs="宋体"/>
          <w:b/>
          <w:bCs/>
          <w:color w:val="auto"/>
          <w:kern w:val="44"/>
          <w:sz w:val="28"/>
          <w:szCs w:val="28"/>
          <w:highlight w:val="none"/>
          <w:lang w:val="en-US" w:eastAsia="zh-CN" w:bidi="ar-SA"/>
        </w:rPr>
        <w:t>房屋维护服务</w:t>
      </w:r>
    </w:p>
    <w:tbl>
      <w:tblPr>
        <w:tblStyle w:val="3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943"/>
        <w:gridCol w:w="5853"/>
      </w:tblGrid>
      <w:tr w14:paraId="149A3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241" w:type="dxa"/>
            <w:noWrap w:val="0"/>
            <w:vAlign w:val="center"/>
          </w:tcPr>
          <w:p w14:paraId="53A5863B">
            <w:pPr>
              <w:pageBreakBefore w:val="0"/>
              <w:widowControl/>
              <w:kinsoku/>
              <w:wordWrap/>
              <w:overflowPunct/>
              <w:topLinePunct w:val="0"/>
              <w:bidi w:val="0"/>
              <w:snapToGrid w:val="0"/>
              <w:spacing w:line="300" w:lineRule="auto"/>
              <w:ind w:left="0"/>
              <w:jc w:val="center"/>
              <w:rPr>
                <w:rFonts w:hint="eastAsia" w:ascii="Calibri" w:hAnsi="Calibri" w:eastAsia="宋体" w:cs="Calibri"/>
                <w:b/>
                <w:bCs/>
                <w:color w:val="auto"/>
                <w:kern w:val="0"/>
                <w:szCs w:val="21"/>
                <w:highlight w:val="none"/>
                <w:lang w:val="en-US" w:eastAsia="zh-CN"/>
              </w:rPr>
            </w:pPr>
            <w:r>
              <w:rPr>
                <w:rFonts w:hint="eastAsia" w:cs="Calibri"/>
                <w:b/>
                <w:bCs/>
                <w:color w:val="auto"/>
                <w:kern w:val="0"/>
                <w:szCs w:val="21"/>
                <w:highlight w:val="none"/>
                <w:lang w:val="en-US" w:eastAsia="zh-CN"/>
              </w:rPr>
              <w:t>序号</w:t>
            </w:r>
          </w:p>
        </w:tc>
        <w:tc>
          <w:tcPr>
            <w:tcW w:w="3319" w:type="dxa"/>
            <w:noWrap w:val="0"/>
            <w:vAlign w:val="center"/>
          </w:tcPr>
          <w:p w14:paraId="3FEAE1B2">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Cs w:val="21"/>
                <w:highlight w:val="none"/>
              </w:rPr>
            </w:pPr>
            <w:r>
              <w:rPr>
                <w:rFonts w:hint="default" w:ascii="Calibri" w:hAnsi="Calibri" w:eastAsia="宋体" w:cs="Calibri"/>
                <w:b/>
                <w:bCs/>
                <w:color w:val="auto"/>
                <w:kern w:val="0"/>
                <w:szCs w:val="21"/>
                <w:highlight w:val="none"/>
              </w:rPr>
              <w:t>服务内容</w:t>
            </w:r>
          </w:p>
        </w:tc>
        <w:tc>
          <w:tcPr>
            <w:tcW w:w="10000" w:type="dxa"/>
            <w:noWrap w:val="0"/>
            <w:vAlign w:val="center"/>
          </w:tcPr>
          <w:p w14:paraId="3F00800C">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Cs w:val="21"/>
                <w:highlight w:val="none"/>
                <w:lang w:val="en-US" w:eastAsia="zh-CN"/>
              </w:rPr>
            </w:pPr>
            <w:r>
              <w:rPr>
                <w:rFonts w:hint="eastAsia" w:cs="Calibri"/>
                <w:b/>
                <w:bCs/>
                <w:color w:val="auto"/>
                <w:kern w:val="0"/>
                <w:szCs w:val="21"/>
                <w:highlight w:val="none"/>
                <w:lang w:val="en-US" w:eastAsia="zh-CN"/>
              </w:rPr>
              <w:t>服务标准</w:t>
            </w:r>
          </w:p>
        </w:tc>
      </w:tr>
      <w:tr w14:paraId="78C79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1" w:type="dxa"/>
            <w:vMerge w:val="restart"/>
            <w:noWrap w:val="0"/>
            <w:vAlign w:val="center"/>
          </w:tcPr>
          <w:p w14:paraId="4A8646D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r>
              <w:rPr>
                <w:rFonts w:hint="eastAsia"/>
                <w:highlight w:val="none"/>
                <w:lang w:val="en-US" w:eastAsia="zh-CN"/>
              </w:rPr>
              <w:t>1</w:t>
            </w:r>
          </w:p>
        </w:tc>
        <w:tc>
          <w:tcPr>
            <w:tcW w:w="3319" w:type="dxa"/>
            <w:vMerge w:val="restart"/>
            <w:noWrap w:val="0"/>
            <w:vAlign w:val="center"/>
          </w:tcPr>
          <w:p w14:paraId="3C693AB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r>
              <w:rPr>
                <w:rFonts w:hint="eastAsia"/>
                <w:b w:val="0"/>
                <w:bCs w:val="0"/>
                <w:color w:val="auto"/>
              </w:rPr>
              <w:t>主体结构、围护结构、部品部件</w:t>
            </w:r>
          </w:p>
        </w:tc>
        <w:tc>
          <w:tcPr>
            <w:tcW w:w="10000" w:type="dxa"/>
            <w:noWrap w:val="0"/>
            <w:vAlign w:val="center"/>
          </w:tcPr>
          <w:p w14:paraId="2890D690">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（1）</w:t>
            </w:r>
            <w:r>
              <w:rPr>
                <w:rFonts w:hint="default" w:ascii="Calibri" w:hAnsi="Calibri" w:eastAsia="宋体" w:cs="Calibri"/>
                <w:b w:val="0"/>
                <w:bCs w:val="0"/>
                <w:color w:val="auto"/>
                <w:kern w:val="0"/>
                <w:szCs w:val="21"/>
                <w:highlight w:val="none"/>
                <w:lang w:val="en-US" w:eastAsia="zh-CN"/>
              </w:rPr>
              <w:t>每季度至少</w:t>
            </w:r>
            <w:r>
              <w:rPr>
                <w:rFonts w:hint="eastAsia" w:eastAsia="宋体" w:cs="Calibri"/>
                <w:b w:val="0"/>
                <w:bCs w:val="0"/>
                <w:color w:val="auto"/>
                <w:kern w:val="0"/>
                <w:szCs w:val="21"/>
                <w:highlight w:val="none"/>
                <w:lang w:val="en-US" w:eastAsia="zh-CN"/>
              </w:rPr>
              <w:t>开展</w:t>
            </w:r>
            <w:r>
              <w:rPr>
                <w:rFonts w:hint="default" w:ascii="Calibri" w:hAnsi="Calibri" w:eastAsia="宋体" w:cs="Calibri"/>
                <w:b w:val="0"/>
                <w:bCs w:val="0"/>
                <w:color w:val="auto"/>
                <w:kern w:val="0"/>
                <w:szCs w:val="21"/>
                <w:highlight w:val="none"/>
                <w:lang w:val="en-US" w:eastAsia="zh-CN"/>
              </w:rPr>
              <w:t>1次</w:t>
            </w:r>
            <w:r>
              <w:rPr>
                <w:rFonts w:hint="eastAsia" w:cs="Calibri"/>
                <w:b w:val="0"/>
                <w:bCs w:val="0"/>
                <w:color w:val="auto"/>
                <w:kern w:val="0"/>
                <w:szCs w:val="21"/>
                <w:highlight w:val="none"/>
                <w:lang w:val="en-US" w:eastAsia="zh-CN"/>
              </w:rPr>
              <w:t>房屋结构安全</w:t>
            </w:r>
            <w:r>
              <w:rPr>
                <w:rFonts w:hint="default" w:ascii="Calibri" w:hAnsi="Calibri" w:eastAsia="宋体" w:cs="Calibri"/>
                <w:b w:val="0"/>
                <w:bCs w:val="0"/>
                <w:color w:val="auto"/>
                <w:kern w:val="0"/>
                <w:szCs w:val="21"/>
                <w:highlight w:val="none"/>
                <w:lang w:val="en-US" w:eastAsia="zh-CN"/>
              </w:rPr>
              <w:t>巡视</w:t>
            </w:r>
            <w:r>
              <w:rPr>
                <w:rFonts w:hint="eastAsia" w:ascii="Calibri" w:hAnsi="Calibri" w:eastAsia="宋体" w:cs="Calibri"/>
                <w:b w:val="0"/>
                <w:bCs w:val="0"/>
                <w:color w:val="auto"/>
                <w:kern w:val="0"/>
                <w:szCs w:val="21"/>
                <w:highlight w:val="none"/>
                <w:lang w:val="en-US" w:eastAsia="zh-CN"/>
              </w:rPr>
              <w:t>，</w:t>
            </w:r>
            <w:r>
              <w:rPr>
                <w:rFonts w:hint="default" w:ascii="Calibri" w:hAnsi="Calibri" w:eastAsia="宋体" w:cs="Calibri"/>
                <w:b w:val="0"/>
                <w:bCs w:val="0"/>
                <w:color w:val="auto"/>
                <w:kern w:val="0"/>
                <w:szCs w:val="21"/>
                <w:highlight w:val="none"/>
                <w:lang w:val="en-US" w:eastAsia="zh-CN"/>
              </w:rPr>
              <w:t>发现外观有变形、开裂等现象</w:t>
            </w:r>
            <w:r>
              <w:rPr>
                <w:rFonts w:hint="eastAsia" w:ascii="Calibri" w:hAnsi="Calibri" w:eastAsia="宋体" w:cs="Calibri"/>
                <w:b w:val="0"/>
                <w:bCs w:val="0"/>
                <w:color w:val="auto"/>
                <w:kern w:val="0"/>
                <w:szCs w:val="21"/>
                <w:highlight w:val="none"/>
                <w:lang w:val="en-US" w:eastAsia="zh-CN"/>
              </w:rPr>
              <w:t>，</w:t>
            </w:r>
            <w:r>
              <w:rPr>
                <w:rFonts w:hint="eastAsia" w:cs="Calibri"/>
                <w:b w:val="0"/>
                <w:bCs w:val="0"/>
                <w:color w:val="auto"/>
                <w:kern w:val="0"/>
                <w:szCs w:val="21"/>
                <w:highlight w:val="none"/>
                <w:lang w:val="en-US" w:eastAsia="zh-CN"/>
              </w:rPr>
              <w:t>及时</w:t>
            </w:r>
            <w:r>
              <w:rPr>
                <w:rFonts w:hint="default" w:ascii="Calibri" w:hAnsi="Calibri" w:eastAsia="宋体" w:cs="Calibri"/>
                <w:b w:val="0"/>
                <w:bCs w:val="0"/>
                <w:color w:val="auto"/>
                <w:kern w:val="0"/>
                <w:szCs w:val="21"/>
                <w:highlight w:val="none"/>
                <w:lang w:val="en-US" w:eastAsia="zh-CN"/>
              </w:rPr>
              <w:t>建议</w:t>
            </w:r>
            <w:r>
              <w:rPr>
                <w:rFonts w:hint="eastAsia" w:eastAsia="宋体" w:cs="Calibri"/>
                <w:b w:val="0"/>
                <w:bCs w:val="0"/>
                <w:color w:val="auto"/>
                <w:kern w:val="0"/>
                <w:szCs w:val="21"/>
                <w:highlight w:val="none"/>
                <w:lang w:val="en-US" w:eastAsia="zh-CN"/>
              </w:rPr>
              <w:t>采购人</w:t>
            </w:r>
            <w:r>
              <w:rPr>
                <w:rFonts w:hint="default" w:ascii="Calibri" w:hAnsi="Calibri" w:eastAsia="宋体" w:cs="Calibri"/>
                <w:b w:val="0"/>
                <w:bCs w:val="0"/>
                <w:color w:val="auto"/>
                <w:kern w:val="0"/>
                <w:szCs w:val="21"/>
                <w:highlight w:val="none"/>
                <w:lang w:val="en-US" w:eastAsia="zh-CN"/>
              </w:rPr>
              <w:t>申请房屋安全鉴定</w:t>
            </w:r>
            <w:r>
              <w:rPr>
                <w:rFonts w:hint="eastAsia" w:ascii="Calibri" w:hAnsi="Calibri" w:eastAsia="宋体" w:cs="Calibri"/>
                <w:b w:val="0"/>
                <w:bCs w:val="0"/>
                <w:color w:val="auto"/>
                <w:kern w:val="0"/>
                <w:szCs w:val="21"/>
                <w:highlight w:val="none"/>
                <w:lang w:val="en-US" w:eastAsia="zh-CN"/>
              </w:rPr>
              <w:t>，</w:t>
            </w:r>
            <w:r>
              <w:rPr>
                <w:rFonts w:hint="default" w:ascii="Calibri" w:hAnsi="Calibri" w:eastAsia="宋体" w:cs="Calibri"/>
                <w:b w:val="0"/>
                <w:bCs w:val="0"/>
                <w:color w:val="auto"/>
                <w:kern w:val="0"/>
                <w:szCs w:val="21"/>
                <w:highlight w:val="none"/>
                <w:lang w:val="en-US" w:eastAsia="zh-CN"/>
              </w:rPr>
              <w:t>并采取必要的避险和防护措施</w:t>
            </w:r>
            <w:r>
              <w:rPr>
                <w:rFonts w:hint="eastAsia" w:eastAsia="宋体" w:cs="Calibri"/>
                <w:b w:val="0"/>
                <w:bCs w:val="0"/>
                <w:color w:val="auto"/>
                <w:kern w:val="0"/>
                <w:szCs w:val="21"/>
                <w:highlight w:val="none"/>
                <w:lang w:val="en-US" w:eastAsia="zh-CN"/>
              </w:rPr>
              <w:t>。</w:t>
            </w:r>
          </w:p>
        </w:tc>
      </w:tr>
      <w:tr w14:paraId="2FD60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1" w:type="dxa"/>
            <w:vMerge w:val="continue"/>
            <w:noWrap w:val="0"/>
            <w:vAlign w:val="center"/>
          </w:tcPr>
          <w:p w14:paraId="4B05AEA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19" w:type="dxa"/>
            <w:vMerge w:val="continue"/>
            <w:noWrap w:val="0"/>
            <w:vAlign w:val="center"/>
          </w:tcPr>
          <w:p w14:paraId="6759C8B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eastAsia="宋体"/>
                <w:highlight w:val="none"/>
                <w:lang w:val="en-US" w:eastAsia="zh-CN"/>
              </w:rPr>
            </w:pPr>
          </w:p>
        </w:tc>
        <w:tc>
          <w:tcPr>
            <w:tcW w:w="10000" w:type="dxa"/>
            <w:noWrap w:val="0"/>
            <w:vAlign w:val="center"/>
          </w:tcPr>
          <w:p w14:paraId="73BBD3CD">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（2）</w:t>
            </w:r>
            <w:r>
              <w:rPr>
                <w:rFonts w:hint="eastAsia" w:ascii="Calibri" w:hAnsi="Calibri" w:eastAsia="宋体" w:cs="Calibri"/>
                <w:b w:val="0"/>
                <w:bCs w:val="0"/>
                <w:color w:val="auto"/>
                <w:kern w:val="0"/>
                <w:szCs w:val="21"/>
                <w:highlight w:val="none"/>
                <w:lang w:val="en-US" w:eastAsia="zh-CN"/>
              </w:rPr>
              <w:t>每季度至少</w:t>
            </w:r>
            <w:r>
              <w:rPr>
                <w:rFonts w:hint="eastAsia" w:eastAsia="宋体" w:cs="Calibri"/>
                <w:b w:val="0"/>
                <w:bCs w:val="0"/>
                <w:color w:val="auto"/>
                <w:kern w:val="0"/>
                <w:szCs w:val="21"/>
                <w:highlight w:val="none"/>
                <w:lang w:val="en-US" w:eastAsia="zh-CN"/>
              </w:rPr>
              <w:t>开展</w:t>
            </w:r>
            <w:r>
              <w:rPr>
                <w:rFonts w:hint="eastAsia" w:ascii="Calibri" w:hAnsi="Calibri" w:eastAsia="宋体" w:cs="Calibri"/>
                <w:b w:val="0"/>
                <w:bCs w:val="0"/>
                <w:color w:val="auto"/>
                <w:kern w:val="0"/>
                <w:szCs w:val="21"/>
                <w:highlight w:val="none"/>
                <w:lang w:val="en-US" w:eastAsia="zh-CN"/>
              </w:rPr>
              <w:t>1</w:t>
            </w:r>
            <w:r>
              <w:rPr>
                <w:rFonts w:hint="default" w:ascii="Calibri" w:hAnsi="Calibri" w:eastAsia="宋体" w:cs="Calibri"/>
                <w:b w:val="0"/>
                <w:bCs w:val="0"/>
                <w:color w:val="auto"/>
                <w:kern w:val="0"/>
                <w:szCs w:val="21"/>
                <w:highlight w:val="none"/>
                <w:lang w:val="en-US" w:eastAsia="zh-CN"/>
              </w:rPr>
              <w:t>次外墙贴饰面、幕墙玻璃、雨篷、散水、空调室外机支撑构件等</w:t>
            </w:r>
            <w:r>
              <w:rPr>
                <w:rFonts w:hint="eastAsia" w:eastAsia="宋体" w:cs="Calibri"/>
                <w:b w:val="0"/>
                <w:bCs w:val="0"/>
                <w:color w:val="auto"/>
                <w:kern w:val="0"/>
                <w:szCs w:val="21"/>
                <w:highlight w:val="none"/>
                <w:lang w:val="en-US" w:eastAsia="zh-CN"/>
              </w:rPr>
              <w:t>检查，发现破损，及时向采购人报告，按采购人要求出具维修方案，待采购人同意后按维修方案实施维修。</w:t>
            </w:r>
          </w:p>
        </w:tc>
      </w:tr>
      <w:tr w14:paraId="5D58C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1" w:type="dxa"/>
            <w:vMerge w:val="continue"/>
            <w:noWrap w:val="0"/>
            <w:vAlign w:val="center"/>
          </w:tcPr>
          <w:p w14:paraId="33F9362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p>
        </w:tc>
        <w:tc>
          <w:tcPr>
            <w:tcW w:w="3319" w:type="dxa"/>
            <w:vMerge w:val="continue"/>
            <w:noWrap w:val="0"/>
            <w:vAlign w:val="center"/>
          </w:tcPr>
          <w:p w14:paraId="5B3FFA5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10000" w:type="dxa"/>
            <w:noWrap w:val="0"/>
            <w:vAlign w:val="center"/>
          </w:tcPr>
          <w:p w14:paraId="6FA811E4">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（3）</w:t>
            </w:r>
            <w:r>
              <w:rPr>
                <w:rFonts w:hint="default" w:ascii="Calibri" w:hAnsi="Calibri" w:eastAsia="宋体" w:cs="Calibri"/>
                <w:b w:val="0"/>
                <w:bCs w:val="0"/>
                <w:color w:val="auto"/>
                <w:kern w:val="0"/>
                <w:szCs w:val="21"/>
                <w:highlight w:val="none"/>
                <w:lang w:val="en-US" w:eastAsia="zh-CN"/>
              </w:rPr>
              <w:t>每半月至少</w:t>
            </w:r>
            <w:r>
              <w:rPr>
                <w:rFonts w:hint="eastAsia" w:eastAsia="宋体" w:cs="Calibri"/>
                <w:b w:val="0"/>
                <w:bCs w:val="0"/>
                <w:color w:val="auto"/>
                <w:kern w:val="0"/>
                <w:szCs w:val="21"/>
                <w:highlight w:val="none"/>
                <w:lang w:val="en-US" w:eastAsia="zh-CN"/>
              </w:rPr>
              <w:t>开展</w:t>
            </w:r>
            <w:r>
              <w:rPr>
                <w:rFonts w:hint="default" w:ascii="Calibri" w:hAnsi="Calibri" w:eastAsia="宋体" w:cs="Calibri"/>
                <w:b w:val="0"/>
                <w:bCs w:val="0"/>
                <w:color w:val="auto"/>
                <w:kern w:val="0"/>
                <w:szCs w:val="21"/>
                <w:highlight w:val="none"/>
                <w:lang w:val="en-US" w:eastAsia="zh-CN"/>
              </w:rPr>
              <w:t>1次公用部位的门、窗、楼梯、通风道</w:t>
            </w:r>
            <w:r>
              <w:rPr>
                <w:rFonts w:hint="eastAsia" w:eastAsia="宋体" w:cs="Calibri"/>
                <w:b w:val="0"/>
                <w:bCs w:val="0"/>
                <w:color w:val="auto"/>
                <w:kern w:val="0"/>
                <w:szCs w:val="21"/>
                <w:highlight w:val="none"/>
                <w:lang w:val="en-US" w:eastAsia="zh-CN"/>
              </w:rPr>
              <w:t>、</w:t>
            </w:r>
            <w:r>
              <w:rPr>
                <w:rFonts w:hint="default" w:ascii="Calibri" w:hAnsi="Calibri" w:eastAsia="宋体" w:cs="Calibri"/>
                <w:b w:val="0"/>
                <w:bCs w:val="0"/>
                <w:color w:val="auto"/>
                <w:kern w:val="0"/>
                <w:szCs w:val="21"/>
                <w:highlight w:val="none"/>
                <w:lang w:val="en-US" w:eastAsia="zh-CN"/>
              </w:rPr>
              <w:t>室内地面、墙面、吊顶和室外屋面等巡查</w:t>
            </w:r>
            <w:r>
              <w:rPr>
                <w:rFonts w:hint="eastAsia" w:eastAsia="宋体" w:cs="Calibri"/>
                <w:b w:val="0"/>
                <w:bCs w:val="0"/>
                <w:color w:val="auto"/>
                <w:kern w:val="0"/>
                <w:szCs w:val="21"/>
                <w:highlight w:val="none"/>
                <w:lang w:val="en-US" w:eastAsia="zh-CN"/>
              </w:rPr>
              <w:t>，发现破损，及时向采购人报告，按采购人要求出具维修方案，待采购人同意后按维修方案实施维修。</w:t>
            </w:r>
          </w:p>
        </w:tc>
      </w:tr>
      <w:tr w14:paraId="4BBC2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1" w:type="dxa"/>
            <w:vMerge w:val="continue"/>
            <w:noWrap w:val="0"/>
            <w:vAlign w:val="center"/>
          </w:tcPr>
          <w:p w14:paraId="12DD364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p>
        </w:tc>
        <w:tc>
          <w:tcPr>
            <w:tcW w:w="3319" w:type="dxa"/>
            <w:vMerge w:val="continue"/>
            <w:noWrap w:val="0"/>
            <w:vAlign w:val="center"/>
          </w:tcPr>
          <w:p w14:paraId="35B0514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10000" w:type="dxa"/>
            <w:noWrap w:val="0"/>
            <w:vAlign w:val="center"/>
          </w:tcPr>
          <w:p w14:paraId="2022C735">
            <w:pPr>
              <w:keepNext w:val="0"/>
              <w:keepLines w:val="0"/>
              <w:pageBreakBefore w:val="0"/>
              <w:widowControl/>
              <w:kinsoku/>
              <w:wordWrap/>
              <w:overflowPunct/>
              <w:topLinePunct w:val="0"/>
              <w:autoSpaceDE/>
              <w:autoSpaceDN/>
              <w:bidi w:val="0"/>
              <w:adjustRightInd/>
              <w:snapToGrid w:val="0"/>
              <w:spacing w:line="300" w:lineRule="auto"/>
              <w:ind w:left="0" w:leftChars="0" w:firstLine="240" w:firstLineChars="100"/>
              <w:jc w:val="left"/>
              <w:textAlignment w:val="auto"/>
              <w:rPr>
                <w:rFonts w:hint="default" w:ascii="Calibri" w:hAnsi="Calibri" w:eastAsia="宋体" w:cs="Calibri"/>
                <w:color w:val="auto"/>
                <w:kern w:val="2"/>
                <w:sz w:val="21"/>
                <w:szCs w:val="21"/>
                <w:highlight w:val="none"/>
                <w:u w:val="none"/>
                <w:lang w:val="en-US" w:eastAsia="zh-CN" w:bidi="ar-SA"/>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（4）</w:t>
            </w:r>
            <w:r>
              <w:rPr>
                <w:rFonts w:hint="default" w:ascii="Calibri" w:hAnsi="Calibri" w:eastAsia="宋体" w:cs="Calibri"/>
                <w:b w:val="0"/>
                <w:bCs w:val="0"/>
                <w:color w:val="auto"/>
                <w:kern w:val="0"/>
                <w:szCs w:val="21"/>
                <w:highlight w:val="none"/>
                <w:lang w:val="en-US" w:eastAsia="zh-CN"/>
              </w:rPr>
              <w:t>每年强降雨天气前后、雨雪季节检查屋面防水和雨落管等</w:t>
            </w:r>
            <w:r>
              <w:rPr>
                <w:rFonts w:hint="eastAsia" w:cs="Calibri"/>
                <w:b w:val="0"/>
                <w:bCs w:val="0"/>
                <w:color w:val="auto"/>
                <w:kern w:val="0"/>
                <w:szCs w:val="21"/>
                <w:highlight w:val="none"/>
                <w:lang w:val="en-US" w:eastAsia="zh-CN"/>
              </w:rPr>
              <w:t>，</w:t>
            </w:r>
            <w:r>
              <w:rPr>
                <w:rFonts w:hint="eastAsia" w:eastAsia="宋体" w:cs="Calibri"/>
                <w:b w:val="0"/>
                <w:bCs w:val="0"/>
                <w:color w:val="auto"/>
                <w:kern w:val="0"/>
                <w:szCs w:val="21"/>
                <w:highlight w:val="none"/>
                <w:lang w:val="en-US" w:eastAsia="zh-CN"/>
              </w:rPr>
              <w:t>发现破损，及时向采购人报告，按采购人要求出具维修方案，待采购人同意后按维修方案实施维修。</w:t>
            </w:r>
          </w:p>
        </w:tc>
      </w:tr>
      <w:tr w14:paraId="71505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1" w:type="dxa"/>
            <w:vMerge w:val="continue"/>
            <w:noWrap w:val="0"/>
            <w:vAlign w:val="center"/>
          </w:tcPr>
          <w:p w14:paraId="7102EB1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p>
        </w:tc>
        <w:tc>
          <w:tcPr>
            <w:tcW w:w="3319" w:type="dxa"/>
            <w:vMerge w:val="continue"/>
            <w:noWrap w:val="0"/>
            <w:vAlign w:val="center"/>
          </w:tcPr>
          <w:p w14:paraId="6CC59AA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10000" w:type="dxa"/>
            <w:noWrap w:val="0"/>
            <w:vAlign w:val="center"/>
          </w:tcPr>
          <w:p w14:paraId="13C24328">
            <w:pPr>
              <w:keepNext w:val="0"/>
              <w:keepLines w:val="0"/>
              <w:pageBreakBefore w:val="0"/>
              <w:widowControl/>
              <w:kinsoku/>
              <w:wordWrap/>
              <w:overflowPunct/>
              <w:topLinePunct w:val="0"/>
              <w:autoSpaceDE/>
              <w:autoSpaceDN/>
              <w:bidi w:val="0"/>
              <w:adjustRightInd/>
              <w:snapToGrid w:val="0"/>
              <w:spacing w:line="300" w:lineRule="auto"/>
              <w:ind w:left="0" w:leftChars="0" w:firstLine="240" w:firstLineChars="100"/>
              <w:jc w:val="left"/>
              <w:textAlignment w:val="auto"/>
              <w:rPr>
                <w:rFonts w:hint="default" w:ascii="Calibri" w:hAnsi="Calibri" w:eastAsia="宋体" w:cs="Calibri"/>
                <w:color w:val="auto"/>
                <w:kern w:val="2"/>
                <w:sz w:val="21"/>
                <w:szCs w:val="21"/>
                <w:highlight w:val="none"/>
                <w:u w:val="none"/>
                <w:lang w:val="en-US" w:eastAsia="zh-CN" w:bidi="ar-SA"/>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（5）</w:t>
            </w:r>
            <w:r>
              <w:rPr>
                <w:rFonts w:hint="default" w:ascii="Calibri" w:hAnsi="Calibri" w:eastAsia="宋体" w:cs="Calibri"/>
                <w:color w:val="auto"/>
                <w:szCs w:val="21"/>
                <w:highlight w:val="none"/>
                <w:u w:val="none"/>
                <w:lang w:val="en-US" w:eastAsia="zh-CN"/>
              </w:rPr>
              <w:t>办公楼外观完好，</w:t>
            </w:r>
            <w:r>
              <w:rPr>
                <w:rFonts w:hint="eastAsia" w:ascii="Calibri" w:hAnsi="Calibri" w:eastAsia="宋体" w:cs="Calibri"/>
                <w:color w:val="auto"/>
                <w:szCs w:val="21"/>
                <w:highlight w:val="none"/>
                <w:u w:val="none"/>
                <w:lang w:val="en-US" w:eastAsia="zh-CN"/>
              </w:rPr>
              <w:t>建筑装饰面</w:t>
            </w:r>
            <w:r>
              <w:rPr>
                <w:rFonts w:hint="default" w:ascii="Calibri" w:hAnsi="Calibri" w:eastAsia="宋体" w:cs="Calibri"/>
                <w:color w:val="auto"/>
                <w:szCs w:val="21"/>
                <w:highlight w:val="none"/>
                <w:u w:val="none"/>
                <w:lang w:val="en-US" w:eastAsia="zh-CN"/>
              </w:rPr>
              <w:t>无脱落</w:t>
            </w:r>
            <w:r>
              <w:rPr>
                <w:rFonts w:hint="eastAsia" w:ascii="Calibri" w:hAnsi="Calibri" w:eastAsia="宋体" w:cs="Calibri"/>
                <w:color w:val="auto"/>
                <w:szCs w:val="21"/>
                <w:highlight w:val="none"/>
                <w:u w:val="none"/>
                <w:lang w:val="en-US" w:eastAsia="zh-CN"/>
              </w:rPr>
              <w:t>、</w:t>
            </w:r>
            <w:r>
              <w:rPr>
                <w:rFonts w:hint="default" w:ascii="Calibri" w:hAnsi="Calibri" w:eastAsia="宋体" w:cs="Calibri"/>
                <w:color w:val="auto"/>
                <w:szCs w:val="21"/>
                <w:highlight w:val="none"/>
                <w:u w:val="none"/>
                <w:lang w:val="en-US" w:eastAsia="zh-CN"/>
              </w:rPr>
              <w:t>无破损</w:t>
            </w:r>
            <w:r>
              <w:rPr>
                <w:rFonts w:hint="eastAsia" w:ascii="Calibri" w:hAnsi="Calibri" w:eastAsia="宋体" w:cs="Calibri"/>
                <w:color w:val="auto"/>
                <w:szCs w:val="21"/>
                <w:highlight w:val="none"/>
                <w:u w:val="none"/>
                <w:lang w:val="en-US" w:eastAsia="zh-CN"/>
              </w:rPr>
              <w:t>、无</w:t>
            </w:r>
            <w:r>
              <w:rPr>
                <w:rFonts w:hint="default" w:ascii="Calibri" w:hAnsi="Calibri" w:eastAsia="宋体" w:cs="Calibri"/>
                <w:color w:val="auto"/>
                <w:szCs w:val="21"/>
                <w:highlight w:val="none"/>
                <w:u w:val="none"/>
                <w:lang w:val="en-US" w:eastAsia="zh-CN"/>
              </w:rPr>
              <w:t>污渍</w:t>
            </w:r>
            <w:r>
              <w:rPr>
                <w:rFonts w:hint="eastAsia" w:ascii="Calibri" w:hAnsi="Calibri" w:eastAsia="宋体" w:cs="Calibri"/>
                <w:color w:val="auto"/>
                <w:szCs w:val="21"/>
                <w:highlight w:val="none"/>
                <w:u w:val="none"/>
                <w:lang w:val="en-US" w:eastAsia="zh-CN"/>
              </w:rPr>
              <w:t>，</w:t>
            </w:r>
            <w:r>
              <w:rPr>
                <w:rFonts w:hint="default" w:ascii="Calibri" w:hAnsi="Calibri" w:eastAsia="宋体" w:cs="Calibri"/>
                <w:color w:val="auto"/>
                <w:szCs w:val="21"/>
                <w:highlight w:val="none"/>
                <w:u w:val="none"/>
                <w:lang w:val="en-US" w:eastAsia="zh-CN"/>
              </w:rPr>
              <w:t>玻璃幕墙清洁明亮、无破损</w:t>
            </w:r>
            <w:r>
              <w:rPr>
                <w:rFonts w:hint="eastAsia" w:cs="Calibri"/>
                <w:color w:val="auto"/>
                <w:szCs w:val="21"/>
                <w:highlight w:val="none"/>
                <w:u w:val="none"/>
                <w:lang w:val="en-US" w:eastAsia="zh-CN"/>
              </w:rPr>
              <w:t>。</w:t>
            </w:r>
          </w:p>
        </w:tc>
      </w:tr>
      <w:tr w14:paraId="61F9B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1" w:type="dxa"/>
            <w:vMerge w:val="continue"/>
            <w:noWrap w:val="0"/>
            <w:vAlign w:val="center"/>
          </w:tcPr>
          <w:p w14:paraId="00DF885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p>
        </w:tc>
        <w:tc>
          <w:tcPr>
            <w:tcW w:w="3319" w:type="dxa"/>
            <w:vMerge w:val="continue"/>
            <w:noWrap w:val="0"/>
            <w:vAlign w:val="center"/>
          </w:tcPr>
          <w:p w14:paraId="4992D63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10000" w:type="dxa"/>
            <w:noWrap w:val="0"/>
            <w:vAlign w:val="center"/>
          </w:tcPr>
          <w:p w14:paraId="1CAEBBD9">
            <w:pPr>
              <w:keepNext w:val="0"/>
              <w:keepLines w:val="0"/>
              <w:pageBreakBefore w:val="0"/>
              <w:widowControl/>
              <w:kinsoku/>
              <w:wordWrap/>
              <w:overflowPunct/>
              <w:topLinePunct w:val="0"/>
              <w:autoSpaceDE/>
              <w:autoSpaceDN/>
              <w:bidi w:val="0"/>
              <w:adjustRightInd/>
              <w:snapToGrid w:val="0"/>
              <w:spacing w:line="300" w:lineRule="auto"/>
              <w:ind w:left="0" w:leftChars="0" w:firstLine="240" w:firstLineChars="100"/>
              <w:jc w:val="left"/>
              <w:textAlignment w:val="auto"/>
              <w:rPr>
                <w:rFonts w:hint="default" w:ascii="Calibri" w:hAnsi="Calibri" w:eastAsia="宋体" w:cs="Calibri"/>
                <w:color w:val="auto"/>
                <w:kern w:val="2"/>
                <w:sz w:val="21"/>
                <w:szCs w:val="21"/>
                <w:highlight w:val="none"/>
                <w:u w:val="none"/>
                <w:lang w:val="en-US" w:eastAsia="zh-CN" w:bidi="ar-SA"/>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（6）</w:t>
            </w:r>
            <w:r>
              <w:rPr>
                <w:rFonts w:hint="eastAsia" w:ascii="Calibri" w:hAnsi="Calibri" w:eastAsia="宋体" w:cs="Calibri"/>
                <w:color w:val="auto"/>
                <w:szCs w:val="21"/>
                <w:highlight w:val="none"/>
                <w:u w:val="none"/>
                <w:lang w:val="en-US" w:eastAsia="zh-CN"/>
              </w:rPr>
              <w:t>通道、楼梯、</w:t>
            </w:r>
            <w:r>
              <w:rPr>
                <w:rFonts w:hint="default" w:ascii="Calibri" w:hAnsi="Calibri" w:eastAsia="宋体" w:cs="Calibri"/>
                <w:color w:val="auto"/>
                <w:szCs w:val="21"/>
                <w:highlight w:val="none"/>
                <w:u w:val="none"/>
                <w:lang w:val="en-US" w:eastAsia="zh-CN"/>
              </w:rPr>
              <w:t>门窗等设施的完好和正常使用</w:t>
            </w:r>
            <w:r>
              <w:rPr>
                <w:rFonts w:hint="eastAsia" w:cs="Calibri"/>
                <w:color w:val="auto"/>
                <w:szCs w:val="21"/>
                <w:highlight w:val="none"/>
                <w:u w:val="none"/>
                <w:lang w:val="en-US" w:eastAsia="zh-CN"/>
              </w:rPr>
              <w:t>。</w:t>
            </w:r>
          </w:p>
        </w:tc>
      </w:tr>
      <w:tr w14:paraId="7A067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1" w:type="dxa"/>
            <w:vMerge w:val="restart"/>
            <w:noWrap w:val="0"/>
            <w:vAlign w:val="center"/>
          </w:tcPr>
          <w:p w14:paraId="56B3077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lang w:val="en-US" w:eastAsia="zh-CN"/>
              </w:rPr>
            </w:pPr>
            <w:r>
              <w:rPr>
                <w:rFonts w:hint="eastAsia"/>
                <w:highlight w:val="none"/>
                <w:lang w:val="en-US" w:eastAsia="zh-CN"/>
              </w:rPr>
              <w:t>2</w:t>
            </w:r>
          </w:p>
        </w:tc>
        <w:tc>
          <w:tcPr>
            <w:tcW w:w="3319" w:type="dxa"/>
            <w:vMerge w:val="restart"/>
            <w:noWrap w:val="0"/>
            <w:vAlign w:val="center"/>
          </w:tcPr>
          <w:p w14:paraId="3FBB806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lang w:val="en-US"/>
              </w:rPr>
            </w:pPr>
            <w:r>
              <w:rPr>
                <w:rFonts w:hint="eastAsia"/>
                <w:highlight w:val="none"/>
                <w:lang w:val="en-US" w:eastAsia="zh-CN"/>
              </w:rPr>
              <w:t>其他设施</w:t>
            </w:r>
          </w:p>
        </w:tc>
        <w:tc>
          <w:tcPr>
            <w:tcW w:w="10000" w:type="dxa"/>
            <w:noWrap w:val="0"/>
            <w:vAlign w:val="center"/>
          </w:tcPr>
          <w:p w14:paraId="28F122B8">
            <w:pPr>
              <w:keepNext w:val="0"/>
              <w:keepLines w:val="0"/>
              <w:pageBreakBefore w:val="0"/>
              <w:widowControl/>
              <w:kinsoku/>
              <w:wordWrap/>
              <w:overflowPunct/>
              <w:topLinePunct w:val="0"/>
              <w:autoSpaceDE/>
              <w:autoSpaceDN/>
              <w:bidi w:val="0"/>
              <w:adjustRightInd/>
              <w:snapToGrid w:val="0"/>
              <w:spacing w:line="300" w:lineRule="auto"/>
              <w:ind w:left="0" w:leftChars="0" w:firstLine="240" w:firstLineChars="100"/>
              <w:jc w:val="left"/>
              <w:textAlignment w:val="auto"/>
              <w:rPr>
                <w:rFonts w:hint="eastAsia" w:ascii="Calibri" w:hAnsi="Calibri" w:eastAsia="宋体" w:cs="Calibri"/>
                <w:color w:val="auto"/>
                <w:kern w:val="2"/>
                <w:sz w:val="21"/>
                <w:szCs w:val="21"/>
                <w:highlight w:val="none"/>
                <w:u w:val="none"/>
                <w:lang w:val="en-US" w:eastAsia="zh-CN" w:bidi="ar-SA"/>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每半月至少</w:t>
            </w:r>
            <w:r>
              <w:rPr>
                <w:rFonts w:hint="eastAsia" w:cs="Calibri"/>
                <w:b w:val="0"/>
                <w:bCs w:val="0"/>
                <w:color w:val="auto"/>
                <w:kern w:val="0"/>
                <w:szCs w:val="21"/>
                <w:highlight w:val="none"/>
                <w:lang w:val="en-US" w:eastAsia="zh-CN"/>
              </w:rPr>
              <w:t>开展</w:t>
            </w:r>
            <w:r>
              <w:rPr>
                <w:rFonts w:hint="eastAsia" w:ascii="Calibri" w:hAnsi="Calibri" w:eastAsia="宋体" w:cs="Calibri"/>
                <w:b w:val="0"/>
                <w:bCs w:val="0"/>
                <w:color w:val="auto"/>
                <w:kern w:val="0"/>
                <w:szCs w:val="21"/>
                <w:highlight w:val="none"/>
                <w:lang w:val="en-US" w:eastAsia="zh-CN"/>
              </w:rPr>
              <w:t>1次大门、围墙、道路、场地、管井、沟渠等</w:t>
            </w:r>
            <w:r>
              <w:rPr>
                <w:rFonts w:hint="eastAsia" w:cs="Calibri"/>
                <w:b w:val="0"/>
                <w:bCs w:val="0"/>
                <w:color w:val="auto"/>
                <w:kern w:val="0"/>
                <w:szCs w:val="21"/>
                <w:highlight w:val="none"/>
                <w:lang w:val="en-US" w:eastAsia="zh-CN"/>
              </w:rPr>
              <w:t>巡查，</w:t>
            </w:r>
            <w:r>
              <w:rPr>
                <w:rFonts w:hint="eastAsia" w:ascii="Calibri" w:hAnsi="Calibri" w:eastAsia="宋体" w:cs="Calibri"/>
                <w:b w:val="0"/>
                <w:bCs w:val="0"/>
                <w:color w:val="auto"/>
                <w:kern w:val="0"/>
                <w:szCs w:val="21"/>
                <w:highlight w:val="none"/>
                <w:lang w:val="en-US" w:eastAsia="zh-CN"/>
              </w:rPr>
              <w:t>每半月至少检查1次</w:t>
            </w:r>
            <w:r>
              <w:rPr>
                <w:rFonts w:hint="eastAsia" w:eastAsia="宋体" w:cs="Calibri"/>
                <w:b w:val="0"/>
                <w:bCs w:val="0"/>
                <w:color w:val="auto"/>
                <w:kern w:val="0"/>
                <w:szCs w:val="21"/>
                <w:highlight w:val="none"/>
                <w:lang w:val="en-US" w:eastAsia="zh-CN"/>
              </w:rPr>
              <w:t>雨污水</w:t>
            </w:r>
            <w:r>
              <w:rPr>
                <w:rFonts w:hint="eastAsia" w:ascii="Calibri" w:hAnsi="Calibri" w:eastAsia="宋体" w:cs="Calibri"/>
                <w:b w:val="0"/>
                <w:bCs w:val="0"/>
                <w:color w:val="auto"/>
                <w:kern w:val="0"/>
                <w:szCs w:val="21"/>
                <w:highlight w:val="none"/>
                <w:lang w:val="en-US" w:eastAsia="zh-CN"/>
              </w:rPr>
              <w:t>管井、化粪池等巡查</w:t>
            </w:r>
            <w:r>
              <w:rPr>
                <w:rFonts w:hint="eastAsia" w:cs="Calibri"/>
                <w:b w:val="0"/>
                <w:bCs w:val="0"/>
                <w:color w:val="auto"/>
                <w:kern w:val="0"/>
                <w:szCs w:val="21"/>
                <w:highlight w:val="none"/>
                <w:lang w:val="en-US" w:eastAsia="zh-CN"/>
              </w:rPr>
              <w:t>，</w:t>
            </w:r>
            <w:r>
              <w:rPr>
                <w:rFonts w:hint="eastAsia" w:eastAsia="宋体" w:cs="Calibri"/>
                <w:b w:val="0"/>
                <w:bCs w:val="0"/>
                <w:color w:val="auto"/>
                <w:kern w:val="0"/>
                <w:szCs w:val="21"/>
                <w:highlight w:val="none"/>
                <w:lang w:val="en-US" w:eastAsia="zh-CN"/>
              </w:rPr>
              <w:t>发现破损，及时向采购人报告，按采购人要求出具维修方案，待采购人同意后按维修方案实施维修。</w:t>
            </w:r>
          </w:p>
        </w:tc>
      </w:tr>
      <w:tr w14:paraId="13381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1" w:type="dxa"/>
            <w:vMerge w:val="continue"/>
            <w:noWrap w:val="0"/>
            <w:vAlign w:val="center"/>
          </w:tcPr>
          <w:p w14:paraId="676AD41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19" w:type="dxa"/>
            <w:vMerge w:val="continue"/>
            <w:noWrap w:val="0"/>
            <w:vAlign w:val="center"/>
          </w:tcPr>
          <w:p w14:paraId="5951BE9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highlight w:val="none"/>
                <w:lang w:val="en-US" w:eastAsia="zh-CN"/>
              </w:rPr>
            </w:pPr>
          </w:p>
        </w:tc>
        <w:tc>
          <w:tcPr>
            <w:tcW w:w="10000" w:type="dxa"/>
            <w:noWrap w:val="0"/>
            <w:vAlign w:val="center"/>
          </w:tcPr>
          <w:p w14:paraId="00AA6F7A">
            <w:pPr>
              <w:keepNext w:val="0"/>
              <w:keepLines w:val="0"/>
              <w:pageBreakBefore w:val="0"/>
              <w:widowControl/>
              <w:kinsoku/>
              <w:wordWrap/>
              <w:overflowPunct/>
              <w:topLinePunct w:val="0"/>
              <w:autoSpaceDE/>
              <w:autoSpaceDN/>
              <w:bidi w:val="0"/>
              <w:adjustRightInd/>
              <w:snapToGrid w:val="0"/>
              <w:spacing w:line="300" w:lineRule="auto"/>
              <w:ind w:left="0" w:leftChars="0" w:firstLine="240" w:firstLineChars="100"/>
              <w:jc w:val="left"/>
              <w:textAlignment w:val="auto"/>
              <w:rPr>
                <w:rFonts w:hint="eastAsia" w:ascii="Calibri" w:hAnsi="Calibri" w:eastAsia="宋体" w:cs="Calibri"/>
                <w:color w:val="auto"/>
                <w:kern w:val="2"/>
                <w:sz w:val="21"/>
                <w:szCs w:val="21"/>
                <w:highlight w:val="none"/>
                <w:u w:val="none"/>
                <w:lang w:val="en-US" w:eastAsia="zh-CN" w:bidi="ar-SA"/>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（2）</w:t>
            </w:r>
            <w:r>
              <w:rPr>
                <w:rFonts w:hint="eastAsia" w:ascii="Calibri" w:hAnsi="Calibri" w:eastAsia="宋体" w:cs="Calibri"/>
                <w:b w:val="0"/>
                <w:bCs w:val="0"/>
                <w:color w:val="auto"/>
                <w:kern w:val="0"/>
                <w:szCs w:val="21"/>
                <w:highlight w:val="none"/>
                <w:lang w:val="en-US" w:eastAsia="zh-CN"/>
              </w:rPr>
              <w:t>每年至少</w:t>
            </w:r>
            <w:r>
              <w:rPr>
                <w:rFonts w:hint="eastAsia" w:cs="Calibri"/>
                <w:b w:val="0"/>
                <w:bCs w:val="0"/>
                <w:color w:val="auto"/>
                <w:kern w:val="0"/>
                <w:szCs w:val="21"/>
                <w:highlight w:val="none"/>
                <w:lang w:val="en-US" w:eastAsia="zh-CN"/>
              </w:rPr>
              <w:t>开展</w:t>
            </w:r>
            <w:r>
              <w:rPr>
                <w:rFonts w:hint="eastAsia" w:ascii="Calibri" w:hAnsi="Calibri" w:eastAsia="宋体" w:cs="Calibri"/>
                <w:b w:val="0"/>
                <w:bCs w:val="0"/>
                <w:color w:val="auto"/>
                <w:kern w:val="0"/>
                <w:szCs w:val="21"/>
                <w:highlight w:val="none"/>
                <w:lang w:val="en-US" w:eastAsia="zh-CN"/>
              </w:rPr>
              <w:t>1次防雷装置检测</w:t>
            </w:r>
            <w:r>
              <w:rPr>
                <w:rFonts w:hint="eastAsia" w:eastAsia="宋体" w:cs="Calibri"/>
                <w:b w:val="0"/>
                <w:bCs w:val="0"/>
                <w:color w:val="auto"/>
                <w:kern w:val="0"/>
                <w:szCs w:val="21"/>
                <w:highlight w:val="none"/>
                <w:lang w:val="en-US" w:eastAsia="zh-CN"/>
              </w:rPr>
              <w:t>，发现失效，及时向采购人报告，按采购人要求出具维修方案，待采购人同意后按维修方案实施维修。</w:t>
            </w:r>
          </w:p>
        </w:tc>
      </w:tr>
      <w:tr w14:paraId="0C4FB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1" w:type="dxa"/>
            <w:vMerge w:val="continue"/>
            <w:noWrap w:val="0"/>
            <w:vAlign w:val="center"/>
          </w:tcPr>
          <w:p w14:paraId="6BF3E05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19" w:type="dxa"/>
            <w:vMerge w:val="continue"/>
            <w:noWrap w:val="0"/>
            <w:vAlign w:val="center"/>
          </w:tcPr>
          <w:p w14:paraId="5091744F">
            <w:pPr>
              <w:keepNext w:val="0"/>
              <w:keepLines w:val="0"/>
              <w:pageBreakBefore w:val="0"/>
              <w:widowControl/>
              <w:kinsoku/>
              <w:wordWrap/>
              <w:overflowPunct/>
              <w:topLinePunct w:val="0"/>
              <w:autoSpaceDE/>
              <w:autoSpaceDN/>
              <w:bidi w:val="0"/>
              <w:adjustRightInd/>
              <w:snapToGrid w:val="0"/>
              <w:spacing w:line="300" w:lineRule="auto"/>
              <w:ind w:left="0" w:leftChars="0" w:firstLine="0" w:firstLineChars="0"/>
              <w:textAlignment w:val="auto"/>
              <w:rPr>
                <w:highlight w:val="none"/>
                <w:lang w:val="en-US" w:eastAsia="zh-CN"/>
              </w:rPr>
            </w:pPr>
          </w:p>
        </w:tc>
        <w:tc>
          <w:tcPr>
            <w:tcW w:w="10000" w:type="dxa"/>
            <w:noWrap w:val="0"/>
            <w:vAlign w:val="center"/>
          </w:tcPr>
          <w:p w14:paraId="5292A1DF">
            <w:pPr>
              <w:keepNext w:val="0"/>
              <w:keepLines w:val="0"/>
              <w:pageBreakBefore w:val="0"/>
              <w:widowControl/>
              <w:kinsoku/>
              <w:wordWrap/>
              <w:overflowPunct/>
              <w:topLinePunct w:val="0"/>
              <w:autoSpaceDE/>
              <w:autoSpaceDN/>
              <w:bidi w:val="0"/>
              <w:adjustRightInd/>
              <w:snapToGrid w:val="0"/>
              <w:spacing w:line="300" w:lineRule="auto"/>
              <w:ind w:left="0" w:leftChars="0" w:firstLine="240" w:firstLineChars="100"/>
              <w:jc w:val="left"/>
              <w:textAlignment w:val="auto"/>
              <w:rPr>
                <w:rFonts w:hint="eastAsia" w:ascii="Calibri" w:hAnsi="Calibri" w:eastAsia="宋体" w:cs="Calibri"/>
                <w:color w:val="auto"/>
                <w:kern w:val="2"/>
                <w:sz w:val="21"/>
                <w:szCs w:val="21"/>
                <w:highlight w:val="none"/>
                <w:u w:val="none"/>
                <w:lang w:val="en-US" w:eastAsia="zh-CN" w:bidi="ar-SA"/>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（3）</w:t>
            </w:r>
            <w:r>
              <w:rPr>
                <w:rFonts w:hint="default" w:ascii="Calibri" w:hAnsi="Calibri" w:eastAsia="宋体" w:cs="Calibri"/>
                <w:color w:val="auto"/>
                <w:szCs w:val="21"/>
                <w:highlight w:val="none"/>
                <w:u w:val="none"/>
                <w:lang w:val="en-US" w:eastAsia="zh-CN"/>
              </w:rPr>
              <w:t>路面状态良好，地漏通畅不堵塞</w:t>
            </w:r>
            <w:r>
              <w:rPr>
                <w:rFonts w:hint="eastAsia" w:ascii="Calibri" w:hAnsi="Calibri" w:eastAsia="宋体" w:cs="Calibri"/>
                <w:color w:val="auto"/>
                <w:szCs w:val="21"/>
                <w:highlight w:val="none"/>
                <w:u w:val="none"/>
                <w:lang w:val="en-US" w:eastAsia="zh-CN"/>
              </w:rPr>
              <w:t>。</w:t>
            </w:r>
          </w:p>
        </w:tc>
      </w:tr>
      <w:tr w14:paraId="125DF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1" w:type="dxa"/>
            <w:vMerge w:val="continue"/>
            <w:noWrap w:val="0"/>
            <w:vAlign w:val="center"/>
          </w:tcPr>
          <w:p w14:paraId="167E326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19" w:type="dxa"/>
            <w:vMerge w:val="continue"/>
            <w:noWrap w:val="0"/>
            <w:vAlign w:val="center"/>
          </w:tcPr>
          <w:p w14:paraId="1D2882C7">
            <w:pPr>
              <w:keepNext w:val="0"/>
              <w:keepLines w:val="0"/>
              <w:pageBreakBefore w:val="0"/>
              <w:widowControl/>
              <w:kinsoku/>
              <w:wordWrap/>
              <w:overflowPunct/>
              <w:topLinePunct w:val="0"/>
              <w:autoSpaceDE/>
              <w:autoSpaceDN/>
              <w:bidi w:val="0"/>
              <w:adjustRightInd/>
              <w:snapToGrid w:val="0"/>
              <w:spacing w:line="300" w:lineRule="auto"/>
              <w:ind w:left="0" w:leftChars="0" w:firstLine="0" w:firstLineChars="0"/>
              <w:textAlignment w:val="auto"/>
              <w:rPr>
                <w:highlight w:val="none"/>
                <w:lang w:val="en-US" w:eastAsia="zh-CN"/>
              </w:rPr>
            </w:pPr>
          </w:p>
        </w:tc>
        <w:tc>
          <w:tcPr>
            <w:tcW w:w="10000" w:type="dxa"/>
            <w:noWrap w:val="0"/>
            <w:vAlign w:val="center"/>
          </w:tcPr>
          <w:p w14:paraId="5F084355">
            <w:pPr>
              <w:keepNext w:val="0"/>
              <w:keepLines w:val="0"/>
              <w:pageBreakBefore w:val="0"/>
              <w:widowControl/>
              <w:kinsoku/>
              <w:wordWrap/>
              <w:overflowPunct/>
              <w:topLinePunct w:val="0"/>
              <w:autoSpaceDE/>
              <w:autoSpaceDN/>
              <w:bidi w:val="0"/>
              <w:adjustRightInd/>
              <w:snapToGrid w:val="0"/>
              <w:spacing w:line="300" w:lineRule="auto"/>
              <w:ind w:left="0" w:leftChars="0" w:firstLine="24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（4）接到采购人家具报修服务后，及时通知家具供货商对保修期内的家具进行维修，及时对保修期外的家具进行维修。</w:t>
            </w:r>
          </w:p>
        </w:tc>
      </w:tr>
      <w:tr w14:paraId="07816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1" w:type="dxa"/>
            <w:vMerge w:val="restart"/>
            <w:noWrap w:val="0"/>
            <w:vAlign w:val="center"/>
          </w:tcPr>
          <w:p w14:paraId="686BD07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r>
              <w:rPr>
                <w:rFonts w:hint="eastAsia"/>
                <w:highlight w:val="none"/>
                <w:lang w:val="en-US" w:eastAsia="zh-CN"/>
              </w:rPr>
              <w:t>3</w:t>
            </w:r>
          </w:p>
        </w:tc>
        <w:tc>
          <w:tcPr>
            <w:tcW w:w="3319" w:type="dxa"/>
            <w:vMerge w:val="restart"/>
            <w:noWrap w:val="0"/>
            <w:vAlign w:val="center"/>
          </w:tcPr>
          <w:p w14:paraId="4F720A2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r>
              <w:rPr>
                <w:rFonts w:hint="default"/>
                <w:highlight w:val="none"/>
              </w:rPr>
              <w:t>标识标牌</w:t>
            </w:r>
          </w:p>
        </w:tc>
        <w:tc>
          <w:tcPr>
            <w:tcW w:w="10000" w:type="dxa"/>
            <w:noWrap w:val="0"/>
            <w:vAlign w:val="center"/>
          </w:tcPr>
          <w:p w14:paraId="1A8F6F30">
            <w:pPr>
              <w:keepNext w:val="0"/>
              <w:keepLines w:val="0"/>
              <w:pageBreakBefore w:val="0"/>
              <w:widowControl/>
              <w:kinsoku/>
              <w:wordWrap/>
              <w:overflowPunct/>
              <w:topLinePunct w:val="0"/>
              <w:autoSpaceDE/>
              <w:autoSpaceDN/>
              <w:bidi w:val="0"/>
              <w:adjustRightInd/>
              <w:snapToGrid w:val="0"/>
              <w:spacing w:line="300" w:lineRule="auto"/>
              <w:ind w:left="0" w:leftChars="0" w:firstLine="240" w:firstLineChars="100"/>
              <w:jc w:val="left"/>
              <w:textAlignment w:val="auto"/>
              <w:rPr>
                <w:rFonts w:hint="eastAsia" w:ascii="Calibri" w:hAnsi="Calibri" w:eastAsia="宋体" w:cs="Calibri"/>
                <w:color w:val="auto"/>
                <w:kern w:val="2"/>
                <w:sz w:val="21"/>
                <w:szCs w:val="21"/>
                <w:highlight w:val="none"/>
                <w:u w:val="none"/>
                <w:lang w:val="en-US" w:eastAsia="zh-CN" w:bidi="ar-SA"/>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标识标牌符合</w:t>
            </w:r>
            <w:r>
              <w:rPr>
                <w:rFonts w:hint="eastAsia" w:cs="Calibri"/>
                <w:b w:val="0"/>
                <w:bCs w:val="0"/>
                <w:color w:val="auto"/>
                <w:kern w:val="0"/>
                <w:szCs w:val="21"/>
                <w:highlight w:val="none"/>
                <w:lang w:val="en-US" w:eastAsia="zh-CN"/>
              </w:rPr>
              <w:t>《</w:t>
            </w:r>
            <w:r>
              <w:rPr>
                <w:rFonts w:hint="eastAsia"/>
                <w:color w:val="auto"/>
                <w:kern w:val="0"/>
                <w:highlight w:val="none"/>
              </w:rPr>
              <w:t>公共信息图形符号 第1部分：通用符号</w:t>
            </w:r>
            <w:r>
              <w:rPr>
                <w:rFonts w:hint="eastAsia" w:cs="Calibri"/>
                <w:b w:val="0"/>
                <w:bCs w:val="0"/>
                <w:color w:val="auto"/>
                <w:kern w:val="0"/>
                <w:szCs w:val="21"/>
                <w:highlight w:val="none"/>
                <w:lang w:val="en-US" w:eastAsia="zh-CN"/>
              </w:rPr>
              <w:t>》（</w:t>
            </w:r>
            <w:r>
              <w:rPr>
                <w:rFonts w:hint="eastAsia"/>
                <w:color w:val="auto"/>
                <w:kern w:val="0"/>
                <w:highlight w:val="none"/>
              </w:rPr>
              <w:t>GB/T 10001.1</w:t>
            </w:r>
            <w:r>
              <w:rPr>
                <w:rFonts w:hint="eastAsia" w:cs="Calibri"/>
                <w:b w:val="0"/>
                <w:bCs w:val="0"/>
                <w:color w:val="auto"/>
                <w:kern w:val="0"/>
                <w:szCs w:val="21"/>
                <w:highlight w:val="none"/>
                <w:lang w:val="en-US" w:eastAsia="zh-CN"/>
              </w:rPr>
              <w:t>）的</w:t>
            </w:r>
            <w:r>
              <w:rPr>
                <w:rFonts w:hint="eastAsia" w:ascii="Calibri" w:hAnsi="Calibri" w:eastAsia="宋体" w:cs="Calibri"/>
                <w:b w:val="0"/>
                <w:bCs w:val="0"/>
                <w:color w:val="auto"/>
                <w:kern w:val="0"/>
                <w:szCs w:val="21"/>
                <w:highlight w:val="none"/>
                <w:lang w:val="en-US" w:eastAsia="zh-CN"/>
              </w:rPr>
              <w:t>相关要求，消防与安全标识符合</w:t>
            </w:r>
            <w:r>
              <w:rPr>
                <w:rFonts w:hint="eastAsia" w:cs="Calibri"/>
                <w:b w:val="0"/>
                <w:bCs w:val="0"/>
                <w:color w:val="auto"/>
                <w:kern w:val="0"/>
                <w:szCs w:val="21"/>
                <w:highlight w:val="none"/>
                <w:lang w:val="en-US" w:eastAsia="zh-CN"/>
              </w:rPr>
              <w:t>《</w:t>
            </w:r>
            <w:r>
              <w:rPr>
                <w:rFonts w:hint="eastAsia"/>
                <w:color w:val="auto"/>
                <w:kern w:val="0"/>
                <w:highlight w:val="none"/>
              </w:rPr>
              <w:t>安全标志及其使用导则</w:t>
            </w:r>
            <w:r>
              <w:rPr>
                <w:rFonts w:hint="eastAsia"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GB2894</w:t>
            </w:r>
            <w:r>
              <w:rPr>
                <w:rFonts w:hint="eastAsia"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w:t>
            </w:r>
            <w:r>
              <w:rPr>
                <w:rFonts w:hint="eastAsia" w:cs="Calibri"/>
                <w:b w:val="0"/>
                <w:bCs w:val="0"/>
                <w:color w:val="auto"/>
                <w:kern w:val="0"/>
                <w:szCs w:val="21"/>
                <w:highlight w:val="none"/>
                <w:lang w:val="en-US" w:eastAsia="zh-CN"/>
              </w:rPr>
              <w:t>《消防安全标志　第1部分：标志》（</w:t>
            </w:r>
            <w:r>
              <w:rPr>
                <w:rFonts w:hint="eastAsia" w:ascii="Calibri" w:hAnsi="Calibri" w:eastAsia="宋体" w:cs="Calibri"/>
                <w:b w:val="0"/>
                <w:bCs w:val="0"/>
                <w:color w:val="auto"/>
                <w:kern w:val="0"/>
                <w:szCs w:val="21"/>
                <w:highlight w:val="none"/>
                <w:lang w:val="en-US" w:eastAsia="zh-CN"/>
              </w:rPr>
              <w:t>GB13495.1</w:t>
            </w:r>
            <w:r>
              <w:rPr>
                <w:rFonts w:hint="eastAsia"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的相关要求</w:t>
            </w:r>
            <w:r>
              <w:rPr>
                <w:rFonts w:hint="eastAsia" w:eastAsia="宋体" w:cs="Calibri"/>
                <w:b w:val="0"/>
                <w:bCs w:val="0"/>
                <w:color w:val="auto"/>
                <w:kern w:val="0"/>
                <w:szCs w:val="21"/>
                <w:highlight w:val="none"/>
                <w:lang w:val="en-US" w:eastAsia="zh-CN"/>
              </w:rPr>
              <w:t>。</w:t>
            </w:r>
          </w:p>
        </w:tc>
      </w:tr>
      <w:tr w14:paraId="5497D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1" w:type="dxa"/>
            <w:vMerge w:val="continue"/>
            <w:noWrap w:val="0"/>
            <w:vAlign w:val="center"/>
          </w:tcPr>
          <w:p w14:paraId="1856C00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19" w:type="dxa"/>
            <w:vMerge w:val="continue"/>
            <w:noWrap w:val="0"/>
            <w:vAlign w:val="center"/>
          </w:tcPr>
          <w:p w14:paraId="2CAE751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10000" w:type="dxa"/>
            <w:noWrap w:val="0"/>
            <w:vAlign w:val="center"/>
          </w:tcPr>
          <w:p w14:paraId="0FB17C4C">
            <w:pPr>
              <w:keepNext w:val="0"/>
              <w:keepLines w:val="0"/>
              <w:pageBreakBefore w:val="0"/>
              <w:widowControl/>
              <w:kinsoku/>
              <w:wordWrap/>
              <w:overflowPunct/>
              <w:topLinePunct w:val="0"/>
              <w:autoSpaceDE/>
              <w:autoSpaceDN/>
              <w:bidi w:val="0"/>
              <w:adjustRightInd/>
              <w:snapToGrid w:val="0"/>
              <w:spacing w:line="300" w:lineRule="auto"/>
              <w:ind w:left="0" w:leftChars="0" w:firstLine="24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（2）</w:t>
            </w:r>
            <w:r>
              <w:rPr>
                <w:rFonts w:hint="eastAsia" w:ascii="Calibri" w:hAnsi="Calibri" w:eastAsia="宋体" w:cs="Calibri"/>
                <w:b w:val="0"/>
                <w:bCs w:val="0"/>
                <w:color w:val="auto"/>
                <w:kern w:val="0"/>
                <w:szCs w:val="21"/>
                <w:highlight w:val="none"/>
                <w:lang w:val="en-US" w:eastAsia="zh-CN"/>
              </w:rPr>
              <w:t>每月至少检查1次标识标牌</w:t>
            </w:r>
            <w:r>
              <w:rPr>
                <w:rFonts w:hint="eastAsia" w:cs="Calibri"/>
                <w:b w:val="0"/>
                <w:bCs w:val="0"/>
                <w:color w:val="auto"/>
                <w:kern w:val="0"/>
                <w:szCs w:val="21"/>
                <w:highlight w:val="none"/>
                <w:lang w:val="en-US" w:eastAsia="zh-CN"/>
              </w:rPr>
              <w:t>和</w:t>
            </w:r>
            <w:r>
              <w:rPr>
                <w:rFonts w:hint="eastAsia" w:ascii="Calibri" w:hAnsi="Calibri" w:eastAsia="宋体" w:cs="Calibri"/>
                <w:b w:val="0"/>
                <w:bCs w:val="0"/>
                <w:color w:val="auto"/>
                <w:kern w:val="0"/>
                <w:szCs w:val="21"/>
                <w:highlight w:val="none"/>
                <w:lang w:val="en-US" w:eastAsia="zh-CN"/>
              </w:rPr>
              <w:t>消防与安全标识。应</w:t>
            </w:r>
            <w:r>
              <w:rPr>
                <w:rFonts w:hint="eastAsia" w:cs="Calibri"/>
                <w:b w:val="0"/>
                <w:bCs w:val="0"/>
                <w:color w:val="auto"/>
                <w:kern w:val="0"/>
                <w:szCs w:val="21"/>
                <w:highlight w:val="none"/>
                <w:lang w:val="en-US" w:eastAsia="zh-CN"/>
              </w:rPr>
              <w:t>当</w:t>
            </w:r>
            <w:r>
              <w:rPr>
                <w:rFonts w:hint="eastAsia" w:ascii="Calibri" w:hAnsi="Calibri" w:eastAsia="宋体" w:cs="Calibri"/>
                <w:b w:val="0"/>
                <w:bCs w:val="0"/>
                <w:color w:val="auto"/>
                <w:kern w:val="0"/>
                <w:szCs w:val="21"/>
                <w:highlight w:val="none"/>
                <w:lang w:val="en-US" w:eastAsia="zh-CN"/>
              </w:rPr>
              <w:t>规范清晰、路线指引正确、安装稳固</w:t>
            </w:r>
            <w:r>
              <w:rPr>
                <w:rFonts w:hint="eastAsia" w:eastAsia="宋体" w:cs="Calibri"/>
                <w:b w:val="0"/>
                <w:bCs w:val="0"/>
                <w:color w:val="auto"/>
                <w:kern w:val="0"/>
                <w:szCs w:val="21"/>
                <w:highlight w:val="none"/>
                <w:lang w:val="en-US" w:eastAsia="zh-CN"/>
              </w:rPr>
              <w:t>。</w:t>
            </w:r>
          </w:p>
        </w:tc>
      </w:tr>
    </w:tbl>
    <w:p w14:paraId="5022B37E">
      <w:pPr>
        <w:pStyle w:val="4"/>
        <w:bidi w:val="0"/>
        <w:rPr>
          <w:rFonts w:hint="default" w:ascii="宋体" w:hAnsi="宋体" w:eastAsia="宋体" w:cs="宋体"/>
          <w:b/>
          <w:bCs/>
          <w:color w:val="auto"/>
          <w:kern w:val="44"/>
          <w:sz w:val="28"/>
          <w:szCs w:val="28"/>
          <w:highlight w:val="none"/>
          <w:lang w:val="en-US" w:eastAsia="zh-CN" w:bidi="ar-SA"/>
        </w:rPr>
      </w:pPr>
      <w:r>
        <w:rPr>
          <w:rFonts w:hint="eastAsia" w:ascii="宋体" w:hAnsi="宋体" w:eastAsia="宋体" w:cs="宋体"/>
          <w:b/>
          <w:bCs/>
          <w:color w:val="auto"/>
          <w:kern w:val="44"/>
          <w:sz w:val="28"/>
          <w:szCs w:val="28"/>
          <w:highlight w:val="none"/>
          <w:lang w:val="en-US" w:eastAsia="zh-CN" w:bidi="ar-SA"/>
        </w:rPr>
        <w:t>3.3公用设施设备维护服务</w:t>
      </w:r>
    </w:p>
    <w:tbl>
      <w:tblPr>
        <w:tblStyle w:val="32"/>
        <w:tblW w:w="501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960"/>
        <w:gridCol w:w="5864"/>
      </w:tblGrid>
      <w:tr w14:paraId="71314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noWrap w:val="0"/>
            <w:vAlign w:val="center"/>
          </w:tcPr>
          <w:p w14:paraId="7FBF68D0">
            <w:pPr>
              <w:pageBreakBefore w:val="0"/>
              <w:widowControl/>
              <w:kinsoku/>
              <w:wordWrap/>
              <w:overflowPunct/>
              <w:topLinePunct w:val="0"/>
              <w:bidi w:val="0"/>
              <w:snapToGrid w:val="0"/>
              <w:spacing w:line="300" w:lineRule="auto"/>
              <w:ind w:left="0"/>
              <w:jc w:val="center"/>
              <w:rPr>
                <w:rFonts w:hint="eastAsia" w:ascii="Calibri" w:hAnsi="Calibri" w:eastAsia="宋体" w:cs="Calibri"/>
                <w:b/>
                <w:bCs/>
                <w:color w:val="auto"/>
                <w:kern w:val="0"/>
                <w:szCs w:val="21"/>
                <w:highlight w:val="none"/>
                <w:lang w:val="en-US" w:eastAsia="zh-CN"/>
              </w:rPr>
            </w:pPr>
            <w:r>
              <w:rPr>
                <w:rFonts w:hint="eastAsia" w:cs="Calibri"/>
                <w:b/>
                <w:bCs/>
                <w:color w:val="auto"/>
                <w:kern w:val="0"/>
                <w:szCs w:val="21"/>
                <w:highlight w:val="none"/>
                <w:lang w:val="en-US" w:eastAsia="zh-CN"/>
              </w:rPr>
              <w:t>序号</w:t>
            </w:r>
          </w:p>
        </w:tc>
        <w:tc>
          <w:tcPr>
            <w:tcW w:w="3348" w:type="dxa"/>
            <w:noWrap w:val="0"/>
            <w:vAlign w:val="center"/>
          </w:tcPr>
          <w:p w14:paraId="0AB00351">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Cs w:val="21"/>
                <w:highlight w:val="none"/>
              </w:rPr>
            </w:pPr>
            <w:r>
              <w:rPr>
                <w:rFonts w:hint="default" w:ascii="Calibri" w:hAnsi="Calibri" w:eastAsia="宋体" w:cs="Calibri"/>
                <w:b/>
                <w:bCs/>
                <w:color w:val="auto"/>
                <w:kern w:val="0"/>
                <w:szCs w:val="21"/>
                <w:highlight w:val="none"/>
              </w:rPr>
              <w:t>服务内容</w:t>
            </w:r>
          </w:p>
        </w:tc>
        <w:tc>
          <w:tcPr>
            <w:tcW w:w="10020" w:type="dxa"/>
            <w:noWrap w:val="0"/>
            <w:vAlign w:val="center"/>
          </w:tcPr>
          <w:p w14:paraId="55C6C251">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Cs w:val="21"/>
                <w:highlight w:val="none"/>
                <w:lang w:val="en-US" w:eastAsia="zh-CN"/>
              </w:rPr>
            </w:pPr>
            <w:r>
              <w:rPr>
                <w:rFonts w:hint="eastAsia" w:cs="Calibri"/>
                <w:b/>
                <w:bCs/>
                <w:color w:val="auto"/>
                <w:kern w:val="0"/>
                <w:szCs w:val="21"/>
                <w:highlight w:val="none"/>
                <w:lang w:val="en-US" w:eastAsia="zh-CN"/>
              </w:rPr>
              <w:t>服务标准</w:t>
            </w:r>
          </w:p>
        </w:tc>
      </w:tr>
      <w:tr w14:paraId="34EC3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restart"/>
            <w:noWrap w:val="0"/>
            <w:vAlign w:val="center"/>
          </w:tcPr>
          <w:p w14:paraId="1681C6F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lang w:val="en-US" w:eastAsia="zh-CN"/>
              </w:rPr>
            </w:pPr>
            <w:r>
              <w:rPr>
                <w:rFonts w:hint="eastAsia"/>
                <w:highlight w:val="none"/>
                <w:lang w:val="en-US" w:eastAsia="zh-CN"/>
              </w:rPr>
              <w:t>1</w:t>
            </w:r>
          </w:p>
        </w:tc>
        <w:tc>
          <w:tcPr>
            <w:tcW w:w="3348" w:type="dxa"/>
            <w:vMerge w:val="restart"/>
            <w:noWrap w:val="0"/>
            <w:vAlign w:val="center"/>
          </w:tcPr>
          <w:p w14:paraId="7D4A7A6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r>
              <w:rPr>
                <w:highlight w:val="none"/>
                <w:lang w:val="en-US" w:eastAsia="zh-CN"/>
              </w:rPr>
              <w:t>基本要求</w:t>
            </w:r>
          </w:p>
        </w:tc>
        <w:tc>
          <w:tcPr>
            <w:tcW w:w="10020" w:type="dxa"/>
            <w:noWrap w:val="0"/>
            <w:vAlign w:val="center"/>
          </w:tcPr>
          <w:p w14:paraId="3440F024">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重大节假日及恶劣天气前后，组织系统巡检1次</w:t>
            </w:r>
            <w:r>
              <w:rPr>
                <w:rFonts w:hint="eastAsia" w:eastAsia="宋体" w:cs="Calibri"/>
                <w:b w:val="0"/>
                <w:bCs w:val="0"/>
                <w:color w:val="auto"/>
                <w:kern w:val="0"/>
                <w:szCs w:val="21"/>
                <w:highlight w:val="none"/>
                <w:lang w:val="en-US" w:eastAsia="zh-CN"/>
              </w:rPr>
              <w:t>。</w:t>
            </w:r>
          </w:p>
        </w:tc>
      </w:tr>
      <w:tr w14:paraId="4A678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14:paraId="37B850B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48" w:type="dxa"/>
            <w:vMerge w:val="continue"/>
            <w:noWrap w:val="0"/>
            <w:vAlign w:val="center"/>
          </w:tcPr>
          <w:p w14:paraId="1A58D8F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highlight w:val="none"/>
                <w:lang w:val="en-US" w:eastAsia="zh-CN"/>
              </w:rPr>
            </w:pPr>
          </w:p>
        </w:tc>
        <w:tc>
          <w:tcPr>
            <w:tcW w:w="10020" w:type="dxa"/>
            <w:noWrap w:val="0"/>
            <w:vAlign w:val="center"/>
          </w:tcPr>
          <w:p w14:paraId="5FC7D0C3">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（2）</w:t>
            </w:r>
            <w:r>
              <w:rPr>
                <w:rFonts w:hint="eastAsia" w:ascii="Calibri" w:hAnsi="Calibri" w:eastAsia="宋体" w:cs="Calibri"/>
                <w:b w:val="0"/>
                <w:bCs w:val="0"/>
                <w:color w:val="auto"/>
                <w:kern w:val="0"/>
                <w:szCs w:val="21"/>
                <w:highlight w:val="none"/>
                <w:lang w:val="en-US" w:eastAsia="zh-CN"/>
              </w:rPr>
              <w:t>具备设施设备安全、稳定运行的环境和场所</w:t>
            </w:r>
            <w:r>
              <w:rPr>
                <w:rFonts w:hint="eastAsia" w:eastAsia="宋体"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含有限空间</w:t>
            </w:r>
            <w:r>
              <w:rPr>
                <w:rFonts w:hint="eastAsia" w:eastAsia="宋体"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，温湿度、照度、粉尘和烟雾浓度等符合相关安全规范</w:t>
            </w:r>
            <w:r>
              <w:rPr>
                <w:rFonts w:hint="eastAsia" w:eastAsia="宋体" w:cs="Calibri"/>
                <w:b w:val="0"/>
                <w:bCs w:val="0"/>
                <w:color w:val="auto"/>
                <w:kern w:val="0"/>
                <w:szCs w:val="21"/>
                <w:highlight w:val="none"/>
                <w:lang w:val="en-US" w:eastAsia="zh-CN"/>
              </w:rPr>
              <w:t>。</w:t>
            </w:r>
          </w:p>
        </w:tc>
      </w:tr>
      <w:tr w14:paraId="0F574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restart"/>
            <w:noWrap w:val="0"/>
            <w:vAlign w:val="center"/>
          </w:tcPr>
          <w:p w14:paraId="7DB3093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r>
              <w:rPr>
                <w:rFonts w:hint="eastAsia"/>
                <w:highlight w:val="none"/>
                <w:lang w:val="en-US" w:eastAsia="zh-CN"/>
              </w:rPr>
              <w:t>2</w:t>
            </w:r>
          </w:p>
        </w:tc>
        <w:tc>
          <w:tcPr>
            <w:tcW w:w="3348" w:type="dxa"/>
            <w:vMerge w:val="restart"/>
            <w:noWrap w:val="0"/>
            <w:vAlign w:val="center"/>
          </w:tcPr>
          <w:p w14:paraId="78557C8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r>
              <w:rPr>
                <w:rFonts w:hint="default"/>
                <w:highlight w:val="none"/>
              </w:rPr>
              <w:t>设备机房</w:t>
            </w:r>
          </w:p>
        </w:tc>
        <w:tc>
          <w:tcPr>
            <w:tcW w:w="10020" w:type="dxa"/>
            <w:noWrap w:val="0"/>
            <w:vAlign w:val="center"/>
          </w:tcPr>
          <w:p w14:paraId="02E5D7CF">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设备机房门口有机房类别及安全标志。落实各类机房责任人、督查人，且设备系统图、应急预案流程图</w:t>
            </w:r>
            <w:r>
              <w:rPr>
                <w:rFonts w:hint="eastAsia"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管理制度、特种作业人员资格证书等上墙文件或证书符合</w:t>
            </w:r>
            <w:r>
              <w:rPr>
                <w:rFonts w:hint="eastAsia" w:cs="Calibri"/>
                <w:b w:val="0"/>
                <w:bCs w:val="0"/>
                <w:color w:val="auto"/>
                <w:kern w:val="0"/>
                <w:szCs w:val="21"/>
                <w:highlight w:val="none"/>
                <w:lang w:val="en-US" w:eastAsia="zh-CN"/>
              </w:rPr>
              <w:t>各设备机房国家标准</w:t>
            </w:r>
            <w:r>
              <w:rPr>
                <w:rFonts w:hint="eastAsia" w:ascii="Calibri" w:hAnsi="Calibri" w:eastAsia="宋体" w:cs="Calibri"/>
                <w:b w:val="0"/>
                <w:bCs w:val="0"/>
                <w:color w:val="auto"/>
                <w:kern w:val="0"/>
                <w:szCs w:val="21"/>
                <w:highlight w:val="none"/>
                <w:lang w:val="en-US" w:eastAsia="zh-CN"/>
              </w:rPr>
              <w:t>规范要求，机房巡视及外来人员记录清晰完整，标识统一</w:t>
            </w:r>
            <w:r>
              <w:rPr>
                <w:rFonts w:hint="eastAsia" w:eastAsia="宋体" w:cs="Calibri"/>
                <w:b w:val="0"/>
                <w:bCs w:val="0"/>
                <w:color w:val="auto"/>
                <w:kern w:val="0"/>
                <w:szCs w:val="21"/>
                <w:highlight w:val="none"/>
                <w:lang w:val="en-US" w:eastAsia="zh-CN"/>
              </w:rPr>
              <w:t>。</w:t>
            </w:r>
          </w:p>
        </w:tc>
      </w:tr>
      <w:tr w14:paraId="776F0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242" w:type="dxa"/>
            <w:vMerge w:val="continue"/>
            <w:noWrap w:val="0"/>
            <w:vAlign w:val="center"/>
          </w:tcPr>
          <w:p w14:paraId="55E3759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48" w:type="dxa"/>
            <w:vMerge w:val="continue"/>
            <w:noWrap w:val="0"/>
            <w:vAlign w:val="center"/>
          </w:tcPr>
          <w:p w14:paraId="4B9F194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10020" w:type="dxa"/>
            <w:noWrap w:val="0"/>
            <w:vAlign w:val="center"/>
          </w:tcPr>
          <w:p w14:paraId="52251907">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（2）设备机房</w:t>
            </w:r>
            <w:r>
              <w:rPr>
                <w:rFonts w:hint="eastAsia" w:ascii="Calibri" w:hAnsi="Calibri" w:eastAsia="宋体" w:cs="Calibri"/>
                <w:b w:val="0"/>
                <w:bCs w:val="0"/>
                <w:color w:val="auto"/>
                <w:kern w:val="0"/>
                <w:szCs w:val="21"/>
                <w:highlight w:val="none"/>
                <w:lang w:val="en-US" w:eastAsia="zh-CN"/>
              </w:rPr>
              <w:t>门窗、锁具应</w:t>
            </w:r>
            <w:r>
              <w:rPr>
                <w:rFonts w:hint="eastAsia" w:cs="Calibri"/>
                <w:b w:val="0"/>
                <w:bCs w:val="0"/>
                <w:color w:val="auto"/>
                <w:kern w:val="0"/>
                <w:szCs w:val="21"/>
                <w:highlight w:val="none"/>
                <w:lang w:val="en-US" w:eastAsia="zh-CN"/>
              </w:rPr>
              <w:t>当</w:t>
            </w:r>
            <w:r>
              <w:rPr>
                <w:rFonts w:hint="eastAsia" w:ascii="Calibri" w:hAnsi="Calibri" w:eastAsia="宋体" w:cs="Calibri"/>
                <w:b w:val="0"/>
                <w:bCs w:val="0"/>
                <w:color w:val="auto"/>
                <w:kern w:val="0"/>
                <w:szCs w:val="21"/>
                <w:highlight w:val="none"/>
                <w:lang w:val="en-US" w:eastAsia="zh-CN"/>
              </w:rPr>
              <w:t>完好、有效</w:t>
            </w:r>
            <w:r>
              <w:rPr>
                <w:rFonts w:hint="eastAsia" w:eastAsia="宋体" w:cs="Calibri"/>
                <w:b w:val="0"/>
                <w:bCs w:val="0"/>
                <w:color w:val="auto"/>
                <w:kern w:val="0"/>
                <w:szCs w:val="21"/>
                <w:highlight w:val="none"/>
                <w:lang w:val="en-US" w:eastAsia="zh-CN"/>
              </w:rPr>
              <w:t>。</w:t>
            </w:r>
          </w:p>
        </w:tc>
      </w:tr>
      <w:tr w14:paraId="366BA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242" w:type="dxa"/>
            <w:vMerge w:val="continue"/>
            <w:noWrap w:val="0"/>
            <w:vAlign w:val="center"/>
          </w:tcPr>
          <w:p w14:paraId="0B545AE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48" w:type="dxa"/>
            <w:vMerge w:val="continue"/>
            <w:noWrap w:val="0"/>
            <w:vAlign w:val="center"/>
          </w:tcPr>
          <w:p w14:paraId="668A3D3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10020" w:type="dxa"/>
            <w:noWrap w:val="0"/>
            <w:vAlign w:val="center"/>
          </w:tcPr>
          <w:p w14:paraId="466681BA">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（3）</w:t>
            </w:r>
            <w:r>
              <w:rPr>
                <w:rFonts w:hint="eastAsia" w:ascii="Calibri" w:hAnsi="Calibri" w:eastAsia="宋体" w:cs="Calibri"/>
                <w:b w:val="0"/>
                <w:bCs w:val="0"/>
                <w:color w:val="auto"/>
                <w:kern w:val="0"/>
                <w:szCs w:val="21"/>
                <w:highlight w:val="none"/>
                <w:lang w:val="en-US" w:eastAsia="zh-CN"/>
              </w:rPr>
              <w:t>每半月至少</w:t>
            </w:r>
            <w:r>
              <w:rPr>
                <w:rFonts w:hint="eastAsia" w:cs="Calibri"/>
                <w:b w:val="0"/>
                <w:bCs w:val="0"/>
                <w:color w:val="auto"/>
                <w:kern w:val="0"/>
                <w:szCs w:val="21"/>
                <w:highlight w:val="none"/>
                <w:lang w:val="en-US" w:eastAsia="zh-CN"/>
              </w:rPr>
              <w:t>开展</w:t>
            </w:r>
            <w:r>
              <w:rPr>
                <w:rFonts w:hint="eastAsia" w:ascii="Calibri" w:hAnsi="Calibri" w:eastAsia="宋体" w:cs="Calibri"/>
                <w:b w:val="0"/>
                <w:bCs w:val="0"/>
                <w:color w:val="auto"/>
                <w:kern w:val="0"/>
                <w:szCs w:val="21"/>
                <w:highlight w:val="none"/>
                <w:lang w:val="en-US" w:eastAsia="zh-CN"/>
              </w:rPr>
              <w:t>1次清洁，整洁有序、无杂物、无积尘、无鼠、无虫害，温湿度符合设备运行要求</w:t>
            </w:r>
            <w:r>
              <w:rPr>
                <w:rFonts w:hint="eastAsia" w:eastAsia="宋体" w:cs="Calibri"/>
                <w:b w:val="0"/>
                <w:bCs w:val="0"/>
                <w:color w:val="auto"/>
                <w:kern w:val="0"/>
                <w:szCs w:val="21"/>
                <w:highlight w:val="none"/>
                <w:lang w:val="en-US" w:eastAsia="zh-CN"/>
              </w:rPr>
              <w:t>。</w:t>
            </w:r>
          </w:p>
        </w:tc>
      </w:tr>
      <w:tr w14:paraId="60AB8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242" w:type="dxa"/>
            <w:vMerge w:val="continue"/>
            <w:noWrap w:val="0"/>
            <w:vAlign w:val="center"/>
          </w:tcPr>
          <w:p w14:paraId="16EDAFB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48" w:type="dxa"/>
            <w:vMerge w:val="continue"/>
            <w:noWrap w:val="0"/>
            <w:vAlign w:val="center"/>
          </w:tcPr>
          <w:p w14:paraId="1A48682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10020" w:type="dxa"/>
            <w:noWrap w:val="0"/>
            <w:vAlign w:val="center"/>
          </w:tcPr>
          <w:p w14:paraId="44A712D6">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（4）</w:t>
            </w:r>
            <w:r>
              <w:rPr>
                <w:rFonts w:hint="eastAsia" w:ascii="Calibri" w:hAnsi="Calibri" w:eastAsia="宋体" w:cs="Calibri"/>
                <w:b w:val="0"/>
                <w:bCs w:val="0"/>
                <w:color w:val="auto"/>
                <w:kern w:val="0"/>
                <w:szCs w:val="21"/>
                <w:highlight w:val="none"/>
                <w:lang w:val="en-US" w:eastAsia="zh-CN"/>
              </w:rPr>
              <w:t>按</w:t>
            </w:r>
            <w:r>
              <w:rPr>
                <w:rFonts w:hint="eastAsia" w:cs="Calibri"/>
                <w:b w:val="0"/>
                <w:bCs w:val="0"/>
                <w:color w:val="auto"/>
                <w:kern w:val="0"/>
                <w:szCs w:val="21"/>
                <w:highlight w:val="none"/>
                <w:lang w:val="en-US" w:eastAsia="zh-CN"/>
              </w:rPr>
              <w:t>各设备机房国家标准</w:t>
            </w:r>
            <w:r>
              <w:rPr>
                <w:rFonts w:hint="eastAsia" w:ascii="Calibri" w:hAnsi="Calibri" w:eastAsia="宋体" w:cs="Calibri"/>
                <w:b w:val="0"/>
                <w:bCs w:val="0"/>
                <w:color w:val="auto"/>
                <w:kern w:val="0"/>
                <w:szCs w:val="21"/>
                <w:highlight w:val="none"/>
                <w:lang w:val="en-US" w:eastAsia="zh-CN"/>
              </w:rPr>
              <w:t>规范规定</w:t>
            </w:r>
            <w:r>
              <w:rPr>
                <w:rFonts w:hint="eastAsia" w:cs="Calibri"/>
                <w:b w:val="0"/>
                <w:bCs w:val="0"/>
                <w:color w:val="auto"/>
                <w:kern w:val="0"/>
                <w:szCs w:val="21"/>
                <w:highlight w:val="none"/>
                <w:lang w:val="en-US" w:eastAsia="zh-CN"/>
              </w:rPr>
              <w:t>维护/保管</w:t>
            </w:r>
            <w:r>
              <w:rPr>
                <w:rFonts w:hint="eastAsia" w:ascii="Calibri" w:hAnsi="Calibri" w:eastAsia="宋体" w:cs="Calibri"/>
                <w:b w:val="0"/>
                <w:bCs w:val="0"/>
                <w:color w:val="auto"/>
                <w:kern w:val="0"/>
                <w:szCs w:val="21"/>
                <w:highlight w:val="none"/>
                <w:lang w:val="en-US" w:eastAsia="zh-CN"/>
              </w:rPr>
              <w:t>消防、通风、应急照明</w:t>
            </w:r>
            <w:r>
              <w:rPr>
                <w:rFonts w:hint="eastAsia"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防止小动物进入</w:t>
            </w:r>
            <w:r>
              <w:rPr>
                <w:rFonts w:hint="eastAsia" w:eastAsia="宋体" w:cs="Calibri"/>
                <w:b w:val="0"/>
                <w:bCs w:val="0"/>
                <w:color w:val="auto"/>
                <w:kern w:val="0"/>
                <w:szCs w:val="21"/>
                <w:highlight w:val="none"/>
                <w:lang w:val="en-US" w:eastAsia="zh-CN"/>
              </w:rPr>
              <w:t>。</w:t>
            </w:r>
          </w:p>
        </w:tc>
      </w:tr>
      <w:tr w14:paraId="0D68F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242" w:type="dxa"/>
            <w:vMerge w:val="continue"/>
            <w:noWrap w:val="0"/>
            <w:vAlign w:val="center"/>
          </w:tcPr>
          <w:p w14:paraId="55378EB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48" w:type="dxa"/>
            <w:vMerge w:val="continue"/>
            <w:noWrap w:val="0"/>
            <w:vAlign w:val="center"/>
          </w:tcPr>
          <w:p w14:paraId="58CE0F5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10020" w:type="dxa"/>
            <w:noWrap w:val="0"/>
            <w:vAlign w:val="center"/>
          </w:tcPr>
          <w:p w14:paraId="48FD4F66">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（5）</w:t>
            </w:r>
            <w:r>
              <w:rPr>
                <w:rFonts w:hint="eastAsia" w:ascii="Calibri" w:hAnsi="Calibri" w:eastAsia="宋体" w:cs="Calibri"/>
                <w:b w:val="0"/>
                <w:bCs w:val="0"/>
                <w:color w:val="auto"/>
                <w:kern w:val="0"/>
                <w:szCs w:val="21"/>
                <w:highlight w:val="none"/>
                <w:lang w:val="en-US" w:eastAsia="zh-CN"/>
              </w:rPr>
              <w:t>安全防护用具配置齐全，检验合格</w:t>
            </w:r>
            <w:r>
              <w:rPr>
                <w:rFonts w:hint="eastAsia" w:eastAsia="宋体" w:cs="Calibri"/>
                <w:b w:val="0"/>
                <w:bCs w:val="0"/>
                <w:color w:val="auto"/>
                <w:kern w:val="0"/>
                <w:szCs w:val="21"/>
                <w:highlight w:val="none"/>
                <w:lang w:val="en-US" w:eastAsia="zh-CN"/>
              </w:rPr>
              <w:t>。</w:t>
            </w:r>
          </w:p>
        </w:tc>
      </w:tr>
      <w:tr w14:paraId="73642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242" w:type="dxa"/>
            <w:vMerge w:val="continue"/>
            <w:noWrap w:val="0"/>
            <w:vAlign w:val="center"/>
          </w:tcPr>
          <w:p w14:paraId="389A980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p>
        </w:tc>
        <w:tc>
          <w:tcPr>
            <w:tcW w:w="3348" w:type="dxa"/>
            <w:vMerge w:val="continue"/>
            <w:noWrap w:val="0"/>
            <w:vAlign w:val="center"/>
          </w:tcPr>
          <w:p w14:paraId="4640FD0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10020" w:type="dxa"/>
            <w:noWrap w:val="0"/>
            <w:vAlign w:val="center"/>
          </w:tcPr>
          <w:p w14:paraId="5EEBC054">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（6）</w:t>
            </w:r>
            <w:r>
              <w:rPr>
                <w:rFonts w:hint="eastAsia" w:ascii="Calibri" w:hAnsi="Calibri" w:eastAsia="宋体" w:cs="Calibri"/>
                <w:b w:val="0"/>
                <w:bCs w:val="0"/>
                <w:color w:val="auto"/>
                <w:kern w:val="0"/>
                <w:szCs w:val="21"/>
                <w:highlight w:val="none"/>
                <w:lang w:val="en-US" w:eastAsia="zh-CN"/>
              </w:rPr>
              <w:t>应急设施设备用品应</w:t>
            </w:r>
            <w:r>
              <w:rPr>
                <w:rFonts w:hint="eastAsia" w:cs="Calibri"/>
                <w:b w:val="0"/>
                <w:bCs w:val="0"/>
                <w:color w:val="auto"/>
                <w:kern w:val="0"/>
                <w:szCs w:val="21"/>
                <w:highlight w:val="none"/>
                <w:lang w:val="en-US" w:eastAsia="zh-CN"/>
              </w:rPr>
              <w:t>当</w:t>
            </w:r>
            <w:r>
              <w:rPr>
                <w:rFonts w:hint="eastAsia" w:ascii="Calibri" w:hAnsi="Calibri" w:eastAsia="宋体" w:cs="Calibri"/>
                <w:b w:val="0"/>
                <w:bCs w:val="0"/>
                <w:color w:val="auto"/>
                <w:kern w:val="0"/>
                <w:szCs w:val="21"/>
                <w:highlight w:val="none"/>
                <w:lang w:val="en-US" w:eastAsia="zh-CN"/>
              </w:rPr>
              <w:t>齐全、完备，可随时启用</w:t>
            </w:r>
            <w:r>
              <w:rPr>
                <w:rFonts w:hint="eastAsia" w:eastAsia="宋体" w:cs="Calibri"/>
                <w:b w:val="0"/>
                <w:bCs w:val="0"/>
                <w:color w:val="auto"/>
                <w:kern w:val="0"/>
                <w:szCs w:val="21"/>
                <w:highlight w:val="none"/>
                <w:lang w:val="en-US" w:eastAsia="zh-CN"/>
              </w:rPr>
              <w:t>。</w:t>
            </w:r>
          </w:p>
        </w:tc>
      </w:tr>
      <w:tr w14:paraId="1FDE5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restart"/>
            <w:noWrap w:val="0"/>
            <w:vAlign w:val="center"/>
          </w:tcPr>
          <w:p w14:paraId="00BECAD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r>
              <w:rPr>
                <w:rFonts w:hint="eastAsia"/>
                <w:highlight w:val="none"/>
                <w:lang w:val="en-US" w:eastAsia="zh-CN"/>
              </w:rPr>
              <w:t>3</w:t>
            </w:r>
          </w:p>
        </w:tc>
        <w:tc>
          <w:tcPr>
            <w:tcW w:w="3348" w:type="dxa"/>
            <w:vMerge w:val="restart"/>
            <w:noWrap w:val="0"/>
            <w:vAlign w:val="center"/>
          </w:tcPr>
          <w:p w14:paraId="281F45D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eastAsia="宋体"/>
                <w:highlight w:val="none"/>
                <w:lang w:eastAsia="zh-CN"/>
              </w:rPr>
            </w:pPr>
            <w:r>
              <w:rPr>
                <w:rFonts w:hint="default"/>
                <w:highlight w:val="none"/>
              </w:rPr>
              <w:t>给排水系统</w:t>
            </w:r>
          </w:p>
        </w:tc>
        <w:tc>
          <w:tcPr>
            <w:tcW w:w="10020" w:type="dxa"/>
            <w:noWrap w:val="0"/>
            <w:vAlign w:val="center"/>
          </w:tcPr>
          <w:p w14:paraId="3B354604">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生活饮用水卫生符合</w:t>
            </w:r>
            <w:r>
              <w:rPr>
                <w:rFonts w:hint="eastAsia" w:cs="Calibri"/>
                <w:b w:val="0"/>
                <w:bCs w:val="0"/>
                <w:color w:val="auto"/>
                <w:kern w:val="0"/>
                <w:szCs w:val="21"/>
                <w:highlight w:val="none"/>
                <w:lang w:val="en-US" w:eastAsia="zh-CN"/>
              </w:rPr>
              <w:t>《</w:t>
            </w:r>
            <w:r>
              <w:rPr>
                <w:rFonts w:hint="eastAsia"/>
                <w:color w:val="auto"/>
                <w:kern w:val="0"/>
                <w:highlight w:val="none"/>
              </w:rPr>
              <w:t>生活饮用水卫生标准</w:t>
            </w:r>
            <w:r>
              <w:rPr>
                <w:rFonts w:hint="eastAsia"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GB5749</w:t>
            </w:r>
            <w:r>
              <w:rPr>
                <w:rFonts w:hint="eastAsia"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的相关要求</w:t>
            </w:r>
            <w:r>
              <w:rPr>
                <w:rFonts w:hint="eastAsia" w:eastAsia="宋体" w:cs="Calibri"/>
                <w:b w:val="0"/>
                <w:bCs w:val="0"/>
                <w:color w:val="auto"/>
                <w:kern w:val="0"/>
                <w:szCs w:val="21"/>
                <w:highlight w:val="none"/>
                <w:lang w:val="en-US" w:eastAsia="zh-CN"/>
              </w:rPr>
              <w:t>。</w:t>
            </w:r>
          </w:p>
        </w:tc>
      </w:tr>
      <w:tr w14:paraId="38FEC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14:paraId="2028C87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48" w:type="dxa"/>
            <w:vMerge w:val="continue"/>
            <w:noWrap w:val="0"/>
            <w:vAlign w:val="center"/>
          </w:tcPr>
          <w:p w14:paraId="03E2298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10020" w:type="dxa"/>
            <w:noWrap w:val="0"/>
            <w:vAlign w:val="center"/>
          </w:tcPr>
          <w:p w14:paraId="588C4A24">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（2）</w:t>
            </w:r>
            <w:r>
              <w:rPr>
                <w:rFonts w:hint="eastAsia" w:ascii="Calibri" w:hAnsi="Calibri" w:eastAsia="宋体" w:cs="Calibri"/>
                <w:b w:val="0"/>
                <w:bCs w:val="0"/>
                <w:color w:val="auto"/>
                <w:kern w:val="0"/>
                <w:szCs w:val="21"/>
                <w:highlight w:val="none"/>
                <w:lang w:val="en-US" w:eastAsia="zh-CN"/>
              </w:rPr>
              <w:t>二次供水卫生符合</w:t>
            </w:r>
            <w:r>
              <w:rPr>
                <w:rFonts w:hint="eastAsia" w:cs="Calibri"/>
                <w:b w:val="0"/>
                <w:bCs w:val="0"/>
                <w:color w:val="auto"/>
                <w:kern w:val="0"/>
                <w:szCs w:val="21"/>
                <w:highlight w:val="none"/>
                <w:lang w:val="en-US" w:eastAsia="zh-CN"/>
              </w:rPr>
              <w:t>《二次供水设施卫生规范》（</w:t>
            </w:r>
            <w:r>
              <w:rPr>
                <w:rFonts w:hint="eastAsia" w:ascii="Calibri" w:hAnsi="Calibri" w:eastAsia="宋体" w:cs="Calibri"/>
                <w:b w:val="0"/>
                <w:bCs w:val="0"/>
                <w:color w:val="auto"/>
                <w:kern w:val="0"/>
                <w:szCs w:val="21"/>
                <w:highlight w:val="none"/>
                <w:lang w:val="en-US" w:eastAsia="zh-CN"/>
              </w:rPr>
              <w:t>GB17051</w:t>
            </w:r>
            <w:r>
              <w:rPr>
                <w:rFonts w:hint="eastAsia"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的相关要求</w:t>
            </w:r>
            <w:r>
              <w:rPr>
                <w:rFonts w:hint="eastAsia" w:eastAsia="宋体" w:cs="Calibri"/>
                <w:b w:val="0"/>
                <w:bCs w:val="0"/>
                <w:color w:val="auto"/>
                <w:kern w:val="0"/>
                <w:szCs w:val="21"/>
                <w:highlight w:val="none"/>
                <w:lang w:val="en-US" w:eastAsia="zh-CN"/>
              </w:rPr>
              <w:t>。</w:t>
            </w:r>
          </w:p>
        </w:tc>
      </w:tr>
      <w:tr w14:paraId="3F64D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14:paraId="36E8C61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48" w:type="dxa"/>
            <w:vMerge w:val="continue"/>
            <w:noWrap w:val="0"/>
            <w:vAlign w:val="center"/>
          </w:tcPr>
          <w:p w14:paraId="5B5C9EF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10020" w:type="dxa"/>
            <w:noWrap w:val="0"/>
            <w:vAlign w:val="center"/>
          </w:tcPr>
          <w:p w14:paraId="3A01777C">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（3）</w:t>
            </w:r>
            <w:r>
              <w:rPr>
                <w:rFonts w:hint="eastAsia" w:ascii="Calibri" w:hAnsi="Calibri" w:eastAsia="宋体" w:cs="Calibri"/>
                <w:b w:val="0"/>
                <w:bCs w:val="0"/>
                <w:color w:val="auto"/>
                <w:kern w:val="0"/>
                <w:szCs w:val="21"/>
                <w:highlight w:val="none"/>
                <w:lang w:val="en-US" w:eastAsia="zh-CN"/>
              </w:rPr>
              <w:t>设施设备、阀门、管道等运行正常，无跑、冒、滴、漏现象</w:t>
            </w:r>
            <w:r>
              <w:rPr>
                <w:rFonts w:hint="eastAsia" w:eastAsia="宋体" w:cs="Calibri"/>
                <w:b w:val="0"/>
                <w:bCs w:val="0"/>
                <w:color w:val="auto"/>
                <w:kern w:val="0"/>
                <w:szCs w:val="21"/>
                <w:highlight w:val="none"/>
                <w:lang w:val="en-US" w:eastAsia="zh-CN"/>
              </w:rPr>
              <w:t>。</w:t>
            </w:r>
          </w:p>
        </w:tc>
      </w:tr>
      <w:tr w14:paraId="5E0BE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14:paraId="77063D4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48" w:type="dxa"/>
            <w:vMerge w:val="continue"/>
            <w:noWrap w:val="0"/>
            <w:vAlign w:val="center"/>
          </w:tcPr>
          <w:p w14:paraId="05857DA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10020" w:type="dxa"/>
            <w:noWrap w:val="0"/>
            <w:vAlign w:val="center"/>
          </w:tcPr>
          <w:p w14:paraId="305B85DD">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（4）</w:t>
            </w:r>
            <w:r>
              <w:rPr>
                <w:rFonts w:hint="eastAsia" w:ascii="Calibri" w:hAnsi="Calibri" w:eastAsia="宋体" w:cs="Calibri"/>
                <w:b w:val="0"/>
                <w:bCs w:val="0"/>
                <w:color w:val="auto"/>
                <w:kern w:val="0"/>
                <w:szCs w:val="21"/>
                <w:highlight w:val="none"/>
                <w:lang w:val="en-US" w:eastAsia="zh-CN"/>
              </w:rPr>
              <w:t>有水泵房、水箱间的，每日至少巡视1次。每年至少养护1次水泵</w:t>
            </w:r>
            <w:r>
              <w:rPr>
                <w:rFonts w:hint="eastAsia" w:eastAsia="宋体" w:cs="Calibri"/>
                <w:b w:val="0"/>
                <w:bCs w:val="0"/>
                <w:color w:val="auto"/>
                <w:kern w:val="0"/>
                <w:szCs w:val="21"/>
                <w:highlight w:val="none"/>
                <w:lang w:val="en-US" w:eastAsia="zh-CN"/>
              </w:rPr>
              <w:t>。</w:t>
            </w:r>
          </w:p>
        </w:tc>
      </w:tr>
      <w:tr w14:paraId="4AC29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14:paraId="0E3350F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48" w:type="dxa"/>
            <w:vMerge w:val="continue"/>
            <w:noWrap w:val="0"/>
            <w:vAlign w:val="center"/>
          </w:tcPr>
          <w:p w14:paraId="38564CB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10020" w:type="dxa"/>
            <w:noWrap w:val="0"/>
            <w:vAlign w:val="center"/>
          </w:tcPr>
          <w:p w14:paraId="67865397">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（5）</w:t>
            </w:r>
            <w:r>
              <w:rPr>
                <w:rFonts w:hint="eastAsia" w:ascii="Calibri" w:hAnsi="Calibri" w:eastAsia="宋体" w:cs="Calibri"/>
                <w:b w:val="0"/>
                <w:bCs w:val="0"/>
                <w:color w:val="auto"/>
                <w:kern w:val="0"/>
                <w:szCs w:val="21"/>
                <w:highlight w:val="none"/>
                <w:lang w:val="en-US" w:eastAsia="zh-CN"/>
              </w:rPr>
              <w:t>遇供水单位限水、停水，按规定时间通知</w:t>
            </w:r>
            <w:r>
              <w:rPr>
                <w:rFonts w:hint="eastAsia" w:eastAsia="宋体" w:cs="Calibri"/>
                <w:b w:val="0"/>
                <w:bCs w:val="0"/>
                <w:color w:val="auto"/>
                <w:kern w:val="0"/>
                <w:szCs w:val="21"/>
                <w:highlight w:val="none"/>
                <w:lang w:val="en-US" w:eastAsia="zh-CN"/>
              </w:rPr>
              <w:t>采购人。</w:t>
            </w:r>
          </w:p>
        </w:tc>
      </w:tr>
      <w:tr w14:paraId="0E8B1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14:paraId="3EA7511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p>
        </w:tc>
        <w:tc>
          <w:tcPr>
            <w:tcW w:w="3348" w:type="dxa"/>
            <w:vMerge w:val="continue"/>
            <w:noWrap w:val="0"/>
            <w:vAlign w:val="center"/>
          </w:tcPr>
          <w:p w14:paraId="0EE0436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10020" w:type="dxa"/>
            <w:noWrap w:val="0"/>
            <w:vAlign w:val="center"/>
          </w:tcPr>
          <w:p w14:paraId="7DB9E6D0">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（6）</w:t>
            </w:r>
            <w:r>
              <w:rPr>
                <w:rFonts w:hint="eastAsia" w:ascii="Calibri" w:hAnsi="Calibri" w:eastAsia="宋体" w:cs="Calibri"/>
                <w:b w:val="0"/>
                <w:bCs w:val="0"/>
                <w:color w:val="auto"/>
                <w:kern w:val="0"/>
                <w:szCs w:val="21"/>
                <w:highlight w:val="none"/>
                <w:lang w:val="en-US" w:eastAsia="zh-CN"/>
              </w:rPr>
              <w:t>每季度至少</w:t>
            </w:r>
            <w:r>
              <w:rPr>
                <w:rFonts w:hint="eastAsia" w:cs="Calibri"/>
                <w:b w:val="0"/>
                <w:bCs w:val="0"/>
                <w:color w:val="auto"/>
                <w:kern w:val="0"/>
                <w:szCs w:val="21"/>
                <w:highlight w:val="none"/>
                <w:lang w:val="en-US" w:eastAsia="zh-CN"/>
              </w:rPr>
              <w:t>开展</w:t>
            </w:r>
            <w:r>
              <w:rPr>
                <w:rFonts w:hint="eastAsia" w:ascii="Calibri" w:hAnsi="Calibri" w:eastAsia="宋体" w:cs="Calibri"/>
                <w:b w:val="0"/>
                <w:bCs w:val="0"/>
                <w:color w:val="auto"/>
                <w:kern w:val="0"/>
                <w:szCs w:val="21"/>
                <w:highlight w:val="none"/>
                <w:lang w:val="en-US" w:eastAsia="zh-CN"/>
              </w:rPr>
              <w:t>1次对排水管进行疏通、清污，保证室内外排水系统通畅</w:t>
            </w:r>
            <w:r>
              <w:rPr>
                <w:rFonts w:hint="eastAsia" w:eastAsia="宋体" w:cs="Calibri"/>
                <w:b w:val="0"/>
                <w:bCs w:val="0"/>
                <w:color w:val="auto"/>
                <w:kern w:val="0"/>
                <w:szCs w:val="21"/>
                <w:highlight w:val="none"/>
                <w:lang w:val="en-US" w:eastAsia="zh-CN"/>
              </w:rPr>
              <w:t>。</w:t>
            </w:r>
          </w:p>
        </w:tc>
      </w:tr>
      <w:tr w14:paraId="4EE2A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14:paraId="0C61B07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48" w:type="dxa"/>
            <w:vMerge w:val="continue"/>
            <w:noWrap w:val="0"/>
            <w:vAlign w:val="center"/>
          </w:tcPr>
          <w:p w14:paraId="4C72F29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highlight w:val="none"/>
                <w:lang w:val="en-US" w:eastAsia="zh-CN"/>
              </w:rPr>
            </w:pPr>
          </w:p>
        </w:tc>
        <w:tc>
          <w:tcPr>
            <w:tcW w:w="10020" w:type="dxa"/>
            <w:noWrap w:val="0"/>
            <w:vAlign w:val="center"/>
          </w:tcPr>
          <w:p w14:paraId="1A69BDEF">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（2）</w:t>
            </w:r>
            <w:r>
              <w:rPr>
                <w:rFonts w:hint="eastAsia" w:ascii="Calibri" w:hAnsi="Calibri" w:eastAsia="宋体" w:cs="Calibri"/>
                <w:b w:val="0"/>
                <w:bCs w:val="0"/>
                <w:color w:val="auto"/>
                <w:kern w:val="0"/>
                <w:szCs w:val="21"/>
                <w:highlight w:val="none"/>
                <w:lang w:val="en-US" w:eastAsia="zh-CN"/>
              </w:rPr>
              <w:t>电梯准用证、年检合格证等证件齐全。相关证件、紧急救援电话和乘客注意事项置于轿厢醒目位置</w:t>
            </w:r>
            <w:r>
              <w:rPr>
                <w:rFonts w:hint="eastAsia" w:cs="Calibri"/>
                <w:b w:val="0"/>
                <w:bCs w:val="0"/>
                <w:color w:val="auto"/>
                <w:kern w:val="0"/>
                <w:szCs w:val="21"/>
                <w:highlight w:val="none"/>
                <w:lang w:val="en-US" w:eastAsia="zh-CN"/>
              </w:rPr>
              <w:t>。</w:t>
            </w:r>
          </w:p>
        </w:tc>
      </w:tr>
      <w:tr w14:paraId="571AD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14:paraId="1BF0EBB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48" w:type="dxa"/>
            <w:vMerge w:val="continue"/>
            <w:noWrap w:val="0"/>
            <w:vAlign w:val="center"/>
          </w:tcPr>
          <w:p w14:paraId="1D19F34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highlight w:val="none"/>
                <w:lang w:val="en-US" w:eastAsia="zh-CN"/>
              </w:rPr>
            </w:pPr>
          </w:p>
        </w:tc>
        <w:tc>
          <w:tcPr>
            <w:tcW w:w="10020" w:type="dxa"/>
            <w:noWrap w:val="0"/>
            <w:vAlign w:val="center"/>
          </w:tcPr>
          <w:p w14:paraId="27FCD68A">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（3）</w:t>
            </w:r>
            <w:r>
              <w:rPr>
                <w:rFonts w:hint="eastAsia" w:ascii="Calibri" w:hAnsi="Calibri" w:eastAsia="宋体" w:cs="Calibri"/>
                <w:b w:val="0"/>
                <w:bCs w:val="0"/>
                <w:color w:val="auto"/>
                <w:kern w:val="0"/>
                <w:szCs w:val="21"/>
                <w:highlight w:val="none"/>
                <w:lang w:val="en-US" w:eastAsia="zh-CN"/>
              </w:rPr>
              <w:t>每年至少</w:t>
            </w:r>
            <w:r>
              <w:rPr>
                <w:rFonts w:hint="eastAsia" w:cs="Calibri"/>
                <w:b w:val="0"/>
                <w:bCs w:val="0"/>
                <w:color w:val="auto"/>
                <w:kern w:val="0"/>
                <w:szCs w:val="21"/>
                <w:highlight w:val="none"/>
                <w:lang w:val="en-US" w:eastAsia="zh-CN"/>
              </w:rPr>
              <w:t>开展</w:t>
            </w:r>
            <w:r>
              <w:rPr>
                <w:rFonts w:hint="eastAsia" w:ascii="Calibri" w:hAnsi="Calibri" w:eastAsia="宋体" w:cs="Calibri"/>
                <w:b w:val="0"/>
                <w:bCs w:val="0"/>
                <w:color w:val="auto"/>
                <w:kern w:val="0"/>
                <w:szCs w:val="21"/>
                <w:highlight w:val="none"/>
                <w:lang w:val="en-US" w:eastAsia="zh-CN"/>
              </w:rPr>
              <w:t>1次对电梯</w:t>
            </w:r>
            <w:r>
              <w:rPr>
                <w:rFonts w:hint="eastAsia" w:cs="Calibri"/>
                <w:b w:val="0"/>
                <w:bCs w:val="0"/>
                <w:color w:val="auto"/>
                <w:kern w:val="0"/>
                <w:szCs w:val="21"/>
                <w:highlight w:val="none"/>
                <w:lang w:val="en-US" w:eastAsia="zh-CN"/>
              </w:rPr>
              <w:t>的</w:t>
            </w:r>
            <w:r>
              <w:rPr>
                <w:rFonts w:hint="eastAsia" w:ascii="Calibri" w:hAnsi="Calibri" w:eastAsia="宋体" w:cs="Calibri"/>
                <w:b w:val="0"/>
                <w:bCs w:val="0"/>
                <w:color w:val="auto"/>
                <w:kern w:val="0"/>
                <w:szCs w:val="21"/>
                <w:highlight w:val="none"/>
                <w:lang w:val="en-US" w:eastAsia="zh-CN"/>
              </w:rPr>
              <w:t>全面检测，并出具检测报告，核发电梯使用标志</w:t>
            </w:r>
            <w:r>
              <w:rPr>
                <w:rFonts w:hint="eastAsia" w:eastAsia="宋体" w:cs="Calibri"/>
                <w:b w:val="0"/>
                <w:bCs w:val="0"/>
                <w:color w:val="auto"/>
                <w:kern w:val="0"/>
                <w:szCs w:val="21"/>
                <w:highlight w:val="none"/>
                <w:lang w:val="en-US" w:eastAsia="zh-CN"/>
              </w:rPr>
              <w:t>。</w:t>
            </w:r>
          </w:p>
        </w:tc>
      </w:tr>
      <w:tr w14:paraId="62F19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14:paraId="308F2B8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48" w:type="dxa"/>
            <w:vMerge w:val="continue"/>
            <w:noWrap w:val="0"/>
            <w:vAlign w:val="center"/>
          </w:tcPr>
          <w:p w14:paraId="55B13C3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highlight w:val="none"/>
                <w:lang w:val="en-US" w:eastAsia="zh-CN"/>
              </w:rPr>
            </w:pPr>
          </w:p>
        </w:tc>
        <w:tc>
          <w:tcPr>
            <w:tcW w:w="10020" w:type="dxa"/>
            <w:noWrap w:val="0"/>
            <w:vAlign w:val="center"/>
          </w:tcPr>
          <w:p w14:paraId="31E56B02">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（4）</w:t>
            </w:r>
            <w:r>
              <w:rPr>
                <w:rFonts w:hint="eastAsia" w:ascii="Calibri" w:hAnsi="Calibri" w:eastAsia="宋体" w:cs="Calibri"/>
                <w:b w:val="0"/>
                <w:bCs w:val="0"/>
                <w:color w:val="auto"/>
                <w:kern w:val="0"/>
                <w:szCs w:val="21"/>
                <w:highlight w:val="none"/>
                <w:lang w:val="en-US" w:eastAsia="zh-CN"/>
              </w:rPr>
              <w:t>电梯维保应</w:t>
            </w:r>
            <w:r>
              <w:rPr>
                <w:rFonts w:hint="eastAsia" w:cs="Calibri"/>
                <w:b w:val="0"/>
                <w:bCs w:val="0"/>
                <w:color w:val="auto"/>
                <w:kern w:val="0"/>
                <w:szCs w:val="21"/>
                <w:highlight w:val="none"/>
                <w:lang w:val="en-US" w:eastAsia="zh-CN"/>
              </w:rPr>
              <w:t>当</w:t>
            </w:r>
            <w:r>
              <w:rPr>
                <w:rFonts w:hint="eastAsia" w:ascii="Calibri" w:hAnsi="Calibri" w:eastAsia="宋体" w:cs="Calibri"/>
                <w:b w:val="0"/>
                <w:bCs w:val="0"/>
                <w:color w:val="auto"/>
                <w:kern w:val="0"/>
                <w:szCs w:val="21"/>
                <w:highlight w:val="none"/>
                <w:lang w:val="en-US" w:eastAsia="zh-CN"/>
              </w:rPr>
              <w:t>符合《电梯维护保养规则》</w:t>
            </w:r>
            <w:r>
              <w:rPr>
                <w:rFonts w:hint="eastAsia"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TSG T5002</w:t>
            </w:r>
            <w:r>
              <w:rPr>
                <w:rFonts w:hint="eastAsia"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的有关要求</w:t>
            </w:r>
            <w:r>
              <w:rPr>
                <w:rFonts w:hint="eastAsia" w:eastAsia="宋体" w:cs="Calibri"/>
                <w:b w:val="0"/>
                <w:bCs w:val="0"/>
                <w:color w:val="auto"/>
                <w:kern w:val="0"/>
                <w:szCs w:val="21"/>
                <w:highlight w:val="none"/>
                <w:lang w:val="en-US" w:eastAsia="zh-CN"/>
              </w:rPr>
              <w:t>。</w:t>
            </w:r>
          </w:p>
        </w:tc>
      </w:tr>
      <w:tr w14:paraId="42ACC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14:paraId="2A10FF3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48" w:type="dxa"/>
            <w:vMerge w:val="continue"/>
            <w:noWrap w:val="0"/>
            <w:vAlign w:val="center"/>
          </w:tcPr>
          <w:p w14:paraId="2E461C8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highlight w:val="none"/>
                <w:lang w:val="en-US" w:eastAsia="zh-CN"/>
              </w:rPr>
            </w:pPr>
          </w:p>
        </w:tc>
        <w:tc>
          <w:tcPr>
            <w:tcW w:w="10020" w:type="dxa"/>
            <w:noWrap w:val="0"/>
            <w:vAlign w:val="center"/>
          </w:tcPr>
          <w:p w14:paraId="4A3125F0">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（5）</w:t>
            </w:r>
            <w:r>
              <w:rPr>
                <w:rFonts w:hint="eastAsia" w:ascii="Calibri" w:hAnsi="Calibri" w:eastAsia="宋体" w:cs="Calibri"/>
                <w:b w:val="0"/>
                <w:bCs w:val="0"/>
                <w:color w:val="auto"/>
                <w:kern w:val="0"/>
                <w:szCs w:val="21"/>
                <w:highlight w:val="none"/>
                <w:lang w:val="en-US" w:eastAsia="zh-CN"/>
              </w:rPr>
              <w:t>电梯使用应</w:t>
            </w:r>
            <w:r>
              <w:rPr>
                <w:rFonts w:hint="eastAsia" w:cs="Calibri"/>
                <w:b w:val="0"/>
                <w:bCs w:val="0"/>
                <w:color w:val="auto"/>
                <w:kern w:val="0"/>
                <w:szCs w:val="21"/>
                <w:highlight w:val="none"/>
                <w:lang w:val="en-US" w:eastAsia="zh-CN"/>
              </w:rPr>
              <w:t>当</w:t>
            </w:r>
            <w:r>
              <w:rPr>
                <w:rFonts w:hint="eastAsia" w:ascii="Calibri" w:hAnsi="Calibri" w:eastAsia="宋体" w:cs="Calibri"/>
                <w:b w:val="0"/>
                <w:bCs w:val="0"/>
                <w:color w:val="auto"/>
                <w:kern w:val="0"/>
                <w:szCs w:val="21"/>
                <w:highlight w:val="none"/>
                <w:lang w:val="en-US" w:eastAsia="zh-CN"/>
              </w:rPr>
              <w:t>符合《特种设备使用管理规则》</w:t>
            </w:r>
            <w:r>
              <w:rPr>
                <w:rFonts w:hint="eastAsia"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TSG 08</w:t>
            </w:r>
            <w:r>
              <w:rPr>
                <w:rFonts w:hint="eastAsia"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的有关要求</w:t>
            </w:r>
            <w:r>
              <w:rPr>
                <w:rFonts w:hint="eastAsia" w:eastAsia="宋体" w:cs="Calibri"/>
                <w:b w:val="0"/>
                <w:bCs w:val="0"/>
                <w:color w:val="auto"/>
                <w:kern w:val="0"/>
                <w:szCs w:val="21"/>
                <w:highlight w:val="none"/>
                <w:lang w:val="en-US" w:eastAsia="zh-CN"/>
              </w:rPr>
              <w:t>。</w:t>
            </w:r>
          </w:p>
        </w:tc>
      </w:tr>
      <w:tr w14:paraId="304A1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14:paraId="13BC2DD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48" w:type="dxa"/>
            <w:vMerge w:val="continue"/>
            <w:noWrap w:val="0"/>
            <w:vAlign w:val="center"/>
          </w:tcPr>
          <w:p w14:paraId="75F2D37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highlight w:val="none"/>
                <w:lang w:val="en-US" w:eastAsia="zh-CN"/>
              </w:rPr>
            </w:pPr>
          </w:p>
        </w:tc>
        <w:tc>
          <w:tcPr>
            <w:tcW w:w="10020" w:type="dxa"/>
            <w:noWrap w:val="0"/>
            <w:vAlign w:val="center"/>
          </w:tcPr>
          <w:p w14:paraId="479D73F3">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（6）</w:t>
            </w:r>
            <w:r>
              <w:rPr>
                <w:rFonts w:hint="eastAsia" w:ascii="Calibri" w:hAnsi="Calibri" w:eastAsia="宋体" w:cs="Calibri"/>
                <w:b w:val="0"/>
                <w:bCs w:val="0"/>
                <w:color w:val="auto"/>
                <w:kern w:val="0"/>
                <w:szCs w:val="21"/>
                <w:highlight w:val="none"/>
                <w:lang w:val="en-US" w:eastAsia="zh-CN"/>
              </w:rPr>
              <w:t>有电梯突发事件或事故的应急措施与救援预案，每年至少</w:t>
            </w:r>
            <w:r>
              <w:rPr>
                <w:rFonts w:hint="eastAsia" w:cs="Calibri"/>
                <w:b w:val="0"/>
                <w:bCs w:val="0"/>
                <w:color w:val="auto"/>
                <w:kern w:val="0"/>
                <w:szCs w:val="21"/>
                <w:highlight w:val="none"/>
                <w:lang w:val="en-US" w:eastAsia="zh-CN"/>
              </w:rPr>
              <w:t>开展</w:t>
            </w:r>
            <w:r>
              <w:rPr>
                <w:rFonts w:hint="eastAsia" w:ascii="Calibri" w:hAnsi="Calibri" w:eastAsia="宋体" w:cs="Calibri"/>
                <w:b w:val="0"/>
                <w:bCs w:val="0"/>
                <w:color w:val="auto"/>
                <w:kern w:val="0"/>
                <w:szCs w:val="21"/>
                <w:highlight w:val="none"/>
                <w:lang w:val="en-US" w:eastAsia="zh-CN"/>
              </w:rPr>
              <w:t>演练1次。电梯出现故障，物业服务人员10</w:t>
            </w:r>
            <w:r>
              <w:rPr>
                <w:rFonts w:hint="eastAsia" w:cs="Calibri"/>
                <w:b w:val="0"/>
                <w:bCs w:val="0"/>
                <w:color w:val="auto"/>
                <w:kern w:val="0"/>
                <w:szCs w:val="21"/>
                <w:highlight w:val="none"/>
                <w:lang w:val="en-US" w:eastAsia="zh-CN"/>
              </w:rPr>
              <w:t>分钟</w:t>
            </w:r>
            <w:r>
              <w:rPr>
                <w:rFonts w:hint="eastAsia" w:ascii="Calibri" w:hAnsi="Calibri" w:eastAsia="宋体" w:cs="Calibri"/>
                <w:b w:val="0"/>
                <w:bCs w:val="0"/>
                <w:color w:val="auto"/>
                <w:kern w:val="0"/>
                <w:szCs w:val="21"/>
                <w:highlight w:val="none"/>
                <w:lang w:val="en-US" w:eastAsia="zh-CN"/>
              </w:rPr>
              <w:t>内到场应急处理，维保专业人员30</w:t>
            </w:r>
            <w:r>
              <w:rPr>
                <w:rFonts w:hint="eastAsia" w:cs="Calibri"/>
                <w:b w:val="0"/>
                <w:bCs w:val="0"/>
                <w:color w:val="auto"/>
                <w:kern w:val="0"/>
                <w:szCs w:val="21"/>
                <w:highlight w:val="none"/>
                <w:lang w:val="en-US" w:eastAsia="zh-CN"/>
              </w:rPr>
              <w:t>分钟</w:t>
            </w:r>
            <w:r>
              <w:rPr>
                <w:rFonts w:hint="eastAsia" w:ascii="Calibri" w:hAnsi="Calibri" w:eastAsia="宋体" w:cs="Calibri"/>
                <w:b w:val="0"/>
                <w:bCs w:val="0"/>
                <w:color w:val="auto"/>
                <w:kern w:val="0"/>
                <w:szCs w:val="21"/>
                <w:highlight w:val="none"/>
                <w:lang w:val="en-US" w:eastAsia="zh-CN"/>
              </w:rPr>
              <w:t>内到场应急处理</w:t>
            </w:r>
            <w:r>
              <w:rPr>
                <w:rFonts w:hint="eastAsia" w:eastAsia="宋体" w:cs="Calibri"/>
                <w:b w:val="0"/>
                <w:bCs w:val="0"/>
                <w:color w:val="auto"/>
                <w:kern w:val="0"/>
                <w:szCs w:val="21"/>
                <w:highlight w:val="none"/>
                <w:lang w:val="en-US" w:eastAsia="zh-CN"/>
              </w:rPr>
              <w:t>。</w:t>
            </w:r>
          </w:p>
        </w:tc>
      </w:tr>
      <w:tr w14:paraId="3BDA3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14:paraId="007EFAA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48" w:type="dxa"/>
            <w:vMerge w:val="continue"/>
            <w:noWrap w:val="0"/>
            <w:vAlign w:val="center"/>
          </w:tcPr>
          <w:p w14:paraId="20C6F0C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highlight w:val="none"/>
                <w:lang w:val="en-US" w:eastAsia="zh-CN"/>
              </w:rPr>
            </w:pPr>
          </w:p>
        </w:tc>
        <w:tc>
          <w:tcPr>
            <w:tcW w:w="10020" w:type="dxa"/>
            <w:noWrap w:val="0"/>
            <w:vAlign w:val="center"/>
          </w:tcPr>
          <w:p w14:paraId="66D569ED">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（7）</w:t>
            </w:r>
            <w:r>
              <w:rPr>
                <w:rFonts w:hint="eastAsia" w:ascii="Calibri" w:hAnsi="Calibri" w:eastAsia="宋体" w:cs="Calibri"/>
                <w:b w:val="0"/>
                <w:bCs w:val="0"/>
                <w:color w:val="auto"/>
                <w:kern w:val="0"/>
                <w:szCs w:val="21"/>
                <w:highlight w:val="none"/>
                <w:lang w:val="en-US" w:eastAsia="zh-CN"/>
              </w:rPr>
              <w:t>到场进行救助和排除故障。电梯紧急电话保持畅通</w:t>
            </w:r>
            <w:r>
              <w:rPr>
                <w:rFonts w:hint="eastAsia" w:eastAsia="宋体" w:cs="Calibri"/>
                <w:b w:val="0"/>
                <w:bCs w:val="0"/>
                <w:color w:val="auto"/>
                <w:kern w:val="0"/>
                <w:szCs w:val="21"/>
                <w:highlight w:val="none"/>
                <w:lang w:val="en-US" w:eastAsia="zh-CN"/>
              </w:rPr>
              <w:t>。</w:t>
            </w:r>
          </w:p>
        </w:tc>
      </w:tr>
      <w:tr w14:paraId="2EC92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14:paraId="5D4D84A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48" w:type="dxa"/>
            <w:vMerge w:val="continue"/>
            <w:noWrap w:val="0"/>
            <w:vAlign w:val="center"/>
          </w:tcPr>
          <w:p w14:paraId="5CB9A91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highlight w:val="none"/>
                <w:lang w:val="en-US" w:eastAsia="zh-CN"/>
              </w:rPr>
            </w:pPr>
          </w:p>
        </w:tc>
        <w:tc>
          <w:tcPr>
            <w:tcW w:w="10020" w:type="dxa"/>
            <w:noWrap w:val="0"/>
            <w:vAlign w:val="center"/>
          </w:tcPr>
          <w:p w14:paraId="24790E5E">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（8）</w:t>
            </w:r>
            <w:r>
              <w:rPr>
                <w:rFonts w:hint="eastAsia" w:ascii="Calibri" w:hAnsi="Calibri" w:eastAsia="宋体" w:cs="Calibri"/>
                <w:b w:val="0"/>
                <w:bCs w:val="0"/>
                <w:color w:val="auto"/>
                <w:kern w:val="0"/>
                <w:szCs w:val="21"/>
                <w:highlight w:val="none"/>
                <w:lang w:val="en-US" w:eastAsia="zh-CN"/>
              </w:rPr>
              <w:t>电梯维修、保养时在现场设置提示标识和防护围栏</w:t>
            </w:r>
            <w:r>
              <w:rPr>
                <w:rFonts w:hint="eastAsia" w:eastAsia="宋体" w:cs="Calibri"/>
                <w:b w:val="0"/>
                <w:bCs w:val="0"/>
                <w:color w:val="auto"/>
                <w:kern w:val="0"/>
                <w:szCs w:val="21"/>
                <w:highlight w:val="none"/>
                <w:lang w:val="en-US" w:eastAsia="zh-CN"/>
              </w:rPr>
              <w:t>。</w:t>
            </w:r>
          </w:p>
        </w:tc>
      </w:tr>
      <w:tr w14:paraId="77CBB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14:paraId="6197447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48" w:type="dxa"/>
            <w:vMerge w:val="continue"/>
            <w:noWrap w:val="0"/>
            <w:vAlign w:val="center"/>
          </w:tcPr>
          <w:p w14:paraId="6B86003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highlight w:val="none"/>
                <w:lang w:val="en-US" w:eastAsia="zh-CN"/>
              </w:rPr>
            </w:pPr>
          </w:p>
        </w:tc>
        <w:tc>
          <w:tcPr>
            <w:tcW w:w="10020" w:type="dxa"/>
            <w:noWrap w:val="0"/>
            <w:vAlign w:val="center"/>
          </w:tcPr>
          <w:p w14:paraId="05615D35">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（9）</w:t>
            </w:r>
            <w:r>
              <w:rPr>
                <w:rFonts w:hint="eastAsia" w:ascii="Calibri" w:hAnsi="Calibri" w:eastAsia="宋体" w:cs="Calibri"/>
                <w:b w:val="0"/>
                <w:bCs w:val="0"/>
                <w:color w:val="auto"/>
                <w:kern w:val="0"/>
                <w:szCs w:val="21"/>
                <w:highlight w:val="none"/>
                <w:lang w:val="en-US" w:eastAsia="zh-CN"/>
              </w:rPr>
              <w:t>根据</w:t>
            </w:r>
            <w:r>
              <w:rPr>
                <w:rFonts w:hint="eastAsia" w:eastAsia="宋体" w:cs="Calibri"/>
                <w:b w:val="0"/>
                <w:bCs w:val="0"/>
                <w:color w:val="auto"/>
                <w:kern w:val="0"/>
                <w:szCs w:val="21"/>
                <w:highlight w:val="none"/>
                <w:lang w:val="en-US" w:eastAsia="zh-CN"/>
              </w:rPr>
              <w:t>采购人</w:t>
            </w:r>
            <w:r>
              <w:rPr>
                <w:rFonts w:hint="eastAsia" w:ascii="Calibri" w:hAnsi="Calibri" w:eastAsia="宋体" w:cs="Calibri"/>
                <w:b w:val="0"/>
                <w:bCs w:val="0"/>
                <w:color w:val="auto"/>
                <w:kern w:val="0"/>
                <w:szCs w:val="21"/>
                <w:highlight w:val="none"/>
                <w:lang w:val="en-US" w:eastAsia="zh-CN"/>
              </w:rPr>
              <w:t>需求，合理设置电梯开启的数量、时间</w:t>
            </w:r>
            <w:r>
              <w:rPr>
                <w:rFonts w:hint="eastAsia" w:eastAsia="宋体" w:cs="Calibri"/>
                <w:b w:val="0"/>
                <w:bCs w:val="0"/>
                <w:color w:val="auto"/>
                <w:kern w:val="0"/>
                <w:szCs w:val="21"/>
                <w:highlight w:val="none"/>
                <w:lang w:val="en-US" w:eastAsia="zh-CN"/>
              </w:rPr>
              <w:t>。</w:t>
            </w:r>
          </w:p>
        </w:tc>
      </w:tr>
      <w:tr w14:paraId="12161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restart"/>
            <w:noWrap w:val="0"/>
            <w:vAlign w:val="center"/>
          </w:tcPr>
          <w:p w14:paraId="5C1D242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r>
              <w:rPr>
                <w:rFonts w:hint="eastAsia"/>
                <w:highlight w:val="none"/>
                <w:lang w:val="en-US" w:eastAsia="zh-CN"/>
              </w:rPr>
              <w:t>4</w:t>
            </w:r>
          </w:p>
        </w:tc>
        <w:tc>
          <w:tcPr>
            <w:tcW w:w="3348" w:type="dxa"/>
            <w:vMerge w:val="restart"/>
            <w:noWrap w:val="0"/>
            <w:vAlign w:val="center"/>
          </w:tcPr>
          <w:p w14:paraId="0EC7AC4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r>
              <w:rPr>
                <w:rFonts w:hint="default" w:eastAsia="宋体"/>
                <w:highlight w:val="none"/>
                <w:lang w:val="en-US" w:eastAsia="zh-CN"/>
              </w:rPr>
              <w:t>消防</w:t>
            </w:r>
            <w:r>
              <w:rPr>
                <w:rFonts w:hint="default"/>
                <w:highlight w:val="none"/>
              </w:rPr>
              <w:t>系统</w:t>
            </w:r>
          </w:p>
        </w:tc>
        <w:tc>
          <w:tcPr>
            <w:tcW w:w="10020" w:type="dxa"/>
            <w:noWrap w:val="0"/>
            <w:vAlign w:val="center"/>
          </w:tcPr>
          <w:p w14:paraId="372C7BA7">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消防设施的维护管理符合</w:t>
            </w:r>
            <w:r>
              <w:rPr>
                <w:rFonts w:hint="eastAsia" w:cs="Calibri"/>
                <w:b w:val="0"/>
                <w:bCs w:val="0"/>
                <w:color w:val="auto"/>
                <w:kern w:val="0"/>
                <w:szCs w:val="21"/>
                <w:highlight w:val="none"/>
                <w:lang w:val="en-US" w:eastAsia="zh-CN"/>
              </w:rPr>
              <w:t>《建筑消防设施的维护管理》（</w:t>
            </w:r>
            <w:r>
              <w:rPr>
                <w:rFonts w:hint="eastAsia" w:ascii="Calibri" w:hAnsi="Calibri" w:eastAsia="宋体" w:cs="Calibri"/>
                <w:b w:val="0"/>
                <w:bCs w:val="0"/>
                <w:color w:val="auto"/>
                <w:kern w:val="0"/>
                <w:szCs w:val="21"/>
                <w:highlight w:val="none"/>
                <w:lang w:val="en-US" w:eastAsia="zh-CN"/>
              </w:rPr>
              <w:t>GB25201</w:t>
            </w:r>
            <w:r>
              <w:rPr>
                <w:rFonts w:hint="eastAsia"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的相关要求</w:t>
            </w:r>
            <w:r>
              <w:rPr>
                <w:rFonts w:hint="eastAsia" w:eastAsia="宋体" w:cs="Calibri"/>
                <w:b w:val="0"/>
                <w:bCs w:val="0"/>
                <w:color w:val="auto"/>
                <w:kern w:val="0"/>
                <w:szCs w:val="21"/>
                <w:highlight w:val="none"/>
                <w:lang w:val="en-US" w:eastAsia="zh-CN"/>
              </w:rPr>
              <w:t>。</w:t>
            </w:r>
          </w:p>
        </w:tc>
      </w:tr>
      <w:tr w14:paraId="7215B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14:paraId="3813CA1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48" w:type="dxa"/>
            <w:vMerge w:val="continue"/>
            <w:noWrap w:val="0"/>
            <w:vAlign w:val="center"/>
          </w:tcPr>
          <w:p w14:paraId="425744B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highlight w:val="none"/>
                <w:lang w:val="en-US" w:eastAsia="zh-CN"/>
              </w:rPr>
            </w:pPr>
          </w:p>
        </w:tc>
        <w:tc>
          <w:tcPr>
            <w:tcW w:w="10020" w:type="dxa"/>
            <w:noWrap w:val="0"/>
            <w:vAlign w:val="center"/>
          </w:tcPr>
          <w:p w14:paraId="1CC64C42">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（2）</w:t>
            </w:r>
            <w:r>
              <w:rPr>
                <w:rFonts w:hint="eastAsia" w:ascii="Calibri" w:hAnsi="Calibri" w:eastAsia="宋体" w:cs="Calibri"/>
                <w:b w:val="0"/>
                <w:bCs w:val="0"/>
                <w:color w:val="auto"/>
                <w:kern w:val="0"/>
                <w:szCs w:val="21"/>
                <w:highlight w:val="none"/>
                <w:lang w:val="en-US" w:eastAsia="zh-CN"/>
              </w:rPr>
              <w:t>消防设备检测符合</w:t>
            </w:r>
            <w:r>
              <w:rPr>
                <w:rFonts w:hint="eastAsia" w:cs="Calibri"/>
                <w:b w:val="0"/>
                <w:bCs w:val="0"/>
                <w:color w:val="auto"/>
                <w:kern w:val="0"/>
                <w:szCs w:val="21"/>
                <w:highlight w:val="none"/>
                <w:lang w:val="en-US" w:eastAsia="zh-CN"/>
              </w:rPr>
              <w:t>《建筑消防设施检测技术规程》（</w:t>
            </w:r>
            <w:r>
              <w:rPr>
                <w:rFonts w:hint="eastAsia" w:ascii="Calibri" w:hAnsi="Calibri" w:eastAsia="宋体" w:cs="Calibri"/>
                <w:b w:val="0"/>
                <w:bCs w:val="0"/>
                <w:color w:val="auto"/>
                <w:kern w:val="0"/>
                <w:szCs w:val="21"/>
                <w:highlight w:val="none"/>
                <w:lang w:val="en-US" w:eastAsia="zh-CN"/>
              </w:rPr>
              <w:t>GA503</w:t>
            </w:r>
            <w:r>
              <w:rPr>
                <w:rFonts w:hint="eastAsia" w:cs="Calibri"/>
                <w:b w:val="0"/>
                <w:bCs w:val="0"/>
                <w:color w:val="auto"/>
                <w:kern w:val="0"/>
                <w:szCs w:val="21"/>
                <w:highlight w:val="none"/>
                <w:lang w:val="en-US" w:eastAsia="zh-CN"/>
              </w:rPr>
              <w:t>或XF503）</w:t>
            </w:r>
            <w:r>
              <w:rPr>
                <w:rFonts w:hint="eastAsia" w:ascii="Calibri" w:hAnsi="Calibri" w:eastAsia="宋体" w:cs="Calibri"/>
                <w:b w:val="0"/>
                <w:bCs w:val="0"/>
                <w:color w:val="auto"/>
                <w:kern w:val="0"/>
                <w:szCs w:val="21"/>
                <w:highlight w:val="none"/>
                <w:lang w:val="en-US" w:eastAsia="zh-CN"/>
              </w:rPr>
              <w:t>的相关要求</w:t>
            </w:r>
            <w:r>
              <w:rPr>
                <w:rFonts w:hint="eastAsia" w:eastAsia="宋体" w:cs="Calibri"/>
                <w:b w:val="0"/>
                <w:bCs w:val="0"/>
                <w:color w:val="auto"/>
                <w:kern w:val="0"/>
                <w:szCs w:val="21"/>
                <w:highlight w:val="none"/>
                <w:lang w:val="en-US" w:eastAsia="zh-CN"/>
              </w:rPr>
              <w:t>。</w:t>
            </w:r>
          </w:p>
        </w:tc>
      </w:tr>
      <w:tr w14:paraId="31E45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14:paraId="0B5492E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48" w:type="dxa"/>
            <w:vMerge w:val="continue"/>
            <w:noWrap w:val="0"/>
            <w:vAlign w:val="center"/>
          </w:tcPr>
          <w:p w14:paraId="72E4673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highlight w:val="none"/>
                <w:lang w:val="en-US" w:eastAsia="zh-CN"/>
              </w:rPr>
            </w:pPr>
          </w:p>
        </w:tc>
        <w:tc>
          <w:tcPr>
            <w:tcW w:w="10020" w:type="dxa"/>
            <w:noWrap w:val="0"/>
            <w:vAlign w:val="center"/>
          </w:tcPr>
          <w:p w14:paraId="6FE079CA">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（3）</w:t>
            </w:r>
            <w:r>
              <w:rPr>
                <w:rFonts w:hint="eastAsia" w:ascii="Calibri" w:hAnsi="Calibri" w:eastAsia="宋体" w:cs="Calibri"/>
                <w:b w:val="0"/>
                <w:bCs w:val="0"/>
                <w:color w:val="auto"/>
                <w:kern w:val="0"/>
                <w:szCs w:val="21"/>
                <w:highlight w:val="none"/>
                <w:lang w:val="en-US" w:eastAsia="zh-CN"/>
              </w:rPr>
              <w:t>消防设施平面图、火警疏散示意图、防火分区图等按幢设置在楼层醒目位置</w:t>
            </w:r>
            <w:r>
              <w:rPr>
                <w:rFonts w:hint="eastAsia" w:eastAsia="宋体" w:cs="Calibri"/>
                <w:b w:val="0"/>
                <w:bCs w:val="0"/>
                <w:color w:val="auto"/>
                <w:kern w:val="0"/>
                <w:szCs w:val="21"/>
                <w:highlight w:val="none"/>
                <w:lang w:val="en-US" w:eastAsia="zh-CN"/>
              </w:rPr>
              <w:t>。</w:t>
            </w:r>
          </w:p>
        </w:tc>
      </w:tr>
      <w:tr w14:paraId="6C196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14:paraId="1777AA4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48" w:type="dxa"/>
            <w:vMerge w:val="continue"/>
            <w:noWrap w:val="0"/>
            <w:vAlign w:val="center"/>
          </w:tcPr>
          <w:p w14:paraId="0C6ADC9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highlight w:val="none"/>
                <w:lang w:val="en-US" w:eastAsia="zh-CN"/>
              </w:rPr>
            </w:pPr>
          </w:p>
        </w:tc>
        <w:tc>
          <w:tcPr>
            <w:tcW w:w="10020" w:type="dxa"/>
            <w:noWrap w:val="0"/>
            <w:vAlign w:val="center"/>
          </w:tcPr>
          <w:p w14:paraId="36E614BC">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（4）</w:t>
            </w:r>
            <w:r>
              <w:rPr>
                <w:rFonts w:hint="eastAsia" w:ascii="Calibri" w:hAnsi="Calibri" w:eastAsia="宋体" w:cs="Calibri"/>
                <w:b w:val="0"/>
                <w:bCs w:val="0"/>
                <w:color w:val="auto"/>
                <w:kern w:val="0"/>
                <w:szCs w:val="21"/>
                <w:highlight w:val="none"/>
                <w:lang w:val="en-US" w:eastAsia="zh-CN"/>
              </w:rPr>
              <w:t>消防系统各设施设备使用说明清晰，宜图文结合</w:t>
            </w:r>
            <w:r>
              <w:rPr>
                <w:rFonts w:hint="eastAsia" w:eastAsia="宋体" w:cs="Calibri"/>
                <w:b w:val="0"/>
                <w:bCs w:val="0"/>
                <w:color w:val="auto"/>
                <w:kern w:val="0"/>
                <w:szCs w:val="21"/>
                <w:highlight w:val="none"/>
                <w:lang w:val="en-US" w:eastAsia="zh-CN"/>
              </w:rPr>
              <w:t>。</w:t>
            </w:r>
          </w:p>
        </w:tc>
      </w:tr>
      <w:tr w14:paraId="49BD9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14:paraId="7DE60CF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48" w:type="dxa"/>
            <w:vMerge w:val="continue"/>
            <w:noWrap w:val="0"/>
            <w:vAlign w:val="center"/>
          </w:tcPr>
          <w:p w14:paraId="3880E63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highlight w:val="none"/>
                <w:lang w:val="en-US" w:eastAsia="zh-CN"/>
              </w:rPr>
            </w:pPr>
          </w:p>
        </w:tc>
        <w:tc>
          <w:tcPr>
            <w:tcW w:w="10020" w:type="dxa"/>
            <w:noWrap w:val="0"/>
            <w:vAlign w:val="center"/>
          </w:tcPr>
          <w:p w14:paraId="1F285C73">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（5）</w:t>
            </w:r>
            <w:r>
              <w:rPr>
                <w:rFonts w:hint="eastAsia" w:ascii="Calibri" w:hAnsi="Calibri" w:eastAsia="宋体" w:cs="Calibri"/>
                <w:b w:val="0"/>
                <w:bCs w:val="0"/>
                <w:color w:val="auto"/>
                <w:kern w:val="0"/>
                <w:szCs w:val="21"/>
                <w:highlight w:val="none"/>
                <w:lang w:val="en-US" w:eastAsia="zh-CN"/>
              </w:rPr>
              <w:t>自动喷水灭火系统启动正常</w:t>
            </w:r>
            <w:r>
              <w:rPr>
                <w:rFonts w:hint="eastAsia" w:eastAsia="宋体" w:cs="Calibri"/>
                <w:b w:val="0"/>
                <w:bCs w:val="0"/>
                <w:color w:val="auto"/>
                <w:kern w:val="0"/>
                <w:szCs w:val="21"/>
                <w:highlight w:val="none"/>
                <w:lang w:val="en-US" w:eastAsia="zh-CN"/>
              </w:rPr>
              <w:t>。</w:t>
            </w:r>
          </w:p>
        </w:tc>
      </w:tr>
      <w:tr w14:paraId="5649C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14:paraId="7A6B65A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48" w:type="dxa"/>
            <w:vMerge w:val="continue"/>
            <w:noWrap w:val="0"/>
            <w:vAlign w:val="center"/>
          </w:tcPr>
          <w:p w14:paraId="590C370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highlight w:val="none"/>
                <w:lang w:val="en-US" w:eastAsia="zh-CN"/>
              </w:rPr>
            </w:pPr>
          </w:p>
        </w:tc>
        <w:tc>
          <w:tcPr>
            <w:tcW w:w="10020" w:type="dxa"/>
            <w:noWrap w:val="0"/>
            <w:vAlign w:val="center"/>
          </w:tcPr>
          <w:p w14:paraId="6EC439C4">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（6）</w:t>
            </w:r>
            <w:r>
              <w:rPr>
                <w:rFonts w:hint="eastAsia" w:ascii="Calibri" w:hAnsi="Calibri" w:eastAsia="宋体" w:cs="Calibri"/>
                <w:b w:val="0"/>
                <w:bCs w:val="0"/>
                <w:color w:val="auto"/>
                <w:kern w:val="0"/>
                <w:szCs w:val="21"/>
                <w:highlight w:val="none"/>
                <w:lang w:val="en-US" w:eastAsia="zh-CN"/>
              </w:rPr>
              <w:t>消火栓箱、防火门、灭火器、消防水泵、红外线报警器、应急照明、安全疏散等系统运行正常</w:t>
            </w:r>
            <w:r>
              <w:rPr>
                <w:rFonts w:hint="eastAsia" w:eastAsia="宋体" w:cs="Calibri"/>
                <w:b w:val="0"/>
                <w:bCs w:val="0"/>
                <w:color w:val="auto"/>
                <w:kern w:val="0"/>
                <w:szCs w:val="21"/>
                <w:highlight w:val="none"/>
                <w:lang w:val="en-US" w:eastAsia="zh-CN"/>
              </w:rPr>
              <w:t>。</w:t>
            </w:r>
          </w:p>
        </w:tc>
      </w:tr>
      <w:tr w14:paraId="1BEF5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14:paraId="45F54FF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48" w:type="dxa"/>
            <w:vMerge w:val="continue"/>
            <w:noWrap w:val="0"/>
            <w:vAlign w:val="center"/>
          </w:tcPr>
          <w:p w14:paraId="7088E0B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highlight w:val="none"/>
                <w:lang w:val="en-US" w:eastAsia="zh-CN"/>
              </w:rPr>
            </w:pPr>
          </w:p>
        </w:tc>
        <w:tc>
          <w:tcPr>
            <w:tcW w:w="10020" w:type="dxa"/>
            <w:noWrap w:val="0"/>
            <w:vAlign w:val="center"/>
          </w:tcPr>
          <w:p w14:paraId="60EDD2B9">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（7）</w:t>
            </w:r>
            <w:r>
              <w:rPr>
                <w:rFonts w:hint="eastAsia" w:ascii="Calibri" w:hAnsi="Calibri" w:eastAsia="宋体" w:cs="Calibri"/>
                <w:b w:val="0"/>
                <w:bCs w:val="0"/>
                <w:color w:val="auto"/>
                <w:kern w:val="0"/>
                <w:szCs w:val="21"/>
                <w:highlight w:val="none"/>
                <w:lang w:val="en-US" w:eastAsia="zh-CN"/>
              </w:rPr>
              <w:t>消防监控系统运行良好，自动和手动报警设施启动正常</w:t>
            </w:r>
            <w:r>
              <w:rPr>
                <w:rFonts w:hint="eastAsia" w:eastAsia="宋体" w:cs="Calibri"/>
                <w:b w:val="0"/>
                <w:bCs w:val="0"/>
                <w:color w:val="auto"/>
                <w:kern w:val="0"/>
                <w:szCs w:val="21"/>
                <w:highlight w:val="none"/>
                <w:lang w:val="en-US" w:eastAsia="zh-CN"/>
              </w:rPr>
              <w:t>。</w:t>
            </w:r>
          </w:p>
        </w:tc>
      </w:tr>
      <w:tr w14:paraId="09FA8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14:paraId="26D9580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p>
        </w:tc>
        <w:tc>
          <w:tcPr>
            <w:tcW w:w="3348" w:type="dxa"/>
            <w:vMerge w:val="continue"/>
            <w:noWrap w:val="0"/>
            <w:vAlign w:val="center"/>
          </w:tcPr>
          <w:p w14:paraId="50237EF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10020" w:type="dxa"/>
            <w:noWrap w:val="0"/>
            <w:vAlign w:val="center"/>
          </w:tcPr>
          <w:p w14:paraId="1884289D">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（8）</w:t>
            </w:r>
            <w:r>
              <w:rPr>
                <w:rFonts w:hint="eastAsia" w:ascii="Calibri" w:hAnsi="Calibri" w:eastAsia="宋体" w:cs="Calibri"/>
                <w:b w:val="0"/>
                <w:bCs w:val="0"/>
                <w:color w:val="auto"/>
                <w:kern w:val="0"/>
                <w:szCs w:val="21"/>
                <w:highlight w:val="none"/>
                <w:lang w:val="en-US" w:eastAsia="zh-CN"/>
              </w:rPr>
              <w:t>正压送风、防排烟系统运行正常</w:t>
            </w:r>
            <w:r>
              <w:rPr>
                <w:rFonts w:hint="eastAsia" w:eastAsia="宋体" w:cs="Calibri"/>
                <w:b w:val="0"/>
                <w:bCs w:val="0"/>
                <w:color w:val="auto"/>
                <w:kern w:val="0"/>
                <w:szCs w:val="21"/>
                <w:highlight w:val="none"/>
                <w:lang w:val="en-US" w:eastAsia="zh-CN"/>
              </w:rPr>
              <w:t>。</w:t>
            </w:r>
          </w:p>
        </w:tc>
      </w:tr>
      <w:tr w14:paraId="302C9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restart"/>
            <w:noWrap w:val="0"/>
            <w:vAlign w:val="center"/>
          </w:tcPr>
          <w:p w14:paraId="4C9D33A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r>
              <w:rPr>
                <w:rFonts w:hint="eastAsia"/>
                <w:highlight w:val="none"/>
                <w:lang w:val="en-US" w:eastAsia="zh-CN"/>
              </w:rPr>
              <w:t>5</w:t>
            </w:r>
          </w:p>
        </w:tc>
        <w:tc>
          <w:tcPr>
            <w:tcW w:w="3348" w:type="dxa"/>
            <w:vMerge w:val="restart"/>
            <w:noWrap w:val="0"/>
            <w:vAlign w:val="center"/>
          </w:tcPr>
          <w:p w14:paraId="7A88038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r>
              <w:rPr>
                <w:rFonts w:hint="default"/>
                <w:highlight w:val="none"/>
              </w:rPr>
              <w:t>供</w:t>
            </w:r>
            <w:r>
              <w:rPr>
                <w:rFonts w:hint="default" w:eastAsia="宋体"/>
                <w:highlight w:val="none"/>
                <w:lang w:val="en-US" w:eastAsia="zh-CN"/>
              </w:rPr>
              <w:t>配电</w:t>
            </w:r>
            <w:r>
              <w:rPr>
                <w:rFonts w:hint="default"/>
                <w:highlight w:val="none"/>
              </w:rPr>
              <w:t>系统</w:t>
            </w:r>
          </w:p>
        </w:tc>
        <w:tc>
          <w:tcPr>
            <w:tcW w:w="10020" w:type="dxa"/>
            <w:noWrap w:val="0"/>
            <w:vAlign w:val="center"/>
          </w:tcPr>
          <w:p w14:paraId="737D20FC">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建立</w:t>
            </w:r>
            <w:r>
              <w:rPr>
                <w:rFonts w:hint="eastAsia" w:cs="Calibri"/>
                <w:b w:val="0"/>
                <w:bCs w:val="0"/>
                <w:color w:val="auto"/>
                <w:kern w:val="0"/>
                <w:szCs w:val="21"/>
                <w:highlight w:val="none"/>
                <w:lang w:val="en-US" w:eastAsia="zh-CN"/>
              </w:rPr>
              <w:t>24小时</w:t>
            </w:r>
            <w:r>
              <w:rPr>
                <w:rFonts w:hint="eastAsia" w:ascii="Calibri" w:hAnsi="Calibri" w:eastAsia="宋体" w:cs="Calibri"/>
                <w:b w:val="0"/>
                <w:bCs w:val="0"/>
                <w:color w:val="auto"/>
                <w:kern w:val="0"/>
                <w:szCs w:val="21"/>
                <w:highlight w:val="none"/>
                <w:lang w:val="en-US" w:eastAsia="zh-CN"/>
              </w:rPr>
              <w:t>运行值班监控制度</w:t>
            </w:r>
            <w:r>
              <w:rPr>
                <w:rFonts w:hint="eastAsia" w:eastAsia="宋体" w:cs="Calibri"/>
                <w:b w:val="0"/>
                <w:bCs w:val="0"/>
                <w:color w:val="auto"/>
                <w:kern w:val="0"/>
                <w:szCs w:val="21"/>
                <w:highlight w:val="none"/>
                <w:lang w:val="en-US" w:eastAsia="zh-CN"/>
              </w:rPr>
              <w:t>。</w:t>
            </w:r>
          </w:p>
        </w:tc>
      </w:tr>
      <w:tr w14:paraId="2FACB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14:paraId="029D59E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rPr>
            </w:pPr>
          </w:p>
        </w:tc>
        <w:tc>
          <w:tcPr>
            <w:tcW w:w="3348" w:type="dxa"/>
            <w:vMerge w:val="continue"/>
            <w:noWrap w:val="0"/>
            <w:vAlign w:val="center"/>
          </w:tcPr>
          <w:p w14:paraId="5F9C1B5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10020" w:type="dxa"/>
            <w:noWrap w:val="0"/>
            <w:vAlign w:val="center"/>
          </w:tcPr>
          <w:p w14:paraId="18BA0315">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（2）</w:t>
            </w:r>
            <w:r>
              <w:rPr>
                <w:rFonts w:hint="eastAsia" w:ascii="Calibri" w:hAnsi="Calibri" w:eastAsia="宋体" w:cs="Calibri"/>
                <w:b w:val="0"/>
                <w:bCs w:val="0"/>
                <w:color w:val="auto"/>
                <w:kern w:val="0"/>
                <w:szCs w:val="21"/>
                <w:highlight w:val="none"/>
                <w:lang w:val="en-US" w:eastAsia="zh-CN"/>
              </w:rPr>
              <w:t>对供电范围内的电气设备定期巡视维护，加强高低压配电柜、配电箱、控制柜及线路等重点部位监测</w:t>
            </w:r>
            <w:r>
              <w:rPr>
                <w:rFonts w:hint="eastAsia" w:eastAsia="宋体" w:cs="Calibri"/>
                <w:b w:val="0"/>
                <w:bCs w:val="0"/>
                <w:color w:val="auto"/>
                <w:kern w:val="0"/>
                <w:szCs w:val="21"/>
                <w:highlight w:val="none"/>
                <w:lang w:val="en-US" w:eastAsia="zh-CN"/>
              </w:rPr>
              <w:t>。</w:t>
            </w:r>
          </w:p>
        </w:tc>
      </w:tr>
      <w:tr w14:paraId="4458F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14:paraId="3C79BA0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rPr>
            </w:pPr>
          </w:p>
        </w:tc>
        <w:tc>
          <w:tcPr>
            <w:tcW w:w="3348" w:type="dxa"/>
            <w:vMerge w:val="continue"/>
            <w:noWrap w:val="0"/>
            <w:vAlign w:val="center"/>
          </w:tcPr>
          <w:p w14:paraId="130F668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10020" w:type="dxa"/>
            <w:noWrap w:val="0"/>
            <w:vAlign w:val="center"/>
          </w:tcPr>
          <w:p w14:paraId="14910E44">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（3）</w:t>
            </w:r>
            <w:r>
              <w:rPr>
                <w:rFonts w:hint="eastAsia" w:ascii="Calibri" w:hAnsi="Calibri" w:eastAsia="宋体" w:cs="Calibri"/>
                <w:b w:val="0"/>
                <w:bCs w:val="0"/>
                <w:color w:val="auto"/>
                <w:kern w:val="0"/>
                <w:szCs w:val="21"/>
                <w:highlight w:val="none"/>
                <w:lang w:val="en-US" w:eastAsia="zh-CN"/>
              </w:rPr>
              <w:t>公共使用的照明、指示灯具线路、开关、接地等保持完好，确保用电安全</w:t>
            </w:r>
            <w:r>
              <w:rPr>
                <w:rFonts w:hint="eastAsia" w:eastAsia="宋体" w:cs="Calibri"/>
                <w:b w:val="0"/>
                <w:bCs w:val="0"/>
                <w:color w:val="auto"/>
                <w:kern w:val="0"/>
                <w:szCs w:val="21"/>
                <w:highlight w:val="none"/>
                <w:lang w:val="en-US" w:eastAsia="zh-CN"/>
              </w:rPr>
              <w:t>。</w:t>
            </w:r>
          </w:p>
        </w:tc>
      </w:tr>
      <w:tr w14:paraId="25DF3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14:paraId="6CF6C79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rPr>
            </w:pPr>
          </w:p>
        </w:tc>
        <w:tc>
          <w:tcPr>
            <w:tcW w:w="3348" w:type="dxa"/>
            <w:vMerge w:val="continue"/>
            <w:noWrap w:val="0"/>
            <w:vAlign w:val="center"/>
          </w:tcPr>
          <w:p w14:paraId="1BA0A99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10020" w:type="dxa"/>
            <w:noWrap w:val="0"/>
            <w:vAlign w:val="center"/>
          </w:tcPr>
          <w:p w14:paraId="18B7FB3C">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（4）</w:t>
            </w:r>
            <w:r>
              <w:rPr>
                <w:rFonts w:hint="eastAsia" w:ascii="Calibri" w:hAnsi="Calibri" w:eastAsia="宋体" w:cs="Calibri"/>
                <w:b w:val="0"/>
                <w:bCs w:val="0"/>
                <w:color w:val="auto"/>
                <w:kern w:val="0"/>
                <w:szCs w:val="21"/>
                <w:highlight w:val="none"/>
                <w:lang w:val="en-US" w:eastAsia="zh-CN"/>
              </w:rPr>
              <w:t>核心部位用电建立高可控用电保障和配备应急发电设备，定期维护应急发电设备</w:t>
            </w:r>
            <w:r>
              <w:rPr>
                <w:rFonts w:hint="eastAsia" w:eastAsia="宋体" w:cs="Calibri"/>
                <w:b w:val="0"/>
                <w:bCs w:val="0"/>
                <w:color w:val="auto"/>
                <w:kern w:val="0"/>
                <w:szCs w:val="21"/>
                <w:highlight w:val="none"/>
                <w:lang w:val="en-US" w:eastAsia="zh-CN"/>
              </w:rPr>
              <w:t>。</w:t>
            </w:r>
          </w:p>
        </w:tc>
      </w:tr>
      <w:tr w14:paraId="03754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14:paraId="0F698AA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rPr>
            </w:pPr>
          </w:p>
        </w:tc>
        <w:tc>
          <w:tcPr>
            <w:tcW w:w="3348" w:type="dxa"/>
            <w:vMerge w:val="continue"/>
            <w:noWrap w:val="0"/>
            <w:vAlign w:val="center"/>
          </w:tcPr>
          <w:p w14:paraId="4BC75D2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10020" w:type="dxa"/>
            <w:noWrap w:val="0"/>
            <w:vAlign w:val="center"/>
          </w:tcPr>
          <w:p w14:paraId="1ECEBCFB">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（5）发生</w:t>
            </w:r>
            <w:r>
              <w:rPr>
                <w:rFonts w:hint="eastAsia" w:ascii="Calibri" w:hAnsi="Calibri" w:eastAsia="宋体" w:cs="Calibri"/>
                <w:b w:val="0"/>
                <w:bCs w:val="0"/>
                <w:color w:val="auto"/>
                <w:kern w:val="0"/>
                <w:szCs w:val="21"/>
                <w:highlight w:val="none"/>
                <w:lang w:val="en-US" w:eastAsia="zh-CN"/>
              </w:rPr>
              <w:t>非计划性停电</w:t>
            </w:r>
            <w:r>
              <w:rPr>
                <w:rFonts w:hint="eastAsia" w:cs="Calibri"/>
                <w:b w:val="0"/>
                <w:bCs w:val="0"/>
                <w:color w:val="auto"/>
                <w:kern w:val="0"/>
                <w:szCs w:val="21"/>
                <w:highlight w:val="none"/>
                <w:lang w:val="en-US" w:eastAsia="zh-CN"/>
              </w:rPr>
              <w:t>的，</w:t>
            </w:r>
            <w:r>
              <w:rPr>
                <w:rFonts w:hint="eastAsia" w:ascii="Calibri" w:hAnsi="Calibri" w:eastAsia="宋体" w:cs="Calibri"/>
                <w:b w:val="0"/>
                <w:bCs w:val="0"/>
                <w:color w:val="auto"/>
                <w:kern w:val="0"/>
                <w:szCs w:val="21"/>
                <w:highlight w:val="none"/>
                <w:lang w:val="en-US" w:eastAsia="zh-CN"/>
              </w:rPr>
              <w:t>应</w:t>
            </w:r>
            <w:r>
              <w:rPr>
                <w:rFonts w:hint="eastAsia" w:cs="Calibri"/>
                <w:b w:val="0"/>
                <w:bCs w:val="0"/>
                <w:color w:val="auto"/>
                <w:kern w:val="0"/>
                <w:szCs w:val="21"/>
                <w:highlight w:val="none"/>
                <w:lang w:val="en-US" w:eastAsia="zh-CN"/>
              </w:rPr>
              <w:t>当</w:t>
            </w:r>
            <w:r>
              <w:rPr>
                <w:rFonts w:hint="eastAsia" w:ascii="Calibri" w:hAnsi="Calibri" w:eastAsia="宋体" w:cs="Calibri"/>
                <w:b w:val="0"/>
                <w:bCs w:val="0"/>
                <w:color w:val="auto"/>
                <w:kern w:val="0"/>
                <w:szCs w:val="21"/>
                <w:highlight w:val="none"/>
                <w:lang w:val="en-US" w:eastAsia="zh-CN"/>
              </w:rPr>
              <w:t>在事件发生后及时通知</w:t>
            </w:r>
            <w:r>
              <w:rPr>
                <w:rFonts w:hint="eastAsia" w:eastAsia="宋体" w:cs="Calibri"/>
                <w:b w:val="0"/>
                <w:bCs w:val="0"/>
                <w:color w:val="auto"/>
                <w:kern w:val="0"/>
                <w:szCs w:val="21"/>
                <w:highlight w:val="none"/>
                <w:lang w:val="en-US" w:eastAsia="zh-CN"/>
              </w:rPr>
              <w:t>采购人</w:t>
            </w:r>
            <w:r>
              <w:rPr>
                <w:rFonts w:hint="eastAsia" w:ascii="Calibri" w:hAnsi="Calibri" w:eastAsia="宋体" w:cs="Calibri"/>
                <w:b w:val="0"/>
                <w:bCs w:val="0"/>
                <w:color w:val="auto"/>
                <w:kern w:val="0"/>
                <w:szCs w:val="21"/>
                <w:highlight w:val="none"/>
                <w:lang w:val="en-US" w:eastAsia="zh-CN"/>
              </w:rPr>
              <w:t>，快速恢复或启用应急电源，并做好应急事件上报及处理工作</w:t>
            </w:r>
            <w:r>
              <w:rPr>
                <w:rFonts w:hint="eastAsia" w:eastAsia="宋体" w:cs="Calibri"/>
                <w:b w:val="0"/>
                <w:bCs w:val="0"/>
                <w:color w:val="auto"/>
                <w:kern w:val="0"/>
                <w:szCs w:val="21"/>
                <w:highlight w:val="none"/>
                <w:lang w:val="en-US" w:eastAsia="zh-CN"/>
              </w:rPr>
              <w:t>。</w:t>
            </w:r>
          </w:p>
        </w:tc>
      </w:tr>
      <w:tr w14:paraId="6D849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14:paraId="33611FA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rPr>
            </w:pPr>
          </w:p>
        </w:tc>
        <w:tc>
          <w:tcPr>
            <w:tcW w:w="3348" w:type="dxa"/>
            <w:vMerge w:val="continue"/>
            <w:noWrap w:val="0"/>
            <w:vAlign w:val="center"/>
          </w:tcPr>
          <w:p w14:paraId="5D79FCE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10020" w:type="dxa"/>
            <w:noWrap w:val="0"/>
            <w:vAlign w:val="center"/>
          </w:tcPr>
          <w:p w14:paraId="0EC2170B">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（6）</w:t>
            </w:r>
            <w:r>
              <w:rPr>
                <w:rFonts w:hint="eastAsia" w:ascii="Calibri" w:hAnsi="Calibri" w:eastAsia="宋体" w:cs="Calibri"/>
                <w:b w:val="0"/>
                <w:bCs w:val="0"/>
                <w:color w:val="auto"/>
                <w:kern w:val="0"/>
                <w:szCs w:val="21"/>
                <w:highlight w:val="none"/>
                <w:lang w:val="en-US" w:eastAsia="zh-CN"/>
              </w:rPr>
              <w:t>复杂故障涉及供电部门维修处置的及时与供电部门联系，并向</w:t>
            </w:r>
            <w:r>
              <w:rPr>
                <w:rFonts w:hint="eastAsia" w:eastAsia="宋体" w:cs="Calibri"/>
                <w:b w:val="0"/>
                <w:bCs w:val="0"/>
                <w:color w:val="auto"/>
                <w:kern w:val="0"/>
                <w:szCs w:val="21"/>
                <w:highlight w:val="none"/>
                <w:lang w:val="en-US" w:eastAsia="zh-CN"/>
              </w:rPr>
              <w:t>采购人</w:t>
            </w:r>
            <w:r>
              <w:rPr>
                <w:rFonts w:hint="eastAsia" w:ascii="Calibri" w:hAnsi="Calibri" w:eastAsia="宋体" w:cs="Calibri"/>
                <w:b w:val="0"/>
                <w:bCs w:val="0"/>
                <w:color w:val="auto"/>
                <w:kern w:val="0"/>
                <w:szCs w:val="21"/>
                <w:highlight w:val="none"/>
                <w:lang w:val="en-US" w:eastAsia="zh-CN"/>
              </w:rPr>
              <w:t>报告</w:t>
            </w:r>
            <w:r>
              <w:rPr>
                <w:rFonts w:hint="eastAsia" w:eastAsia="宋体" w:cs="Calibri"/>
                <w:b w:val="0"/>
                <w:bCs w:val="0"/>
                <w:color w:val="auto"/>
                <w:kern w:val="0"/>
                <w:szCs w:val="21"/>
                <w:highlight w:val="none"/>
                <w:lang w:val="en-US" w:eastAsia="zh-CN"/>
              </w:rPr>
              <w:t>。</w:t>
            </w:r>
          </w:p>
        </w:tc>
      </w:tr>
      <w:tr w14:paraId="4E672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restart"/>
            <w:noWrap w:val="0"/>
            <w:vAlign w:val="center"/>
          </w:tcPr>
          <w:p w14:paraId="413B1BA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r>
              <w:rPr>
                <w:rFonts w:hint="eastAsia"/>
                <w:highlight w:val="none"/>
                <w:lang w:val="en-US" w:eastAsia="zh-CN"/>
              </w:rPr>
              <w:t>6</w:t>
            </w:r>
          </w:p>
        </w:tc>
        <w:tc>
          <w:tcPr>
            <w:tcW w:w="3348" w:type="dxa"/>
            <w:vMerge w:val="restart"/>
            <w:noWrap w:val="0"/>
            <w:vAlign w:val="center"/>
          </w:tcPr>
          <w:p w14:paraId="19B66B9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r>
              <w:rPr>
                <w:rFonts w:hint="default"/>
                <w:highlight w:val="none"/>
              </w:rPr>
              <w:t>弱电系统</w:t>
            </w:r>
          </w:p>
        </w:tc>
        <w:tc>
          <w:tcPr>
            <w:tcW w:w="10020" w:type="dxa"/>
            <w:noWrap w:val="0"/>
            <w:vAlign w:val="center"/>
          </w:tcPr>
          <w:p w14:paraId="3692A28F">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（1）安全防范系统维护保养</w:t>
            </w:r>
            <w:r>
              <w:rPr>
                <w:rFonts w:hint="eastAsia" w:ascii="Calibri" w:hAnsi="Calibri" w:eastAsia="宋体" w:cs="Calibri"/>
                <w:b w:val="0"/>
                <w:bCs w:val="0"/>
                <w:color w:val="auto"/>
                <w:kern w:val="0"/>
                <w:szCs w:val="21"/>
                <w:highlight w:val="none"/>
                <w:lang w:val="en-US" w:eastAsia="zh-CN"/>
              </w:rPr>
              <w:t>符合</w:t>
            </w:r>
            <w:r>
              <w:rPr>
                <w:rFonts w:hint="eastAsia" w:cs="Calibri"/>
                <w:b w:val="0"/>
                <w:bCs w:val="0"/>
                <w:color w:val="auto"/>
                <w:kern w:val="0"/>
                <w:szCs w:val="21"/>
                <w:highlight w:val="none"/>
                <w:lang w:val="en-US" w:eastAsia="zh-CN"/>
              </w:rPr>
              <w:t>《安全防范系统维护保养规范》（</w:t>
            </w:r>
            <w:r>
              <w:rPr>
                <w:rFonts w:hint="eastAsia" w:eastAsia="宋体"/>
                <w:color w:val="auto"/>
                <w:kern w:val="0"/>
                <w:highlight w:val="none"/>
              </w:rPr>
              <w:t>GA/T 1081</w:t>
            </w:r>
            <w:r>
              <w:rPr>
                <w:rFonts w:hint="eastAsia"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的相关要求</w:t>
            </w:r>
            <w:r>
              <w:rPr>
                <w:rFonts w:hint="eastAsia" w:eastAsia="宋体" w:cs="Calibri"/>
                <w:b w:val="0"/>
                <w:bCs w:val="0"/>
                <w:color w:val="auto"/>
                <w:kern w:val="0"/>
                <w:szCs w:val="21"/>
                <w:highlight w:val="none"/>
                <w:lang w:val="en-US" w:eastAsia="zh-CN"/>
              </w:rPr>
              <w:t>。</w:t>
            </w:r>
          </w:p>
        </w:tc>
      </w:tr>
      <w:tr w14:paraId="0A842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14:paraId="0753B33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p>
        </w:tc>
        <w:tc>
          <w:tcPr>
            <w:tcW w:w="3348" w:type="dxa"/>
            <w:vMerge w:val="continue"/>
            <w:noWrap w:val="0"/>
            <w:vAlign w:val="center"/>
          </w:tcPr>
          <w:p w14:paraId="157FF12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10020" w:type="dxa"/>
            <w:noWrap w:val="0"/>
            <w:vAlign w:val="center"/>
          </w:tcPr>
          <w:p w14:paraId="4E0772B3">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（2）</w:t>
            </w:r>
            <w:r>
              <w:rPr>
                <w:rFonts w:hint="eastAsia" w:ascii="Calibri" w:hAnsi="Calibri" w:eastAsia="宋体" w:cs="Calibri"/>
                <w:b w:val="0"/>
                <w:bCs w:val="0"/>
                <w:color w:val="auto"/>
                <w:kern w:val="0"/>
                <w:szCs w:val="21"/>
                <w:highlight w:val="none"/>
                <w:lang w:val="en-US" w:eastAsia="zh-CN"/>
              </w:rPr>
              <w:t>保持监控系统、门禁系统、安全防范系统等运行正常，有故障及时排除</w:t>
            </w:r>
            <w:r>
              <w:rPr>
                <w:rFonts w:hint="eastAsia" w:eastAsia="宋体" w:cs="Calibri"/>
                <w:b w:val="0"/>
                <w:bCs w:val="0"/>
                <w:color w:val="auto"/>
                <w:kern w:val="0"/>
                <w:szCs w:val="21"/>
                <w:highlight w:val="none"/>
                <w:lang w:val="en-US" w:eastAsia="zh-CN"/>
              </w:rPr>
              <w:t>。</w:t>
            </w:r>
          </w:p>
        </w:tc>
      </w:tr>
      <w:tr w14:paraId="20C87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restart"/>
            <w:noWrap w:val="0"/>
            <w:vAlign w:val="center"/>
          </w:tcPr>
          <w:p w14:paraId="5DA9A91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r>
              <w:rPr>
                <w:rFonts w:hint="eastAsia"/>
                <w:highlight w:val="none"/>
                <w:lang w:val="en-US" w:eastAsia="zh-CN"/>
              </w:rPr>
              <w:t>7</w:t>
            </w:r>
          </w:p>
        </w:tc>
        <w:tc>
          <w:tcPr>
            <w:tcW w:w="3348" w:type="dxa"/>
            <w:vMerge w:val="restart"/>
            <w:noWrap w:val="0"/>
            <w:vAlign w:val="center"/>
          </w:tcPr>
          <w:p w14:paraId="6367AE2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r>
              <w:rPr>
                <w:rFonts w:hint="default" w:eastAsia="宋体"/>
                <w:highlight w:val="none"/>
                <w:lang w:val="en-US" w:eastAsia="zh-CN"/>
              </w:rPr>
              <w:t>照明</w:t>
            </w:r>
            <w:r>
              <w:rPr>
                <w:rFonts w:hint="default"/>
                <w:highlight w:val="none"/>
              </w:rPr>
              <w:t>系统</w:t>
            </w:r>
          </w:p>
        </w:tc>
        <w:tc>
          <w:tcPr>
            <w:tcW w:w="10020" w:type="dxa"/>
            <w:noWrap w:val="0"/>
            <w:vAlign w:val="center"/>
          </w:tcPr>
          <w:p w14:paraId="0848B63B">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外观整洁无缺损、无松落</w:t>
            </w:r>
            <w:r>
              <w:rPr>
                <w:rFonts w:hint="eastAsia" w:eastAsia="宋体" w:cs="Calibri"/>
                <w:b w:val="0"/>
                <w:bCs w:val="0"/>
                <w:color w:val="auto"/>
                <w:kern w:val="0"/>
                <w:szCs w:val="21"/>
                <w:highlight w:val="none"/>
                <w:lang w:val="en-US" w:eastAsia="zh-CN"/>
              </w:rPr>
              <w:t>。</w:t>
            </w:r>
          </w:p>
        </w:tc>
      </w:tr>
      <w:tr w14:paraId="39D76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14:paraId="3E989BD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48" w:type="dxa"/>
            <w:vMerge w:val="continue"/>
            <w:noWrap w:val="0"/>
            <w:vAlign w:val="center"/>
          </w:tcPr>
          <w:p w14:paraId="575B13F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highlight w:val="none"/>
                <w:lang w:val="en-US" w:eastAsia="zh-CN"/>
              </w:rPr>
            </w:pPr>
          </w:p>
        </w:tc>
        <w:tc>
          <w:tcPr>
            <w:tcW w:w="10020" w:type="dxa"/>
            <w:noWrap w:val="0"/>
            <w:vAlign w:val="center"/>
          </w:tcPr>
          <w:p w14:paraId="305118BA">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（2）更换的</w:t>
            </w:r>
            <w:r>
              <w:rPr>
                <w:rFonts w:hint="eastAsia" w:ascii="Calibri" w:hAnsi="Calibri" w:eastAsia="宋体" w:cs="Calibri"/>
                <w:b w:val="0"/>
                <w:bCs w:val="0"/>
                <w:color w:val="auto"/>
                <w:kern w:val="0"/>
                <w:szCs w:val="21"/>
                <w:highlight w:val="none"/>
                <w:lang w:val="en-US" w:eastAsia="zh-CN"/>
              </w:rPr>
              <w:t>照明灯具</w:t>
            </w:r>
            <w:r>
              <w:rPr>
                <w:rFonts w:hint="eastAsia" w:cs="Calibri"/>
                <w:b w:val="0"/>
                <w:bCs w:val="0"/>
                <w:color w:val="auto"/>
                <w:kern w:val="0"/>
                <w:szCs w:val="21"/>
                <w:highlight w:val="none"/>
                <w:lang w:val="en-US" w:eastAsia="zh-CN"/>
              </w:rPr>
              <w:t>应当</w:t>
            </w:r>
            <w:r>
              <w:rPr>
                <w:rFonts w:hint="eastAsia" w:ascii="Calibri" w:hAnsi="Calibri" w:eastAsia="宋体" w:cs="Calibri"/>
                <w:b w:val="0"/>
                <w:bCs w:val="0"/>
                <w:color w:val="auto"/>
                <w:kern w:val="0"/>
                <w:szCs w:val="21"/>
                <w:highlight w:val="none"/>
                <w:lang w:val="en-US" w:eastAsia="zh-CN"/>
              </w:rPr>
              <w:t>选用节能环保产品</w:t>
            </w:r>
            <w:r>
              <w:rPr>
                <w:rFonts w:hint="eastAsia" w:cs="Calibri"/>
                <w:b w:val="0"/>
                <w:bCs w:val="0"/>
                <w:color w:val="auto"/>
                <w:kern w:val="0"/>
                <w:szCs w:val="21"/>
                <w:highlight w:val="none"/>
                <w:lang w:val="en-US" w:eastAsia="zh-CN"/>
              </w:rPr>
              <w:t>，亮度与更换前保持一致</w:t>
            </w:r>
            <w:r>
              <w:rPr>
                <w:rFonts w:hint="eastAsia" w:eastAsia="宋体" w:cs="Calibri"/>
                <w:b w:val="0"/>
                <w:bCs w:val="0"/>
                <w:color w:val="auto"/>
                <w:kern w:val="0"/>
                <w:szCs w:val="21"/>
                <w:highlight w:val="none"/>
                <w:lang w:val="en-US" w:eastAsia="zh-CN"/>
              </w:rPr>
              <w:t>。</w:t>
            </w:r>
          </w:p>
        </w:tc>
      </w:tr>
      <w:tr w14:paraId="16996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14:paraId="6CF8DAF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p>
        </w:tc>
        <w:tc>
          <w:tcPr>
            <w:tcW w:w="3348" w:type="dxa"/>
            <w:vMerge w:val="continue"/>
            <w:noWrap w:val="0"/>
            <w:vAlign w:val="center"/>
          </w:tcPr>
          <w:p w14:paraId="063BC39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10020" w:type="dxa"/>
            <w:noWrap w:val="0"/>
            <w:vAlign w:val="center"/>
          </w:tcPr>
          <w:p w14:paraId="0E723EC7">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（3）</w:t>
            </w:r>
            <w:r>
              <w:rPr>
                <w:rFonts w:hint="eastAsia" w:ascii="Calibri" w:hAnsi="Calibri" w:eastAsia="宋体" w:cs="Calibri"/>
                <w:b w:val="0"/>
                <w:bCs w:val="0"/>
                <w:color w:val="auto"/>
                <w:kern w:val="0"/>
                <w:szCs w:val="21"/>
                <w:highlight w:val="none"/>
                <w:lang w:val="en-US" w:eastAsia="zh-CN"/>
              </w:rPr>
              <w:t>每周至少</w:t>
            </w:r>
            <w:r>
              <w:rPr>
                <w:rFonts w:hint="eastAsia" w:eastAsia="宋体" w:cs="Calibri"/>
                <w:b w:val="0"/>
                <w:bCs w:val="0"/>
                <w:color w:val="auto"/>
                <w:kern w:val="0"/>
                <w:szCs w:val="21"/>
                <w:highlight w:val="none"/>
                <w:lang w:val="en-US" w:eastAsia="zh-CN"/>
              </w:rPr>
              <w:t>开展</w:t>
            </w:r>
            <w:r>
              <w:rPr>
                <w:rFonts w:hint="eastAsia" w:ascii="Calibri" w:hAnsi="Calibri" w:eastAsia="宋体" w:cs="Calibri"/>
                <w:b w:val="0"/>
                <w:bCs w:val="0"/>
                <w:color w:val="auto"/>
                <w:kern w:val="0"/>
                <w:szCs w:val="21"/>
                <w:highlight w:val="none"/>
                <w:lang w:val="en-US" w:eastAsia="zh-CN"/>
              </w:rPr>
              <w:t>1次公共区域照明设备巡视</w:t>
            </w:r>
            <w:r>
              <w:rPr>
                <w:rFonts w:hint="eastAsia" w:eastAsia="宋体" w:cs="Calibri"/>
                <w:b w:val="0"/>
                <w:bCs w:val="0"/>
                <w:color w:val="auto"/>
                <w:kern w:val="0"/>
                <w:szCs w:val="21"/>
                <w:highlight w:val="none"/>
                <w:lang w:val="en-US" w:eastAsia="zh-CN"/>
              </w:rPr>
              <w:t>。</w:t>
            </w:r>
          </w:p>
        </w:tc>
      </w:tr>
      <w:tr w14:paraId="46050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restart"/>
            <w:noWrap w:val="0"/>
            <w:vAlign w:val="center"/>
          </w:tcPr>
          <w:p w14:paraId="26FAF49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r>
              <w:rPr>
                <w:rFonts w:hint="eastAsia"/>
                <w:highlight w:val="none"/>
                <w:lang w:val="en-US" w:eastAsia="zh-CN"/>
              </w:rPr>
              <w:t>8</w:t>
            </w:r>
          </w:p>
        </w:tc>
        <w:tc>
          <w:tcPr>
            <w:tcW w:w="3348" w:type="dxa"/>
            <w:vMerge w:val="restart"/>
            <w:noWrap w:val="0"/>
            <w:vAlign w:val="center"/>
          </w:tcPr>
          <w:p w14:paraId="6ADC2AF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r>
              <w:rPr>
                <w:rFonts w:hint="default"/>
                <w:highlight w:val="none"/>
              </w:rPr>
              <w:t>锅炉设备/热力站</w:t>
            </w:r>
          </w:p>
        </w:tc>
        <w:tc>
          <w:tcPr>
            <w:tcW w:w="10020" w:type="dxa"/>
            <w:noWrap w:val="0"/>
            <w:vAlign w:val="center"/>
          </w:tcPr>
          <w:p w14:paraId="1D8EE97D">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（1）建</w:t>
            </w:r>
            <w:r>
              <w:rPr>
                <w:rFonts w:hint="eastAsia" w:ascii="Calibri" w:hAnsi="Calibri" w:eastAsia="宋体" w:cs="Calibri"/>
                <w:b w:val="0"/>
                <w:bCs w:val="0"/>
                <w:color w:val="auto"/>
                <w:kern w:val="0"/>
                <w:szCs w:val="21"/>
                <w:highlight w:val="none"/>
                <w:lang w:val="en-US" w:eastAsia="zh-CN"/>
              </w:rPr>
              <w:t>立</w:t>
            </w:r>
            <w:r>
              <w:rPr>
                <w:rFonts w:hint="eastAsia" w:cs="Calibri"/>
                <w:b w:val="0"/>
                <w:bCs w:val="0"/>
                <w:color w:val="auto"/>
                <w:kern w:val="0"/>
                <w:szCs w:val="21"/>
                <w:highlight w:val="none"/>
                <w:lang w:val="en-US" w:eastAsia="zh-CN"/>
              </w:rPr>
              <w:t>24小时</w:t>
            </w:r>
            <w:r>
              <w:rPr>
                <w:rFonts w:hint="eastAsia" w:ascii="Calibri" w:hAnsi="Calibri" w:eastAsia="宋体" w:cs="Calibri"/>
                <w:b w:val="0"/>
                <w:bCs w:val="0"/>
                <w:color w:val="auto"/>
                <w:kern w:val="0"/>
                <w:szCs w:val="21"/>
                <w:highlight w:val="none"/>
                <w:lang w:val="en-US" w:eastAsia="zh-CN"/>
              </w:rPr>
              <w:t>值班监控制度</w:t>
            </w:r>
            <w:r>
              <w:rPr>
                <w:rFonts w:hint="eastAsia" w:cs="Calibri"/>
                <w:b w:val="0"/>
                <w:bCs w:val="0"/>
                <w:color w:val="auto"/>
                <w:kern w:val="0"/>
                <w:szCs w:val="21"/>
                <w:highlight w:val="none"/>
                <w:lang w:val="en-US" w:eastAsia="zh-CN"/>
              </w:rPr>
              <w:t>。</w:t>
            </w:r>
          </w:p>
        </w:tc>
      </w:tr>
      <w:tr w14:paraId="7E492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14:paraId="1DD824C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48" w:type="dxa"/>
            <w:vMerge w:val="continue"/>
            <w:noWrap w:val="0"/>
            <w:vAlign w:val="center"/>
          </w:tcPr>
          <w:p w14:paraId="5CC9083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10020" w:type="dxa"/>
            <w:noWrap w:val="0"/>
            <w:vAlign w:val="center"/>
          </w:tcPr>
          <w:p w14:paraId="3B45E950">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（2）每年至少开展1次锅炉设备的全面检查。</w:t>
            </w:r>
          </w:p>
        </w:tc>
      </w:tr>
      <w:tr w14:paraId="1C1A3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14:paraId="4EC2C7F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48" w:type="dxa"/>
            <w:vMerge w:val="continue"/>
            <w:noWrap w:val="0"/>
            <w:vAlign w:val="center"/>
          </w:tcPr>
          <w:p w14:paraId="61EA1CA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10020" w:type="dxa"/>
            <w:noWrap w:val="0"/>
            <w:vAlign w:val="center"/>
          </w:tcPr>
          <w:p w14:paraId="44133306">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（3）</w:t>
            </w:r>
            <w:r>
              <w:rPr>
                <w:rFonts w:hint="eastAsia" w:ascii="Calibri" w:hAnsi="Calibri" w:eastAsia="宋体" w:cs="Calibri"/>
                <w:b w:val="0"/>
                <w:bCs w:val="0"/>
                <w:color w:val="auto"/>
                <w:kern w:val="0"/>
                <w:szCs w:val="21"/>
                <w:highlight w:val="none"/>
                <w:lang w:val="en-US" w:eastAsia="zh-CN"/>
              </w:rPr>
              <w:t>每年至少</w:t>
            </w:r>
            <w:r>
              <w:rPr>
                <w:rFonts w:hint="eastAsia" w:cs="Calibri"/>
                <w:b w:val="0"/>
                <w:bCs w:val="0"/>
                <w:color w:val="auto"/>
                <w:kern w:val="0"/>
                <w:szCs w:val="21"/>
                <w:highlight w:val="none"/>
                <w:lang w:val="en-US" w:eastAsia="zh-CN"/>
              </w:rPr>
              <w:t>开展</w:t>
            </w:r>
            <w:r>
              <w:rPr>
                <w:rFonts w:hint="eastAsia" w:ascii="Calibri" w:hAnsi="Calibri" w:eastAsia="宋体" w:cs="Calibri"/>
                <w:b w:val="0"/>
                <w:bCs w:val="0"/>
                <w:color w:val="auto"/>
                <w:kern w:val="0"/>
                <w:szCs w:val="21"/>
                <w:highlight w:val="none"/>
                <w:lang w:val="en-US" w:eastAsia="zh-CN"/>
              </w:rPr>
              <w:t>1次锅炉设备及其辅助设备检测，确保各类设备、仪器仪表、水管线路运行正常</w:t>
            </w:r>
            <w:r>
              <w:rPr>
                <w:rFonts w:hint="eastAsia" w:eastAsia="宋体" w:cs="Calibri"/>
                <w:b w:val="0"/>
                <w:bCs w:val="0"/>
                <w:color w:val="auto"/>
                <w:kern w:val="0"/>
                <w:szCs w:val="21"/>
                <w:highlight w:val="none"/>
                <w:lang w:val="en-US" w:eastAsia="zh-CN"/>
              </w:rPr>
              <w:t>。</w:t>
            </w:r>
          </w:p>
        </w:tc>
      </w:tr>
      <w:tr w14:paraId="33828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14:paraId="70A3222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p>
        </w:tc>
        <w:tc>
          <w:tcPr>
            <w:tcW w:w="3348" w:type="dxa"/>
            <w:vMerge w:val="continue"/>
            <w:noWrap w:val="0"/>
            <w:vAlign w:val="center"/>
          </w:tcPr>
          <w:p w14:paraId="66ACB8C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10020" w:type="dxa"/>
            <w:noWrap w:val="0"/>
            <w:vAlign w:val="center"/>
          </w:tcPr>
          <w:p w14:paraId="65E63FE3">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（4）</w:t>
            </w:r>
            <w:r>
              <w:rPr>
                <w:rFonts w:hint="eastAsia" w:ascii="Calibri" w:hAnsi="Calibri" w:eastAsia="宋体" w:cs="Calibri"/>
                <w:b w:val="0"/>
                <w:bCs w:val="0"/>
                <w:color w:val="auto"/>
                <w:kern w:val="0"/>
                <w:szCs w:val="21"/>
                <w:highlight w:val="none"/>
                <w:lang w:val="en-US" w:eastAsia="zh-CN"/>
              </w:rPr>
              <w:t>每年至少</w:t>
            </w:r>
            <w:r>
              <w:rPr>
                <w:rFonts w:hint="eastAsia" w:cs="Calibri"/>
                <w:b w:val="0"/>
                <w:bCs w:val="0"/>
                <w:color w:val="auto"/>
                <w:kern w:val="0"/>
                <w:szCs w:val="21"/>
                <w:highlight w:val="none"/>
                <w:lang w:val="en-US" w:eastAsia="zh-CN"/>
              </w:rPr>
              <w:t>开展</w:t>
            </w:r>
            <w:r>
              <w:rPr>
                <w:rFonts w:hint="eastAsia" w:ascii="Calibri" w:hAnsi="Calibri" w:eastAsia="宋体" w:cs="Calibri"/>
                <w:b w:val="0"/>
                <w:bCs w:val="0"/>
                <w:color w:val="auto"/>
                <w:kern w:val="0"/>
                <w:szCs w:val="21"/>
                <w:highlight w:val="none"/>
                <w:lang w:val="en-US" w:eastAsia="zh-CN"/>
              </w:rPr>
              <w:t>1次锅炉水质检测，确保水质合格</w:t>
            </w:r>
            <w:r>
              <w:rPr>
                <w:rFonts w:hint="eastAsia" w:eastAsia="宋体" w:cs="Calibri"/>
                <w:b w:val="0"/>
                <w:bCs w:val="0"/>
                <w:color w:val="auto"/>
                <w:kern w:val="0"/>
                <w:szCs w:val="21"/>
                <w:highlight w:val="none"/>
                <w:lang w:val="en-US" w:eastAsia="zh-CN"/>
              </w:rPr>
              <w:t>。</w:t>
            </w:r>
          </w:p>
        </w:tc>
      </w:tr>
      <w:tr w14:paraId="51FE5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14:paraId="14ED13F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p>
        </w:tc>
        <w:tc>
          <w:tcPr>
            <w:tcW w:w="3348" w:type="dxa"/>
            <w:vMerge w:val="continue"/>
            <w:noWrap w:val="0"/>
            <w:vAlign w:val="center"/>
          </w:tcPr>
          <w:p w14:paraId="1B9AE56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10020" w:type="dxa"/>
            <w:noWrap w:val="0"/>
            <w:vAlign w:val="center"/>
          </w:tcPr>
          <w:p w14:paraId="60B486E8">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（5）按锅炉厂家制定的检修规程对锅炉进行检修。</w:t>
            </w:r>
          </w:p>
        </w:tc>
      </w:tr>
      <w:tr w14:paraId="06888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restart"/>
            <w:noWrap w:val="0"/>
            <w:vAlign w:val="center"/>
          </w:tcPr>
          <w:p w14:paraId="0B4C6FC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r>
              <w:rPr>
                <w:rFonts w:hint="eastAsia"/>
                <w:highlight w:val="none"/>
                <w:lang w:val="en-US" w:eastAsia="zh-CN"/>
              </w:rPr>
              <w:t>9</w:t>
            </w:r>
          </w:p>
        </w:tc>
        <w:tc>
          <w:tcPr>
            <w:tcW w:w="3348" w:type="dxa"/>
            <w:vMerge w:val="restart"/>
            <w:noWrap w:val="0"/>
            <w:vAlign w:val="center"/>
          </w:tcPr>
          <w:p w14:paraId="05E28BD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highlight w:val="none"/>
                <w:lang w:val="en-US" w:eastAsia="zh-CN"/>
              </w:rPr>
            </w:pPr>
            <w:r>
              <w:rPr>
                <w:rFonts w:hint="eastAsia"/>
                <w:highlight w:val="none"/>
                <w:lang w:val="en-US" w:eastAsia="zh-CN"/>
              </w:rPr>
              <w:t>采暖系统</w:t>
            </w:r>
          </w:p>
        </w:tc>
        <w:tc>
          <w:tcPr>
            <w:tcW w:w="10020" w:type="dxa"/>
            <w:noWrap w:val="0"/>
            <w:vAlign w:val="center"/>
          </w:tcPr>
          <w:p w14:paraId="087963EB">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（1）</w:t>
            </w:r>
            <w:r>
              <w:rPr>
                <w:rFonts w:hint="default" w:ascii="Calibri" w:hAnsi="Calibri" w:eastAsia="宋体" w:cs="Calibri"/>
                <w:b w:val="0"/>
                <w:bCs w:val="0"/>
                <w:color w:val="auto"/>
                <w:kern w:val="0"/>
                <w:szCs w:val="21"/>
                <w:highlight w:val="none"/>
                <w:lang w:val="en-US" w:eastAsia="zh-CN"/>
              </w:rPr>
              <w:t>定期检查供暖管道、阀门运行情况，确保正常无隐患</w:t>
            </w:r>
            <w:r>
              <w:rPr>
                <w:rFonts w:hint="eastAsia" w:cs="Calibri"/>
                <w:b w:val="0"/>
                <w:bCs w:val="0"/>
                <w:color w:val="auto"/>
                <w:kern w:val="0"/>
                <w:szCs w:val="21"/>
                <w:highlight w:val="none"/>
                <w:lang w:val="en-US" w:eastAsia="zh-CN"/>
              </w:rPr>
              <w:t>。</w:t>
            </w:r>
          </w:p>
        </w:tc>
      </w:tr>
      <w:tr w14:paraId="64055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14:paraId="1485B85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p>
        </w:tc>
        <w:tc>
          <w:tcPr>
            <w:tcW w:w="3348" w:type="dxa"/>
            <w:vMerge w:val="continue"/>
            <w:noWrap w:val="0"/>
            <w:vAlign w:val="center"/>
          </w:tcPr>
          <w:p w14:paraId="6AC31A1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10020" w:type="dxa"/>
            <w:noWrap w:val="0"/>
            <w:vAlign w:val="center"/>
          </w:tcPr>
          <w:p w14:paraId="56A14DEB">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（2）</w:t>
            </w:r>
            <w:r>
              <w:rPr>
                <w:rFonts w:hint="default" w:ascii="Calibri" w:hAnsi="Calibri" w:eastAsia="宋体" w:cs="Calibri"/>
                <w:b w:val="0"/>
                <w:bCs w:val="0"/>
                <w:color w:val="auto"/>
                <w:kern w:val="0"/>
                <w:szCs w:val="21"/>
                <w:highlight w:val="none"/>
                <w:lang w:val="en-US" w:eastAsia="zh-CN"/>
              </w:rPr>
              <w:t>负责暖气片、阀门龙头等新装布置及旧装拆除、日常维修更换及管线的跑、冒、滴、漏的维修</w:t>
            </w:r>
            <w:r>
              <w:rPr>
                <w:rFonts w:hint="eastAsia" w:eastAsia="宋体" w:cs="Calibri"/>
                <w:b w:val="0"/>
                <w:bCs w:val="0"/>
                <w:color w:val="auto"/>
                <w:kern w:val="0"/>
                <w:szCs w:val="21"/>
                <w:highlight w:val="none"/>
                <w:lang w:val="en-US" w:eastAsia="zh-CN"/>
              </w:rPr>
              <w:t>。</w:t>
            </w:r>
          </w:p>
        </w:tc>
      </w:tr>
      <w:tr w14:paraId="2B10D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14:paraId="2C24AF6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p>
        </w:tc>
        <w:tc>
          <w:tcPr>
            <w:tcW w:w="3348" w:type="dxa"/>
            <w:vMerge w:val="continue"/>
            <w:noWrap w:val="0"/>
            <w:vAlign w:val="center"/>
          </w:tcPr>
          <w:p w14:paraId="6CA799B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highlight w:val="none"/>
                <w:lang w:val="en-US" w:eastAsia="zh-CN"/>
              </w:rPr>
            </w:pPr>
          </w:p>
        </w:tc>
        <w:tc>
          <w:tcPr>
            <w:tcW w:w="10020" w:type="dxa"/>
            <w:noWrap w:val="0"/>
            <w:vAlign w:val="center"/>
          </w:tcPr>
          <w:p w14:paraId="4DE23626">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（3）</w:t>
            </w:r>
            <w:r>
              <w:rPr>
                <w:rFonts w:hint="default" w:ascii="Calibri" w:hAnsi="Calibri" w:eastAsia="宋体" w:cs="Calibri"/>
                <w:b w:val="0"/>
                <w:bCs w:val="0"/>
                <w:color w:val="auto"/>
                <w:kern w:val="0"/>
                <w:szCs w:val="21"/>
                <w:highlight w:val="none"/>
                <w:lang w:val="en-US" w:eastAsia="zh-CN"/>
              </w:rPr>
              <w:t>做好供暖前检查等相关准备工作</w:t>
            </w:r>
            <w:r>
              <w:rPr>
                <w:rFonts w:hint="eastAsia" w:cs="Calibri"/>
                <w:b w:val="0"/>
                <w:bCs w:val="0"/>
                <w:color w:val="auto"/>
                <w:kern w:val="0"/>
                <w:szCs w:val="21"/>
                <w:highlight w:val="none"/>
                <w:lang w:val="en-US" w:eastAsia="zh-CN"/>
              </w:rPr>
              <w:t>。</w:t>
            </w:r>
          </w:p>
        </w:tc>
      </w:tr>
      <w:tr w14:paraId="4160C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14:paraId="5C3F5BF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p>
        </w:tc>
        <w:tc>
          <w:tcPr>
            <w:tcW w:w="3348" w:type="dxa"/>
            <w:vMerge w:val="continue"/>
            <w:noWrap w:val="0"/>
            <w:vAlign w:val="center"/>
          </w:tcPr>
          <w:p w14:paraId="07043D5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10020" w:type="dxa"/>
            <w:noWrap w:val="0"/>
            <w:vAlign w:val="center"/>
          </w:tcPr>
          <w:p w14:paraId="1AA42CAF">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（4）</w:t>
            </w:r>
            <w:r>
              <w:rPr>
                <w:rFonts w:hint="default" w:ascii="Calibri" w:hAnsi="Calibri" w:eastAsia="宋体" w:cs="Calibri"/>
                <w:b w:val="0"/>
                <w:bCs w:val="0"/>
                <w:color w:val="auto"/>
                <w:kern w:val="0"/>
                <w:szCs w:val="21"/>
                <w:highlight w:val="none"/>
                <w:lang w:val="en-US" w:eastAsia="zh-CN"/>
              </w:rPr>
              <w:t>暖气片上水前，提前通知采购人</w:t>
            </w:r>
            <w:r>
              <w:rPr>
                <w:rFonts w:hint="eastAsia" w:eastAsia="宋体" w:cs="Calibri"/>
                <w:b w:val="0"/>
                <w:bCs w:val="0"/>
                <w:color w:val="auto"/>
                <w:kern w:val="0"/>
                <w:szCs w:val="21"/>
                <w:highlight w:val="none"/>
                <w:lang w:val="en-US" w:eastAsia="zh-CN"/>
              </w:rPr>
              <w:t>。</w:t>
            </w:r>
          </w:p>
        </w:tc>
      </w:tr>
      <w:tr w14:paraId="38E17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14:paraId="4D05202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p>
        </w:tc>
        <w:tc>
          <w:tcPr>
            <w:tcW w:w="3348" w:type="dxa"/>
            <w:vMerge w:val="continue"/>
            <w:noWrap w:val="0"/>
            <w:vAlign w:val="center"/>
          </w:tcPr>
          <w:p w14:paraId="3D424FF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10020" w:type="dxa"/>
            <w:noWrap w:val="0"/>
            <w:vAlign w:val="center"/>
          </w:tcPr>
          <w:p w14:paraId="7C6D26C4">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（5）</w:t>
            </w:r>
            <w:r>
              <w:rPr>
                <w:rFonts w:hint="default" w:ascii="Calibri" w:hAnsi="Calibri" w:eastAsia="宋体" w:cs="Calibri"/>
                <w:b w:val="0"/>
                <w:bCs w:val="0"/>
                <w:color w:val="auto"/>
                <w:kern w:val="0"/>
                <w:szCs w:val="21"/>
                <w:highlight w:val="none"/>
                <w:lang w:val="en-US" w:eastAsia="zh-CN"/>
              </w:rPr>
              <w:t>供暖期间做好日常检查、维护、抢修、登记上报等工作</w:t>
            </w:r>
            <w:r>
              <w:rPr>
                <w:rFonts w:hint="eastAsia" w:eastAsia="宋体" w:cs="Calibri"/>
                <w:b w:val="0"/>
                <w:bCs w:val="0"/>
                <w:color w:val="auto"/>
                <w:kern w:val="0"/>
                <w:szCs w:val="21"/>
                <w:highlight w:val="none"/>
                <w:lang w:val="en-US" w:eastAsia="zh-CN"/>
              </w:rPr>
              <w:t>。</w:t>
            </w:r>
          </w:p>
        </w:tc>
      </w:tr>
      <w:tr w14:paraId="6FB02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Merge w:val="continue"/>
            <w:noWrap w:val="0"/>
            <w:vAlign w:val="center"/>
          </w:tcPr>
          <w:p w14:paraId="09F293F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p>
        </w:tc>
        <w:tc>
          <w:tcPr>
            <w:tcW w:w="3348" w:type="dxa"/>
            <w:vMerge w:val="continue"/>
            <w:noWrap w:val="0"/>
            <w:vAlign w:val="center"/>
          </w:tcPr>
          <w:p w14:paraId="4D63842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10020" w:type="dxa"/>
            <w:noWrap w:val="0"/>
            <w:vAlign w:val="center"/>
          </w:tcPr>
          <w:p w14:paraId="0DAE9922">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（6）</w:t>
            </w:r>
            <w:r>
              <w:rPr>
                <w:rFonts w:hint="default" w:ascii="Calibri" w:hAnsi="Calibri" w:eastAsia="宋体" w:cs="Calibri"/>
                <w:b w:val="0"/>
                <w:bCs w:val="0"/>
                <w:color w:val="auto"/>
                <w:kern w:val="0"/>
                <w:szCs w:val="21"/>
                <w:highlight w:val="none"/>
                <w:lang w:val="en-US" w:eastAsia="zh-CN"/>
              </w:rPr>
              <w:t>根据天气情况适时调节供暖设备运行工况，节约能源。</w:t>
            </w:r>
          </w:p>
        </w:tc>
      </w:tr>
    </w:tbl>
    <w:p w14:paraId="7920610F">
      <w:pPr>
        <w:pStyle w:val="17"/>
        <w:rPr>
          <w:rFonts w:hint="default"/>
          <w:highlight w:val="none"/>
          <w:lang w:val="en-US" w:eastAsia="zh-CN"/>
        </w:rPr>
      </w:pPr>
      <w:r>
        <w:rPr>
          <w:rFonts w:hint="eastAsia" w:ascii="楷体" w:hAnsi="楷体" w:eastAsia="楷体" w:cs="楷体"/>
          <w:highlight w:val="none"/>
          <w:lang w:val="en-US" w:eastAsia="zh-CN"/>
        </w:rPr>
        <w:t>注：电梯系统、锅炉设备等设施设备的安装改造维修应当由具备相应资质的供应商完成，如供应商自身不具备，可进行分包由具有相应资质的单位完成。</w:t>
      </w:r>
      <w:r>
        <w:rPr>
          <w:rFonts w:hint="eastAsia" w:ascii="楷体" w:hAnsi="楷体" w:eastAsia="楷体" w:cs="楷体"/>
          <w:b w:val="0"/>
          <w:bCs w:val="0"/>
          <w:sz w:val="21"/>
          <w:szCs w:val="21"/>
          <w:highlight w:val="none"/>
        </w:rPr>
        <w:t>服务标准涉及的国家标准有更新的，执行国家最新标准。</w:t>
      </w:r>
    </w:p>
    <w:p w14:paraId="2654663B">
      <w:pPr>
        <w:pStyle w:val="4"/>
        <w:bidi w:val="0"/>
        <w:rPr>
          <w:rFonts w:hint="default" w:ascii="宋体" w:hAnsi="宋体" w:eastAsia="宋体" w:cs="宋体"/>
          <w:b/>
          <w:bCs/>
          <w:color w:val="auto"/>
          <w:kern w:val="44"/>
          <w:sz w:val="28"/>
          <w:szCs w:val="28"/>
          <w:highlight w:val="none"/>
          <w:lang w:val="en-US" w:eastAsia="zh-CN" w:bidi="ar-SA"/>
        </w:rPr>
      </w:pPr>
      <w:r>
        <w:rPr>
          <w:rFonts w:hint="eastAsia" w:ascii="宋体" w:hAnsi="宋体" w:eastAsia="宋体" w:cs="宋体"/>
          <w:b/>
          <w:bCs/>
          <w:color w:val="auto"/>
          <w:kern w:val="44"/>
          <w:sz w:val="28"/>
          <w:szCs w:val="28"/>
          <w:highlight w:val="none"/>
          <w:lang w:val="en-US" w:eastAsia="zh-CN" w:bidi="ar-SA"/>
        </w:rPr>
        <w:t>3.4</w:t>
      </w:r>
      <w:r>
        <w:rPr>
          <w:rFonts w:hint="default" w:ascii="宋体" w:hAnsi="宋体" w:eastAsia="宋体" w:cs="宋体"/>
          <w:b/>
          <w:bCs/>
          <w:color w:val="auto"/>
          <w:kern w:val="44"/>
          <w:sz w:val="28"/>
          <w:szCs w:val="28"/>
          <w:highlight w:val="none"/>
          <w:lang w:val="en-US" w:eastAsia="zh-CN" w:bidi="ar-SA"/>
        </w:rPr>
        <w:t>保洁服务</w:t>
      </w:r>
    </w:p>
    <w:tbl>
      <w:tblPr>
        <w:tblStyle w:val="32"/>
        <w:tblW w:w="500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974"/>
        <w:gridCol w:w="5840"/>
      </w:tblGrid>
      <w:tr w14:paraId="0A5A7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noWrap w:val="0"/>
            <w:vAlign w:val="center"/>
          </w:tcPr>
          <w:p w14:paraId="5E451475">
            <w:pPr>
              <w:pageBreakBefore w:val="0"/>
              <w:widowControl/>
              <w:kinsoku/>
              <w:wordWrap/>
              <w:overflowPunct/>
              <w:topLinePunct w:val="0"/>
              <w:bidi w:val="0"/>
              <w:snapToGrid w:val="0"/>
              <w:spacing w:line="300" w:lineRule="auto"/>
              <w:ind w:left="0"/>
              <w:jc w:val="center"/>
              <w:rPr>
                <w:rFonts w:hint="eastAsia" w:ascii="Calibri" w:hAnsi="Calibri" w:eastAsia="宋体" w:cs="Calibri"/>
                <w:b/>
                <w:bCs/>
                <w:color w:val="auto"/>
                <w:kern w:val="0"/>
                <w:szCs w:val="21"/>
                <w:highlight w:val="none"/>
                <w:lang w:val="en-US" w:eastAsia="zh-CN"/>
              </w:rPr>
            </w:pPr>
            <w:r>
              <w:rPr>
                <w:rFonts w:hint="eastAsia" w:cs="Calibri"/>
                <w:b/>
                <w:bCs/>
                <w:color w:val="auto"/>
                <w:kern w:val="0"/>
                <w:szCs w:val="21"/>
                <w:highlight w:val="none"/>
                <w:lang w:val="en-US" w:eastAsia="zh-CN"/>
              </w:rPr>
              <w:t>序号</w:t>
            </w:r>
          </w:p>
        </w:tc>
        <w:tc>
          <w:tcPr>
            <w:tcW w:w="3372" w:type="dxa"/>
            <w:noWrap w:val="0"/>
            <w:vAlign w:val="center"/>
          </w:tcPr>
          <w:p w14:paraId="3E710F38">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Cs w:val="21"/>
                <w:highlight w:val="none"/>
              </w:rPr>
            </w:pPr>
            <w:r>
              <w:rPr>
                <w:rFonts w:hint="default" w:ascii="Calibri" w:hAnsi="Calibri" w:eastAsia="宋体" w:cs="Calibri"/>
                <w:b/>
                <w:bCs/>
                <w:color w:val="auto"/>
                <w:kern w:val="0"/>
                <w:szCs w:val="21"/>
                <w:highlight w:val="none"/>
              </w:rPr>
              <w:t>服务内容</w:t>
            </w:r>
          </w:p>
        </w:tc>
        <w:tc>
          <w:tcPr>
            <w:tcW w:w="9978" w:type="dxa"/>
            <w:noWrap w:val="0"/>
            <w:vAlign w:val="center"/>
          </w:tcPr>
          <w:p w14:paraId="5024FA88">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Cs w:val="21"/>
                <w:highlight w:val="none"/>
                <w:lang w:val="en-US" w:eastAsia="zh-CN"/>
              </w:rPr>
            </w:pPr>
            <w:r>
              <w:rPr>
                <w:rFonts w:hint="eastAsia" w:cs="Calibri"/>
                <w:b/>
                <w:bCs/>
                <w:color w:val="auto"/>
                <w:kern w:val="0"/>
                <w:szCs w:val="21"/>
                <w:highlight w:val="none"/>
                <w:lang w:val="en-US" w:eastAsia="zh-CN"/>
              </w:rPr>
              <w:t>服务标准</w:t>
            </w:r>
          </w:p>
        </w:tc>
      </w:tr>
      <w:tr w14:paraId="2EE00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restart"/>
            <w:noWrap w:val="0"/>
            <w:vAlign w:val="center"/>
          </w:tcPr>
          <w:p w14:paraId="1022B70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lang w:val="en-US" w:eastAsia="zh-CN"/>
              </w:rPr>
            </w:pPr>
            <w:r>
              <w:rPr>
                <w:rFonts w:hint="eastAsia"/>
                <w:highlight w:val="none"/>
                <w:lang w:val="en-US" w:eastAsia="zh-CN"/>
              </w:rPr>
              <w:t>1</w:t>
            </w:r>
          </w:p>
        </w:tc>
        <w:tc>
          <w:tcPr>
            <w:tcW w:w="3372" w:type="dxa"/>
            <w:vMerge w:val="restart"/>
            <w:noWrap w:val="0"/>
            <w:vAlign w:val="center"/>
          </w:tcPr>
          <w:p w14:paraId="0C9D30F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r>
              <w:rPr>
                <w:rFonts w:hint="eastAsia"/>
                <w:highlight w:val="none"/>
                <w:lang w:val="en-US" w:eastAsia="zh-CN"/>
              </w:rPr>
              <w:t>基本要求</w:t>
            </w:r>
          </w:p>
        </w:tc>
        <w:tc>
          <w:tcPr>
            <w:tcW w:w="9978" w:type="dxa"/>
            <w:noWrap w:val="0"/>
            <w:vAlign w:val="center"/>
          </w:tcPr>
          <w:p w14:paraId="29EF98AF">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建立保洁服务的工作制度及工作计划，并按照执行</w:t>
            </w:r>
            <w:r>
              <w:rPr>
                <w:rFonts w:hint="eastAsia" w:eastAsia="宋体" w:cs="Calibri"/>
                <w:b w:val="0"/>
                <w:bCs w:val="0"/>
                <w:color w:val="auto"/>
                <w:kern w:val="0"/>
                <w:szCs w:val="21"/>
                <w:highlight w:val="none"/>
                <w:lang w:val="en-US" w:eastAsia="zh-CN"/>
              </w:rPr>
              <w:t>。</w:t>
            </w:r>
          </w:p>
        </w:tc>
      </w:tr>
      <w:tr w14:paraId="27C12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continue"/>
            <w:noWrap w:val="0"/>
            <w:vAlign w:val="center"/>
          </w:tcPr>
          <w:p w14:paraId="762707A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72" w:type="dxa"/>
            <w:vMerge w:val="continue"/>
            <w:noWrap w:val="0"/>
            <w:vAlign w:val="center"/>
          </w:tcPr>
          <w:p w14:paraId="70ABFA1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highlight w:val="none"/>
                <w:lang w:val="en-US" w:eastAsia="zh-CN"/>
              </w:rPr>
            </w:pPr>
          </w:p>
        </w:tc>
        <w:tc>
          <w:tcPr>
            <w:tcW w:w="9978" w:type="dxa"/>
            <w:noWrap w:val="0"/>
            <w:vAlign w:val="center"/>
          </w:tcPr>
          <w:p w14:paraId="0D298F94">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（2）</w:t>
            </w:r>
            <w:r>
              <w:rPr>
                <w:rFonts w:hint="eastAsia" w:ascii="Calibri" w:hAnsi="Calibri" w:eastAsia="宋体" w:cs="Calibri"/>
                <w:b w:val="0"/>
                <w:bCs w:val="0"/>
                <w:color w:val="auto"/>
                <w:kern w:val="0"/>
                <w:szCs w:val="21"/>
                <w:highlight w:val="none"/>
                <w:lang w:val="en-US" w:eastAsia="zh-CN"/>
              </w:rPr>
              <w:t>做好保洁服务工作记录，记录填写规范、保存完好</w:t>
            </w:r>
            <w:r>
              <w:rPr>
                <w:rFonts w:hint="eastAsia" w:eastAsia="宋体" w:cs="Calibri"/>
                <w:b w:val="0"/>
                <w:bCs w:val="0"/>
                <w:color w:val="auto"/>
                <w:kern w:val="0"/>
                <w:szCs w:val="21"/>
                <w:highlight w:val="none"/>
                <w:lang w:val="en-US" w:eastAsia="zh-CN"/>
              </w:rPr>
              <w:t>。</w:t>
            </w:r>
          </w:p>
        </w:tc>
      </w:tr>
      <w:tr w14:paraId="34702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continue"/>
            <w:noWrap w:val="0"/>
            <w:vAlign w:val="center"/>
          </w:tcPr>
          <w:p w14:paraId="483BA5C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72" w:type="dxa"/>
            <w:vMerge w:val="continue"/>
            <w:noWrap w:val="0"/>
            <w:vAlign w:val="center"/>
          </w:tcPr>
          <w:p w14:paraId="51ED35D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highlight w:val="none"/>
                <w:lang w:val="en-US" w:eastAsia="zh-CN"/>
              </w:rPr>
            </w:pPr>
          </w:p>
        </w:tc>
        <w:tc>
          <w:tcPr>
            <w:tcW w:w="9978" w:type="dxa"/>
            <w:noWrap w:val="0"/>
            <w:vAlign w:val="center"/>
          </w:tcPr>
          <w:p w14:paraId="1A02D9CB">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（3）</w:t>
            </w:r>
            <w:r>
              <w:rPr>
                <w:rFonts w:hint="eastAsia" w:ascii="Calibri" w:hAnsi="Calibri" w:eastAsia="宋体" w:cs="Calibri"/>
                <w:b w:val="0"/>
                <w:bCs w:val="0"/>
                <w:color w:val="auto"/>
                <w:kern w:val="0"/>
                <w:szCs w:val="21"/>
                <w:highlight w:val="none"/>
                <w:lang w:val="en-US" w:eastAsia="zh-CN"/>
              </w:rPr>
              <w:t>作业时采取安全防护措施，防止对作业人员或他人造成伤害。相关耗材的环保、安全性</w:t>
            </w:r>
            <w:r>
              <w:rPr>
                <w:rFonts w:hint="eastAsia" w:cs="Calibri"/>
                <w:b w:val="0"/>
                <w:bCs w:val="0"/>
                <w:color w:val="auto"/>
                <w:kern w:val="0"/>
                <w:szCs w:val="21"/>
                <w:highlight w:val="none"/>
                <w:lang w:val="en-US" w:eastAsia="zh-CN"/>
              </w:rPr>
              <w:t>等</w:t>
            </w:r>
            <w:r>
              <w:rPr>
                <w:rFonts w:hint="eastAsia" w:ascii="Calibri" w:hAnsi="Calibri" w:eastAsia="宋体" w:cs="Calibri"/>
                <w:b w:val="0"/>
                <w:bCs w:val="0"/>
                <w:color w:val="auto"/>
                <w:kern w:val="0"/>
                <w:szCs w:val="21"/>
                <w:highlight w:val="none"/>
                <w:lang w:val="en-US" w:eastAsia="zh-CN"/>
              </w:rPr>
              <w:t>应</w:t>
            </w:r>
            <w:r>
              <w:rPr>
                <w:rFonts w:hint="eastAsia" w:cs="Calibri"/>
                <w:b w:val="0"/>
                <w:bCs w:val="0"/>
                <w:color w:val="auto"/>
                <w:kern w:val="0"/>
                <w:szCs w:val="21"/>
                <w:highlight w:val="none"/>
                <w:lang w:val="en-US" w:eastAsia="zh-CN"/>
              </w:rPr>
              <w:t>当</w:t>
            </w:r>
            <w:r>
              <w:rPr>
                <w:rFonts w:hint="eastAsia" w:ascii="Calibri" w:hAnsi="Calibri" w:eastAsia="宋体" w:cs="Calibri"/>
                <w:b w:val="0"/>
                <w:bCs w:val="0"/>
                <w:color w:val="auto"/>
                <w:kern w:val="0"/>
                <w:szCs w:val="21"/>
                <w:highlight w:val="none"/>
                <w:lang w:val="en-US" w:eastAsia="zh-CN"/>
              </w:rPr>
              <w:t>符合</w:t>
            </w:r>
            <w:r>
              <w:rPr>
                <w:rFonts w:hint="eastAsia" w:cs="Calibri"/>
                <w:b w:val="0"/>
                <w:bCs w:val="0"/>
                <w:color w:val="auto"/>
                <w:kern w:val="0"/>
                <w:szCs w:val="21"/>
                <w:highlight w:val="none"/>
                <w:lang w:val="en-US" w:eastAsia="zh-CN"/>
              </w:rPr>
              <w:t>国家相关</w:t>
            </w:r>
            <w:r>
              <w:rPr>
                <w:rFonts w:hint="eastAsia" w:ascii="Calibri" w:hAnsi="Calibri" w:eastAsia="宋体" w:cs="Calibri"/>
                <w:b w:val="0"/>
                <w:bCs w:val="0"/>
                <w:color w:val="auto"/>
                <w:kern w:val="0"/>
                <w:szCs w:val="21"/>
                <w:highlight w:val="none"/>
                <w:lang w:val="en-US" w:eastAsia="zh-CN"/>
              </w:rPr>
              <w:t>规定要求</w:t>
            </w:r>
            <w:r>
              <w:rPr>
                <w:rFonts w:hint="eastAsia" w:eastAsia="宋体" w:cs="Calibri"/>
                <w:b w:val="0"/>
                <w:bCs w:val="0"/>
                <w:color w:val="auto"/>
                <w:kern w:val="0"/>
                <w:szCs w:val="21"/>
                <w:highlight w:val="none"/>
                <w:lang w:val="en-US" w:eastAsia="zh-CN"/>
              </w:rPr>
              <w:t>。</w:t>
            </w:r>
          </w:p>
        </w:tc>
      </w:tr>
      <w:tr w14:paraId="34B0A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continue"/>
            <w:noWrap w:val="0"/>
            <w:vAlign w:val="center"/>
          </w:tcPr>
          <w:p w14:paraId="4A33F5A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lang w:val="en-US" w:eastAsia="zh-CN"/>
              </w:rPr>
            </w:pPr>
          </w:p>
        </w:tc>
        <w:tc>
          <w:tcPr>
            <w:tcW w:w="3372" w:type="dxa"/>
            <w:vMerge w:val="continue"/>
            <w:noWrap w:val="0"/>
            <w:vAlign w:val="center"/>
          </w:tcPr>
          <w:p w14:paraId="13B6AFB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978" w:type="dxa"/>
            <w:noWrap w:val="0"/>
            <w:vAlign w:val="center"/>
          </w:tcPr>
          <w:p w14:paraId="0BEF237A">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（4）</w:t>
            </w:r>
            <w:r>
              <w:rPr>
                <w:rFonts w:hint="eastAsia" w:ascii="Calibri" w:hAnsi="Calibri" w:eastAsia="宋体" w:cs="Calibri"/>
                <w:b w:val="0"/>
                <w:bCs w:val="0"/>
                <w:color w:val="auto"/>
                <w:kern w:val="0"/>
                <w:szCs w:val="21"/>
                <w:highlight w:val="none"/>
                <w:lang w:val="en-US" w:eastAsia="zh-CN"/>
              </w:rPr>
              <w:t>进入保密区域时，有</w:t>
            </w:r>
            <w:r>
              <w:rPr>
                <w:rFonts w:hint="eastAsia" w:eastAsia="宋体" w:cs="Calibri"/>
                <w:b w:val="0"/>
                <w:bCs w:val="0"/>
                <w:color w:val="auto"/>
                <w:kern w:val="0"/>
                <w:szCs w:val="21"/>
                <w:highlight w:val="none"/>
                <w:lang w:val="en-US" w:eastAsia="zh-CN"/>
              </w:rPr>
              <w:t>采购人</w:t>
            </w:r>
            <w:r>
              <w:rPr>
                <w:rFonts w:hint="eastAsia" w:ascii="Calibri" w:hAnsi="Calibri" w:eastAsia="宋体" w:cs="Calibri"/>
                <w:b w:val="0"/>
                <w:bCs w:val="0"/>
                <w:color w:val="auto"/>
                <w:kern w:val="0"/>
                <w:szCs w:val="21"/>
                <w:highlight w:val="none"/>
                <w:lang w:val="en-US" w:eastAsia="zh-CN"/>
              </w:rPr>
              <w:t>相关人员</w:t>
            </w:r>
            <w:r>
              <w:rPr>
                <w:rFonts w:hint="eastAsia" w:cs="Calibri"/>
                <w:b w:val="0"/>
                <w:bCs w:val="0"/>
                <w:color w:val="auto"/>
                <w:kern w:val="0"/>
                <w:szCs w:val="21"/>
                <w:highlight w:val="none"/>
                <w:lang w:val="en-US" w:eastAsia="zh-CN"/>
              </w:rPr>
              <w:t>全程</w:t>
            </w:r>
            <w:r>
              <w:rPr>
                <w:rFonts w:hint="eastAsia" w:ascii="Calibri" w:hAnsi="Calibri" w:eastAsia="宋体" w:cs="Calibri"/>
                <w:b w:val="0"/>
                <w:bCs w:val="0"/>
                <w:color w:val="auto"/>
                <w:kern w:val="0"/>
                <w:szCs w:val="21"/>
                <w:highlight w:val="none"/>
                <w:lang w:val="en-US" w:eastAsia="zh-CN"/>
              </w:rPr>
              <w:t>在场</w:t>
            </w:r>
            <w:r>
              <w:rPr>
                <w:rFonts w:hint="eastAsia" w:eastAsia="宋体" w:cs="Calibri"/>
                <w:b w:val="0"/>
                <w:bCs w:val="0"/>
                <w:color w:val="auto"/>
                <w:kern w:val="0"/>
                <w:szCs w:val="21"/>
                <w:highlight w:val="none"/>
                <w:lang w:val="en-US" w:eastAsia="zh-CN"/>
              </w:rPr>
              <w:t>。</w:t>
            </w:r>
          </w:p>
        </w:tc>
      </w:tr>
      <w:tr w14:paraId="76C7C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trPr>
        <w:tc>
          <w:tcPr>
            <w:tcW w:w="1219" w:type="dxa"/>
            <w:vMerge w:val="restart"/>
            <w:noWrap w:val="0"/>
            <w:vAlign w:val="center"/>
          </w:tcPr>
          <w:p w14:paraId="5806982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r>
              <w:rPr>
                <w:rFonts w:hint="eastAsia"/>
                <w:highlight w:val="none"/>
                <w:lang w:val="en-US" w:eastAsia="zh-CN"/>
              </w:rPr>
              <w:t>2</w:t>
            </w:r>
          </w:p>
        </w:tc>
        <w:tc>
          <w:tcPr>
            <w:tcW w:w="3372" w:type="dxa"/>
            <w:vMerge w:val="restart"/>
            <w:noWrap w:val="0"/>
            <w:vAlign w:val="center"/>
          </w:tcPr>
          <w:p w14:paraId="353D863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r>
              <w:rPr>
                <w:rFonts w:hint="default"/>
                <w:highlight w:val="none"/>
              </w:rPr>
              <w:t>办公用房区域保洁</w:t>
            </w:r>
          </w:p>
        </w:tc>
        <w:tc>
          <w:tcPr>
            <w:tcW w:w="9978" w:type="dxa"/>
            <w:noWrap w:val="0"/>
            <w:vAlign w:val="center"/>
          </w:tcPr>
          <w:p w14:paraId="7D41E8DD">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大厅、楼内公共通道</w:t>
            </w:r>
            <w:r>
              <w:rPr>
                <w:rFonts w:hint="eastAsia" w:eastAsia="宋体" w:cs="Calibri"/>
                <w:b w:val="0"/>
                <w:bCs w:val="0"/>
                <w:color w:val="auto"/>
                <w:kern w:val="0"/>
                <w:szCs w:val="21"/>
                <w:highlight w:val="none"/>
                <w:lang w:val="en-US" w:eastAsia="zh-CN"/>
              </w:rPr>
              <w:t>：</w:t>
            </w:r>
          </w:p>
          <w:p w14:paraId="0DFA7A4A">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 xml:space="preserve"> </w:t>
            </w:r>
            <w:r>
              <w:rPr>
                <w:rFonts w:hint="eastAsia" w:ascii="Calibri" w:hAnsi="Calibri" w:eastAsia="宋体" w:cs="Calibri"/>
                <w:b w:val="0"/>
                <w:bCs w:val="0"/>
                <w:color w:val="auto"/>
                <w:kern w:val="0"/>
                <w:szCs w:val="21"/>
                <w:highlight w:val="none"/>
                <w:lang w:val="en-US" w:eastAsia="zh-CN"/>
              </w:rPr>
              <w:t>①公共通道保持干净，无异味、无杂物、无积水</w:t>
            </w:r>
            <w:r>
              <w:rPr>
                <w:rFonts w:hint="eastAsia" w:eastAsia="宋体" w:cs="Calibri"/>
                <w:b w:val="0"/>
                <w:bCs w:val="0"/>
                <w:color w:val="auto"/>
                <w:kern w:val="0"/>
                <w:szCs w:val="21"/>
                <w:highlight w:val="none"/>
                <w:lang w:val="en-US" w:eastAsia="zh-CN"/>
              </w:rPr>
              <w:t>，每日</w:t>
            </w:r>
            <w:r>
              <w:rPr>
                <w:rFonts w:hint="eastAsia" w:cs="Calibri"/>
                <w:b w:val="0"/>
                <w:bCs w:val="0"/>
                <w:color w:val="auto"/>
                <w:kern w:val="0"/>
                <w:szCs w:val="21"/>
                <w:highlight w:val="none"/>
                <w:lang w:val="en-US" w:eastAsia="zh-CN"/>
              </w:rPr>
              <w:t>至少开展</w:t>
            </w:r>
            <w:r>
              <w:rPr>
                <w:rFonts w:hint="eastAsia" w:eastAsia="宋体" w:cs="Calibri"/>
                <w:b w:val="0"/>
                <w:bCs w:val="0"/>
                <w:color w:val="auto"/>
                <w:kern w:val="0"/>
                <w:szCs w:val="21"/>
                <w:highlight w:val="none"/>
                <w:lang w:val="en-US" w:eastAsia="zh-CN"/>
              </w:rPr>
              <w:t>1次清洁作业。</w:t>
            </w:r>
          </w:p>
          <w:p w14:paraId="70B7F340">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 xml:space="preserve"> </w:t>
            </w:r>
            <w:r>
              <w:rPr>
                <w:rFonts w:hint="eastAsia" w:ascii="Calibri" w:hAnsi="Calibri" w:eastAsia="宋体" w:cs="Calibri"/>
                <w:b w:val="0"/>
                <w:bCs w:val="0"/>
                <w:color w:val="auto"/>
                <w:kern w:val="0"/>
                <w:szCs w:val="21"/>
                <w:highlight w:val="none"/>
                <w:lang w:val="en-US" w:eastAsia="zh-CN"/>
              </w:rPr>
              <w:t>②门窗玻璃干净无尘，透光性好</w:t>
            </w:r>
            <w:r>
              <w:rPr>
                <w:rFonts w:hint="eastAsia" w:eastAsia="宋体" w:cs="Calibri"/>
                <w:b w:val="0"/>
                <w:bCs w:val="0"/>
                <w:color w:val="auto"/>
                <w:kern w:val="0"/>
                <w:szCs w:val="21"/>
                <w:highlight w:val="none"/>
                <w:lang w:val="en-US" w:eastAsia="zh-CN"/>
              </w:rPr>
              <w:t>，每周</w:t>
            </w:r>
            <w:r>
              <w:rPr>
                <w:rFonts w:hint="eastAsia" w:cs="Calibri"/>
                <w:b w:val="0"/>
                <w:bCs w:val="0"/>
                <w:color w:val="auto"/>
                <w:kern w:val="0"/>
                <w:szCs w:val="21"/>
                <w:highlight w:val="none"/>
                <w:lang w:val="en-US" w:eastAsia="zh-CN"/>
              </w:rPr>
              <w:t>至少开展</w:t>
            </w:r>
            <w:r>
              <w:rPr>
                <w:rFonts w:hint="eastAsia" w:eastAsia="宋体" w:cs="Calibri"/>
                <w:b w:val="0"/>
                <w:bCs w:val="0"/>
                <w:color w:val="auto"/>
                <w:kern w:val="0"/>
                <w:szCs w:val="21"/>
                <w:highlight w:val="none"/>
                <w:lang w:val="en-US" w:eastAsia="zh-CN"/>
              </w:rPr>
              <w:t>1次清洁作业</w:t>
            </w:r>
            <w:r>
              <w:rPr>
                <w:rFonts w:hint="eastAsia" w:ascii="Calibri" w:hAnsi="Calibri" w:eastAsia="宋体" w:cs="Calibri"/>
                <w:b w:val="0"/>
                <w:bCs w:val="0"/>
                <w:color w:val="auto"/>
                <w:kern w:val="0"/>
                <w:szCs w:val="21"/>
                <w:highlight w:val="none"/>
                <w:lang w:val="en-US" w:eastAsia="zh-CN"/>
              </w:rPr>
              <w:t>。</w:t>
            </w:r>
          </w:p>
          <w:p w14:paraId="5C5451E8">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color w:val="auto"/>
                <w:szCs w:val="21"/>
                <w:highlight w:val="none"/>
                <w:u w:val="none"/>
                <w:lang w:val="en-US" w:eastAsia="zh-CN"/>
              </w:rPr>
            </w:pPr>
            <w:r>
              <w:rPr>
                <w:rFonts w:hint="eastAsia" w:cs="Calibri"/>
                <w:b w:val="0"/>
                <w:bCs w:val="0"/>
                <w:color w:val="auto"/>
                <w:kern w:val="0"/>
                <w:szCs w:val="21"/>
                <w:highlight w:val="none"/>
                <w:lang w:val="en-US" w:eastAsia="zh-CN"/>
              </w:rPr>
              <w:t xml:space="preserve"> </w:t>
            </w:r>
            <w:r>
              <w:rPr>
                <w:rFonts w:hint="eastAsia" w:ascii="Calibri" w:hAnsi="Calibri" w:eastAsia="宋体" w:cs="Calibri"/>
                <w:b w:val="0"/>
                <w:bCs w:val="0"/>
                <w:color w:val="auto"/>
                <w:kern w:val="0"/>
                <w:szCs w:val="21"/>
                <w:highlight w:val="none"/>
                <w:lang w:val="en-US" w:eastAsia="zh-CN"/>
              </w:rPr>
              <w:t>③指示牌干净，无污渍</w:t>
            </w:r>
            <w:r>
              <w:rPr>
                <w:rFonts w:hint="eastAsia" w:eastAsia="宋体" w:cs="Calibri"/>
                <w:b w:val="0"/>
                <w:bCs w:val="0"/>
                <w:color w:val="auto"/>
                <w:kern w:val="0"/>
                <w:szCs w:val="21"/>
                <w:highlight w:val="none"/>
                <w:lang w:val="en-US" w:eastAsia="zh-CN"/>
              </w:rPr>
              <w:t>，每日</w:t>
            </w:r>
            <w:r>
              <w:rPr>
                <w:rFonts w:hint="eastAsia" w:cs="Calibri"/>
                <w:b w:val="0"/>
                <w:bCs w:val="0"/>
                <w:color w:val="auto"/>
                <w:kern w:val="0"/>
                <w:szCs w:val="21"/>
                <w:highlight w:val="none"/>
                <w:lang w:val="en-US" w:eastAsia="zh-CN"/>
              </w:rPr>
              <w:t>至少开展</w:t>
            </w:r>
            <w:r>
              <w:rPr>
                <w:rFonts w:hint="eastAsia" w:eastAsia="宋体" w:cs="Calibri"/>
                <w:b w:val="0"/>
                <w:bCs w:val="0"/>
                <w:color w:val="auto"/>
                <w:kern w:val="0"/>
                <w:szCs w:val="21"/>
                <w:highlight w:val="none"/>
                <w:lang w:val="en-US" w:eastAsia="zh-CN"/>
              </w:rPr>
              <w:t>1次清洁作业。</w:t>
            </w:r>
          </w:p>
        </w:tc>
      </w:tr>
      <w:tr w14:paraId="3324B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219" w:type="dxa"/>
            <w:vMerge w:val="continue"/>
            <w:noWrap w:val="0"/>
            <w:vAlign w:val="center"/>
          </w:tcPr>
          <w:p w14:paraId="07C0E5F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72" w:type="dxa"/>
            <w:vMerge w:val="continue"/>
            <w:noWrap w:val="0"/>
            <w:vAlign w:val="center"/>
          </w:tcPr>
          <w:p w14:paraId="6CE216E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978" w:type="dxa"/>
            <w:noWrap w:val="0"/>
            <w:vAlign w:val="center"/>
          </w:tcPr>
          <w:p w14:paraId="619ABEBC">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（2）</w:t>
            </w:r>
            <w:r>
              <w:rPr>
                <w:rFonts w:hint="eastAsia" w:ascii="Calibri" w:hAnsi="Calibri" w:eastAsia="宋体" w:cs="Calibri"/>
                <w:b w:val="0"/>
                <w:bCs w:val="0"/>
                <w:color w:val="auto"/>
                <w:kern w:val="0"/>
                <w:szCs w:val="21"/>
                <w:highlight w:val="none"/>
                <w:lang w:val="en-US" w:eastAsia="zh-CN"/>
              </w:rPr>
              <w:t>电器、消防等设施设备</w:t>
            </w:r>
            <w:r>
              <w:rPr>
                <w:rFonts w:hint="eastAsia" w:eastAsia="宋体" w:cs="Calibri"/>
                <w:b w:val="0"/>
                <w:bCs w:val="0"/>
                <w:color w:val="auto"/>
                <w:kern w:val="0"/>
                <w:szCs w:val="21"/>
                <w:highlight w:val="none"/>
                <w:lang w:val="en-US" w:eastAsia="zh-CN"/>
              </w:rPr>
              <w:t>：</w:t>
            </w:r>
          </w:p>
          <w:p w14:paraId="55F88652">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 xml:space="preserve"> </w:t>
            </w:r>
            <w:r>
              <w:rPr>
                <w:rFonts w:hint="eastAsia" w:ascii="Calibri" w:hAnsi="Calibri" w:eastAsia="宋体" w:cs="Calibri"/>
                <w:b w:val="0"/>
                <w:bCs w:val="0"/>
                <w:color w:val="auto"/>
                <w:kern w:val="0"/>
                <w:szCs w:val="21"/>
                <w:highlight w:val="none"/>
                <w:lang w:val="en-US" w:eastAsia="zh-CN"/>
              </w:rPr>
              <w:t>①配电箱、设备机房、</w:t>
            </w:r>
            <w:r>
              <w:rPr>
                <w:rFonts w:hint="eastAsia" w:cs="Calibri"/>
                <w:b w:val="0"/>
                <w:bCs w:val="0"/>
                <w:color w:val="auto"/>
                <w:kern w:val="0"/>
                <w:szCs w:val="21"/>
                <w:highlight w:val="none"/>
                <w:lang w:val="en-US" w:eastAsia="zh-CN"/>
              </w:rPr>
              <w:t>会议室音视频设备、</w:t>
            </w:r>
            <w:r>
              <w:rPr>
                <w:rFonts w:hint="eastAsia" w:ascii="Calibri" w:hAnsi="Calibri" w:eastAsia="宋体" w:cs="Calibri"/>
                <w:b w:val="0"/>
                <w:bCs w:val="0"/>
                <w:color w:val="auto"/>
                <w:kern w:val="0"/>
                <w:szCs w:val="21"/>
                <w:highlight w:val="none"/>
                <w:lang w:val="en-US" w:eastAsia="zh-CN"/>
              </w:rPr>
              <w:t>消防栓及开关插座等保持表面干净，无尘无污迹</w:t>
            </w:r>
            <w:r>
              <w:rPr>
                <w:rFonts w:hint="eastAsia" w:eastAsia="宋体" w:cs="Calibri"/>
                <w:b w:val="0"/>
                <w:bCs w:val="0"/>
                <w:color w:val="auto"/>
                <w:kern w:val="0"/>
                <w:szCs w:val="21"/>
                <w:highlight w:val="none"/>
                <w:lang w:val="en-US" w:eastAsia="zh-CN"/>
              </w:rPr>
              <w:t>，每月</w:t>
            </w:r>
            <w:r>
              <w:rPr>
                <w:rFonts w:hint="eastAsia" w:cs="Calibri"/>
                <w:b w:val="0"/>
                <w:bCs w:val="0"/>
                <w:color w:val="auto"/>
                <w:kern w:val="0"/>
                <w:szCs w:val="21"/>
                <w:highlight w:val="none"/>
                <w:lang w:val="en-US" w:eastAsia="zh-CN"/>
              </w:rPr>
              <w:t>至少开展</w:t>
            </w:r>
            <w:r>
              <w:rPr>
                <w:rFonts w:hint="eastAsia" w:eastAsia="宋体" w:cs="Calibri"/>
                <w:b w:val="0"/>
                <w:bCs w:val="0"/>
                <w:color w:val="auto"/>
                <w:kern w:val="0"/>
                <w:szCs w:val="21"/>
                <w:highlight w:val="none"/>
                <w:lang w:val="en-US" w:eastAsia="zh-CN"/>
              </w:rPr>
              <w:t>1次清洁作业</w:t>
            </w:r>
            <w:r>
              <w:rPr>
                <w:rFonts w:hint="eastAsia" w:ascii="Calibri" w:hAnsi="Calibri" w:eastAsia="宋体" w:cs="Calibri"/>
                <w:b w:val="0"/>
                <w:bCs w:val="0"/>
                <w:color w:val="auto"/>
                <w:kern w:val="0"/>
                <w:szCs w:val="21"/>
                <w:highlight w:val="none"/>
                <w:lang w:val="en-US" w:eastAsia="zh-CN"/>
              </w:rPr>
              <w:t>。</w:t>
            </w:r>
          </w:p>
          <w:p w14:paraId="13B42DA0">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color w:val="auto"/>
                <w:szCs w:val="21"/>
                <w:highlight w:val="none"/>
                <w:u w:val="none"/>
                <w:lang w:val="en-US" w:eastAsia="zh-CN"/>
              </w:rPr>
            </w:pPr>
            <w:r>
              <w:rPr>
                <w:rFonts w:hint="eastAsia" w:cs="Calibri"/>
                <w:b w:val="0"/>
                <w:bCs w:val="0"/>
                <w:color w:val="auto"/>
                <w:kern w:val="0"/>
                <w:szCs w:val="21"/>
                <w:highlight w:val="none"/>
                <w:lang w:val="en-US" w:eastAsia="zh-CN"/>
              </w:rPr>
              <w:t xml:space="preserve"> </w:t>
            </w:r>
            <w:r>
              <w:rPr>
                <w:rFonts w:hint="eastAsia" w:ascii="Calibri" w:hAnsi="Calibri" w:eastAsia="宋体" w:cs="Calibri"/>
                <w:b w:val="0"/>
                <w:bCs w:val="0"/>
                <w:color w:val="auto"/>
                <w:kern w:val="0"/>
                <w:szCs w:val="21"/>
                <w:highlight w:val="none"/>
                <w:lang w:val="en-US" w:eastAsia="zh-CN"/>
              </w:rPr>
              <w:t>②监控摄像头、门禁系统等表面光亮，无尘、无斑点</w:t>
            </w:r>
            <w:r>
              <w:rPr>
                <w:rFonts w:hint="eastAsia" w:eastAsia="宋体" w:cs="Calibri"/>
                <w:b w:val="0"/>
                <w:bCs w:val="0"/>
                <w:color w:val="auto"/>
                <w:kern w:val="0"/>
                <w:szCs w:val="21"/>
                <w:highlight w:val="none"/>
                <w:lang w:val="en-US" w:eastAsia="zh-CN"/>
              </w:rPr>
              <w:t>，每月</w:t>
            </w:r>
            <w:r>
              <w:rPr>
                <w:rFonts w:hint="eastAsia" w:cs="Calibri"/>
                <w:b w:val="0"/>
                <w:bCs w:val="0"/>
                <w:color w:val="auto"/>
                <w:kern w:val="0"/>
                <w:szCs w:val="21"/>
                <w:highlight w:val="none"/>
                <w:lang w:val="en-US" w:eastAsia="zh-CN"/>
              </w:rPr>
              <w:t>至少开展</w:t>
            </w:r>
            <w:r>
              <w:rPr>
                <w:rFonts w:hint="eastAsia" w:eastAsia="宋体" w:cs="Calibri"/>
                <w:b w:val="0"/>
                <w:bCs w:val="0"/>
                <w:color w:val="auto"/>
                <w:kern w:val="0"/>
                <w:szCs w:val="21"/>
                <w:highlight w:val="none"/>
                <w:lang w:val="en-US" w:eastAsia="zh-CN"/>
              </w:rPr>
              <w:t>1次清洁作业</w:t>
            </w:r>
            <w:r>
              <w:rPr>
                <w:rFonts w:hint="eastAsia" w:ascii="Calibri" w:hAnsi="Calibri" w:eastAsia="宋体" w:cs="Calibri"/>
                <w:b w:val="0"/>
                <w:bCs w:val="0"/>
                <w:color w:val="auto"/>
                <w:kern w:val="0"/>
                <w:szCs w:val="21"/>
                <w:highlight w:val="none"/>
                <w:lang w:val="en-US" w:eastAsia="zh-CN"/>
              </w:rPr>
              <w:t>。</w:t>
            </w:r>
          </w:p>
        </w:tc>
      </w:tr>
      <w:tr w14:paraId="5A783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continue"/>
            <w:noWrap w:val="0"/>
            <w:vAlign w:val="center"/>
          </w:tcPr>
          <w:p w14:paraId="4F9EF25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72" w:type="dxa"/>
            <w:vMerge w:val="continue"/>
            <w:noWrap w:val="0"/>
            <w:vAlign w:val="center"/>
          </w:tcPr>
          <w:p w14:paraId="7A4118E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978" w:type="dxa"/>
            <w:noWrap w:val="0"/>
            <w:vAlign w:val="center"/>
          </w:tcPr>
          <w:p w14:paraId="0896C87F">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color w:val="auto"/>
                <w:szCs w:val="21"/>
                <w:highlight w:val="none"/>
                <w:u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（3）</w:t>
            </w:r>
            <w:r>
              <w:rPr>
                <w:rFonts w:hint="eastAsia" w:ascii="Calibri" w:hAnsi="Calibri" w:eastAsia="宋体" w:cs="Calibri"/>
                <w:b w:val="0"/>
                <w:bCs w:val="0"/>
                <w:color w:val="auto"/>
                <w:kern w:val="0"/>
                <w:szCs w:val="21"/>
                <w:highlight w:val="none"/>
                <w:lang w:val="en-US" w:eastAsia="zh-CN"/>
              </w:rPr>
              <w:t>楼梯及楼梯间保持干净、无异味、无杂物、无积水</w:t>
            </w:r>
            <w:r>
              <w:rPr>
                <w:rFonts w:hint="eastAsia" w:eastAsia="宋体" w:cs="Calibri"/>
                <w:b w:val="0"/>
                <w:bCs w:val="0"/>
                <w:color w:val="auto"/>
                <w:kern w:val="0"/>
                <w:szCs w:val="21"/>
                <w:highlight w:val="none"/>
                <w:lang w:val="en-US" w:eastAsia="zh-CN"/>
              </w:rPr>
              <w:t>，每日</w:t>
            </w:r>
            <w:r>
              <w:rPr>
                <w:rFonts w:hint="eastAsia" w:cs="Calibri"/>
                <w:b w:val="0"/>
                <w:bCs w:val="0"/>
                <w:color w:val="auto"/>
                <w:kern w:val="0"/>
                <w:szCs w:val="21"/>
                <w:highlight w:val="none"/>
                <w:lang w:val="en-US" w:eastAsia="zh-CN"/>
              </w:rPr>
              <w:t>至少开展</w:t>
            </w:r>
            <w:r>
              <w:rPr>
                <w:rFonts w:hint="eastAsia" w:eastAsia="宋体" w:cs="Calibri"/>
                <w:b w:val="0"/>
                <w:bCs w:val="0"/>
                <w:color w:val="auto"/>
                <w:kern w:val="0"/>
                <w:szCs w:val="21"/>
                <w:highlight w:val="none"/>
                <w:lang w:val="en-US" w:eastAsia="zh-CN"/>
              </w:rPr>
              <w:t>1次清洁作业。</w:t>
            </w:r>
          </w:p>
        </w:tc>
      </w:tr>
      <w:tr w14:paraId="42494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continue"/>
            <w:noWrap w:val="0"/>
            <w:vAlign w:val="center"/>
          </w:tcPr>
          <w:p w14:paraId="275E751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72" w:type="dxa"/>
            <w:vMerge w:val="continue"/>
            <w:noWrap w:val="0"/>
            <w:vAlign w:val="center"/>
          </w:tcPr>
          <w:p w14:paraId="6D96449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978" w:type="dxa"/>
            <w:noWrap w:val="0"/>
            <w:vAlign w:val="center"/>
          </w:tcPr>
          <w:p w14:paraId="4CC7D24C">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color w:val="auto"/>
                <w:szCs w:val="21"/>
                <w:highlight w:val="none"/>
                <w:u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（4）</w:t>
            </w:r>
            <w:r>
              <w:rPr>
                <w:rFonts w:hint="eastAsia" w:ascii="Calibri" w:hAnsi="Calibri" w:eastAsia="宋体" w:cs="Calibri"/>
                <w:b w:val="0"/>
                <w:bCs w:val="0"/>
                <w:color w:val="auto"/>
                <w:kern w:val="0"/>
                <w:szCs w:val="21"/>
                <w:highlight w:val="none"/>
                <w:lang w:val="en-US" w:eastAsia="zh-CN"/>
              </w:rPr>
              <w:t>开水间保持干净、无异味、无杂物、无积水</w:t>
            </w:r>
            <w:r>
              <w:rPr>
                <w:rFonts w:hint="eastAsia" w:eastAsia="宋体" w:cs="Calibri"/>
                <w:b w:val="0"/>
                <w:bCs w:val="0"/>
                <w:color w:val="auto"/>
                <w:kern w:val="0"/>
                <w:szCs w:val="21"/>
                <w:highlight w:val="none"/>
                <w:lang w:val="en-US" w:eastAsia="zh-CN"/>
              </w:rPr>
              <w:t>，每日</w:t>
            </w:r>
            <w:r>
              <w:rPr>
                <w:rFonts w:hint="eastAsia" w:cs="Calibri"/>
                <w:b w:val="0"/>
                <w:bCs w:val="0"/>
                <w:color w:val="auto"/>
                <w:kern w:val="0"/>
                <w:szCs w:val="21"/>
                <w:highlight w:val="none"/>
                <w:lang w:val="en-US" w:eastAsia="zh-CN"/>
              </w:rPr>
              <w:t>至少开展</w:t>
            </w:r>
            <w:r>
              <w:rPr>
                <w:rFonts w:hint="eastAsia" w:eastAsia="宋体" w:cs="Calibri"/>
                <w:b w:val="0"/>
                <w:bCs w:val="0"/>
                <w:color w:val="auto"/>
                <w:kern w:val="0"/>
                <w:szCs w:val="21"/>
                <w:highlight w:val="none"/>
                <w:lang w:val="en-US" w:eastAsia="zh-CN"/>
              </w:rPr>
              <w:t>1次清洁作业。</w:t>
            </w:r>
          </w:p>
        </w:tc>
      </w:tr>
      <w:tr w14:paraId="64140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continue"/>
            <w:noWrap w:val="0"/>
            <w:vAlign w:val="center"/>
          </w:tcPr>
          <w:p w14:paraId="3DCA89D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72" w:type="dxa"/>
            <w:vMerge w:val="continue"/>
            <w:noWrap w:val="0"/>
            <w:vAlign w:val="center"/>
          </w:tcPr>
          <w:p w14:paraId="30C0A08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978" w:type="dxa"/>
            <w:noWrap w:val="0"/>
            <w:vAlign w:val="center"/>
          </w:tcPr>
          <w:p w14:paraId="32CA94EA">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（5）</w:t>
            </w:r>
            <w:r>
              <w:rPr>
                <w:rFonts w:hint="eastAsia" w:ascii="Calibri" w:hAnsi="Calibri" w:eastAsia="宋体" w:cs="Calibri"/>
                <w:b w:val="0"/>
                <w:bCs w:val="0"/>
                <w:color w:val="auto"/>
                <w:kern w:val="0"/>
                <w:szCs w:val="21"/>
                <w:highlight w:val="none"/>
                <w:lang w:val="en-US" w:eastAsia="zh-CN"/>
              </w:rPr>
              <w:t>作业工具间</w:t>
            </w:r>
            <w:r>
              <w:rPr>
                <w:rFonts w:hint="eastAsia" w:eastAsia="宋体" w:cs="Calibri"/>
                <w:b w:val="0"/>
                <w:bCs w:val="0"/>
                <w:color w:val="auto"/>
                <w:kern w:val="0"/>
                <w:szCs w:val="21"/>
                <w:highlight w:val="none"/>
                <w:lang w:val="en-US" w:eastAsia="zh-CN"/>
              </w:rPr>
              <w:t>：</w:t>
            </w:r>
          </w:p>
          <w:p w14:paraId="740EEE6C">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 xml:space="preserve"> </w:t>
            </w:r>
            <w:r>
              <w:rPr>
                <w:rFonts w:hint="eastAsia" w:ascii="Calibri" w:hAnsi="Calibri" w:eastAsia="宋体" w:cs="Calibri"/>
                <w:b w:val="0"/>
                <w:bCs w:val="0"/>
                <w:color w:val="auto"/>
                <w:kern w:val="0"/>
                <w:szCs w:val="21"/>
                <w:highlight w:val="none"/>
                <w:lang w:val="en-US" w:eastAsia="zh-CN"/>
              </w:rPr>
              <w:t>①保持干净，无异味、无杂物、无积水</w:t>
            </w:r>
            <w:r>
              <w:rPr>
                <w:rFonts w:hint="eastAsia" w:eastAsia="宋体" w:cs="Calibri"/>
                <w:b w:val="0"/>
                <w:bCs w:val="0"/>
                <w:color w:val="auto"/>
                <w:kern w:val="0"/>
                <w:szCs w:val="21"/>
                <w:highlight w:val="none"/>
                <w:lang w:val="en-US" w:eastAsia="zh-CN"/>
              </w:rPr>
              <w:t>，每日</w:t>
            </w:r>
            <w:r>
              <w:rPr>
                <w:rFonts w:hint="eastAsia" w:cs="Calibri"/>
                <w:b w:val="0"/>
                <w:bCs w:val="0"/>
                <w:color w:val="auto"/>
                <w:kern w:val="0"/>
                <w:szCs w:val="21"/>
                <w:highlight w:val="none"/>
                <w:lang w:val="en-US" w:eastAsia="zh-CN"/>
              </w:rPr>
              <w:t>至少开展</w:t>
            </w:r>
            <w:r>
              <w:rPr>
                <w:rFonts w:hint="eastAsia" w:eastAsia="宋体" w:cs="Calibri"/>
                <w:b w:val="0"/>
                <w:bCs w:val="0"/>
                <w:color w:val="auto"/>
                <w:kern w:val="0"/>
                <w:szCs w:val="21"/>
                <w:highlight w:val="none"/>
                <w:lang w:val="en-US" w:eastAsia="zh-CN"/>
              </w:rPr>
              <w:t>1次清洁作业。</w:t>
            </w:r>
          </w:p>
          <w:p w14:paraId="78A507F5">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color w:val="auto"/>
                <w:szCs w:val="21"/>
                <w:highlight w:val="none"/>
                <w:u w:val="none"/>
                <w:lang w:val="en-US" w:eastAsia="zh-CN"/>
              </w:rPr>
            </w:pPr>
            <w:r>
              <w:rPr>
                <w:rFonts w:hint="eastAsia" w:cs="Calibri"/>
                <w:b w:val="0"/>
                <w:bCs w:val="0"/>
                <w:color w:val="auto"/>
                <w:kern w:val="0"/>
                <w:szCs w:val="21"/>
                <w:highlight w:val="none"/>
                <w:lang w:val="en-US" w:eastAsia="zh-CN"/>
              </w:rPr>
              <w:t xml:space="preserve"> </w:t>
            </w:r>
            <w:r>
              <w:rPr>
                <w:rFonts w:hint="eastAsia" w:ascii="Calibri" w:hAnsi="Calibri" w:eastAsia="宋体" w:cs="Calibri"/>
                <w:b w:val="0"/>
                <w:bCs w:val="0"/>
                <w:color w:val="auto"/>
                <w:kern w:val="0"/>
                <w:szCs w:val="21"/>
                <w:highlight w:val="none"/>
                <w:lang w:val="en-US" w:eastAsia="zh-CN"/>
              </w:rPr>
              <w:t>②作业工具摆放整齐有序，表面干净无渍</w:t>
            </w:r>
            <w:r>
              <w:rPr>
                <w:rFonts w:hint="eastAsia" w:cs="Calibri"/>
                <w:b w:val="0"/>
                <w:bCs w:val="0"/>
                <w:color w:val="auto"/>
                <w:kern w:val="0"/>
                <w:szCs w:val="21"/>
                <w:highlight w:val="none"/>
                <w:lang w:val="en-US" w:eastAsia="zh-CN"/>
              </w:rPr>
              <w:t>，每日消毒</w:t>
            </w:r>
            <w:r>
              <w:rPr>
                <w:rFonts w:hint="eastAsia" w:eastAsia="宋体" w:cs="Calibri"/>
                <w:b w:val="0"/>
                <w:bCs w:val="0"/>
                <w:color w:val="auto"/>
                <w:kern w:val="0"/>
                <w:szCs w:val="21"/>
                <w:highlight w:val="none"/>
                <w:lang w:val="en-US" w:eastAsia="zh-CN"/>
              </w:rPr>
              <w:t>。</w:t>
            </w:r>
          </w:p>
        </w:tc>
      </w:tr>
      <w:tr w14:paraId="36E23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219" w:type="dxa"/>
            <w:vMerge w:val="continue"/>
            <w:noWrap w:val="0"/>
            <w:vAlign w:val="center"/>
          </w:tcPr>
          <w:p w14:paraId="5FE3E68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72" w:type="dxa"/>
            <w:vMerge w:val="continue"/>
            <w:noWrap w:val="0"/>
            <w:vAlign w:val="center"/>
          </w:tcPr>
          <w:p w14:paraId="33C1538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978" w:type="dxa"/>
            <w:noWrap w:val="0"/>
            <w:vAlign w:val="center"/>
          </w:tcPr>
          <w:p w14:paraId="75D28430">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（6）</w:t>
            </w:r>
            <w:r>
              <w:rPr>
                <w:rFonts w:hint="eastAsia" w:ascii="Calibri" w:hAnsi="Calibri" w:eastAsia="宋体" w:cs="Calibri"/>
                <w:b w:val="0"/>
                <w:bCs w:val="0"/>
                <w:color w:val="auto"/>
                <w:kern w:val="0"/>
                <w:szCs w:val="21"/>
                <w:highlight w:val="none"/>
                <w:lang w:val="en-US" w:eastAsia="zh-CN"/>
              </w:rPr>
              <w:t>公共卫生间</w:t>
            </w:r>
            <w:r>
              <w:rPr>
                <w:rFonts w:hint="eastAsia" w:eastAsia="宋体" w:cs="Calibri"/>
                <w:b w:val="0"/>
                <w:bCs w:val="0"/>
                <w:color w:val="auto"/>
                <w:kern w:val="0"/>
                <w:szCs w:val="21"/>
                <w:highlight w:val="none"/>
                <w:lang w:val="en-US" w:eastAsia="zh-CN"/>
              </w:rPr>
              <w:t>：</w:t>
            </w:r>
          </w:p>
          <w:p w14:paraId="625FF692">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 xml:space="preserve"> </w:t>
            </w:r>
            <w:r>
              <w:rPr>
                <w:rFonts w:hint="eastAsia" w:ascii="Calibri" w:hAnsi="Calibri" w:eastAsia="宋体" w:cs="Calibri"/>
                <w:b w:val="0"/>
                <w:bCs w:val="0"/>
                <w:color w:val="auto"/>
                <w:kern w:val="0"/>
                <w:szCs w:val="21"/>
                <w:highlight w:val="none"/>
                <w:lang w:val="en-US" w:eastAsia="zh-CN"/>
              </w:rPr>
              <w:t>①保持干净，无异味，垃圾无溢出</w:t>
            </w:r>
            <w:r>
              <w:rPr>
                <w:rFonts w:hint="eastAsia" w:eastAsia="宋体" w:cs="Calibri"/>
                <w:b w:val="0"/>
                <w:bCs w:val="0"/>
                <w:color w:val="auto"/>
                <w:kern w:val="0"/>
                <w:szCs w:val="21"/>
                <w:highlight w:val="none"/>
                <w:lang w:val="en-US" w:eastAsia="zh-CN"/>
              </w:rPr>
              <w:t>，每日</w:t>
            </w:r>
            <w:r>
              <w:rPr>
                <w:rFonts w:hint="eastAsia" w:cs="Calibri"/>
                <w:b w:val="0"/>
                <w:bCs w:val="0"/>
                <w:color w:val="auto"/>
                <w:kern w:val="0"/>
                <w:szCs w:val="21"/>
                <w:highlight w:val="none"/>
                <w:lang w:val="en-US" w:eastAsia="zh-CN"/>
              </w:rPr>
              <w:t>至少开展</w:t>
            </w:r>
            <w:r>
              <w:rPr>
                <w:rFonts w:hint="eastAsia" w:eastAsia="宋体" w:cs="Calibri"/>
                <w:b w:val="0"/>
                <w:bCs w:val="0"/>
                <w:color w:val="auto"/>
                <w:kern w:val="0"/>
                <w:szCs w:val="21"/>
                <w:highlight w:val="none"/>
                <w:lang w:val="en-US" w:eastAsia="zh-CN"/>
              </w:rPr>
              <w:t>1次清洁作业。</w:t>
            </w:r>
          </w:p>
          <w:p w14:paraId="65060B4B">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color w:val="auto"/>
                <w:szCs w:val="21"/>
                <w:highlight w:val="none"/>
                <w:u w:val="none"/>
                <w:lang w:val="en-US" w:eastAsia="zh-CN"/>
              </w:rPr>
            </w:pPr>
            <w:r>
              <w:rPr>
                <w:rFonts w:hint="eastAsia" w:cs="Calibri"/>
                <w:b w:val="0"/>
                <w:bCs w:val="0"/>
                <w:color w:val="auto"/>
                <w:kern w:val="0"/>
                <w:szCs w:val="21"/>
                <w:highlight w:val="none"/>
                <w:lang w:val="en-US" w:eastAsia="zh-CN"/>
              </w:rPr>
              <w:t xml:space="preserve"> </w:t>
            </w:r>
            <w:r>
              <w:rPr>
                <w:rFonts w:hint="eastAsia" w:ascii="Calibri" w:hAnsi="Calibri" w:eastAsia="宋体" w:cs="Calibri"/>
                <w:b w:val="0"/>
                <w:bCs w:val="0"/>
                <w:color w:val="auto"/>
                <w:kern w:val="0"/>
                <w:szCs w:val="21"/>
                <w:highlight w:val="none"/>
                <w:lang w:val="en-US" w:eastAsia="zh-CN"/>
              </w:rPr>
              <w:t>②</w:t>
            </w:r>
            <w:r>
              <w:rPr>
                <w:rFonts w:hint="eastAsia" w:cs="Calibri"/>
                <w:b w:val="0"/>
                <w:bCs w:val="0"/>
                <w:color w:val="auto"/>
                <w:kern w:val="0"/>
                <w:szCs w:val="21"/>
                <w:highlight w:val="none"/>
                <w:lang w:val="en-US" w:eastAsia="zh-CN"/>
              </w:rPr>
              <w:t>及时补充</w:t>
            </w:r>
            <w:r>
              <w:rPr>
                <w:rFonts w:hint="eastAsia" w:ascii="Calibri" w:hAnsi="Calibri" w:eastAsia="宋体" w:cs="Calibri"/>
                <w:b w:val="0"/>
                <w:bCs w:val="0"/>
                <w:color w:val="auto"/>
                <w:kern w:val="0"/>
                <w:szCs w:val="21"/>
                <w:highlight w:val="none"/>
                <w:lang w:val="en-US" w:eastAsia="zh-CN"/>
              </w:rPr>
              <w:t>厕纸等必要用品</w:t>
            </w:r>
            <w:r>
              <w:rPr>
                <w:rFonts w:hint="eastAsia" w:eastAsia="宋体" w:cs="Calibri"/>
                <w:b w:val="0"/>
                <w:bCs w:val="0"/>
                <w:color w:val="auto"/>
                <w:kern w:val="0"/>
                <w:szCs w:val="21"/>
                <w:highlight w:val="none"/>
                <w:lang w:val="en-US" w:eastAsia="zh-CN"/>
              </w:rPr>
              <w:t>。</w:t>
            </w:r>
          </w:p>
        </w:tc>
      </w:tr>
      <w:tr w14:paraId="470F0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1219" w:type="dxa"/>
            <w:vMerge w:val="continue"/>
            <w:noWrap w:val="0"/>
            <w:vAlign w:val="center"/>
          </w:tcPr>
          <w:p w14:paraId="62F8F08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72" w:type="dxa"/>
            <w:vMerge w:val="continue"/>
            <w:noWrap w:val="0"/>
            <w:vAlign w:val="center"/>
          </w:tcPr>
          <w:p w14:paraId="406EF4D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978" w:type="dxa"/>
            <w:noWrap w:val="0"/>
            <w:vAlign w:val="center"/>
          </w:tcPr>
          <w:p w14:paraId="34ABF7C3">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（7）</w:t>
            </w:r>
            <w:r>
              <w:rPr>
                <w:rFonts w:hint="eastAsia" w:ascii="Calibri" w:hAnsi="Calibri" w:eastAsia="宋体" w:cs="Calibri"/>
                <w:b w:val="0"/>
                <w:bCs w:val="0"/>
                <w:color w:val="auto"/>
                <w:kern w:val="0"/>
                <w:szCs w:val="21"/>
                <w:highlight w:val="none"/>
                <w:lang w:val="en-US" w:eastAsia="zh-CN"/>
              </w:rPr>
              <w:t>电梯轿厢</w:t>
            </w:r>
            <w:r>
              <w:rPr>
                <w:rFonts w:hint="eastAsia" w:eastAsia="宋体" w:cs="Calibri"/>
                <w:b w:val="0"/>
                <w:bCs w:val="0"/>
                <w:color w:val="auto"/>
                <w:kern w:val="0"/>
                <w:szCs w:val="21"/>
                <w:highlight w:val="none"/>
                <w:lang w:val="en-US" w:eastAsia="zh-CN"/>
              </w:rPr>
              <w:t>：</w:t>
            </w:r>
          </w:p>
          <w:p w14:paraId="335408C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315" w:firstLine="0" w:firstLineChars="0"/>
              <w:jc w:val="left"/>
              <w:textAlignment w:val="auto"/>
              <w:rPr>
                <w:rFonts w:hint="eastAsia" w:eastAsia="宋体" w:cs="Calibri"/>
                <w:b w:val="0"/>
                <w:bCs w:val="0"/>
                <w:color w:val="auto"/>
                <w:kern w:val="0"/>
                <w:szCs w:val="21"/>
                <w:highlight w:val="none"/>
                <w:lang w:val="en-US" w:eastAsia="zh-CN"/>
              </w:rPr>
            </w:pPr>
            <w:r>
              <w:rPr>
                <w:rFonts w:hint="eastAsia" w:cs="Calibri"/>
                <w:b w:val="0"/>
                <w:bCs w:val="0"/>
                <w:color w:val="auto"/>
                <w:kern w:val="0"/>
                <w:szCs w:val="21"/>
                <w:highlight w:val="none"/>
                <w:lang w:val="en-US" w:eastAsia="zh-CN"/>
              </w:rPr>
              <w:t>①</w:t>
            </w:r>
            <w:r>
              <w:rPr>
                <w:rFonts w:hint="eastAsia" w:ascii="Calibri" w:hAnsi="Calibri" w:eastAsia="宋体" w:cs="Calibri"/>
                <w:b w:val="0"/>
                <w:bCs w:val="0"/>
                <w:color w:val="auto"/>
                <w:kern w:val="0"/>
                <w:szCs w:val="21"/>
                <w:highlight w:val="none"/>
                <w:lang w:val="en-US" w:eastAsia="zh-CN"/>
              </w:rPr>
              <w:t>保持干净，无污渍、无粘贴物、无异味</w:t>
            </w:r>
            <w:r>
              <w:rPr>
                <w:rFonts w:hint="eastAsia" w:eastAsia="宋体" w:cs="Calibri"/>
                <w:b w:val="0"/>
                <w:bCs w:val="0"/>
                <w:color w:val="auto"/>
                <w:kern w:val="0"/>
                <w:szCs w:val="21"/>
                <w:highlight w:val="none"/>
                <w:lang w:val="en-US" w:eastAsia="zh-CN"/>
              </w:rPr>
              <w:t>，每日</w:t>
            </w:r>
            <w:r>
              <w:rPr>
                <w:rFonts w:hint="eastAsia" w:cs="Calibri"/>
                <w:b w:val="0"/>
                <w:bCs w:val="0"/>
                <w:color w:val="auto"/>
                <w:kern w:val="0"/>
                <w:szCs w:val="21"/>
                <w:highlight w:val="none"/>
                <w:lang w:val="en-US" w:eastAsia="zh-CN"/>
              </w:rPr>
              <w:t>至少开展</w:t>
            </w:r>
            <w:r>
              <w:rPr>
                <w:rFonts w:hint="eastAsia" w:eastAsia="宋体" w:cs="Calibri"/>
                <w:b w:val="0"/>
                <w:bCs w:val="0"/>
                <w:color w:val="auto"/>
                <w:kern w:val="0"/>
                <w:szCs w:val="21"/>
                <w:highlight w:val="none"/>
                <w:lang w:val="en-US" w:eastAsia="zh-CN"/>
              </w:rPr>
              <w:t>1次清洁作业。</w:t>
            </w:r>
          </w:p>
          <w:p w14:paraId="2F2435A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315" w:firstLine="0" w:firstLineChars="0"/>
              <w:jc w:val="left"/>
              <w:textAlignment w:val="auto"/>
              <w:rPr>
                <w:rFonts w:hint="eastAsia" w:ascii="Calibri" w:hAnsi="Calibri" w:eastAsia="宋体" w:cs="Calibri"/>
                <w:color w:val="auto"/>
                <w:szCs w:val="21"/>
                <w:highlight w:val="none"/>
                <w:u w:val="none"/>
                <w:lang w:val="en-US" w:eastAsia="zh-CN"/>
              </w:rPr>
            </w:pPr>
            <w:r>
              <w:rPr>
                <w:rFonts w:hint="eastAsia" w:ascii="Calibri" w:hAnsi="Calibri" w:eastAsia="宋体" w:cs="Calibri"/>
                <w:b w:val="0"/>
                <w:bCs w:val="0"/>
                <w:color w:val="auto"/>
                <w:kern w:val="0"/>
                <w:szCs w:val="21"/>
                <w:highlight w:val="none"/>
                <w:lang w:val="en-US" w:eastAsia="zh-CN"/>
              </w:rPr>
              <w:t>②灯具、操作指示板明亮</w:t>
            </w:r>
            <w:r>
              <w:rPr>
                <w:rFonts w:hint="eastAsia" w:eastAsia="宋体" w:cs="Calibri"/>
                <w:b w:val="0"/>
                <w:bCs w:val="0"/>
                <w:color w:val="auto"/>
                <w:kern w:val="0"/>
                <w:szCs w:val="21"/>
                <w:highlight w:val="none"/>
                <w:lang w:val="en-US" w:eastAsia="zh-CN"/>
              </w:rPr>
              <w:t>。</w:t>
            </w:r>
          </w:p>
        </w:tc>
      </w:tr>
      <w:tr w14:paraId="5C1D3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continue"/>
            <w:noWrap w:val="0"/>
            <w:vAlign w:val="center"/>
          </w:tcPr>
          <w:p w14:paraId="07E0418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72" w:type="dxa"/>
            <w:vMerge w:val="continue"/>
            <w:noWrap w:val="0"/>
            <w:vAlign w:val="center"/>
          </w:tcPr>
          <w:p w14:paraId="0CADB9D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978" w:type="dxa"/>
            <w:noWrap w:val="0"/>
            <w:vAlign w:val="center"/>
          </w:tcPr>
          <w:p w14:paraId="022BEEDF">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color w:val="auto"/>
                <w:szCs w:val="21"/>
                <w:highlight w:val="none"/>
                <w:u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（8）</w:t>
            </w:r>
            <w:r>
              <w:rPr>
                <w:rFonts w:hint="eastAsia" w:ascii="Calibri" w:hAnsi="Calibri" w:eastAsia="宋体" w:cs="Calibri"/>
                <w:b w:val="0"/>
                <w:bCs w:val="0"/>
                <w:color w:val="auto"/>
                <w:kern w:val="0"/>
                <w:szCs w:val="21"/>
                <w:highlight w:val="none"/>
                <w:lang w:val="en-US" w:eastAsia="zh-CN"/>
              </w:rPr>
              <w:t>平台、屋顶</w:t>
            </w:r>
            <w:r>
              <w:rPr>
                <w:rFonts w:hint="eastAsia" w:eastAsia="宋体" w:cs="Calibri"/>
                <w:b w:val="0"/>
                <w:bCs w:val="0"/>
                <w:color w:val="auto"/>
                <w:kern w:val="0"/>
                <w:szCs w:val="21"/>
                <w:highlight w:val="none"/>
                <w:lang w:val="en-US" w:eastAsia="zh-CN"/>
              </w:rPr>
              <w:t>、天沟</w:t>
            </w:r>
            <w:r>
              <w:rPr>
                <w:rFonts w:hint="eastAsia" w:ascii="Calibri" w:hAnsi="Calibri" w:eastAsia="宋体" w:cs="Calibri"/>
                <w:b w:val="0"/>
                <w:bCs w:val="0"/>
                <w:color w:val="auto"/>
                <w:kern w:val="0"/>
                <w:szCs w:val="21"/>
                <w:highlight w:val="none"/>
                <w:lang w:val="en-US" w:eastAsia="zh-CN"/>
              </w:rPr>
              <w:t>保持干净，有杂物及时清扫</w:t>
            </w:r>
            <w:r>
              <w:rPr>
                <w:rFonts w:hint="eastAsia" w:eastAsia="宋体" w:cs="Calibri"/>
                <w:b w:val="0"/>
                <w:bCs w:val="0"/>
                <w:color w:val="auto"/>
                <w:kern w:val="0"/>
                <w:szCs w:val="21"/>
                <w:highlight w:val="none"/>
                <w:lang w:val="en-US" w:eastAsia="zh-CN"/>
              </w:rPr>
              <w:t>，每月</w:t>
            </w:r>
            <w:r>
              <w:rPr>
                <w:rFonts w:hint="eastAsia" w:cs="Calibri"/>
                <w:b w:val="0"/>
                <w:bCs w:val="0"/>
                <w:color w:val="auto"/>
                <w:kern w:val="0"/>
                <w:szCs w:val="21"/>
                <w:highlight w:val="none"/>
                <w:lang w:val="en-US" w:eastAsia="zh-CN"/>
              </w:rPr>
              <w:t>至少开展</w:t>
            </w:r>
            <w:r>
              <w:rPr>
                <w:rFonts w:hint="eastAsia" w:eastAsia="宋体" w:cs="Calibri"/>
                <w:b w:val="0"/>
                <w:bCs w:val="0"/>
                <w:color w:val="auto"/>
                <w:kern w:val="0"/>
                <w:szCs w:val="21"/>
                <w:highlight w:val="none"/>
                <w:lang w:val="en-US" w:eastAsia="zh-CN"/>
              </w:rPr>
              <w:t>1次清洁作业</w:t>
            </w:r>
            <w:r>
              <w:rPr>
                <w:rFonts w:hint="eastAsia" w:ascii="Calibri" w:hAnsi="Calibri" w:eastAsia="宋体" w:cs="Calibri"/>
                <w:b w:val="0"/>
                <w:bCs w:val="0"/>
                <w:color w:val="auto"/>
                <w:kern w:val="0"/>
                <w:szCs w:val="21"/>
                <w:highlight w:val="none"/>
                <w:lang w:val="en-US" w:eastAsia="zh-CN"/>
              </w:rPr>
              <w:t>。</w:t>
            </w:r>
          </w:p>
        </w:tc>
      </w:tr>
      <w:tr w14:paraId="357A7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continue"/>
            <w:noWrap w:val="0"/>
            <w:vAlign w:val="center"/>
          </w:tcPr>
          <w:p w14:paraId="0DDFD14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72" w:type="dxa"/>
            <w:vMerge w:val="continue"/>
            <w:noWrap w:val="0"/>
            <w:vAlign w:val="center"/>
          </w:tcPr>
          <w:p w14:paraId="7F38E97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978" w:type="dxa"/>
            <w:noWrap w:val="0"/>
            <w:vAlign w:val="center"/>
          </w:tcPr>
          <w:p w14:paraId="1C4840FD">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color w:val="auto"/>
                <w:szCs w:val="21"/>
                <w:highlight w:val="none"/>
                <w:u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（9）</w:t>
            </w:r>
            <w:r>
              <w:rPr>
                <w:rFonts w:hint="eastAsia" w:ascii="Calibri" w:hAnsi="Calibri" w:eastAsia="宋体" w:cs="Calibri"/>
                <w:color w:val="auto"/>
                <w:szCs w:val="21"/>
                <w:highlight w:val="none"/>
                <w:u w:val="none"/>
                <w:lang w:val="en-US" w:eastAsia="zh-CN"/>
              </w:rPr>
              <w:t>石材地面</w:t>
            </w:r>
            <w:r>
              <w:rPr>
                <w:rFonts w:hint="eastAsia" w:cs="Calibri"/>
                <w:color w:val="auto"/>
                <w:szCs w:val="21"/>
                <w:highlight w:val="none"/>
                <w:u w:val="none"/>
                <w:lang w:val="en-US" w:eastAsia="zh-CN"/>
              </w:rPr>
              <w:t>、</w:t>
            </w:r>
            <w:r>
              <w:rPr>
                <w:rFonts w:hint="eastAsia" w:eastAsia="宋体" w:cs="Calibri"/>
                <w:color w:val="auto"/>
                <w:szCs w:val="21"/>
                <w:highlight w:val="none"/>
                <w:u w:val="none"/>
                <w:lang w:val="en-US" w:eastAsia="zh-CN"/>
              </w:rPr>
              <w:t>内墙</w:t>
            </w:r>
            <w:r>
              <w:rPr>
                <w:rFonts w:hint="eastAsia" w:ascii="Calibri" w:hAnsi="Calibri" w:eastAsia="宋体" w:cs="Calibri"/>
                <w:color w:val="auto"/>
                <w:szCs w:val="21"/>
                <w:highlight w:val="none"/>
                <w:u w:val="none"/>
                <w:lang w:val="en-US" w:eastAsia="zh-CN"/>
              </w:rPr>
              <w:t>做好</w:t>
            </w:r>
            <w:r>
              <w:rPr>
                <w:rFonts w:hint="eastAsia" w:eastAsia="宋体" w:cs="Calibri"/>
                <w:color w:val="auto"/>
                <w:szCs w:val="21"/>
                <w:highlight w:val="none"/>
                <w:u w:val="none"/>
                <w:lang w:val="en-US" w:eastAsia="zh-CN"/>
              </w:rPr>
              <w:t>养护</w:t>
            </w:r>
            <w:r>
              <w:rPr>
                <w:rFonts w:hint="eastAsia" w:ascii="Calibri" w:hAnsi="Calibri" w:eastAsia="宋体" w:cs="Calibri"/>
                <w:color w:val="auto"/>
                <w:szCs w:val="21"/>
                <w:highlight w:val="none"/>
                <w:u w:val="none"/>
                <w:lang w:val="en-US" w:eastAsia="zh-CN"/>
              </w:rPr>
              <w:t>工作</w:t>
            </w:r>
            <w:r>
              <w:rPr>
                <w:rFonts w:hint="eastAsia" w:eastAsia="宋体" w:cs="Calibri"/>
                <w:b w:val="0"/>
                <w:bCs w:val="0"/>
                <w:color w:val="auto"/>
                <w:kern w:val="0"/>
                <w:szCs w:val="21"/>
                <w:highlight w:val="none"/>
                <w:lang w:val="en-US" w:eastAsia="zh-CN"/>
              </w:rPr>
              <w:t>，</w:t>
            </w:r>
            <w:r>
              <w:rPr>
                <w:rFonts w:hint="eastAsia" w:cs="Calibri"/>
                <w:b w:val="0"/>
                <w:bCs w:val="0"/>
                <w:color w:val="auto"/>
                <w:kern w:val="0"/>
                <w:szCs w:val="21"/>
                <w:highlight w:val="none"/>
                <w:lang w:val="en-US" w:eastAsia="zh-CN"/>
              </w:rPr>
              <w:t>每季度开展</w:t>
            </w:r>
            <w:r>
              <w:rPr>
                <w:rFonts w:hint="eastAsia" w:eastAsia="宋体" w:cs="Calibri"/>
                <w:b w:val="0"/>
                <w:bCs w:val="0"/>
                <w:color w:val="auto"/>
                <w:kern w:val="0"/>
                <w:szCs w:val="21"/>
                <w:highlight w:val="none"/>
                <w:lang w:val="en-US" w:eastAsia="zh-CN"/>
              </w:rPr>
              <w:t>1次清洁作业</w:t>
            </w:r>
            <w:r>
              <w:rPr>
                <w:rFonts w:hint="eastAsia" w:ascii="Calibri" w:hAnsi="Calibri" w:eastAsia="宋体" w:cs="Calibri"/>
                <w:b w:val="0"/>
                <w:bCs w:val="0"/>
                <w:color w:val="auto"/>
                <w:kern w:val="0"/>
                <w:szCs w:val="21"/>
                <w:highlight w:val="none"/>
                <w:lang w:val="en-US" w:eastAsia="zh-CN"/>
              </w:rPr>
              <w:t>。</w:t>
            </w:r>
            <w:r>
              <w:rPr>
                <w:rFonts w:hint="eastAsia" w:eastAsia="宋体" w:cs="Calibri"/>
                <w:b w:val="0"/>
                <w:bCs w:val="0"/>
                <w:color w:val="auto"/>
                <w:kern w:val="0"/>
                <w:szCs w:val="21"/>
                <w:highlight w:val="none"/>
                <w:lang w:val="en-US" w:eastAsia="zh-CN"/>
              </w:rPr>
              <w:t>（各类材质地面、内墙服务管理标准详见</w:t>
            </w:r>
            <w:r>
              <w:rPr>
                <w:rFonts w:hint="eastAsia" w:cs="Calibri"/>
                <w:b w:val="0"/>
                <w:bCs w:val="0"/>
                <w:color w:val="auto"/>
                <w:kern w:val="0"/>
                <w:szCs w:val="21"/>
                <w:highlight w:val="none"/>
                <w:lang w:val="en-US" w:eastAsia="zh-CN"/>
              </w:rPr>
              <w:t>3.4.1</w:t>
            </w:r>
            <w:r>
              <w:rPr>
                <w:rFonts w:hint="eastAsia" w:eastAsia="宋体" w:cs="Calibri"/>
                <w:b w:val="0"/>
                <w:bCs w:val="0"/>
                <w:color w:val="auto"/>
                <w:kern w:val="0"/>
                <w:szCs w:val="21"/>
                <w:highlight w:val="none"/>
                <w:lang w:val="en-US" w:eastAsia="zh-CN"/>
              </w:rPr>
              <w:t>）</w:t>
            </w:r>
          </w:p>
        </w:tc>
      </w:tr>
      <w:tr w14:paraId="7EFA2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219" w:type="dxa"/>
            <w:vMerge w:val="continue"/>
            <w:noWrap w:val="0"/>
            <w:vAlign w:val="center"/>
          </w:tcPr>
          <w:p w14:paraId="37C6D7D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p>
        </w:tc>
        <w:tc>
          <w:tcPr>
            <w:tcW w:w="3372" w:type="dxa"/>
            <w:vMerge w:val="continue"/>
            <w:noWrap w:val="0"/>
            <w:vAlign w:val="center"/>
          </w:tcPr>
          <w:p w14:paraId="0630856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978" w:type="dxa"/>
            <w:noWrap w:val="0"/>
            <w:vAlign w:val="center"/>
          </w:tcPr>
          <w:p w14:paraId="4F2DBB9F">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eastAsia="宋体" w:cs="Calibri"/>
                <w:color w:val="auto"/>
                <w:szCs w:val="21"/>
                <w:highlight w:val="none"/>
                <w:u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（10）</w:t>
            </w:r>
            <w:r>
              <w:rPr>
                <w:rFonts w:hint="eastAsia" w:ascii="Calibri" w:hAnsi="Calibri" w:eastAsia="宋体" w:cs="Calibri"/>
                <w:color w:val="auto"/>
                <w:szCs w:val="21"/>
                <w:highlight w:val="none"/>
                <w:u w:val="none"/>
                <w:lang w:val="en-US" w:eastAsia="zh-CN"/>
              </w:rPr>
              <w:t>地毯干净、无油渍、无污渍、无褪色</w:t>
            </w:r>
            <w:r>
              <w:rPr>
                <w:rFonts w:hint="eastAsia" w:eastAsia="宋体" w:cs="Calibri"/>
                <w:b w:val="0"/>
                <w:bCs w:val="0"/>
                <w:color w:val="auto"/>
                <w:kern w:val="0"/>
                <w:szCs w:val="21"/>
                <w:highlight w:val="none"/>
                <w:lang w:val="en-US" w:eastAsia="zh-CN"/>
              </w:rPr>
              <w:t>，每月</w:t>
            </w:r>
            <w:r>
              <w:rPr>
                <w:rFonts w:hint="eastAsia" w:cs="Calibri"/>
                <w:b w:val="0"/>
                <w:bCs w:val="0"/>
                <w:color w:val="auto"/>
                <w:kern w:val="0"/>
                <w:szCs w:val="21"/>
                <w:highlight w:val="none"/>
                <w:lang w:val="en-US" w:eastAsia="zh-CN"/>
              </w:rPr>
              <w:t>至少开展</w:t>
            </w:r>
            <w:r>
              <w:rPr>
                <w:rFonts w:hint="eastAsia" w:eastAsia="宋体" w:cs="Calibri"/>
                <w:b w:val="0"/>
                <w:bCs w:val="0"/>
                <w:color w:val="auto"/>
                <w:kern w:val="0"/>
                <w:szCs w:val="21"/>
                <w:highlight w:val="none"/>
                <w:lang w:val="en-US" w:eastAsia="zh-CN"/>
              </w:rPr>
              <w:t>1次清洁作业</w:t>
            </w:r>
            <w:r>
              <w:rPr>
                <w:rFonts w:hint="eastAsia" w:ascii="Calibri" w:hAnsi="Calibri" w:eastAsia="宋体" w:cs="Calibri"/>
                <w:b w:val="0"/>
                <w:bCs w:val="0"/>
                <w:color w:val="auto"/>
                <w:kern w:val="0"/>
                <w:szCs w:val="21"/>
                <w:highlight w:val="none"/>
                <w:lang w:val="en-US" w:eastAsia="zh-CN"/>
              </w:rPr>
              <w:t>。</w:t>
            </w:r>
          </w:p>
        </w:tc>
      </w:tr>
      <w:tr w14:paraId="3E906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restart"/>
            <w:noWrap w:val="0"/>
            <w:vAlign w:val="center"/>
          </w:tcPr>
          <w:p w14:paraId="6832969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r>
              <w:rPr>
                <w:rFonts w:hint="eastAsia"/>
                <w:highlight w:val="none"/>
                <w:lang w:val="en-US" w:eastAsia="zh-CN"/>
              </w:rPr>
              <w:t>3</w:t>
            </w:r>
          </w:p>
        </w:tc>
        <w:tc>
          <w:tcPr>
            <w:tcW w:w="3372" w:type="dxa"/>
            <w:vMerge w:val="restart"/>
            <w:noWrap w:val="0"/>
            <w:vAlign w:val="center"/>
          </w:tcPr>
          <w:p w14:paraId="6BB448A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r>
              <w:rPr>
                <w:rFonts w:hint="default"/>
                <w:highlight w:val="none"/>
              </w:rPr>
              <w:t>公共场地区域保洁</w:t>
            </w:r>
          </w:p>
        </w:tc>
        <w:tc>
          <w:tcPr>
            <w:tcW w:w="9978" w:type="dxa"/>
            <w:noWrap w:val="0"/>
            <w:vAlign w:val="center"/>
          </w:tcPr>
          <w:p w14:paraId="1773E999">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highlight w:val="none"/>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每日清扫道路地面、停车场等公共区域</w:t>
            </w:r>
            <w:r>
              <w:rPr>
                <w:rFonts w:hint="eastAsia" w:eastAsia="宋体" w:cs="Calibri"/>
                <w:b w:val="0"/>
                <w:bCs w:val="0"/>
                <w:color w:val="auto"/>
                <w:kern w:val="0"/>
                <w:szCs w:val="21"/>
                <w:highlight w:val="none"/>
                <w:lang w:val="en-US" w:eastAsia="zh-CN"/>
              </w:rPr>
              <w:t>2次</w:t>
            </w:r>
            <w:r>
              <w:rPr>
                <w:rFonts w:hint="eastAsia" w:ascii="Calibri" w:hAnsi="Calibri" w:eastAsia="宋体" w:cs="Calibri"/>
                <w:b w:val="0"/>
                <w:bCs w:val="0"/>
                <w:color w:val="auto"/>
                <w:kern w:val="0"/>
                <w:szCs w:val="21"/>
                <w:highlight w:val="none"/>
                <w:lang w:val="en-US" w:eastAsia="zh-CN"/>
              </w:rPr>
              <w:t>，保持干净、无杂物、无积水</w:t>
            </w:r>
            <w:r>
              <w:rPr>
                <w:rFonts w:hint="eastAsia" w:eastAsia="宋体" w:cs="Calibri"/>
                <w:b w:val="0"/>
                <w:bCs w:val="0"/>
                <w:color w:val="auto"/>
                <w:kern w:val="0"/>
                <w:szCs w:val="21"/>
                <w:highlight w:val="none"/>
                <w:lang w:val="en-US" w:eastAsia="zh-CN"/>
              </w:rPr>
              <w:t>。</w:t>
            </w:r>
          </w:p>
        </w:tc>
      </w:tr>
      <w:tr w14:paraId="583DA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continue"/>
            <w:noWrap w:val="0"/>
            <w:vAlign w:val="center"/>
          </w:tcPr>
          <w:p w14:paraId="5CF5563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rPr>
            </w:pPr>
          </w:p>
        </w:tc>
        <w:tc>
          <w:tcPr>
            <w:tcW w:w="3372" w:type="dxa"/>
            <w:vMerge w:val="continue"/>
            <w:noWrap w:val="0"/>
            <w:vAlign w:val="center"/>
          </w:tcPr>
          <w:p w14:paraId="2E97587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978" w:type="dxa"/>
            <w:noWrap w:val="0"/>
            <w:vAlign w:val="center"/>
          </w:tcPr>
          <w:p w14:paraId="0CD989CD">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highlight w:val="none"/>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（2）</w:t>
            </w:r>
            <w:r>
              <w:rPr>
                <w:rFonts w:hint="eastAsia" w:ascii="Calibri" w:hAnsi="Calibri" w:eastAsia="宋体" w:cs="Calibri"/>
                <w:b w:val="0"/>
                <w:bCs w:val="0"/>
                <w:color w:val="auto"/>
                <w:kern w:val="0"/>
                <w:szCs w:val="21"/>
                <w:highlight w:val="none"/>
                <w:lang w:val="en-US" w:eastAsia="zh-CN"/>
              </w:rPr>
              <w:t>雪、冰冻等恶劣天气时及时清扫积水、积雪，并采取安全防护措施</w:t>
            </w:r>
            <w:r>
              <w:rPr>
                <w:rFonts w:hint="eastAsia" w:eastAsia="宋体" w:cs="Calibri"/>
                <w:b w:val="0"/>
                <w:bCs w:val="0"/>
                <w:color w:val="auto"/>
                <w:kern w:val="0"/>
                <w:szCs w:val="21"/>
                <w:highlight w:val="none"/>
                <w:lang w:val="en-US" w:eastAsia="zh-CN"/>
              </w:rPr>
              <w:t>。</w:t>
            </w:r>
          </w:p>
        </w:tc>
      </w:tr>
      <w:tr w14:paraId="2E5BA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continue"/>
            <w:noWrap w:val="0"/>
            <w:vAlign w:val="center"/>
          </w:tcPr>
          <w:p w14:paraId="5A49F03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rPr>
            </w:pPr>
          </w:p>
        </w:tc>
        <w:tc>
          <w:tcPr>
            <w:tcW w:w="3372" w:type="dxa"/>
            <w:vMerge w:val="continue"/>
            <w:noWrap w:val="0"/>
            <w:vAlign w:val="center"/>
          </w:tcPr>
          <w:p w14:paraId="4391ECC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978" w:type="dxa"/>
            <w:noWrap w:val="0"/>
            <w:vAlign w:val="center"/>
          </w:tcPr>
          <w:p w14:paraId="1D2B0659">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highlight w:val="none"/>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（3）</w:t>
            </w:r>
            <w:r>
              <w:rPr>
                <w:rFonts w:hint="eastAsia" w:ascii="Calibri" w:hAnsi="Calibri" w:eastAsia="宋体" w:cs="Calibri"/>
                <w:b w:val="0"/>
                <w:bCs w:val="0"/>
                <w:color w:val="auto"/>
                <w:kern w:val="0"/>
                <w:szCs w:val="21"/>
                <w:highlight w:val="none"/>
                <w:lang w:val="en-US" w:eastAsia="zh-CN"/>
              </w:rPr>
              <w:t>各种路标、宣传栏等保持干净</w:t>
            </w:r>
            <w:r>
              <w:rPr>
                <w:rFonts w:hint="eastAsia" w:eastAsia="宋体" w:cs="Calibri"/>
                <w:b w:val="0"/>
                <w:bCs w:val="0"/>
                <w:color w:val="auto"/>
                <w:kern w:val="0"/>
                <w:szCs w:val="21"/>
                <w:highlight w:val="none"/>
                <w:lang w:val="en-US" w:eastAsia="zh-CN"/>
              </w:rPr>
              <w:t>，每月</w:t>
            </w:r>
            <w:r>
              <w:rPr>
                <w:rFonts w:hint="eastAsia" w:cs="Calibri"/>
                <w:b w:val="0"/>
                <w:bCs w:val="0"/>
                <w:color w:val="auto"/>
                <w:kern w:val="0"/>
                <w:szCs w:val="21"/>
                <w:highlight w:val="none"/>
                <w:lang w:val="en-US" w:eastAsia="zh-CN"/>
              </w:rPr>
              <w:t>至少开展</w:t>
            </w:r>
            <w:r>
              <w:rPr>
                <w:rFonts w:hint="eastAsia" w:eastAsia="宋体" w:cs="Calibri"/>
                <w:b w:val="0"/>
                <w:bCs w:val="0"/>
                <w:color w:val="auto"/>
                <w:kern w:val="0"/>
                <w:szCs w:val="21"/>
                <w:highlight w:val="none"/>
                <w:lang w:val="en-US" w:eastAsia="zh-CN"/>
              </w:rPr>
              <w:t>1次清洁作业</w:t>
            </w:r>
            <w:r>
              <w:rPr>
                <w:rFonts w:hint="eastAsia" w:ascii="Calibri" w:hAnsi="Calibri" w:eastAsia="宋体" w:cs="Calibri"/>
                <w:b w:val="0"/>
                <w:bCs w:val="0"/>
                <w:color w:val="auto"/>
                <w:kern w:val="0"/>
                <w:szCs w:val="21"/>
                <w:highlight w:val="none"/>
                <w:lang w:val="en-US" w:eastAsia="zh-CN"/>
              </w:rPr>
              <w:t>。</w:t>
            </w:r>
          </w:p>
        </w:tc>
      </w:tr>
      <w:tr w14:paraId="62C01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continue"/>
            <w:noWrap w:val="0"/>
            <w:vAlign w:val="center"/>
          </w:tcPr>
          <w:p w14:paraId="085D7A3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rPr>
            </w:pPr>
          </w:p>
        </w:tc>
        <w:tc>
          <w:tcPr>
            <w:tcW w:w="3372" w:type="dxa"/>
            <w:vMerge w:val="continue"/>
            <w:noWrap w:val="0"/>
            <w:vAlign w:val="center"/>
          </w:tcPr>
          <w:p w14:paraId="7A49874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978" w:type="dxa"/>
            <w:noWrap w:val="0"/>
            <w:vAlign w:val="center"/>
          </w:tcPr>
          <w:p w14:paraId="1DF73F84">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highlight w:val="none"/>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（4）</w:t>
            </w:r>
            <w:r>
              <w:rPr>
                <w:rFonts w:hint="eastAsia" w:ascii="Calibri" w:hAnsi="Calibri" w:eastAsia="宋体" w:cs="Calibri"/>
                <w:b w:val="0"/>
                <w:bCs w:val="0"/>
                <w:color w:val="auto"/>
                <w:kern w:val="0"/>
                <w:szCs w:val="21"/>
                <w:highlight w:val="none"/>
                <w:lang w:val="en-US" w:eastAsia="zh-CN"/>
              </w:rPr>
              <w:t>清洁室外照明设备</w:t>
            </w:r>
            <w:r>
              <w:rPr>
                <w:rFonts w:hint="eastAsia" w:eastAsia="宋体" w:cs="Calibri"/>
                <w:b w:val="0"/>
                <w:bCs w:val="0"/>
                <w:color w:val="auto"/>
                <w:kern w:val="0"/>
                <w:szCs w:val="21"/>
                <w:highlight w:val="none"/>
                <w:lang w:val="en-US" w:eastAsia="zh-CN"/>
              </w:rPr>
              <w:t>，每月</w:t>
            </w:r>
            <w:r>
              <w:rPr>
                <w:rFonts w:hint="eastAsia" w:cs="Calibri"/>
                <w:b w:val="0"/>
                <w:bCs w:val="0"/>
                <w:color w:val="auto"/>
                <w:kern w:val="0"/>
                <w:szCs w:val="21"/>
                <w:highlight w:val="none"/>
                <w:lang w:val="en-US" w:eastAsia="zh-CN"/>
              </w:rPr>
              <w:t>至少开展</w:t>
            </w:r>
            <w:r>
              <w:rPr>
                <w:rFonts w:hint="eastAsia" w:eastAsia="宋体" w:cs="Calibri"/>
                <w:b w:val="0"/>
                <w:bCs w:val="0"/>
                <w:color w:val="auto"/>
                <w:kern w:val="0"/>
                <w:szCs w:val="21"/>
                <w:highlight w:val="none"/>
                <w:lang w:val="en-US" w:eastAsia="zh-CN"/>
              </w:rPr>
              <w:t>1次清洁作业</w:t>
            </w:r>
            <w:r>
              <w:rPr>
                <w:rFonts w:hint="eastAsia" w:ascii="Calibri" w:hAnsi="Calibri" w:eastAsia="宋体" w:cs="Calibri"/>
                <w:b w:val="0"/>
                <w:bCs w:val="0"/>
                <w:color w:val="auto"/>
                <w:kern w:val="0"/>
                <w:szCs w:val="21"/>
                <w:highlight w:val="none"/>
                <w:lang w:val="en-US" w:eastAsia="zh-CN"/>
              </w:rPr>
              <w:t>。</w:t>
            </w:r>
          </w:p>
        </w:tc>
      </w:tr>
      <w:tr w14:paraId="555DA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continue"/>
            <w:noWrap w:val="0"/>
            <w:vAlign w:val="center"/>
          </w:tcPr>
          <w:p w14:paraId="74D49BD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rPr>
            </w:pPr>
          </w:p>
        </w:tc>
        <w:tc>
          <w:tcPr>
            <w:tcW w:w="3372" w:type="dxa"/>
            <w:vMerge w:val="continue"/>
            <w:noWrap w:val="0"/>
            <w:vAlign w:val="center"/>
          </w:tcPr>
          <w:p w14:paraId="25DBB98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978" w:type="dxa"/>
            <w:noWrap w:val="0"/>
            <w:vAlign w:val="center"/>
          </w:tcPr>
          <w:p w14:paraId="56698BB2">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highlight w:val="none"/>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（5）</w:t>
            </w:r>
            <w:r>
              <w:rPr>
                <w:rFonts w:hint="eastAsia" w:ascii="Calibri" w:hAnsi="Calibri" w:eastAsia="宋体" w:cs="Calibri"/>
                <w:b w:val="0"/>
                <w:bCs w:val="0"/>
                <w:color w:val="auto"/>
                <w:kern w:val="0"/>
                <w:szCs w:val="21"/>
                <w:highlight w:val="none"/>
                <w:lang w:val="en-US" w:eastAsia="zh-CN"/>
              </w:rPr>
              <w:t>绿地内无杂物、无改变用途和破坏、践踏、占用现象</w:t>
            </w:r>
            <w:r>
              <w:rPr>
                <w:rFonts w:hint="eastAsia" w:eastAsia="宋体" w:cs="Calibri"/>
                <w:b w:val="0"/>
                <w:bCs w:val="0"/>
                <w:color w:val="auto"/>
                <w:kern w:val="0"/>
                <w:szCs w:val="21"/>
                <w:highlight w:val="none"/>
                <w:lang w:val="en-US" w:eastAsia="zh-CN"/>
              </w:rPr>
              <w:t>，每天</w:t>
            </w:r>
            <w:r>
              <w:rPr>
                <w:rFonts w:hint="eastAsia" w:cs="Calibri"/>
                <w:b w:val="0"/>
                <w:bCs w:val="0"/>
                <w:color w:val="auto"/>
                <w:kern w:val="0"/>
                <w:szCs w:val="21"/>
                <w:highlight w:val="none"/>
                <w:lang w:val="en-US" w:eastAsia="zh-CN"/>
              </w:rPr>
              <w:t>至少开展</w:t>
            </w:r>
            <w:r>
              <w:rPr>
                <w:rFonts w:hint="eastAsia" w:eastAsia="宋体" w:cs="Calibri"/>
                <w:b w:val="0"/>
                <w:bCs w:val="0"/>
                <w:color w:val="auto"/>
                <w:kern w:val="0"/>
                <w:szCs w:val="21"/>
                <w:highlight w:val="none"/>
                <w:lang w:val="en-US" w:eastAsia="zh-CN"/>
              </w:rPr>
              <w:t>1次巡查。</w:t>
            </w:r>
          </w:p>
        </w:tc>
      </w:tr>
      <w:tr w14:paraId="5DA27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219" w:type="dxa"/>
            <w:vMerge w:val="continue"/>
            <w:noWrap w:val="0"/>
            <w:vAlign w:val="center"/>
          </w:tcPr>
          <w:p w14:paraId="70261C9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rPr>
            </w:pPr>
          </w:p>
        </w:tc>
        <w:tc>
          <w:tcPr>
            <w:tcW w:w="3372" w:type="dxa"/>
            <w:vMerge w:val="continue"/>
            <w:noWrap w:val="0"/>
            <w:vAlign w:val="center"/>
          </w:tcPr>
          <w:p w14:paraId="525B5A8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978" w:type="dxa"/>
            <w:noWrap w:val="0"/>
            <w:vAlign w:val="center"/>
          </w:tcPr>
          <w:p w14:paraId="264CB905">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（6）</w:t>
            </w:r>
            <w:r>
              <w:rPr>
                <w:rFonts w:hint="eastAsia"/>
                <w:highlight w:val="none"/>
              </w:rPr>
              <w:t>办公区外立面</w:t>
            </w:r>
            <w:r>
              <w:rPr>
                <w:rFonts w:hint="eastAsia" w:ascii="Calibri" w:hAnsi="Calibri" w:eastAsia="宋体" w:cs="Calibri"/>
                <w:color w:val="auto"/>
                <w:szCs w:val="21"/>
                <w:highlight w:val="none"/>
                <w:u w:val="none"/>
                <w:lang w:val="en-US" w:eastAsia="zh-CN"/>
              </w:rPr>
              <w:t>定期</w:t>
            </w:r>
            <w:r>
              <w:rPr>
                <w:rFonts w:hint="eastAsia"/>
                <w:highlight w:val="none"/>
              </w:rPr>
              <w:t>清洗、</w:t>
            </w:r>
            <w:r>
              <w:rPr>
                <w:rFonts w:hint="eastAsia"/>
                <w:highlight w:val="none"/>
                <w:lang w:val="en-US" w:eastAsia="zh-CN"/>
              </w:rPr>
              <w:t>2米以上</w:t>
            </w:r>
            <w:r>
              <w:rPr>
                <w:rFonts w:hint="eastAsia"/>
                <w:highlight w:val="none"/>
              </w:rPr>
              <w:t>外窗玻璃擦拭</w:t>
            </w:r>
            <w:r>
              <w:rPr>
                <w:rFonts w:hint="eastAsia"/>
                <w:highlight w:val="none"/>
                <w:lang w:eastAsia="zh-CN"/>
              </w:rPr>
              <w:t>，</w:t>
            </w:r>
            <w:r>
              <w:rPr>
                <w:rFonts w:hint="eastAsia"/>
                <w:highlight w:val="none"/>
                <w:lang w:val="en-US" w:eastAsia="zh-CN"/>
              </w:rPr>
              <w:t>每年</w:t>
            </w:r>
            <w:r>
              <w:rPr>
                <w:rFonts w:hint="eastAsia" w:cs="Calibri"/>
                <w:b w:val="0"/>
                <w:bCs w:val="0"/>
                <w:color w:val="auto"/>
                <w:kern w:val="0"/>
                <w:szCs w:val="21"/>
                <w:highlight w:val="none"/>
                <w:lang w:val="en-US" w:eastAsia="zh-CN"/>
              </w:rPr>
              <w:t>至少开展</w:t>
            </w:r>
            <w:r>
              <w:rPr>
                <w:rFonts w:hint="eastAsia"/>
                <w:highlight w:val="none"/>
                <w:lang w:val="en-US" w:eastAsia="zh-CN"/>
              </w:rPr>
              <w:t>1次清洗。</w:t>
            </w:r>
            <w:r>
              <w:rPr>
                <w:rFonts w:hint="eastAsia" w:eastAsia="宋体" w:cs="Calibri"/>
                <w:b w:val="0"/>
                <w:bCs w:val="0"/>
                <w:color w:val="auto"/>
                <w:kern w:val="0"/>
                <w:szCs w:val="21"/>
                <w:highlight w:val="none"/>
                <w:lang w:val="en-US" w:eastAsia="zh-CN"/>
              </w:rPr>
              <w:t>（各类材质外立面服务标准详见</w:t>
            </w:r>
            <w:r>
              <w:rPr>
                <w:rFonts w:hint="eastAsia" w:cs="Calibri"/>
                <w:b w:val="0"/>
                <w:bCs w:val="0"/>
                <w:color w:val="auto"/>
                <w:kern w:val="0"/>
                <w:szCs w:val="21"/>
                <w:highlight w:val="none"/>
                <w:lang w:val="en-US" w:eastAsia="zh-CN"/>
              </w:rPr>
              <w:t>3.4.1</w:t>
            </w:r>
            <w:r>
              <w:rPr>
                <w:rFonts w:hint="eastAsia" w:eastAsia="宋体" w:cs="Calibri"/>
                <w:b w:val="0"/>
                <w:bCs w:val="0"/>
                <w:color w:val="auto"/>
                <w:kern w:val="0"/>
                <w:szCs w:val="21"/>
                <w:highlight w:val="none"/>
                <w:lang w:val="en-US" w:eastAsia="zh-CN"/>
              </w:rPr>
              <w:t>）</w:t>
            </w:r>
          </w:p>
        </w:tc>
      </w:tr>
      <w:tr w14:paraId="6996F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restart"/>
            <w:noWrap w:val="0"/>
            <w:vAlign w:val="center"/>
          </w:tcPr>
          <w:p w14:paraId="501DDF7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r>
              <w:rPr>
                <w:rFonts w:hint="eastAsia"/>
                <w:highlight w:val="none"/>
                <w:lang w:val="en-US" w:eastAsia="zh-CN"/>
              </w:rPr>
              <w:t>4</w:t>
            </w:r>
          </w:p>
        </w:tc>
        <w:tc>
          <w:tcPr>
            <w:tcW w:w="3372" w:type="dxa"/>
            <w:vMerge w:val="restart"/>
            <w:noWrap w:val="0"/>
            <w:vAlign w:val="center"/>
          </w:tcPr>
          <w:p w14:paraId="11CD9E8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r>
              <w:rPr>
                <w:rFonts w:hint="default"/>
                <w:highlight w:val="none"/>
              </w:rPr>
              <w:t>垃圾处理</w:t>
            </w:r>
          </w:p>
        </w:tc>
        <w:tc>
          <w:tcPr>
            <w:tcW w:w="9978" w:type="dxa"/>
            <w:noWrap w:val="0"/>
            <w:vAlign w:val="center"/>
          </w:tcPr>
          <w:p w14:paraId="7163C4BC">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color w:val="auto"/>
                <w:szCs w:val="21"/>
                <w:highlight w:val="none"/>
                <w:u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在指定位置摆放分类垃圾桶，并在显著处张贴垃圾分类标识。分类垃圾桶和垃圾分类标识根据所在城市的要求设置</w:t>
            </w:r>
            <w:r>
              <w:rPr>
                <w:rFonts w:hint="eastAsia" w:eastAsia="宋体" w:cs="Calibri"/>
                <w:b w:val="0"/>
                <w:bCs w:val="0"/>
                <w:color w:val="auto"/>
                <w:kern w:val="0"/>
                <w:szCs w:val="21"/>
                <w:highlight w:val="none"/>
                <w:lang w:val="en-US" w:eastAsia="zh-CN"/>
              </w:rPr>
              <w:t>。</w:t>
            </w:r>
          </w:p>
        </w:tc>
      </w:tr>
      <w:tr w14:paraId="4EB3C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continue"/>
            <w:noWrap w:val="0"/>
            <w:vAlign w:val="center"/>
          </w:tcPr>
          <w:p w14:paraId="6C19B6D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72" w:type="dxa"/>
            <w:vMerge w:val="continue"/>
            <w:noWrap w:val="0"/>
            <w:vAlign w:val="center"/>
          </w:tcPr>
          <w:p w14:paraId="36F72D0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978" w:type="dxa"/>
            <w:noWrap w:val="0"/>
            <w:vAlign w:val="center"/>
          </w:tcPr>
          <w:p w14:paraId="24635895">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color w:val="auto"/>
                <w:szCs w:val="21"/>
                <w:highlight w:val="none"/>
                <w:u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（2）</w:t>
            </w:r>
            <w:r>
              <w:rPr>
                <w:rFonts w:hint="eastAsia" w:ascii="Calibri" w:hAnsi="Calibri" w:eastAsia="宋体" w:cs="Calibri"/>
                <w:b w:val="0"/>
                <w:bCs w:val="0"/>
                <w:color w:val="auto"/>
                <w:kern w:val="0"/>
                <w:szCs w:val="21"/>
                <w:highlight w:val="none"/>
                <w:lang w:val="en-US" w:eastAsia="zh-CN"/>
              </w:rPr>
              <w:t>桶身表面干净无污渍</w:t>
            </w:r>
            <w:r>
              <w:rPr>
                <w:rFonts w:hint="eastAsia" w:eastAsia="宋体" w:cs="Calibri"/>
                <w:b w:val="0"/>
                <w:bCs w:val="0"/>
                <w:color w:val="auto"/>
                <w:kern w:val="0"/>
                <w:szCs w:val="21"/>
                <w:highlight w:val="none"/>
                <w:lang w:val="en-US" w:eastAsia="zh-CN"/>
              </w:rPr>
              <w:t>，每日</w:t>
            </w:r>
            <w:r>
              <w:rPr>
                <w:rFonts w:hint="eastAsia" w:cs="Calibri"/>
                <w:b w:val="0"/>
                <w:bCs w:val="0"/>
                <w:color w:val="auto"/>
                <w:kern w:val="0"/>
                <w:szCs w:val="21"/>
                <w:highlight w:val="none"/>
                <w:lang w:val="en-US" w:eastAsia="zh-CN"/>
              </w:rPr>
              <w:t>开展至少</w:t>
            </w:r>
            <w:r>
              <w:rPr>
                <w:rFonts w:hint="eastAsia" w:eastAsia="宋体" w:cs="Calibri"/>
                <w:b w:val="0"/>
                <w:bCs w:val="0"/>
                <w:color w:val="auto"/>
                <w:kern w:val="0"/>
                <w:szCs w:val="21"/>
                <w:highlight w:val="none"/>
                <w:lang w:val="en-US" w:eastAsia="zh-CN"/>
              </w:rPr>
              <w:t>1次清洁作业。</w:t>
            </w:r>
          </w:p>
        </w:tc>
      </w:tr>
      <w:tr w14:paraId="7799A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continue"/>
            <w:noWrap w:val="0"/>
            <w:vAlign w:val="center"/>
          </w:tcPr>
          <w:p w14:paraId="2FCAC14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72" w:type="dxa"/>
            <w:vMerge w:val="continue"/>
            <w:noWrap w:val="0"/>
            <w:vAlign w:val="center"/>
          </w:tcPr>
          <w:p w14:paraId="54C8683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978" w:type="dxa"/>
            <w:noWrap w:val="0"/>
            <w:vAlign w:val="center"/>
          </w:tcPr>
          <w:p w14:paraId="26C103C1">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color w:val="auto"/>
                <w:szCs w:val="21"/>
                <w:highlight w:val="none"/>
                <w:u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（3）</w:t>
            </w:r>
            <w:r>
              <w:rPr>
                <w:rFonts w:hint="eastAsia" w:ascii="Calibri" w:hAnsi="Calibri" w:eastAsia="宋体" w:cs="Calibri"/>
                <w:b w:val="0"/>
                <w:bCs w:val="0"/>
                <w:color w:val="auto"/>
                <w:kern w:val="0"/>
                <w:szCs w:val="21"/>
                <w:highlight w:val="none"/>
                <w:lang w:val="en-US" w:eastAsia="zh-CN"/>
              </w:rPr>
              <w:t>垃圾中转房保持整洁，无明显异味</w:t>
            </w:r>
            <w:r>
              <w:rPr>
                <w:rFonts w:hint="eastAsia" w:eastAsia="宋体" w:cs="Calibri"/>
                <w:b w:val="0"/>
                <w:bCs w:val="0"/>
                <w:color w:val="auto"/>
                <w:kern w:val="0"/>
                <w:szCs w:val="21"/>
                <w:highlight w:val="none"/>
                <w:lang w:val="en-US" w:eastAsia="zh-CN"/>
              </w:rPr>
              <w:t>，每日</w:t>
            </w:r>
            <w:r>
              <w:rPr>
                <w:rFonts w:hint="eastAsia" w:cs="Calibri"/>
                <w:b w:val="0"/>
                <w:bCs w:val="0"/>
                <w:color w:val="auto"/>
                <w:kern w:val="0"/>
                <w:szCs w:val="21"/>
                <w:highlight w:val="none"/>
                <w:lang w:val="en-US" w:eastAsia="zh-CN"/>
              </w:rPr>
              <w:t>至少开展</w:t>
            </w:r>
            <w:r>
              <w:rPr>
                <w:rFonts w:hint="eastAsia" w:eastAsia="宋体" w:cs="Calibri"/>
                <w:b w:val="0"/>
                <w:bCs w:val="0"/>
                <w:color w:val="auto"/>
                <w:kern w:val="0"/>
                <w:szCs w:val="21"/>
                <w:highlight w:val="none"/>
                <w:lang w:val="en-US" w:eastAsia="zh-CN"/>
              </w:rPr>
              <w:t>1次清洁作业。</w:t>
            </w:r>
          </w:p>
        </w:tc>
      </w:tr>
      <w:tr w14:paraId="712D2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continue"/>
            <w:noWrap w:val="0"/>
            <w:vAlign w:val="center"/>
          </w:tcPr>
          <w:p w14:paraId="69A832C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72" w:type="dxa"/>
            <w:vMerge w:val="continue"/>
            <w:noWrap w:val="0"/>
            <w:vAlign w:val="center"/>
          </w:tcPr>
          <w:p w14:paraId="6B612F3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978" w:type="dxa"/>
            <w:noWrap w:val="0"/>
            <w:vAlign w:val="center"/>
          </w:tcPr>
          <w:p w14:paraId="13F8F96A">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color w:val="auto"/>
                <w:szCs w:val="21"/>
                <w:highlight w:val="none"/>
                <w:u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（4）</w:t>
            </w:r>
            <w:r>
              <w:rPr>
                <w:rFonts w:hint="eastAsia" w:ascii="Calibri" w:hAnsi="Calibri" w:eastAsia="宋体" w:cs="Calibri"/>
                <w:b w:val="0"/>
                <w:bCs w:val="0"/>
                <w:color w:val="auto"/>
                <w:kern w:val="0"/>
                <w:szCs w:val="21"/>
                <w:highlight w:val="none"/>
                <w:lang w:val="en-US" w:eastAsia="zh-CN"/>
              </w:rPr>
              <w:t>化粪池清掏，无明显异味</w:t>
            </w:r>
            <w:r>
              <w:rPr>
                <w:rFonts w:hint="eastAsia" w:eastAsia="宋体" w:cs="Calibri"/>
                <w:b w:val="0"/>
                <w:bCs w:val="0"/>
                <w:color w:val="auto"/>
                <w:kern w:val="0"/>
                <w:szCs w:val="21"/>
                <w:highlight w:val="none"/>
                <w:lang w:val="en-US" w:eastAsia="zh-CN"/>
              </w:rPr>
              <w:t>，每半年</w:t>
            </w:r>
            <w:r>
              <w:rPr>
                <w:rFonts w:hint="eastAsia" w:cs="Calibri"/>
                <w:b w:val="0"/>
                <w:bCs w:val="0"/>
                <w:color w:val="auto"/>
                <w:kern w:val="0"/>
                <w:szCs w:val="21"/>
                <w:highlight w:val="none"/>
                <w:lang w:val="en-US" w:eastAsia="zh-CN"/>
              </w:rPr>
              <w:t>至少开展</w:t>
            </w:r>
            <w:r>
              <w:rPr>
                <w:rFonts w:hint="eastAsia" w:eastAsia="宋体" w:cs="Calibri"/>
                <w:b w:val="0"/>
                <w:bCs w:val="0"/>
                <w:color w:val="auto"/>
                <w:kern w:val="0"/>
                <w:szCs w:val="21"/>
                <w:highlight w:val="none"/>
                <w:lang w:val="en-US" w:eastAsia="zh-CN"/>
              </w:rPr>
              <w:t>1次清洁作业。</w:t>
            </w:r>
          </w:p>
        </w:tc>
      </w:tr>
      <w:tr w14:paraId="67662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continue"/>
            <w:noWrap w:val="0"/>
            <w:vAlign w:val="center"/>
          </w:tcPr>
          <w:p w14:paraId="0C7A98B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72" w:type="dxa"/>
            <w:vMerge w:val="continue"/>
            <w:noWrap w:val="0"/>
            <w:vAlign w:val="center"/>
          </w:tcPr>
          <w:p w14:paraId="1DEE2BF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978" w:type="dxa"/>
            <w:noWrap w:val="0"/>
            <w:vAlign w:val="center"/>
          </w:tcPr>
          <w:p w14:paraId="144DBD33">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color w:val="auto"/>
                <w:szCs w:val="21"/>
                <w:highlight w:val="none"/>
                <w:u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（5）</w:t>
            </w:r>
            <w:r>
              <w:rPr>
                <w:rFonts w:hint="eastAsia" w:ascii="Calibri" w:hAnsi="Calibri" w:eastAsia="宋体" w:cs="Calibri"/>
                <w:color w:val="auto"/>
                <w:szCs w:val="21"/>
                <w:highlight w:val="none"/>
                <w:u w:val="none"/>
                <w:lang w:val="en-US" w:eastAsia="zh-CN"/>
              </w:rPr>
              <w:t>每个工作日内要对楼层产生的垃圾，进行清理分类，并运至垃圾集中堆放点</w:t>
            </w:r>
            <w:r>
              <w:rPr>
                <w:rFonts w:hint="eastAsia" w:cs="Calibri"/>
                <w:color w:val="auto"/>
                <w:szCs w:val="21"/>
                <w:highlight w:val="none"/>
                <w:u w:val="none"/>
                <w:lang w:val="en-US" w:eastAsia="zh-CN"/>
              </w:rPr>
              <w:t>。</w:t>
            </w:r>
          </w:p>
        </w:tc>
      </w:tr>
      <w:tr w14:paraId="5F8A8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continue"/>
            <w:noWrap w:val="0"/>
            <w:vAlign w:val="center"/>
          </w:tcPr>
          <w:p w14:paraId="57A3A05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72" w:type="dxa"/>
            <w:vMerge w:val="continue"/>
            <w:noWrap w:val="0"/>
            <w:vAlign w:val="center"/>
          </w:tcPr>
          <w:p w14:paraId="57A24BC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978" w:type="dxa"/>
            <w:noWrap w:val="0"/>
            <w:vAlign w:val="center"/>
          </w:tcPr>
          <w:p w14:paraId="1535CC27">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color w:val="auto"/>
                <w:szCs w:val="21"/>
                <w:highlight w:val="none"/>
                <w:u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（6）</w:t>
            </w:r>
            <w:r>
              <w:rPr>
                <w:rFonts w:hint="eastAsia" w:ascii="Calibri" w:hAnsi="Calibri" w:eastAsia="宋体" w:cs="Calibri"/>
                <w:b w:val="0"/>
                <w:bCs w:val="0"/>
                <w:color w:val="auto"/>
                <w:kern w:val="0"/>
                <w:szCs w:val="21"/>
                <w:highlight w:val="none"/>
                <w:lang w:val="en-US" w:eastAsia="zh-CN"/>
              </w:rPr>
              <w:t>垃圾装袋，日产日清</w:t>
            </w:r>
            <w:r>
              <w:rPr>
                <w:rFonts w:hint="eastAsia" w:eastAsia="宋体" w:cs="Calibri"/>
                <w:b w:val="0"/>
                <w:bCs w:val="0"/>
                <w:color w:val="auto"/>
                <w:kern w:val="0"/>
                <w:szCs w:val="21"/>
                <w:highlight w:val="none"/>
                <w:lang w:val="en-US" w:eastAsia="zh-CN"/>
              </w:rPr>
              <w:t>。</w:t>
            </w:r>
          </w:p>
        </w:tc>
      </w:tr>
      <w:tr w14:paraId="31D72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continue"/>
            <w:noWrap w:val="0"/>
            <w:vAlign w:val="center"/>
          </w:tcPr>
          <w:p w14:paraId="1D7FDF8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72" w:type="dxa"/>
            <w:vMerge w:val="continue"/>
            <w:noWrap w:val="0"/>
            <w:vAlign w:val="center"/>
          </w:tcPr>
          <w:p w14:paraId="6B3506E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978" w:type="dxa"/>
            <w:noWrap w:val="0"/>
            <w:vAlign w:val="center"/>
          </w:tcPr>
          <w:p w14:paraId="37864528">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color w:val="auto"/>
                <w:szCs w:val="21"/>
                <w:highlight w:val="none"/>
                <w:u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（7）</w:t>
            </w:r>
            <w:r>
              <w:rPr>
                <w:rFonts w:hint="eastAsia" w:ascii="Calibri" w:hAnsi="Calibri" w:eastAsia="宋体" w:cs="Calibri"/>
                <w:b w:val="0"/>
                <w:bCs w:val="0"/>
                <w:color w:val="auto"/>
                <w:kern w:val="0"/>
                <w:szCs w:val="21"/>
                <w:highlight w:val="none"/>
                <w:lang w:val="en-US" w:eastAsia="zh-CN"/>
              </w:rPr>
              <w:t>建立垃圾清运台账，交由规范的渠道回收处理</w:t>
            </w:r>
            <w:r>
              <w:rPr>
                <w:rFonts w:hint="eastAsia" w:eastAsia="宋体" w:cs="Calibri"/>
                <w:b w:val="0"/>
                <w:bCs w:val="0"/>
                <w:color w:val="auto"/>
                <w:kern w:val="0"/>
                <w:szCs w:val="21"/>
                <w:highlight w:val="none"/>
                <w:lang w:val="en-US" w:eastAsia="zh-CN"/>
              </w:rPr>
              <w:t>。</w:t>
            </w:r>
          </w:p>
        </w:tc>
      </w:tr>
      <w:tr w14:paraId="5D774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9" w:type="dxa"/>
            <w:vMerge w:val="continue"/>
            <w:noWrap w:val="0"/>
            <w:vAlign w:val="center"/>
          </w:tcPr>
          <w:p w14:paraId="5AD30A4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72" w:type="dxa"/>
            <w:vMerge w:val="continue"/>
            <w:noWrap w:val="0"/>
            <w:vAlign w:val="center"/>
          </w:tcPr>
          <w:p w14:paraId="16290F1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978" w:type="dxa"/>
            <w:noWrap w:val="0"/>
            <w:vAlign w:val="center"/>
          </w:tcPr>
          <w:p w14:paraId="0947295E">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color w:val="auto"/>
                <w:szCs w:val="21"/>
                <w:highlight w:val="none"/>
                <w:u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（8）</w:t>
            </w:r>
            <w:r>
              <w:rPr>
                <w:rFonts w:hint="default" w:ascii="Calibri" w:hAnsi="Calibri" w:eastAsia="宋体" w:cs="Calibri"/>
                <w:color w:val="auto"/>
                <w:szCs w:val="21"/>
                <w:highlight w:val="none"/>
                <w:u w:val="none"/>
                <w:lang w:val="en-US" w:eastAsia="zh-CN"/>
              </w:rPr>
              <w:t>做好垃圾分类管理的宣传工作，督促并引导全员参与垃圾分类投放</w:t>
            </w:r>
            <w:r>
              <w:rPr>
                <w:rFonts w:hint="eastAsia" w:cs="Calibri"/>
                <w:color w:val="auto"/>
                <w:szCs w:val="21"/>
                <w:highlight w:val="none"/>
                <w:u w:val="none"/>
                <w:lang w:val="en-US" w:eastAsia="zh-CN"/>
              </w:rPr>
              <w:t>。</w:t>
            </w:r>
          </w:p>
        </w:tc>
      </w:tr>
      <w:tr w14:paraId="16B79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219" w:type="dxa"/>
            <w:vMerge w:val="continue"/>
            <w:noWrap w:val="0"/>
            <w:vAlign w:val="center"/>
          </w:tcPr>
          <w:p w14:paraId="7CDE517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p>
        </w:tc>
        <w:tc>
          <w:tcPr>
            <w:tcW w:w="3372" w:type="dxa"/>
            <w:vMerge w:val="continue"/>
            <w:noWrap w:val="0"/>
            <w:vAlign w:val="center"/>
          </w:tcPr>
          <w:p w14:paraId="346FE6D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978" w:type="dxa"/>
            <w:noWrap w:val="0"/>
            <w:vAlign w:val="center"/>
          </w:tcPr>
          <w:p w14:paraId="4696A412">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（9）</w:t>
            </w:r>
            <w:r>
              <w:rPr>
                <w:rFonts w:hint="eastAsia" w:ascii="Calibri" w:hAnsi="Calibri" w:eastAsia="宋体" w:cs="Calibri"/>
                <w:color w:val="auto"/>
                <w:szCs w:val="21"/>
                <w:highlight w:val="none"/>
                <w:u w:val="none"/>
                <w:lang w:val="en-US" w:eastAsia="zh-CN"/>
              </w:rPr>
              <w:t>垃圾分类投放管理工作的执行标准，按</w:t>
            </w:r>
            <w:r>
              <w:rPr>
                <w:rFonts w:hint="eastAsia" w:ascii="Calibri" w:hAnsi="Calibri" w:eastAsia="宋体" w:cs="Calibri"/>
                <w:b w:val="0"/>
                <w:bCs w:val="0"/>
                <w:color w:val="auto"/>
                <w:kern w:val="0"/>
                <w:szCs w:val="21"/>
                <w:highlight w:val="none"/>
                <w:lang w:val="en-US" w:eastAsia="zh-CN"/>
              </w:rPr>
              <w:t>所在城市</w:t>
            </w:r>
            <w:r>
              <w:rPr>
                <w:rFonts w:hint="eastAsia" w:ascii="Calibri" w:hAnsi="Calibri" w:eastAsia="宋体" w:cs="Calibri"/>
                <w:color w:val="auto"/>
                <w:szCs w:val="21"/>
                <w:highlight w:val="none"/>
                <w:u w:val="none"/>
                <w:lang w:val="en-US" w:eastAsia="zh-CN"/>
              </w:rPr>
              <w:t>的要求执行。</w:t>
            </w:r>
          </w:p>
        </w:tc>
      </w:tr>
      <w:tr w14:paraId="5504C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219" w:type="dxa"/>
            <w:vMerge w:val="restart"/>
            <w:noWrap w:val="0"/>
            <w:vAlign w:val="center"/>
          </w:tcPr>
          <w:p w14:paraId="58CF577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r>
              <w:rPr>
                <w:rFonts w:hint="eastAsia"/>
                <w:highlight w:val="none"/>
                <w:lang w:val="en-US" w:eastAsia="zh-CN"/>
              </w:rPr>
              <w:t>5</w:t>
            </w:r>
          </w:p>
        </w:tc>
        <w:tc>
          <w:tcPr>
            <w:tcW w:w="3372" w:type="dxa"/>
            <w:vMerge w:val="restart"/>
            <w:noWrap w:val="0"/>
            <w:vAlign w:val="center"/>
          </w:tcPr>
          <w:p w14:paraId="431F047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r>
              <w:rPr>
                <w:rFonts w:hint="default"/>
                <w:highlight w:val="none"/>
              </w:rPr>
              <w:t>卫生消毒</w:t>
            </w:r>
          </w:p>
        </w:tc>
        <w:tc>
          <w:tcPr>
            <w:tcW w:w="9978" w:type="dxa"/>
            <w:noWrap w:val="0"/>
            <w:vAlign w:val="center"/>
          </w:tcPr>
          <w:p w14:paraId="3332F3FE">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办公用房区域、公共场所区域和周围环境预防性卫生消毒</w:t>
            </w:r>
            <w:r>
              <w:rPr>
                <w:rFonts w:hint="eastAsia" w:eastAsia="宋体" w:cs="Calibri"/>
                <w:b w:val="0"/>
                <w:bCs w:val="0"/>
                <w:color w:val="auto"/>
                <w:kern w:val="0"/>
                <w:szCs w:val="21"/>
                <w:highlight w:val="none"/>
                <w:lang w:val="en-US" w:eastAsia="zh-CN"/>
              </w:rPr>
              <w:t>，</w:t>
            </w:r>
            <w:r>
              <w:rPr>
                <w:rFonts w:hint="eastAsia" w:ascii="Calibri" w:hAnsi="Calibri" w:eastAsia="宋体" w:cs="Calibri"/>
                <w:color w:val="auto"/>
                <w:szCs w:val="21"/>
                <w:highlight w:val="none"/>
                <w:u w:val="none"/>
                <w:lang w:val="en-US" w:eastAsia="zh-CN"/>
              </w:rPr>
              <w:t>消毒后及时通风</w:t>
            </w:r>
            <w:r>
              <w:rPr>
                <w:rFonts w:hint="eastAsia" w:eastAsia="宋体" w:cs="Calibri"/>
                <w:color w:val="auto"/>
                <w:szCs w:val="21"/>
                <w:highlight w:val="none"/>
                <w:u w:val="none"/>
                <w:lang w:val="en-US" w:eastAsia="zh-CN"/>
              </w:rPr>
              <w:t>，每周</w:t>
            </w:r>
            <w:r>
              <w:rPr>
                <w:rFonts w:hint="eastAsia" w:cs="Calibri"/>
                <w:b w:val="0"/>
                <w:bCs w:val="0"/>
                <w:color w:val="auto"/>
                <w:kern w:val="0"/>
                <w:szCs w:val="21"/>
                <w:highlight w:val="none"/>
                <w:lang w:val="en-US" w:eastAsia="zh-CN"/>
              </w:rPr>
              <w:t>至少开展</w:t>
            </w:r>
            <w:r>
              <w:rPr>
                <w:rFonts w:hint="eastAsia" w:eastAsia="宋体" w:cs="Calibri"/>
                <w:color w:val="auto"/>
                <w:szCs w:val="21"/>
                <w:highlight w:val="none"/>
                <w:u w:val="none"/>
                <w:lang w:val="en-US" w:eastAsia="zh-CN"/>
              </w:rPr>
              <w:t>1次作业。</w:t>
            </w:r>
          </w:p>
        </w:tc>
      </w:tr>
      <w:tr w14:paraId="351A2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19" w:type="dxa"/>
            <w:vMerge w:val="continue"/>
            <w:noWrap w:val="0"/>
            <w:vAlign w:val="center"/>
          </w:tcPr>
          <w:p w14:paraId="6344BBD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72" w:type="dxa"/>
            <w:vMerge w:val="continue"/>
            <w:noWrap w:val="0"/>
            <w:vAlign w:val="center"/>
          </w:tcPr>
          <w:p w14:paraId="2BA1643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978" w:type="dxa"/>
            <w:noWrap w:val="0"/>
            <w:vAlign w:val="center"/>
          </w:tcPr>
          <w:p w14:paraId="2D1E44F0">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（2）</w:t>
            </w:r>
            <w:r>
              <w:rPr>
                <w:rFonts w:hint="eastAsia" w:ascii="Calibri" w:hAnsi="Calibri" w:eastAsia="宋体" w:cs="Calibri"/>
                <w:b w:val="0"/>
                <w:bCs w:val="0"/>
                <w:color w:val="auto"/>
                <w:kern w:val="0"/>
                <w:szCs w:val="21"/>
                <w:highlight w:val="none"/>
                <w:lang w:val="en-US" w:eastAsia="zh-CN"/>
              </w:rPr>
              <w:t>采取综合措施消灭老鼠、蟑螂，控制室内外蚊虫孳生，达到基本无蝇</w:t>
            </w:r>
            <w:r>
              <w:rPr>
                <w:rFonts w:hint="eastAsia" w:eastAsia="宋体" w:cs="Calibri"/>
                <w:color w:val="auto"/>
                <w:szCs w:val="21"/>
                <w:highlight w:val="none"/>
                <w:u w:val="none"/>
                <w:lang w:val="en-US" w:eastAsia="zh-CN"/>
              </w:rPr>
              <w:t>，</w:t>
            </w:r>
            <w:r>
              <w:rPr>
                <w:rFonts w:hint="eastAsia" w:cs="Calibri"/>
                <w:color w:val="auto"/>
                <w:szCs w:val="21"/>
                <w:highlight w:val="none"/>
                <w:u w:val="none"/>
                <w:lang w:val="en-US" w:eastAsia="zh-CN"/>
              </w:rPr>
              <w:t>每季度</w:t>
            </w:r>
            <w:r>
              <w:rPr>
                <w:rFonts w:hint="eastAsia" w:cs="Calibri"/>
                <w:b w:val="0"/>
                <w:bCs w:val="0"/>
                <w:color w:val="auto"/>
                <w:kern w:val="0"/>
                <w:szCs w:val="21"/>
                <w:highlight w:val="none"/>
                <w:lang w:val="en-US" w:eastAsia="zh-CN"/>
              </w:rPr>
              <w:t>至少开展</w:t>
            </w:r>
            <w:r>
              <w:rPr>
                <w:rFonts w:hint="eastAsia" w:eastAsia="宋体" w:cs="Calibri"/>
                <w:color w:val="auto"/>
                <w:szCs w:val="21"/>
                <w:highlight w:val="none"/>
                <w:u w:val="none"/>
                <w:lang w:val="en-US" w:eastAsia="zh-CN"/>
              </w:rPr>
              <w:t>1次作业。</w:t>
            </w:r>
          </w:p>
        </w:tc>
      </w:tr>
      <w:tr w14:paraId="46B21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219" w:type="dxa"/>
            <w:vMerge w:val="continue"/>
            <w:noWrap w:val="0"/>
            <w:vAlign w:val="center"/>
          </w:tcPr>
          <w:p w14:paraId="41A7274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p>
        </w:tc>
        <w:tc>
          <w:tcPr>
            <w:tcW w:w="3372" w:type="dxa"/>
            <w:vMerge w:val="continue"/>
            <w:noWrap w:val="0"/>
            <w:vAlign w:val="center"/>
          </w:tcPr>
          <w:p w14:paraId="42A0E6D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978" w:type="dxa"/>
            <w:noWrap w:val="0"/>
            <w:vAlign w:val="center"/>
          </w:tcPr>
          <w:p w14:paraId="1A6653FF">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（3）</w:t>
            </w:r>
            <w:r>
              <w:rPr>
                <w:rFonts w:hint="eastAsia" w:ascii="Calibri" w:hAnsi="Calibri" w:eastAsia="宋体" w:cs="Calibri"/>
                <w:b w:val="0"/>
                <w:bCs w:val="0"/>
                <w:color w:val="auto"/>
                <w:kern w:val="0"/>
                <w:szCs w:val="21"/>
                <w:highlight w:val="none"/>
                <w:lang w:val="en-US" w:eastAsia="zh-CN"/>
              </w:rPr>
              <w:t>发生公共卫生事件时，邀请专业单位开展消毒、检测等工作</w:t>
            </w:r>
            <w:r>
              <w:rPr>
                <w:rFonts w:hint="eastAsia" w:eastAsia="宋体" w:cs="Calibri"/>
                <w:b w:val="0"/>
                <w:bCs w:val="0"/>
                <w:color w:val="auto"/>
                <w:kern w:val="0"/>
                <w:szCs w:val="21"/>
                <w:highlight w:val="none"/>
                <w:lang w:val="en-US" w:eastAsia="zh-CN"/>
              </w:rPr>
              <w:t>。</w:t>
            </w:r>
          </w:p>
        </w:tc>
      </w:tr>
    </w:tbl>
    <w:p w14:paraId="4240EEB3">
      <w:pPr>
        <w:pStyle w:val="4"/>
        <w:bidi w:val="0"/>
        <w:rPr>
          <w:rFonts w:hint="eastAsia" w:ascii="宋体" w:hAnsi="宋体" w:eastAsia="宋体" w:cs="宋体"/>
          <w:b/>
          <w:bCs/>
          <w:color w:val="auto"/>
          <w:kern w:val="44"/>
          <w:sz w:val="28"/>
          <w:szCs w:val="28"/>
          <w:highlight w:val="none"/>
          <w:lang w:val="en-US" w:eastAsia="zh-CN" w:bidi="ar-SA"/>
        </w:rPr>
      </w:pPr>
      <w:r>
        <w:rPr>
          <w:rFonts w:hint="eastAsia" w:ascii="宋体" w:hAnsi="宋体" w:eastAsia="宋体" w:cs="宋体"/>
          <w:b/>
          <w:bCs/>
          <w:color w:val="auto"/>
          <w:kern w:val="44"/>
          <w:sz w:val="28"/>
          <w:szCs w:val="28"/>
          <w:highlight w:val="none"/>
          <w:lang w:val="en-US" w:eastAsia="zh-CN" w:bidi="ar-SA"/>
        </w:rPr>
        <w:t>3.4.1具体清洁要求</w:t>
      </w:r>
    </w:p>
    <w:tbl>
      <w:tblPr>
        <w:tblStyle w:val="32"/>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
        <w:gridCol w:w="1930"/>
        <w:gridCol w:w="5735"/>
      </w:tblGrid>
      <w:tr w14:paraId="33281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847" w:type="dxa"/>
            <w:noWrap w:val="0"/>
            <w:vAlign w:val="center"/>
          </w:tcPr>
          <w:p w14:paraId="0D042B00">
            <w:pPr>
              <w:jc w:val="center"/>
              <w:rPr>
                <w:rFonts w:hint="default"/>
                <w:b/>
                <w:bCs/>
                <w:highlight w:val="none"/>
                <w:vertAlign w:val="baseline"/>
                <w:lang w:val="en-US" w:eastAsia="zh-CN"/>
              </w:rPr>
            </w:pPr>
            <w:r>
              <w:rPr>
                <w:rFonts w:hint="eastAsia"/>
                <w:b/>
                <w:bCs/>
                <w:highlight w:val="none"/>
                <w:vertAlign w:val="baseline"/>
                <w:lang w:val="en-US" w:eastAsia="zh-CN"/>
              </w:rPr>
              <w:t>序号</w:t>
            </w:r>
          </w:p>
        </w:tc>
        <w:tc>
          <w:tcPr>
            <w:tcW w:w="1930" w:type="dxa"/>
            <w:noWrap w:val="0"/>
            <w:vAlign w:val="center"/>
          </w:tcPr>
          <w:p w14:paraId="261EAD23">
            <w:pPr>
              <w:jc w:val="center"/>
              <w:rPr>
                <w:rFonts w:hint="default"/>
                <w:b/>
                <w:bCs/>
                <w:highlight w:val="none"/>
                <w:vertAlign w:val="baseline"/>
                <w:lang w:val="en-US" w:eastAsia="zh-CN"/>
              </w:rPr>
            </w:pPr>
            <w:r>
              <w:rPr>
                <w:rFonts w:hint="eastAsia"/>
                <w:b/>
                <w:bCs/>
                <w:highlight w:val="none"/>
                <w:vertAlign w:val="baseline"/>
                <w:lang w:val="en-US" w:eastAsia="zh-CN"/>
              </w:rPr>
              <w:t>材质</w:t>
            </w:r>
          </w:p>
        </w:tc>
        <w:tc>
          <w:tcPr>
            <w:tcW w:w="5735" w:type="dxa"/>
            <w:noWrap w:val="0"/>
            <w:vAlign w:val="center"/>
          </w:tcPr>
          <w:p w14:paraId="3BFF3DBC">
            <w:pPr>
              <w:jc w:val="center"/>
              <w:rPr>
                <w:rFonts w:hint="default"/>
                <w:b/>
                <w:bCs/>
                <w:highlight w:val="none"/>
                <w:vertAlign w:val="baseline"/>
                <w:lang w:val="en-US" w:eastAsia="zh-CN"/>
              </w:rPr>
            </w:pPr>
            <w:r>
              <w:rPr>
                <w:rFonts w:hint="eastAsia"/>
                <w:b/>
                <w:bCs/>
                <w:highlight w:val="none"/>
                <w:vertAlign w:val="baseline"/>
                <w:lang w:val="en-US" w:eastAsia="zh-CN"/>
              </w:rPr>
              <w:t>清洁要求</w:t>
            </w:r>
          </w:p>
        </w:tc>
      </w:tr>
      <w:tr w14:paraId="2DFA9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vMerge w:val="restart"/>
            <w:noWrap w:val="0"/>
            <w:vAlign w:val="center"/>
          </w:tcPr>
          <w:p w14:paraId="375AC3C8">
            <w:pPr>
              <w:jc w:val="center"/>
              <w:rPr>
                <w:rFonts w:hint="default" w:eastAsia="宋体"/>
                <w:highlight w:val="none"/>
                <w:vertAlign w:val="baseline"/>
                <w:lang w:val="en-US" w:eastAsia="zh-CN"/>
              </w:rPr>
            </w:pPr>
            <w:r>
              <w:rPr>
                <w:rFonts w:hint="eastAsia"/>
                <w:highlight w:val="none"/>
                <w:vertAlign w:val="baseline"/>
                <w:lang w:val="en-US" w:eastAsia="zh-CN"/>
              </w:rPr>
              <w:t>1</w:t>
            </w:r>
          </w:p>
        </w:tc>
        <w:tc>
          <w:tcPr>
            <w:tcW w:w="1930" w:type="dxa"/>
            <w:vMerge w:val="restart"/>
            <w:noWrap w:val="0"/>
            <w:vAlign w:val="center"/>
          </w:tcPr>
          <w:p w14:paraId="477E5F78">
            <w:pPr>
              <w:jc w:val="both"/>
              <w:rPr>
                <w:rFonts w:hint="default" w:eastAsia="宋体"/>
                <w:highlight w:val="none"/>
                <w:vertAlign w:val="baseline"/>
                <w:lang w:val="en-US" w:eastAsia="zh-CN"/>
              </w:rPr>
            </w:pPr>
            <w:r>
              <w:rPr>
                <w:rFonts w:hint="eastAsia" w:eastAsia="宋体"/>
                <w:highlight w:val="none"/>
                <w:vertAlign w:val="baseline"/>
                <w:lang w:val="en-US" w:eastAsia="zh-CN"/>
              </w:rPr>
              <w:t>瓷砖地面</w:t>
            </w:r>
          </w:p>
        </w:tc>
        <w:tc>
          <w:tcPr>
            <w:tcW w:w="5735" w:type="dxa"/>
            <w:noWrap w:val="0"/>
            <w:vAlign w:val="center"/>
          </w:tcPr>
          <w:p w14:paraId="1877B57F">
            <w:pPr>
              <w:ind w:firstLine="240" w:firstLineChars="100"/>
              <w:jc w:val="both"/>
              <w:rPr>
                <w:rFonts w:hint="eastAsia"/>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（1）</w:t>
            </w:r>
            <w:r>
              <w:rPr>
                <w:rFonts w:hint="eastAsia"/>
                <w:highlight w:val="none"/>
              </w:rPr>
              <w:t>日常清洁：</w:t>
            </w:r>
            <w:r>
              <w:rPr>
                <w:rFonts w:hint="eastAsia"/>
                <w:highlight w:val="none"/>
                <w:lang w:val="en-US" w:eastAsia="zh-CN"/>
              </w:rPr>
              <w:t>推尘，保持地面干净无杂物。</w:t>
            </w:r>
          </w:p>
        </w:tc>
      </w:tr>
      <w:tr w14:paraId="648F6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vMerge w:val="continue"/>
            <w:noWrap w:val="0"/>
            <w:vAlign w:val="center"/>
          </w:tcPr>
          <w:p w14:paraId="2783A17E">
            <w:pPr>
              <w:jc w:val="center"/>
              <w:rPr>
                <w:rFonts w:hint="eastAsia" w:eastAsia="宋体"/>
                <w:highlight w:val="none"/>
                <w:vertAlign w:val="baseline"/>
                <w:lang w:val="en-US" w:eastAsia="zh-CN"/>
              </w:rPr>
            </w:pPr>
          </w:p>
        </w:tc>
        <w:tc>
          <w:tcPr>
            <w:tcW w:w="1930" w:type="dxa"/>
            <w:vMerge w:val="continue"/>
            <w:noWrap w:val="0"/>
            <w:vAlign w:val="center"/>
          </w:tcPr>
          <w:p w14:paraId="53CC3383">
            <w:pPr>
              <w:jc w:val="both"/>
              <w:rPr>
                <w:rFonts w:hint="default" w:eastAsia="宋体"/>
                <w:highlight w:val="none"/>
                <w:vertAlign w:val="baseline"/>
                <w:lang w:val="en-US" w:eastAsia="zh-CN"/>
              </w:rPr>
            </w:pPr>
          </w:p>
        </w:tc>
        <w:tc>
          <w:tcPr>
            <w:tcW w:w="5735" w:type="dxa"/>
            <w:noWrap w:val="0"/>
            <w:vAlign w:val="center"/>
          </w:tcPr>
          <w:p w14:paraId="6CE82602">
            <w:pPr>
              <w:ind w:firstLine="240" w:firstLineChars="100"/>
              <w:jc w:val="both"/>
              <w:rPr>
                <w:rFonts w:hint="default"/>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（2）</w:t>
            </w:r>
            <w:r>
              <w:rPr>
                <w:rFonts w:hint="eastAsia"/>
                <w:highlight w:val="none"/>
                <w:lang w:val="en-US" w:eastAsia="zh-CN"/>
              </w:rPr>
              <w:t>深度清洁：使用洗洁精或肥皂水清理。</w:t>
            </w:r>
          </w:p>
        </w:tc>
      </w:tr>
      <w:tr w14:paraId="5D0CD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vMerge w:val="restart"/>
            <w:noWrap w:val="0"/>
            <w:vAlign w:val="center"/>
          </w:tcPr>
          <w:p w14:paraId="4AA6F37A">
            <w:pPr>
              <w:jc w:val="center"/>
              <w:rPr>
                <w:rFonts w:hint="default" w:eastAsia="宋体"/>
                <w:highlight w:val="none"/>
                <w:vertAlign w:val="baseline"/>
                <w:lang w:val="en-US" w:eastAsia="zh-CN"/>
              </w:rPr>
            </w:pPr>
            <w:r>
              <w:rPr>
                <w:rFonts w:hint="eastAsia"/>
                <w:highlight w:val="none"/>
                <w:vertAlign w:val="baseline"/>
                <w:lang w:val="en-US" w:eastAsia="zh-CN"/>
              </w:rPr>
              <w:t>2</w:t>
            </w:r>
          </w:p>
        </w:tc>
        <w:tc>
          <w:tcPr>
            <w:tcW w:w="1930" w:type="dxa"/>
            <w:vMerge w:val="restart"/>
            <w:noWrap w:val="0"/>
            <w:vAlign w:val="center"/>
          </w:tcPr>
          <w:p w14:paraId="3134354D">
            <w:pPr>
              <w:jc w:val="both"/>
              <w:rPr>
                <w:rFonts w:hint="eastAsia" w:eastAsia="宋体"/>
                <w:highlight w:val="none"/>
                <w:vertAlign w:val="baseline"/>
                <w:lang w:val="en-US" w:eastAsia="zh-CN"/>
              </w:rPr>
            </w:pPr>
            <w:r>
              <w:rPr>
                <w:rFonts w:hint="eastAsia" w:eastAsia="宋体"/>
                <w:highlight w:val="none"/>
                <w:vertAlign w:val="baseline"/>
                <w:lang w:val="en-US" w:eastAsia="zh-CN"/>
              </w:rPr>
              <w:t>地板地面</w:t>
            </w:r>
          </w:p>
        </w:tc>
        <w:tc>
          <w:tcPr>
            <w:tcW w:w="5735" w:type="dxa"/>
            <w:noWrap w:val="0"/>
            <w:vAlign w:val="center"/>
          </w:tcPr>
          <w:p w14:paraId="78B9FDF5">
            <w:pPr>
              <w:ind w:firstLine="240" w:firstLineChars="100"/>
              <w:jc w:val="both"/>
              <w:rPr>
                <w:rFonts w:hint="eastAsia"/>
                <w:highlight w:val="none"/>
                <w:vertAlign w:val="baseli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（1）</w:t>
            </w:r>
            <w:r>
              <w:rPr>
                <w:rFonts w:hint="default"/>
                <w:highlight w:val="none"/>
                <w:vertAlign w:val="baseline"/>
                <w:lang w:val="en-US" w:eastAsia="zh-CN"/>
              </w:rPr>
              <w:t>定期保养。使用中性清洁剂清洁，避免使用强酸或强碱清洁剂，定期进行基础维护。</w:t>
            </w:r>
          </w:p>
        </w:tc>
      </w:tr>
      <w:tr w14:paraId="12AC7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vMerge w:val="continue"/>
            <w:noWrap w:val="0"/>
            <w:vAlign w:val="center"/>
          </w:tcPr>
          <w:p w14:paraId="734917D0">
            <w:pPr>
              <w:jc w:val="center"/>
              <w:rPr>
                <w:rFonts w:hint="default" w:eastAsia="宋体"/>
                <w:highlight w:val="none"/>
                <w:vertAlign w:val="baseline"/>
                <w:lang w:val="en-US" w:eastAsia="zh-CN"/>
              </w:rPr>
            </w:pPr>
          </w:p>
        </w:tc>
        <w:tc>
          <w:tcPr>
            <w:tcW w:w="1930" w:type="dxa"/>
            <w:vMerge w:val="continue"/>
            <w:noWrap w:val="0"/>
            <w:vAlign w:val="center"/>
          </w:tcPr>
          <w:p w14:paraId="03F6D32E">
            <w:pPr>
              <w:jc w:val="both"/>
              <w:rPr>
                <w:rFonts w:hint="eastAsia" w:eastAsia="宋体"/>
                <w:highlight w:val="none"/>
                <w:vertAlign w:val="baseline"/>
                <w:lang w:val="en-US" w:eastAsia="zh-CN"/>
              </w:rPr>
            </w:pPr>
          </w:p>
        </w:tc>
        <w:tc>
          <w:tcPr>
            <w:tcW w:w="5735" w:type="dxa"/>
            <w:noWrap w:val="0"/>
            <w:vAlign w:val="center"/>
          </w:tcPr>
          <w:p w14:paraId="0B309516">
            <w:pPr>
              <w:ind w:firstLine="240" w:firstLineChars="100"/>
              <w:jc w:val="both"/>
              <w:rPr>
                <w:rFonts w:hint="default"/>
                <w:highlight w:val="none"/>
                <w:vertAlign w:val="baseli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（2）</w:t>
            </w:r>
            <w:r>
              <w:rPr>
                <w:rFonts w:hint="default"/>
                <w:highlight w:val="none"/>
                <w:vertAlign w:val="baseline"/>
                <w:lang w:val="en-US" w:eastAsia="zh-CN"/>
              </w:rPr>
              <w:t>日常维护。使用湿润的拖把清洁，污染严重时局部清洁，每月对地板进行打蜡处理。</w:t>
            </w:r>
          </w:p>
        </w:tc>
      </w:tr>
      <w:tr w14:paraId="0282E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noWrap w:val="0"/>
            <w:vAlign w:val="center"/>
          </w:tcPr>
          <w:p w14:paraId="389058C6">
            <w:pPr>
              <w:jc w:val="center"/>
              <w:rPr>
                <w:rFonts w:hint="default" w:eastAsia="宋体"/>
                <w:highlight w:val="none"/>
                <w:vertAlign w:val="baseline"/>
                <w:lang w:val="en-US" w:eastAsia="zh-CN"/>
              </w:rPr>
            </w:pPr>
            <w:r>
              <w:rPr>
                <w:rFonts w:hint="eastAsia"/>
                <w:highlight w:val="none"/>
                <w:vertAlign w:val="baseline"/>
                <w:lang w:val="en-US" w:eastAsia="zh-CN"/>
              </w:rPr>
              <w:t>3</w:t>
            </w:r>
          </w:p>
        </w:tc>
        <w:tc>
          <w:tcPr>
            <w:tcW w:w="1930" w:type="dxa"/>
            <w:noWrap w:val="0"/>
            <w:vAlign w:val="center"/>
          </w:tcPr>
          <w:p w14:paraId="52529D8C">
            <w:pPr>
              <w:jc w:val="both"/>
              <w:rPr>
                <w:rFonts w:hint="default" w:eastAsia="宋体"/>
                <w:highlight w:val="none"/>
                <w:vertAlign w:val="baseline"/>
                <w:lang w:val="en-US" w:eastAsia="zh-CN"/>
              </w:rPr>
            </w:pPr>
            <w:r>
              <w:rPr>
                <w:rFonts w:hint="eastAsia" w:eastAsia="宋体"/>
                <w:highlight w:val="none"/>
                <w:vertAlign w:val="baseline"/>
                <w:lang w:val="en-US" w:eastAsia="zh-CN"/>
              </w:rPr>
              <w:t>乳胶漆内墙</w:t>
            </w:r>
          </w:p>
        </w:tc>
        <w:tc>
          <w:tcPr>
            <w:tcW w:w="5735" w:type="dxa"/>
            <w:noWrap w:val="0"/>
            <w:vAlign w:val="center"/>
          </w:tcPr>
          <w:p w14:paraId="4C5E3FA1">
            <w:pPr>
              <w:ind w:firstLine="240" w:firstLineChars="100"/>
              <w:jc w:val="both"/>
              <w:rPr>
                <w:rFonts w:hint="default"/>
                <w:highlight w:val="none"/>
                <w:vertAlign w:val="baseli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highlight w:val="none"/>
                <w:vertAlign w:val="baseline"/>
                <w:lang w:val="en-US" w:eastAsia="zh-CN"/>
              </w:rPr>
              <w:t>有污渍时用半干布擦拭。</w:t>
            </w:r>
          </w:p>
        </w:tc>
      </w:tr>
      <w:tr w14:paraId="5ADB3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noWrap w:val="0"/>
            <w:vAlign w:val="center"/>
          </w:tcPr>
          <w:p w14:paraId="45E84082">
            <w:pPr>
              <w:jc w:val="center"/>
              <w:rPr>
                <w:rFonts w:hint="default" w:eastAsia="宋体"/>
                <w:highlight w:val="none"/>
                <w:vertAlign w:val="baseline"/>
                <w:lang w:val="en-US" w:eastAsia="zh-CN"/>
              </w:rPr>
            </w:pPr>
            <w:r>
              <w:rPr>
                <w:rFonts w:hint="eastAsia"/>
                <w:highlight w:val="none"/>
                <w:vertAlign w:val="baseline"/>
                <w:lang w:val="en-US" w:eastAsia="zh-CN"/>
              </w:rPr>
              <w:t>4</w:t>
            </w:r>
          </w:p>
        </w:tc>
        <w:tc>
          <w:tcPr>
            <w:tcW w:w="1930" w:type="dxa"/>
            <w:noWrap w:val="0"/>
            <w:vAlign w:val="center"/>
          </w:tcPr>
          <w:p w14:paraId="7802406D">
            <w:pPr>
              <w:jc w:val="both"/>
              <w:rPr>
                <w:rFonts w:hint="default" w:eastAsia="宋体"/>
                <w:highlight w:val="none"/>
                <w:vertAlign w:val="baseline"/>
                <w:lang w:val="en-US" w:eastAsia="zh-CN"/>
              </w:rPr>
            </w:pPr>
            <w:r>
              <w:rPr>
                <w:rFonts w:hint="eastAsia" w:eastAsia="宋体"/>
                <w:highlight w:val="none"/>
                <w:vertAlign w:val="baseline"/>
                <w:lang w:val="en-US" w:eastAsia="zh-CN"/>
              </w:rPr>
              <w:t>木饰面内墙</w:t>
            </w:r>
          </w:p>
        </w:tc>
        <w:tc>
          <w:tcPr>
            <w:tcW w:w="5735" w:type="dxa"/>
            <w:noWrap w:val="0"/>
            <w:vAlign w:val="center"/>
          </w:tcPr>
          <w:p w14:paraId="307B4021">
            <w:pPr>
              <w:ind w:firstLine="240" w:firstLineChars="100"/>
              <w:jc w:val="both"/>
              <w:rPr>
                <w:rFonts w:hint="default"/>
                <w:highlight w:val="none"/>
                <w:vertAlign w:val="baseli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highlight w:val="none"/>
                <w:vertAlign w:val="baseline"/>
                <w:lang w:val="en-US" w:eastAsia="zh-CN"/>
              </w:rPr>
              <w:t>有污渍时用中性清洁剂、半干布擦拭。</w:t>
            </w:r>
          </w:p>
        </w:tc>
      </w:tr>
    </w:tbl>
    <w:p w14:paraId="142348FA">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highlight w:val="none"/>
          <w:lang w:val="en-US" w:eastAsia="zh-CN"/>
        </w:rPr>
      </w:pPr>
      <w:r>
        <w:rPr>
          <w:rFonts w:hint="eastAsia" w:ascii="楷体" w:hAnsi="楷体" w:eastAsia="楷体" w:cs="楷体"/>
          <w:highlight w:val="none"/>
          <w:lang w:val="en-US" w:eastAsia="zh-CN"/>
        </w:rPr>
        <w:t>注：根据物业用材情况选择清洁要求</w:t>
      </w:r>
    </w:p>
    <w:p w14:paraId="1D09F9C5">
      <w:pPr>
        <w:pStyle w:val="4"/>
        <w:bidi w:val="0"/>
        <w:rPr>
          <w:rFonts w:hint="default" w:ascii="宋体" w:hAnsi="宋体" w:eastAsia="宋体" w:cs="宋体"/>
          <w:b/>
          <w:bCs/>
          <w:color w:val="auto"/>
          <w:kern w:val="44"/>
          <w:sz w:val="28"/>
          <w:szCs w:val="28"/>
          <w:highlight w:val="none"/>
          <w:lang w:val="en-US" w:eastAsia="zh-CN" w:bidi="ar-SA"/>
        </w:rPr>
      </w:pPr>
      <w:r>
        <w:rPr>
          <w:rFonts w:hint="eastAsia" w:ascii="宋体" w:hAnsi="宋体" w:eastAsia="宋体" w:cs="宋体"/>
          <w:b/>
          <w:bCs/>
          <w:color w:val="auto"/>
          <w:kern w:val="44"/>
          <w:sz w:val="28"/>
          <w:szCs w:val="28"/>
          <w:highlight w:val="none"/>
          <w:lang w:val="en-US" w:eastAsia="zh-CN" w:bidi="ar-SA"/>
        </w:rPr>
        <w:t>3.5</w:t>
      </w:r>
      <w:r>
        <w:rPr>
          <w:rFonts w:hint="default" w:ascii="宋体" w:hAnsi="宋体" w:eastAsia="宋体" w:cs="宋体"/>
          <w:b/>
          <w:bCs/>
          <w:color w:val="auto"/>
          <w:kern w:val="44"/>
          <w:sz w:val="28"/>
          <w:szCs w:val="28"/>
          <w:highlight w:val="none"/>
          <w:lang w:val="en-US" w:eastAsia="zh-CN" w:bidi="ar-SA"/>
        </w:rPr>
        <w:t>绿化服务</w:t>
      </w:r>
    </w:p>
    <w:tbl>
      <w:tblPr>
        <w:tblStyle w:val="32"/>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972"/>
        <w:gridCol w:w="5814"/>
      </w:tblGrid>
      <w:tr w14:paraId="5836D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0" w:type="dxa"/>
            <w:noWrap w:val="0"/>
            <w:vAlign w:val="center"/>
          </w:tcPr>
          <w:p w14:paraId="30AFBCCC">
            <w:pPr>
              <w:pageBreakBefore w:val="0"/>
              <w:widowControl/>
              <w:kinsoku/>
              <w:wordWrap/>
              <w:overflowPunct/>
              <w:topLinePunct w:val="0"/>
              <w:bidi w:val="0"/>
              <w:snapToGrid w:val="0"/>
              <w:spacing w:line="300" w:lineRule="auto"/>
              <w:ind w:left="0"/>
              <w:jc w:val="center"/>
              <w:rPr>
                <w:rFonts w:hint="eastAsia" w:ascii="Calibri" w:hAnsi="Calibri" w:eastAsia="宋体" w:cs="Calibri"/>
                <w:b/>
                <w:bCs/>
                <w:color w:val="auto"/>
                <w:kern w:val="0"/>
                <w:szCs w:val="21"/>
                <w:highlight w:val="none"/>
                <w:lang w:val="en-US" w:eastAsia="zh-CN"/>
              </w:rPr>
            </w:pPr>
            <w:r>
              <w:rPr>
                <w:rFonts w:hint="eastAsia" w:cs="Calibri"/>
                <w:b/>
                <w:bCs/>
                <w:color w:val="auto"/>
                <w:kern w:val="0"/>
                <w:szCs w:val="21"/>
                <w:highlight w:val="none"/>
                <w:lang w:val="en-US" w:eastAsia="zh-CN"/>
              </w:rPr>
              <w:t>序号</w:t>
            </w:r>
          </w:p>
        </w:tc>
        <w:tc>
          <w:tcPr>
            <w:tcW w:w="3369" w:type="dxa"/>
            <w:noWrap w:val="0"/>
            <w:vAlign w:val="center"/>
          </w:tcPr>
          <w:p w14:paraId="52E51918">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Cs w:val="21"/>
                <w:highlight w:val="none"/>
              </w:rPr>
            </w:pPr>
            <w:r>
              <w:rPr>
                <w:rFonts w:hint="default" w:ascii="Calibri" w:hAnsi="Calibri" w:eastAsia="宋体" w:cs="Calibri"/>
                <w:b/>
                <w:bCs/>
                <w:color w:val="auto"/>
                <w:kern w:val="0"/>
                <w:szCs w:val="21"/>
                <w:highlight w:val="none"/>
              </w:rPr>
              <w:t>服务内容</w:t>
            </w:r>
          </w:p>
        </w:tc>
        <w:tc>
          <w:tcPr>
            <w:tcW w:w="9934" w:type="dxa"/>
            <w:noWrap w:val="0"/>
            <w:vAlign w:val="center"/>
          </w:tcPr>
          <w:p w14:paraId="00635DAA">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Cs w:val="21"/>
                <w:highlight w:val="none"/>
                <w:lang w:val="en-US" w:eastAsia="zh-CN"/>
              </w:rPr>
            </w:pPr>
            <w:r>
              <w:rPr>
                <w:rFonts w:hint="eastAsia" w:cs="Calibri"/>
                <w:b/>
                <w:bCs/>
                <w:color w:val="auto"/>
                <w:kern w:val="0"/>
                <w:szCs w:val="21"/>
                <w:highlight w:val="none"/>
                <w:lang w:val="en-US" w:eastAsia="zh-CN"/>
              </w:rPr>
              <w:t>服务标准</w:t>
            </w:r>
          </w:p>
        </w:tc>
      </w:tr>
      <w:tr w14:paraId="22771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0" w:type="dxa"/>
            <w:vMerge w:val="restart"/>
            <w:noWrap w:val="0"/>
            <w:vAlign w:val="center"/>
          </w:tcPr>
          <w:p w14:paraId="6FEC49A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lang w:val="en-US" w:eastAsia="zh-CN"/>
              </w:rPr>
            </w:pPr>
            <w:r>
              <w:rPr>
                <w:rFonts w:hint="eastAsia"/>
                <w:highlight w:val="none"/>
                <w:lang w:val="en-US" w:eastAsia="zh-CN"/>
              </w:rPr>
              <w:t>1</w:t>
            </w:r>
          </w:p>
        </w:tc>
        <w:tc>
          <w:tcPr>
            <w:tcW w:w="3369" w:type="dxa"/>
            <w:vMerge w:val="restart"/>
            <w:noWrap w:val="0"/>
            <w:vAlign w:val="center"/>
          </w:tcPr>
          <w:p w14:paraId="1E1A250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kern w:val="2"/>
                <w:sz w:val="21"/>
                <w:szCs w:val="21"/>
                <w:highlight w:val="none"/>
                <w:lang w:val="en-US" w:eastAsia="zh-CN" w:bidi="ar-SA"/>
              </w:rPr>
            </w:pPr>
            <w:r>
              <w:rPr>
                <w:rFonts w:hint="eastAsia"/>
                <w:highlight w:val="none"/>
                <w:lang w:val="en-US" w:eastAsia="zh-CN"/>
              </w:rPr>
              <w:t>基本要求</w:t>
            </w:r>
          </w:p>
        </w:tc>
        <w:tc>
          <w:tcPr>
            <w:tcW w:w="9934" w:type="dxa"/>
            <w:noWrap w:val="0"/>
            <w:vAlign w:val="center"/>
          </w:tcPr>
          <w:p w14:paraId="3F93A58A">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制定绿化服务的工作制度及工作计划，并按照执行</w:t>
            </w:r>
            <w:r>
              <w:rPr>
                <w:rFonts w:hint="eastAsia" w:eastAsia="宋体" w:cs="Calibri"/>
                <w:b w:val="0"/>
                <w:bCs w:val="0"/>
                <w:color w:val="auto"/>
                <w:kern w:val="0"/>
                <w:szCs w:val="21"/>
                <w:highlight w:val="none"/>
                <w:lang w:val="en-US" w:eastAsia="zh-CN"/>
              </w:rPr>
              <w:t>。</w:t>
            </w:r>
          </w:p>
        </w:tc>
      </w:tr>
      <w:tr w14:paraId="0FDE3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0" w:type="dxa"/>
            <w:vMerge w:val="continue"/>
            <w:noWrap w:val="0"/>
            <w:vAlign w:val="center"/>
          </w:tcPr>
          <w:p w14:paraId="5D86C22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69" w:type="dxa"/>
            <w:vMerge w:val="continue"/>
            <w:noWrap w:val="0"/>
            <w:vAlign w:val="center"/>
          </w:tcPr>
          <w:p w14:paraId="5B5FA3B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highlight w:val="none"/>
                <w:lang w:val="en-US" w:eastAsia="zh-CN"/>
              </w:rPr>
            </w:pPr>
          </w:p>
        </w:tc>
        <w:tc>
          <w:tcPr>
            <w:tcW w:w="9934" w:type="dxa"/>
            <w:noWrap w:val="0"/>
            <w:vAlign w:val="center"/>
          </w:tcPr>
          <w:p w14:paraId="5DFF9EF5">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（2）</w:t>
            </w:r>
            <w:r>
              <w:rPr>
                <w:rFonts w:hint="eastAsia" w:ascii="Calibri" w:hAnsi="Calibri" w:eastAsia="宋体" w:cs="Calibri"/>
                <w:b w:val="0"/>
                <w:bCs w:val="0"/>
                <w:color w:val="auto"/>
                <w:kern w:val="0"/>
                <w:szCs w:val="21"/>
                <w:highlight w:val="none"/>
                <w:lang w:val="en-US" w:eastAsia="zh-CN"/>
              </w:rPr>
              <w:t>做好绿化服务工作记录，填写规范</w:t>
            </w:r>
            <w:r>
              <w:rPr>
                <w:rFonts w:hint="eastAsia" w:eastAsia="宋体" w:cs="Calibri"/>
                <w:b w:val="0"/>
                <w:bCs w:val="0"/>
                <w:color w:val="auto"/>
                <w:kern w:val="0"/>
                <w:szCs w:val="21"/>
                <w:highlight w:val="none"/>
                <w:lang w:val="en-US" w:eastAsia="zh-CN"/>
              </w:rPr>
              <w:t>。</w:t>
            </w:r>
          </w:p>
        </w:tc>
      </w:tr>
      <w:tr w14:paraId="14953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0" w:type="dxa"/>
            <w:vMerge w:val="continue"/>
            <w:noWrap w:val="0"/>
            <w:vAlign w:val="center"/>
          </w:tcPr>
          <w:p w14:paraId="2E6C6DA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69" w:type="dxa"/>
            <w:vMerge w:val="continue"/>
            <w:noWrap w:val="0"/>
            <w:vAlign w:val="center"/>
          </w:tcPr>
          <w:p w14:paraId="6607DB6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highlight w:val="none"/>
                <w:lang w:val="en-US" w:eastAsia="zh-CN"/>
              </w:rPr>
            </w:pPr>
          </w:p>
        </w:tc>
        <w:tc>
          <w:tcPr>
            <w:tcW w:w="9934" w:type="dxa"/>
            <w:noWrap w:val="0"/>
            <w:vAlign w:val="center"/>
          </w:tcPr>
          <w:p w14:paraId="0277BB11">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（3）</w:t>
            </w:r>
            <w:r>
              <w:rPr>
                <w:rFonts w:hint="eastAsia" w:ascii="Calibri" w:hAnsi="Calibri" w:eastAsia="宋体" w:cs="Calibri"/>
                <w:b w:val="0"/>
                <w:bCs w:val="0"/>
                <w:color w:val="auto"/>
                <w:kern w:val="0"/>
                <w:szCs w:val="21"/>
                <w:highlight w:val="none"/>
                <w:lang w:val="en-US" w:eastAsia="zh-CN"/>
              </w:rPr>
              <w:t>作业时采取安全防护措施，防止对作业人员或他人造成伤害。</w:t>
            </w:r>
          </w:p>
        </w:tc>
      </w:tr>
      <w:tr w14:paraId="78A3B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0" w:type="dxa"/>
            <w:vMerge w:val="continue"/>
            <w:noWrap w:val="0"/>
            <w:vAlign w:val="center"/>
          </w:tcPr>
          <w:p w14:paraId="61ADAB5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lang w:val="en-US" w:eastAsia="zh-CN"/>
              </w:rPr>
            </w:pPr>
          </w:p>
        </w:tc>
        <w:tc>
          <w:tcPr>
            <w:tcW w:w="3369" w:type="dxa"/>
            <w:vMerge w:val="continue"/>
            <w:noWrap w:val="0"/>
            <w:vAlign w:val="center"/>
          </w:tcPr>
          <w:p w14:paraId="2023D4A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kern w:val="2"/>
                <w:sz w:val="21"/>
                <w:szCs w:val="21"/>
                <w:highlight w:val="none"/>
                <w:lang w:val="en-US" w:eastAsia="zh-CN" w:bidi="ar-SA"/>
              </w:rPr>
            </w:pPr>
          </w:p>
        </w:tc>
        <w:tc>
          <w:tcPr>
            <w:tcW w:w="9934" w:type="dxa"/>
            <w:noWrap w:val="0"/>
            <w:vAlign w:val="center"/>
          </w:tcPr>
          <w:p w14:paraId="5B6093A9">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（4）</w:t>
            </w:r>
            <w:r>
              <w:rPr>
                <w:rFonts w:hint="eastAsia" w:ascii="Calibri" w:hAnsi="Calibri" w:eastAsia="宋体" w:cs="Calibri"/>
                <w:b w:val="0"/>
                <w:bCs w:val="0"/>
                <w:color w:val="auto"/>
                <w:kern w:val="0"/>
                <w:szCs w:val="21"/>
                <w:highlight w:val="none"/>
                <w:lang w:val="en-US" w:eastAsia="zh-CN"/>
              </w:rPr>
              <w:t>相关耗材的环保、安全性应</w:t>
            </w:r>
            <w:r>
              <w:rPr>
                <w:rFonts w:hint="eastAsia" w:cs="Calibri"/>
                <w:b w:val="0"/>
                <w:bCs w:val="0"/>
                <w:color w:val="auto"/>
                <w:kern w:val="0"/>
                <w:szCs w:val="21"/>
                <w:highlight w:val="none"/>
                <w:lang w:val="en-US" w:eastAsia="zh-CN"/>
              </w:rPr>
              <w:t>当</w:t>
            </w:r>
            <w:r>
              <w:rPr>
                <w:rFonts w:hint="eastAsia" w:ascii="Calibri" w:hAnsi="Calibri" w:eastAsia="宋体" w:cs="Calibri"/>
                <w:b w:val="0"/>
                <w:bCs w:val="0"/>
                <w:color w:val="auto"/>
                <w:kern w:val="0"/>
                <w:szCs w:val="21"/>
                <w:highlight w:val="none"/>
                <w:lang w:val="en-US" w:eastAsia="zh-CN"/>
              </w:rPr>
              <w:t>符合规定要求</w:t>
            </w:r>
            <w:r>
              <w:rPr>
                <w:rFonts w:hint="eastAsia" w:eastAsia="宋体" w:cs="Calibri"/>
                <w:b w:val="0"/>
                <w:bCs w:val="0"/>
                <w:color w:val="auto"/>
                <w:kern w:val="0"/>
                <w:szCs w:val="21"/>
                <w:highlight w:val="none"/>
                <w:lang w:val="en-US" w:eastAsia="zh-CN"/>
              </w:rPr>
              <w:t>。</w:t>
            </w:r>
          </w:p>
        </w:tc>
      </w:tr>
      <w:tr w14:paraId="4DE65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0" w:type="dxa"/>
            <w:vMerge w:val="restart"/>
            <w:noWrap w:val="0"/>
            <w:vAlign w:val="center"/>
          </w:tcPr>
          <w:p w14:paraId="3453227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lang w:val="en-US" w:eastAsia="zh-CN"/>
              </w:rPr>
            </w:pPr>
            <w:r>
              <w:rPr>
                <w:rFonts w:hint="eastAsia"/>
                <w:highlight w:val="none"/>
                <w:lang w:val="en-US" w:eastAsia="zh-CN"/>
              </w:rPr>
              <w:t>2</w:t>
            </w:r>
          </w:p>
        </w:tc>
        <w:tc>
          <w:tcPr>
            <w:tcW w:w="3369" w:type="dxa"/>
            <w:vMerge w:val="restart"/>
            <w:noWrap w:val="0"/>
            <w:vAlign w:val="center"/>
          </w:tcPr>
          <w:p w14:paraId="0AE21AF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kern w:val="2"/>
                <w:sz w:val="21"/>
                <w:szCs w:val="21"/>
                <w:highlight w:val="none"/>
                <w:lang w:val="en-US" w:eastAsia="zh-CN" w:bidi="ar-SA"/>
              </w:rPr>
            </w:pPr>
            <w:r>
              <w:rPr>
                <w:rFonts w:hint="eastAsia"/>
                <w:highlight w:val="none"/>
                <w:lang w:val="en-US" w:eastAsia="zh-CN"/>
              </w:rPr>
              <w:t>室外绿化养护</w:t>
            </w:r>
          </w:p>
        </w:tc>
        <w:tc>
          <w:tcPr>
            <w:tcW w:w="9934" w:type="dxa"/>
            <w:noWrap w:val="0"/>
            <w:vAlign w:val="center"/>
          </w:tcPr>
          <w:p w14:paraId="42C04CBE">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（1）</w:t>
            </w:r>
            <w:r>
              <w:rPr>
                <w:rFonts w:hint="eastAsia" w:cs="Calibri"/>
                <w:color w:val="auto"/>
                <w:szCs w:val="21"/>
                <w:highlight w:val="none"/>
                <w:u w:val="none"/>
                <w:lang w:val="en-US" w:eastAsia="zh-CN"/>
              </w:rPr>
              <w:t>根据</w:t>
            </w:r>
            <w:r>
              <w:rPr>
                <w:rFonts w:hint="eastAsia" w:ascii="Calibri" w:hAnsi="Calibri" w:eastAsia="宋体" w:cs="Calibri"/>
                <w:color w:val="auto"/>
                <w:szCs w:val="21"/>
                <w:highlight w:val="none"/>
                <w:u w:val="none"/>
                <w:lang w:val="en-US" w:eastAsia="zh-CN"/>
              </w:rPr>
              <w:t>生长环境、植物特性进行除草、灌溉、施肥、整形修剪、防治病虫害等</w:t>
            </w:r>
            <w:r>
              <w:rPr>
                <w:rFonts w:hint="eastAsia" w:eastAsia="宋体" w:cs="Calibri"/>
                <w:color w:val="auto"/>
                <w:szCs w:val="21"/>
                <w:highlight w:val="none"/>
                <w:u w:val="none"/>
                <w:lang w:val="en-US" w:eastAsia="zh-CN"/>
              </w:rPr>
              <w:t>。</w:t>
            </w:r>
          </w:p>
        </w:tc>
      </w:tr>
      <w:tr w14:paraId="14336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0" w:type="dxa"/>
            <w:vMerge w:val="continue"/>
            <w:noWrap w:val="0"/>
            <w:vAlign w:val="center"/>
          </w:tcPr>
          <w:p w14:paraId="3D6CC21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69" w:type="dxa"/>
            <w:vMerge w:val="continue"/>
            <w:noWrap w:val="0"/>
            <w:vAlign w:val="center"/>
          </w:tcPr>
          <w:p w14:paraId="1256D72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highlight w:val="none"/>
                <w:lang w:val="en-US" w:eastAsia="zh-CN"/>
              </w:rPr>
            </w:pPr>
          </w:p>
        </w:tc>
        <w:tc>
          <w:tcPr>
            <w:tcW w:w="9934" w:type="dxa"/>
            <w:noWrap w:val="0"/>
            <w:vAlign w:val="center"/>
          </w:tcPr>
          <w:p w14:paraId="60CFDF3D">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（2）</w:t>
            </w:r>
            <w:r>
              <w:rPr>
                <w:rFonts w:hint="eastAsia" w:ascii="Calibri" w:hAnsi="Calibri" w:eastAsia="宋体" w:cs="Calibri"/>
                <w:b w:val="0"/>
                <w:bCs w:val="0"/>
                <w:color w:val="auto"/>
                <w:kern w:val="0"/>
                <w:szCs w:val="21"/>
                <w:highlight w:val="none"/>
                <w:lang w:val="en-US" w:eastAsia="zh-CN"/>
              </w:rPr>
              <w:t>根据生长情况修剪绿地，绿地内无枯草、无杂物</w:t>
            </w:r>
            <w:r>
              <w:rPr>
                <w:rFonts w:hint="eastAsia" w:eastAsia="宋体" w:cs="Calibri"/>
                <w:b w:val="0"/>
                <w:bCs w:val="0"/>
                <w:color w:val="auto"/>
                <w:kern w:val="0"/>
                <w:szCs w:val="21"/>
                <w:highlight w:val="none"/>
                <w:lang w:val="en-US" w:eastAsia="zh-CN"/>
              </w:rPr>
              <w:t>，</w:t>
            </w:r>
            <w:r>
              <w:rPr>
                <w:rFonts w:hint="eastAsia" w:ascii="Calibri" w:hAnsi="Calibri" w:eastAsia="宋体" w:cs="Calibri"/>
                <w:color w:val="auto"/>
                <w:szCs w:val="21"/>
                <w:highlight w:val="none"/>
                <w:u w:val="none"/>
                <w:lang w:val="en-US" w:eastAsia="zh-CN"/>
              </w:rPr>
              <w:t>无干枯坏死和病虫侵害，基本无裸露土地</w:t>
            </w:r>
            <w:r>
              <w:rPr>
                <w:rFonts w:hint="eastAsia" w:eastAsia="宋体" w:cs="Calibri"/>
                <w:color w:val="auto"/>
                <w:szCs w:val="21"/>
                <w:highlight w:val="none"/>
                <w:u w:val="none"/>
                <w:lang w:val="en-US" w:eastAsia="zh-CN"/>
              </w:rPr>
              <w:t>。</w:t>
            </w:r>
          </w:p>
        </w:tc>
      </w:tr>
      <w:tr w14:paraId="1B52F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0" w:type="dxa"/>
            <w:vMerge w:val="continue"/>
            <w:noWrap w:val="0"/>
            <w:vAlign w:val="center"/>
          </w:tcPr>
          <w:p w14:paraId="5BCEEAB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69" w:type="dxa"/>
            <w:vMerge w:val="continue"/>
            <w:noWrap w:val="0"/>
            <w:vAlign w:val="center"/>
          </w:tcPr>
          <w:p w14:paraId="321B4E8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highlight w:val="none"/>
                <w:lang w:val="en-US" w:eastAsia="zh-CN"/>
              </w:rPr>
            </w:pPr>
          </w:p>
        </w:tc>
        <w:tc>
          <w:tcPr>
            <w:tcW w:w="9934" w:type="dxa"/>
            <w:noWrap w:val="0"/>
            <w:vAlign w:val="center"/>
          </w:tcPr>
          <w:p w14:paraId="32799B04">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（3）</w:t>
            </w:r>
            <w:r>
              <w:rPr>
                <w:rFonts w:hint="eastAsia" w:ascii="Calibri" w:hAnsi="Calibri" w:eastAsia="宋体" w:cs="Calibri"/>
                <w:b w:val="0"/>
                <w:bCs w:val="0"/>
                <w:color w:val="auto"/>
                <w:kern w:val="0"/>
                <w:szCs w:val="21"/>
                <w:highlight w:val="none"/>
                <w:lang w:val="en-US" w:eastAsia="zh-CN"/>
              </w:rPr>
              <w:t>定期修剪树木、花卉等</w:t>
            </w:r>
            <w:r>
              <w:rPr>
                <w:rFonts w:hint="eastAsia" w:eastAsia="宋体" w:cs="Calibri"/>
                <w:b w:val="0"/>
                <w:bCs w:val="0"/>
                <w:color w:val="auto"/>
                <w:kern w:val="0"/>
                <w:szCs w:val="21"/>
                <w:highlight w:val="none"/>
                <w:lang w:val="en-US" w:eastAsia="zh-CN"/>
              </w:rPr>
              <w:t>，</w:t>
            </w:r>
            <w:r>
              <w:rPr>
                <w:rFonts w:hint="default" w:ascii="Calibri" w:hAnsi="Calibri" w:eastAsia="宋体" w:cs="Calibri"/>
                <w:color w:val="auto"/>
                <w:szCs w:val="21"/>
                <w:highlight w:val="none"/>
                <w:u w:val="none"/>
                <w:lang w:val="en-US" w:eastAsia="zh-CN"/>
              </w:rPr>
              <w:t>灌乔木生长正常、造型美观自然、花枝新鲜，无枯叶、无病虫、无死树缺株</w:t>
            </w:r>
            <w:r>
              <w:rPr>
                <w:rFonts w:hint="eastAsia" w:eastAsia="宋体" w:cs="Calibri"/>
                <w:color w:val="auto"/>
                <w:szCs w:val="21"/>
                <w:highlight w:val="none"/>
                <w:u w:val="none"/>
                <w:lang w:val="en-US" w:eastAsia="zh-CN"/>
              </w:rPr>
              <w:t>。</w:t>
            </w:r>
          </w:p>
        </w:tc>
      </w:tr>
      <w:tr w14:paraId="54D88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0" w:type="dxa"/>
            <w:vMerge w:val="continue"/>
            <w:noWrap w:val="0"/>
            <w:vAlign w:val="center"/>
          </w:tcPr>
          <w:p w14:paraId="748B298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69" w:type="dxa"/>
            <w:vMerge w:val="continue"/>
            <w:noWrap w:val="0"/>
            <w:vAlign w:val="center"/>
          </w:tcPr>
          <w:p w14:paraId="1895442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highlight w:val="none"/>
                <w:lang w:val="en-US" w:eastAsia="zh-CN"/>
              </w:rPr>
            </w:pPr>
          </w:p>
        </w:tc>
        <w:tc>
          <w:tcPr>
            <w:tcW w:w="9934" w:type="dxa"/>
            <w:noWrap w:val="0"/>
            <w:vAlign w:val="center"/>
          </w:tcPr>
          <w:p w14:paraId="164FC9C9">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（4）</w:t>
            </w:r>
            <w:r>
              <w:rPr>
                <w:rFonts w:hint="eastAsia" w:ascii="Calibri" w:hAnsi="Calibri" w:eastAsia="宋体" w:cs="Calibri"/>
                <w:color w:val="auto"/>
                <w:szCs w:val="21"/>
                <w:highlight w:val="none"/>
                <w:u w:val="none"/>
                <w:lang w:val="en-US" w:eastAsia="zh-CN"/>
              </w:rPr>
              <w:t>绿篱生长造型正常，颜色正常，修剪及时，基本无死株和干死株，有虫株率在10%以下</w:t>
            </w:r>
            <w:r>
              <w:rPr>
                <w:rFonts w:hint="eastAsia" w:eastAsia="宋体" w:cs="Calibri"/>
                <w:color w:val="auto"/>
                <w:szCs w:val="21"/>
                <w:highlight w:val="none"/>
                <w:u w:val="none"/>
                <w:lang w:val="en-US" w:eastAsia="zh-CN"/>
              </w:rPr>
              <w:t>。</w:t>
            </w:r>
          </w:p>
        </w:tc>
      </w:tr>
      <w:tr w14:paraId="49726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0" w:type="dxa"/>
            <w:vMerge w:val="continue"/>
            <w:noWrap w:val="0"/>
            <w:vAlign w:val="center"/>
          </w:tcPr>
          <w:p w14:paraId="5B406D3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69" w:type="dxa"/>
            <w:vMerge w:val="continue"/>
            <w:noWrap w:val="0"/>
            <w:vAlign w:val="center"/>
          </w:tcPr>
          <w:p w14:paraId="07AF03A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highlight w:val="none"/>
                <w:lang w:val="en-US" w:eastAsia="zh-CN"/>
              </w:rPr>
            </w:pPr>
          </w:p>
        </w:tc>
        <w:tc>
          <w:tcPr>
            <w:tcW w:w="9934" w:type="dxa"/>
            <w:noWrap w:val="0"/>
            <w:vAlign w:val="center"/>
          </w:tcPr>
          <w:p w14:paraId="203C159E">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（5）</w:t>
            </w:r>
            <w:r>
              <w:rPr>
                <w:rFonts w:hint="eastAsia" w:ascii="Calibri" w:hAnsi="Calibri" w:eastAsia="宋体" w:cs="Calibri"/>
                <w:color w:val="auto"/>
                <w:szCs w:val="21"/>
                <w:highlight w:val="none"/>
                <w:u w:val="none"/>
                <w:lang w:val="en-US" w:eastAsia="zh-CN"/>
              </w:rPr>
              <w:t>清除花坛和花景的花蒂、黄叶、杂草、垃圾，做好病虫害防治。</w:t>
            </w:r>
          </w:p>
        </w:tc>
      </w:tr>
      <w:tr w14:paraId="7D549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0" w:type="dxa"/>
            <w:vMerge w:val="continue"/>
            <w:noWrap w:val="0"/>
            <w:vAlign w:val="center"/>
          </w:tcPr>
          <w:p w14:paraId="1A4CFB4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69" w:type="dxa"/>
            <w:vMerge w:val="continue"/>
            <w:noWrap w:val="0"/>
            <w:vAlign w:val="center"/>
          </w:tcPr>
          <w:p w14:paraId="0C09535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highlight w:val="none"/>
                <w:lang w:val="en-US" w:eastAsia="zh-CN"/>
              </w:rPr>
            </w:pPr>
          </w:p>
        </w:tc>
        <w:tc>
          <w:tcPr>
            <w:tcW w:w="9934" w:type="dxa"/>
            <w:noWrap w:val="0"/>
            <w:vAlign w:val="center"/>
          </w:tcPr>
          <w:p w14:paraId="70D8AF5C">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（6）</w:t>
            </w:r>
            <w:r>
              <w:rPr>
                <w:rFonts w:hint="eastAsia" w:ascii="Calibri" w:hAnsi="Calibri" w:eastAsia="宋体" w:cs="Calibri"/>
                <w:color w:val="auto"/>
                <w:szCs w:val="21"/>
                <w:highlight w:val="none"/>
                <w:u w:val="none"/>
                <w:lang w:val="en-US" w:eastAsia="zh-CN"/>
              </w:rPr>
              <w:t>水池水面定期清理，无枯枝落叶、水质清洁</w:t>
            </w:r>
            <w:r>
              <w:rPr>
                <w:rFonts w:hint="eastAsia" w:eastAsia="宋体" w:cs="Calibri"/>
                <w:color w:val="auto"/>
                <w:szCs w:val="21"/>
                <w:highlight w:val="none"/>
                <w:u w:val="none"/>
                <w:lang w:val="en-US" w:eastAsia="zh-CN"/>
              </w:rPr>
              <w:t>。</w:t>
            </w:r>
          </w:p>
        </w:tc>
      </w:tr>
      <w:tr w14:paraId="10CF6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0" w:type="dxa"/>
            <w:vMerge w:val="continue"/>
            <w:noWrap w:val="0"/>
            <w:vAlign w:val="center"/>
          </w:tcPr>
          <w:p w14:paraId="6C7D3B1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69" w:type="dxa"/>
            <w:vMerge w:val="continue"/>
            <w:noWrap w:val="0"/>
            <w:vAlign w:val="center"/>
          </w:tcPr>
          <w:p w14:paraId="3B28CA1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highlight w:val="none"/>
                <w:lang w:val="en-US" w:eastAsia="zh-CN"/>
              </w:rPr>
            </w:pPr>
          </w:p>
        </w:tc>
        <w:tc>
          <w:tcPr>
            <w:tcW w:w="9934" w:type="dxa"/>
            <w:noWrap w:val="0"/>
            <w:vAlign w:val="center"/>
          </w:tcPr>
          <w:p w14:paraId="2966D98E">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（7）</w:t>
            </w:r>
            <w:r>
              <w:rPr>
                <w:rFonts w:hint="eastAsia" w:ascii="Calibri" w:hAnsi="Calibri" w:eastAsia="宋体" w:cs="Calibri"/>
                <w:b w:val="0"/>
                <w:bCs w:val="0"/>
                <w:color w:val="auto"/>
                <w:kern w:val="0"/>
                <w:szCs w:val="21"/>
                <w:highlight w:val="none"/>
                <w:lang w:val="en-US" w:eastAsia="zh-CN"/>
              </w:rPr>
              <w:t>根据病虫害发生规律实施综合治理，通常在病虫率高时，以药剂杀死病虫，以确保植物良好生长</w:t>
            </w:r>
            <w:r>
              <w:rPr>
                <w:rFonts w:hint="eastAsia"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产生垃圾的主要区域和路段做到日产日清。</w:t>
            </w:r>
          </w:p>
        </w:tc>
      </w:tr>
      <w:tr w14:paraId="11830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0" w:type="dxa"/>
            <w:vMerge w:val="continue"/>
            <w:noWrap w:val="0"/>
            <w:vAlign w:val="center"/>
          </w:tcPr>
          <w:p w14:paraId="3259703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69" w:type="dxa"/>
            <w:vMerge w:val="continue"/>
            <w:noWrap w:val="0"/>
            <w:vAlign w:val="center"/>
          </w:tcPr>
          <w:p w14:paraId="19A27CF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highlight w:val="none"/>
                <w:lang w:val="en-US" w:eastAsia="zh-CN"/>
              </w:rPr>
            </w:pPr>
          </w:p>
        </w:tc>
        <w:tc>
          <w:tcPr>
            <w:tcW w:w="9934" w:type="dxa"/>
            <w:noWrap w:val="0"/>
            <w:vAlign w:val="center"/>
          </w:tcPr>
          <w:p w14:paraId="21839CB4">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（8）</w:t>
            </w:r>
            <w:r>
              <w:rPr>
                <w:rFonts w:hint="eastAsia" w:ascii="Calibri" w:hAnsi="Calibri" w:eastAsia="宋体" w:cs="Calibri"/>
                <w:b w:val="0"/>
                <w:bCs w:val="0"/>
                <w:color w:val="auto"/>
                <w:kern w:val="0"/>
                <w:szCs w:val="21"/>
                <w:highlight w:val="none"/>
                <w:lang w:val="en-US" w:eastAsia="zh-CN"/>
              </w:rPr>
              <w:t>雨雪、冰冻等恶劣天气来临前，专人巡查，对绿植做好预防措施，排除安全隐患。</w:t>
            </w:r>
          </w:p>
        </w:tc>
      </w:tr>
      <w:tr w14:paraId="66276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0" w:type="dxa"/>
            <w:vMerge w:val="continue"/>
            <w:noWrap w:val="0"/>
            <w:vAlign w:val="center"/>
          </w:tcPr>
          <w:p w14:paraId="487879A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lang w:val="en-US" w:eastAsia="zh-CN"/>
              </w:rPr>
            </w:pPr>
          </w:p>
        </w:tc>
        <w:tc>
          <w:tcPr>
            <w:tcW w:w="3369" w:type="dxa"/>
            <w:vMerge w:val="continue"/>
            <w:noWrap w:val="0"/>
            <w:vAlign w:val="center"/>
          </w:tcPr>
          <w:p w14:paraId="6EFCC47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kern w:val="2"/>
                <w:sz w:val="21"/>
                <w:szCs w:val="21"/>
                <w:highlight w:val="none"/>
                <w:lang w:val="en-US" w:eastAsia="zh-CN" w:bidi="ar-SA"/>
              </w:rPr>
            </w:pPr>
          </w:p>
        </w:tc>
        <w:tc>
          <w:tcPr>
            <w:tcW w:w="9934" w:type="dxa"/>
            <w:noWrap w:val="0"/>
            <w:vAlign w:val="center"/>
          </w:tcPr>
          <w:p w14:paraId="49FCEC71">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（9）</w:t>
            </w:r>
            <w:r>
              <w:rPr>
                <w:rFonts w:hint="eastAsia" w:ascii="Calibri" w:hAnsi="Calibri" w:eastAsia="宋体" w:cs="Calibri"/>
                <w:b w:val="0"/>
                <w:bCs w:val="0"/>
                <w:color w:val="auto"/>
                <w:kern w:val="0"/>
                <w:szCs w:val="21"/>
                <w:highlight w:val="none"/>
                <w:lang w:val="en-US" w:eastAsia="zh-CN"/>
              </w:rPr>
              <w:t>恶劣天气后，及时清除倒树断枝，疏通道路，尽快恢复原状</w:t>
            </w:r>
            <w:r>
              <w:rPr>
                <w:rFonts w:hint="eastAsia" w:eastAsia="宋体" w:cs="Calibri"/>
                <w:b w:val="0"/>
                <w:bCs w:val="0"/>
                <w:color w:val="auto"/>
                <w:kern w:val="0"/>
                <w:szCs w:val="21"/>
                <w:highlight w:val="none"/>
                <w:lang w:val="en-US" w:eastAsia="zh-CN"/>
              </w:rPr>
              <w:t>。</w:t>
            </w:r>
          </w:p>
        </w:tc>
      </w:tr>
    </w:tbl>
    <w:p w14:paraId="4B47CB59">
      <w:pPr>
        <w:pStyle w:val="4"/>
        <w:bidi w:val="0"/>
        <w:rPr>
          <w:rFonts w:hint="default" w:ascii="宋体" w:hAnsi="宋体" w:eastAsia="宋体" w:cs="宋体"/>
          <w:b/>
          <w:bCs/>
          <w:color w:val="auto"/>
          <w:kern w:val="44"/>
          <w:sz w:val="28"/>
          <w:szCs w:val="28"/>
          <w:highlight w:val="none"/>
          <w:lang w:val="en-US" w:eastAsia="zh-CN" w:bidi="ar-SA"/>
        </w:rPr>
      </w:pPr>
      <w:r>
        <w:rPr>
          <w:rFonts w:hint="eastAsia" w:ascii="宋体" w:hAnsi="宋体" w:eastAsia="宋体" w:cs="宋体"/>
          <w:b/>
          <w:bCs/>
          <w:color w:val="auto"/>
          <w:kern w:val="44"/>
          <w:sz w:val="28"/>
          <w:szCs w:val="28"/>
          <w:highlight w:val="none"/>
          <w:lang w:val="en-US" w:eastAsia="zh-CN" w:bidi="ar-SA"/>
        </w:rPr>
        <w:t>3.6保安服务</w:t>
      </w:r>
    </w:p>
    <w:tbl>
      <w:tblPr>
        <w:tblStyle w:val="32"/>
        <w:tblW w:w="498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971"/>
        <w:gridCol w:w="5785"/>
      </w:tblGrid>
      <w:tr w14:paraId="41A5E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noWrap w:val="0"/>
            <w:vAlign w:val="center"/>
          </w:tcPr>
          <w:p w14:paraId="0FDF7FBC">
            <w:pPr>
              <w:pageBreakBefore w:val="0"/>
              <w:widowControl/>
              <w:kinsoku/>
              <w:wordWrap/>
              <w:overflowPunct/>
              <w:topLinePunct w:val="0"/>
              <w:bidi w:val="0"/>
              <w:snapToGrid w:val="0"/>
              <w:spacing w:line="300" w:lineRule="auto"/>
              <w:ind w:left="0"/>
              <w:jc w:val="center"/>
              <w:rPr>
                <w:rFonts w:hint="eastAsia" w:ascii="Calibri" w:hAnsi="Calibri" w:eastAsia="宋体" w:cs="Calibri"/>
                <w:b/>
                <w:bCs/>
                <w:color w:val="auto"/>
                <w:kern w:val="0"/>
                <w:szCs w:val="21"/>
                <w:highlight w:val="none"/>
                <w:lang w:val="en-US" w:eastAsia="zh-CN"/>
              </w:rPr>
            </w:pPr>
            <w:r>
              <w:rPr>
                <w:rFonts w:hint="eastAsia" w:cs="Calibri"/>
                <w:b/>
                <w:bCs/>
                <w:color w:val="auto"/>
                <w:kern w:val="0"/>
                <w:szCs w:val="21"/>
                <w:highlight w:val="none"/>
                <w:lang w:val="en-US" w:eastAsia="zh-CN"/>
              </w:rPr>
              <w:t>序号</w:t>
            </w:r>
          </w:p>
        </w:tc>
        <w:tc>
          <w:tcPr>
            <w:tcW w:w="3367" w:type="dxa"/>
            <w:noWrap w:val="0"/>
            <w:vAlign w:val="center"/>
          </w:tcPr>
          <w:p w14:paraId="62BA3F70">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Cs w:val="21"/>
                <w:highlight w:val="none"/>
              </w:rPr>
            </w:pPr>
            <w:r>
              <w:rPr>
                <w:rFonts w:hint="default" w:ascii="Calibri" w:hAnsi="Calibri" w:eastAsia="宋体" w:cs="Calibri"/>
                <w:b/>
                <w:bCs/>
                <w:color w:val="auto"/>
                <w:kern w:val="0"/>
                <w:szCs w:val="21"/>
                <w:highlight w:val="none"/>
              </w:rPr>
              <w:t>服务内容</w:t>
            </w:r>
          </w:p>
        </w:tc>
        <w:tc>
          <w:tcPr>
            <w:tcW w:w="9886" w:type="dxa"/>
            <w:noWrap w:val="0"/>
            <w:vAlign w:val="center"/>
          </w:tcPr>
          <w:p w14:paraId="1DDC52EE">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Cs w:val="21"/>
                <w:highlight w:val="none"/>
                <w:lang w:val="en-US" w:eastAsia="zh-CN"/>
              </w:rPr>
            </w:pPr>
            <w:r>
              <w:rPr>
                <w:rFonts w:hint="eastAsia" w:cs="Calibri"/>
                <w:b/>
                <w:bCs/>
                <w:color w:val="auto"/>
                <w:kern w:val="0"/>
                <w:szCs w:val="21"/>
                <w:highlight w:val="none"/>
                <w:lang w:val="en-US" w:eastAsia="zh-CN"/>
              </w:rPr>
              <w:t>服务标准</w:t>
            </w:r>
          </w:p>
        </w:tc>
      </w:tr>
      <w:tr w14:paraId="1C4E5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restart"/>
            <w:noWrap w:val="0"/>
            <w:vAlign w:val="center"/>
          </w:tcPr>
          <w:p w14:paraId="70818A8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r>
              <w:rPr>
                <w:rFonts w:hint="eastAsia"/>
                <w:highlight w:val="none"/>
                <w:lang w:val="en-US" w:eastAsia="zh-CN"/>
              </w:rPr>
              <w:t>1</w:t>
            </w:r>
          </w:p>
        </w:tc>
        <w:tc>
          <w:tcPr>
            <w:tcW w:w="3367" w:type="dxa"/>
            <w:vMerge w:val="restart"/>
            <w:noWrap w:val="0"/>
            <w:vAlign w:val="center"/>
          </w:tcPr>
          <w:p w14:paraId="0A5AAF0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r>
              <w:rPr>
                <w:rFonts w:hint="default"/>
                <w:highlight w:val="none"/>
              </w:rPr>
              <w:t>基本要求</w:t>
            </w:r>
          </w:p>
        </w:tc>
        <w:tc>
          <w:tcPr>
            <w:tcW w:w="9886" w:type="dxa"/>
            <w:noWrap w:val="0"/>
            <w:vAlign w:val="center"/>
          </w:tcPr>
          <w:p w14:paraId="6C3265D7">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建立</w:t>
            </w:r>
            <w:r>
              <w:rPr>
                <w:rFonts w:hint="eastAsia" w:cs="Calibri"/>
                <w:b w:val="0"/>
                <w:bCs w:val="0"/>
                <w:color w:val="auto"/>
                <w:kern w:val="0"/>
                <w:szCs w:val="21"/>
                <w:highlight w:val="none"/>
                <w:lang w:val="en-US" w:eastAsia="zh-CN"/>
              </w:rPr>
              <w:t>保安</w:t>
            </w:r>
            <w:r>
              <w:rPr>
                <w:rFonts w:hint="eastAsia" w:ascii="Calibri" w:hAnsi="Calibri" w:eastAsia="宋体" w:cs="Calibri"/>
                <w:b w:val="0"/>
                <w:bCs w:val="0"/>
                <w:color w:val="auto"/>
                <w:kern w:val="0"/>
                <w:szCs w:val="21"/>
                <w:highlight w:val="none"/>
                <w:lang w:val="en-US" w:eastAsia="zh-CN"/>
              </w:rPr>
              <w:t>服务相关制度，并按照执行</w:t>
            </w:r>
            <w:r>
              <w:rPr>
                <w:rFonts w:hint="eastAsia" w:eastAsia="宋体" w:cs="Calibri"/>
                <w:b w:val="0"/>
                <w:bCs w:val="0"/>
                <w:color w:val="auto"/>
                <w:kern w:val="0"/>
                <w:szCs w:val="21"/>
                <w:highlight w:val="none"/>
                <w:lang w:val="en-US" w:eastAsia="zh-CN"/>
              </w:rPr>
              <w:t>。</w:t>
            </w:r>
          </w:p>
        </w:tc>
      </w:tr>
      <w:tr w14:paraId="4681D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14:paraId="4C7AC2A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67" w:type="dxa"/>
            <w:vMerge w:val="continue"/>
            <w:noWrap w:val="0"/>
            <w:vAlign w:val="center"/>
          </w:tcPr>
          <w:p w14:paraId="6D885E8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886" w:type="dxa"/>
            <w:noWrap w:val="0"/>
            <w:vAlign w:val="center"/>
          </w:tcPr>
          <w:p w14:paraId="486CED41">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（2）</w:t>
            </w:r>
            <w:r>
              <w:rPr>
                <w:rFonts w:hint="eastAsia" w:ascii="Calibri" w:hAnsi="Calibri" w:eastAsia="宋体" w:cs="Calibri"/>
                <w:b w:val="0"/>
                <w:bCs w:val="0"/>
                <w:color w:val="auto"/>
                <w:kern w:val="0"/>
                <w:szCs w:val="21"/>
                <w:highlight w:val="none"/>
                <w:lang w:val="en-US" w:eastAsia="zh-CN"/>
              </w:rPr>
              <w:t>对巡查、值守及异常情况等做好相关记录，填写规范，保存完好</w:t>
            </w:r>
            <w:r>
              <w:rPr>
                <w:rFonts w:hint="eastAsia" w:eastAsia="宋体" w:cs="Calibri"/>
                <w:b w:val="0"/>
                <w:bCs w:val="0"/>
                <w:color w:val="auto"/>
                <w:kern w:val="0"/>
                <w:szCs w:val="21"/>
                <w:highlight w:val="none"/>
                <w:lang w:val="en-US" w:eastAsia="zh-CN"/>
              </w:rPr>
              <w:t>。</w:t>
            </w:r>
          </w:p>
        </w:tc>
      </w:tr>
      <w:tr w14:paraId="06FE8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14:paraId="09427FB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p>
        </w:tc>
        <w:tc>
          <w:tcPr>
            <w:tcW w:w="3367" w:type="dxa"/>
            <w:vMerge w:val="continue"/>
            <w:noWrap w:val="0"/>
            <w:vAlign w:val="center"/>
          </w:tcPr>
          <w:p w14:paraId="2832DEA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886" w:type="dxa"/>
            <w:noWrap w:val="0"/>
            <w:vAlign w:val="center"/>
          </w:tcPr>
          <w:p w14:paraId="6694C2A4">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（3）</w:t>
            </w:r>
            <w:r>
              <w:rPr>
                <w:rFonts w:hint="eastAsia" w:ascii="Calibri" w:hAnsi="Calibri" w:eastAsia="宋体" w:cs="Calibri"/>
                <w:b w:val="0"/>
                <w:bCs w:val="0"/>
                <w:color w:val="auto"/>
                <w:kern w:val="0"/>
                <w:szCs w:val="21"/>
                <w:highlight w:val="none"/>
                <w:lang w:val="en-US" w:eastAsia="zh-CN"/>
              </w:rPr>
              <w:t>配备</w:t>
            </w:r>
            <w:r>
              <w:rPr>
                <w:rFonts w:hint="eastAsia" w:cs="Calibri"/>
                <w:b w:val="0"/>
                <w:bCs w:val="0"/>
                <w:color w:val="auto"/>
                <w:kern w:val="0"/>
                <w:szCs w:val="21"/>
                <w:highlight w:val="none"/>
                <w:lang w:val="en-US" w:eastAsia="zh-CN"/>
              </w:rPr>
              <w:t>保安</w:t>
            </w:r>
            <w:r>
              <w:rPr>
                <w:rFonts w:hint="eastAsia" w:ascii="Calibri" w:hAnsi="Calibri" w:eastAsia="宋体" w:cs="Calibri"/>
                <w:b w:val="0"/>
                <w:bCs w:val="0"/>
                <w:color w:val="auto"/>
                <w:kern w:val="0"/>
                <w:szCs w:val="21"/>
                <w:highlight w:val="none"/>
                <w:lang w:val="en-US" w:eastAsia="zh-CN"/>
              </w:rPr>
              <w:t>服务必要的器材</w:t>
            </w:r>
            <w:r>
              <w:rPr>
                <w:rFonts w:hint="eastAsia" w:eastAsia="宋体" w:cs="Calibri"/>
                <w:b w:val="0"/>
                <w:bCs w:val="0"/>
                <w:color w:val="auto"/>
                <w:kern w:val="0"/>
                <w:szCs w:val="21"/>
                <w:highlight w:val="none"/>
                <w:lang w:val="en-US" w:eastAsia="zh-CN"/>
              </w:rPr>
              <w:t>。</w:t>
            </w:r>
          </w:p>
        </w:tc>
      </w:tr>
      <w:tr w14:paraId="694CC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restart"/>
            <w:noWrap w:val="0"/>
            <w:vAlign w:val="center"/>
          </w:tcPr>
          <w:p w14:paraId="6C562DA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r>
              <w:rPr>
                <w:rFonts w:hint="eastAsia"/>
                <w:highlight w:val="none"/>
                <w:lang w:val="en-US" w:eastAsia="zh-CN"/>
              </w:rPr>
              <w:t>2</w:t>
            </w:r>
          </w:p>
        </w:tc>
        <w:tc>
          <w:tcPr>
            <w:tcW w:w="3367" w:type="dxa"/>
            <w:vMerge w:val="restart"/>
            <w:noWrap w:val="0"/>
            <w:vAlign w:val="center"/>
          </w:tcPr>
          <w:p w14:paraId="2DB04A9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eastAsia="宋体"/>
                <w:highlight w:val="none"/>
                <w:lang w:eastAsia="zh-CN"/>
              </w:rPr>
            </w:pPr>
            <w:r>
              <w:rPr>
                <w:rFonts w:hint="default"/>
                <w:highlight w:val="none"/>
              </w:rPr>
              <w:t>出入管理</w:t>
            </w:r>
          </w:p>
        </w:tc>
        <w:tc>
          <w:tcPr>
            <w:tcW w:w="9886" w:type="dxa"/>
            <w:noWrap w:val="0"/>
            <w:vAlign w:val="center"/>
          </w:tcPr>
          <w:p w14:paraId="0BF024E7">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办公楼</w:t>
            </w:r>
            <w:r>
              <w:rPr>
                <w:rFonts w:hint="eastAsia" w:eastAsia="宋体"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区</w:t>
            </w:r>
            <w:r>
              <w:rPr>
                <w:rFonts w:hint="eastAsia" w:eastAsia="宋体"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主出入口应</w:t>
            </w:r>
            <w:r>
              <w:rPr>
                <w:rFonts w:hint="eastAsia" w:cs="Calibri"/>
                <w:b w:val="0"/>
                <w:bCs w:val="0"/>
                <w:color w:val="auto"/>
                <w:kern w:val="0"/>
                <w:szCs w:val="21"/>
                <w:highlight w:val="none"/>
                <w:lang w:val="en-US" w:eastAsia="zh-CN"/>
              </w:rPr>
              <w:t>当</w:t>
            </w:r>
            <w:r>
              <w:rPr>
                <w:rFonts w:hint="eastAsia" w:ascii="Calibri" w:hAnsi="Calibri" w:eastAsia="宋体" w:cs="Calibri"/>
                <w:b w:val="0"/>
                <w:bCs w:val="0"/>
                <w:color w:val="auto"/>
                <w:kern w:val="0"/>
                <w:szCs w:val="21"/>
                <w:highlight w:val="none"/>
                <w:lang w:val="en-US" w:eastAsia="zh-CN"/>
              </w:rPr>
              <w:t xml:space="preserve">实行 </w:t>
            </w:r>
            <w:r>
              <w:rPr>
                <w:rFonts w:hint="eastAsia" w:cs="Calibri"/>
                <w:b w:val="0"/>
                <w:bCs w:val="0"/>
                <w:color w:val="auto"/>
                <w:kern w:val="0"/>
                <w:szCs w:val="21"/>
                <w:highlight w:val="none"/>
                <w:lang w:val="en-US" w:eastAsia="zh-CN"/>
              </w:rPr>
              <w:t>24小时</w:t>
            </w:r>
            <w:r>
              <w:rPr>
                <w:rFonts w:hint="eastAsia" w:ascii="Calibri" w:hAnsi="Calibri" w:eastAsia="宋体" w:cs="Calibri"/>
                <w:b w:val="0"/>
                <w:bCs w:val="0"/>
                <w:color w:val="auto"/>
                <w:kern w:val="0"/>
                <w:szCs w:val="21"/>
                <w:highlight w:val="none"/>
                <w:lang w:val="en-US" w:eastAsia="zh-CN"/>
              </w:rPr>
              <w:t>值班制</w:t>
            </w:r>
            <w:r>
              <w:rPr>
                <w:rFonts w:hint="eastAsia" w:cs="Calibri"/>
                <w:b w:val="0"/>
                <w:bCs w:val="0"/>
                <w:color w:val="auto"/>
                <w:kern w:val="0"/>
                <w:szCs w:val="21"/>
                <w:highlight w:val="none"/>
                <w:lang w:val="en-US" w:eastAsia="zh-CN"/>
              </w:rPr>
              <w:t>。</w:t>
            </w:r>
          </w:p>
        </w:tc>
      </w:tr>
      <w:tr w14:paraId="0117B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14:paraId="5BA48D9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67" w:type="dxa"/>
            <w:vMerge w:val="continue"/>
            <w:noWrap w:val="0"/>
            <w:vAlign w:val="center"/>
          </w:tcPr>
          <w:p w14:paraId="00E211E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886" w:type="dxa"/>
            <w:noWrap w:val="0"/>
            <w:vAlign w:val="center"/>
          </w:tcPr>
          <w:p w14:paraId="3098A043">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（2）设置门岗。</w:t>
            </w:r>
          </w:p>
        </w:tc>
      </w:tr>
      <w:tr w14:paraId="2DB3F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14:paraId="68354E2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67" w:type="dxa"/>
            <w:vMerge w:val="continue"/>
            <w:noWrap w:val="0"/>
            <w:vAlign w:val="center"/>
          </w:tcPr>
          <w:p w14:paraId="3B81523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886" w:type="dxa"/>
            <w:noWrap w:val="0"/>
            <w:vAlign w:val="center"/>
          </w:tcPr>
          <w:p w14:paraId="0A7DF10A">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（3）</w:t>
            </w:r>
            <w:r>
              <w:rPr>
                <w:rFonts w:hint="eastAsia" w:ascii="Calibri" w:hAnsi="Calibri" w:eastAsia="宋体" w:cs="Calibri"/>
                <w:b w:val="0"/>
                <w:bCs w:val="0"/>
                <w:color w:val="auto"/>
                <w:kern w:val="0"/>
                <w:szCs w:val="21"/>
                <w:highlight w:val="none"/>
                <w:lang w:val="en-US" w:eastAsia="zh-CN"/>
              </w:rPr>
              <w:t>在出入口对外来人员及其携带大件物品、外来车辆进行询问和记录，并与相关部门取得联系，同意后方可进入</w:t>
            </w:r>
            <w:r>
              <w:rPr>
                <w:rFonts w:hint="eastAsia" w:eastAsia="宋体" w:cs="Calibri"/>
                <w:b w:val="0"/>
                <w:bCs w:val="0"/>
                <w:color w:val="auto"/>
                <w:kern w:val="0"/>
                <w:szCs w:val="21"/>
                <w:highlight w:val="none"/>
                <w:lang w:val="en-US" w:eastAsia="zh-CN"/>
              </w:rPr>
              <w:t>。</w:t>
            </w:r>
          </w:p>
        </w:tc>
      </w:tr>
      <w:tr w14:paraId="7061F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14:paraId="14C3BFE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67" w:type="dxa"/>
            <w:vMerge w:val="continue"/>
            <w:noWrap w:val="0"/>
            <w:vAlign w:val="center"/>
          </w:tcPr>
          <w:p w14:paraId="1EE2393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886" w:type="dxa"/>
            <w:noWrap w:val="0"/>
            <w:vAlign w:val="center"/>
          </w:tcPr>
          <w:p w14:paraId="43E520C6">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（4）</w:t>
            </w:r>
            <w:r>
              <w:rPr>
                <w:rFonts w:hint="eastAsia" w:ascii="Calibri" w:hAnsi="Calibri" w:eastAsia="宋体" w:cs="Calibri"/>
                <w:b w:val="0"/>
                <w:bCs w:val="0"/>
                <w:color w:val="auto"/>
                <w:kern w:val="0"/>
                <w:szCs w:val="21"/>
                <w:highlight w:val="none"/>
                <w:lang w:val="en-US" w:eastAsia="zh-CN"/>
              </w:rPr>
              <w:t>大件物品搬出有相关部门开具的证明和清单，经核实后放行</w:t>
            </w:r>
            <w:r>
              <w:rPr>
                <w:rFonts w:hint="eastAsia" w:eastAsia="宋体" w:cs="Calibri"/>
                <w:b w:val="0"/>
                <w:bCs w:val="0"/>
                <w:color w:val="auto"/>
                <w:kern w:val="0"/>
                <w:szCs w:val="21"/>
                <w:highlight w:val="none"/>
                <w:lang w:val="en-US" w:eastAsia="zh-CN"/>
              </w:rPr>
              <w:t>。</w:t>
            </w:r>
          </w:p>
        </w:tc>
      </w:tr>
      <w:tr w14:paraId="11F16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255" w:type="dxa"/>
            <w:vMerge w:val="continue"/>
            <w:noWrap w:val="0"/>
            <w:vAlign w:val="center"/>
          </w:tcPr>
          <w:p w14:paraId="1823501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67" w:type="dxa"/>
            <w:vMerge w:val="continue"/>
            <w:noWrap w:val="0"/>
            <w:vAlign w:val="center"/>
          </w:tcPr>
          <w:p w14:paraId="6534293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886" w:type="dxa"/>
            <w:noWrap w:val="0"/>
            <w:vAlign w:val="center"/>
          </w:tcPr>
          <w:p w14:paraId="45721A2B">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（5）</w:t>
            </w:r>
            <w:r>
              <w:rPr>
                <w:rFonts w:hint="eastAsia" w:ascii="Calibri" w:hAnsi="Calibri" w:eastAsia="宋体" w:cs="Calibri"/>
                <w:b w:val="0"/>
                <w:bCs w:val="0"/>
                <w:color w:val="auto"/>
                <w:kern w:val="0"/>
                <w:szCs w:val="21"/>
                <w:highlight w:val="none"/>
                <w:lang w:val="en-US" w:eastAsia="zh-CN"/>
              </w:rPr>
              <w:t>排查可疑人员，对于不出示证件、不按规定登记、不听劝阻而强行闯入者，及时劝离，必要时通知公安机关进行处理</w:t>
            </w:r>
            <w:r>
              <w:rPr>
                <w:rFonts w:hint="eastAsia" w:eastAsia="宋体" w:cs="Calibri"/>
                <w:b w:val="0"/>
                <w:bCs w:val="0"/>
                <w:color w:val="auto"/>
                <w:kern w:val="0"/>
                <w:szCs w:val="21"/>
                <w:highlight w:val="none"/>
                <w:lang w:val="en-US" w:eastAsia="zh-CN"/>
              </w:rPr>
              <w:t>。</w:t>
            </w:r>
          </w:p>
        </w:tc>
      </w:tr>
      <w:tr w14:paraId="2016B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14:paraId="616C0F7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67" w:type="dxa"/>
            <w:vMerge w:val="continue"/>
            <w:noWrap w:val="0"/>
            <w:vAlign w:val="center"/>
          </w:tcPr>
          <w:p w14:paraId="33FE6C7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886" w:type="dxa"/>
            <w:noWrap w:val="0"/>
            <w:vAlign w:val="center"/>
          </w:tcPr>
          <w:p w14:paraId="2E29927B">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（6）</w:t>
            </w:r>
            <w:r>
              <w:rPr>
                <w:rFonts w:hint="eastAsia" w:ascii="Calibri" w:hAnsi="Calibri" w:eastAsia="宋体" w:cs="Calibri"/>
                <w:b w:val="0"/>
                <w:bCs w:val="0"/>
                <w:color w:val="auto"/>
                <w:kern w:val="0"/>
                <w:szCs w:val="21"/>
                <w:highlight w:val="none"/>
                <w:lang w:val="en-US" w:eastAsia="zh-CN"/>
              </w:rPr>
              <w:t>配合相关部门积极疏导上访人员，有效疏导如出入口人群集聚、车辆拥堵、货物堵塞道路等情况</w:t>
            </w:r>
            <w:r>
              <w:rPr>
                <w:rFonts w:hint="eastAsia" w:eastAsia="宋体" w:cs="Calibri"/>
                <w:b w:val="0"/>
                <w:bCs w:val="0"/>
                <w:color w:val="auto"/>
                <w:kern w:val="0"/>
                <w:szCs w:val="21"/>
                <w:highlight w:val="none"/>
                <w:lang w:val="en-US" w:eastAsia="zh-CN"/>
              </w:rPr>
              <w:t>。</w:t>
            </w:r>
          </w:p>
        </w:tc>
      </w:tr>
      <w:tr w14:paraId="7FBA0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14:paraId="2507C98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p>
        </w:tc>
        <w:tc>
          <w:tcPr>
            <w:tcW w:w="3367" w:type="dxa"/>
            <w:vMerge w:val="continue"/>
            <w:noWrap w:val="0"/>
            <w:vAlign w:val="center"/>
          </w:tcPr>
          <w:p w14:paraId="751AE52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886" w:type="dxa"/>
            <w:noWrap w:val="0"/>
            <w:vAlign w:val="center"/>
          </w:tcPr>
          <w:p w14:paraId="74243BBA">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（7）</w:t>
            </w:r>
            <w:r>
              <w:rPr>
                <w:rFonts w:hint="eastAsia" w:ascii="Calibri" w:hAnsi="Calibri" w:eastAsia="宋体" w:cs="Calibri"/>
                <w:b w:val="0"/>
                <w:bCs w:val="0"/>
                <w:color w:val="auto"/>
                <w:kern w:val="0"/>
                <w:szCs w:val="21"/>
                <w:highlight w:val="none"/>
                <w:lang w:val="en-US" w:eastAsia="zh-CN"/>
              </w:rPr>
              <w:t>根据物业服务合同约定，对物品进出实行安检、登记、电话确认等分类管理措施。大宗物品进出会同接收单位收件人审检，严防违禁品</w:t>
            </w:r>
            <w:r>
              <w:rPr>
                <w:rFonts w:hint="eastAsia" w:eastAsia="宋体"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包括毒品、军火弹药、管制刀具、易燃易爆品等</w:t>
            </w:r>
            <w:r>
              <w:rPr>
                <w:rFonts w:hint="eastAsia" w:eastAsia="宋体"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、限带品</w:t>
            </w:r>
            <w:r>
              <w:rPr>
                <w:rFonts w:hint="eastAsia" w:eastAsia="宋体"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包括动物、任何未经授权的专业摄影设备、无人机等</w:t>
            </w:r>
            <w:r>
              <w:rPr>
                <w:rFonts w:hint="eastAsia" w:eastAsia="宋体"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进入</w:t>
            </w:r>
            <w:r>
              <w:rPr>
                <w:rFonts w:hint="eastAsia" w:eastAsia="宋体" w:cs="Calibri"/>
                <w:b w:val="0"/>
                <w:bCs w:val="0"/>
                <w:color w:val="auto"/>
                <w:kern w:val="0"/>
                <w:szCs w:val="21"/>
                <w:highlight w:val="none"/>
                <w:lang w:val="en-US" w:eastAsia="zh-CN"/>
              </w:rPr>
              <w:t>。</w:t>
            </w:r>
          </w:p>
        </w:tc>
      </w:tr>
      <w:tr w14:paraId="3DD02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14:paraId="332A3AD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p>
        </w:tc>
        <w:tc>
          <w:tcPr>
            <w:tcW w:w="3367" w:type="dxa"/>
            <w:vMerge w:val="continue"/>
            <w:noWrap w:val="0"/>
            <w:vAlign w:val="center"/>
          </w:tcPr>
          <w:p w14:paraId="5F26695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886" w:type="dxa"/>
            <w:noWrap w:val="0"/>
            <w:vAlign w:val="center"/>
          </w:tcPr>
          <w:p w14:paraId="7B95A367">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default" w:ascii="Calibri" w:hAnsi="Calibri" w:cs="Calibri"/>
                <w:b w:val="0"/>
                <w:bCs w:val="0"/>
                <w:color w:val="auto"/>
                <w:kern w:val="0"/>
                <w:szCs w:val="21"/>
                <w:highlight w:val="none"/>
                <w:lang w:val="en-US" w:eastAsia="zh-CN"/>
              </w:rPr>
              <w:t xml:space="preserve"> </w:t>
            </w:r>
            <w:r>
              <w:rPr>
                <w:rFonts w:hint="eastAsia" w:cs="Calibri"/>
                <w:b w:val="0"/>
                <w:bCs w:val="0"/>
                <w:color w:val="auto"/>
                <w:kern w:val="0"/>
                <w:szCs w:val="21"/>
                <w:highlight w:val="none"/>
                <w:lang w:val="en-US" w:eastAsia="zh-CN"/>
              </w:rPr>
              <w:t>（8）</w:t>
            </w:r>
            <w:r>
              <w:rPr>
                <w:rFonts w:hint="default" w:ascii="Calibri" w:hAnsi="Calibri" w:eastAsia="宋体" w:cs="Calibri"/>
                <w:b w:val="0"/>
                <w:bCs w:val="0"/>
                <w:color w:val="auto"/>
                <w:kern w:val="0"/>
                <w:szCs w:val="21"/>
                <w:highlight w:val="none"/>
                <w:lang w:val="en-US" w:eastAsia="zh-CN"/>
              </w:rPr>
              <w:t>提供现场接待服务。</w:t>
            </w:r>
          </w:p>
          <w:p w14:paraId="09E47244">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color w:val="auto"/>
                <w:szCs w:val="21"/>
                <w:highlight w:val="none"/>
                <w:u w:val="none"/>
                <w:lang w:eastAsia="zh-CN"/>
              </w:rPr>
            </w:pPr>
            <w:r>
              <w:rPr>
                <w:rFonts w:hint="default" w:ascii="Calibri" w:hAnsi="Calibri" w:eastAsia="宋体" w:cs="Calibri"/>
                <w:color w:val="auto"/>
                <w:szCs w:val="21"/>
                <w:highlight w:val="none"/>
                <w:u w:val="none"/>
                <w:lang w:val="en-US" w:eastAsia="zh-CN"/>
              </w:rPr>
              <w:t>①</w:t>
            </w:r>
            <w:r>
              <w:rPr>
                <w:rFonts w:hint="default" w:ascii="Calibri" w:hAnsi="Calibri" w:eastAsia="宋体" w:cs="Calibri"/>
                <w:color w:val="auto"/>
                <w:szCs w:val="21"/>
                <w:highlight w:val="none"/>
                <w:u w:val="none"/>
                <w:lang w:eastAsia="zh-CN"/>
              </w:rPr>
              <w:t>做好来访人员、车辆进出证件登记，及时通报</w:t>
            </w:r>
            <w:r>
              <w:rPr>
                <w:rFonts w:hint="eastAsia" w:cs="Calibri"/>
                <w:color w:val="auto"/>
                <w:szCs w:val="21"/>
                <w:highlight w:val="none"/>
                <w:u w:val="none"/>
                <w:lang w:eastAsia="zh-CN"/>
              </w:rPr>
              <w:t>。</w:t>
            </w:r>
          </w:p>
          <w:p w14:paraId="55405505">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color w:val="auto"/>
                <w:szCs w:val="21"/>
                <w:highlight w:val="none"/>
                <w:u w:val="none"/>
                <w:lang w:eastAsia="zh-CN"/>
              </w:rPr>
            </w:pPr>
            <w:r>
              <w:rPr>
                <w:rFonts w:hint="default" w:ascii="Calibri" w:hAnsi="Calibri" w:eastAsia="宋体" w:cs="Calibri"/>
                <w:color w:val="auto"/>
                <w:szCs w:val="21"/>
                <w:highlight w:val="none"/>
                <w:u w:val="none"/>
                <w:lang w:val="en-US" w:eastAsia="zh-CN"/>
              </w:rPr>
              <w:t>②</w:t>
            </w:r>
            <w:r>
              <w:rPr>
                <w:rFonts w:hint="default" w:ascii="Calibri" w:hAnsi="Calibri" w:eastAsia="宋体" w:cs="Calibri"/>
                <w:color w:val="auto"/>
                <w:szCs w:val="21"/>
                <w:highlight w:val="none"/>
                <w:u w:val="none"/>
                <w:lang w:eastAsia="zh-CN"/>
              </w:rPr>
              <w:t>严禁无关人员、可疑人员和危险物品进入办公楼（区）内。</w:t>
            </w:r>
          </w:p>
          <w:p w14:paraId="7BB971FB">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color w:val="auto"/>
                <w:highlight w:val="none"/>
                <w:u w:val="none"/>
              </w:rPr>
            </w:pPr>
            <w:r>
              <w:rPr>
                <w:rFonts w:hint="default"/>
                <w:color w:val="auto"/>
                <w:highlight w:val="none"/>
                <w:u w:val="none"/>
              </w:rPr>
              <w:t>③物品摆放整齐有序、分类放置。</w:t>
            </w:r>
          </w:p>
          <w:p w14:paraId="5F1CFEF8">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color w:val="auto"/>
                <w:highlight w:val="none"/>
                <w:u w:val="none"/>
              </w:rPr>
            </w:pPr>
            <w:r>
              <w:rPr>
                <w:rFonts w:hint="default"/>
                <w:color w:val="auto"/>
                <w:highlight w:val="none"/>
                <w:u w:val="none"/>
              </w:rPr>
              <w:t>④现场办理等待时间不超过5分钟，等待较长时间应</w:t>
            </w:r>
            <w:r>
              <w:rPr>
                <w:rFonts w:hint="eastAsia"/>
                <w:color w:val="auto"/>
                <w:highlight w:val="none"/>
                <w:u w:val="none"/>
                <w:lang w:eastAsia="zh-CN"/>
              </w:rPr>
              <w:t>当</w:t>
            </w:r>
            <w:r>
              <w:rPr>
                <w:rFonts w:hint="default"/>
                <w:color w:val="auto"/>
                <w:highlight w:val="none"/>
                <w:u w:val="none"/>
              </w:rPr>
              <w:t>及时沟通。</w:t>
            </w:r>
          </w:p>
          <w:p w14:paraId="0196F39C">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color w:val="auto"/>
                <w:highlight w:val="none"/>
                <w:u w:val="none"/>
              </w:rPr>
            </w:pPr>
            <w:r>
              <w:rPr>
                <w:rFonts w:hint="default"/>
                <w:color w:val="auto"/>
                <w:highlight w:val="none"/>
                <w:u w:val="none"/>
              </w:rPr>
              <w:t>⑤对来访人员咨询、建议、求助等事项，及时处理或答复，处理和答复率100%。</w:t>
            </w:r>
          </w:p>
          <w:p w14:paraId="1F4A6629">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color w:val="auto"/>
                <w:highlight w:val="none"/>
                <w:u w:val="none"/>
              </w:rPr>
            </w:pPr>
            <w:r>
              <w:rPr>
                <w:rFonts w:hint="default"/>
                <w:color w:val="auto"/>
                <w:highlight w:val="none"/>
                <w:u w:val="none"/>
              </w:rPr>
              <w:t>⑥接待服务工作时间应</w:t>
            </w:r>
            <w:r>
              <w:rPr>
                <w:rFonts w:hint="eastAsia"/>
                <w:color w:val="auto"/>
                <w:highlight w:val="none"/>
                <w:u w:val="none"/>
                <w:lang w:eastAsia="zh-CN"/>
              </w:rPr>
              <w:t>当</w:t>
            </w:r>
            <w:r>
              <w:rPr>
                <w:rFonts w:hint="default"/>
                <w:color w:val="auto"/>
                <w:highlight w:val="none"/>
                <w:u w:val="none"/>
              </w:rPr>
              <w:t>覆盖采购人工作时间（上班时间为—____-____）。</w:t>
            </w:r>
          </w:p>
          <w:p w14:paraId="7BF89ABA">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color w:val="auto"/>
                <w:highlight w:val="none"/>
                <w:u w:val="none"/>
              </w:rPr>
            </w:pPr>
            <w:r>
              <w:rPr>
                <w:rFonts w:hint="default"/>
                <w:color w:val="auto"/>
                <w:highlight w:val="none"/>
                <w:u w:val="none"/>
              </w:rPr>
              <w:t>⑦与被访人进行核实确认；告知被访人的办公室门牌号；告知访客注意事项（</w:t>
            </w:r>
            <w:r>
              <w:rPr>
                <w:rFonts w:hint="eastAsia"/>
                <w:color w:val="auto"/>
                <w:highlight w:val="none"/>
                <w:u w:val="none"/>
                <w:lang w:val="en-US" w:eastAsia="zh-CN"/>
              </w:rPr>
              <w:t>根据实际需要</w:t>
            </w:r>
            <w:r>
              <w:rPr>
                <w:rFonts w:hint="default"/>
                <w:color w:val="auto"/>
                <w:highlight w:val="none"/>
                <w:u w:val="none"/>
              </w:rPr>
              <w:t>填写</w:t>
            </w:r>
            <w:r>
              <w:rPr>
                <w:rFonts w:hint="eastAsia"/>
                <w:color w:val="auto"/>
                <w:highlight w:val="none"/>
                <w:u w:val="none"/>
                <w:lang w:val="en-US" w:eastAsia="zh-CN"/>
              </w:rPr>
              <w:t>注意事项</w:t>
            </w:r>
            <w:r>
              <w:rPr>
                <w:rFonts w:hint="default"/>
                <w:color w:val="auto"/>
                <w:highlight w:val="none"/>
                <w:u w:val="none"/>
              </w:rPr>
              <w:t>）。</w:t>
            </w:r>
          </w:p>
        </w:tc>
      </w:tr>
      <w:tr w14:paraId="193DE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restart"/>
            <w:noWrap w:val="0"/>
            <w:vAlign w:val="center"/>
          </w:tcPr>
          <w:p w14:paraId="4737ED0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r>
              <w:rPr>
                <w:rFonts w:hint="eastAsia"/>
                <w:highlight w:val="none"/>
                <w:lang w:val="en-US" w:eastAsia="zh-CN"/>
              </w:rPr>
              <w:t>3</w:t>
            </w:r>
          </w:p>
        </w:tc>
        <w:tc>
          <w:tcPr>
            <w:tcW w:w="3367" w:type="dxa"/>
            <w:vMerge w:val="restart"/>
            <w:noWrap w:val="0"/>
            <w:vAlign w:val="center"/>
          </w:tcPr>
          <w:p w14:paraId="0DEC31B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r>
              <w:rPr>
                <w:rFonts w:hint="default" w:eastAsia="宋体"/>
                <w:highlight w:val="none"/>
                <w:lang w:val="en-US" w:eastAsia="zh-CN"/>
              </w:rPr>
              <w:t>值班</w:t>
            </w:r>
            <w:r>
              <w:rPr>
                <w:rFonts w:hint="default"/>
                <w:highlight w:val="none"/>
              </w:rPr>
              <w:t>巡查</w:t>
            </w:r>
          </w:p>
        </w:tc>
        <w:tc>
          <w:tcPr>
            <w:tcW w:w="9886" w:type="dxa"/>
            <w:noWrap w:val="0"/>
            <w:vAlign w:val="center"/>
          </w:tcPr>
          <w:p w14:paraId="65E111FA">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建立</w:t>
            </w:r>
            <w:r>
              <w:rPr>
                <w:rFonts w:hint="eastAsia" w:cs="Calibri"/>
                <w:b w:val="0"/>
                <w:bCs w:val="0"/>
                <w:color w:val="auto"/>
                <w:kern w:val="0"/>
                <w:szCs w:val="21"/>
                <w:highlight w:val="none"/>
                <w:lang w:val="en-US" w:eastAsia="zh-CN"/>
              </w:rPr>
              <w:t>24小时</w:t>
            </w:r>
            <w:r>
              <w:rPr>
                <w:rFonts w:hint="eastAsia" w:ascii="Calibri" w:hAnsi="Calibri" w:eastAsia="宋体" w:cs="Calibri"/>
                <w:b w:val="0"/>
                <w:bCs w:val="0"/>
                <w:color w:val="auto"/>
                <w:kern w:val="0"/>
                <w:szCs w:val="21"/>
                <w:highlight w:val="none"/>
                <w:lang w:val="en-US" w:eastAsia="zh-CN"/>
              </w:rPr>
              <w:t>值班巡查制度</w:t>
            </w:r>
            <w:r>
              <w:rPr>
                <w:rFonts w:hint="eastAsia" w:cs="Calibri"/>
                <w:b w:val="0"/>
                <w:bCs w:val="0"/>
                <w:color w:val="auto"/>
                <w:kern w:val="0"/>
                <w:szCs w:val="21"/>
                <w:highlight w:val="none"/>
                <w:lang w:val="en-US" w:eastAsia="zh-CN"/>
              </w:rPr>
              <w:t>。</w:t>
            </w:r>
          </w:p>
        </w:tc>
      </w:tr>
      <w:tr w14:paraId="427F9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14:paraId="1B8C5C4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67" w:type="dxa"/>
            <w:vMerge w:val="continue"/>
            <w:noWrap w:val="0"/>
            <w:vAlign w:val="center"/>
          </w:tcPr>
          <w:p w14:paraId="6C0AF1E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highlight w:val="none"/>
                <w:lang w:val="en-US" w:eastAsia="zh-CN"/>
              </w:rPr>
            </w:pPr>
          </w:p>
        </w:tc>
        <w:tc>
          <w:tcPr>
            <w:tcW w:w="9886" w:type="dxa"/>
            <w:noWrap w:val="0"/>
            <w:vAlign w:val="center"/>
          </w:tcPr>
          <w:p w14:paraId="117E38F3">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（2）</w:t>
            </w:r>
            <w:r>
              <w:rPr>
                <w:rFonts w:hint="eastAsia" w:ascii="Calibri" w:hAnsi="Calibri" w:eastAsia="宋体" w:cs="Calibri"/>
                <w:b w:val="0"/>
                <w:bCs w:val="0"/>
                <w:color w:val="auto"/>
                <w:kern w:val="0"/>
                <w:szCs w:val="21"/>
                <w:highlight w:val="none"/>
                <w:lang w:val="en-US" w:eastAsia="zh-CN"/>
              </w:rPr>
              <w:t>制定巡查路线，按照指定时间和路线执行，加强重点区域、重点部位及装修区域的巡查</w:t>
            </w:r>
            <w:r>
              <w:rPr>
                <w:rFonts w:hint="eastAsia" w:cs="Calibri"/>
                <w:b w:val="0"/>
                <w:bCs w:val="0"/>
                <w:color w:val="auto"/>
                <w:kern w:val="0"/>
                <w:szCs w:val="21"/>
                <w:highlight w:val="none"/>
                <w:lang w:val="en-US" w:eastAsia="zh-CN"/>
              </w:rPr>
              <w:t>。</w:t>
            </w:r>
          </w:p>
        </w:tc>
      </w:tr>
      <w:tr w14:paraId="667F5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14:paraId="44DD12E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67" w:type="dxa"/>
            <w:vMerge w:val="continue"/>
            <w:noWrap w:val="0"/>
            <w:vAlign w:val="center"/>
          </w:tcPr>
          <w:p w14:paraId="0B002D6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eastAsia="宋体"/>
                <w:highlight w:val="none"/>
                <w:lang w:val="en-US" w:eastAsia="zh-CN"/>
              </w:rPr>
            </w:pPr>
          </w:p>
        </w:tc>
        <w:tc>
          <w:tcPr>
            <w:tcW w:w="9886" w:type="dxa"/>
            <w:noWrap w:val="0"/>
            <w:vAlign w:val="center"/>
          </w:tcPr>
          <w:p w14:paraId="37BF0B4C">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（3）</w:t>
            </w:r>
            <w:r>
              <w:rPr>
                <w:rFonts w:hint="eastAsia" w:ascii="Calibri" w:hAnsi="Calibri" w:eastAsia="宋体" w:cs="Calibri"/>
                <w:b w:val="0"/>
                <w:bCs w:val="0"/>
                <w:color w:val="auto"/>
                <w:kern w:val="0"/>
                <w:szCs w:val="21"/>
                <w:highlight w:val="none"/>
                <w:lang w:val="en-US" w:eastAsia="zh-CN"/>
              </w:rPr>
              <w:t>巡查期间保持通信设施设备畅通，遇到异常情况立即上报并在现场采取相应措施</w:t>
            </w:r>
            <w:r>
              <w:rPr>
                <w:rFonts w:hint="eastAsia" w:cs="Calibri"/>
                <w:b w:val="0"/>
                <w:bCs w:val="0"/>
                <w:color w:val="auto"/>
                <w:kern w:val="0"/>
                <w:szCs w:val="21"/>
                <w:highlight w:val="none"/>
                <w:lang w:val="en-US" w:eastAsia="zh-CN"/>
              </w:rPr>
              <w:t>。</w:t>
            </w:r>
          </w:p>
        </w:tc>
      </w:tr>
      <w:tr w14:paraId="07A89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14:paraId="0E732B1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eastAsia="宋体"/>
                <w:highlight w:val="none"/>
                <w:lang w:val="en-US" w:eastAsia="zh-CN"/>
              </w:rPr>
            </w:pPr>
          </w:p>
        </w:tc>
        <w:tc>
          <w:tcPr>
            <w:tcW w:w="3367" w:type="dxa"/>
            <w:vMerge w:val="continue"/>
            <w:noWrap w:val="0"/>
            <w:vAlign w:val="center"/>
          </w:tcPr>
          <w:p w14:paraId="6CF2F71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886" w:type="dxa"/>
            <w:noWrap w:val="0"/>
            <w:vAlign w:val="center"/>
          </w:tcPr>
          <w:p w14:paraId="6FA2EC51">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（4）</w:t>
            </w:r>
            <w:r>
              <w:rPr>
                <w:rFonts w:hint="eastAsia" w:ascii="Calibri" w:hAnsi="Calibri" w:eastAsia="宋体" w:cs="Calibri"/>
                <w:b w:val="0"/>
                <w:bCs w:val="0"/>
                <w:color w:val="auto"/>
                <w:kern w:val="0"/>
                <w:szCs w:val="21"/>
                <w:highlight w:val="none"/>
                <w:lang w:val="en-US" w:eastAsia="zh-CN"/>
              </w:rPr>
              <w:t>收到监控室指令后，巡查人员及时到达指定地点并迅速采取相应措施</w:t>
            </w:r>
            <w:r>
              <w:rPr>
                <w:rFonts w:hint="eastAsia" w:cs="Calibri"/>
                <w:b w:val="0"/>
                <w:bCs w:val="0"/>
                <w:color w:val="auto"/>
                <w:kern w:val="0"/>
                <w:szCs w:val="21"/>
                <w:highlight w:val="none"/>
                <w:lang w:val="en-US" w:eastAsia="zh-CN"/>
              </w:rPr>
              <w:t>。</w:t>
            </w:r>
          </w:p>
        </w:tc>
      </w:tr>
      <w:tr w14:paraId="47925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restart"/>
            <w:noWrap w:val="0"/>
            <w:vAlign w:val="center"/>
          </w:tcPr>
          <w:p w14:paraId="61F3FE7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r>
              <w:rPr>
                <w:rFonts w:hint="eastAsia"/>
                <w:highlight w:val="none"/>
                <w:lang w:val="en-US" w:eastAsia="zh-CN"/>
              </w:rPr>
              <w:t>4</w:t>
            </w:r>
          </w:p>
        </w:tc>
        <w:tc>
          <w:tcPr>
            <w:tcW w:w="3367" w:type="dxa"/>
            <w:vMerge w:val="restart"/>
            <w:noWrap w:val="0"/>
            <w:vAlign w:val="center"/>
          </w:tcPr>
          <w:p w14:paraId="1A25C28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r>
              <w:rPr>
                <w:rFonts w:hint="default"/>
                <w:highlight w:val="none"/>
              </w:rPr>
              <w:t>监控</w:t>
            </w:r>
            <w:r>
              <w:rPr>
                <w:rFonts w:hint="default" w:eastAsia="宋体"/>
                <w:highlight w:val="none"/>
                <w:lang w:val="en-US" w:eastAsia="zh-CN"/>
              </w:rPr>
              <w:t>值守</w:t>
            </w:r>
          </w:p>
        </w:tc>
        <w:tc>
          <w:tcPr>
            <w:tcW w:w="9886" w:type="dxa"/>
            <w:noWrap w:val="0"/>
            <w:vAlign w:val="center"/>
          </w:tcPr>
          <w:p w14:paraId="12D070BD">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监控室环境符合系统设备运行要求，定期进行检查和检测，确保系统功能正常</w:t>
            </w:r>
            <w:r>
              <w:rPr>
                <w:rFonts w:hint="eastAsia" w:cs="Calibri"/>
                <w:b w:val="0"/>
                <w:bCs w:val="0"/>
                <w:color w:val="auto"/>
                <w:kern w:val="0"/>
                <w:szCs w:val="21"/>
                <w:highlight w:val="none"/>
                <w:lang w:val="en-US" w:eastAsia="zh-CN"/>
              </w:rPr>
              <w:t>。</w:t>
            </w:r>
          </w:p>
        </w:tc>
      </w:tr>
      <w:tr w14:paraId="6E90C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14:paraId="3C9A8C1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67" w:type="dxa"/>
            <w:vMerge w:val="continue"/>
            <w:noWrap w:val="0"/>
            <w:vAlign w:val="center"/>
          </w:tcPr>
          <w:p w14:paraId="46F24EC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886" w:type="dxa"/>
            <w:noWrap w:val="0"/>
            <w:vAlign w:val="center"/>
          </w:tcPr>
          <w:p w14:paraId="5B6F2B5E">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（2）</w:t>
            </w:r>
            <w:r>
              <w:rPr>
                <w:rFonts w:hint="eastAsia" w:ascii="Calibri" w:hAnsi="Calibri" w:eastAsia="宋体" w:cs="Calibri"/>
                <w:b w:val="0"/>
                <w:bCs w:val="0"/>
                <w:color w:val="auto"/>
                <w:kern w:val="0"/>
                <w:szCs w:val="21"/>
                <w:highlight w:val="none"/>
                <w:lang w:val="en-US" w:eastAsia="zh-CN"/>
              </w:rPr>
              <w:t>监控设备</w:t>
            </w:r>
            <w:r>
              <w:rPr>
                <w:rFonts w:hint="eastAsia" w:cs="Calibri"/>
                <w:b w:val="0"/>
                <w:bCs w:val="0"/>
                <w:color w:val="auto"/>
                <w:kern w:val="0"/>
                <w:szCs w:val="21"/>
                <w:highlight w:val="none"/>
                <w:lang w:val="en-US" w:eastAsia="zh-CN"/>
              </w:rPr>
              <w:t>24小时</w:t>
            </w:r>
            <w:r>
              <w:rPr>
                <w:rFonts w:hint="eastAsia" w:ascii="Calibri" w:hAnsi="Calibri" w:eastAsia="宋体" w:cs="Calibri"/>
                <w:b w:val="0"/>
                <w:bCs w:val="0"/>
                <w:color w:val="auto"/>
                <w:kern w:val="0"/>
                <w:szCs w:val="21"/>
                <w:highlight w:val="none"/>
                <w:lang w:val="en-US" w:eastAsia="zh-CN"/>
              </w:rPr>
              <w:t>正常运行，监控室实行专人</w:t>
            </w:r>
            <w:r>
              <w:rPr>
                <w:rFonts w:hint="eastAsia" w:cs="Calibri"/>
                <w:b w:val="0"/>
                <w:bCs w:val="0"/>
                <w:color w:val="auto"/>
                <w:kern w:val="0"/>
                <w:szCs w:val="21"/>
                <w:highlight w:val="none"/>
                <w:lang w:val="en-US" w:eastAsia="zh-CN"/>
              </w:rPr>
              <w:t>24小时</w:t>
            </w:r>
            <w:r>
              <w:rPr>
                <w:rFonts w:hint="eastAsia" w:ascii="Calibri" w:hAnsi="Calibri" w:eastAsia="宋体" w:cs="Calibri"/>
                <w:b w:val="0"/>
                <w:bCs w:val="0"/>
                <w:color w:val="auto"/>
                <w:kern w:val="0"/>
                <w:szCs w:val="21"/>
                <w:highlight w:val="none"/>
                <w:lang w:val="en-US" w:eastAsia="zh-CN"/>
              </w:rPr>
              <w:t>值班制度</w:t>
            </w:r>
            <w:r>
              <w:rPr>
                <w:rFonts w:hint="eastAsia" w:cs="Calibri"/>
                <w:b w:val="0"/>
                <w:bCs w:val="0"/>
                <w:color w:val="auto"/>
                <w:kern w:val="0"/>
                <w:szCs w:val="21"/>
                <w:highlight w:val="none"/>
                <w:lang w:val="en-US" w:eastAsia="zh-CN"/>
              </w:rPr>
              <w:t>。</w:t>
            </w:r>
          </w:p>
        </w:tc>
      </w:tr>
      <w:tr w14:paraId="176F7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14:paraId="2C8364C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67" w:type="dxa"/>
            <w:vMerge w:val="continue"/>
            <w:noWrap w:val="0"/>
            <w:vAlign w:val="center"/>
          </w:tcPr>
          <w:p w14:paraId="5F7381B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886" w:type="dxa"/>
            <w:noWrap w:val="0"/>
            <w:vAlign w:val="center"/>
          </w:tcPr>
          <w:p w14:paraId="6AD83D7D">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（3）</w:t>
            </w:r>
            <w:r>
              <w:rPr>
                <w:rFonts w:hint="eastAsia" w:ascii="Calibri" w:hAnsi="Calibri" w:eastAsia="宋体" w:cs="Calibri"/>
                <w:b w:val="0"/>
                <w:bCs w:val="0"/>
                <w:color w:val="auto"/>
                <w:kern w:val="0"/>
                <w:szCs w:val="21"/>
                <w:highlight w:val="none"/>
                <w:lang w:val="en-US" w:eastAsia="zh-CN"/>
              </w:rPr>
              <w:t>监控记录画面清晰，视频监控无死角、无盲区</w:t>
            </w:r>
            <w:r>
              <w:rPr>
                <w:rFonts w:hint="eastAsia" w:cs="Calibri"/>
                <w:b w:val="0"/>
                <w:bCs w:val="0"/>
                <w:color w:val="auto"/>
                <w:kern w:val="0"/>
                <w:szCs w:val="21"/>
                <w:highlight w:val="none"/>
                <w:lang w:val="en-US" w:eastAsia="zh-CN"/>
              </w:rPr>
              <w:t>。</w:t>
            </w:r>
          </w:p>
        </w:tc>
      </w:tr>
      <w:tr w14:paraId="6D46C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14:paraId="27C7FFC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67" w:type="dxa"/>
            <w:vMerge w:val="continue"/>
            <w:noWrap w:val="0"/>
            <w:vAlign w:val="center"/>
          </w:tcPr>
          <w:p w14:paraId="2F13180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886" w:type="dxa"/>
            <w:noWrap w:val="0"/>
            <w:vAlign w:val="center"/>
          </w:tcPr>
          <w:p w14:paraId="1DBDD722">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（4）</w:t>
            </w:r>
            <w:r>
              <w:rPr>
                <w:rFonts w:hint="eastAsia" w:ascii="Calibri" w:hAnsi="Calibri" w:eastAsia="宋体" w:cs="Calibri"/>
                <w:b w:val="0"/>
                <w:bCs w:val="0"/>
                <w:color w:val="auto"/>
                <w:kern w:val="0"/>
                <w:szCs w:val="21"/>
                <w:highlight w:val="none"/>
                <w:lang w:val="en-US" w:eastAsia="zh-CN"/>
              </w:rPr>
              <w:t>值班期间遵守操作规程和保密制度，做好监控记录的保存工作</w:t>
            </w:r>
            <w:r>
              <w:rPr>
                <w:rFonts w:hint="eastAsia" w:cs="Calibri"/>
                <w:b w:val="0"/>
                <w:bCs w:val="0"/>
                <w:color w:val="auto"/>
                <w:kern w:val="0"/>
                <w:szCs w:val="21"/>
                <w:highlight w:val="none"/>
                <w:lang w:val="en-US" w:eastAsia="zh-CN"/>
              </w:rPr>
              <w:t>。</w:t>
            </w:r>
          </w:p>
        </w:tc>
      </w:tr>
      <w:tr w14:paraId="28E2A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14:paraId="46B4333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67" w:type="dxa"/>
            <w:vMerge w:val="continue"/>
            <w:noWrap w:val="0"/>
            <w:vAlign w:val="center"/>
          </w:tcPr>
          <w:p w14:paraId="3A7C5D6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886" w:type="dxa"/>
            <w:noWrap w:val="0"/>
            <w:vAlign w:val="center"/>
          </w:tcPr>
          <w:p w14:paraId="4CA4091A">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（5）</w:t>
            </w:r>
            <w:r>
              <w:rPr>
                <w:rFonts w:hint="eastAsia" w:ascii="Calibri" w:hAnsi="Calibri" w:eastAsia="宋体" w:cs="Calibri"/>
                <w:b w:val="0"/>
                <w:bCs w:val="0"/>
                <w:color w:val="auto"/>
                <w:kern w:val="0"/>
                <w:szCs w:val="21"/>
                <w:highlight w:val="none"/>
                <w:lang w:val="en-US" w:eastAsia="zh-CN"/>
              </w:rPr>
              <w:t>监控记录保持完整，保存时间不应少于90</w:t>
            </w:r>
            <w:r>
              <w:rPr>
                <w:rFonts w:hint="eastAsia" w:cs="Calibri"/>
                <w:b w:val="0"/>
                <w:bCs w:val="0"/>
                <w:color w:val="auto"/>
                <w:kern w:val="0"/>
                <w:szCs w:val="21"/>
                <w:highlight w:val="none"/>
                <w:lang w:val="en-US" w:eastAsia="zh-CN"/>
              </w:rPr>
              <w:t>天。</w:t>
            </w:r>
          </w:p>
        </w:tc>
      </w:tr>
      <w:tr w14:paraId="6CBAF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255" w:type="dxa"/>
            <w:vMerge w:val="continue"/>
            <w:noWrap w:val="0"/>
            <w:vAlign w:val="center"/>
          </w:tcPr>
          <w:p w14:paraId="5CECCC0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67" w:type="dxa"/>
            <w:vMerge w:val="continue"/>
            <w:noWrap w:val="0"/>
            <w:vAlign w:val="center"/>
          </w:tcPr>
          <w:p w14:paraId="52F54CB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886" w:type="dxa"/>
            <w:noWrap w:val="0"/>
            <w:vAlign w:val="center"/>
          </w:tcPr>
          <w:p w14:paraId="49E32B81">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（6）</w:t>
            </w:r>
            <w:r>
              <w:rPr>
                <w:rFonts w:hint="eastAsia" w:ascii="Calibri" w:hAnsi="Calibri" w:eastAsia="宋体" w:cs="Calibri"/>
                <w:b w:val="0"/>
                <w:bCs w:val="0"/>
                <w:color w:val="auto"/>
                <w:kern w:val="0"/>
                <w:szCs w:val="21"/>
                <w:highlight w:val="none"/>
                <w:lang w:val="en-US" w:eastAsia="zh-CN"/>
              </w:rPr>
              <w:t>无关人员进入监控室或查阅监控记录，经授权人批准并做好相关记录</w:t>
            </w:r>
            <w:r>
              <w:rPr>
                <w:rFonts w:hint="eastAsia" w:cs="Calibri"/>
                <w:b w:val="0"/>
                <w:bCs w:val="0"/>
                <w:color w:val="auto"/>
                <w:kern w:val="0"/>
                <w:szCs w:val="21"/>
                <w:highlight w:val="none"/>
                <w:lang w:val="en-US" w:eastAsia="zh-CN"/>
              </w:rPr>
              <w:t>。</w:t>
            </w:r>
          </w:p>
        </w:tc>
      </w:tr>
      <w:tr w14:paraId="0A2BD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14:paraId="6305279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p>
        </w:tc>
        <w:tc>
          <w:tcPr>
            <w:tcW w:w="3367" w:type="dxa"/>
            <w:vMerge w:val="continue"/>
            <w:noWrap w:val="0"/>
            <w:vAlign w:val="center"/>
          </w:tcPr>
          <w:p w14:paraId="2A8958F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886" w:type="dxa"/>
            <w:noWrap w:val="0"/>
            <w:vAlign w:val="center"/>
          </w:tcPr>
          <w:p w14:paraId="612438AE">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（7）</w:t>
            </w:r>
            <w:r>
              <w:rPr>
                <w:rFonts w:hint="eastAsia" w:ascii="Calibri" w:hAnsi="Calibri" w:eastAsia="宋体" w:cs="Calibri"/>
                <w:b w:val="0"/>
                <w:bCs w:val="0"/>
                <w:color w:val="auto"/>
                <w:kern w:val="0"/>
                <w:szCs w:val="21"/>
                <w:highlight w:val="none"/>
                <w:lang w:val="en-US" w:eastAsia="zh-CN"/>
              </w:rPr>
              <w:t>监控室收到火情等报警信号、其他异常情况信号后，及时报警并安排其他安保人员前往现场进行处理</w:t>
            </w:r>
            <w:r>
              <w:rPr>
                <w:rFonts w:hint="eastAsia" w:cs="Calibri"/>
                <w:b w:val="0"/>
                <w:bCs w:val="0"/>
                <w:color w:val="auto"/>
                <w:kern w:val="0"/>
                <w:szCs w:val="21"/>
                <w:highlight w:val="none"/>
                <w:lang w:val="en-US" w:eastAsia="zh-CN"/>
              </w:rPr>
              <w:t>。</w:t>
            </w:r>
          </w:p>
        </w:tc>
      </w:tr>
      <w:tr w14:paraId="4AE4D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restart"/>
            <w:noWrap w:val="0"/>
            <w:vAlign w:val="center"/>
          </w:tcPr>
          <w:p w14:paraId="3C18809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r>
              <w:rPr>
                <w:rFonts w:hint="eastAsia"/>
                <w:highlight w:val="none"/>
                <w:lang w:val="en-US" w:eastAsia="zh-CN"/>
              </w:rPr>
              <w:t>5</w:t>
            </w:r>
          </w:p>
        </w:tc>
        <w:tc>
          <w:tcPr>
            <w:tcW w:w="3367" w:type="dxa"/>
            <w:vMerge w:val="restart"/>
            <w:noWrap w:val="0"/>
            <w:vAlign w:val="center"/>
          </w:tcPr>
          <w:p w14:paraId="367E04C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r>
              <w:rPr>
                <w:rFonts w:hint="default"/>
                <w:highlight w:val="none"/>
              </w:rPr>
              <w:t>车辆停放</w:t>
            </w:r>
          </w:p>
        </w:tc>
        <w:tc>
          <w:tcPr>
            <w:tcW w:w="9886" w:type="dxa"/>
            <w:noWrap w:val="0"/>
            <w:vAlign w:val="center"/>
          </w:tcPr>
          <w:p w14:paraId="3D89B13E">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车辆行驶路线设置合理、规范，导向标志完整、清晰</w:t>
            </w:r>
            <w:r>
              <w:rPr>
                <w:rFonts w:hint="eastAsia" w:eastAsia="宋体" w:cs="Calibri"/>
                <w:b w:val="0"/>
                <w:bCs w:val="0"/>
                <w:color w:val="auto"/>
                <w:kern w:val="0"/>
                <w:szCs w:val="21"/>
                <w:highlight w:val="none"/>
                <w:lang w:val="en-US" w:eastAsia="zh-CN"/>
              </w:rPr>
              <w:t>。</w:t>
            </w:r>
          </w:p>
        </w:tc>
      </w:tr>
      <w:tr w14:paraId="64B69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14:paraId="0E686DF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67" w:type="dxa"/>
            <w:vMerge w:val="continue"/>
            <w:noWrap w:val="0"/>
            <w:vAlign w:val="center"/>
          </w:tcPr>
          <w:p w14:paraId="6602C3C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886" w:type="dxa"/>
            <w:noWrap w:val="0"/>
            <w:vAlign w:val="center"/>
          </w:tcPr>
          <w:p w14:paraId="22CE5E4A">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（2）</w:t>
            </w:r>
            <w:r>
              <w:rPr>
                <w:rFonts w:hint="eastAsia" w:ascii="Calibri" w:hAnsi="Calibri" w:eastAsia="宋体" w:cs="Calibri"/>
                <w:b w:val="0"/>
                <w:bCs w:val="0"/>
                <w:color w:val="auto"/>
                <w:kern w:val="0"/>
                <w:szCs w:val="21"/>
                <w:highlight w:val="none"/>
                <w:lang w:val="en-US" w:eastAsia="zh-CN"/>
              </w:rPr>
              <w:t>合理规划车辆停放区域，张贴车辆引导标识，对车辆及停放区域实行规范管理</w:t>
            </w:r>
            <w:r>
              <w:rPr>
                <w:rFonts w:hint="eastAsia" w:eastAsia="宋体" w:cs="Calibri"/>
                <w:b w:val="0"/>
                <w:bCs w:val="0"/>
                <w:color w:val="auto"/>
                <w:kern w:val="0"/>
                <w:szCs w:val="21"/>
                <w:highlight w:val="none"/>
                <w:lang w:val="en-US" w:eastAsia="zh-CN"/>
              </w:rPr>
              <w:t>。</w:t>
            </w:r>
          </w:p>
        </w:tc>
      </w:tr>
      <w:tr w14:paraId="0F446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14:paraId="3C93D2F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67" w:type="dxa"/>
            <w:vMerge w:val="continue"/>
            <w:noWrap w:val="0"/>
            <w:vAlign w:val="center"/>
          </w:tcPr>
          <w:p w14:paraId="15CF265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886" w:type="dxa"/>
            <w:noWrap w:val="0"/>
            <w:vAlign w:val="center"/>
          </w:tcPr>
          <w:p w14:paraId="7E55294E">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（3）</w:t>
            </w:r>
            <w:r>
              <w:rPr>
                <w:rFonts w:hint="eastAsia" w:ascii="Calibri" w:hAnsi="Calibri" w:eastAsia="宋体" w:cs="Calibri"/>
                <w:b w:val="0"/>
                <w:bCs w:val="0"/>
                <w:color w:val="auto"/>
                <w:kern w:val="0"/>
                <w:szCs w:val="21"/>
                <w:highlight w:val="none"/>
                <w:lang w:val="en-US" w:eastAsia="zh-CN"/>
              </w:rPr>
              <w:t>严禁在办公楼的公用走道、楼梯间、安全出口处等公共区域停放车辆或充电</w:t>
            </w:r>
            <w:r>
              <w:rPr>
                <w:rFonts w:hint="eastAsia" w:eastAsia="宋体" w:cs="Calibri"/>
                <w:b w:val="0"/>
                <w:bCs w:val="0"/>
                <w:color w:val="auto"/>
                <w:kern w:val="0"/>
                <w:szCs w:val="21"/>
                <w:highlight w:val="none"/>
                <w:lang w:val="en-US" w:eastAsia="zh-CN"/>
              </w:rPr>
              <w:t>。</w:t>
            </w:r>
          </w:p>
        </w:tc>
      </w:tr>
      <w:tr w14:paraId="480A8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14:paraId="06A852C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67" w:type="dxa"/>
            <w:vMerge w:val="continue"/>
            <w:noWrap w:val="0"/>
            <w:vAlign w:val="center"/>
          </w:tcPr>
          <w:p w14:paraId="77E46E5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886" w:type="dxa"/>
            <w:noWrap w:val="0"/>
            <w:vAlign w:val="center"/>
          </w:tcPr>
          <w:p w14:paraId="2E639A0A">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（4）</w:t>
            </w:r>
            <w:r>
              <w:rPr>
                <w:rFonts w:hint="eastAsia" w:ascii="Calibri" w:hAnsi="Calibri" w:eastAsia="宋体" w:cs="Calibri"/>
                <w:b w:val="0"/>
                <w:bCs w:val="0"/>
                <w:color w:val="auto"/>
                <w:kern w:val="0"/>
                <w:szCs w:val="21"/>
                <w:highlight w:val="none"/>
                <w:lang w:val="en-US" w:eastAsia="zh-CN"/>
              </w:rPr>
              <w:t>非机动车定点有序停放</w:t>
            </w:r>
            <w:r>
              <w:rPr>
                <w:rFonts w:hint="eastAsia" w:eastAsia="宋体" w:cs="Calibri"/>
                <w:b w:val="0"/>
                <w:bCs w:val="0"/>
                <w:color w:val="auto"/>
                <w:kern w:val="0"/>
                <w:szCs w:val="21"/>
                <w:highlight w:val="none"/>
                <w:lang w:val="en-US" w:eastAsia="zh-CN"/>
              </w:rPr>
              <w:t>。</w:t>
            </w:r>
          </w:p>
        </w:tc>
      </w:tr>
      <w:tr w14:paraId="2E2B0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14:paraId="7440333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p>
        </w:tc>
        <w:tc>
          <w:tcPr>
            <w:tcW w:w="3367" w:type="dxa"/>
            <w:vMerge w:val="continue"/>
            <w:noWrap w:val="0"/>
            <w:vAlign w:val="center"/>
          </w:tcPr>
          <w:p w14:paraId="5B84138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886" w:type="dxa"/>
            <w:noWrap w:val="0"/>
            <w:vAlign w:val="center"/>
          </w:tcPr>
          <w:p w14:paraId="0A14C6BB">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（5）</w:t>
            </w:r>
            <w:r>
              <w:rPr>
                <w:rFonts w:hint="eastAsia" w:ascii="Calibri" w:hAnsi="Calibri" w:eastAsia="宋体" w:cs="Calibri"/>
                <w:b w:val="0"/>
                <w:bCs w:val="0"/>
                <w:color w:val="auto"/>
                <w:kern w:val="0"/>
                <w:szCs w:val="21"/>
                <w:highlight w:val="none"/>
                <w:lang w:val="en-US" w:eastAsia="zh-CN"/>
              </w:rPr>
              <w:t>发现车辆异常情况及时通知车主，并做好登记</w:t>
            </w:r>
            <w:r>
              <w:rPr>
                <w:rFonts w:hint="eastAsia" w:eastAsia="宋体" w:cs="Calibri"/>
                <w:b w:val="0"/>
                <w:bCs w:val="0"/>
                <w:color w:val="auto"/>
                <w:kern w:val="0"/>
                <w:szCs w:val="21"/>
                <w:highlight w:val="none"/>
                <w:lang w:val="en-US" w:eastAsia="zh-CN"/>
              </w:rPr>
              <w:t>；</w:t>
            </w:r>
            <w:r>
              <w:rPr>
                <w:rFonts w:hint="eastAsia" w:ascii="Calibri" w:hAnsi="Calibri" w:eastAsia="宋体" w:cs="Calibri"/>
                <w:b w:val="0"/>
                <w:bCs w:val="0"/>
                <w:color w:val="auto"/>
                <w:kern w:val="0"/>
                <w:szCs w:val="21"/>
                <w:highlight w:val="none"/>
                <w:lang w:val="en-US" w:eastAsia="zh-CN"/>
              </w:rPr>
              <w:t>发生交通事故、自然灾害等意外事故时及时赶赴现场疏导和协助处理，响应时间不超过3</w:t>
            </w:r>
            <w:r>
              <w:rPr>
                <w:rFonts w:hint="eastAsia" w:cs="Calibri"/>
                <w:b w:val="0"/>
                <w:bCs w:val="0"/>
                <w:color w:val="auto"/>
                <w:kern w:val="0"/>
                <w:szCs w:val="21"/>
                <w:highlight w:val="none"/>
                <w:lang w:val="en-US" w:eastAsia="zh-CN"/>
              </w:rPr>
              <w:t>分钟</w:t>
            </w:r>
            <w:r>
              <w:rPr>
                <w:rFonts w:hint="eastAsia" w:eastAsia="宋体" w:cs="Calibri"/>
                <w:b w:val="0"/>
                <w:bCs w:val="0"/>
                <w:color w:val="auto"/>
                <w:kern w:val="0"/>
                <w:szCs w:val="21"/>
                <w:highlight w:val="none"/>
                <w:lang w:val="en-US" w:eastAsia="zh-CN"/>
              </w:rPr>
              <w:t>。</w:t>
            </w:r>
          </w:p>
        </w:tc>
      </w:tr>
      <w:tr w14:paraId="13CFA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restart"/>
            <w:noWrap w:val="0"/>
            <w:vAlign w:val="center"/>
          </w:tcPr>
          <w:p w14:paraId="56988F6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r>
              <w:rPr>
                <w:rFonts w:hint="eastAsia"/>
                <w:highlight w:val="none"/>
                <w:lang w:val="en-US" w:eastAsia="zh-CN"/>
              </w:rPr>
              <w:t>6</w:t>
            </w:r>
          </w:p>
        </w:tc>
        <w:tc>
          <w:tcPr>
            <w:tcW w:w="3367" w:type="dxa"/>
            <w:vMerge w:val="restart"/>
            <w:noWrap w:val="0"/>
            <w:vAlign w:val="center"/>
          </w:tcPr>
          <w:p w14:paraId="3D6209F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eastAsia="宋体"/>
                <w:highlight w:val="none"/>
                <w:lang w:eastAsia="zh-CN"/>
              </w:rPr>
            </w:pPr>
            <w:r>
              <w:rPr>
                <w:rFonts w:hint="default"/>
                <w:highlight w:val="none"/>
              </w:rPr>
              <w:t>消防安全管理</w:t>
            </w:r>
          </w:p>
        </w:tc>
        <w:tc>
          <w:tcPr>
            <w:tcW w:w="9886" w:type="dxa"/>
            <w:noWrap w:val="0"/>
            <w:vAlign w:val="center"/>
          </w:tcPr>
          <w:p w14:paraId="6FB86271">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建立消防安全责任制，确定各级消防安全责任人及其职责</w:t>
            </w:r>
            <w:r>
              <w:rPr>
                <w:rFonts w:hint="eastAsia" w:eastAsia="宋体" w:cs="Calibri"/>
                <w:b w:val="0"/>
                <w:bCs w:val="0"/>
                <w:color w:val="auto"/>
                <w:kern w:val="0"/>
                <w:szCs w:val="21"/>
                <w:highlight w:val="none"/>
                <w:lang w:val="en-US" w:eastAsia="zh-CN"/>
              </w:rPr>
              <w:t>。</w:t>
            </w:r>
          </w:p>
        </w:tc>
      </w:tr>
      <w:tr w14:paraId="3BAA2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14:paraId="53CA7EB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67" w:type="dxa"/>
            <w:vMerge w:val="continue"/>
            <w:noWrap w:val="0"/>
            <w:vAlign w:val="center"/>
          </w:tcPr>
          <w:p w14:paraId="79957FB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886" w:type="dxa"/>
            <w:noWrap w:val="0"/>
            <w:vAlign w:val="center"/>
          </w:tcPr>
          <w:p w14:paraId="4DB6D9E7">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（2）</w:t>
            </w:r>
            <w:r>
              <w:rPr>
                <w:rFonts w:hint="eastAsia" w:ascii="Calibri" w:hAnsi="Calibri" w:eastAsia="宋体" w:cs="Calibri"/>
                <w:b w:val="0"/>
                <w:bCs w:val="0"/>
                <w:color w:val="auto"/>
                <w:kern w:val="0"/>
                <w:szCs w:val="21"/>
                <w:highlight w:val="none"/>
                <w:lang w:val="en-US" w:eastAsia="zh-CN"/>
              </w:rPr>
              <w:t>消防控制室实行</w:t>
            </w:r>
            <w:r>
              <w:rPr>
                <w:rFonts w:hint="eastAsia" w:cs="Calibri"/>
                <w:b w:val="0"/>
                <w:bCs w:val="0"/>
                <w:color w:val="auto"/>
                <w:kern w:val="0"/>
                <w:szCs w:val="21"/>
                <w:highlight w:val="none"/>
                <w:lang w:val="en-US" w:eastAsia="zh-CN"/>
              </w:rPr>
              <w:t>24小时</w:t>
            </w:r>
            <w:r>
              <w:rPr>
                <w:rFonts w:hint="eastAsia" w:ascii="Calibri" w:hAnsi="Calibri" w:eastAsia="宋体" w:cs="Calibri"/>
                <w:b w:val="0"/>
                <w:bCs w:val="0"/>
                <w:color w:val="auto"/>
                <w:kern w:val="0"/>
                <w:szCs w:val="21"/>
                <w:highlight w:val="none"/>
                <w:lang w:val="en-US" w:eastAsia="zh-CN"/>
              </w:rPr>
              <w:t>值班制度，每班不少于2人</w:t>
            </w:r>
            <w:r>
              <w:rPr>
                <w:rFonts w:hint="eastAsia" w:eastAsia="宋体" w:cs="Calibri"/>
                <w:b w:val="0"/>
                <w:bCs w:val="0"/>
                <w:color w:val="auto"/>
                <w:kern w:val="0"/>
                <w:szCs w:val="21"/>
                <w:highlight w:val="none"/>
                <w:lang w:val="en-US" w:eastAsia="zh-CN"/>
              </w:rPr>
              <w:t>。</w:t>
            </w:r>
          </w:p>
        </w:tc>
      </w:tr>
      <w:tr w14:paraId="32822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14:paraId="417BAED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67" w:type="dxa"/>
            <w:vMerge w:val="continue"/>
            <w:noWrap w:val="0"/>
            <w:vAlign w:val="center"/>
          </w:tcPr>
          <w:p w14:paraId="619CBB3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886" w:type="dxa"/>
            <w:noWrap w:val="0"/>
            <w:vAlign w:val="center"/>
          </w:tcPr>
          <w:p w14:paraId="69286777">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（3）</w:t>
            </w:r>
            <w:r>
              <w:rPr>
                <w:rFonts w:hint="eastAsia" w:ascii="Calibri" w:hAnsi="Calibri" w:eastAsia="宋体" w:cs="Calibri"/>
                <w:b w:val="0"/>
                <w:bCs w:val="0"/>
                <w:color w:val="auto"/>
                <w:kern w:val="0"/>
                <w:szCs w:val="21"/>
                <w:highlight w:val="none"/>
                <w:lang w:val="en-US" w:eastAsia="zh-CN"/>
              </w:rPr>
              <w:t>消火栓、应急照明、应急物资、消防及人员逃生通道、消防车通道可随时正常使用</w:t>
            </w:r>
            <w:r>
              <w:rPr>
                <w:rFonts w:hint="eastAsia" w:eastAsia="宋体" w:cs="Calibri"/>
                <w:b w:val="0"/>
                <w:bCs w:val="0"/>
                <w:color w:val="auto"/>
                <w:kern w:val="0"/>
                <w:szCs w:val="21"/>
                <w:highlight w:val="none"/>
                <w:lang w:val="en-US" w:eastAsia="zh-CN"/>
              </w:rPr>
              <w:t>。</w:t>
            </w:r>
          </w:p>
        </w:tc>
      </w:tr>
      <w:tr w14:paraId="71E0A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14:paraId="0C84DA9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67" w:type="dxa"/>
            <w:vMerge w:val="continue"/>
            <w:noWrap w:val="0"/>
            <w:vAlign w:val="center"/>
          </w:tcPr>
          <w:p w14:paraId="70F9CF4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886" w:type="dxa"/>
            <w:noWrap w:val="0"/>
            <w:vAlign w:val="center"/>
          </w:tcPr>
          <w:p w14:paraId="598ED69C">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（4）</w:t>
            </w:r>
            <w:r>
              <w:rPr>
                <w:rFonts w:hint="eastAsia" w:ascii="Calibri" w:hAnsi="Calibri" w:eastAsia="宋体" w:cs="Calibri"/>
                <w:b w:val="0"/>
                <w:bCs w:val="0"/>
                <w:color w:val="auto"/>
                <w:kern w:val="0"/>
                <w:szCs w:val="21"/>
                <w:highlight w:val="none"/>
                <w:lang w:val="en-US" w:eastAsia="zh-CN"/>
              </w:rPr>
              <w:t>易燃易爆品设专区专人管理，做好相关记录</w:t>
            </w:r>
            <w:r>
              <w:rPr>
                <w:rFonts w:hint="eastAsia" w:eastAsia="宋体" w:cs="Calibri"/>
                <w:b w:val="0"/>
                <w:bCs w:val="0"/>
                <w:color w:val="auto"/>
                <w:kern w:val="0"/>
                <w:szCs w:val="21"/>
                <w:highlight w:val="none"/>
                <w:lang w:val="en-US" w:eastAsia="zh-CN"/>
              </w:rPr>
              <w:t>。</w:t>
            </w:r>
          </w:p>
        </w:tc>
      </w:tr>
      <w:tr w14:paraId="1C732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14:paraId="14219FD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p>
        </w:tc>
        <w:tc>
          <w:tcPr>
            <w:tcW w:w="3367" w:type="dxa"/>
            <w:vMerge w:val="continue"/>
            <w:noWrap w:val="0"/>
            <w:vAlign w:val="center"/>
          </w:tcPr>
          <w:p w14:paraId="73758E6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886" w:type="dxa"/>
            <w:noWrap w:val="0"/>
            <w:vAlign w:val="center"/>
          </w:tcPr>
          <w:p w14:paraId="6CA4C744">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（5）</w:t>
            </w:r>
            <w:r>
              <w:rPr>
                <w:rFonts w:hint="eastAsia" w:ascii="Calibri" w:hAnsi="Calibri" w:eastAsia="宋体" w:cs="Calibri"/>
                <w:b w:val="0"/>
                <w:bCs w:val="0"/>
                <w:color w:val="auto"/>
                <w:kern w:val="0"/>
                <w:szCs w:val="21"/>
                <w:highlight w:val="none"/>
                <w:lang w:val="en-US" w:eastAsia="zh-CN"/>
              </w:rPr>
              <w:t>定期组织消防安全宣传，每半年</w:t>
            </w:r>
            <w:r>
              <w:rPr>
                <w:rFonts w:hint="eastAsia" w:cs="Calibri"/>
                <w:b w:val="0"/>
                <w:bCs w:val="0"/>
                <w:color w:val="auto"/>
                <w:kern w:val="0"/>
                <w:szCs w:val="21"/>
                <w:highlight w:val="none"/>
                <w:lang w:val="en-US" w:eastAsia="zh-CN"/>
              </w:rPr>
              <w:t>至少开展</w:t>
            </w:r>
            <w:r>
              <w:rPr>
                <w:rFonts w:hint="eastAsia" w:ascii="Calibri" w:hAnsi="Calibri" w:eastAsia="宋体" w:cs="Calibri"/>
                <w:b w:val="0"/>
                <w:bCs w:val="0"/>
                <w:color w:val="auto"/>
                <w:kern w:val="0"/>
                <w:szCs w:val="21"/>
                <w:highlight w:val="none"/>
                <w:lang w:val="en-US" w:eastAsia="zh-CN"/>
              </w:rPr>
              <w:t>1次消防演练</w:t>
            </w:r>
            <w:r>
              <w:rPr>
                <w:rFonts w:hint="eastAsia" w:eastAsia="宋体" w:cs="Calibri"/>
                <w:b w:val="0"/>
                <w:bCs w:val="0"/>
                <w:color w:val="auto"/>
                <w:kern w:val="0"/>
                <w:szCs w:val="21"/>
                <w:highlight w:val="none"/>
                <w:lang w:val="en-US" w:eastAsia="zh-CN"/>
              </w:rPr>
              <w:t>。</w:t>
            </w:r>
          </w:p>
        </w:tc>
      </w:tr>
      <w:tr w14:paraId="0E358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restart"/>
            <w:noWrap w:val="0"/>
            <w:vAlign w:val="center"/>
          </w:tcPr>
          <w:p w14:paraId="5595D1E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r>
              <w:rPr>
                <w:rFonts w:hint="eastAsia"/>
                <w:highlight w:val="none"/>
                <w:lang w:val="en-US" w:eastAsia="zh-CN"/>
              </w:rPr>
              <w:t>7</w:t>
            </w:r>
          </w:p>
        </w:tc>
        <w:tc>
          <w:tcPr>
            <w:tcW w:w="3367" w:type="dxa"/>
            <w:vMerge w:val="restart"/>
            <w:noWrap w:val="0"/>
            <w:vAlign w:val="center"/>
          </w:tcPr>
          <w:p w14:paraId="076D20A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r>
              <w:rPr>
                <w:rFonts w:hint="default"/>
                <w:highlight w:val="none"/>
              </w:rPr>
              <w:t>突发事件处理</w:t>
            </w:r>
          </w:p>
        </w:tc>
        <w:tc>
          <w:tcPr>
            <w:tcW w:w="9886" w:type="dxa"/>
            <w:noWrap w:val="0"/>
            <w:vAlign w:val="center"/>
          </w:tcPr>
          <w:p w14:paraId="304F5753">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制定突发事件安全责任书，明确突发事件责任人及应承担的安全责任</w:t>
            </w:r>
            <w:r>
              <w:rPr>
                <w:rFonts w:hint="eastAsia" w:eastAsia="宋体" w:cs="Calibri"/>
                <w:b w:val="0"/>
                <w:bCs w:val="0"/>
                <w:color w:val="auto"/>
                <w:kern w:val="0"/>
                <w:szCs w:val="21"/>
                <w:highlight w:val="none"/>
                <w:lang w:val="en-US" w:eastAsia="zh-CN"/>
              </w:rPr>
              <w:t>。</w:t>
            </w:r>
          </w:p>
        </w:tc>
      </w:tr>
      <w:tr w14:paraId="46C14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14:paraId="601AD18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67" w:type="dxa"/>
            <w:vMerge w:val="continue"/>
            <w:noWrap w:val="0"/>
            <w:vAlign w:val="center"/>
          </w:tcPr>
          <w:p w14:paraId="56B8F55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886" w:type="dxa"/>
            <w:noWrap w:val="0"/>
            <w:vAlign w:val="center"/>
          </w:tcPr>
          <w:p w14:paraId="3515B400">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（2）</w:t>
            </w:r>
            <w:r>
              <w:rPr>
                <w:rFonts w:hint="eastAsia" w:ascii="Calibri" w:hAnsi="Calibri" w:eastAsia="宋体" w:cs="Calibri"/>
                <w:b w:val="0"/>
                <w:bCs w:val="0"/>
                <w:color w:val="auto"/>
                <w:kern w:val="0"/>
                <w:szCs w:val="21"/>
                <w:highlight w:val="none"/>
                <w:lang w:val="en-US" w:eastAsia="zh-CN"/>
              </w:rPr>
              <w:t>建立应急突发事件处置队伍，明确各自的职责</w:t>
            </w:r>
            <w:r>
              <w:rPr>
                <w:rFonts w:hint="eastAsia" w:eastAsia="宋体" w:cs="Calibri"/>
                <w:b w:val="0"/>
                <w:bCs w:val="0"/>
                <w:color w:val="auto"/>
                <w:kern w:val="0"/>
                <w:szCs w:val="21"/>
                <w:highlight w:val="none"/>
                <w:lang w:val="en-US" w:eastAsia="zh-CN"/>
              </w:rPr>
              <w:t>。</w:t>
            </w:r>
          </w:p>
        </w:tc>
      </w:tr>
      <w:tr w14:paraId="0102A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14:paraId="7A663C5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67" w:type="dxa"/>
            <w:vMerge w:val="continue"/>
            <w:noWrap w:val="0"/>
            <w:vAlign w:val="center"/>
          </w:tcPr>
          <w:p w14:paraId="505B558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886" w:type="dxa"/>
            <w:noWrap w:val="0"/>
            <w:vAlign w:val="center"/>
          </w:tcPr>
          <w:p w14:paraId="49B1FA91">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（3）</w:t>
            </w:r>
            <w:r>
              <w:rPr>
                <w:rFonts w:hint="eastAsia" w:ascii="Calibri" w:hAnsi="Calibri" w:eastAsia="宋体" w:cs="Calibri"/>
                <w:b w:val="0"/>
                <w:bCs w:val="0"/>
                <w:color w:val="auto"/>
                <w:kern w:val="0"/>
                <w:szCs w:val="21"/>
                <w:highlight w:val="none"/>
                <w:lang w:val="en-US" w:eastAsia="zh-CN"/>
              </w:rPr>
              <w:t>识别、分析各种潜在风险，针对不同风险类型制定相应解决方案，并配备应急物资</w:t>
            </w:r>
            <w:r>
              <w:rPr>
                <w:rFonts w:hint="eastAsia" w:eastAsia="宋体" w:cs="Calibri"/>
                <w:b w:val="0"/>
                <w:bCs w:val="0"/>
                <w:color w:val="auto"/>
                <w:kern w:val="0"/>
                <w:szCs w:val="21"/>
                <w:highlight w:val="none"/>
                <w:lang w:val="en-US" w:eastAsia="zh-CN"/>
              </w:rPr>
              <w:t>。</w:t>
            </w:r>
          </w:p>
        </w:tc>
      </w:tr>
      <w:tr w14:paraId="75388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14:paraId="4AF0D32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67" w:type="dxa"/>
            <w:vMerge w:val="continue"/>
            <w:noWrap w:val="0"/>
            <w:vAlign w:val="center"/>
          </w:tcPr>
          <w:p w14:paraId="20E8AF1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886" w:type="dxa"/>
            <w:noWrap w:val="0"/>
            <w:vAlign w:val="center"/>
          </w:tcPr>
          <w:p w14:paraId="562D6A74">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（4）</w:t>
            </w:r>
            <w:r>
              <w:rPr>
                <w:rFonts w:hint="eastAsia" w:ascii="Calibri" w:hAnsi="Calibri" w:eastAsia="宋体" w:cs="Calibri"/>
                <w:b w:val="0"/>
                <w:bCs w:val="0"/>
                <w:color w:val="auto"/>
                <w:kern w:val="0"/>
                <w:szCs w:val="21"/>
                <w:highlight w:val="none"/>
                <w:lang w:val="en-US" w:eastAsia="zh-CN"/>
              </w:rPr>
              <w:t>每半年</w:t>
            </w:r>
            <w:r>
              <w:rPr>
                <w:rFonts w:hint="eastAsia" w:eastAsia="宋体" w:cs="Calibri"/>
                <w:b w:val="0"/>
                <w:bCs w:val="0"/>
                <w:color w:val="auto"/>
                <w:kern w:val="0"/>
                <w:szCs w:val="21"/>
                <w:highlight w:val="none"/>
                <w:lang w:val="en-US" w:eastAsia="zh-CN"/>
              </w:rPr>
              <w:t>至少开展</w:t>
            </w:r>
            <w:r>
              <w:rPr>
                <w:rFonts w:hint="eastAsia" w:ascii="Calibri" w:hAnsi="Calibri" w:eastAsia="宋体" w:cs="Calibri"/>
                <w:b w:val="0"/>
                <w:bCs w:val="0"/>
                <w:color w:val="auto"/>
                <w:kern w:val="0"/>
                <w:szCs w:val="21"/>
                <w:highlight w:val="none"/>
                <w:lang w:val="en-US" w:eastAsia="zh-CN"/>
              </w:rPr>
              <w:t>1次突发事件应急演练，并有相应记录</w:t>
            </w:r>
            <w:r>
              <w:rPr>
                <w:rFonts w:hint="eastAsia" w:eastAsia="宋体" w:cs="Calibri"/>
                <w:b w:val="0"/>
                <w:bCs w:val="0"/>
                <w:color w:val="auto"/>
                <w:kern w:val="0"/>
                <w:szCs w:val="21"/>
                <w:highlight w:val="none"/>
                <w:lang w:val="en-US" w:eastAsia="zh-CN"/>
              </w:rPr>
              <w:t>。</w:t>
            </w:r>
          </w:p>
        </w:tc>
      </w:tr>
      <w:tr w14:paraId="4921B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255" w:type="dxa"/>
            <w:vMerge w:val="continue"/>
            <w:noWrap w:val="0"/>
            <w:vAlign w:val="center"/>
          </w:tcPr>
          <w:p w14:paraId="40C217D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67" w:type="dxa"/>
            <w:vMerge w:val="continue"/>
            <w:noWrap w:val="0"/>
            <w:vAlign w:val="center"/>
          </w:tcPr>
          <w:p w14:paraId="24DEE9A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886" w:type="dxa"/>
            <w:noWrap w:val="0"/>
            <w:vAlign w:val="center"/>
          </w:tcPr>
          <w:p w14:paraId="2D381110">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（5）</w:t>
            </w:r>
            <w:r>
              <w:rPr>
                <w:rFonts w:hint="eastAsia" w:ascii="Calibri" w:hAnsi="Calibri" w:eastAsia="宋体" w:cs="Calibri"/>
                <w:b w:val="0"/>
                <w:bCs w:val="0"/>
                <w:color w:val="auto"/>
                <w:kern w:val="0"/>
                <w:szCs w:val="21"/>
                <w:highlight w:val="none"/>
                <w:lang w:val="en-US" w:eastAsia="zh-CN"/>
              </w:rPr>
              <w:t>发生意外事件时，及时采取应急措施，维护办公区域物业服务正常进行，保护人身财产安全</w:t>
            </w:r>
            <w:r>
              <w:rPr>
                <w:rFonts w:hint="eastAsia" w:eastAsia="宋体" w:cs="Calibri"/>
                <w:b w:val="0"/>
                <w:bCs w:val="0"/>
                <w:color w:val="auto"/>
                <w:kern w:val="0"/>
                <w:szCs w:val="21"/>
                <w:highlight w:val="none"/>
                <w:lang w:val="en-US" w:eastAsia="zh-CN"/>
              </w:rPr>
              <w:t>。</w:t>
            </w:r>
          </w:p>
        </w:tc>
      </w:tr>
      <w:tr w14:paraId="11EAB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14:paraId="1B28D30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67" w:type="dxa"/>
            <w:vMerge w:val="continue"/>
            <w:noWrap w:val="0"/>
            <w:vAlign w:val="center"/>
          </w:tcPr>
          <w:p w14:paraId="7C8B1ED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886" w:type="dxa"/>
            <w:noWrap w:val="0"/>
            <w:vAlign w:val="center"/>
          </w:tcPr>
          <w:p w14:paraId="2082B20D">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（6）</w:t>
            </w:r>
            <w:r>
              <w:rPr>
                <w:rFonts w:hint="eastAsia" w:ascii="Calibri" w:hAnsi="Calibri" w:eastAsia="宋体" w:cs="Calibri"/>
                <w:b w:val="0"/>
                <w:bCs w:val="0"/>
                <w:color w:val="auto"/>
                <w:kern w:val="0"/>
                <w:szCs w:val="21"/>
                <w:highlight w:val="none"/>
                <w:lang w:val="en-US" w:eastAsia="zh-CN"/>
              </w:rPr>
              <w:t>办公区域物业服务应急预案终止实施后，积极采取措施，在尽可能短的时间内，消除事故带来的不良影响，妥善安置和慰问受害及受影响的人员和部门</w:t>
            </w:r>
            <w:r>
              <w:rPr>
                <w:rFonts w:hint="eastAsia" w:eastAsia="宋体" w:cs="Calibri"/>
                <w:b w:val="0"/>
                <w:bCs w:val="0"/>
                <w:color w:val="auto"/>
                <w:kern w:val="0"/>
                <w:szCs w:val="21"/>
                <w:highlight w:val="none"/>
                <w:lang w:val="en-US" w:eastAsia="zh-CN"/>
              </w:rPr>
              <w:t>。</w:t>
            </w:r>
          </w:p>
        </w:tc>
      </w:tr>
      <w:tr w14:paraId="7FB57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14:paraId="7980460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p>
        </w:tc>
        <w:tc>
          <w:tcPr>
            <w:tcW w:w="3367" w:type="dxa"/>
            <w:vMerge w:val="continue"/>
            <w:noWrap w:val="0"/>
            <w:vAlign w:val="center"/>
          </w:tcPr>
          <w:p w14:paraId="5FA756C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886" w:type="dxa"/>
            <w:noWrap w:val="0"/>
            <w:vAlign w:val="center"/>
          </w:tcPr>
          <w:p w14:paraId="0AEF80C9">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（7）</w:t>
            </w:r>
            <w:r>
              <w:rPr>
                <w:rFonts w:hint="eastAsia" w:ascii="Calibri" w:hAnsi="Calibri" w:eastAsia="宋体" w:cs="Calibri"/>
                <w:b w:val="0"/>
                <w:bCs w:val="0"/>
                <w:color w:val="auto"/>
                <w:kern w:val="0"/>
                <w:szCs w:val="21"/>
                <w:highlight w:val="none"/>
                <w:lang w:val="en-US" w:eastAsia="zh-CN"/>
              </w:rPr>
              <w:t>事故处理后，及时形成事故应急总结报告，完善应急救援工作方案</w:t>
            </w:r>
            <w:r>
              <w:rPr>
                <w:rFonts w:hint="eastAsia" w:eastAsia="宋体" w:cs="Calibri"/>
                <w:b w:val="0"/>
                <w:bCs w:val="0"/>
                <w:color w:val="auto"/>
                <w:kern w:val="0"/>
                <w:szCs w:val="21"/>
                <w:highlight w:val="none"/>
                <w:lang w:val="en-US" w:eastAsia="zh-CN"/>
              </w:rPr>
              <w:t>。</w:t>
            </w:r>
          </w:p>
        </w:tc>
      </w:tr>
      <w:tr w14:paraId="5F7EC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restart"/>
            <w:noWrap w:val="0"/>
            <w:vAlign w:val="center"/>
          </w:tcPr>
          <w:p w14:paraId="7F1BEB5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r>
              <w:rPr>
                <w:rFonts w:hint="eastAsia"/>
                <w:highlight w:val="none"/>
                <w:lang w:val="en-US" w:eastAsia="zh-CN"/>
              </w:rPr>
              <w:t>8</w:t>
            </w:r>
          </w:p>
        </w:tc>
        <w:tc>
          <w:tcPr>
            <w:tcW w:w="3367" w:type="dxa"/>
            <w:vMerge w:val="restart"/>
            <w:noWrap w:val="0"/>
            <w:vAlign w:val="center"/>
          </w:tcPr>
          <w:p w14:paraId="265760B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r>
              <w:rPr>
                <w:rFonts w:hint="default"/>
                <w:highlight w:val="none"/>
              </w:rPr>
              <w:t>大型活动秩序</w:t>
            </w:r>
          </w:p>
        </w:tc>
        <w:tc>
          <w:tcPr>
            <w:tcW w:w="9886" w:type="dxa"/>
            <w:noWrap w:val="0"/>
            <w:vAlign w:val="center"/>
          </w:tcPr>
          <w:p w14:paraId="68AB6A89">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制定相应的活动秩序维护方案，合理安排人员，并对场所的安全隐患进行排查</w:t>
            </w:r>
            <w:r>
              <w:rPr>
                <w:rFonts w:hint="eastAsia" w:eastAsia="宋体" w:cs="Calibri"/>
                <w:b w:val="0"/>
                <w:bCs w:val="0"/>
                <w:color w:val="auto"/>
                <w:kern w:val="0"/>
                <w:szCs w:val="21"/>
                <w:highlight w:val="none"/>
                <w:lang w:val="en-US" w:eastAsia="zh-CN"/>
              </w:rPr>
              <w:t>。</w:t>
            </w:r>
          </w:p>
        </w:tc>
      </w:tr>
      <w:tr w14:paraId="1F107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14:paraId="0166987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67" w:type="dxa"/>
            <w:vMerge w:val="continue"/>
            <w:noWrap w:val="0"/>
            <w:vAlign w:val="center"/>
          </w:tcPr>
          <w:p w14:paraId="34B7B2D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886" w:type="dxa"/>
            <w:noWrap w:val="0"/>
            <w:vAlign w:val="center"/>
          </w:tcPr>
          <w:p w14:paraId="2F216211">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（2）</w:t>
            </w:r>
            <w:r>
              <w:rPr>
                <w:rFonts w:hint="eastAsia" w:ascii="Calibri" w:hAnsi="Calibri" w:eastAsia="宋体" w:cs="Calibri"/>
                <w:b w:val="0"/>
                <w:bCs w:val="0"/>
                <w:color w:val="auto"/>
                <w:kern w:val="0"/>
                <w:szCs w:val="21"/>
                <w:highlight w:val="none"/>
                <w:lang w:val="en-US" w:eastAsia="zh-CN"/>
              </w:rPr>
              <w:t>应</w:t>
            </w:r>
            <w:r>
              <w:rPr>
                <w:rFonts w:hint="eastAsia" w:cs="Calibri"/>
                <w:b w:val="0"/>
                <w:bCs w:val="0"/>
                <w:color w:val="auto"/>
                <w:kern w:val="0"/>
                <w:szCs w:val="21"/>
                <w:highlight w:val="none"/>
                <w:lang w:val="en-US" w:eastAsia="zh-CN"/>
              </w:rPr>
              <w:t>当</w:t>
            </w:r>
            <w:r>
              <w:rPr>
                <w:rFonts w:hint="eastAsia" w:ascii="Calibri" w:hAnsi="Calibri" w:eastAsia="宋体" w:cs="Calibri"/>
                <w:b w:val="0"/>
                <w:bCs w:val="0"/>
                <w:color w:val="auto"/>
                <w:kern w:val="0"/>
                <w:szCs w:val="21"/>
                <w:highlight w:val="none"/>
                <w:lang w:val="en-US" w:eastAsia="zh-CN"/>
              </w:rPr>
              <w:t>保障通道、出入口、停车场等区域畅通</w:t>
            </w:r>
            <w:r>
              <w:rPr>
                <w:rFonts w:hint="eastAsia" w:eastAsia="宋体" w:cs="Calibri"/>
                <w:b w:val="0"/>
                <w:bCs w:val="0"/>
                <w:color w:val="auto"/>
                <w:kern w:val="0"/>
                <w:szCs w:val="21"/>
                <w:highlight w:val="none"/>
                <w:lang w:val="en-US" w:eastAsia="zh-CN"/>
              </w:rPr>
              <w:t>。</w:t>
            </w:r>
          </w:p>
        </w:tc>
      </w:tr>
      <w:tr w14:paraId="3F542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Merge w:val="continue"/>
            <w:noWrap w:val="0"/>
            <w:vAlign w:val="center"/>
          </w:tcPr>
          <w:p w14:paraId="3716B43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eastAsia="宋体"/>
                <w:highlight w:val="none"/>
                <w:lang w:val="en-US" w:eastAsia="zh-CN"/>
              </w:rPr>
            </w:pPr>
          </w:p>
        </w:tc>
        <w:tc>
          <w:tcPr>
            <w:tcW w:w="3367" w:type="dxa"/>
            <w:vMerge w:val="continue"/>
            <w:noWrap w:val="0"/>
            <w:vAlign w:val="center"/>
          </w:tcPr>
          <w:p w14:paraId="2FB9E78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highlight w:val="none"/>
              </w:rPr>
            </w:pPr>
          </w:p>
        </w:tc>
        <w:tc>
          <w:tcPr>
            <w:tcW w:w="9886" w:type="dxa"/>
            <w:noWrap w:val="0"/>
            <w:vAlign w:val="center"/>
          </w:tcPr>
          <w:p w14:paraId="272491D3">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（3）</w:t>
            </w:r>
            <w:r>
              <w:rPr>
                <w:rFonts w:hint="eastAsia" w:ascii="Calibri" w:hAnsi="Calibri" w:eastAsia="宋体" w:cs="Calibri"/>
                <w:b w:val="0"/>
                <w:bCs w:val="0"/>
                <w:color w:val="auto"/>
                <w:kern w:val="0"/>
                <w:szCs w:val="21"/>
                <w:highlight w:val="none"/>
                <w:lang w:val="en-US" w:eastAsia="zh-CN"/>
              </w:rPr>
              <w:t>活动举办过程中，做好现场秩序的维护和突发事故的处置工作，确保活动正常进行</w:t>
            </w:r>
            <w:r>
              <w:rPr>
                <w:rFonts w:hint="eastAsia" w:eastAsia="宋体" w:cs="Calibri"/>
                <w:b w:val="0"/>
                <w:bCs w:val="0"/>
                <w:color w:val="auto"/>
                <w:kern w:val="0"/>
                <w:szCs w:val="21"/>
                <w:highlight w:val="none"/>
                <w:lang w:val="en-US" w:eastAsia="zh-CN"/>
              </w:rPr>
              <w:t>。</w:t>
            </w:r>
          </w:p>
        </w:tc>
      </w:tr>
    </w:tbl>
    <w:p w14:paraId="7871D602">
      <w:pPr>
        <w:pStyle w:val="4"/>
        <w:bidi w:val="0"/>
        <w:rPr>
          <w:rFonts w:hint="default" w:ascii="宋体" w:hAnsi="宋体" w:eastAsia="宋体" w:cs="宋体"/>
          <w:b/>
          <w:bCs/>
          <w:color w:val="auto"/>
          <w:kern w:val="44"/>
          <w:sz w:val="28"/>
          <w:szCs w:val="28"/>
          <w:highlight w:val="none"/>
          <w:lang w:val="en-US" w:eastAsia="zh-CN" w:bidi="ar-SA"/>
        </w:rPr>
      </w:pPr>
      <w:r>
        <w:rPr>
          <w:rFonts w:hint="eastAsia" w:ascii="宋体" w:hAnsi="宋体" w:eastAsia="宋体" w:cs="宋体"/>
          <w:b/>
          <w:bCs/>
          <w:color w:val="auto"/>
          <w:kern w:val="44"/>
          <w:sz w:val="28"/>
          <w:szCs w:val="28"/>
          <w:highlight w:val="none"/>
          <w:lang w:val="en-US" w:eastAsia="zh-CN" w:bidi="ar-SA"/>
        </w:rPr>
        <w:t>3.7宿管服务</w:t>
      </w:r>
    </w:p>
    <w:tbl>
      <w:tblPr>
        <w:tblStyle w:val="32"/>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972"/>
        <w:gridCol w:w="5814"/>
      </w:tblGrid>
      <w:tr w14:paraId="3798A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0" w:type="dxa"/>
            <w:noWrap w:val="0"/>
            <w:vAlign w:val="center"/>
          </w:tcPr>
          <w:p w14:paraId="0C7CC143">
            <w:pPr>
              <w:pageBreakBefore w:val="0"/>
              <w:widowControl/>
              <w:kinsoku/>
              <w:wordWrap/>
              <w:overflowPunct/>
              <w:topLinePunct w:val="0"/>
              <w:bidi w:val="0"/>
              <w:snapToGrid w:val="0"/>
              <w:spacing w:line="300" w:lineRule="auto"/>
              <w:ind w:left="0"/>
              <w:jc w:val="center"/>
              <w:rPr>
                <w:rFonts w:hint="eastAsia" w:ascii="Calibri" w:hAnsi="Calibri" w:eastAsia="宋体" w:cs="Calibri"/>
                <w:b/>
                <w:bCs/>
                <w:color w:val="auto"/>
                <w:kern w:val="0"/>
                <w:szCs w:val="21"/>
                <w:highlight w:val="none"/>
                <w:lang w:val="en-US" w:eastAsia="zh-CN"/>
              </w:rPr>
            </w:pPr>
            <w:r>
              <w:rPr>
                <w:rFonts w:hint="eastAsia" w:cs="Calibri"/>
                <w:b/>
                <w:bCs/>
                <w:color w:val="auto"/>
                <w:kern w:val="0"/>
                <w:szCs w:val="21"/>
                <w:highlight w:val="none"/>
                <w:lang w:val="en-US" w:eastAsia="zh-CN"/>
              </w:rPr>
              <w:t>序号</w:t>
            </w:r>
          </w:p>
        </w:tc>
        <w:tc>
          <w:tcPr>
            <w:tcW w:w="3369" w:type="dxa"/>
            <w:noWrap w:val="0"/>
            <w:vAlign w:val="center"/>
          </w:tcPr>
          <w:p w14:paraId="6972827D">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Cs w:val="21"/>
                <w:highlight w:val="none"/>
              </w:rPr>
            </w:pPr>
            <w:r>
              <w:rPr>
                <w:rFonts w:hint="default" w:ascii="Calibri" w:hAnsi="Calibri" w:eastAsia="宋体" w:cs="Calibri"/>
                <w:b/>
                <w:bCs/>
                <w:color w:val="auto"/>
                <w:kern w:val="0"/>
                <w:szCs w:val="21"/>
                <w:highlight w:val="none"/>
              </w:rPr>
              <w:t>服务内容</w:t>
            </w:r>
          </w:p>
        </w:tc>
        <w:tc>
          <w:tcPr>
            <w:tcW w:w="9934" w:type="dxa"/>
            <w:noWrap w:val="0"/>
            <w:vAlign w:val="center"/>
          </w:tcPr>
          <w:p w14:paraId="64A765C7">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Cs w:val="21"/>
                <w:highlight w:val="none"/>
                <w:lang w:val="en-US" w:eastAsia="zh-CN"/>
              </w:rPr>
            </w:pPr>
            <w:r>
              <w:rPr>
                <w:rFonts w:hint="eastAsia" w:cs="Calibri"/>
                <w:b/>
                <w:bCs/>
                <w:color w:val="auto"/>
                <w:kern w:val="0"/>
                <w:szCs w:val="21"/>
                <w:highlight w:val="none"/>
                <w:lang w:val="en-US" w:eastAsia="zh-CN"/>
              </w:rPr>
              <w:t>服务标准</w:t>
            </w:r>
          </w:p>
        </w:tc>
      </w:tr>
      <w:tr w14:paraId="4D772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0" w:type="dxa"/>
            <w:vMerge w:val="restart"/>
            <w:noWrap w:val="0"/>
            <w:vAlign w:val="center"/>
          </w:tcPr>
          <w:p w14:paraId="64731EE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lang w:val="en-US" w:eastAsia="zh-CN"/>
              </w:rPr>
            </w:pPr>
            <w:r>
              <w:rPr>
                <w:rFonts w:hint="eastAsia"/>
                <w:highlight w:val="none"/>
                <w:lang w:val="en-US" w:eastAsia="zh-CN"/>
              </w:rPr>
              <w:t>1</w:t>
            </w:r>
          </w:p>
        </w:tc>
        <w:tc>
          <w:tcPr>
            <w:tcW w:w="3369" w:type="dxa"/>
            <w:vMerge w:val="restart"/>
            <w:noWrap w:val="0"/>
            <w:vAlign w:val="center"/>
          </w:tcPr>
          <w:p w14:paraId="5F4C265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kern w:val="2"/>
                <w:sz w:val="21"/>
                <w:szCs w:val="21"/>
                <w:highlight w:val="none"/>
                <w:lang w:val="en-US" w:eastAsia="zh-CN" w:bidi="ar-SA"/>
              </w:rPr>
            </w:pPr>
            <w:r>
              <w:rPr>
                <w:rFonts w:hint="eastAsia"/>
                <w:highlight w:val="none"/>
                <w:lang w:val="en-US" w:eastAsia="zh-CN"/>
              </w:rPr>
              <w:t>基本要求</w:t>
            </w:r>
          </w:p>
        </w:tc>
        <w:tc>
          <w:tcPr>
            <w:tcW w:w="9934" w:type="dxa"/>
            <w:noWrap w:val="0"/>
            <w:vAlign w:val="center"/>
          </w:tcPr>
          <w:p w14:paraId="6A57EF83">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（1）</w:t>
            </w:r>
            <w:r>
              <w:rPr>
                <w:rFonts w:hint="eastAsia" w:ascii="Calibri" w:hAnsi="Calibri" w:eastAsia="宋体" w:cs="Calibri"/>
                <w:b w:val="0"/>
                <w:bCs w:val="0"/>
                <w:color w:val="auto"/>
                <w:kern w:val="0"/>
                <w:szCs w:val="21"/>
                <w:highlight w:val="none"/>
                <w:lang w:val="en-US" w:eastAsia="zh-CN"/>
              </w:rPr>
              <w:t>详细填写学生就寝记录</w:t>
            </w:r>
            <w:r>
              <w:rPr>
                <w:rFonts w:hint="eastAsia" w:eastAsia="宋体" w:cs="Calibri"/>
                <w:b w:val="0"/>
                <w:bCs w:val="0"/>
                <w:color w:val="auto"/>
                <w:kern w:val="0"/>
                <w:szCs w:val="21"/>
                <w:highlight w:val="none"/>
                <w:lang w:val="en-US" w:eastAsia="zh-CN"/>
              </w:rPr>
              <w:t>。</w:t>
            </w:r>
          </w:p>
        </w:tc>
      </w:tr>
      <w:tr w14:paraId="57850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0" w:type="dxa"/>
            <w:vMerge w:val="continue"/>
            <w:noWrap w:val="0"/>
            <w:vAlign w:val="center"/>
          </w:tcPr>
          <w:p w14:paraId="5FB64A6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69" w:type="dxa"/>
            <w:vMerge w:val="continue"/>
            <w:noWrap w:val="0"/>
            <w:vAlign w:val="center"/>
          </w:tcPr>
          <w:p w14:paraId="5498C80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highlight w:val="none"/>
                <w:lang w:val="en-US" w:eastAsia="zh-CN"/>
              </w:rPr>
            </w:pPr>
          </w:p>
        </w:tc>
        <w:tc>
          <w:tcPr>
            <w:tcW w:w="9934" w:type="dxa"/>
            <w:noWrap w:val="0"/>
            <w:vAlign w:val="center"/>
          </w:tcPr>
          <w:p w14:paraId="1E57E887">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（2）</w:t>
            </w:r>
            <w:r>
              <w:rPr>
                <w:rFonts w:hint="eastAsia" w:ascii="Calibri" w:hAnsi="Calibri" w:eastAsia="宋体" w:cs="Calibri"/>
                <w:b w:val="0"/>
                <w:bCs w:val="0"/>
                <w:color w:val="auto"/>
                <w:kern w:val="0"/>
                <w:szCs w:val="21"/>
                <w:highlight w:val="none"/>
                <w:lang w:val="en-US" w:eastAsia="zh-CN"/>
              </w:rPr>
              <w:t>负责男生、女生宿舍的值班巡查及日常事务。</w:t>
            </w:r>
          </w:p>
        </w:tc>
      </w:tr>
      <w:tr w14:paraId="10BFF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0" w:type="dxa"/>
            <w:vMerge w:val="continue"/>
            <w:noWrap w:val="0"/>
            <w:vAlign w:val="center"/>
          </w:tcPr>
          <w:p w14:paraId="39393B5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highlight w:val="none"/>
                <w:lang w:val="en-US" w:eastAsia="zh-CN"/>
              </w:rPr>
            </w:pPr>
          </w:p>
        </w:tc>
        <w:tc>
          <w:tcPr>
            <w:tcW w:w="3369" w:type="dxa"/>
            <w:vMerge w:val="continue"/>
            <w:noWrap w:val="0"/>
            <w:vAlign w:val="center"/>
          </w:tcPr>
          <w:p w14:paraId="7F6C7E8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highlight w:val="none"/>
                <w:lang w:val="en-US" w:eastAsia="zh-CN"/>
              </w:rPr>
            </w:pPr>
          </w:p>
        </w:tc>
        <w:tc>
          <w:tcPr>
            <w:tcW w:w="9934" w:type="dxa"/>
            <w:noWrap w:val="0"/>
            <w:vAlign w:val="center"/>
          </w:tcPr>
          <w:p w14:paraId="4471AF0C">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（3）</w:t>
            </w:r>
            <w:r>
              <w:rPr>
                <w:rFonts w:hint="eastAsia" w:ascii="Calibri" w:hAnsi="Calibri" w:eastAsia="宋体" w:cs="Calibri"/>
                <w:b w:val="0"/>
                <w:bCs w:val="0"/>
                <w:color w:val="auto"/>
                <w:kern w:val="0"/>
                <w:szCs w:val="21"/>
                <w:highlight w:val="none"/>
                <w:lang w:val="en-US" w:eastAsia="zh-CN"/>
              </w:rPr>
              <w:t>每日至少进行安全巡视</w:t>
            </w:r>
            <w:r>
              <w:rPr>
                <w:rFonts w:hint="eastAsia" w:cs="Calibri"/>
                <w:b w:val="0"/>
                <w:bCs w:val="0"/>
                <w:color w:val="auto"/>
                <w:kern w:val="0"/>
                <w:szCs w:val="21"/>
                <w:highlight w:val="none"/>
                <w:lang w:val="en-US" w:eastAsia="zh-CN"/>
              </w:rPr>
              <w:t>四</w:t>
            </w:r>
            <w:r>
              <w:rPr>
                <w:rFonts w:hint="eastAsia" w:ascii="Calibri" w:hAnsi="Calibri" w:eastAsia="宋体" w:cs="Calibri"/>
                <w:b w:val="0"/>
                <w:bCs w:val="0"/>
                <w:color w:val="auto"/>
                <w:kern w:val="0"/>
                <w:szCs w:val="21"/>
                <w:highlight w:val="none"/>
                <w:lang w:val="en-US" w:eastAsia="zh-CN"/>
              </w:rPr>
              <w:t>次，详细查看电开关，水阀门是否正常，查看安全门是否正常并做好巡视记录。</w:t>
            </w:r>
          </w:p>
        </w:tc>
      </w:tr>
      <w:tr w14:paraId="59D14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0" w:type="dxa"/>
            <w:vMerge w:val="continue"/>
            <w:noWrap w:val="0"/>
            <w:vAlign w:val="center"/>
          </w:tcPr>
          <w:p w14:paraId="7FDA559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lang w:val="en-US" w:eastAsia="zh-CN"/>
              </w:rPr>
            </w:pPr>
          </w:p>
        </w:tc>
        <w:tc>
          <w:tcPr>
            <w:tcW w:w="3369" w:type="dxa"/>
            <w:vMerge w:val="continue"/>
            <w:noWrap w:val="0"/>
            <w:vAlign w:val="center"/>
          </w:tcPr>
          <w:p w14:paraId="0CC31A6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kern w:val="2"/>
                <w:sz w:val="21"/>
                <w:szCs w:val="21"/>
                <w:highlight w:val="none"/>
                <w:lang w:val="en-US" w:eastAsia="zh-CN" w:bidi="ar-SA"/>
              </w:rPr>
            </w:pPr>
          </w:p>
        </w:tc>
        <w:tc>
          <w:tcPr>
            <w:tcW w:w="9934" w:type="dxa"/>
            <w:noWrap w:val="0"/>
            <w:vAlign w:val="center"/>
          </w:tcPr>
          <w:p w14:paraId="099203C8">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default"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（4）</w:t>
            </w:r>
            <w:r>
              <w:rPr>
                <w:rFonts w:hint="eastAsia" w:ascii="Calibri" w:hAnsi="Calibri" w:eastAsia="宋体" w:cs="Calibri"/>
                <w:b w:val="0"/>
                <w:bCs w:val="0"/>
                <w:color w:val="auto"/>
                <w:kern w:val="0"/>
                <w:szCs w:val="21"/>
                <w:highlight w:val="none"/>
                <w:lang w:val="en-US" w:eastAsia="zh-CN"/>
              </w:rPr>
              <w:t>会正确使用消防器材</w:t>
            </w:r>
            <w:r>
              <w:rPr>
                <w:rFonts w:hint="eastAsia" w:eastAsia="宋体" w:cs="Calibri"/>
                <w:b w:val="0"/>
                <w:bCs w:val="0"/>
                <w:color w:val="auto"/>
                <w:kern w:val="0"/>
                <w:szCs w:val="21"/>
                <w:highlight w:val="none"/>
                <w:lang w:val="en-US" w:eastAsia="zh-CN"/>
              </w:rPr>
              <w:t>。</w:t>
            </w:r>
          </w:p>
        </w:tc>
      </w:tr>
      <w:tr w14:paraId="164C9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0" w:type="dxa"/>
            <w:vMerge w:val="continue"/>
            <w:noWrap w:val="0"/>
            <w:vAlign w:val="center"/>
          </w:tcPr>
          <w:p w14:paraId="778AE38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highlight w:val="none"/>
                <w:lang w:val="en-US" w:eastAsia="zh-CN"/>
              </w:rPr>
            </w:pPr>
          </w:p>
        </w:tc>
        <w:tc>
          <w:tcPr>
            <w:tcW w:w="3369" w:type="dxa"/>
            <w:vMerge w:val="continue"/>
            <w:noWrap w:val="0"/>
            <w:vAlign w:val="center"/>
          </w:tcPr>
          <w:p w14:paraId="5F02A4F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kern w:val="2"/>
                <w:sz w:val="21"/>
                <w:szCs w:val="21"/>
                <w:highlight w:val="none"/>
                <w:lang w:val="en-US" w:eastAsia="zh-CN" w:bidi="ar-SA"/>
              </w:rPr>
            </w:pPr>
          </w:p>
        </w:tc>
        <w:tc>
          <w:tcPr>
            <w:tcW w:w="9934" w:type="dxa"/>
            <w:noWrap w:val="0"/>
            <w:vAlign w:val="center"/>
          </w:tcPr>
          <w:p w14:paraId="5D43D617">
            <w:pPr>
              <w:keepNext w:val="0"/>
              <w:keepLines w:val="0"/>
              <w:pageBreakBefore w:val="0"/>
              <w:widowControl/>
              <w:kinsoku/>
              <w:wordWrap/>
              <w:overflowPunct/>
              <w:topLinePunct w:val="0"/>
              <w:autoSpaceDE/>
              <w:autoSpaceDN/>
              <w:bidi w:val="0"/>
              <w:adjustRightInd/>
              <w:snapToGrid w:val="0"/>
              <w:spacing w:line="300" w:lineRule="auto"/>
              <w:ind w:left="0" w:firstLine="240" w:firstLineChars="100"/>
              <w:jc w:val="left"/>
              <w:textAlignment w:val="auto"/>
              <w:rPr>
                <w:rFonts w:hint="eastAsia" w:ascii="Calibri" w:hAnsi="Calibri" w:eastAsia="宋体" w:cs="Calibri"/>
                <w:b w:val="0"/>
                <w:bCs w:val="0"/>
                <w:color w:val="auto"/>
                <w:kern w:val="0"/>
                <w:szCs w:val="21"/>
                <w:highlight w:val="none"/>
                <w:lang w:val="en-US" w:eastAsia="zh-CN"/>
              </w:rPr>
            </w:pPr>
            <w:r>
              <w:rPr>
                <w:rFonts w:hint="default" w:ascii="Calibri" w:hAnsi="Calibri" w:eastAsia="宋体" w:cs="Calibri"/>
                <w:b w:val="0"/>
                <w:bCs w:val="0"/>
                <w:color w:val="auto"/>
                <w:kern w:val="0"/>
                <w:szCs w:val="21"/>
                <w:highlight w:val="none"/>
                <w:lang w:val="en-US" w:eastAsia="zh-CN"/>
              </w:rPr>
              <w:sym w:font="Wingdings 2" w:char="0052"/>
            </w:r>
            <w:r>
              <w:rPr>
                <w:rFonts w:hint="eastAsia" w:cs="Calibri"/>
                <w:b w:val="0"/>
                <w:bCs w:val="0"/>
                <w:color w:val="auto"/>
                <w:kern w:val="0"/>
                <w:szCs w:val="21"/>
                <w:highlight w:val="none"/>
                <w:lang w:val="en-US" w:eastAsia="zh-CN"/>
              </w:rPr>
              <w:t xml:space="preserve"> （5）</w:t>
            </w:r>
            <w:r>
              <w:rPr>
                <w:rFonts w:hint="eastAsia" w:ascii="Calibri" w:hAnsi="Calibri" w:eastAsia="宋体" w:cs="Calibri"/>
                <w:b w:val="0"/>
                <w:bCs w:val="0"/>
                <w:color w:val="auto"/>
                <w:kern w:val="0"/>
                <w:szCs w:val="21"/>
                <w:highlight w:val="none"/>
                <w:lang w:val="en-US" w:eastAsia="zh-CN"/>
              </w:rPr>
              <w:t>突发情况下能及时疏散楼内人员。</w:t>
            </w:r>
          </w:p>
        </w:tc>
      </w:tr>
    </w:tbl>
    <w:p w14:paraId="7DB048B1">
      <w:pPr>
        <w:pStyle w:val="4"/>
        <w:bidi w:val="0"/>
        <w:rPr>
          <w:rFonts w:hint="eastAsia" w:ascii="宋体" w:hAnsi="宋体" w:eastAsia="宋体" w:cs="宋体"/>
          <w:b/>
          <w:bCs/>
          <w:color w:val="auto"/>
          <w:kern w:val="44"/>
          <w:sz w:val="28"/>
          <w:szCs w:val="28"/>
          <w:highlight w:val="none"/>
          <w:lang w:val="en-US" w:eastAsia="zh-CN" w:bidi="ar-SA"/>
        </w:rPr>
      </w:pPr>
      <w:r>
        <w:rPr>
          <w:rFonts w:hint="eastAsia" w:ascii="宋体" w:hAnsi="宋体" w:eastAsia="宋体" w:cs="宋体"/>
          <w:b/>
          <w:bCs/>
          <w:color w:val="auto"/>
          <w:kern w:val="44"/>
          <w:sz w:val="28"/>
          <w:szCs w:val="28"/>
          <w:highlight w:val="none"/>
          <w:lang w:val="en-US" w:eastAsia="zh-CN" w:bidi="ar-SA"/>
        </w:rPr>
        <w:t>4.供应商履行合同所需的设备</w:t>
      </w:r>
    </w:p>
    <w:p w14:paraId="5CABBB53">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default"/>
          <w:highlight w:val="none"/>
          <w:lang w:val="en-US" w:eastAsia="zh-CN"/>
        </w:rPr>
      </w:pPr>
      <w:r>
        <w:rPr>
          <w:rFonts w:hint="eastAsia"/>
          <w:highlight w:val="none"/>
          <w:lang w:val="en-US" w:eastAsia="zh-CN"/>
        </w:rPr>
        <w:t>采购人根据项目实际需求，需要供应商提供作业设备</w:t>
      </w:r>
      <w:r>
        <w:rPr>
          <w:rFonts w:hint="eastAsia" w:eastAsia="宋体"/>
          <w:b w:val="0"/>
          <w:bCs w:val="0"/>
          <w:color w:val="auto"/>
          <w:highlight w:val="none"/>
          <w:lang w:val="en-US" w:eastAsia="zh-CN"/>
        </w:rPr>
        <w:t>（自有或租赁）</w:t>
      </w:r>
      <w:r>
        <w:rPr>
          <w:rFonts w:hint="eastAsia"/>
          <w:highlight w:val="none"/>
          <w:lang w:val="en-US" w:eastAsia="zh-CN"/>
        </w:rPr>
        <w:t>用于物业管理服务的，可在下表中列出，举例如下：</w:t>
      </w:r>
    </w:p>
    <w:tbl>
      <w:tblPr>
        <w:tblStyle w:val="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2722"/>
        <w:gridCol w:w="3412"/>
        <w:gridCol w:w="874"/>
        <w:gridCol w:w="850"/>
      </w:tblGrid>
      <w:tr w14:paraId="0BF6E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4" w:type="dxa"/>
            <w:noWrap w:val="0"/>
            <w:vAlign w:val="center"/>
          </w:tcPr>
          <w:p w14:paraId="491F8D3F">
            <w:pPr>
              <w:pageBreakBefore w:val="0"/>
              <w:widowControl/>
              <w:kinsoku/>
              <w:wordWrap/>
              <w:overflowPunct/>
              <w:topLinePunct w:val="0"/>
              <w:bidi w:val="0"/>
              <w:snapToGrid w:val="0"/>
              <w:spacing w:line="300" w:lineRule="auto"/>
              <w:ind w:left="0" w:leftChars="0"/>
              <w:jc w:val="center"/>
              <w:rPr>
                <w:rFonts w:hint="eastAsia" w:ascii="Calibri" w:hAnsi="Calibri" w:eastAsia="宋体" w:cs="Calibri"/>
                <w:b/>
                <w:bCs/>
                <w:color w:val="auto"/>
                <w:kern w:val="0"/>
                <w:sz w:val="21"/>
                <w:szCs w:val="21"/>
                <w:highlight w:val="none"/>
                <w:lang w:val="en-US" w:eastAsia="zh-CN" w:bidi="ar-SA"/>
              </w:rPr>
            </w:pPr>
            <w:r>
              <w:rPr>
                <w:rFonts w:hint="default" w:ascii="Calibri" w:hAnsi="Calibri" w:eastAsia="宋体" w:cs="Calibri"/>
                <w:b/>
                <w:bCs/>
                <w:color w:val="auto"/>
                <w:kern w:val="0"/>
                <w:szCs w:val="21"/>
                <w:highlight w:val="none"/>
              </w:rPr>
              <w:t>序号</w:t>
            </w:r>
          </w:p>
        </w:tc>
        <w:tc>
          <w:tcPr>
            <w:tcW w:w="2722" w:type="dxa"/>
            <w:noWrap w:val="0"/>
            <w:vAlign w:val="center"/>
          </w:tcPr>
          <w:p w14:paraId="6CF97D4D">
            <w:pPr>
              <w:pageBreakBefore w:val="0"/>
              <w:widowControl/>
              <w:kinsoku/>
              <w:wordWrap/>
              <w:overflowPunct/>
              <w:topLinePunct w:val="0"/>
              <w:bidi w:val="0"/>
              <w:snapToGrid w:val="0"/>
              <w:spacing w:line="300" w:lineRule="auto"/>
              <w:ind w:left="0" w:leftChars="0"/>
              <w:jc w:val="center"/>
              <w:rPr>
                <w:rFonts w:hint="default" w:ascii="Calibri" w:hAnsi="Calibri" w:eastAsia="宋体" w:cs="Calibri"/>
                <w:b/>
                <w:bCs/>
                <w:color w:val="auto"/>
                <w:kern w:val="0"/>
                <w:sz w:val="21"/>
                <w:szCs w:val="21"/>
                <w:highlight w:val="none"/>
                <w:lang w:val="en-US" w:eastAsia="zh-CN" w:bidi="ar-SA"/>
              </w:rPr>
            </w:pPr>
            <w:r>
              <w:rPr>
                <w:rFonts w:hint="eastAsia" w:ascii="Calibri" w:hAnsi="Calibri" w:eastAsia="宋体" w:cs="Calibri"/>
                <w:b/>
                <w:bCs/>
                <w:color w:val="auto"/>
                <w:kern w:val="0"/>
                <w:szCs w:val="21"/>
                <w:highlight w:val="none"/>
                <w:lang w:val="en-US" w:eastAsia="zh-CN"/>
              </w:rPr>
              <w:t>用途</w:t>
            </w:r>
          </w:p>
        </w:tc>
        <w:tc>
          <w:tcPr>
            <w:tcW w:w="3412" w:type="dxa"/>
            <w:noWrap w:val="0"/>
            <w:vAlign w:val="center"/>
          </w:tcPr>
          <w:p w14:paraId="2C85C28E">
            <w:pPr>
              <w:pageBreakBefore w:val="0"/>
              <w:widowControl/>
              <w:kinsoku/>
              <w:wordWrap/>
              <w:overflowPunct/>
              <w:topLinePunct w:val="0"/>
              <w:bidi w:val="0"/>
              <w:snapToGrid w:val="0"/>
              <w:spacing w:line="300" w:lineRule="auto"/>
              <w:ind w:left="0" w:leftChars="0"/>
              <w:jc w:val="center"/>
              <w:rPr>
                <w:rFonts w:hint="eastAsia" w:ascii="Calibri" w:hAnsi="Calibri" w:eastAsia="宋体" w:cs="Calibri"/>
                <w:b/>
                <w:bCs/>
                <w:color w:val="auto"/>
                <w:kern w:val="0"/>
                <w:sz w:val="21"/>
                <w:szCs w:val="21"/>
                <w:highlight w:val="none"/>
                <w:lang w:val="en-US" w:eastAsia="zh-CN" w:bidi="ar-SA"/>
              </w:rPr>
            </w:pPr>
            <w:r>
              <w:rPr>
                <w:rFonts w:hint="eastAsia" w:ascii="Calibri" w:hAnsi="Calibri" w:eastAsia="宋体" w:cs="Calibri"/>
                <w:b/>
                <w:bCs/>
                <w:color w:val="auto"/>
                <w:kern w:val="0"/>
                <w:szCs w:val="21"/>
                <w:highlight w:val="none"/>
                <w:lang w:val="en-US" w:eastAsia="zh-CN"/>
              </w:rPr>
              <w:t>作业设备</w:t>
            </w:r>
            <w:r>
              <w:rPr>
                <w:rFonts w:hint="default" w:ascii="Calibri" w:hAnsi="Calibri" w:eastAsia="宋体" w:cs="Calibri"/>
                <w:b/>
                <w:bCs/>
                <w:color w:val="auto"/>
                <w:kern w:val="0"/>
                <w:szCs w:val="21"/>
                <w:highlight w:val="none"/>
              </w:rPr>
              <w:t>名称</w:t>
            </w:r>
          </w:p>
        </w:tc>
        <w:tc>
          <w:tcPr>
            <w:tcW w:w="874" w:type="dxa"/>
            <w:noWrap w:val="0"/>
            <w:vAlign w:val="center"/>
          </w:tcPr>
          <w:p w14:paraId="63FC6CC2">
            <w:pPr>
              <w:pageBreakBefore w:val="0"/>
              <w:widowControl/>
              <w:kinsoku/>
              <w:wordWrap/>
              <w:overflowPunct/>
              <w:topLinePunct w:val="0"/>
              <w:bidi w:val="0"/>
              <w:snapToGrid w:val="0"/>
              <w:spacing w:line="300" w:lineRule="auto"/>
              <w:ind w:left="0" w:leftChars="0"/>
              <w:jc w:val="center"/>
              <w:rPr>
                <w:rFonts w:hint="default" w:ascii="Calibri" w:hAnsi="Calibri" w:eastAsia="宋体" w:cs="Calibri"/>
                <w:b/>
                <w:bCs/>
                <w:color w:val="auto"/>
                <w:kern w:val="0"/>
                <w:sz w:val="21"/>
                <w:szCs w:val="21"/>
                <w:highlight w:val="none"/>
                <w:lang w:val="en-US" w:eastAsia="zh-CN" w:bidi="ar-SA"/>
              </w:rPr>
            </w:pPr>
            <w:r>
              <w:rPr>
                <w:rFonts w:hint="eastAsia" w:ascii="Calibri" w:hAnsi="Calibri" w:eastAsia="宋体" w:cs="Calibri"/>
                <w:b/>
                <w:bCs/>
                <w:color w:val="auto"/>
                <w:kern w:val="0"/>
                <w:szCs w:val="21"/>
                <w:highlight w:val="none"/>
                <w:lang w:val="en-US" w:eastAsia="zh-CN"/>
              </w:rPr>
              <w:t>数量</w:t>
            </w:r>
          </w:p>
        </w:tc>
        <w:tc>
          <w:tcPr>
            <w:tcW w:w="850" w:type="dxa"/>
            <w:noWrap w:val="0"/>
            <w:vAlign w:val="center"/>
          </w:tcPr>
          <w:p w14:paraId="107791CA">
            <w:pPr>
              <w:pageBreakBefore w:val="0"/>
              <w:widowControl/>
              <w:kinsoku/>
              <w:wordWrap/>
              <w:overflowPunct/>
              <w:topLinePunct w:val="0"/>
              <w:bidi w:val="0"/>
              <w:snapToGrid w:val="0"/>
              <w:spacing w:line="300" w:lineRule="auto"/>
              <w:ind w:left="0" w:leftChars="0"/>
              <w:jc w:val="center"/>
              <w:rPr>
                <w:rFonts w:hint="default" w:ascii="Calibri" w:hAnsi="Calibri" w:eastAsia="宋体" w:cs="Calibri"/>
                <w:b/>
                <w:bCs/>
                <w:color w:val="auto"/>
                <w:kern w:val="0"/>
                <w:sz w:val="21"/>
                <w:szCs w:val="21"/>
                <w:highlight w:val="none"/>
                <w:lang w:val="en-US" w:eastAsia="zh-CN" w:bidi="ar-SA"/>
              </w:rPr>
            </w:pPr>
            <w:r>
              <w:rPr>
                <w:rFonts w:hint="eastAsia" w:ascii="Calibri" w:hAnsi="Calibri" w:eastAsia="宋体" w:cs="Calibri"/>
                <w:b/>
                <w:bCs/>
                <w:color w:val="auto"/>
                <w:kern w:val="0"/>
                <w:szCs w:val="21"/>
                <w:highlight w:val="none"/>
                <w:lang w:val="en-US" w:eastAsia="zh-CN"/>
              </w:rPr>
              <w:t>单位</w:t>
            </w:r>
          </w:p>
        </w:tc>
      </w:tr>
      <w:tr w14:paraId="353D2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4" w:type="dxa"/>
            <w:noWrap w:val="0"/>
            <w:vAlign w:val="center"/>
          </w:tcPr>
          <w:p w14:paraId="1F36D648">
            <w:pPr>
              <w:pageBreakBefore w:val="0"/>
              <w:widowControl/>
              <w:numPr>
                <w:ilvl w:val="0"/>
                <w:numId w:val="0"/>
              </w:numPr>
              <w:kinsoku/>
              <w:wordWrap/>
              <w:overflowPunct/>
              <w:topLinePunct w:val="0"/>
              <w:bidi w:val="0"/>
              <w:snapToGrid w:val="0"/>
              <w:spacing w:line="300" w:lineRule="auto"/>
              <w:ind w:left="0" w:leftChars="0" w:firstLine="0" w:firstLineChars="0"/>
              <w:jc w:val="center"/>
              <w:rPr>
                <w:rFonts w:hint="eastAsia" w:ascii="Calibri" w:hAnsi="Calibri" w:eastAsia="宋体" w:cs="Calibri"/>
                <w:b w:val="0"/>
                <w:bCs w:val="0"/>
                <w:color w:val="auto"/>
                <w:kern w:val="0"/>
                <w:sz w:val="21"/>
                <w:szCs w:val="21"/>
                <w:highlight w:val="none"/>
                <w:lang w:val="en-US" w:eastAsia="zh-CN" w:bidi="ar-SA"/>
              </w:rPr>
            </w:pPr>
            <w:r>
              <w:rPr>
                <w:rFonts w:hint="eastAsia" w:cs="Calibri"/>
                <w:b w:val="0"/>
                <w:bCs w:val="0"/>
                <w:color w:val="auto"/>
                <w:kern w:val="0"/>
                <w:sz w:val="21"/>
                <w:szCs w:val="21"/>
                <w:highlight w:val="none"/>
                <w:lang w:val="en-US" w:eastAsia="zh-CN"/>
              </w:rPr>
              <w:t>1</w:t>
            </w:r>
          </w:p>
        </w:tc>
        <w:tc>
          <w:tcPr>
            <w:tcW w:w="2722" w:type="dxa"/>
            <w:noWrap w:val="0"/>
            <w:vAlign w:val="center"/>
          </w:tcPr>
          <w:p w14:paraId="4C682196">
            <w:pPr>
              <w:pageBreakBefore w:val="0"/>
              <w:widowControl/>
              <w:kinsoku/>
              <w:wordWrap/>
              <w:overflowPunct/>
              <w:topLinePunct w:val="0"/>
              <w:bidi w:val="0"/>
              <w:snapToGrid w:val="0"/>
              <w:spacing w:line="300" w:lineRule="auto"/>
              <w:ind w:left="0" w:leftChars="0"/>
              <w:jc w:val="center"/>
              <w:rPr>
                <w:rFonts w:hint="eastAsia" w:ascii="Calibri" w:hAnsi="Calibri" w:eastAsia="宋体" w:cs="Calibri"/>
                <w:b w:val="0"/>
                <w:bCs w:val="0"/>
                <w:color w:val="auto"/>
                <w:kern w:val="0"/>
                <w:sz w:val="21"/>
                <w:szCs w:val="21"/>
                <w:highlight w:val="none"/>
                <w:lang w:val="en-US" w:eastAsia="zh-CN" w:bidi="ar-SA"/>
              </w:rPr>
            </w:pPr>
            <w:r>
              <w:rPr>
                <w:rFonts w:hint="eastAsia" w:eastAsia="宋体" w:cs="Calibri"/>
                <w:b w:val="0"/>
                <w:bCs w:val="0"/>
                <w:color w:val="auto"/>
                <w:kern w:val="0"/>
                <w:sz w:val="21"/>
                <w:szCs w:val="21"/>
                <w:highlight w:val="none"/>
                <w:lang w:val="en-US" w:eastAsia="zh-CN" w:bidi="ar-SA"/>
              </w:rPr>
              <w:t>房屋维修服务</w:t>
            </w:r>
          </w:p>
        </w:tc>
        <w:tc>
          <w:tcPr>
            <w:tcW w:w="3412" w:type="dxa"/>
            <w:noWrap w:val="0"/>
            <w:vAlign w:val="center"/>
          </w:tcPr>
          <w:p w14:paraId="2BE47D47">
            <w:pPr>
              <w:pageBreakBefore w:val="0"/>
              <w:widowControl/>
              <w:kinsoku/>
              <w:wordWrap/>
              <w:overflowPunct/>
              <w:topLinePunct w:val="0"/>
              <w:bidi w:val="0"/>
              <w:snapToGrid w:val="0"/>
              <w:spacing w:line="300" w:lineRule="auto"/>
              <w:ind w:left="0" w:leftChars="0"/>
              <w:jc w:val="center"/>
              <w:rPr>
                <w:rFonts w:hint="eastAsia" w:ascii="Calibri" w:hAnsi="Calibri" w:eastAsia="宋体" w:cs="Calibri"/>
                <w:b w:val="0"/>
                <w:bCs w:val="0"/>
                <w:color w:val="auto"/>
                <w:kern w:val="0"/>
                <w:sz w:val="21"/>
                <w:szCs w:val="21"/>
                <w:highlight w:val="none"/>
                <w:lang w:val="en-US" w:eastAsia="zh-CN" w:bidi="ar-SA"/>
              </w:rPr>
            </w:pPr>
            <w:r>
              <w:rPr>
                <w:rFonts w:hint="eastAsia" w:cs="Calibri"/>
                <w:b w:val="0"/>
                <w:bCs w:val="0"/>
                <w:color w:val="auto"/>
                <w:kern w:val="0"/>
                <w:sz w:val="21"/>
                <w:szCs w:val="21"/>
                <w:highlight w:val="none"/>
                <w:lang w:val="en-US" w:eastAsia="zh-CN" w:bidi="ar-SA"/>
              </w:rPr>
              <w:t>梯子</w:t>
            </w:r>
          </w:p>
        </w:tc>
        <w:tc>
          <w:tcPr>
            <w:tcW w:w="874" w:type="dxa"/>
            <w:noWrap w:val="0"/>
            <w:vAlign w:val="center"/>
          </w:tcPr>
          <w:p w14:paraId="196C5907">
            <w:pPr>
              <w:pageBreakBefore w:val="0"/>
              <w:widowControl/>
              <w:kinsoku/>
              <w:wordWrap/>
              <w:overflowPunct/>
              <w:topLinePunct w:val="0"/>
              <w:bidi w:val="0"/>
              <w:snapToGrid w:val="0"/>
              <w:spacing w:line="300" w:lineRule="auto"/>
              <w:ind w:left="0" w:leftChars="0"/>
              <w:jc w:val="center"/>
              <w:rPr>
                <w:rFonts w:hint="eastAsia" w:ascii="Calibri" w:hAnsi="Calibri" w:eastAsia="宋体" w:cs="Calibri"/>
                <w:b w:val="0"/>
                <w:bCs w:val="0"/>
                <w:color w:val="auto"/>
                <w:kern w:val="0"/>
                <w:sz w:val="21"/>
                <w:szCs w:val="21"/>
                <w:highlight w:val="none"/>
                <w:lang w:val="en-US" w:eastAsia="zh-CN" w:bidi="ar-SA"/>
              </w:rPr>
            </w:pPr>
            <w:r>
              <w:rPr>
                <w:rFonts w:hint="eastAsia" w:cs="Calibri"/>
                <w:b w:val="0"/>
                <w:bCs w:val="0"/>
                <w:color w:val="auto"/>
                <w:kern w:val="0"/>
                <w:sz w:val="21"/>
                <w:szCs w:val="21"/>
                <w:highlight w:val="none"/>
                <w:lang w:val="en-US" w:eastAsia="zh-CN"/>
              </w:rPr>
              <w:t>1</w:t>
            </w:r>
          </w:p>
        </w:tc>
        <w:tc>
          <w:tcPr>
            <w:tcW w:w="850" w:type="dxa"/>
            <w:noWrap w:val="0"/>
            <w:vAlign w:val="center"/>
          </w:tcPr>
          <w:p w14:paraId="61D6E3F3">
            <w:pPr>
              <w:pageBreakBefore w:val="0"/>
              <w:widowControl/>
              <w:kinsoku/>
              <w:wordWrap/>
              <w:overflowPunct/>
              <w:topLinePunct w:val="0"/>
              <w:bidi w:val="0"/>
              <w:snapToGrid w:val="0"/>
              <w:spacing w:line="300" w:lineRule="auto"/>
              <w:ind w:left="0" w:leftChars="0"/>
              <w:jc w:val="center"/>
              <w:rPr>
                <w:rFonts w:hint="eastAsia" w:ascii="Calibri" w:hAnsi="Calibri" w:eastAsia="宋体" w:cs="Calibri"/>
                <w:b w:val="0"/>
                <w:bCs w:val="0"/>
                <w:color w:val="auto"/>
                <w:kern w:val="0"/>
                <w:sz w:val="21"/>
                <w:szCs w:val="21"/>
                <w:highlight w:val="none"/>
                <w:lang w:val="en-US" w:eastAsia="zh-CN" w:bidi="ar-SA"/>
              </w:rPr>
            </w:pPr>
            <w:r>
              <w:rPr>
                <w:rFonts w:hint="eastAsia" w:eastAsia="宋体" w:cs="Calibri"/>
                <w:b w:val="0"/>
                <w:bCs w:val="0"/>
                <w:color w:val="auto"/>
                <w:kern w:val="0"/>
                <w:sz w:val="21"/>
                <w:szCs w:val="21"/>
                <w:highlight w:val="none"/>
                <w:lang w:val="en-US" w:eastAsia="zh-CN"/>
              </w:rPr>
              <w:t>台</w:t>
            </w:r>
          </w:p>
        </w:tc>
      </w:tr>
      <w:tr w14:paraId="65215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664" w:type="dxa"/>
            <w:noWrap w:val="0"/>
            <w:vAlign w:val="center"/>
          </w:tcPr>
          <w:p w14:paraId="18AD71B7">
            <w:pPr>
              <w:pageBreakBefore w:val="0"/>
              <w:widowControl/>
              <w:numPr>
                <w:ilvl w:val="0"/>
                <w:numId w:val="0"/>
              </w:numPr>
              <w:kinsoku/>
              <w:wordWrap/>
              <w:overflowPunct/>
              <w:topLinePunct w:val="0"/>
              <w:bidi w:val="0"/>
              <w:snapToGrid w:val="0"/>
              <w:spacing w:line="300" w:lineRule="auto"/>
              <w:ind w:left="0" w:leftChars="0" w:firstLine="0" w:firstLineChars="0"/>
              <w:jc w:val="center"/>
              <w:rPr>
                <w:rFonts w:hint="eastAsia" w:ascii="Calibri" w:hAnsi="Calibri" w:eastAsia="宋体" w:cs="Calibri"/>
                <w:b w:val="0"/>
                <w:bCs w:val="0"/>
                <w:color w:val="auto"/>
                <w:kern w:val="0"/>
                <w:sz w:val="21"/>
                <w:szCs w:val="21"/>
                <w:highlight w:val="none"/>
                <w:lang w:val="en-US" w:eastAsia="zh-CN" w:bidi="ar-SA"/>
              </w:rPr>
            </w:pPr>
            <w:r>
              <w:rPr>
                <w:rFonts w:hint="eastAsia" w:cs="Calibri"/>
                <w:b w:val="0"/>
                <w:bCs w:val="0"/>
                <w:color w:val="auto"/>
                <w:kern w:val="0"/>
                <w:sz w:val="21"/>
                <w:szCs w:val="21"/>
                <w:highlight w:val="none"/>
                <w:lang w:val="en-US" w:eastAsia="zh-CN"/>
              </w:rPr>
              <w:t>2</w:t>
            </w:r>
          </w:p>
        </w:tc>
        <w:tc>
          <w:tcPr>
            <w:tcW w:w="2722" w:type="dxa"/>
            <w:noWrap w:val="0"/>
            <w:vAlign w:val="center"/>
          </w:tcPr>
          <w:p w14:paraId="06908B55">
            <w:pPr>
              <w:pageBreakBefore w:val="0"/>
              <w:widowControl/>
              <w:kinsoku/>
              <w:wordWrap/>
              <w:overflowPunct/>
              <w:topLinePunct w:val="0"/>
              <w:bidi w:val="0"/>
              <w:snapToGrid w:val="0"/>
              <w:spacing w:line="300" w:lineRule="auto"/>
              <w:ind w:left="0" w:leftChars="0"/>
              <w:jc w:val="center"/>
              <w:rPr>
                <w:rFonts w:hint="default" w:ascii="Calibri" w:hAnsi="Calibri" w:eastAsia="宋体" w:cs="Calibri"/>
                <w:b w:val="0"/>
                <w:bCs w:val="0"/>
                <w:color w:val="auto"/>
                <w:kern w:val="0"/>
                <w:sz w:val="21"/>
                <w:szCs w:val="21"/>
                <w:highlight w:val="none"/>
                <w:lang w:val="en-US" w:eastAsia="zh-CN" w:bidi="ar-SA"/>
              </w:rPr>
            </w:pPr>
            <w:r>
              <w:rPr>
                <w:rFonts w:hint="eastAsia"/>
                <w:sz w:val="21"/>
                <w:szCs w:val="21"/>
                <w:highlight w:val="none"/>
                <w:lang w:val="en-US" w:eastAsia="zh-CN"/>
              </w:rPr>
              <w:t>公用设施设备维护服务</w:t>
            </w:r>
          </w:p>
        </w:tc>
        <w:tc>
          <w:tcPr>
            <w:tcW w:w="3412" w:type="dxa"/>
            <w:noWrap w:val="0"/>
            <w:vAlign w:val="center"/>
          </w:tcPr>
          <w:p w14:paraId="7363681A">
            <w:pPr>
              <w:pageBreakBefore w:val="0"/>
              <w:widowControl/>
              <w:kinsoku/>
              <w:wordWrap/>
              <w:overflowPunct/>
              <w:topLinePunct w:val="0"/>
              <w:bidi w:val="0"/>
              <w:snapToGrid w:val="0"/>
              <w:spacing w:line="300" w:lineRule="auto"/>
              <w:ind w:left="0" w:leftChars="0"/>
              <w:jc w:val="center"/>
              <w:rPr>
                <w:rFonts w:hint="default" w:ascii="Calibri" w:hAnsi="Calibri" w:eastAsia="宋体" w:cs="Calibri"/>
                <w:b w:val="0"/>
                <w:bCs w:val="0"/>
                <w:color w:val="auto"/>
                <w:kern w:val="0"/>
                <w:sz w:val="21"/>
                <w:szCs w:val="21"/>
                <w:highlight w:val="none"/>
                <w:lang w:val="en-US" w:eastAsia="zh-CN" w:bidi="ar-SA"/>
              </w:rPr>
            </w:pPr>
            <w:r>
              <w:rPr>
                <w:rFonts w:hint="eastAsia" w:cs="Calibri"/>
                <w:b w:val="0"/>
                <w:bCs w:val="0"/>
                <w:color w:val="auto"/>
                <w:kern w:val="0"/>
                <w:sz w:val="21"/>
                <w:szCs w:val="21"/>
                <w:highlight w:val="none"/>
                <w:lang w:val="en-US" w:eastAsia="zh-CN" w:bidi="ar-SA"/>
              </w:rPr>
              <w:t>弹簧机、电焊机、切割机、角磨机</w:t>
            </w:r>
          </w:p>
        </w:tc>
        <w:tc>
          <w:tcPr>
            <w:tcW w:w="874" w:type="dxa"/>
            <w:noWrap w:val="0"/>
            <w:vAlign w:val="center"/>
          </w:tcPr>
          <w:p w14:paraId="38C0869E">
            <w:pPr>
              <w:pageBreakBefore w:val="0"/>
              <w:widowControl/>
              <w:kinsoku/>
              <w:wordWrap/>
              <w:overflowPunct/>
              <w:topLinePunct w:val="0"/>
              <w:bidi w:val="0"/>
              <w:snapToGrid w:val="0"/>
              <w:spacing w:line="300" w:lineRule="auto"/>
              <w:ind w:left="0" w:leftChars="0"/>
              <w:jc w:val="center"/>
              <w:rPr>
                <w:rFonts w:hint="default" w:ascii="Calibri" w:hAnsi="Calibri" w:eastAsia="宋体" w:cs="Calibri"/>
                <w:b w:val="0"/>
                <w:bCs w:val="0"/>
                <w:color w:val="auto"/>
                <w:kern w:val="0"/>
                <w:sz w:val="21"/>
                <w:szCs w:val="21"/>
                <w:highlight w:val="none"/>
                <w:lang w:val="en-US" w:eastAsia="zh-CN" w:bidi="ar-SA"/>
              </w:rPr>
            </w:pPr>
            <w:r>
              <w:rPr>
                <w:rFonts w:hint="eastAsia" w:cs="Calibri"/>
                <w:b w:val="0"/>
                <w:bCs w:val="0"/>
                <w:color w:val="auto"/>
                <w:kern w:val="0"/>
                <w:sz w:val="21"/>
                <w:szCs w:val="21"/>
                <w:highlight w:val="none"/>
                <w:lang w:val="en-US" w:eastAsia="zh-CN" w:bidi="ar-SA"/>
              </w:rPr>
              <w:t>各1台</w:t>
            </w:r>
          </w:p>
        </w:tc>
        <w:tc>
          <w:tcPr>
            <w:tcW w:w="850" w:type="dxa"/>
            <w:noWrap w:val="0"/>
            <w:vAlign w:val="center"/>
          </w:tcPr>
          <w:p w14:paraId="10D333D1">
            <w:pPr>
              <w:pageBreakBefore w:val="0"/>
              <w:widowControl/>
              <w:kinsoku/>
              <w:wordWrap/>
              <w:overflowPunct/>
              <w:topLinePunct w:val="0"/>
              <w:bidi w:val="0"/>
              <w:snapToGrid w:val="0"/>
              <w:spacing w:line="300" w:lineRule="auto"/>
              <w:ind w:left="0" w:leftChars="0"/>
              <w:jc w:val="center"/>
              <w:rPr>
                <w:rFonts w:hint="eastAsia" w:ascii="Calibri" w:hAnsi="Calibri" w:eastAsia="宋体" w:cs="Calibri"/>
                <w:b w:val="0"/>
                <w:bCs w:val="0"/>
                <w:color w:val="auto"/>
                <w:kern w:val="0"/>
                <w:sz w:val="21"/>
                <w:szCs w:val="21"/>
                <w:highlight w:val="none"/>
                <w:lang w:val="en-US" w:eastAsia="zh-CN" w:bidi="ar-SA"/>
              </w:rPr>
            </w:pPr>
            <w:r>
              <w:rPr>
                <w:rFonts w:hint="eastAsia" w:eastAsia="宋体" w:cs="Calibri"/>
                <w:b w:val="0"/>
                <w:bCs w:val="0"/>
                <w:color w:val="auto"/>
                <w:kern w:val="0"/>
                <w:sz w:val="21"/>
                <w:szCs w:val="21"/>
                <w:highlight w:val="none"/>
                <w:lang w:val="en-US" w:eastAsia="zh-CN"/>
              </w:rPr>
              <w:t>台</w:t>
            </w:r>
          </w:p>
        </w:tc>
      </w:tr>
      <w:tr w14:paraId="71DB0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4" w:type="dxa"/>
            <w:noWrap w:val="0"/>
            <w:vAlign w:val="center"/>
          </w:tcPr>
          <w:p w14:paraId="5BDF5D3A">
            <w:pPr>
              <w:pageBreakBefore w:val="0"/>
              <w:widowControl/>
              <w:numPr>
                <w:ilvl w:val="0"/>
                <w:numId w:val="0"/>
              </w:numPr>
              <w:kinsoku/>
              <w:wordWrap/>
              <w:overflowPunct/>
              <w:topLinePunct w:val="0"/>
              <w:bidi w:val="0"/>
              <w:snapToGrid w:val="0"/>
              <w:spacing w:line="300" w:lineRule="auto"/>
              <w:ind w:left="0" w:leftChars="0" w:firstLine="0" w:firstLineChars="0"/>
              <w:jc w:val="center"/>
              <w:rPr>
                <w:rFonts w:hint="eastAsia" w:ascii="Calibri" w:hAnsi="Calibri" w:eastAsia="宋体" w:cs="Calibri"/>
                <w:b w:val="0"/>
                <w:bCs w:val="0"/>
                <w:color w:val="auto"/>
                <w:kern w:val="0"/>
                <w:sz w:val="21"/>
                <w:szCs w:val="21"/>
                <w:highlight w:val="none"/>
                <w:lang w:val="en-US" w:eastAsia="zh-CN" w:bidi="ar-SA"/>
              </w:rPr>
            </w:pPr>
            <w:r>
              <w:rPr>
                <w:rFonts w:hint="eastAsia" w:cs="Calibri"/>
                <w:b w:val="0"/>
                <w:bCs w:val="0"/>
                <w:color w:val="auto"/>
                <w:kern w:val="0"/>
                <w:sz w:val="21"/>
                <w:szCs w:val="21"/>
                <w:highlight w:val="none"/>
                <w:lang w:val="en-US" w:eastAsia="zh-CN"/>
              </w:rPr>
              <w:t>3</w:t>
            </w:r>
          </w:p>
        </w:tc>
        <w:tc>
          <w:tcPr>
            <w:tcW w:w="2722" w:type="dxa"/>
            <w:noWrap w:val="0"/>
            <w:vAlign w:val="center"/>
          </w:tcPr>
          <w:p w14:paraId="47CDC820">
            <w:pPr>
              <w:pageBreakBefore w:val="0"/>
              <w:widowControl/>
              <w:kinsoku/>
              <w:wordWrap/>
              <w:overflowPunct/>
              <w:topLinePunct w:val="0"/>
              <w:bidi w:val="0"/>
              <w:snapToGrid w:val="0"/>
              <w:spacing w:line="300" w:lineRule="auto"/>
              <w:ind w:left="0" w:leftChars="0"/>
              <w:jc w:val="center"/>
              <w:rPr>
                <w:rFonts w:hint="default" w:ascii="Calibri" w:hAnsi="Calibri" w:eastAsia="宋体" w:cs="Calibri"/>
                <w:kern w:val="2"/>
                <w:sz w:val="21"/>
                <w:szCs w:val="21"/>
                <w:highlight w:val="none"/>
                <w:lang w:val="en-US" w:eastAsia="zh-CN" w:bidi="ar-SA"/>
              </w:rPr>
            </w:pPr>
            <w:r>
              <w:rPr>
                <w:rFonts w:hint="eastAsia"/>
                <w:sz w:val="21"/>
                <w:szCs w:val="21"/>
                <w:highlight w:val="none"/>
                <w:lang w:val="en-US" w:eastAsia="zh-CN"/>
              </w:rPr>
              <w:t>保洁服务</w:t>
            </w:r>
          </w:p>
        </w:tc>
        <w:tc>
          <w:tcPr>
            <w:tcW w:w="3412" w:type="dxa"/>
            <w:noWrap w:val="0"/>
            <w:vAlign w:val="center"/>
          </w:tcPr>
          <w:p w14:paraId="5871C50D">
            <w:pPr>
              <w:pageBreakBefore w:val="0"/>
              <w:widowControl/>
              <w:kinsoku/>
              <w:wordWrap/>
              <w:overflowPunct/>
              <w:topLinePunct w:val="0"/>
              <w:bidi w:val="0"/>
              <w:snapToGrid w:val="0"/>
              <w:spacing w:line="300" w:lineRule="auto"/>
              <w:ind w:left="0" w:leftChars="0"/>
              <w:jc w:val="center"/>
              <w:rPr>
                <w:rFonts w:hint="default" w:ascii="Calibri" w:hAnsi="Calibri" w:eastAsia="宋体" w:cs="Calibri"/>
                <w:b w:val="0"/>
                <w:bCs w:val="0"/>
                <w:color w:val="auto"/>
                <w:kern w:val="0"/>
                <w:sz w:val="21"/>
                <w:szCs w:val="21"/>
                <w:highlight w:val="none"/>
                <w:lang w:val="en-US" w:eastAsia="zh-CN" w:bidi="ar-SA"/>
              </w:rPr>
            </w:pPr>
            <w:r>
              <w:rPr>
                <w:rFonts w:hint="eastAsia" w:cs="Calibri"/>
                <w:b w:val="0"/>
                <w:bCs w:val="0"/>
                <w:color w:val="auto"/>
                <w:kern w:val="0"/>
                <w:sz w:val="21"/>
                <w:szCs w:val="21"/>
                <w:highlight w:val="none"/>
                <w:lang w:val="en-US" w:eastAsia="zh-CN" w:bidi="ar-SA"/>
              </w:rPr>
              <w:t>三轮车、驾驶扫地机</w:t>
            </w:r>
          </w:p>
        </w:tc>
        <w:tc>
          <w:tcPr>
            <w:tcW w:w="874" w:type="dxa"/>
            <w:noWrap w:val="0"/>
            <w:vAlign w:val="center"/>
          </w:tcPr>
          <w:p w14:paraId="405AC6B8">
            <w:pPr>
              <w:pageBreakBefore w:val="0"/>
              <w:widowControl/>
              <w:kinsoku/>
              <w:wordWrap/>
              <w:overflowPunct/>
              <w:topLinePunct w:val="0"/>
              <w:bidi w:val="0"/>
              <w:snapToGrid w:val="0"/>
              <w:spacing w:line="300" w:lineRule="auto"/>
              <w:ind w:left="0" w:leftChars="0"/>
              <w:jc w:val="center"/>
              <w:rPr>
                <w:rFonts w:hint="default" w:ascii="Calibri" w:hAnsi="Calibri" w:eastAsia="宋体" w:cs="Calibri"/>
                <w:b w:val="0"/>
                <w:bCs w:val="0"/>
                <w:color w:val="auto"/>
                <w:kern w:val="0"/>
                <w:sz w:val="21"/>
                <w:szCs w:val="21"/>
                <w:highlight w:val="none"/>
                <w:lang w:val="en-US" w:eastAsia="zh-CN" w:bidi="ar-SA"/>
              </w:rPr>
            </w:pPr>
            <w:r>
              <w:rPr>
                <w:rFonts w:hint="eastAsia" w:cs="Calibri"/>
                <w:b w:val="0"/>
                <w:bCs w:val="0"/>
                <w:color w:val="auto"/>
                <w:kern w:val="0"/>
                <w:sz w:val="21"/>
                <w:szCs w:val="21"/>
                <w:highlight w:val="none"/>
                <w:lang w:val="en-US" w:eastAsia="zh-CN" w:bidi="ar-SA"/>
              </w:rPr>
              <w:t>各1台</w:t>
            </w:r>
          </w:p>
        </w:tc>
        <w:tc>
          <w:tcPr>
            <w:tcW w:w="850" w:type="dxa"/>
            <w:noWrap w:val="0"/>
            <w:vAlign w:val="center"/>
          </w:tcPr>
          <w:p w14:paraId="2B8E9547">
            <w:pPr>
              <w:pageBreakBefore w:val="0"/>
              <w:widowControl/>
              <w:kinsoku/>
              <w:wordWrap/>
              <w:overflowPunct/>
              <w:topLinePunct w:val="0"/>
              <w:bidi w:val="0"/>
              <w:snapToGrid w:val="0"/>
              <w:spacing w:line="300" w:lineRule="auto"/>
              <w:ind w:left="0" w:leftChars="0"/>
              <w:jc w:val="center"/>
              <w:rPr>
                <w:rFonts w:hint="eastAsia" w:ascii="Calibri" w:hAnsi="Calibri" w:eastAsia="宋体" w:cs="Calibri"/>
                <w:b w:val="0"/>
                <w:bCs w:val="0"/>
                <w:color w:val="auto"/>
                <w:kern w:val="0"/>
                <w:sz w:val="21"/>
                <w:szCs w:val="21"/>
                <w:highlight w:val="none"/>
                <w:lang w:val="en-US" w:eastAsia="zh-CN" w:bidi="ar-SA"/>
              </w:rPr>
            </w:pPr>
            <w:r>
              <w:rPr>
                <w:rFonts w:hint="eastAsia" w:eastAsia="宋体" w:cs="Calibri"/>
                <w:b w:val="0"/>
                <w:bCs w:val="0"/>
                <w:color w:val="auto"/>
                <w:kern w:val="0"/>
                <w:sz w:val="21"/>
                <w:szCs w:val="21"/>
                <w:highlight w:val="none"/>
                <w:lang w:val="en-US" w:eastAsia="zh-CN"/>
              </w:rPr>
              <w:t>台</w:t>
            </w:r>
          </w:p>
        </w:tc>
      </w:tr>
      <w:tr w14:paraId="2A4D1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14:paraId="192BD8D8">
            <w:pPr>
              <w:pageBreakBefore w:val="0"/>
              <w:widowControl/>
              <w:numPr>
                <w:ilvl w:val="0"/>
                <w:numId w:val="0"/>
              </w:numPr>
              <w:kinsoku/>
              <w:wordWrap/>
              <w:overflowPunct/>
              <w:topLinePunct w:val="0"/>
              <w:bidi w:val="0"/>
              <w:snapToGrid w:val="0"/>
              <w:spacing w:line="300" w:lineRule="auto"/>
              <w:ind w:left="0" w:leftChars="0" w:firstLine="0" w:firstLineChars="0"/>
              <w:jc w:val="center"/>
              <w:rPr>
                <w:rFonts w:hint="eastAsia" w:ascii="Calibri" w:hAnsi="Calibri" w:eastAsia="宋体" w:cs="Calibri"/>
                <w:b w:val="0"/>
                <w:bCs w:val="0"/>
                <w:color w:val="auto"/>
                <w:kern w:val="0"/>
                <w:sz w:val="21"/>
                <w:szCs w:val="21"/>
                <w:highlight w:val="none"/>
                <w:lang w:val="en-US" w:eastAsia="zh-CN" w:bidi="ar-SA"/>
              </w:rPr>
            </w:pPr>
            <w:r>
              <w:rPr>
                <w:rFonts w:hint="eastAsia" w:cs="Calibri"/>
                <w:b w:val="0"/>
                <w:bCs w:val="0"/>
                <w:color w:val="auto"/>
                <w:kern w:val="0"/>
                <w:sz w:val="21"/>
                <w:szCs w:val="21"/>
                <w:highlight w:val="none"/>
                <w:lang w:val="en-US" w:eastAsia="zh-CN"/>
              </w:rPr>
              <w:t>4</w:t>
            </w:r>
          </w:p>
        </w:tc>
        <w:tc>
          <w:tcPr>
            <w:tcW w:w="0" w:type="auto"/>
            <w:noWrap w:val="0"/>
            <w:vAlign w:val="center"/>
          </w:tcPr>
          <w:p w14:paraId="45F3A746">
            <w:pPr>
              <w:pageBreakBefore w:val="0"/>
              <w:widowControl/>
              <w:kinsoku/>
              <w:wordWrap/>
              <w:overflowPunct/>
              <w:topLinePunct w:val="0"/>
              <w:bidi w:val="0"/>
              <w:snapToGrid w:val="0"/>
              <w:spacing w:line="300" w:lineRule="auto"/>
              <w:ind w:left="0" w:leftChars="0"/>
              <w:jc w:val="center"/>
              <w:rPr>
                <w:rFonts w:hint="default" w:ascii="Calibri" w:hAnsi="Calibri" w:eastAsia="宋体" w:cs="Calibri"/>
                <w:kern w:val="2"/>
                <w:sz w:val="21"/>
                <w:szCs w:val="21"/>
                <w:highlight w:val="none"/>
                <w:lang w:val="en-US" w:eastAsia="zh-CN" w:bidi="ar-SA"/>
              </w:rPr>
            </w:pPr>
            <w:r>
              <w:rPr>
                <w:rFonts w:hint="eastAsia"/>
                <w:sz w:val="21"/>
                <w:szCs w:val="21"/>
                <w:highlight w:val="none"/>
                <w:lang w:val="en-US" w:eastAsia="zh-CN"/>
              </w:rPr>
              <w:t>绿化服务</w:t>
            </w:r>
          </w:p>
        </w:tc>
        <w:tc>
          <w:tcPr>
            <w:tcW w:w="0" w:type="auto"/>
            <w:noWrap w:val="0"/>
            <w:vAlign w:val="center"/>
          </w:tcPr>
          <w:p w14:paraId="6AF61003">
            <w:pPr>
              <w:pageBreakBefore w:val="0"/>
              <w:widowControl/>
              <w:kinsoku/>
              <w:wordWrap/>
              <w:overflowPunct/>
              <w:topLinePunct w:val="0"/>
              <w:bidi w:val="0"/>
              <w:snapToGrid w:val="0"/>
              <w:spacing w:line="300" w:lineRule="auto"/>
              <w:ind w:left="0" w:leftChars="0"/>
              <w:jc w:val="center"/>
              <w:rPr>
                <w:rFonts w:hint="default" w:ascii="Calibri" w:hAnsi="Calibri" w:eastAsia="宋体" w:cs="Calibri"/>
                <w:b w:val="0"/>
                <w:bCs w:val="0"/>
                <w:color w:val="auto"/>
                <w:kern w:val="0"/>
                <w:sz w:val="21"/>
                <w:szCs w:val="21"/>
                <w:highlight w:val="none"/>
                <w:lang w:val="en-US" w:eastAsia="zh-CN" w:bidi="ar-SA"/>
              </w:rPr>
            </w:pPr>
            <w:r>
              <w:rPr>
                <w:rFonts w:hint="eastAsia" w:cs="Calibri"/>
                <w:b w:val="0"/>
                <w:bCs w:val="0"/>
                <w:color w:val="auto"/>
                <w:kern w:val="0"/>
                <w:sz w:val="21"/>
                <w:szCs w:val="21"/>
                <w:highlight w:val="none"/>
                <w:lang w:val="en-US" w:eastAsia="zh-CN" w:bidi="ar-SA"/>
              </w:rPr>
              <w:t>割草机、旋耕机</w:t>
            </w:r>
          </w:p>
        </w:tc>
        <w:tc>
          <w:tcPr>
            <w:tcW w:w="0" w:type="auto"/>
            <w:noWrap w:val="0"/>
            <w:vAlign w:val="center"/>
          </w:tcPr>
          <w:p w14:paraId="62B1ABBA">
            <w:pPr>
              <w:pageBreakBefore w:val="0"/>
              <w:widowControl/>
              <w:kinsoku/>
              <w:wordWrap/>
              <w:overflowPunct/>
              <w:topLinePunct w:val="0"/>
              <w:bidi w:val="0"/>
              <w:snapToGrid w:val="0"/>
              <w:spacing w:line="300" w:lineRule="auto"/>
              <w:ind w:left="0" w:leftChars="0"/>
              <w:jc w:val="center"/>
              <w:rPr>
                <w:rFonts w:hint="default" w:ascii="Calibri" w:hAnsi="Calibri" w:eastAsia="宋体" w:cs="Calibri"/>
                <w:b w:val="0"/>
                <w:bCs w:val="0"/>
                <w:color w:val="auto"/>
                <w:kern w:val="0"/>
                <w:sz w:val="21"/>
                <w:szCs w:val="21"/>
                <w:highlight w:val="none"/>
                <w:lang w:val="en-US" w:eastAsia="zh-CN" w:bidi="ar-SA"/>
              </w:rPr>
            </w:pPr>
            <w:r>
              <w:rPr>
                <w:rFonts w:hint="eastAsia" w:cs="Calibri"/>
                <w:b w:val="0"/>
                <w:bCs w:val="0"/>
                <w:color w:val="auto"/>
                <w:kern w:val="0"/>
                <w:sz w:val="21"/>
                <w:szCs w:val="21"/>
                <w:highlight w:val="none"/>
                <w:lang w:val="en-US" w:eastAsia="zh-CN" w:bidi="ar-SA"/>
              </w:rPr>
              <w:t>各1台</w:t>
            </w:r>
          </w:p>
        </w:tc>
        <w:tc>
          <w:tcPr>
            <w:tcW w:w="0" w:type="auto"/>
            <w:noWrap w:val="0"/>
            <w:vAlign w:val="center"/>
          </w:tcPr>
          <w:p w14:paraId="52F3980C">
            <w:pPr>
              <w:pageBreakBefore w:val="0"/>
              <w:widowControl/>
              <w:kinsoku/>
              <w:wordWrap/>
              <w:overflowPunct/>
              <w:topLinePunct w:val="0"/>
              <w:bidi w:val="0"/>
              <w:snapToGrid w:val="0"/>
              <w:spacing w:line="300" w:lineRule="auto"/>
              <w:ind w:left="0" w:leftChars="0"/>
              <w:jc w:val="center"/>
              <w:rPr>
                <w:rFonts w:hint="eastAsia" w:ascii="Calibri" w:hAnsi="Calibri" w:eastAsia="宋体" w:cs="Calibri"/>
                <w:b w:val="0"/>
                <w:bCs w:val="0"/>
                <w:color w:val="auto"/>
                <w:kern w:val="0"/>
                <w:sz w:val="21"/>
                <w:szCs w:val="21"/>
                <w:highlight w:val="none"/>
                <w:lang w:val="en-US" w:eastAsia="zh-CN" w:bidi="ar-SA"/>
              </w:rPr>
            </w:pPr>
            <w:r>
              <w:rPr>
                <w:rFonts w:hint="eastAsia" w:eastAsia="宋体" w:cs="Calibri"/>
                <w:b w:val="0"/>
                <w:bCs w:val="0"/>
                <w:color w:val="auto"/>
                <w:kern w:val="0"/>
                <w:sz w:val="21"/>
                <w:szCs w:val="21"/>
                <w:highlight w:val="none"/>
                <w:lang w:val="en-US" w:eastAsia="zh-CN"/>
              </w:rPr>
              <w:t>台</w:t>
            </w:r>
          </w:p>
        </w:tc>
      </w:tr>
    </w:tbl>
    <w:p w14:paraId="16B4FB4B">
      <w:pPr>
        <w:pStyle w:val="17"/>
        <w:rPr>
          <w:rFonts w:hint="default"/>
          <w:lang w:val="en-US" w:eastAsia="zh-CN"/>
        </w:rPr>
      </w:pPr>
      <w:r>
        <w:rPr>
          <w:rFonts w:hint="eastAsia" w:ascii="楷体" w:hAnsi="楷体" w:eastAsia="楷体" w:cs="楷体"/>
          <w:b w:val="0"/>
          <w:bCs w:val="0"/>
          <w:szCs w:val="21"/>
          <w:highlight w:val="none"/>
          <w:lang w:val="en-US" w:eastAsia="zh-CN"/>
        </w:rPr>
        <w:t>注：</w:t>
      </w:r>
      <w:r>
        <w:rPr>
          <w:rFonts w:hint="eastAsia" w:ascii="楷体" w:hAnsi="楷体" w:eastAsia="楷体" w:cs="楷体"/>
          <w:b w:val="0"/>
          <w:bCs w:val="0"/>
          <w:highlight w:val="none"/>
          <w:lang w:val="en-US" w:eastAsia="zh-CN"/>
        </w:rPr>
        <w:t>采购人已无偿提供的作业设备，不在此重复要求。</w:t>
      </w:r>
    </w:p>
    <w:p w14:paraId="59EE7461">
      <w:pPr>
        <w:pStyle w:val="4"/>
        <w:bidi w:val="0"/>
        <w:rPr>
          <w:rFonts w:hint="default" w:ascii="宋体" w:hAnsi="宋体" w:eastAsia="宋体" w:cs="宋体"/>
          <w:b/>
          <w:bCs/>
          <w:color w:val="auto"/>
          <w:kern w:val="44"/>
          <w:sz w:val="28"/>
          <w:szCs w:val="28"/>
          <w:highlight w:val="none"/>
          <w:lang w:val="en-US" w:eastAsia="zh-CN" w:bidi="ar-SA"/>
        </w:rPr>
      </w:pPr>
      <w:r>
        <w:rPr>
          <w:rFonts w:hint="eastAsia" w:ascii="宋体" w:hAnsi="宋体" w:eastAsia="宋体" w:cs="宋体"/>
          <w:b/>
          <w:bCs/>
          <w:color w:val="auto"/>
          <w:kern w:val="44"/>
          <w:sz w:val="28"/>
          <w:szCs w:val="28"/>
          <w:highlight w:val="none"/>
          <w:lang w:val="en-US" w:eastAsia="zh-CN" w:bidi="ar-SA"/>
        </w:rPr>
        <w:t>5.</w:t>
      </w:r>
      <w:r>
        <w:rPr>
          <w:rFonts w:hint="default" w:ascii="宋体" w:hAnsi="宋体" w:eastAsia="宋体" w:cs="宋体"/>
          <w:b/>
          <w:bCs/>
          <w:color w:val="auto"/>
          <w:kern w:val="44"/>
          <w:sz w:val="28"/>
          <w:szCs w:val="28"/>
          <w:highlight w:val="none"/>
          <w:lang w:val="en-US" w:eastAsia="zh-CN" w:bidi="ar-SA"/>
        </w:rPr>
        <w:t>物业管理服务人员需求</w:t>
      </w:r>
    </w:p>
    <w:tbl>
      <w:tblPr>
        <w:tblStyle w:val="3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1256"/>
        <w:gridCol w:w="1354"/>
        <w:gridCol w:w="1912"/>
        <w:gridCol w:w="3099"/>
      </w:tblGrid>
      <w:tr w14:paraId="38A5B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0" w:type="dxa"/>
            <w:noWrap w:val="0"/>
            <w:vAlign w:val="center"/>
          </w:tcPr>
          <w:p w14:paraId="1CE18858">
            <w:pPr>
              <w:pageBreakBefore w:val="0"/>
              <w:widowControl/>
              <w:kinsoku/>
              <w:wordWrap/>
              <w:overflowPunct/>
              <w:topLinePunct w:val="0"/>
              <w:bidi w:val="0"/>
              <w:snapToGrid w:val="0"/>
              <w:spacing w:line="300" w:lineRule="auto"/>
              <w:ind w:left="0"/>
              <w:jc w:val="center"/>
              <w:rPr>
                <w:rFonts w:hint="default" w:ascii="Calibri" w:hAnsi="Calibri" w:eastAsia="宋体" w:cs="Calibri"/>
                <w:b/>
                <w:bCs w:val="0"/>
                <w:color w:val="auto"/>
                <w:szCs w:val="21"/>
                <w:highlight w:val="none"/>
                <w:lang w:val="en-US" w:eastAsia="zh-CN"/>
              </w:rPr>
            </w:pPr>
            <w:r>
              <w:rPr>
                <w:rFonts w:hint="default" w:ascii="Calibri" w:hAnsi="Calibri" w:eastAsia="宋体" w:cs="Calibri"/>
                <w:b/>
                <w:bCs w:val="0"/>
                <w:color w:val="auto"/>
                <w:szCs w:val="21"/>
                <w:highlight w:val="none"/>
              </w:rPr>
              <w:t>部门</w:t>
            </w:r>
            <w:r>
              <w:rPr>
                <w:rFonts w:hint="default" w:ascii="Calibri" w:hAnsi="Calibri" w:eastAsia="宋体" w:cs="Calibri"/>
                <w:b/>
                <w:bCs w:val="0"/>
                <w:color w:val="auto"/>
                <w:szCs w:val="21"/>
                <w:highlight w:val="none"/>
                <w:lang w:eastAsia="zh-CN"/>
              </w:rPr>
              <w:t>职能</w:t>
            </w:r>
          </w:p>
        </w:tc>
        <w:tc>
          <w:tcPr>
            <w:tcW w:w="2146" w:type="dxa"/>
            <w:noWrap w:val="0"/>
            <w:vAlign w:val="center"/>
          </w:tcPr>
          <w:p w14:paraId="35D1CD96">
            <w:pPr>
              <w:pageBreakBefore w:val="0"/>
              <w:widowControl/>
              <w:kinsoku/>
              <w:wordWrap/>
              <w:overflowPunct/>
              <w:topLinePunct w:val="0"/>
              <w:bidi w:val="0"/>
              <w:snapToGrid w:val="0"/>
              <w:spacing w:line="300" w:lineRule="auto"/>
              <w:ind w:left="0"/>
              <w:jc w:val="center"/>
              <w:rPr>
                <w:rFonts w:hint="default" w:ascii="Calibri" w:hAnsi="Calibri" w:eastAsia="宋体" w:cs="Calibri"/>
                <w:b/>
                <w:bCs w:val="0"/>
                <w:color w:val="auto"/>
                <w:szCs w:val="21"/>
                <w:highlight w:val="none"/>
              </w:rPr>
            </w:pPr>
            <w:r>
              <w:rPr>
                <w:rFonts w:hint="default" w:ascii="Calibri" w:hAnsi="Calibri" w:eastAsia="宋体" w:cs="Calibri"/>
                <w:b/>
                <w:bCs w:val="0"/>
                <w:color w:val="auto"/>
                <w:szCs w:val="21"/>
                <w:highlight w:val="none"/>
              </w:rPr>
              <w:t>岗位</w:t>
            </w:r>
          </w:p>
        </w:tc>
        <w:tc>
          <w:tcPr>
            <w:tcW w:w="2313" w:type="dxa"/>
            <w:noWrap w:val="0"/>
            <w:vAlign w:val="center"/>
          </w:tcPr>
          <w:p w14:paraId="16F227CA">
            <w:pPr>
              <w:pageBreakBefore w:val="0"/>
              <w:widowControl/>
              <w:kinsoku/>
              <w:wordWrap/>
              <w:overflowPunct/>
              <w:topLinePunct w:val="0"/>
              <w:bidi w:val="0"/>
              <w:snapToGrid w:val="0"/>
              <w:spacing w:line="300" w:lineRule="auto"/>
              <w:ind w:left="0"/>
              <w:jc w:val="center"/>
              <w:rPr>
                <w:rFonts w:hint="default" w:ascii="Calibri" w:hAnsi="Calibri" w:eastAsia="宋体" w:cs="Calibri"/>
                <w:b/>
                <w:bCs w:val="0"/>
                <w:color w:val="auto"/>
                <w:szCs w:val="21"/>
                <w:highlight w:val="none"/>
              </w:rPr>
            </w:pPr>
            <w:r>
              <w:rPr>
                <w:rFonts w:hint="default" w:ascii="Calibri" w:hAnsi="Calibri" w:eastAsia="宋体" w:cs="Calibri"/>
                <w:b/>
                <w:bCs w:val="0"/>
                <w:color w:val="auto"/>
                <w:szCs w:val="21"/>
                <w:highlight w:val="none"/>
              </w:rPr>
              <w:t>同时在岗人数</w:t>
            </w:r>
          </w:p>
        </w:tc>
        <w:tc>
          <w:tcPr>
            <w:tcW w:w="3266" w:type="dxa"/>
            <w:noWrap w:val="0"/>
            <w:vAlign w:val="center"/>
          </w:tcPr>
          <w:p w14:paraId="003D371A">
            <w:pPr>
              <w:pageBreakBefore w:val="0"/>
              <w:widowControl/>
              <w:kinsoku/>
              <w:wordWrap/>
              <w:overflowPunct/>
              <w:topLinePunct w:val="0"/>
              <w:bidi w:val="0"/>
              <w:snapToGrid w:val="0"/>
              <w:spacing w:line="300" w:lineRule="auto"/>
              <w:ind w:left="0"/>
              <w:jc w:val="center"/>
              <w:rPr>
                <w:rFonts w:hint="default" w:ascii="Calibri" w:hAnsi="Calibri" w:eastAsia="宋体" w:cs="Calibri"/>
                <w:b/>
                <w:bCs w:val="0"/>
                <w:color w:val="auto"/>
                <w:szCs w:val="21"/>
                <w:highlight w:val="none"/>
              </w:rPr>
            </w:pPr>
            <w:r>
              <w:rPr>
                <w:rFonts w:hint="default" w:ascii="Calibri" w:hAnsi="Calibri" w:eastAsia="宋体" w:cs="Calibri"/>
                <w:b/>
                <w:bCs w:val="0"/>
                <w:color w:val="auto"/>
                <w:szCs w:val="21"/>
                <w:highlight w:val="none"/>
              </w:rPr>
              <w:t>岗位所需总人数</w:t>
            </w:r>
          </w:p>
        </w:tc>
        <w:tc>
          <w:tcPr>
            <w:tcW w:w="5295" w:type="dxa"/>
            <w:noWrap w:val="0"/>
            <w:vAlign w:val="center"/>
          </w:tcPr>
          <w:p w14:paraId="3D7CA0D6">
            <w:pPr>
              <w:pageBreakBefore w:val="0"/>
              <w:widowControl/>
              <w:kinsoku/>
              <w:wordWrap/>
              <w:overflowPunct/>
              <w:topLinePunct w:val="0"/>
              <w:bidi w:val="0"/>
              <w:snapToGrid w:val="0"/>
              <w:spacing w:line="300" w:lineRule="auto"/>
              <w:ind w:left="0"/>
              <w:jc w:val="center"/>
              <w:rPr>
                <w:rFonts w:hint="default" w:ascii="Calibri" w:hAnsi="Calibri" w:eastAsia="宋体" w:cs="Calibri"/>
                <w:b/>
                <w:bCs w:val="0"/>
                <w:color w:val="auto"/>
                <w:szCs w:val="21"/>
                <w:highlight w:val="none"/>
              </w:rPr>
            </w:pPr>
            <w:r>
              <w:rPr>
                <w:rFonts w:hint="default" w:ascii="Calibri" w:hAnsi="Calibri" w:eastAsia="宋体" w:cs="Calibri"/>
                <w:b/>
                <w:bCs w:val="0"/>
                <w:color w:val="auto"/>
                <w:szCs w:val="21"/>
                <w:highlight w:val="none"/>
              </w:rPr>
              <w:t>备注（岗位所需服务时长或时段、需具备的上岗资格证</w:t>
            </w:r>
            <w:r>
              <w:rPr>
                <w:rFonts w:hint="eastAsia" w:ascii="Calibri" w:hAnsi="Calibri" w:cs="Calibri"/>
                <w:b/>
                <w:bCs w:val="0"/>
                <w:color w:val="auto"/>
                <w:szCs w:val="21"/>
                <w:highlight w:val="none"/>
                <w:lang w:eastAsia="zh-CN"/>
              </w:rPr>
              <w:t>、人员学历、工作经验</w:t>
            </w:r>
            <w:r>
              <w:rPr>
                <w:rFonts w:hint="default" w:ascii="Calibri" w:hAnsi="Calibri" w:eastAsia="宋体" w:cs="Calibri"/>
                <w:b/>
                <w:bCs w:val="0"/>
                <w:color w:val="auto"/>
                <w:szCs w:val="21"/>
                <w:highlight w:val="none"/>
              </w:rPr>
              <w:t>等</w:t>
            </w:r>
            <w:r>
              <w:rPr>
                <w:rFonts w:hint="eastAsia" w:ascii="Calibri" w:hAnsi="Calibri" w:cs="Calibri"/>
                <w:b/>
                <w:bCs w:val="0"/>
                <w:color w:val="auto"/>
                <w:szCs w:val="21"/>
                <w:highlight w:val="none"/>
                <w:lang w:eastAsia="zh-CN"/>
              </w:rPr>
              <w:t>要求</w:t>
            </w:r>
            <w:r>
              <w:rPr>
                <w:rFonts w:hint="default" w:ascii="Calibri" w:hAnsi="Calibri" w:eastAsia="宋体" w:cs="Calibri"/>
                <w:b/>
                <w:bCs w:val="0"/>
                <w:color w:val="auto"/>
                <w:szCs w:val="21"/>
                <w:highlight w:val="none"/>
              </w:rPr>
              <w:t>）</w:t>
            </w:r>
          </w:p>
        </w:tc>
      </w:tr>
      <w:tr w14:paraId="629AE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0" w:type="dxa"/>
            <w:noWrap w:val="0"/>
            <w:vAlign w:val="center"/>
          </w:tcPr>
          <w:p w14:paraId="39A858D1">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r>
              <w:rPr>
                <w:rFonts w:hint="default" w:ascii="Calibri" w:hAnsi="Calibri" w:eastAsia="宋体" w:cs="Calibri"/>
                <w:bCs/>
                <w:color w:val="auto"/>
                <w:szCs w:val="21"/>
                <w:highlight w:val="none"/>
              </w:rPr>
              <w:t>服务中心</w:t>
            </w:r>
          </w:p>
        </w:tc>
        <w:tc>
          <w:tcPr>
            <w:tcW w:w="2146" w:type="dxa"/>
            <w:noWrap w:val="0"/>
            <w:vAlign w:val="center"/>
          </w:tcPr>
          <w:p w14:paraId="5518AFA2">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r>
              <w:rPr>
                <w:rFonts w:hint="default" w:ascii="Calibri" w:hAnsi="Calibri" w:eastAsia="宋体" w:cs="Calibri"/>
                <w:bCs/>
                <w:color w:val="auto"/>
                <w:szCs w:val="21"/>
                <w:highlight w:val="none"/>
              </w:rPr>
              <w:t>项目经理</w:t>
            </w:r>
          </w:p>
        </w:tc>
        <w:tc>
          <w:tcPr>
            <w:tcW w:w="2313" w:type="dxa"/>
            <w:noWrap w:val="0"/>
            <w:vAlign w:val="center"/>
          </w:tcPr>
          <w:p w14:paraId="11BF5F45">
            <w:pPr>
              <w:pageBreakBefore w:val="0"/>
              <w:widowControl/>
              <w:kinsoku/>
              <w:wordWrap/>
              <w:overflowPunct/>
              <w:topLinePunct w:val="0"/>
              <w:bidi w:val="0"/>
              <w:snapToGrid w:val="0"/>
              <w:spacing w:line="300" w:lineRule="auto"/>
              <w:ind w:left="0"/>
              <w:jc w:val="center"/>
              <w:rPr>
                <w:rFonts w:hint="default" w:ascii="Calibri" w:hAnsi="Calibri" w:eastAsia="宋体" w:cs="Calibri"/>
                <w:bCs/>
                <w:color w:val="auto"/>
                <w:szCs w:val="21"/>
                <w:highlight w:val="none"/>
              </w:rPr>
            </w:pPr>
            <w:r>
              <w:rPr>
                <w:rFonts w:hint="default" w:ascii="Calibri" w:hAnsi="Calibri" w:eastAsia="宋体" w:cs="Calibri"/>
                <w:bCs/>
                <w:color w:val="auto"/>
                <w:szCs w:val="21"/>
                <w:highlight w:val="none"/>
              </w:rPr>
              <w:t>1</w:t>
            </w:r>
          </w:p>
        </w:tc>
        <w:tc>
          <w:tcPr>
            <w:tcW w:w="3266" w:type="dxa"/>
            <w:noWrap w:val="0"/>
            <w:vAlign w:val="center"/>
          </w:tcPr>
          <w:p w14:paraId="52EC2B80">
            <w:pPr>
              <w:pageBreakBefore w:val="0"/>
              <w:widowControl/>
              <w:kinsoku/>
              <w:wordWrap/>
              <w:overflowPunct/>
              <w:topLinePunct w:val="0"/>
              <w:bidi w:val="0"/>
              <w:snapToGrid w:val="0"/>
              <w:spacing w:line="300" w:lineRule="auto"/>
              <w:ind w:left="0"/>
              <w:jc w:val="center"/>
              <w:rPr>
                <w:rFonts w:hint="default" w:ascii="Calibri" w:hAnsi="Calibri" w:eastAsia="宋体" w:cs="Calibri"/>
                <w:bCs/>
                <w:color w:val="auto"/>
                <w:szCs w:val="21"/>
                <w:highlight w:val="none"/>
              </w:rPr>
            </w:pPr>
            <w:r>
              <w:rPr>
                <w:rFonts w:hint="default" w:ascii="Calibri" w:hAnsi="Calibri" w:eastAsia="宋体" w:cs="Calibri"/>
                <w:bCs/>
                <w:color w:val="auto"/>
                <w:szCs w:val="21"/>
                <w:highlight w:val="none"/>
              </w:rPr>
              <w:t>1</w:t>
            </w:r>
          </w:p>
        </w:tc>
        <w:tc>
          <w:tcPr>
            <w:tcW w:w="5295" w:type="dxa"/>
            <w:noWrap w:val="0"/>
            <w:vAlign w:val="center"/>
          </w:tcPr>
          <w:p w14:paraId="5EE49512">
            <w:pPr>
              <w:pageBreakBefore w:val="0"/>
              <w:widowControl/>
              <w:kinsoku/>
              <w:wordWrap/>
              <w:overflowPunct/>
              <w:topLinePunct w:val="0"/>
              <w:bidi w:val="0"/>
              <w:snapToGrid w:val="0"/>
              <w:spacing w:line="300" w:lineRule="auto"/>
              <w:jc w:val="both"/>
              <w:rPr>
                <w:rFonts w:hint="default" w:ascii="Calibri" w:hAnsi="Calibri" w:eastAsia="宋体" w:cs="Calibri"/>
                <w:bCs/>
                <w:color w:val="auto"/>
                <w:szCs w:val="21"/>
                <w:highlight w:val="none"/>
              </w:rPr>
            </w:pPr>
            <w:r>
              <w:rPr>
                <w:rFonts w:hint="default" w:ascii="Calibri" w:hAnsi="Calibri" w:eastAsia="宋体" w:cs="Calibri"/>
                <w:bCs/>
                <w:color w:val="auto"/>
                <w:szCs w:val="21"/>
                <w:highlight w:val="none"/>
                <w:lang w:val="en-US" w:eastAsia="zh-CN"/>
              </w:rPr>
              <w:t>年龄30-</w:t>
            </w:r>
            <w:r>
              <w:rPr>
                <w:rFonts w:hint="eastAsia" w:cs="Calibri"/>
                <w:bCs/>
                <w:color w:val="auto"/>
                <w:szCs w:val="21"/>
                <w:highlight w:val="none"/>
                <w:lang w:val="en-US" w:eastAsia="zh-CN"/>
              </w:rPr>
              <w:t>60</w:t>
            </w:r>
            <w:r>
              <w:rPr>
                <w:rFonts w:hint="default" w:ascii="Calibri" w:hAnsi="Calibri" w:eastAsia="宋体" w:cs="Calibri"/>
                <w:bCs/>
                <w:color w:val="auto"/>
                <w:szCs w:val="21"/>
                <w:highlight w:val="none"/>
                <w:lang w:val="en-US" w:eastAsia="zh-CN"/>
              </w:rPr>
              <w:t xml:space="preserve">周岁(以身份证件为准)汉语流利、服务时长 </w:t>
            </w:r>
            <w:r>
              <w:rPr>
                <w:rFonts w:hint="eastAsia" w:cs="Calibri"/>
                <w:bCs/>
                <w:color w:val="auto"/>
                <w:szCs w:val="21"/>
                <w:highlight w:val="none"/>
                <w:lang w:val="en-US" w:eastAsia="zh-CN"/>
              </w:rPr>
              <w:t>8</w:t>
            </w:r>
            <w:r>
              <w:rPr>
                <w:rFonts w:hint="default" w:ascii="Calibri" w:hAnsi="Calibri" w:eastAsia="宋体" w:cs="Calibri"/>
                <w:bCs/>
                <w:color w:val="auto"/>
                <w:szCs w:val="21"/>
                <w:highlight w:val="none"/>
                <w:lang w:val="en-US" w:eastAsia="zh-CN"/>
              </w:rPr>
              <w:t>小时;</w:t>
            </w:r>
            <w:r>
              <w:rPr>
                <w:rFonts w:hint="eastAsia" w:ascii="Calibri" w:hAnsi="Calibri" w:cs="Calibri"/>
                <w:bCs/>
                <w:color w:val="auto"/>
                <w:szCs w:val="21"/>
                <w:highlight w:val="none"/>
                <w:lang w:val="en-US" w:eastAsia="zh-CN"/>
              </w:rPr>
              <w:t>身体健康(提供健康证，以供应商承诺为准);无任何违法乱纪行为记录(提供公安部门出具的无犯罪记录证明，以供应商承诺为准）</w:t>
            </w:r>
            <w:r>
              <w:rPr>
                <w:rFonts w:hint="default" w:ascii="Calibri" w:hAnsi="Calibri" w:eastAsia="宋体" w:cs="Calibri"/>
                <w:bCs/>
                <w:color w:val="auto"/>
                <w:szCs w:val="21"/>
                <w:highlight w:val="none"/>
                <w:lang w:val="en-US" w:eastAsia="zh-CN"/>
              </w:rPr>
              <w:t>)</w:t>
            </w:r>
            <w:r>
              <w:rPr>
                <w:rFonts w:hint="eastAsia" w:cs="Calibri"/>
                <w:bCs/>
                <w:color w:val="auto"/>
                <w:szCs w:val="21"/>
                <w:highlight w:val="none"/>
                <w:lang w:val="en-US" w:eastAsia="zh-CN"/>
              </w:rPr>
              <w:t>。</w:t>
            </w:r>
          </w:p>
        </w:tc>
      </w:tr>
      <w:tr w14:paraId="00E35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0" w:type="dxa"/>
            <w:noWrap w:val="0"/>
            <w:vAlign w:val="center"/>
          </w:tcPr>
          <w:p w14:paraId="4324BFAD">
            <w:pPr>
              <w:pageBreakBefore w:val="0"/>
              <w:widowControl/>
              <w:kinsoku/>
              <w:wordWrap/>
              <w:overflowPunct/>
              <w:topLinePunct w:val="0"/>
              <w:bidi w:val="0"/>
              <w:snapToGrid w:val="0"/>
              <w:spacing w:line="300" w:lineRule="auto"/>
              <w:ind w:left="0" w:leftChars="0"/>
              <w:jc w:val="both"/>
              <w:rPr>
                <w:rFonts w:hint="default" w:ascii="Calibri" w:hAnsi="Calibri" w:eastAsia="宋体" w:cs="Calibri"/>
                <w:bCs/>
                <w:color w:val="auto"/>
                <w:szCs w:val="21"/>
                <w:highlight w:val="none"/>
              </w:rPr>
            </w:pPr>
            <w:r>
              <w:rPr>
                <w:rFonts w:hint="eastAsia" w:cs="Calibri"/>
                <w:bCs/>
                <w:color w:val="auto"/>
                <w:szCs w:val="21"/>
                <w:highlight w:val="none"/>
                <w:lang w:val="en-US" w:eastAsia="zh-CN"/>
              </w:rPr>
              <w:t>公共设施设备维护服务</w:t>
            </w:r>
          </w:p>
        </w:tc>
        <w:tc>
          <w:tcPr>
            <w:tcW w:w="2146" w:type="dxa"/>
            <w:noWrap w:val="0"/>
            <w:vAlign w:val="center"/>
          </w:tcPr>
          <w:p w14:paraId="31B117DC">
            <w:pPr>
              <w:pageBreakBefore w:val="0"/>
              <w:widowControl/>
              <w:kinsoku/>
              <w:wordWrap/>
              <w:overflowPunct/>
              <w:topLinePunct w:val="0"/>
              <w:bidi w:val="0"/>
              <w:snapToGrid w:val="0"/>
              <w:spacing w:line="300" w:lineRule="auto"/>
              <w:ind w:left="0" w:leftChars="0"/>
              <w:jc w:val="both"/>
              <w:rPr>
                <w:rFonts w:hint="default" w:ascii="Calibri" w:hAnsi="Calibri" w:eastAsia="宋体" w:cs="Calibri"/>
                <w:bCs/>
                <w:color w:val="auto"/>
                <w:szCs w:val="21"/>
                <w:highlight w:val="none"/>
              </w:rPr>
            </w:pPr>
            <w:r>
              <w:rPr>
                <w:rFonts w:hint="eastAsia" w:cs="Calibri"/>
                <w:bCs/>
                <w:color w:val="auto"/>
                <w:szCs w:val="21"/>
                <w:highlight w:val="none"/>
                <w:lang w:val="en-US" w:eastAsia="zh-CN"/>
              </w:rPr>
              <w:t>水电工</w:t>
            </w:r>
          </w:p>
        </w:tc>
        <w:tc>
          <w:tcPr>
            <w:tcW w:w="2313" w:type="dxa"/>
            <w:noWrap w:val="0"/>
            <w:vAlign w:val="center"/>
          </w:tcPr>
          <w:p w14:paraId="2B2E06F7">
            <w:pPr>
              <w:pageBreakBefore w:val="0"/>
              <w:widowControl/>
              <w:kinsoku/>
              <w:wordWrap/>
              <w:overflowPunct/>
              <w:topLinePunct w:val="0"/>
              <w:bidi w:val="0"/>
              <w:snapToGrid w:val="0"/>
              <w:spacing w:line="300" w:lineRule="auto"/>
              <w:ind w:left="0" w:leftChars="0"/>
              <w:jc w:val="center"/>
              <w:rPr>
                <w:rFonts w:hint="default" w:ascii="Calibri" w:hAnsi="Calibri" w:eastAsia="宋体" w:cs="Calibri"/>
                <w:bCs/>
                <w:color w:val="auto"/>
                <w:szCs w:val="21"/>
                <w:highlight w:val="none"/>
              </w:rPr>
            </w:pPr>
            <w:r>
              <w:rPr>
                <w:rFonts w:hint="eastAsia" w:cs="Calibri"/>
                <w:bCs/>
                <w:color w:val="auto"/>
                <w:szCs w:val="21"/>
                <w:highlight w:val="none"/>
                <w:lang w:val="en-US" w:eastAsia="zh-CN"/>
              </w:rPr>
              <w:t>1</w:t>
            </w:r>
          </w:p>
        </w:tc>
        <w:tc>
          <w:tcPr>
            <w:tcW w:w="3266" w:type="dxa"/>
            <w:noWrap w:val="0"/>
            <w:vAlign w:val="center"/>
          </w:tcPr>
          <w:p w14:paraId="15A42EC4">
            <w:pPr>
              <w:pageBreakBefore w:val="0"/>
              <w:widowControl/>
              <w:kinsoku/>
              <w:wordWrap/>
              <w:overflowPunct/>
              <w:topLinePunct w:val="0"/>
              <w:bidi w:val="0"/>
              <w:snapToGrid w:val="0"/>
              <w:spacing w:line="300" w:lineRule="auto"/>
              <w:ind w:left="0" w:leftChars="0"/>
              <w:jc w:val="center"/>
              <w:rPr>
                <w:rFonts w:hint="default" w:ascii="Calibri" w:hAnsi="Calibri" w:eastAsia="宋体" w:cs="Calibri"/>
                <w:bCs/>
                <w:color w:val="auto"/>
                <w:szCs w:val="21"/>
                <w:highlight w:val="none"/>
              </w:rPr>
            </w:pPr>
            <w:r>
              <w:rPr>
                <w:rFonts w:hint="eastAsia" w:cs="Calibri"/>
                <w:bCs/>
                <w:color w:val="auto"/>
                <w:szCs w:val="21"/>
                <w:highlight w:val="none"/>
                <w:lang w:val="en-US" w:eastAsia="zh-CN"/>
              </w:rPr>
              <w:t>1</w:t>
            </w:r>
          </w:p>
        </w:tc>
        <w:tc>
          <w:tcPr>
            <w:tcW w:w="5295" w:type="dxa"/>
            <w:noWrap w:val="0"/>
            <w:vAlign w:val="center"/>
          </w:tcPr>
          <w:p w14:paraId="793D00C2">
            <w:pPr>
              <w:pageBreakBefore w:val="0"/>
              <w:widowControl/>
              <w:kinsoku/>
              <w:wordWrap/>
              <w:overflowPunct/>
              <w:topLinePunct w:val="0"/>
              <w:bidi w:val="0"/>
              <w:snapToGrid w:val="0"/>
              <w:spacing w:line="300" w:lineRule="auto"/>
              <w:ind w:left="0" w:leftChars="0"/>
              <w:jc w:val="both"/>
              <w:rPr>
                <w:rFonts w:hint="default" w:ascii="Calibri" w:hAnsi="Calibri" w:eastAsia="宋体" w:cs="Calibri"/>
                <w:bCs/>
                <w:color w:val="auto"/>
                <w:szCs w:val="21"/>
                <w:highlight w:val="none"/>
                <w:lang w:val="en-US" w:eastAsia="zh-CN"/>
              </w:rPr>
            </w:pPr>
            <w:r>
              <w:rPr>
                <w:rFonts w:hint="default" w:ascii="Calibri" w:hAnsi="Calibri" w:eastAsia="宋体" w:cs="Calibri"/>
                <w:bCs/>
                <w:color w:val="auto"/>
                <w:szCs w:val="21"/>
                <w:highlight w:val="none"/>
                <w:lang w:val="en-US" w:eastAsia="zh-CN"/>
              </w:rPr>
              <w:t>年龄30-55周岁、男性(以身份证件为准)汉语流利、服务时长 24小时(以供应商承诺为准);有相关岗位资格证件;</w:t>
            </w:r>
            <w:r>
              <w:rPr>
                <w:rFonts w:hint="eastAsia" w:ascii="Calibri" w:hAnsi="Calibri" w:cs="Calibri"/>
                <w:bCs/>
                <w:color w:val="auto"/>
                <w:szCs w:val="21"/>
                <w:highlight w:val="none"/>
                <w:lang w:val="en-US" w:eastAsia="zh-CN"/>
              </w:rPr>
              <w:t>身体健康(提供健康证，以供应商承诺为准);无任何违法乱纪行为记录(提供公安部门出具的无犯罪记录证明，以供应商承诺为准）</w:t>
            </w:r>
            <w:r>
              <w:rPr>
                <w:rFonts w:hint="default" w:ascii="Calibri" w:hAnsi="Calibri" w:eastAsia="宋体" w:cs="Calibri"/>
                <w:bCs/>
                <w:color w:val="auto"/>
                <w:szCs w:val="21"/>
                <w:highlight w:val="none"/>
                <w:lang w:val="en-US" w:eastAsia="zh-CN"/>
              </w:rPr>
              <w:t>)</w:t>
            </w:r>
            <w:r>
              <w:rPr>
                <w:rFonts w:hint="eastAsia" w:cs="Calibri"/>
                <w:bCs/>
                <w:color w:val="auto"/>
                <w:szCs w:val="21"/>
                <w:highlight w:val="none"/>
                <w:lang w:val="en-US" w:eastAsia="zh-CN"/>
              </w:rPr>
              <w:t>。</w:t>
            </w:r>
          </w:p>
        </w:tc>
      </w:tr>
      <w:tr w14:paraId="20571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0" w:type="dxa"/>
            <w:noWrap w:val="0"/>
            <w:vAlign w:val="center"/>
          </w:tcPr>
          <w:p w14:paraId="3AA12F8F">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lang w:val="en-US" w:eastAsia="zh-CN"/>
              </w:rPr>
            </w:pPr>
            <w:r>
              <w:rPr>
                <w:rFonts w:hint="eastAsia" w:cs="Calibri"/>
                <w:bCs/>
                <w:color w:val="auto"/>
                <w:szCs w:val="21"/>
                <w:highlight w:val="none"/>
                <w:lang w:val="en-US" w:eastAsia="zh-CN"/>
              </w:rPr>
              <w:t>保洁服务</w:t>
            </w:r>
          </w:p>
        </w:tc>
        <w:tc>
          <w:tcPr>
            <w:tcW w:w="2146" w:type="dxa"/>
            <w:noWrap w:val="0"/>
            <w:vAlign w:val="center"/>
          </w:tcPr>
          <w:p w14:paraId="42C68250">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r>
              <w:rPr>
                <w:rFonts w:hint="default" w:ascii="Calibri" w:hAnsi="Calibri" w:eastAsia="宋体" w:cs="Calibri"/>
                <w:bCs/>
                <w:color w:val="auto"/>
                <w:szCs w:val="21"/>
                <w:highlight w:val="none"/>
              </w:rPr>
              <w:t>保洁员</w:t>
            </w:r>
          </w:p>
        </w:tc>
        <w:tc>
          <w:tcPr>
            <w:tcW w:w="2313" w:type="dxa"/>
            <w:noWrap w:val="0"/>
            <w:vAlign w:val="center"/>
          </w:tcPr>
          <w:p w14:paraId="0A0B406E">
            <w:pPr>
              <w:pageBreakBefore w:val="0"/>
              <w:widowControl/>
              <w:kinsoku/>
              <w:wordWrap/>
              <w:overflowPunct/>
              <w:topLinePunct w:val="0"/>
              <w:bidi w:val="0"/>
              <w:snapToGrid w:val="0"/>
              <w:spacing w:line="300" w:lineRule="auto"/>
              <w:ind w:left="0"/>
              <w:jc w:val="center"/>
              <w:rPr>
                <w:rFonts w:hint="eastAsia" w:ascii="Calibri" w:hAnsi="Calibri" w:eastAsia="宋体" w:cs="Calibri"/>
                <w:bCs/>
                <w:color w:val="auto"/>
                <w:szCs w:val="21"/>
                <w:highlight w:val="none"/>
                <w:lang w:val="en-US" w:eastAsia="zh-CN"/>
              </w:rPr>
            </w:pPr>
            <w:r>
              <w:rPr>
                <w:rFonts w:hint="eastAsia" w:cs="Calibri"/>
                <w:bCs/>
                <w:color w:val="auto"/>
                <w:szCs w:val="21"/>
                <w:highlight w:val="none"/>
                <w:lang w:val="en-US" w:eastAsia="zh-CN"/>
              </w:rPr>
              <w:t>7</w:t>
            </w:r>
          </w:p>
        </w:tc>
        <w:tc>
          <w:tcPr>
            <w:tcW w:w="3266" w:type="dxa"/>
            <w:noWrap w:val="0"/>
            <w:vAlign w:val="center"/>
          </w:tcPr>
          <w:p w14:paraId="640ED7DD">
            <w:pPr>
              <w:pageBreakBefore w:val="0"/>
              <w:widowControl/>
              <w:kinsoku/>
              <w:wordWrap/>
              <w:overflowPunct/>
              <w:topLinePunct w:val="0"/>
              <w:bidi w:val="0"/>
              <w:snapToGrid w:val="0"/>
              <w:spacing w:line="300" w:lineRule="auto"/>
              <w:ind w:left="0"/>
              <w:jc w:val="center"/>
              <w:rPr>
                <w:rFonts w:hint="eastAsia" w:ascii="Calibri" w:hAnsi="Calibri" w:eastAsia="宋体" w:cs="Calibri"/>
                <w:bCs/>
                <w:color w:val="auto"/>
                <w:szCs w:val="21"/>
                <w:highlight w:val="none"/>
                <w:lang w:val="en-US" w:eastAsia="zh-CN"/>
              </w:rPr>
            </w:pPr>
            <w:r>
              <w:rPr>
                <w:rFonts w:hint="eastAsia" w:cs="Calibri"/>
                <w:bCs/>
                <w:color w:val="auto"/>
                <w:szCs w:val="21"/>
                <w:highlight w:val="none"/>
                <w:lang w:val="en-US" w:eastAsia="zh-CN"/>
              </w:rPr>
              <w:t>7</w:t>
            </w:r>
          </w:p>
        </w:tc>
        <w:tc>
          <w:tcPr>
            <w:tcW w:w="5295" w:type="dxa"/>
            <w:noWrap w:val="0"/>
            <w:vAlign w:val="center"/>
          </w:tcPr>
          <w:p w14:paraId="7BE71F54">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lang w:val="en-US" w:eastAsia="zh-CN"/>
              </w:rPr>
            </w:pPr>
            <w:r>
              <w:rPr>
                <w:rFonts w:hint="default" w:ascii="Calibri" w:hAnsi="Calibri" w:eastAsia="宋体" w:cs="Calibri"/>
                <w:bCs/>
                <w:color w:val="auto"/>
                <w:szCs w:val="21"/>
                <w:highlight w:val="none"/>
                <w:lang w:val="en-US" w:eastAsia="zh-CN"/>
              </w:rPr>
              <w:t>女性、年龄45岁以下（以身份证件为准）：</w:t>
            </w:r>
          </w:p>
          <w:p w14:paraId="58B80E04">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lang w:val="en-US" w:eastAsia="zh-CN"/>
              </w:rPr>
            </w:pPr>
            <w:r>
              <w:rPr>
                <w:rFonts w:hint="eastAsia" w:ascii="Calibri" w:hAnsi="Calibri" w:cs="Calibri"/>
                <w:bCs/>
                <w:color w:val="auto"/>
                <w:szCs w:val="21"/>
                <w:highlight w:val="none"/>
                <w:lang w:val="en-US" w:eastAsia="zh-CN"/>
              </w:rPr>
              <w:t>身体健康(提供健康证，以供应商承诺为准);无任何违法乱纪行为记录(提供公安部门出具的无犯罪记录证明，以供应商承诺为准）</w:t>
            </w:r>
            <w:r>
              <w:rPr>
                <w:rFonts w:hint="default" w:ascii="Calibri" w:hAnsi="Calibri" w:eastAsia="宋体" w:cs="Calibri"/>
                <w:bCs/>
                <w:color w:val="auto"/>
                <w:szCs w:val="21"/>
                <w:highlight w:val="none"/>
                <w:lang w:val="en-US" w:eastAsia="zh-CN"/>
              </w:rPr>
              <w:t>。</w:t>
            </w:r>
          </w:p>
        </w:tc>
      </w:tr>
      <w:tr w14:paraId="3C641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0" w:type="dxa"/>
            <w:noWrap w:val="0"/>
            <w:vAlign w:val="center"/>
          </w:tcPr>
          <w:p w14:paraId="0B52EBC4">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r>
              <w:rPr>
                <w:rFonts w:hint="eastAsia" w:cs="Calibri"/>
                <w:bCs/>
                <w:color w:val="auto"/>
                <w:szCs w:val="21"/>
                <w:highlight w:val="none"/>
                <w:lang w:val="en-US" w:eastAsia="zh-CN"/>
              </w:rPr>
              <w:t>绿化服务</w:t>
            </w:r>
          </w:p>
        </w:tc>
        <w:tc>
          <w:tcPr>
            <w:tcW w:w="2146" w:type="dxa"/>
            <w:noWrap w:val="0"/>
            <w:vAlign w:val="center"/>
          </w:tcPr>
          <w:p w14:paraId="1ABFDA73">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r>
              <w:rPr>
                <w:rFonts w:hint="default" w:ascii="Calibri" w:hAnsi="Calibri" w:eastAsia="宋体" w:cs="Calibri"/>
                <w:bCs/>
                <w:color w:val="auto"/>
                <w:szCs w:val="21"/>
                <w:highlight w:val="none"/>
              </w:rPr>
              <w:t>绿化工</w:t>
            </w:r>
          </w:p>
        </w:tc>
        <w:tc>
          <w:tcPr>
            <w:tcW w:w="2313" w:type="dxa"/>
            <w:noWrap w:val="0"/>
            <w:vAlign w:val="center"/>
          </w:tcPr>
          <w:p w14:paraId="1D75526B">
            <w:pPr>
              <w:pageBreakBefore w:val="0"/>
              <w:widowControl/>
              <w:kinsoku/>
              <w:wordWrap/>
              <w:overflowPunct/>
              <w:topLinePunct w:val="0"/>
              <w:bidi w:val="0"/>
              <w:snapToGrid w:val="0"/>
              <w:spacing w:line="300" w:lineRule="auto"/>
              <w:ind w:left="0"/>
              <w:jc w:val="center"/>
              <w:rPr>
                <w:rFonts w:hint="eastAsia" w:ascii="Calibri" w:hAnsi="Calibri" w:eastAsia="宋体" w:cs="Calibri"/>
                <w:bCs/>
                <w:color w:val="auto"/>
                <w:szCs w:val="21"/>
                <w:highlight w:val="none"/>
                <w:lang w:val="en-US" w:eastAsia="zh-CN"/>
              </w:rPr>
            </w:pPr>
            <w:r>
              <w:rPr>
                <w:rFonts w:hint="eastAsia" w:cs="Calibri"/>
                <w:bCs/>
                <w:color w:val="auto"/>
                <w:szCs w:val="21"/>
                <w:highlight w:val="none"/>
                <w:lang w:val="en-US" w:eastAsia="zh-CN"/>
              </w:rPr>
              <w:t>2</w:t>
            </w:r>
          </w:p>
        </w:tc>
        <w:tc>
          <w:tcPr>
            <w:tcW w:w="3266" w:type="dxa"/>
            <w:noWrap w:val="0"/>
            <w:vAlign w:val="center"/>
          </w:tcPr>
          <w:p w14:paraId="50908942">
            <w:pPr>
              <w:pageBreakBefore w:val="0"/>
              <w:widowControl/>
              <w:kinsoku/>
              <w:wordWrap/>
              <w:overflowPunct/>
              <w:topLinePunct w:val="0"/>
              <w:bidi w:val="0"/>
              <w:snapToGrid w:val="0"/>
              <w:spacing w:line="300" w:lineRule="auto"/>
              <w:ind w:left="0"/>
              <w:jc w:val="center"/>
              <w:rPr>
                <w:rFonts w:hint="eastAsia" w:ascii="Calibri" w:hAnsi="Calibri" w:eastAsia="宋体" w:cs="Calibri"/>
                <w:bCs/>
                <w:color w:val="auto"/>
                <w:szCs w:val="21"/>
                <w:highlight w:val="none"/>
                <w:lang w:val="en-US" w:eastAsia="zh-CN"/>
              </w:rPr>
            </w:pPr>
            <w:r>
              <w:rPr>
                <w:rFonts w:hint="eastAsia" w:cs="Calibri"/>
                <w:bCs/>
                <w:color w:val="auto"/>
                <w:szCs w:val="21"/>
                <w:highlight w:val="none"/>
                <w:lang w:val="en-US" w:eastAsia="zh-CN"/>
              </w:rPr>
              <w:t>2</w:t>
            </w:r>
          </w:p>
        </w:tc>
        <w:tc>
          <w:tcPr>
            <w:tcW w:w="5295" w:type="dxa"/>
            <w:noWrap w:val="0"/>
            <w:vAlign w:val="center"/>
          </w:tcPr>
          <w:p w14:paraId="40D725BB">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r>
              <w:rPr>
                <w:rFonts w:hint="default" w:ascii="Calibri" w:hAnsi="Calibri" w:eastAsia="宋体" w:cs="Calibri"/>
                <w:bCs/>
                <w:color w:val="auto"/>
                <w:szCs w:val="21"/>
                <w:highlight w:val="none"/>
              </w:rPr>
              <w:t xml:space="preserve">30-55 </w:t>
            </w:r>
            <w:r>
              <w:rPr>
                <w:rFonts w:hint="eastAsia" w:cs="Calibri"/>
                <w:bCs/>
                <w:color w:val="auto"/>
                <w:szCs w:val="21"/>
                <w:highlight w:val="none"/>
                <w:lang w:val="en-US" w:eastAsia="zh-CN"/>
              </w:rPr>
              <w:t>周</w:t>
            </w:r>
            <w:r>
              <w:rPr>
                <w:rFonts w:hint="default" w:ascii="Calibri" w:hAnsi="Calibri" w:eastAsia="宋体" w:cs="Calibri"/>
                <w:bCs/>
                <w:color w:val="auto"/>
                <w:szCs w:val="21"/>
                <w:highlight w:val="none"/>
              </w:rPr>
              <w:t>岁（以身份证件为</w:t>
            </w:r>
            <w:r>
              <w:rPr>
                <w:rFonts w:hint="eastAsia" w:cs="Calibri"/>
                <w:bCs/>
                <w:color w:val="auto"/>
                <w:szCs w:val="21"/>
                <w:highlight w:val="none"/>
                <w:lang w:val="en-US" w:eastAsia="zh-CN"/>
              </w:rPr>
              <w:t>准</w:t>
            </w:r>
            <w:r>
              <w:rPr>
                <w:rFonts w:hint="default" w:ascii="Calibri" w:hAnsi="Calibri" w:eastAsia="宋体" w:cs="Calibri"/>
                <w:bCs/>
                <w:color w:val="auto"/>
                <w:szCs w:val="21"/>
                <w:highlight w:val="none"/>
              </w:rPr>
              <w:t>）：具备相关绿化养护技能证书（如园艺师证书等）。或有五年以上</w:t>
            </w:r>
            <w:r>
              <w:rPr>
                <w:rFonts w:hint="eastAsia" w:cs="Calibri"/>
                <w:bCs/>
                <w:color w:val="auto"/>
                <w:szCs w:val="21"/>
                <w:highlight w:val="none"/>
                <w:lang w:val="en-US" w:eastAsia="zh-CN"/>
              </w:rPr>
              <w:t>绿</w:t>
            </w:r>
            <w:r>
              <w:rPr>
                <w:rFonts w:hint="default" w:ascii="Calibri" w:hAnsi="Calibri" w:eastAsia="宋体" w:cs="Calibri"/>
                <w:bCs/>
                <w:color w:val="auto"/>
                <w:szCs w:val="21"/>
                <w:highlight w:val="none"/>
              </w:rPr>
              <w:t>化工作经验（以</w:t>
            </w:r>
            <w:r>
              <w:rPr>
                <w:rFonts w:hint="eastAsia" w:cs="Calibri"/>
                <w:bCs/>
                <w:color w:val="auto"/>
                <w:szCs w:val="21"/>
                <w:highlight w:val="none"/>
                <w:lang w:val="en-US" w:eastAsia="zh-CN"/>
              </w:rPr>
              <w:t>劳</w:t>
            </w:r>
            <w:r>
              <w:rPr>
                <w:rFonts w:hint="default" w:ascii="Calibri" w:hAnsi="Calibri" w:eastAsia="宋体" w:cs="Calibri"/>
                <w:bCs/>
                <w:color w:val="auto"/>
                <w:szCs w:val="21"/>
                <w:highlight w:val="none"/>
              </w:rPr>
              <w:t>动合同为准）：身体健康（以</w:t>
            </w:r>
            <w:r>
              <w:rPr>
                <w:rFonts w:hint="eastAsia" w:ascii="Calibri" w:hAnsi="Calibri" w:cs="Calibri"/>
                <w:bCs/>
                <w:color w:val="auto"/>
                <w:szCs w:val="21"/>
                <w:highlight w:val="none"/>
                <w:lang w:eastAsia="zh-CN"/>
              </w:rPr>
              <w:t>健康证</w:t>
            </w:r>
            <w:r>
              <w:rPr>
                <w:rFonts w:hint="default" w:ascii="Calibri" w:hAnsi="Calibri" w:eastAsia="宋体" w:cs="Calibri"/>
                <w:bCs/>
                <w:color w:val="auto"/>
                <w:szCs w:val="21"/>
                <w:highlight w:val="none"/>
              </w:rPr>
              <w:t>为准）：无任何违法乱纪行为记录（需提供户籍所在地公安部门出具的无犯罪记录证明）</w:t>
            </w:r>
          </w:p>
        </w:tc>
      </w:tr>
      <w:tr w14:paraId="522F0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0" w:type="dxa"/>
            <w:vMerge w:val="restart"/>
            <w:noWrap w:val="0"/>
            <w:vAlign w:val="center"/>
          </w:tcPr>
          <w:p w14:paraId="67C98D28">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lang w:val="en-US" w:eastAsia="zh-CN"/>
              </w:rPr>
            </w:pPr>
            <w:r>
              <w:rPr>
                <w:rFonts w:hint="eastAsia" w:cs="Calibri"/>
                <w:bCs/>
                <w:color w:val="auto"/>
                <w:szCs w:val="21"/>
                <w:highlight w:val="none"/>
                <w:lang w:val="en-US" w:eastAsia="zh-CN"/>
              </w:rPr>
              <w:t>保安服务</w:t>
            </w:r>
          </w:p>
        </w:tc>
        <w:tc>
          <w:tcPr>
            <w:tcW w:w="2146" w:type="dxa"/>
            <w:noWrap w:val="0"/>
            <w:vAlign w:val="center"/>
          </w:tcPr>
          <w:p w14:paraId="30D89D99">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r>
              <w:rPr>
                <w:rFonts w:hint="default" w:ascii="Calibri" w:hAnsi="Calibri" w:eastAsia="宋体" w:cs="Calibri"/>
                <w:bCs/>
                <w:color w:val="auto"/>
                <w:szCs w:val="21"/>
                <w:highlight w:val="none"/>
              </w:rPr>
              <w:t>门岗</w:t>
            </w:r>
          </w:p>
        </w:tc>
        <w:tc>
          <w:tcPr>
            <w:tcW w:w="2313" w:type="dxa"/>
            <w:noWrap w:val="0"/>
            <w:vAlign w:val="center"/>
          </w:tcPr>
          <w:p w14:paraId="0847AE45">
            <w:pPr>
              <w:pageBreakBefore w:val="0"/>
              <w:widowControl/>
              <w:kinsoku/>
              <w:wordWrap/>
              <w:overflowPunct/>
              <w:topLinePunct w:val="0"/>
              <w:bidi w:val="0"/>
              <w:snapToGrid w:val="0"/>
              <w:spacing w:line="300" w:lineRule="auto"/>
              <w:ind w:left="0"/>
              <w:jc w:val="center"/>
              <w:rPr>
                <w:rFonts w:hint="default" w:ascii="Calibri" w:hAnsi="Calibri" w:eastAsia="宋体" w:cs="Calibri"/>
                <w:bCs/>
                <w:color w:val="auto"/>
                <w:szCs w:val="21"/>
                <w:highlight w:val="none"/>
                <w:lang w:val="en-US" w:eastAsia="zh-CN"/>
              </w:rPr>
            </w:pPr>
            <w:r>
              <w:rPr>
                <w:rFonts w:hint="eastAsia" w:cs="Calibri"/>
                <w:bCs/>
                <w:color w:val="auto"/>
                <w:szCs w:val="21"/>
                <w:highlight w:val="none"/>
                <w:lang w:val="en-US" w:eastAsia="zh-CN"/>
              </w:rPr>
              <w:t>4</w:t>
            </w:r>
          </w:p>
        </w:tc>
        <w:tc>
          <w:tcPr>
            <w:tcW w:w="3266" w:type="dxa"/>
            <w:noWrap w:val="0"/>
            <w:vAlign w:val="center"/>
          </w:tcPr>
          <w:p w14:paraId="5CA9344C">
            <w:pPr>
              <w:pageBreakBefore w:val="0"/>
              <w:widowControl/>
              <w:kinsoku/>
              <w:wordWrap/>
              <w:overflowPunct/>
              <w:topLinePunct w:val="0"/>
              <w:bidi w:val="0"/>
              <w:snapToGrid w:val="0"/>
              <w:spacing w:line="300" w:lineRule="auto"/>
              <w:ind w:left="0"/>
              <w:jc w:val="center"/>
              <w:rPr>
                <w:rFonts w:hint="default" w:ascii="Calibri" w:hAnsi="Calibri" w:eastAsia="宋体" w:cs="Calibri"/>
                <w:bCs/>
                <w:color w:val="auto"/>
                <w:szCs w:val="21"/>
                <w:highlight w:val="none"/>
                <w:lang w:val="en-US" w:eastAsia="zh-CN"/>
              </w:rPr>
            </w:pPr>
            <w:r>
              <w:rPr>
                <w:rFonts w:hint="eastAsia" w:cs="Calibri"/>
                <w:bCs/>
                <w:color w:val="auto"/>
                <w:szCs w:val="21"/>
                <w:highlight w:val="none"/>
                <w:lang w:val="en-US" w:eastAsia="zh-CN"/>
              </w:rPr>
              <w:t>12</w:t>
            </w:r>
          </w:p>
        </w:tc>
        <w:tc>
          <w:tcPr>
            <w:tcW w:w="5295" w:type="dxa"/>
            <w:noWrap w:val="0"/>
            <w:vAlign w:val="center"/>
          </w:tcPr>
          <w:p w14:paraId="76CEB33F">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u w:val="none"/>
              </w:rPr>
            </w:pPr>
            <w:r>
              <w:rPr>
                <w:rFonts w:hint="default" w:ascii="Calibri" w:hAnsi="Calibri" w:eastAsia="宋体" w:cs="Calibri"/>
                <w:bCs/>
                <w:color w:val="auto"/>
                <w:szCs w:val="21"/>
                <w:highlight w:val="none"/>
                <w:u w:val="none"/>
              </w:rPr>
              <w:t>年龄30-5</w:t>
            </w:r>
            <w:r>
              <w:rPr>
                <w:rFonts w:hint="eastAsia" w:cs="Calibri"/>
                <w:bCs/>
                <w:color w:val="auto"/>
                <w:szCs w:val="21"/>
                <w:highlight w:val="none"/>
                <w:u w:val="none"/>
                <w:lang w:val="en-US" w:eastAsia="zh-CN"/>
              </w:rPr>
              <w:t>0</w:t>
            </w:r>
            <w:r>
              <w:rPr>
                <w:rFonts w:hint="default" w:ascii="Calibri" w:hAnsi="Calibri" w:eastAsia="宋体" w:cs="Calibri"/>
                <w:bCs/>
                <w:color w:val="auto"/>
                <w:szCs w:val="21"/>
                <w:highlight w:val="none"/>
                <w:u w:val="none"/>
              </w:rPr>
              <w:t>周岁、男性（以身份证件为</w:t>
            </w:r>
            <w:r>
              <w:rPr>
                <w:rFonts w:hint="eastAsia" w:cs="Calibri"/>
                <w:bCs/>
                <w:color w:val="auto"/>
                <w:szCs w:val="21"/>
                <w:highlight w:val="none"/>
                <w:u w:val="none"/>
                <w:lang w:val="en-US" w:eastAsia="zh-CN"/>
              </w:rPr>
              <w:t>准</w:t>
            </w:r>
            <w:r>
              <w:rPr>
                <w:rFonts w:hint="default" w:ascii="Calibri" w:hAnsi="Calibri" w:eastAsia="宋体" w:cs="Calibri"/>
                <w:bCs/>
                <w:color w:val="auto"/>
                <w:szCs w:val="21"/>
                <w:highlight w:val="none"/>
                <w:u w:val="none"/>
              </w:rPr>
              <w:t>）：</w:t>
            </w:r>
          </w:p>
          <w:p w14:paraId="1E945231">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lang w:val="en-US" w:eastAsia="zh-CN"/>
              </w:rPr>
            </w:pPr>
            <w:r>
              <w:rPr>
                <w:rFonts w:hint="default" w:ascii="Calibri" w:hAnsi="Calibri" w:eastAsia="宋体" w:cs="Calibri"/>
                <w:bCs/>
                <w:color w:val="auto"/>
                <w:szCs w:val="21"/>
                <w:highlight w:val="none"/>
                <w:u w:val="none"/>
              </w:rPr>
              <w:t>汉语流利、服务时长24小时（以</w:t>
            </w:r>
            <w:r>
              <w:rPr>
                <w:rFonts w:hint="eastAsia" w:cs="Calibri"/>
                <w:bCs/>
                <w:color w:val="auto"/>
                <w:szCs w:val="21"/>
                <w:highlight w:val="none"/>
                <w:u w:val="none"/>
                <w:lang w:val="en-US" w:eastAsia="zh-CN"/>
              </w:rPr>
              <w:t>供应商</w:t>
            </w:r>
            <w:r>
              <w:rPr>
                <w:rFonts w:hint="default" w:ascii="Calibri" w:hAnsi="Calibri" w:eastAsia="宋体" w:cs="Calibri"/>
                <w:bCs/>
                <w:color w:val="auto"/>
                <w:szCs w:val="21"/>
                <w:highlight w:val="none"/>
                <w:u w:val="none"/>
              </w:rPr>
              <w:t>承诺为准）：有保安证</w:t>
            </w:r>
            <w:r>
              <w:rPr>
                <w:rFonts w:hint="eastAsia" w:cs="Calibri"/>
                <w:bCs/>
                <w:color w:val="auto"/>
                <w:szCs w:val="21"/>
                <w:highlight w:val="none"/>
                <w:u w:val="none"/>
                <w:lang w:eastAsia="zh-CN"/>
              </w:rPr>
              <w:t>：</w:t>
            </w:r>
            <w:r>
              <w:rPr>
                <w:rFonts w:hint="eastAsia" w:ascii="Calibri" w:hAnsi="Calibri" w:cs="Calibri"/>
                <w:bCs/>
                <w:color w:val="auto"/>
                <w:szCs w:val="21"/>
                <w:highlight w:val="none"/>
                <w:u w:val="none"/>
                <w:lang w:eastAsia="zh-CN"/>
              </w:rPr>
              <w:t>身体健康(提供健康证，以供应商承诺为准);无任何违法乱纪行为记录(提供公安部门出具的无犯罪记录证明，以供应商承诺为准）</w:t>
            </w:r>
            <w:r>
              <w:rPr>
                <w:rFonts w:hint="default" w:ascii="Calibri" w:hAnsi="Calibri" w:eastAsia="宋体" w:cs="Calibri"/>
                <w:bCs/>
                <w:color w:val="auto"/>
                <w:szCs w:val="21"/>
                <w:highlight w:val="none"/>
                <w:u w:val="none"/>
              </w:rPr>
              <w:t>。</w:t>
            </w:r>
          </w:p>
        </w:tc>
      </w:tr>
      <w:tr w14:paraId="7A73E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0" w:type="dxa"/>
            <w:vMerge w:val="continue"/>
            <w:noWrap w:val="0"/>
            <w:vAlign w:val="center"/>
          </w:tcPr>
          <w:p w14:paraId="4BA52CCF">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p>
        </w:tc>
        <w:tc>
          <w:tcPr>
            <w:tcW w:w="2146" w:type="dxa"/>
            <w:noWrap w:val="0"/>
            <w:vAlign w:val="center"/>
          </w:tcPr>
          <w:p w14:paraId="7C06CF29">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r>
              <w:rPr>
                <w:rFonts w:hint="default" w:ascii="Calibri" w:hAnsi="Calibri" w:eastAsia="宋体" w:cs="Calibri"/>
                <w:bCs/>
                <w:color w:val="auto"/>
                <w:szCs w:val="21"/>
                <w:highlight w:val="none"/>
              </w:rPr>
              <w:t>消控岗</w:t>
            </w:r>
          </w:p>
        </w:tc>
        <w:tc>
          <w:tcPr>
            <w:tcW w:w="2313" w:type="dxa"/>
            <w:noWrap w:val="0"/>
            <w:vAlign w:val="center"/>
          </w:tcPr>
          <w:p w14:paraId="524AFBA1">
            <w:pPr>
              <w:pageBreakBefore w:val="0"/>
              <w:widowControl/>
              <w:kinsoku/>
              <w:wordWrap/>
              <w:overflowPunct/>
              <w:topLinePunct w:val="0"/>
              <w:bidi w:val="0"/>
              <w:snapToGrid w:val="0"/>
              <w:spacing w:line="300" w:lineRule="auto"/>
              <w:ind w:left="0"/>
              <w:jc w:val="center"/>
              <w:rPr>
                <w:rFonts w:hint="default" w:ascii="Calibri" w:hAnsi="Calibri" w:eastAsia="宋体" w:cs="Calibri"/>
                <w:bCs/>
                <w:color w:val="auto"/>
                <w:szCs w:val="21"/>
                <w:highlight w:val="none"/>
                <w:lang w:val="en-US" w:eastAsia="zh-CN"/>
              </w:rPr>
            </w:pPr>
            <w:r>
              <w:rPr>
                <w:rFonts w:hint="eastAsia" w:cs="Calibri"/>
                <w:bCs/>
                <w:color w:val="auto"/>
                <w:szCs w:val="21"/>
                <w:highlight w:val="none"/>
                <w:lang w:val="en-US" w:eastAsia="zh-CN"/>
              </w:rPr>
              <w:t>1</w:t>
            </w:r>
          </w:p>
        </w:tc>
        <w:tc>
          <w:tcPr>
            <w:tcW w:w="3266" w:type="dxa"/>
            <w:noWrap w:val="0"/>
            <w:vAlign w:val="center"/>
          </w:tcPr>
          <w:p w14:paraId="1EE47EF3">
            <w:pPr>
              <w:pageBreakBefore w:val="0"/>
              <w:widowControl/>
              <w:kinsoku/>
              <w:wordWrap/>
              <w:overflowPunct/>
              <w:topLinePunct w:val="0"/>
              <w:bidi w:val="0"/>
              <w:snapToGrid w:val="0"/>
              <w:spacing w:line="300" w:lineRule="auto"/>
              <w:ind w:left="0"/>
              <w:jc w:val="center"/>
              <w:rPr>
                <w:rFonts w:hint="eastAsia" w:ascii="Calibri" w:hAnsi="Calibri" w:eastAsia="宋体" w:cs="Calibri"/>
                <w:bCs/>
                <w:color w:val="auto"/>
                <w:szCs w:val="21"/>
                <w:highlight w:val="none"/>
                <w:lang w:val="en-US" w:eastAsia="zh-CN"/>
              </w:rPr>
            </w:pPr>
            <w:r>
              <w:rPr>
                <w:rFonts w:hint="eastAsia" w:cs="Calibri"/>
                <w:bCs/>
                <w:color w:val="auto"/>
                <w:szCs w:val="21"/>
                <w:highlight w:val="none"/>
                <w:lang w:val="en-US" w:eastAsia="zh-CN"/>
              </w:rPr>
              <w:t>3</w:t>
            </w:r>
          </w:p>
        </w:tc>
        <w:tc>
          <w:tcPr>
            <w:tcW w:w="5295" w:type="dxa"/>
            <w:noWrap w:val="0"/>
            <w:vAlign w:val="center"/>
          </w:tcPr>
          <w:p w14:paraId="66233393">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lang w:val="en-US"/>
              </w:rPr>
            </w:pPr>
            <w:r>
              <w:rPr>
                <w:rFonts w:hint="default" w:ascii="Calibri" w:hAnsi="Calibri" w:eastAsia="宋体" w:cs="Calibri"/>
                <w:bCs/>
                <w:color w:val="auto"/>
                <w:szCs w:val="21"/>
                <w:highlight w:val="none"/>
              </w:rPr>
              <w:t>有中级消控资格证书：年龄 30-5</w:t>
            </w:r>
            <w:r>
              <w:rPr>
                <w:rFonts w:hint="eastAsia" w:cs="Calibri"/>
                <w:bCs/>
                <w:color w:val="auto"/>
                <w:szCs w:val="21"/>
                <w:highlight w:val="none"/>
                <w:lang w:val="en-US" w:eastAsia="zh-CN"/>
              </w:rPr>
              <w:t>0</w:t>
            </w:r>
            <w:r>
              <w:rPr>
                <w:rFonts w:hint="default" w:ascii="Calibri" w:hAnsi="Calibri" w:eastAsia="宋体" w:cs="Calibri"/>
                <w:bCs/>
                <w:color w:val="auto"/>
                <w:szCs w:val="21"/>
                <w:highlight w:val="none"/>
              </w:rPr>
              <w:t>岁、男性（以身份证件为准》；</w:t>
            </w:r>
            <w:r>
              <w:rPr>
                <w:rFonts w:hint="eastAsia" w:cs="Calibri"/>
                <w:bCs/>
                <w:color w:val="auto"/>
                <w:szCs w:val="21"/>
                <w:highlight w:val="none"/>
                <w:lang w:val="en-US" w:eastAsia="zh-CN"/>
              </w:rPr>
              <w:t>服务</w:t>
            </w:r>
            <w:r>
              <w:rPr>
                <w:rFonts w:hint="default" w:ascii="Calibri" w:hAnsi="Calibri" w:eastAsia="宋体" w:cs="Calibri"/>
                <w:bCs/>
                <w:color w:val="auto"/>
                <w:szCs w:val="21"/>
                <w:highlight w:val="none"/>
              </w:rPr>
              <w:t>时长24 小时（以供应商承诺为准》：身体健康（以</w:t>
            </w:r>
            <w:r>
              <w:rPr>
                <w:rFonts w:hint="eastAsia" w:ascii="Calibri" w:hAnsi="Calibri" w:cs="Calibri"/>
                <w:bCs/>
                <w:color w:val="auto"/>
                <w:szCs w:val="21"/>
                <w:highlight w:val="none"/>
                <w:lang w:eastAsia="zh-CN"/>
              </w:rPr>
              <w:t>健康证</w:t>
            </w:r>
            <w:r>
              <w:rPr>
                <w:rFonts w:hint="default" w:ascii="Calibri" w:hAnsi="Calibri" w:eastAsia="宋体" w:cs="Calibri"/>
                <w:bCs/>
                <w:color w:val="auto"/>
                <w:szCs w:val="21"/>
                <w:highlight w:val="none"/>
              </w:rPr>
              <w:t>为准）：无任何违法乱纪行为记录（提供户籍所在地公安部门出具的无犯罪记承证明》</w:t>
            </w:r>
          </w:p>
        </w:tc>
      </w:tr>
      <w:tr w14:paraId="0FB08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0" w:type="dxa"/>
            <w:noWrap w:val="0"/>
            <w:vAlign w:val="center"/>
          </w:tcPr>
          <w:p w14:paraId="629D2E4B">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lang w:val="en-US" w:eastAsia="zh-CN"/>
              </w:rPr>
            </w:pPr>
            <w:r>
              <w:rPr>
                <w:rFonts w:hint="eastAsia" w:cs="Calibri"/>
                <w:bCs/>
                <w:color w:val="auto"/>
                <w:szCs w:val="21"/>
                <w:highlight w:val="none"/>
                <w:lang w:val="en-US" w:eastAsia="zh-CN"/>
              </w:rPr>
              <w:t>宿管服务</w:t>
            </w:r>
          </w:p>
        </w:tc>
        <w:tc>
          <w:tcPr>
            <w:tcW w:w="2146" w:type="dxa"/>
            <w:noWrap w:val="0"/>
            <w:vAlign w:val="center"/>
          </w:tcPr>
          <w:p w14:paraId="4869E3DB">
            <w:pPr>
              <w:pageBreakBefore w:val="0"/>
              <w:widowControl/>
              <w:kinsoku/>
              <w:wordWrap/>
              <w:overflowPunct/>
              <w:topLinePunct w:val="0"/>
              <w:bidi w:val="0"/>
              <w:snapToGrid w:val="0"/>
              <w:spacing w:line="300" w:lineRule="auto"/>
              <w:ind w:left="0"/>
              <w:jc w:val="both"/>
              <w:rPr>
                <w:rFonts w:hint="eastAsia" w:ascii="Calibri" w:hAnsi="Calibri" w:eastAsia="宋体" w:cs="Calibri"/>
                <w:bCs/>
                <w:color w:val="auto"/>
                <w:szCs w:val="21"/>
                <w:highlight w:val="none"/>
                <w:lang w:val="en-US" w:eastAsia="zh-CN"/>
              </w:rPr>
            </w:pPr>
            <w:r>
              <w:rPr>
                <w:rFonts w:hint="eastAsia" w:cs="Calibri"/>
                <w:bCs/>
                <w:color w:val="auto"/>
                <w:szCs w:val="21"/>
                <w:highlight w:val="none"/>
                <w:lang w:val="en-US" w:eastAsia="zh-CN"/>
              </w:rPr>
              <w:t>宿管</w:t>
            </w:r>
          </w:p>
        </w:tc>
        <w:tc>
          <w:tcPr>
            <w:tcW w:w="2313" w:type="dxa"/>
            <w:noWrap w:val="0"/>
            <w:vAlign w:val="center"/>
          </w:tcPr>
          <w:p w14:paraId="5E5012F6">
            <w:pPr>
              <w:pageBreakBefore w:val="0"/>
              <w:widowControl/>
              <w:kinsoku/>
              <w:wordWrap/>
              <w:overflowPunct/>
              <w:topLinePunct w:val="0"/>
              <w:bidi w:val="0"/>
              <w:snapToGrid w:val="0"/>
              <w:spacing w:line="300" w:lineRule="auto"/>
              <w:ind w:left="0"/>
              <w:jc w:val="center"/>
              <w:rPr>
                <w:rFonts w:hint="default" w:ascii="Calibri" w:hAnsi="Calibri" w:eastAsia="宋体" w:cs="Calibri"/>
                <w:bCs/>
                <w:color w:val="auto"/>
                <w:szCs w:val="21"/>
                <w:highlight w:val="none"/>
                <w:lang w:val="en-US" w:eastAsia="zh-CN"/>
              </w:rPr>
            </w:pPr>
            <w:r>
              <w:rPr>
                <w:rFonts w:hint="eastAsia" w:cs="Calibri"/>
                <w:bCs/>
                <w:color w:val="auto"/>
                <w:szCs w:val="21"/>
                <w:highlight w:val="none"/>
                <w:lang w:val="en-US" w:eastAsia="zh-CN"/>
              </w:rPr>
              <w:t>4</w:t>
            </w:r>
          </w:p>
        </w:tc>
        <w:tc>
          <w:tcPr>
            <w:tcW w:w="3266" w:type="dxa"/>
            <w:noWrap w:val="0"/>
            <w:vAlign w:val="center"/>
          </w:tcPr>
          <w:p w14:paraId="5002A47B">
            <w:pPr>
              <w:pageBreakBefore w:val="0"/>
              <w:widowControl/>
              <w:kinsoku/>
              <w:wordWrap/>
              <w:overflowPunct/>
              <w:topLinePunct w:val="0"/>
              <w:bidi w:val="0"/>
              <w:snapToGrid w:val="0"/>
              <w:spacing w:line="300" w:lineRule="auto"/>
              <w:ind w:left="0"/>
              <w:jc w:val="center"/>
              <w:rPr>
                <w:rFonts w:hint="eastAsia" w:ascii="Calibri" w:hAnsi="Calibri" w:eastAsia="宋体" w:cs="Calibri"/>
                <w:bCs/>
                <w:color w:val="auto"/>
                <w:szCs w:val="21"/>
                <w:highlight w:val="none"/>
                <w:lang w:val="en-US" w:eastAsia="zh-CN"/>
              </w:rPr>
            </w:pPr>
            <w:r>
              <w:rPr>
                <w:rFonts w:hint="eastAsia" w:cs="Calibri"/>
                <w:bCs/>
                <w:color w:val="auto"/>
                <w:szCs w:val="21"/>
                <w:highlight w:val="none"/>
                <w:lang w:val="en-US" w:eastAsia="zh-CN"/>
              </w:rPr>
              <w:t>6</w:t>
            </w:r>
          </w:p>
        </w:tc>
        <w:tc>
          <w:tcPr>
            <w:tcW w:w="5295" w:type="dxa"/>
            <w:noWrap w:val="0"/>
            <w:vAlign w:val="center"/>
          </w:tcPr>
          <w:p w14:paraId="7C56D9B4">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Cs w:val="21"/>
                <w:highlight w:val="none"/>
              </w:rPr>
            </w:pPr>
            <w:r>
              <w:rPr>
                <w:rFonts w:hint="default" w:ascii="Calibri" w:hAnsi="Calibri" w:eastAsia="宋体" w:cs="Calibri"/>
                <w:bCs/>
                <w:color w:val="auto"/>
                <w:szCs w:val="21"/>
                <w:highlight w:val="none"/>
              </w:rPr>
              <w:t>年龄 30-55 岁、女性（以身份证件为准》；服务时长24 小时；</w:t>
            </w:r>
            <w:r>
              <w:rPr>
                <w:rFonts w:hint="eastAsia" w:ascii="Calibri" w:hAnsi="Calibri" w:cs="Calibri"/>
                <w:bCs/>
                <w:color w:val="auto"/>
                <w:szCs w:val="21"/>
                <w:highlight w:val="none"/>
                <w:lang w:eastAsia="zh-CN"/>
              </w:rPr>
              <w:t>身体健康(提供健康证，以供应商承诺为准);无任何违法乱纪行为记录(提供公安部门出具的无犯罪记录证明，以供应商承诺为准）</w:t>
            </w:r>
            <w:r>
              <w:rPr>
                <w:rFonts w:hint="default" w:ascii="Calibri" w:hAnsi="Calibri" w:eastAsia="宋体" w:cs="Calibri"/>
                <w:bCs/>
                <w:color w:val="auto"/>
                <w:szCs w:val="21"/>
                <w:highlight w:val="none"/>
                <w:u w:val="none"/>
              </w:rPr>
              <w:t>。</w:t>
            </w:r>
          </w:p>
        </w:tc>
      </w:tr>
    </w:tbl>
    <w:p w14:paraId="021DE4F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firstLine="420" w:firstLineChars="200"/>
        <w:jc w:val="left"/>
        <w:textAlignment w:val="auto"/>
        <w:rPr>
          <w:rFonts w:hint="eastAsia" w:ascii="楷体" w:hAnsi="楷体" w:eastAsia="楷体" w:cs="楷体"/>
          <w:b w:val="0"/>
          <w:bCs/>
          <w:color w:val="auto"/>
          <w:szCs w:val="21"/>
          <w:highlight w:val="none"/>
          <w:u w:val="none"/>
        </w:rPr>
      </w:pPr>
      <w:r>
        <w:rPr>
          <w:rFonts w:hint="eastAsia" w:ascii="楷体" w:hAnsi="楷体" w:eastAsia="楷体" w:cs="楷体"/>
          <w:color w:val="auto"/>
          <w:sz w:val="21"/>
          <w:szCs w:val="21"/>
          <w:highlight w:val="none"/>
          <w:u w:val="none"/>
          <w:lang w:val="en-US" w:eastAsia="zh-CN"/>
        </w:rPr>
        <w:t>注：</w:t>
      </w:r>
      <w:r>
        <w:rPr>
          <w:rFonts w:hint="eastAsia" w:ascii="楷体" w:hAnsi="楷体" w:eastAsia="楷体" w:cs="楷体"/>
          <w:b w:val="0"/>
          <w:bCs/>
          <w:color w:val="auto"/>
          <w:szCs w:val="21"/>
          <w:highlight w:val="none"/>
          <w:u w:val="none"/>
          <w:lang w:val="en-US" w:eastAsia="zh-CN"/>
        </w:rPr>
        <w:t>供应商</w:t>
      </w:r>
      <w:r>
        <w:rPr>
          <w:rFonts w:hint="eastAsia" w:ascii="楷体" w:hAnsi="楷体" w:eastAsia="楷体" w:cs="楷体"/>
          <w:b w:val="0"/>
          <w:bCs/>
          <w:color w:val="auto"/>
          <w:szCs w:val="21"/>
          <w:highlight w:val="none"/>
          <w:u w:val="none"/>
        </w:rPr>
        <w:t>应</w:t>
      </w:r>
      <w:r>
        <w:rPr>
          <w:rFonts w:hint="eastAsia" w:ascii="楷体" w:hAnsi="楷体" w:eastAsia="楷体" w:cs="楷体"/>
          <w:b w:val="0"/>
          <w:bCs/>
          <w:color w:val="auto"/>
          <w:szCs w:val="21"/>
          <w:highlight w:val="none"/>
          <w:u w:val="none"/>
          <w:lang w:eastAsia="zh-CN"/>
        </w:rPr>
        <w:t>当按国家相关法律法规，合理确定服务人员工资标准、</w:t>
      </w:r>
      <w:r>
        <w:rPr>
          <w:rFonts w:hint="eastAsia" w:ascii="楷体" w:hAnsi="楷体" w:eastAsia="楷体" w:cs="楷体"/>
          <w:b w:val="0"/>
          <w:bCs/>
          <w:color w:val="auto"/>
          <w:szCs w:val="21"/>
          <w:highlight w:val="none"/>
          <w:u w:val="none"/>
        </w:rPr>
        <w:t>工作时间</w:t>
      </w:r>
      <w:r>
        <w:rPr>
          <w:rFonts w:hint="eastAsia" w:ascii="楷体" w:hAnsi="楷体" w:eastAsia="楷体" w:cs="楷体"/>
          <w:b w:val="0"/>
          <w:bCs/>
          <w:color w:val="auto"/>
          <w:szCs w:val="21"/>
          <w:highlight w:val="none"/>
          <w:u w:val="none"/>
          <w:lang w:eastAsia="zh-CN"/>
        </w:rPr>
        <w:t>等</w:t>
      </w:r>
      <w:r>
        <w:rPr>
          <w:rFonts w:hint="eastAsia" w:ascii="楷体" w:hAnsi="楷体" w:eastAsia="楷体" w:cs="楷体"/>
          <w:b w:val="0"/>
          <w:bCs/>
          <w:color w:val="auto"/>
          <w:szCs w:val="21"/>
          <w:highlight w:val="none"/>
          <w:u w:val="none"/>
        </w:rPr>
        <w:t>。</w:t>
      </w:r>
    </w:p>
    <w:p w14:paraId="6E8759C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firstLine="420" w:firstLineChars="200"/>
        <w:jc w:val="left"/>
        <w:textAlignment w:val="auto"/>
        <w:rPr>
          <w:rFonts w:hint="default" w:ascii="Calibri" w:hAnsi="Calibri" w:eastAsia="宋体" w:cs="Calibri"/>
          <w:bCs/>
          <w:color w:val="auto"/>
          <w:szCs w:val="21"/>
          <w:highlight w:val="none"/>
          <w:lang w:val="en-US" w:eastAsia="zh-CN"/>
        </w:rPr>
      </w:pPr>
      <w:r>
        <w:rPr>
          <w:rFonts w:hint="eastAsia" w:ascii="楷体" w:hAnsi="楷体" w:eastAsia="楷体" w:cs="楷体"/>
          <w:b w:val="0"/>
          <w:bCs/>
          <w:color w:val="auto"/>
          <w:kern w:val="0"/>
          <w:sz w:val="21"/>
          <w:szCs w:val="21"/>
          <w:highlight w:val="none"/>
          <w:lang w:val="en-US" w:eastAsia="zh-CN" w:bidi="ar-SA"/>
        </w:rPr>
        <w:t xml:space="preserve">    </w:t>
      </w:r>
      <w:r>
        <w:rPr>
          <w:rFonts w:hint="eastAsia" w:ascii="楷体" w:hAnsi="楷体" w:eastAsia="楷体" w:cs="楷体"/>
          <w:b w:val="0"/>
          <w:bCs/>
          <w:color w:val="auto"/>
          <w:szCs w:val="21"/>
          <w:highlight w:val="none"/>
          <w:u w:val="none"/>
          <w:lang w:val="en-US" w:eastAsia="zh-CN"/>
        </w:rPr>
        <w:t>供应商</w:t>
      </w:r>
      <w:r>
        <w:rPr>
          <w:rFonts w:hint="eastAsia" w:ascii="楷体" w:hAnsi="楷体" w:eastAsia="楷体" w:cs="楷体"/>
          <w:bCs/>
          <w:i w:val="0"/>
          <w:iCs w:val="0"/>
          <w:color w:val="auto"/>
          <w:kern w:val="0"/>
          <w:sz w:val="21"/>
          <w:szCs w:val="21"/>
          <w:highlight w:val="none"/>
          <w:u w:val="none"/>
          <w:lang w:val="en-US" w:eastAsia="zh-CN" w:bidi="ar"/>
        </w:rPr>
        <w:t>应当自行为服务人员办理必需的保险</w:t>
      </w:r>
      <w:r>
        <w:rPr>
          <w:rFonts w:hint="eastAsia" w:ascii="楷体" w:hAnsi="楷体" w:eastAsia="楷体" w:cs="楷体"/>
          <w:b w:val="0"/>
          <w:bCs/>
          <w:color w:val="auto"/>
          <w:szCs w:val="21"/>
          <w:highlight w:val="none"/>
          <w:u w:val="none"/>
        </w:rPr>
        <w:t>，有关人员伤亡及第三者责任险均</w:t>
      </w:r>
      <w:r>
        <w:rPr>
          <w:rFonts w:hint="eastAsia" w:ascii="楷体" w:hAnsi="楷体" w:eastAsia="楷体" w:cs="楷体"/>
          <w:b w:val="0"/>
          <w:bCs/>
          <w:color w:val="auto"/>
          <w:szCs w:val="21"/>
          <w:highlight w:val="none"/>
          <w:u w:val="none"/>
          <w:lang w:val="en-US" w:eastAsia="zh-CN"/>
        </w:rPr>
        <w:t>应当</w:t>
      </w:r>
      <w:r>
        <w:rPr>
          <w:rFonts w:hint="eastAsia" w:ascii="楷体" w:hAnsi="楷体" w:eastAsia="楷体" w:cs="楷体"/>
          <w:b w:val="0"/>
          <w:bCs/>
          <w:color w:val="auto"/>
          <w:szCs w:val="21"/>
          <w:highlight w:val="none"/>
          <w:u w:val="none"/>
        </w:rPr>
        <w:t>考虑在报价因素中</w:t>
      </w:r>
      <w:r>
        <w:rPr>
          <w:rFonts w:hint="eastAsia" w:ascii="楷体" w:hAnsi="楷体" w:eastAsia="楷体" w:cs="楷体"/>
          <w:b w:val="0"/>
          <w:bCs/>
          <w:color w:val="auto"/>
          <w:kern w:val="0"/>
          <w:szCs w:val="21"/>
          <w:highlight w:val="none"/>
          <w:u w:val="none"/>
        </w:rPr>
        <w:t>。</w:t>
      </w:r>
    </w:p>
    <w:p w14:paraId="346B4F19">
      <w:pPr>
        <w:bidi w:val="0"/>
        <w:rPr>
          <w:rFonts w:hint="default"/>
          <w:highlight w:val="none"/>
        </w:rPr>
      </w:pPr>
    </w:p>
    <w:p w14:paraId="4722B56E">
      <w:pPr>
        <w:pStyle w:val="4"/>
        <w:bidi w:val="0"/>
        <w:rPr>
          <w:rFonts w:hint="eastAsia" w:ascii="宋体" w:hAnsi="宋体" w:eastAsia="宋体" w:cs="宋体"/>
          <w:b/>
          <w:bCs/>
          <w:color w:val="auto"/>
          <w:kern w:val="44"/>
          <w:sz w:val="28"/>
          <w:szCs w:val="28"/>
          <w:highlight w:val="none"/>
          <w:lang w:val="en-US" w:eastAsia="zh-CN" w:bidi="ar-SA"/>
        </w:rPr>
      </w:pPr>
      <w:r>
        <w:rPr>
          <w:rFonts w:hint="eastAsia" w:ascii="宋体" w:hAnsi="宋体" w:eastAsia="宋体" w:cs="宋体"/>
          <w:b/>
          <w:bCs/>
          <w:color w:val="auto"/>
          <w:kern w:val="44"/>
          <w:sz w:val="28"/>
          <w:szCs w:val="28"/>
          <w:highlight w:val="none"/>
          <w:lang w:val="en-US" w:eastAsia="zh-CN" w:bidi="ar-SA"/>
        </w:rPr>
        <w:t>6.</w:t>
      </w:r>
      <w:r>
        <w:rPr>
          <w:rFonts w:hint="default" w:ascii="宋体" w:hAnsi="宋体" w:eastAsia="宋体" w:cs="宋体"/>
          <w:b/>
          <w:bCs/>
          <w:color w:val="auto"/>
          <w:kern w:val="44"/>
          <w:sz w:val="28"/>
          <w:szCs w:val="28"/>
          <w:highlight w:val="none"/>
          <w:lang w:val="en-US" w:eastAsia="zh-CN" w:bidi="ar-SA"/>
        </w:rPr>
        <w:t>商务要求</w:t>
      </w:r>
    </w:p>
    <w:p w14:paraId="3910238E">
      <w:pPr>
        <w:pStyle w:val="4"/>
        <w:bidi w:val="0"/>
        <w:rPr>
          <w:rFonts w:hint="default" w:ascii="宋体" w:hAnsi="宋体" w:eastAsia="宋体" w:cs="宋体"/>
          <w:b/>
          <w:bCs/>
          <w:color w:val="auto"/>
          <w:kern w:val="44"/>
          <w:sz w:val="28"/>
          <w:szCs w:val="28"/>
          <w:highlight w:val="none"/>
          <w:lang w:val="en-US" w:eastAsia="zh-CN" w:bidi="ar-SA"/>
        </w:rPr>
      </w:pPr>
      <w:r>
        <w:rPr>
          <w:rFonts w:hint="eastAsia" w:ascii="宋体" w:hAnsi="宋体" w:eastAsia="宋体" w:cs="宋体"/>
          <w:b/>
          <w:bCs/>
          <w:color w:val="auto"/>
          <w:kern w:val="44"/>
          <w:sz w:val="28"/>
          <w:szCs w:val="28"/>
          <w:highlight w:val="none"/>
          <w:lang w:val="en-US" w:eastAsia="zh-CN" w:bidi="ar-SA"/>
        </w:rPr>
        <w:t>6.1</w:t>
      </w:r>
      <w:r>
        <w:rPr>
          <w:rFonts w:hint="default" w:ascii="宋体" w:hAnsi="宋体" w:eastAsia="宋体" w:cs="宋体"/>
          <w:b/>
          <w:bCs/>
          <w:color w:val="auto"/>
          <w:kern w:val="44"/>
          <w:sz w:val="28"/>
          <w:szCs w:val="28"/>
          <w:highlight w:val="none"/>
          <w:lang w:val="en-US" w:eastAsia="zh-CN" w:bidi="ar-SA"/>
        </w:rPr>
        <w:t>实施期限</w:t>
      </w:r>
    </w:p>
    <w:p w14:paraId="16F02CFF">
      <w:pPr>
        <w:pStyle w:val="4"/>
        <w:bidi w:val="0"/>
        <w:rPr>
          <w:rFonts w:hint="eastAsia" w:ascii="宋体" w:hAnsi="宋体" w:eastAsia="宋体" w:cs="宋体"/>
          <w:b/>
          <w:bCs/>
          <w:color w:val="auto"/>
          <w:kern w:val="44"/>
          <w:sz w:val="28"/>
          <w:szCs w:val="28"/>
          <w:highlight w:val="none"/>
          <w:lang w:val="en-US" w:eastAsia="zh-CN" w:bidi="ar-SA"/>
        </w:rPr>
      </w:pPr>
      <w:r>
        <w:rPr>
          <w:rFonts w:hint="eastAsia" w:ascii="宋体" w:hAnsi="宋体" w:eastAsia="宋体" w:cs="宋体"/>
          <w:b/>
          <w:bCs/>
          <w:color w:val="auto"/>
          <w:kern w:val="44"/>
          <w:sz w:val="28"/>
          <w:szCs w:val="28"/>
          <w:highlight w:val="none"/>
          <w:lang w:val="en-US" w:eastAsia="zh-CN" w:bidi="ar-SA"/>
        </w:rPr>
        <w:t>2025年7月1日至2025年12月31日，</w:t>
      </w:r>
      <w:r>
        <w:rPr>
          <w:rFonts w:hint="default" w:ascii="宋体" w:hAnsi="宋体" w:eastAsia="宋体" w:cs="宋体"/>
          <w:b/>
          <w:bCs/>
          <w:color w:val="auto"/>
          <w:kern w:val="44"/>
          <w:sz w:val="28"/>
          <w:szCs w:val="28"/>
          <w:highlight w:val="none"/>
          <w:lang w:val="en-US" w:eastAsia="zh-CN" w:bidi="ar-SA"/>
        </w:rPr>
        <w:t>共计</w:t>
      </w:r>
      <w:r>
        <w:rPr>
          <w:rFonts w:hint="eastAsia" w:ascii="宋体" w:hAnsi="宋体" w:eastAsia="宋体" w:cs="宋体"/>
          <w:b/>
          <w:bCs/>
          <w:color w:val="auto"/>
          <w:kern w:val="44"/>
          <w:sz w:val="28"/>
          <w:szCs w:val="28"/>
          <w:highlight w:val="none"/>
          <w:lang w:val="en-US" w:eastAsia="zh-CN" w:bidi="ar-SA"/>
        </w:rPr>
        <w:t>六</w:t>
      </w:r>
      <w:r>
        <w:rPr>
          <w:rFonts w:hint="default" w:ascii="宋体" w:hAnsi="宋体" w:eastAsia="宋体" w:cs="宋体"/>
          <w:b/>
          <w:bCs/>
          <w:color w:val="auto"/>
          <w:kern w:val="44"/>
          <w:sz w:val="28"/>
          <w:szCs w:val="28"/>
          <w:highlight w:val="none"/>
          <w:lang w:val="en-US" w:eastAsia="zh-CN" w:bidi="ar-SA"/>
        </w:rPr>
        <w:t>个月，以合同</w:t>
      </w:r>
      <w:r>
        <w:rPr>
          <w:rFonts w:hint="eastAsia" w:ascii="宋体" w:hAnsi="宋体" w:eastAsia="宋体" w:cs="宋体"/>
          <w:b/>
          <w:bCs/>
          <w:color w:val="auto"/>
          <w:kern w:val="44"/>
          <w:sz w:val="28"/>
          <w:szCs w:val="28"/>
          <w:highlight w:val="none"/>
          <w:lang w:val="en-US" w:eastAsia="zh-CN" w:bidi="ar-SA"/>
        </w:rPr>
        <w:t>约</w:t>
      </w:r>
      <w:r>
        <w:rPr>
          <w:rFonts w:hint="default" w:ascii="宋体" w:hAnsi="宋体" w:eastAsia="宋体" w:cs="宋体"/>
          <w:b/>
          <w:bCs/>
          <w:color w:val="auto"/>
          <w:kern w:val="44"/>
          <w:sz w:val="28"/>
          <w:szCs w:val="28"/>
          <w:highlight w:val="none"/>
          <w:lang w:val="en-US" w:eastAsia="zh-CN" w:bidi="ar-SA"/>
        </w:rPr>
        <w:t>定时间为准</w:t>
      </w:r>
      <w:r>
        <w:rPr>
          <w:rFonts w:hint="eastAsia" w:ascii="宋体" w:hAnsi="宋体" w:eastAsia="宋体" w:cs="宋体"/>
          <w:b/>
          <w:bCs/>
          <w:color w:val="auto"/>
          <w:kern w:val="44"/>
          <w:sz w:val="28"/>
          <w:szCs w:val="28"/>
          <w:highlight w:val="none"/>
          <w:lang w:val="en-US" w:eastAsia="zh-CN" w:bidi="ar-SA"/>
        </w:rPr>
        <w:t>。</w:t>
      </w:r>
    </w:p>
    <w:p w14:paraId="1BD54A22">
      <w:pPr>
        <w:pStyle w:val="4"/>
        <w:bidi w:val="0"/>
        <w:rPr>
          <w:rFonts w:hint="default" w:ascii="宋体" w:hAnsi="宋体" w:eastAsia="宋体" w:cs="宋体"/>
          <w:b/>
          <w:bCs/>
          <w:color w:val="auto"/>
          <w:kern w:val="44"/>
          <w:sz w:val="28"/>
          <w:szCs w:val="28"/>
          <w:highlight w:val="none"/>
          <w:lang w:val="en-US" w:eastAsia="zh-CN" w:bidi="ar-SA"/>
        </w:rPr>
      </w:pPr>
      <w:r>
        <w:rPr>
          <w:rFonts w:hint="eastAsia" w:ascii="宋体" w:hAnsi="宋体" w:eastAsia="宋体" w:cs="宋体"/>
          <w:b/>
          <w:bCs/>
          <w:color w:val="auto"/>
          <w:kern w:val="44"/>
          <w:sz w:val="28"/>
          <w:szCs w:val="28"/>
          <w:highlight w:val="none"/>
          <w:lang w:val="en-US" w:eastAsia="zh-CN" w:bidi="ar-SA"/>
        </w:rPr>
        <w:t>6.2付款方式</w:t>
      </w:r>
    </w:p>
    <w:p w14:paraId="14F6B0F8">
      <w:pPr>
        <w:pStyle w:val="4"/>
        <w:bidi w:val="0"/>
        <w:rPr>
          <w:rFonts w:hint="eastAsia" w:ascii="宋体" w:hAnsi="宋体" w:eastAsia="宋体" w:cs="宋体"/>
          <w:b/>
          <w:bCs/>
          <w:color w:val="auto"/>
          <w:kern w:val="44"/>
          <w:sz w:val="28"/>
          <w:szCs w:val="28"/>
          <w:highlight w:val="none"/>
          <w:lang w:val="en-US" w:eastAsia="zh-CN" w:bidi="ar-SA"/>
        </w:rPr>
      </w:pPr>
      <w:r>
        <w:rPr>
          <w:rFonts w:hint="eastAsia" w:ascii="宋体" w:hAnsi="宋体" w:eastAsia="宋体" w:cs="宋体"/>
          <w:b/>
          <w:bCs/>
          <w:color w:val="auto"/>
          <w:kern w:val="44"/>
          <w:sz w:val="28"/>
          <w:szCs w:val="28"/>
          <w:highlight w:val="none"/>
          <w:lang w:val="en-US" w:eastAsia="zh-CN" w:bidi="ar-SA"/>
        </w:rPr>
        <w:t>按月支付：次月十五号支付上月费用</w:t>
      </w:r>
    </w:p>
    <w:p w14:paraId="24F593D2">
      <w:pPr>
        <w:pStyle w:val="4"/>
        <w:bidi w:val="0"/>
        <w:rPr>
          <w:rFonts w:hint="eastAsia" w:ascii="宋体" w:hAnsi="宋体" w:eastAsia="宋体" w:cs="宋体"/>
          <w:b/>
          <w:bCs/>
          <w:color w:val="auto"/>
          <w:kern w:val="44"/>
          <w:sz w:val="28"/>
          <w:szCs w:val="28"/>
          <w:highlight w:val="none"/>
          <w:lang w:val="en-US" w:eastAsia="zh-CN" w:bidi="ar-SA"/>
        </w:rPr>
      </w:pPr>
      <w:r>
        <w:rPr>
          <w:rFonts w:hint="eastAsia" w:ascii="宋体" w:hAnsi="宋体" w:eastAsia="宋体" w:cs="宋体"/>
          <w:b/>
          <w:bCs/>
          <w:color w:val="auto"/>
          <w:kern w:val="44"/>
          <w:sz w:val="28"/>
          <w:szCs w:val="28"/>
          <w:highlight w:val="none"/>
          <w:lang w:val="en-US" w:eastAsia="zh-CN" w:bidi="ar-SA"/>
        </w:rPr>
        <w:t>6.3验收标准与要求</w:t>
      </w:r>
    </w:p>
    <w:p w14:paraId="643B0965">
      <w:pPr>
        <w:pStyle w:val="4"/>
        <w:bidi w:val="0"/>
        <w:rPr>
          <w:rFonts w:hint="default" w:ascii="宋体" w:hAnsi="宋体" w:eastAsia="宋体" w:cs="宋体"/>
          <w:b/>
          <w:bCs/>
          <w:color w:val="auto"/>
          <w:kern w:val="44"/>
          <w:sz w:val="28"/>
          <w:szCs w:val="28"/>
          <w:highlight w:val="none"/>
          <w:lang w:val="en-US" w:eastAsia="zh-CN" w:bidi="ar-SA"/>
        </w:rPr>
      </w:pPr>
      <w:r>
        <w:rPr>
          <w:rFonts w:hint="eastAsia" w:ascii="宋体" w:hAnsi="宋体" w:eastAsia="宋体" w:cs="宋体"/>
          <w:b/>
          <w:bCs/>
          <w:color w:val="auto"/>
          <w:kern w:val="44"/>
          <w:sz w:val="28"/>
          <w:szCs w:val="28"/>
          <w:highlight w:val="none"/>
          <w:lang w:val="en-US" w:eastAsia="zh-CN" w:bidi="ar-SA"/>
        </w:rPr>
        <w:t>与各类服务标准保持一致</w:t>
      </w:r>
    </w:p>
    <w:p w14:paraId="1F5FF932">
      <w:pPr>
        <w:pStyle w:val="55"/>
        <w:pageBreakBefore w:val="0"/>
        <w:shd w:val="clear" w:color="auto" w:fill="auto"/>
        <w:kinsoku/>
        <w:wordWrap/>
        <w:overflowPunct/>
        <w:topLinePunct w:val="0"/>
        <w:bidi w:val="0"/>
        <w:spacing w:line="360" w:lineRule="auto"/>
        <w:ind w:firstLine="424" w:firstLineChars="177"/>
        <w:rPr>
          <w:rFonts w:hint="eastAsia" w:ascii="宋体" w:hAnsi="宋体" w:eastAsia="宋体" w:cs="宋体"/>
          <w:color w:val="auto"/>
          <w:sz w:val="24"/>
          <w:highlight w:val="none"/>
          <w:lang w:val="en-US" w:eastAsia="zh-CN"/>
        </w:rPr>
      </w:pPr>
    </w:p>
    <w:p w14:paraId="6401552E">
      <w:pPr>
        <w:pStyle w:val="55"/>
        <w:pageBreakBefore w:val="0"/>
        <w:shd w:val="clear" w:color="auto" w:fill="auto"/>
        <w:kinsoku/>
        <w:wordWrap/>
        <w:overflowPunct/>
        <w:topLinePunct w:val="0"/>
        <w:bidi w:val="0"/>
        <w:spacing w:line="360" w:lineRule="auto"/>
        <w:ind w:firstLine="424" w:firstLineChars="177"/>
        <w:rPr>
          <w:rFonts w:hint="eastAsia" w:ascii="宋体" w:hAnsi="宋体" w:eastAsia="宋体" w:cs="宋体"/>
          <w:color w:val="auto"/>
          <w:sz w:val="24"/>
          <w:highlight w:val="none"/>
        </w:rPr>
      </w:pPr>
    </w:p>
    <w:p w14:paraId="1EC5B892">
      <w:pPr>
        <w:pStyle w:val="55"/>
        <w:pageBreakBefore w:val="0"/>
        <w:shd w:val="clear" w:color="auto" w:fill="auto"/>
        <w:kinsoku/>
        <w:wordWrap/>
        <w:overflowPunct/>
        <w:topLinePunct w:val="0"/>
        <w:bidi w:val="0"/>
        <w:spacing w:line="360" w:lineRule="auto"/>
        <w:ind w:firstLine="424" w:firstLineChars="177"/>
        <w:rPr>
          <w:rFonts w:hint="eastAsia" w:ascii="宋体" w:hAnsi="宋体" w:eastAsia="宋体" w:cs="宋体"/>
          <w:color w:val="auto"/>
          <w:sz w:val="24"/>
          <w:highlight w:val="none"/>
        </w:rPr>
      </w:pPr>
    </w:p>
    <w:p w14:paraId="08BEC8F1">
      <w:pPr>
        <w:pStyle w:val="15"/>
        <w:rPr>
          <w:rFonts w:hint="eastAsia"/>
          <w:color w:val="auto"/>
          <w:highlight w:val="none"/>
          <w:lang w:val="zh-CN" w:eastAsia="zh-CN"/>
        </w:rPr>
      </w:pPr>
    </w:p>
    <w:p w14:paraId="6711D9E9">
      <w:pPr>
        <w:rPr>
          <w:rFonts w:hint="eastAsia"/>
          <w:color w:val="auto"/>
          <w:highlight w:val="none"/>
          <w:lang w:val="zh-CN" w:eastAsia="zh-CN"/>
        </w:rPr>
      </w:pPr>
      <w:r>
        <w:rPr>
          <w:rFonts w:hint="eastAsia"/>
          <w:color w:val="auto"/>
          <w:highlight w:val="none"/>
          <w:lang w:val="zh-CN" w:eastAsia="zh-CN"/>
        </w:rPr>
        <w:br w:type="page"/>
      </w:r>
    </w:p>
    <w:p w14:paraId="1AD15303">
      <w:pPr>
        <w:rPr>
          <w:rFonts w:hint="eastAsia"/>
          <w:lang w:val="zh-CN" w:eastAsia="zh-CN"/>
        </w:rPr>
      </w:pPr>
    </w:p>
    <w:p w14:paraId="40E22A06">
      <w:pPr>
        <w:pStyle w:val="3"/>
        <w:keepNext/>
        <w:keepLines/>
        <w:pageBreakBefore w:val="0"/>
        <w:widowControl w:val="0"/>
        <w:numPr>
          <w:ilvl w:val="0"/>
          <w:numId w:val="3"/>
        </w:numPr>
        <w:kinsoku/>
        <w:wordWrap/>
        <w:overflowPunct/>
        <w:topLinePunct w:val="0"/>
        <w:autoSpaceDE/>
        <w:autoSpaceDN/>
        <w:bidi w:val="0"/>
        <w:adjustRightInd/>
        <w:snapToGrid/>
        <w:spacing w:before="220" w:after="220" w:line="480" w:lineRule="auto"/>
        <w:ind w:left="420" w:leftChars="0" w:hanging="420" w:firstLineChars="0"/>
        <w:textAlignment w:val="auto"/>
        <w:rPr>
          <w:rFonts w:hint="eastAsia" w:ascii="宋体" w:hAnsi="宋体" w:eastAsia="宋体" w:cs="宋体"/>
          <w:b/>
          <w:bCs/>
          <w:color w:val="auto"/>
          <w:kern w:val="44"/>
          <w:sz w:val="36"/>
          <w:szCs w:val="36"/>
          <w:highlight w:val="none"/>
          <w:lang w:val="en-US" w:eastAsia="zh-CN" w:bidi="ar-SA"/>
        </w:rPr>
      </w:pPr>
      <w:bookmarkStart w:id="454" w:name="_Toc25172"/>
      <w:bookmarkStart w:id="455" w:name="_Toc17715"/>
      <w:bookmarkStart w:id="456" w:name="_Toc155185895"/>
      <w:r>
        <w:rPr>
          <w:rFonts w:hint="eastAsia" w:ascii="宋体" w:hAnsi="宋体" w:eastAsia="宋体" w:cs="宋体"/>
          <w:b/>
          <w:bCs/>
          <w:color w:val="auto"/>
          <w:kern w:val="44"/>
          <w:sz w:val="36"/>
          <w:szCs w:val="36"/>
          <w:highlight w:val="none"/>
          <w:lang w:val="en-US" w:eastAsia="zh-CN" w:bidi="ar-SA"/>
        </w:rPr>
        <w:t>资格审查</w:t>
      </w:r>
      <w:bookmarkEnd w:id="454"/>
      <w:bookmarkEnd w:id="455"/>
      <w:bookmarkEnd w:id="456"/>
    </w:p>
    <w:p w14:paraId="11B227F7">
      <w:pPr>
        <w:pStyle w:val="3"/>
        <w:keepNext/>
        <w:keepLines/>
        <w:pageBreakBefore w:val="0"/>
        <w:widowControl w:val="0"/>
        <w:numPr>
          <w:ilvl w:val="0"/>
          <w:numId w:val="0"/>
        </w:numPr>
        <w:kinsoku/>
        <w:wordWrap/>
        <w:overflowPunct/>
        <w:topLinePunct w:val="0"/>
        <w:autoSpaceDE/>
        <w:autoSpaceDN/>
        <w:bidi w:val="0"/>
        <w:adjustRightInd/>
        <w:snapToGrid/>
        <w:spacing w:before="220" w:after="220" w:line="480" w:lineRule="auto"/>
        <w:ind w:leftChars="0"/>
        <w:jc w:val="both"/>
        <w:textAlignment w:val="auto"/>
        <w:rPr>
          <w:rFonts w:hint="eastAsia" w:ascii="宋体" w:hAnsi="宋体" w:eastAsia="宋体" w:cs="宋体"/>
          <w:b/>
          <w:bCs/>
          <w:color w:val="auto"/>
          <w:kern w:val="44"/>
          <w:sz w:val="36"/>
          <w:szCs w:val="36"/>
          <w:highlight w:val="none"/>
          <w:lang w:val="en-US" w:eastAsia="zh-CN" w:bidi="ar-SA"/>
        </w:rPr>
      </w:pPr>
      <w:bookmarkStart w:id="457" w:name="_Toc12435"/>
      <w:r>
        <w:rPr>
          <w:rFonts w:hint="eastAsia"/>
          <w:b/>
          <w:bCs/>
          <w:sz w:val="32"/>
          <w:szCs w:val="32"/>
          <w:u w:val="thick"/>
          <w:lang w:val="en-US" w:eastAsia="zh-CN"/>
        </w:rPr>
        <w:t>包1、包2均采用同一评审方法</w:t>
      </w:r>
      <w:bookmarkEnd w:id="457"/>
    </w:p>
    <w:p w14:paraId="2133133E">
      <w:pPr>
        <w:pStyle w:val="2"/>
        <w:keepNext/>
        <w:keepLines/>
        <w:pageBreakBefore w:val="0"/>
        <w:widowControl w:val="0"/>
        <w:numPr>
          <w:ilvl w:val="0"/>
          <w:numId w:val="0"/>
        </w:numPr>
        <w:kinsoku/>
        <w:wordWrap/>
        <w:overflowPunct/>
        <w:topLinePunct w:val="0"/>
        <w:autoSpaceDE/>
        <w:autoSpaceDN/>
        <w:bidi w:val="0"/>
        <w:adjustRightInd/>
        <w:snapToGrid/>
        <w:spacing w:before="60" w:after="60" w:line="360" w:lineRule="auto"/>
        <w:ind w:left="420" w:leftChars="0" w:hanging="420" w:firstLineChars="0"/>
        <w:textAlignment w:val="auto"/>
        <w:rPr>
          <w:rFonts w:hint="eastAsia"/>
          <w:color w:val="auto"/>
          <w:sz w:val="28"/>
          <w:szCs w:val="28"/>
          <w:highlight w:val="none"/>
          <w:lang w:val="zh-CN" w:eastAsia="zh-CN"/>
        </w:rPr>
      </w:pPr>
      <w:bookmarkStart w:id="458" w:name="_Toc31801"/>
      <w:r>
        <w:rPr>
          <w:rFonts w:hint="eastAsia"/>
          <w:color w:val="auto"/>
          <w:sz w:val="28"/>
          <w:szCs w:val="28"/>
          <w:highlight w:val="none"/>
          <w:lang w:val="en-US" w:eastAsia="zh-CN"/>
        </w:rPr>
        <w:t>一、资格审查程序</w:t>
      </w:r>
      <w:bookmarkEnd w:id="458"/>
      <w:r>
        <w:rPr>
          <w:rFonts w:hint="eastAsia"/>
          <w:color w:val="auto"/>
          <w:sz w:val="28"/>
          <w:szCs w:val="28"/>
          <w:highlight w:val="none"/>
          <w:lang w:val="en-US" w:eastAsia="zh-CN"/>
        </w:rPr>
        <w:t xml:space="preserve"> </w:t>
      </w:r>
    </w:p>
    <w:p w14:paraId="4E4090D3">
      <w:pPr>
        <w:pStyle w:val="38"/>
        <w:keepNext w:val="0"/>
        <w:keepLines w:val="0"/>
        <w:pageBreakBefore w:val="0"/>
        <w:widowControl w:val="0"/>
        <w:kinsoku/>
        <w:wordWrap w:val="0"/>
        <w:overflowPunct/>
        <w:topLinePunct w:val="0"/>
        <w:autoSpaceDE/>
        <w:autoSpaceDN/>
        <w:bidi w:val="0"/>
        <w:adjustRightInd/>
        <w:snapToGrid/>
        <w:spacing w:line="400" w:lineRule="exact"/>
        <w:ind w:firstLine="482"/>
        <w:textAlignment w:val="auto"/>
        <w:rPr>
          <w:rFonts w:hint="eastAsia"/>
          <w:color w:val="auto"/>
          <w:highlight w:val="none"/>
        </w:rPr>
      </w:pPr>
      <w:r>
        <w:rPr>
          <w:rFonts w:hint="eastAsia"/>
          <w:color w:val="auto"/>
          <w:highlight w:val="none"/>
          <w:lang w:val="en-US" w:eastAsia="zh-CN"/>
        </w:rPr>
        <w:t xml:space="preserve">1 开标结束后，采购人或采购代理机构将根据《资格审查要求》中的规定，对投标人进行资格审查，并形成资格审查结果。 </w:t>
      </w:r>
    </w:p>
    <w:p w14:paraId="62799CDE">
      <w:pPr>
        <w:pStyle w:val="38"/>
        <w:keepNext w:val="0"/>
        <w:keepLines w:val="0"/>
        <w:pageBreakBefore w:val="0"/>
        <w:widowControl w:val="0"/>
        <w:kinsoku/>
        <w:wordWrap w:val="0"/>
        <w:overflowPunct/>
        <w:topLinePunct w:val="0"/>
        <w:autoSpaceDE/>
        <w:autoSpaceDN/>
        <w:bidi w:val="0"/>
        <w:adjustRightInd/>
        <w:snapToGrid/>
        <w:spacing w:line="400" w:lineRule="exact"/>
        <w:ind w:firstLine="482"/>
        <w:textAlignment w:val="auto"/>
        <w:rPr>
          <w:rFonts w:hint="eastAsia"/>
          <w:color w:val="auto"/>
          <w:highlight w:val="none"/>
        </w:rPr>
      </w:pPr>
      <w:r>
        <w:rPr>
          <w:rFonts w:hint="default"/>
          <w:color w:val="auto"/>
          <w:highlight w:val="none"/>
          <w:lang w:val="en-US" w:eastAsia="zh-CN"/>
        </w:rPr>
        <w:t xml:space="preserve">2 </w:t>
      </w:r>
      <w:r>
        <w:rPr>
          <w:rFonts w:hint="eastAsia"/>
          <w:color w:val="auto"/>
          <w:highlight w:val="none"/>
          <w:lang w:val="en-US" w:eastAsia="zh-CN"/>
        </w:rPr>
        <w:t>投标人《资格证明文件》有任何一项不符合《资格审查要求》的，资格审查不合格，其</w:t>
      </w:r>
      <w:r>
        <w:rPr>
          <w:rFonts w:hint="eastAsia"/>
          <w:b/>
          <w:bCs/>
          <w:color w:val="auto"/>
          <w:highlight w:val="none"/>
          <w:lang w:val="en-US" w:eastAsia="zh-CN"/>
        </w:rPr>
        <w:t>投标无效</w:t>
      </w:r>
      <w:r>
        <w:rPr>
          <w:rFonts w:hint="eastAsia"/>
          <w:color w:val="auto"/>
          <w:highlight w:val="none"/>
          <w:lang w:val="en-US" w:eastAsia="zh-CN"/>
        </w:rPr>
        <w:t xml:space="preserve">。 </w:t>
      </w:r>
    </w:p>
    <w:p w14:paraId="37E914D8">
      <w:pPr>
        <w:pStyle w:val="38"/>
        <w:keepNext w:val="0"/>
        <w:keepLines w:val="0"/>
        <w:pageBreakBefore w:val="0"/>
        <w:widowControl w:val="0"/>
        <w:kinsoku/>
        <w:wordWrap w:val="0"/>
        <w:overflowPunct/>
        <w:topLinePunct w:val="0"/>
        <w:autoSpaceDE/>
        <w:autoSpaceDN/>
        <w:bidi w:val="0"/>
        <w:adjustRightInd/>
        <w:snapToGrid/>
        <w:spacing w:line="400" w:lineRule="exact"/>
        <w:ind w:firstLine="482"/>
        <w:textAlignment w:val="auto"/>
        <w:rPr>
          <w:rFonts w:hint="eastAsia"/>
          <w:color w:val="auto"/>
          <w:highlight w:val="none"/>
        </w:rPr>
      </w:pPr>
      <w:r>
        <w:rPr>
          <w:rFonts w:hint="eastAsia"/>
          <w:color w:val="auto"/>
          <w:highlight w:val="none"/>
          <w:lang w:val="en-US" w:eastAsia="zh-CN"/>
        </w:rPr>
        <w:t>3</w:t>
      </w:r>
      <w:r>
        <w:rPr>
          <w:rFonts w:hint="default"/>
          <w:color w:val="auto"/>
          <w:highlight w:val="none"/>
          <w:lang w:val="en-US" w:eastAsia="zh-CN"/>
        </w:rPr>
        <w:t xml:space="preserve"> </w:t>
      </w:r>
      <w:r>
        <w:rPr>
          <w:rFonts w:hint="eastAsia"/>
          <w:color w:val="auto"/>
          <w:highlight w:val="none"/>
          <w:lang w:val="en-US" w:eastAsia="zh-CN"/>
        </w:rPr>
        <w:t xml:space="preserve">资格审查合格的投标人不足 </w:t>
      </w:r>
      <w:r>
        <w:rPr>
          <w:rFonts w:hint="default"/>
          <w:color w:val="auto"/>
          <w:highlight w:val="none"/>
          <w:lang w:val="en-US" w:eastAsia="zh-CN"/>
        </w:rPr>
        <w:t xml:space="preserve">3 </w:t>
      </w:r>
      <w:r>
        <w:rPr>
          <w:rFonts w:hint="eastAsia"/>
          <w:color w:val="auto"/>
          <w:highlight w:val="none"/>
          <w:lang w:val="en-US" w:eastAsia="zh-CN"/>
        </w:rPr>
        <w:t xml:space="preserve">家的，不进行评标。 </w:t>
      </w:r>
    </w:p>
    <w:p w14:paraId="1720E868">
      <w:pPr>
        <w:pStyle w:val="2"/>
        <w:keepNext/>
        <w:keepLines/>
        <w:pageBreakBefore w:val="0"/>
        <w:widowControl w:val="0"/>
        <w:numPr>
          <w:ilvl w:val="0"/>
          <w:numId w:val="0"/>
        </w:numPr>
        <w:kinsoku/>
        <w:wordWrap/>
        <w:overflowPunct/>
        <w:topLinePunct w:val="0"/>
        <w:autoSpaceDE/>
        <w:autoSpaceDN/>
        <w:bidi w:val="0"/>
        <w:adjustRightInd/>
        <w:snapToGrid/>
        <w:spacing w:before="60" w:after="60" w:line="360" w:lineRule="auto"/>
        <w:ind w:left="420" w:leftChars="0" w:hanging="420" w:firstLineChars="0"/>
        <w:textAlignment w:val="auto"/>
        <w:rPr>
          <w:rFonts w:hint="eastAsia"/>
          <w:color w:val="auto"/>
          <w:sz w:val="28"/>
          <w:szCs w:val="28"/>
          <w:highlight w:val="none"/>
          <w:lang w:val="en-US" w:eastAsia="zh-CN"/>
        </w:rPr>
      </w:pPr>
      <w:bookmarkStart w:id="459" w:name="_Toc19754"/>
      <w:r>
        <w:rPr>
          <w:rFonts w:hint="eastAsia"/>
          <w:color w:val="auto"/>
          <w:sz w:val="28"/>
          <w:szCs w:val="28"/>
          <w:highlight w:val="none"/>
          <w:lang w:val="en-US" w:eastAsia="zh-CN"/>
        </w:rPr>
        <w:t>二、资格审查要求</w:t>
      </w:r>
      <w:bookmarkEnd w:id="459"/>
      <w:r>
        <w:rPr>
          <w:rFonts w:hint="eastAsia"/>
          <w:color w:val="auto"/>
          <w:sz w:val="28"/>
          <w:szCs w:val="28"/>
          <w:highlight w:val="none"/>
          <w:lang w:val="en-US" w:eastAsia="zh-CN"/>
        </w:rPr>
        <w:t xml:space="preserve"> </w:t>
      </w:r>
    </w:p>
    <w:tbl>
      <w:tblPr>
        <w:tblStyle w:val="31"/>
        <w:tblW w:w="54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812"/>
        <w:gridCol w:w="1639"/>
        <w:gridCol w:w="5554"/>
        <w:gridCol w:w="1354"/>
      </w:tblGrid>
      <w:tr w14:paraId="37B33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34" w:type="pct"/>
            <w:shd w:val="clear" w:color="auto" w:fill="D8D8D8" w:themeFill="background1" w:themeFillShade="D9"/>
            <w:vAlign w:val="center"/>
          </w:tcPr>
          <w:p w14:paraId="34AD18E7">
            <w:pPr>
              <w:pStyle w:val="50"/>
              <w:jc w:val="center"/>
              <w:rPr>
                <w:rFonts w:hint="eastAsia" w:ascii="宋体" w:hAnsi="宋体" w:eastAsia="宋体" w:cs="宋体"/>
                <w:b/>
                <w:bCs/>
                <w:i w:val="0"/>
                <w:iCs w:val="0"/>
                <w:color w:val="auto"/>
                <w:sz w:val="24"/>
                <w:szCs w:val="24"/>
                <w:highlight w:val="none"/>
              </w:rPr>
            </w:pPr>
            <w:r>
              <w:rPr>
                <w:rFonts w:hint="eastAsia" w:ascii="宋体" w:hAnsi="宋体" w:eastAsia="宋体" w:cs="宋体"/>
                <w:b/>
                <w:bCs/>
                <w:i w:val="0"/>
                <w:iCs w:val="0"/>
                <w:color w:val="auto"/>
                <w:sz w:val="24"/>
                <w:szCs w:val="24"/>
                <w:highlight w:val="none"/>
              </w:rPr>
              <w:t>序号</w:t>
            </w:r>
          </w:p>
        </w:tc>
        <w:tc>
          <w:tcPr>
            <w:tcW w:w="875" w:type="pct"/>
            <w:shd w:val="clear" w:color="auto" w:fill="D8D8D8" w:themeFill="background1" w:themeFillShade="D9"/>
            <w:vAlign w:val="center"/>
          </w:tcPr>
          <w:p w14:paraId="7BF466DB">
            <w:pPr>
              <w:pStyle w:val="50"/>
              <w:jc w:val="center"/>
              <w:rPr>
                <w:rFonts w:hint="eastAsia" w:ascii="宋体" w:hAnsi="宋体" w:eastAsia="宋体" w:cs="宋体"/>
                <w:b/>
                <w:bCs/>
                <w:i w:val="0"/>
                <w:iCs w:val="0"/>
                <w:color w:val="auto"/>
                <w:sz w:val="24"/>
                <w:szCs w:val="24"/>
                <w:highlight w:val="none"/>
                <w:lang w:val="en-US" w:eastAsia="zh-CN"/>
              </w:rPr>
            </w:pPr>
            <w:r>
              <w:rPr>
                <w:rFonts w:hint="eastAsia" w:ascii="宋体" w:hAnsi="宋体" w:eastAsia="宋体" w:cs="宋体"/>
                <w:b/>
                <w:bCs/>
                <w:i w:val="0"/>
                <w:iCs w:val="0"/>
                <w:color w:val="auto"/>
                <w:sz w:val="24"/>
                <w:szCs w:val="24"/>
                <w:highlight w:val="none"/>
                <w:lang w:val="en-US" w:eastAsia="zh-CN"/>
              </w:rPr>
              <w:t>审查因素</w:t>
            </w:r>
          </w:p>
        </w:tc>
        <w:tc>
          <w:tcPr>
            <w:tcW w:w="2966" w:type="pct"/>
            <w:shd w:val="clear" w:color="auto" w:fill="D8D8D8" w:themeFill="background1" w:themeFillShade="D9"/>
            <w:vAlign w:val="center"/>
          </w:tcPr>
          <w:p w14:paraId="4E119A43">
            <w:pPr>
              <w:pStyle w:val="50"/>
              <w:jc w:val="center"/>
              <w:rPr>
                <w:rFonts w:hint="eastAsia" w:ascii="宋体" w:hAnsi="宋体" w:eastAsia="宋体" w:cs="宋体"/>
                <w:b/>
                <w:bCs/>
                <w:i w:val="0"/>
                <w:iCs w:val="0"/>
                <w:color w:val="auto"/>
                <w:sz w:val="24"/>
                <w:szCs w:val="24"/>
                <w:highlight w:val="none"/>
              </w:rPr>
            </w:pPr>
            <w:r>
              <w:rPr>
                <w:rFonts w:hint="eastAsia" w:ascii="宋体" w:hAnsi="宋体" w:eastAsia="宋体" w:cs="宋体"/>
                <w:b/>
                <w:bCs/>
                <w:i w:val="0"/>
                <w:iCs w:val="0"/>
                <w:color w:val="auto"/>
                <w:sz w:val="24"/>
                <w:szCs w:val="24"/>
                <w:highlight w:val="none"/>
              </w:rPr>
              <w:t>审查内容</w:t>
            </w:r>
          </w:p>
        </w:tc>
        <w:tc>
          <w:tcPr>
            <w:tcW w:w="723" w:type="pct"/>
            <w:shd w:val="clear" w:color="auto" w:fill="D8D8D8" w:themeFill="background1" w:themeFillShade="D9"/>
            <w:vAlign w:val="center"/>
          </w:tcPr>
          <w:p w14:paraId="4CAA5939">
            <w:pPr>
              <w:pStyle w:val="50"/>
              <w:jc w:val="center"/>
              <w:rPr>
                <w:rFonts w:hint="eastAsia" w:ascii="宋体" w:hAnsi="宋体" w:eastAsia="宋体" w:cs="宋体"/>
                <w:b/>
                <w:bCs/>
                <w:i w:val="0"/>
                <w:iCs w:val="0"/>
                <w:color w:val="auto"/>
                <w:sz w:val="24"/>
                <w:szCs w:val="24"/>
                <w:highlight w:val="none"/>
                <w:lang w:val="en-US" w:eastAsia="zh-CN"/>
              </w:rPr>
            </w:pPr>
            <w:r>
              <w:rPr>
                <w:rFonts w:hint="eastAsia" w:ascii="宋体" w:hAnsi="宋体" w:eastAsia="宋体" w:cs="宋体"/>
                <w:b/>
                <w:bCs/>
                <w:i w:val="0"/>
                <w:iCs w:val="0"/>
                <w:color w:val="auto"/>
                <w:sz w:val="24"/>
                <w:szCs w:val="24"/>
                <w:highlight w:val="none"/>
                <w:lang w:val="en-US" w:eastAsia="zh-CN"/>
              </w:rPr>
              <w:t>格式要求</w:t>
            </w:r>
          </w:p>
        </w:tc>
      </w:tr>
      <w:tr w14:paraId="21A9B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20" w:hRule="atLeast"/>
          <w:jc w:val="center"/>
        </w:trPr>
        <w:tc>
          <w:tcPr>
            <w:tcW w:w="434" w:type="pct"/>
            <w:shd w:val="clear" w:color="auto" w:fill="FFFFFF" w:themeFill="background1"/>
            <w:vAlign w:val="center"/>
          </w:tcPr>
          <w:p w14:paraId="513BC67D">
            <w:pPr>
              <w:pStyle w:val="50"/>
              <w:jc w:val="center"/>
              <w:rPr>
                <w:rFonts w:hint="eastAsia" w:ascii="宋体" w:hAnsi="宋体" w:eastAsia="宋体" w:cs="宋体"/>
                <w:b/>
                <w:bCs/>
                <w:i w:val="0"/>
                <w:iCs w:val="0"/>
                <w:color w:val="auto"/>
                <w:sz w:val="24"/>
                <w:szCs w:val="24"/>
                <w:highlight w:val="none"/>
                <w:lang w:val="en-US" w:eastAsia="zh-CN"/>
              </w:rPr>
            </w:pPr>
            <w:r>
              <w:rPr>
                <w:rFonts w:hint="eastAsia" w:ascii="宋体" w:hAnsi="宋体" w:eastAsia="宋体" w:cs="宋体"/>
                <w:b/>
                <w:bCs/>
                <w:i w:val="0"/>
                <w:iCs w:val="0"/>
                <w:color w:val="auto"/>
                <w:sz w:val="24"/>
                <w:szCs w:val="24"/>
                <w:highlight w:val="none"/>
                <w:lang w:val="en-US" w:eastAsia="zh-CN"/>
              </w:rPr>
              <w:t>1</w:t>
            </w:r>
          </w:p>
        </w:tc>
        <w:tc>
          <w:tcPr>
            <w:tcW w:w="875" w:type="pct"/>
            <w:shd w:val="clear" w:color="auto" w:fill="FFFFFF" w:themeFill="background1"/>
            <w:vAlign w:val="center"/>
          </w:tcPr>
          <w:p w14:paraId="73C03E77">
            <w:pPr>
              <w:pStyle w:val="50"/>
              <w:jc w:val="both"/>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满足《政府采购法》第二十二条规定</w:t>
            </w:r>
          </w:p>
        </w:tc>
        <w:tc>
          <w:tcPr>
            <w:tcW w:w="2966" w:type="pct"/>
            <w:shd w:val="clear" w:color="auto" w:fill="FFFFFF" w:themeFill="background1"/>
            <w:vAlign w:val="center"/>
          </w:tcPr>
          <w:p w14:paraId="3408CCA4">
            <w:pPr>
              <w:pStyle w:val="50"/>
              <w:jc w:val="both"/>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满足资格文件要求</w:t>
            </w:r>
          </w:p>
        </w:tc>
        <w:tc>
          <w:tcPr>
            <w:tcW w:w="723" w:type="pct"/>
            <w:shd w:val="clear" w:color="auto" w:fill="FFFFFF" w:themeFill="background1"/>
            <w:vAlign w:val="center"/>
          </w:tcPr>
          <w:p w14:paraId="1B8BDA57">
            <w:pPr>
              <w:pStyle w:val="50"/>
              <w:jc w:val="center"/>
              <w:rPr>
                <w:rFonts w:hint="eastAsia" w:ascii="宋体" w:hAnsi="宋体" w:eastAsia="宋体" w:cs="宋体"/>
                <w:b/>
                <w:bCs/>
                <w:i w:val="0"/>
                <w:iCs w:val="0"/>
                <w:color w:val="auto"/>
                <w:sz w:val="24"/>
                <w:szCs w:val="24"/>
                <w:highlight w:val="none"/>
              </w:rPr>
            </w:pPr>
          </w:p>
        </w:tc>
      </w:tr>
      <w:tr w14:paraId="1A5DD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20" w:hRule="atLeast"/>
          <w:jc w:val="center"/>
        </w:trPr>
        <w:tc>
          <w:tcPr>
            <w:tcW w:w="434" w:type="pct"/>
            <w:shd w:val="clear" w:color="auto" w:fill="FFFFFF" w:themeFill="background1"/>
            <w:vAlign w:val="center"/>
          </w:tcPr>
          <w:p w14:paraId="7B21D948">
            <w:pPr>
              <w:pStyle w:val="50"/>
              <w:jc w:val="center"/>
              <w:rPr>
                <w:rFonts w:hint="eastAsia" w:ascii="宋体" w:hAnsi="宋体" w:eastAsia="宋体" w:cs="宋体"/>
                <w:b/>
                <w:bCs/>
                <w:i w:val="0"/>
                <w:iCs w:val="0"/>
                <w:color w:val="auto"/>
                <w:sz w:val="24"/>
                <w:szCs w:val="24"/>
                <w:highlight w:val="none"/>
                <w:lang w:val="en-US" w:eastAsia="zh-CN"/>
              </w:rPr>
            </w:pPr>
            <w:r>
              <w:rPr>
                <w:rFonts w:hint="eastAsia" w:ascii="宋体" w:hAnsi="宋体" w:eastAsia="宋体" w:cs="宋体"/>
                <w:b/>
                <w:bCs/>
                <w:i w:val="0"/>
                <w:iCs w:val="0"/>
                <w:color w:val="auto"/>
                <w:sz w:val="24"/>
                <w:szCs w:val="24"/>
                <w:highlight w:val="none"/>
                <w:lang w:val="en-US" w:eastAsia="zh-CN"/>
              </w:rPr>
              <w:t>2</w:t>
            </w:r>
          </w:p>
        </w:tc>
        <w:tc>
          <w:tcPr>
            <w:tcW w:w="875" w:type="pct"/>
            <w:shd w:val="clear" w:color="auto" w:fill="FFFFFF" w:themeFill="background1"/>
            <w:vAlign w:val="center"/>
          </w:tcPr>
          <w:p w14:paraId="42FFF3C8">
            <w:pPr>
              <w:pStyle w:val="50"/>
              <w:jc w:val="both"/>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pacing w:val="-6"/>
                <w:kern w:val="0"/>
                <w:sz w:val="24"/>
                <w:szCs w:val="24"/>
                <w:highlight w:val="none"/>
                <w:lang w:val="en-US" w:eastAsia="zh-CN" w:bidi="ar"/>
              </w:rPr>
              <w:t>提供的《兵团政府采购供应商信用承诺函》。</w:t>
            </w:r>
          </w:p>
        </w:tc>
        <w:tc>
          <w:tcPr>
            <w:tcW w:w="2966" w:type="pct"/>
            <w:shd w:val="clear" w:color="auto" w:fill="FFFFFF" w:themeFill="background1"/>
            <w:vAlign w:val="center"/>
          </w:tcPr>
          <w:p w14:paraId="289F7B96">
            <w:pPr>
              <w:pStyle w:val="50"/>
              <w:jc w:val="both"/>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pacing w:val="-6"/>
                <w:kern w:val="0"/>
                <w:sz w:val="24"/>
                <w:szCs w:val="24"/>
                <w:highlight w:val="none"/>
                <w:lang w:val="en-US" w:eastAsia="zh-CN" w:bidi="ar"/>
              </w:rPr>
              <w:t>提供符合文件要求的《兵团政府采购供应商信用承诺函》。</w:t>
            </w:r>
          </w:p>
        </w:tc>
        <w:tc>
          <w:tcPr>
            <w:tcW w:w="723" w:type="pct"/>
            <w:shd w:val="clear" w:color="auto" w:fill="FFFFFF" w:themeFill="background1"/>
            <w:vAlign w:val="center"/>
          </w:tcPr>
          <w:p w14:paraId="0876EC5B">
            <w:pPr>
              <w:pStyle w:val="50"/>
              <w:jc w:val="center"/>
              <w:rPr>
                <w:rFonts w:hint="eastAsia" w:ascii="宋体" w:hAnsi="宋体" w:eastAsia="宋体" w:cs="宋体"/>
                <w:b/>
                <w:bCs/>
                <w:i w:val="0"/>
                <w:iCs w:val="0"/>
                <w:color w:val="auto"/>
                <w:sz w:val="24"/>
                <w:szCs w:val="24"/>
                <w:highlight w:val="none"/>
              </w:rPr>
            </w:pPr>
          </w:p>
        </w:tc>
      </w:tr>
      <w:tr w14:paraId="053C7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18" w:hRule="atLeast"/>
          <w:jc w:val="center"/>
        </w:trPr>
        <w:tc>
          <w:tcPr>
            <w:tcW w:w="434" w:type="pct"/>
            <w:shd w:val="clear" w:color="auto" w:fill="FFFFFF" w:themeFill="background1"/>
            <w:vAlign w:val="center"/>
          </w:tcPr>
          <w:p w14:paraId="24FDDE2A">
            <w:pPr>
              <w:pStyle w:val="50"/>
              <w:jc w:val="center"/>
              <w:rPr>
                <w:rFonts w:hint="eastAsia" w:ascii="宋体" w:hAnsi="宋体" w:eastAsia="宋体" w:cs="宋体"/>
                <w:b/>
                <w:bCs/>
                <w:i w:val="0"/>
                <w:iCs w:val="0"/>
                <w:color w:val="auto"/>
                <w:sz w:val="24"/>
                <w:szCs w:val="24"/>
                <w:highlight w:val="none"/>
                <w:lang w:val="en-US" w:eastAsia="zh-CN"/>
              </w:rPr>
            </w:pPr>
            <w:r>
              <w:rPr>
                <w:rFonts w:hint="eastAsia" w:ascii="宋体" w:hAnsi="宋体" w:eastAsia="宋体" w:cs="宋体"/>
                <w:b/>
                <w:bCs/>
                <w:i w:val="0"/>
                <w:iCs w:val="0"/>
                <w:color w:val="auto"/>
                <w:sz w:val="24"/>
                <w:szCs w:val="24"/>
                <w:highlight w:val="none"/>
                <w:lang w:val="en-US" w:eastAsia="zh-CN"/>
              </w:rPr>
              <w:t>3</w:t>
            </w:r>
          </w:p>
        </w:tc>
        <w:tc>
          <w:tcPr>
            <w:tcW w:w="875" w:type="pct"/>
            <w:shd w:val="clear" w:color="auto" w:fill="FFFFFF" w:themeFill="background1"/>
            <w:vAlign w:val="center"/>
          </w:tcPr>
          <w:p w14:paraId="4B5BE3E6">
            <w:pPr>
              <w:pStyle w:val="50"/>
              <w:jc w:val="both"/>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kern w:val="0"/>
                <w:sz w:val="24"/>
                <w:szCs w:val="24"/>
                <w:highlight w:val="none"/>
                <w:lang w:val="en-US" w:eastAsia="zh-CN" w:bidi="ar"/>
              </w:rPr>
              <w:t>中小企业政策</w:t>
            </w:r>
          </w:p>
        </w:tc>
        <w:tc>
          <w:tcPr>
            <w:tcW w:w="2966" w:type="pct"/>
            <w:shd w:val="clear" w:color="auto" w:fill="FFFFFF" w:themeFill="background1"/>
            <w:vAlign w:val="center"/>
          </w:tcPr>
          <w:p w14:paraId="5B522749">
            <w:pPr>
              <w:pStyle w:val="50"/>
              <w:jc w:val="both"/>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供应商应为</w:t>
            </w:r>
            <w:r>
              <w:rPr>
                <w:rFonts w:hint="eastAsia" w:ascii="宋体" w:hAnsi="宋体" w:eastAsia="宋体" w:cs="宋体"/>
                <w:color w:val="auto"/>
                <w:sz w:val="24"/>
                <w:szCs w:val="24"/>
                <w:highlight w:val="none"/>
              </w:rPr>
              <w:t>应为中小微企业、监狱企业、残疾人福利性单位</w:t>
            </w:r>
            <w:r>
              <w:rPr>
                <w:rFonts w:hint="eastAsia" w:ascii="宋体" w:hAnsi="宋体" w:eastAsia="宋体" w:cs="宋体"/>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需提供中小企业声明函或者其他证明资料</w:t>
            </w:r>
          </w:p>
        </w:tc>
        <w:tc>
          <w:tcPr>
            <w:tcW w:w="723" w:type="pct"/>
            <w:shd w:val="clear" w:color="auto" w:fill="FFFFFF" w:themeFill="background1"/>
            <w:vAlign w:val="center"/>
          </w:tcPr>
          <w:p w14:paraId="6CB2E2F5">
            <w:pPr>
              <w:pStyle w:val="50"/>
              <w:jc w:val="center"/>
              <w:rPr>
                <w:rFonts w:hint="eastAsia" w:ascii="宋体" w:hAnsi="宋体" w:eastAsia="宋体" w:cs="宋体"/>
                <w:b/>
                <w:bCs/>
                <w:i w:val="0"/>
                <w:iCs w:val="0"/>
                <w:color w:val="auto"/>
                <w:sz w:val="24"/>
                <w:szCs w:val="24"/>
                <w:highlight w:val="none"/>
                <w:lang w:val="en-US" w:eastAsia="zh-CN"/>
              </w:rPr>
            </w:pPr>
            <w:r>
              <w:rPr>
                <w:rFonts w:hint="eastAsia" w:ascii="宋体" w:hAnsi="宋体" w:eastAsia="宋体" w:cs="宋体"/>
                <w:b/>
                <w:bCs/>
                <w:i w:val="0"/>
                <w:iCs w:val="0"/>
                <w:color w:val="auto"/>
                <w:sz w:val="24"/>
                <w:szCs w:val="24"/>
                <w:highlight w:val="none"/>
                <w:lang w:val="en-US" w:eastAsia="zh-CN"/>
              </w:rPr>
              <w:t>以招标文件格式为准</w:t>
            </w:r>
          </w:p>
        </w:tc>
      </w:tr>
      <w:tr w14:paraId="70B7E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18" w:hRule="atLeast"/>
          <w:jc w:val="center"/>
        </w:trPr>
        <w:tc>
          <w:tcPr>
            <w:tcW w:w="434" w:type="pct"/>
            <w:shd w:val="clear" w:color="auto" w:fill="FFFFFF" w:themeFill="background1"/>
            <w:vAlign w:val="center"/>
          </w:tcPr>
          <w:p w14:paraId="0DFB16ED">
            <w:pPr>
              <w:pStyle w:val="50"/>
              <w:jc w:val="center"/>
              <w:rPr>
                <w:rFonts w:hint="eastAsia" w:ascii="宋体" w:hAnsi="宋体" w:eastAsia="宋体" w:cs="宋体"/>
                <w:b/>
                <w:bCs/>
                <w:i w:val="0"/>
                <w:iCs w:val="0"/>
                <w:color w:val="auto"/>
                <w:sz w:val="24"/>
                <w:szCs w:val="24"/>
                <w:highlight w:val="none"/>
                <w:lang w:val="en-US" w:eastAsia="zh-CN"/>
              </w:rPr>
            </w:pPr>
            <w:r>
              <w:rPr>
                <w:rFonts w:hint="eastAsia" w:ascii="宋体" w:hAnsi="宋体" w:eastAsia="宋体" w:cs="宋体"/>
                <w:b/>
                <w:bCs/>
                <w:i w:val="0"/>
                <w:iCs w:val="0"/>
                <w:color w:val="auto"/>
                <w:sz w:val="24"/>
                <w:szCs w:val="24"/>
                <w:highlight w:val="none"/>
                <w:lang w:val="en-US" w:eastAsia="zh-CN"/>
              </w:rPr>
              <w:t>4</w:t>
            </w:r>
          </w:p>
        </w:tc>
        <w:tc>
          <w:tcPr>
            <w:tcW w:w="875" w:type="pct"/>
            <w:shd w:val="clear" w:color="auto" w:fill="FFFFFF" w:themeFill="background1"/>
            <w:vAlign w:val="center"/>
          </w:tcPr>
          <w:p w14:paraId="2CDF1EF3">
            <w:pPr>
              <w:pStyle w:val="50"/>
              <w:jc w:val="both"/>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不围标串标</w:t>
            </w:r>
          </w:p>
        </w:tc>
        <w:tc>
          <w:tcPr>
            <w:tcW w:w="2966" w:type="pct"/>
            <w:shd w:val="clear" w:color="auto" w:fill="FFFFFF" w:themeFill="background1"/>
            <w:vAlign w:val="center"/>
          </w:tcPr>
          <w:p w14:paraId="43EF9802">
            <w:pPr>
              <w:pStyle w:val="50"/>
              <w:jc w:val="both"/>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提供不围标串标承诺书</w:t>
            </w:r>
          </w:p>
        </w:tc>
        <w:tc>
          <w:tcPr>
            <w:tcW w:w="723" w:type="pct"/>
            <w:shd w:val="clear" w:color="auto" w:fill="FFFFFF" w:themeFill="background1"/>
            <w:vAlign w:val="center"/>
          </w:tcPr>
          <w:p w14:paraId="2164357F">
            <w:pPr>
              <w:pStyle w:val="50"/>
              <w:jc w:val="center"/>
              <w:rPr>
                <w:rFonts w:hint="eastAsia" w:ascii="宋体" w:hAnsi="宋体" w:eastAsia="宋体" w:cs="宋体"/>
                <w:b/>
                <w:bCs/>
                <w:i w:val="0"/>
                <w:iCs w:val="0"/>
                <w:color w:val="auto"/>
                <w:sz w:val="24"/>
                <w:szCs w:val="24"/>
                <w:highlight w:val="none"/>
                <w:lang w:val="en-US" w:eastAsia="zh-CN"/>
              </w:rPr>
            </w:pPr>
            <w:r>
              <w:rPr>
                <w:rFonts w:hint="eastAsia" w:ascii="宋体" w:hAnsi="宋体" w:eastAsia="宋体" w:cs="宋体"/>
                <w:b/>
                <w:bCs/>
                <w:i w:val="0"/>
                <w:iCs w:val="0"/>
                <w:color w:val="auto"/>
                <w:sz w:val="24"/>
                <w:szCs w:val="24"/>
                <w:highlight w:val="none"/>
                <w:lang w:val="en-US" w:eastAsia="zh-CN"/>
              </w:rPr>
              <w:t>以招标文件格式为准</w:t>
            </w:r>
          </w:p>
        </w:tc>
      </w:tr>
    </w:tbl>
    <w:p w14:paraId="5AB8F467">
      <w:pP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br w:type="page"/>
      </w:r>
    </w:p>
    <w:p w14:paraId="6D7F65FD">
      <w:pPr>
        <w:pStyle w:val="2"/>
        <w:rPr>
          <w:rFonts w:hint="eastAsia"/>
          <w:lang w:val="en-US" w:eastAsia="zh-CN"/>
        </w:rPr>
      </w:pPr>
    </w:p>
    <w:p w14:paraId="21B53EAD">
      <w:pPr>
        <w:pStyle w:val="3"/>
        <w:keepNext/>
        <w:keepLines/>
        <w:pageBreakBefore w:val="0"/>
        <w:widowControl w:val="0"/>
        <w:numPr>
          <w:ilvl w:val="0"/>
          <w:numId w:val="3"/>
        </w:numPr>
        <w:kinsoku/>
        <w:wordWrap/>
        <w:overflowPunct/>
        <w:topLinePunct w:val="0"/>
        <w:autoSpaceDE/>
        <w:autoSpaceDN/>
        <w:bidi w:val="0"/>
        <w:adjustRightInd/>
        <w:snapToGrid/>
        <w:spacing w:before="220" w:after="220" w:line="480" w:lineRule="auto"/>
        <w:ind w:left="420" w:leftChars="0" w:hanging="420" w:firstLineChars="0"/>
        <w:textAlignment w:val="auto"/>
        <w:rPr>
          <w:rFonts w:hint="eastAsia" w:ascii="宋体" w:hAnsi="宋体" w:eastAsia="宋体" w:cs="宋体"/>
          <w:b/>
          <w:bCs/>
          <w:color w:val="auto"/>
          <w:kern w:val="44"/>
          <w:sz w:val="36"/>
          <w:szCs w:val="36"/>
          <w:highlight w:val="none"/>
          <w:lang w:val="en-US" w:eastAsia="zh-CN" w:bidi="ar-SA"/>
        </w:rPr>
      </w:pPr>
      <w:bookmarkStart w:id="460" w:name="_Toc155185903"/>
      <w:bookmarkStart w:id="461" w:name="_Toc18814"/>
      <w:bookmarkStart w:id="462" w:name="_Toc15310"/>
      <w:r>
        <w:rPr>
          <w:rFonts w:hint="eastAsia" w:ascii="宋体" w:hAnsi="宋体" w:eastAsia="宋体" w:cs="宋体"/>
          <w:b/>
          <w:bCs/>
          <w:color w:val="auto"/>
          <w:kern w:val="44"/>
          <w:sz w:val="36"/>
          <w:szCs w:val="36"/>
          <w:highlight w:val="none"/>
          <w:lang w:val="en-US" w:eastAsia="zh-CN" w:bidi="ar-SA"/>
        </w:rPr>
        <w:t>评标方法</w:t>
      </w:r>
      <w:bookmarkEnd w:id="460"/>
      <w:r>
        <w:rPr>
          <w:rFonts w:hint="eastAsia" w:ascii="宋体" w:hAnsi="宋体" w:eastAsia="宋体" w:cs="宋体"/>
          <w:b/>
          <w:bCs/>
          <w:color w:val="auto"/>
          <w:kern w:val="44"/>
          <w:sz w:val="36"/>
          <w:szCs w:val="36"/>
          <w:highlight w:val="none"/>
          <w:lang w:val="en-US" w:eastAsia="zh-CN" w:bidi="ar-SA"/>
        </w:rPr>
        <w:t>及标准(综合评分法)</w:t>
      </w:r>
      <w:bookmarkEnd w:id="461"/>
      <w:bookmarkEnd w:id="462"/>
    </w:p>
    <w:p w14:paraId="3AF18052">
      <w:pPr>
        <w:pStyle w:val="3"/>
        <w:keepNext/>
        <w:keepLines/>
        <w:pageBreakBefore w:val="0"/>
        <w:widowControl w:val="0"/>
        <w:numPr>
          <w:ilvl w:val="0"/>
          <w:numId w:val="0"/>
        </w:numPr>
        <w:kinsoku/>
        <w:wordWrap/>
        <w:overflowPunct/>
        <w:topLinePunct w:val="0"/>
        <w:autoSpaceDE/>
        <w:autoSpaceDN/>
        <w:bidi w:val="0"/>
        <w:adjustRightInd/>
        <w:snapToGrid/>
        <w:spacing w:before="220" w:after="220" w:line="480" w:lineRule="auto"/>
        <w:ind w:leftChars="0"/>
        <w:jc w:val="both"/>
        <w:textAlignment w:val="auto"/>
        <w:rPr>
          <w:rFonts w:hint="default"/>
          <w:lang w:val="en-US" w:eastAsia="zh-CN"/>
        </w:rPr>
      </w:pPr>
      <w:bookmarkStart w:id="463" w:name="_Toc3497"/>
      <w:r>
        <w:rPr>
          <w:rFonts w:hint="eastAsia"/>
          <w:b/>
          <w:bCs/>
          <w:sz w:val="32"/>
          <w:szCs w:val="32"/>
          <w:u w:val="thick"/>
          <w:lang w:val="en-US" w:eastAsia="zh-CN"/>
        </w:rPr>
        <w:t>包1、包2均采用同一评审方法</w:t>
      </w:r>
      <w:bookmarkEnd w:id="463"/>
    </w:p>
    <w:p w14:paraId="2BB6F8A4">
      <w:pPr>
        <w:pStyle w:val="38"/>
        <w:rPr>
          <w:color w:val="auto"/>
          <w:highlight w:val="none"/>
        </w:rPr>
      </w:pPr>
      <w:r>
        <w:rPr>
          <w:rFonts w:hint="eastAsia"/>
          <w:color w:val="auto"/>
          <w:highlight w:val="none"/>
        </w:rPr>
        <w:t>根据《中华人民共和国政府采购法》及其实施条例、《政府采购货物和服务招标投标管理办法》</w:t>
      </w:r>
      <w:r>
        <w:rPr>
          <w:rFonts w:hint="eastAsia"/>
          <w:color w:val="auto"/>
          <w:highlight w:val="none"/>
          <w:lang w:val="en-US" w:eastAsia="zh-CN"/>
        </w:rPr>
        <w:t>及</w:t>
      </w:r>
      <w:r>
        <w:rPr>
          <w:rFonts w:hint="eastAsia"/>
          <w:color w:val="auto"/>
          <w:highlight w:val="none"/>
        </w:rPr>
        <w:t>相关法律法规确定以下评标</w:t>
      </w:r>
      <w:r>
        <w:rPr>
          <w:rFonts w:hint="eastAsia"/>
          <w:color w:val="auto"/>
          <w:highlight w:val="none"/>
          <w:lang w:val="en-US" w:eastAsia="zh-CN"/>
        </w:rPr>
        <w:t>方</w:t>
      </w:r>
      <w:r>
        <w:rPr>
          <w:rFonts w:hint="eastAsia"/>
          <w:color w:val="auto"/>
          <w:highlight w:val="none"/>
        </w:rPr>
        <w:t>法及标准。</w:t>
      </w:r>
    </w:p>
    <w:p w14:paraId="040C2DF7">
      <w:pPr>
        <w:pStyle w:val="2"/>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textAlignment w:val="auto"/>
        <w:rPr>
          <w:rFonts w:hint="eastAsia" w:ascii="宋体" w:hAnsi="宋体" w:eastAsia="宋体" w:cs="宋体"/>
          <w:color w:val="auto"/>
          <w:sz w:val="28"/>
          <w:szCs w:val="28"/>
          <w:highlight w:val="none"/>
          <w:lang w:val="zh-CN" w:eastAsia="zh-CN"/>
        </w:rPr>
      </w:pPr>
      <w:bookmarkStart w:id="464" w:name="_Toc21370"/>
      <w:bookmarkStart w:id="465" w:name="_Toc109899484"/>
      <w:bookmarkStart w:id="466" w:name="_Toc278891606"/>
      <w:bookmarkStart w:id="467" w:name="_Toc140132826"/>
      <w:bookmarkStart w:id="468" w:name="_Toc109899903"/>
      <w:bookmarkStart w:id="469" w:name="_Toc511894518"/>
      <w:bookmarkStart w:id="470" w:name="_Toc494561962"/>
      <w:bookmarkStart w:id="471" w:name="_Toc155185905"/>
      <w:bookmarkStart w:id="472" w:name="_Toc61280402"/>
      <w:bookmarkStart w:id="473" w:name="_Toc109900322"/>
      <w:bookmarkStart w:id="474" w:name="_Toc272247709"/>
      <w:r>
        <w:rPr>
          <w:rFonts w:hint="eastAsia" w:ascii="宋体" w:hAnsi="宋体" w:eastAsia="宋体" w:cs="宋体"/>
          <w:color w:val="auto"/>
          <w:sz w:val="28"/>
          <w:szCs w:val="28"/>
          <w:highlight w:val="none"/>
          <w:lang w:val="zh-CN" w:eastAsia="zh-CN"/>
        </w:rPr>
        <w:t>一、评标</w:t>
      </w:r>
      <w:r>
        <w:rPr>
          <w:rFonts w:hint="eastAsia" w:ascii="宋体" w:hAnsi="宋体" w:eastAsia="宋体" w:cs="宋体"/>
          <w:color w:val="auto"/>
          <w:sz w:val="28"/>
          <w:szCs w:val="28"/>
          <w:highlight w:val="none"/>
          <w:lang w:val="en-US" w:eastAsia="zh-CN"/>
        </w:rPr>
        <w:t>方</w:t>
      </w:r>
      <w:r>
        <w:rPr>
          <w:rFonts w:hint="eastAsia" w:ascii="宋体" w:hAnsi="宋体" w:eastAsia="宋体" w:cs="宋体"/>
          <w:color w:val="auto"/>
          <w:sz w:val="28"/>
          <w:szCs w:val="28"/>
          <w:highlight w:val="none"/>
          <w:lang w:val="zh-CN" w:eastAsia="zh-CN"/>
        </w:rPr>
        <w:t>法</w:t>
      </w:r>
      <w:bookmarkEnd w:id="464"/>
    </w:p>
    <w:p w14:paraId="40F9AE81">
      <w:pPr>
        <w:pStyle w:val="38"/>
        <w:keepNext w:val="0"/>
        <w:keepLines w:val="0"/>
        <w:pageBreakBefore w:val="0"/>
        <w:widowControl w:val="0"/>
        <w:kinsoku/>
        <w:wordWrap w:val="0"/>
        <w:overflowPunct/>
        <w:topLinePunct w:val="0"/>
        <w:autoSpaceDE/>
        <w:autoSpaceDN/>
        <w:bidi w:val="0"/>
        <w:adjustRightInd/>
        <w:snapToGrid/>
        <w:ind w:firstLine="482"/>
        <w:textAlignment w:val="auto"/>
        <w:rPr>
          <w:color w:val="auto"/>
          <w:highlight w:val="none"/>
        </w:rPr>
      </w:pPr>
      <w:r>
        <w:rPr>
          <w:rFonts w:hint="eastAsia"/>
          <w:color w:val="auto"/>
          <w:highlight w:val="none"/>
        </w:rPr>
        <w:t>1.</w:t>
      </w:r>
      <w:r>
        <w:rPr>
          <w:rFonts w:hint="eastAsia"/>
          <w:b/>
          <w:bCs/>
          <w:color w:val="auto"/>
          <w:highlight w:val="none"/>
        </w:rPr>
        <w:t>本项目采用综合评分法</w:t>
      </w:r>
      <w:r>
        <w:rPr>
          <w:rFonts w:hint="eastAsia"/>
          <w:color w:val="auto"/>
          <w:highlight w:val="none"/>
        </w:rPr>
        <w:t>。综合评分法，是指投标文件满足招标文件全部实质性要求，且按照评审因素的量化指标评审得分最高的投标人为中标候选人的评标方法。</w:t>
      </w:r>
    </w:p>
    <w:p w14:paraId="5EC2DCA1">
      <w:pPr>
        <w:pStyle w:val="2"/>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textAlignment w:val="auto"/>
        <w:rPr>
          <w:rFonts w:hint="eastAsia" w:ascii="宋体" w:hAnsi="宋体" w:eastAsia="宋体" w:cs="宋体"/>
          <w:color w:val="auto"/>
          <w:sz w:val="28"/>
          <w:szCs w:val="28"/>
          <w:highlight w:val="none"/>
          <w:lang w:val="zh-CN" w:eastAsia="zh-CN"/>
        </w:rPr>
      </w:pPr>
      <w:bookmarkStart w:id="475" w:name="_Toc4945"/>
      <w:r>
        <w:rPr>
          <w:rFonts w:hint="eastAsia" w:ascii="宋体" w:hAnsi="宋体" w:eastAsia="宋体" w:cs="宋体"/>
          <w:color w:val="auto"/>
          <w:sz w:val="28"/>
          <w:szCs w:val="28"/>
          <w:highlight w:val="none"/>
          <w:lang w:val="en-US" w:eastAsia="zh-CN"/>
        </w:rPr>
        <w:t>二</w:t>
      </w:r>
      <w:r>
        <w:rPr>
          <w:rFonts w:hint="eastAsia" w:ascii="宋体" w:hAnsi="宋体" w:eastAsia="宋体" w:cs="宋体"/>
          <w:color w:val="auto"/>
          <w:sz w:val="28"/>
          <w:szCs w:val="28"/>
          <w:highlight w:val="none"/>
          <w:lang w:val="zh-CN" w:eastAsia="zh-CN"/>
        </w:rPr>
        <w:t>、评标程序</w:t>
      </w:r>
      <w:bookmarkEnd w:id="475"/>
    </w:p>
    <w:p w14:paraId="2CEA851A">
      <w:pPr>
        <w:pStyle w:val="4"/>
        <w:keepNext/>
        <w:keepLines/>
        <w:pageBreakBefore w:val="0"/>
        <w:widowControl w:val="0"/>
        <w:numPr>
          <w:ilvl w:val="0"/>
          <w:numId w:val="0"/>
        </w:numPr>
        <w:kinsoku/>
        <w:wordWrap/>
        <w:overflowPunct/>
        <w:topLinePunct w:val="0"/>
        <w:autoSpaceDE/>
        <w:autoSpaceDN/>
        <w:bidi w:val="0"/>
        <w:adjustRightInd/>
        <w:snapToGrid/>
        <w:spacing w:before="60" w:after="60" w:line="360" w:lineRule="auto"/>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bookmarkStart w:id="476" w:name="_Toc18989"/>
      <w:bookmarkStart w:id="477" w:name="_Toc27226"/>
      <w:bookmarkStart w:id="478" w:name="_Toc30735"/>
      <w:r>
        <w:rPr>
          <w:rFonts w:hint="eastAsia" w:ascii="宋体" w:hAnsi="宋体" w:eastAsia="宋体" w:cs="宋体"/>
          <w:b/>
          <w:bCs/>
          <w:color w:val="auto"/>
          <w:kern w:val="2"/>
          <w:sz w:val="24"/>
          <w:szCs w:val="24"/>
          <w:highlight w:val="none"/>
          <w:lang w:val="zh-CN" w:eastAsia="zh-CN" w:bidi="ar-SA"/>
        </w:rPr>
        <w:t>（一）符合性审查</w:t>
      </w:r>
      <w:bookmarkEnd w:id="476"/>
      <w:bookmarkEnd w:id="477"/>
      <w:bookmarkEnd w:id="478"/>
    </w:p>
    <w:p w14:paraId="4E726315">
      <w:pPr>
        <w:pStyle w:val="38"/>
        <w:rPr>
          <w:rFonts w:hint="eastAsia"/>
          <w:color w:val="auto"/>
          <w:highlight w:val="none"/>
          <w:lang w:val="zh-CN"/>
        </w:rPr>
      </w:pPr>
      <w:r>
        <w:rPr>
          <w:rFonts w:hint="eastAsia"/>
          <w:color w:val="auto"/>
          <w:highlight w:val="none"/>
          <w:lang w:val="en-US" w:eastAsia="zh-CN"/>
        </w:rPr>
        <w:t>2.</w:t>
      </w:r>
      <w:r>
        <w:rPr>
          <w:rFonts w:hint="eastAsia"/>
          <w:color w:val="auto"/>
          <w:highlight w:val="none"/>
        </w:rPr>
        <w:t>评标委员会应当对</w:t>
      </w:r>
      <w:r>
        <w:rPr>
          <w:rFonts w:hint="eastAsia"/>
          <w:color w:val="auto"/>
          <w:highlight w:val="none"/>
          <w:lang w:val="en-US" w:eastAsia="zh-CN"/>
        </w:rPr>
        <w:t>通过</w:t>
      </w:r>
      <w:r>
        <w:rPr>
          <w:rFonts w:hint="eastAsia"/>
          <w:color w:val="auto"/>
          <w:highlight w:val="none"/>
        </w:rPr>
        <w:t>资格</w:t>
      </w:r>
      <w:r>
        <w:rPr>
          <w:rFonts w:hint="eastAsia"/>
          <w:color w:val="auto"/>
          <w:highlight w:val="none"/>
          <w:lang w:val="en-US" w:eastAsia="zh-CN"/>
        </w:rPr>
        <w:t>审查</w:t>
      </w:r>
      <w:r>
        <w:rPr>
          <w:rFonts w:hint="eastAsia"/>
          <w:color w:val="auto"/>
          <w:highlight w:val="none"/>
        </w:rPr>
        <w:t>的投标人的投标文件进行符合性审查，以确定其是否满足招标文件的实质性要求。投标人必须通过符合性审查的全部评审指标</w:t>
      </w:r>
      <w:r>
        <w:rPr>
          <w:rFonts w:hint="eastAsia"/>
          <w:color w:val="auto"/>
          <w:highlight w:val="none"/>
          <w:lang w:eastAsia="zh-CN"/>
        </w:rPr>
        <w:t>，</w:t>
      </w:r>
      <w:r>
        <w:rPr>
          <w:rFonts w:hint="eastAsia"/>
          <w:color w:val="auto"/>
          <w:highlight w:val="none"/>
        </w:rPr>
        <w:t>不满足招标文件的实质性要求的，</w:t>
      </w:r>
      <w:r>
        <w:rPr>
          <w:rFonts w:hint="eastAsia"/>
          <w:color w:val="auto"/>
          <w:highlight w:val="none"/>
          <w:lang w:val="en-US" w:eastAsia="zh-CN"/>
        </w:rPr>
        <w:t>其</w:t>
      </w:r>
      <w:r>
        <w:rPr>
          <w:rFonts w:hint="eastAsia"/>
          <w:b/>
          <w:bCs/>
          <w:color w:val="auto"/>
          <w:highlight w:val="none"/>
        </w:rPr>
        <w:t>投标无效</w:t>
      </w:r>
      <w:r>
        <w:rPr>
          <w:rFonts w:hint="eastAsia"/>
          <w:color w:val="auto"/>
          <w:highlight w:val="none"/>
        </w:rPr>
        <w:t>。</w:t>
      </w:r>
      <w:r>
        <w:rPr>
          <w:rFonts w:hint="eastAsia"/>
          <w:color w:val="auto"/>
          <w:highlight w:val="none"/>
          <w:lang w:val="en-US" w:eastAsia="zh-CN"/>
        </w:rPr>
        <w:t>具体内容详</w:t>
      </w:r>
      <w:r>
        <w:rPr>
          <w:rFonts w:hint="eastAsia"/>
          <w:color w:val="auto"/>
          <w:highlight w:val="none"/>
          <w:lang w:val="zh-CN"/>
        </w:rPr>
        <w:t>本章“</w:t>
      </w:r>
      <w:r>
        <w:rPr>
          <w:rFonts w:hint="eastAsia"/>
          <w:color w:val="auto"/>
          <w:highlight w:val="none"/>
          <w:lang w:val="en-US" w:eastAsia="zh-CN"/>
        </w:rPr>
        <w:t>四</w:t>
      </w:r>
      <w:r>
        <w:rPr>
          <w:rFonts w:hint="eastAsia"/>
          <w:color w:val="auto"/>
          <w:highlight w:val="none"/>
          <w:lang w:val="zh-CN"/>
        </w:rPr>
        <w:t>、评标标准”中</w:t>
      </w:r>
      <w:r>
        <w:rPr>
          <w:rFonts w:hint="eastAsia"/>
          <w:color w:val="auto"/>
          <w:highlight w:val="none"/>
          <w:lang w:val="en-US" w:eastAsia="zh-CN"/>
        </w:rPr>
        <w:t>的</w:t>
      </w:r>
      <w:r>
        <w:rPr>
          <w:rFonts w:hint="eastAsia"/>
          <w:color w:val="auto"/>
          <w:highlight w:val="none"/>
          <w:lang w:val="zh-CN"/>
        </w:rPr>
        <w:t>“（一）符合性审查”。</w:t>
      </w:r>
    </w:p>
    <w:p w14:paraId="6117DC47">
      <w:pPr>
        <w:pStyle w:val="38"/>
        <w:rPr>
          <w:rFonts w:hint="eastAsia"/>
          <w:color w:val="auto"/>
          <w:highlight w:val="none"/>
          <w:lang w:val="zh-CN"/>
        </w:rPr>
      </w:pPr>
      <w:r>
        <w:rPr>
          <w:rFonts w:hint="eastAsia"/>
          <w:color w:val="auto"/>
          <w:highlight w:val="none"/>
          <w:lang w:val="en-US" w:eastAsia="zh-CN"/>
        </w:rPr>
        <w:t>通过</w:t>
      </w:r>
      <w:r>
        <w:rPr>
          <w:rFonts w:hint="eastAsia"/>
          <w:color w:val="auto"/>
          <w:highlight w:val="none"/>
        </w:rPr>
        <w:t>符合性审查</w:t>
      </w:r>
      <w:r>
        <w:rPr>
          <w:rFonts w:hint="eastAsia"/>
          <w:color w:val="auto"/>
          <w:highlight w:val="none"/>
          <w:lang w:val="en-US" w:eastAsia="zh-CN"/>
        </w:rPr>
        <w:t>的</w:t>
      </w:r>
      <w:r>
        <w:rPr>
          <w:rFonts w:hint="eastAsia"/>
          <w:color w:val="auto"/>
          <w:highlight w:val="none"/>
        </w:rPr>
        <w:t>有效</w:t>
      </w:r>
      <w:r>
        <w:rPr>
          <w:rFonts w:hint="eastAsia"/>
          <w:color w:val="auto"/>
          <w:highlight w:val="none"/>
          <w:lang w:eastAsia="zh-CN"/>
        </w:rPr>
        <w:t>供应商</w:t>
      </w:r>
      <w:r>
        <w:rPr>
          <w:rFonts w:hint="eastAsia"/>
          <w:color w:val="auto"/>
          <w:highlight w:val="none"/>
        </w:rPr>
        <w:t>不足3家的应当终止采购活动，发布项目终止公告并说明原因，重新开展采购活动。</w:t>
      </w:r>
    </w:p>
    <w:p w14:paraId="34580356">
      <w:pPr>
        <w:pStyle w:val="4"/>
        <w:keepNext/>
        <w:keepLines/>
        <w:pageBreakBefore w:val="0"/>
        <w:widowControl w:val="0"/>
        <w:numPr>
          <w:ilvl w:val="0"/>
          <w:numId w:val="0"/>
        </w:numPr>
        <w:kinsoku/>
        <w:wordWrap/>
        <w:overflowPunct/>
        <w:topLinePunct w:val="0"/>
        <w:autoSpaceDE/>
        <w:autoSpaceDN/>
        <w:bidi w:val="0"/>
        <w:adjustRightInd/>
        <w:snapToGrid/>
        <w:spacing w:before="60" w:after="60" w:line="360" w:lineRule="auto"/>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bookmarkStart w:id="479" w:name="_Toc102119879"/>
      <w:bookmarkStart w:id="480" w:name="_Toc102116178"/>
      <w:bookmarkStart w:id="481" w:name="_Toc102116048"/>
      <w:bookmarkStart w:id="482" w:name="_Toc102057744"/>
      <w:bookmarkStart w:id="483" w:name="_Toc155185907"/>
      <w:bookmarkStart w:id="484" w:name="_Toc102056244"/>
      <w:bookmarkStart w:id="485" w:name="_Toc102114946"/>
      <w:bookmarkStart w:id="486" w:name="_Toc20930"/>
      <w:bookmarkStart w:id="487" w:name="_Toc10476"/>
      <w:bookmarkStart w:id="488" w:name="_Toc2036"/>
      <w:bookmarkStart w:id="489" w:name="_Toc163492903"/>
      <w:r>
        <w:rPr>
          <w:rFonts w:hint="eastAsia" w:ascii="宋体" w:hAnsi="宋体" w:eastAsia="宋体" w:cs="宋体"/>
          <w:b/>
          <w:bCs/>
          <w:color w:val="auto"/>
          <w:kern w:val="2"/>
          <w:sz w:val="24"/>
          <w:szCs w:val="24"/>
          <w:highlight w:val="none"/>
          <w:lang w:val="zh-CN" w:eastAsia="zh-CN" w:bidi="ar-SA"/>
        </w:rPr>
        <w:t>（</w:t>
      </w:r>
      <w:r>
        <w:rPr>
          <w:rFonts w:hint="eastAsia" w:ascii="宋体" w:hAnsi="宋体" w:eastAsia="宋体" w:cs="宋体"/>
          <w:b/>
          <w:bCs/>
          <w:color w:val="auto"/>
          <w:kern w:val="2"/>
          <w:sz w:val="24"/>
          <w:szCs w:val="24"/>
          <w:highlight w:val="none"/>
          <w:lang w:val="en-US" w:eastAsia="zh-CN" w:bidi="ar-SA"/>
        </w:rPr>
        <w:t>二</w:t>
      </w:r>
      <w:r>
        <w:rPr>
          <w:rFonts w:hint="eastAsia" w:ascii="宋体" w:hAnsi="宋体" w:eastAsia="宋体" w:cs="宋体"/>
          <w:b/>
          <w:bCs/>
          <w:color w:val="auto"/>
          <w:kern w:val="2"/>
          <w:sz w:val="24"/>
          <w:szCs w:val="24"/>
          <w:highlight w:val="none"/>
          <w:lang w:val="zh-CN" w:eastAsia="zh-CN" w:bidi="ar-SA"/>
        </w:rPr>
        <w:t>）投标文件澄清</w:t>
      </w:r>
      <w:bookmarkEnd w:id="479"/>
      <w:bookmarkEnd w:id="480"/>
      <w:bookmarkEnd w:id="481"/>
      <w:bookmarkEnd w:id="482"/>
      <w:bookmarkEnd w:id="483"/>
      <w:bookmarkEnd w:id="484"/>
      <w:bookmarkEnd w:id="485"/>
      <w:r>
        <w:rPr>
          <w:rFonts w:hint="eastAsia" w:ascii="宋体" w:hAnsi="宋体" w:eastAsia="宋体" w:cs="宋体"/>
          <w:b/>
          <w:bCs/>
          <w:color w:val="auto"/>
          <w:kern w:val="2"/>
          <w:sz w:val="24"/>
          <w:szCs w:val="24"/>
          <w:highlight w:val="none"/>
          <w:lang w:val="zh-CN" w:eastAsia="zh-CN" w:bidi="ar-SA"/>
        </w:rPr>
        <w:t>及修正</w:t>
      </w:r>
      <w:bookmarkEnd w:id="486"/>
      <w:bookmarkEnd w:id="487"/>
      <w:bookmarkEnd w:id="488"/>
      <w:bookmarkEnd w:id="489"/>
    </w:p>
    <w:p w14:paraId="0EC9197C">
      <w:pPr>
        <w:pStyle w:val="38"/>
        <w:keepNext w:val="0"/>
        <w:keepLines w:val="0"/>
        <w:pageBreakBefore w:val="0"/>
        <w:widowControl w:val="0"/>
        <w:kinsoku/>
        <w:wordWrap w:val="0"/>
        <w:overflowPunct/>
        <w:topLinePunct w:val="0"/>
        <w:autoSpaceDE/>
        <w:autoSpaceDN/>
        <w:bidi w:val="0"/>
        <w:adjustRightInd/>
        <w:snapToGrid/>
        <w:textAlignment w:val="auto"/>
        <w:rPr>
          <w:color w:val="auto"/>
          <w:highlight w:val="none"/>
        </w:rPr>
      </w:pPr>
      <w:r>
        <w:rPr>
          <w:rFonts w:hint="eastAsia"/>
          <w:color w:val="auto"/>
          <w:highlight w:val="none"/>
          <w:lang w:val="en-US" w:eastAsia="zh-CN"/>
        </w:rPr>
        <w:t>3</w:t>
      </w:r>
      <w:r>
        <w:rPr>
          <w:color w:val="auto"/>
          <w:highlight w:val="none"/>
        </w:rPr>
        <w:t>.</w:t>
      </w:r>
      <w:r>
        <w:rPr>
          <w:rFonts w:hint="eastAsia"/>
          <w:iCs/>
          <w:color w:val="auto"/>
          <w:spacing w:val="-6"/>
          <w:sz w:val="24"/>
          <w:highlight w:val="none"/>
        </w:rPr>
        <w:t>评标期间，对于投标文件中含义不明确、同类问题表述不一致或者有明显文字和计算错误的内容需要投标人作出必要的澄清、说明或者补正的，评标委员会应当在</w:t>
      </w:r>
      <w:r>
        <w:rPr>
          <w:rFonts w:hint="eastAsia"/>
          <w:iCs/>
          <w:color w:val="auto"/>
          <w:spacing w:val="-6"/>
          <w:sz w:val="24"/>
          <w:highlight w:val="none"/>
          <w:lang w:val="en-US" w:eastAsia="zh-CN"/>
        </w:rPr>
        <w:t>政采云平台评标</w:t>
      </w:r>
      <w:r>
        <w:rPr>
          <w:rFonts w:hint="eastAsia"/>
          <w:iCs/>
          <w:color w:val="auto"/>
          <w:spacing w:val="-6"/>
          <w:sz w:val="24"/>
          <w:highlight w:val="none"/>
        </w:rPr>
        <w:t>系统中以书面形式要求投标人作出必要的澄清、说明或者补正。</w:t>
      </w:r>
    </w:p>
    <w:p w14:paraId="079329DA">
      <w:pPr>
        <w:pStyle w:val="38"/>
        <w:keepNext w:val="0"/>
        <w:keepLines w:val="0"/>
        <w:pageBreakBefore w:val="0"/>
        <w:widowControl w:val="0"/>
        <w:kinsoku/>
        <w:wordWrap w:val="0"/>
        <w:overflowPunct/>
        <w:topLinePunct w:val="0"/>
        <w:autoSpaceDE/>
        <w:autoSpaceDN/>
        <w:bidi w:val="0"/>
        <w:adjustRightInd/>
        <w:snapToGrid/>
        <w:textAlignment w:val="auto"/>
        <w:rPr>
          <w:color w:val="auto"/>
          <w:highlight w:val="none"/>
        </w:rPr>
      </w:pPr>
      <w:r>
        <w:rPr>
          <w:rFonts w:hint="eastAsia"/>
          <w:color w:val="auto"/>
          <w:highlight w:val="none"/>
          <w:lang w:val="en-US" w:eastAsia="zh-CN"/>
        </w:rPr>
        <w:t>4</w:t>
      </w:r>
      <w:r>
        <w:rPr>
          <w:color w:val="auto"/>
          <w:highlight w:val="none"/>
        </w:rPr>
        <w:t>.</w:t>
      </w:r>
      <w:r>
        <w:rPr>
          <w:rFonts w:hint="eastAsia"/>
          <w:color w:val="auto"/>
          <w:highlight w:val="none"/>
        </w:rPr>
        <w:t>投标人应按照评标委员会要求在规定时间内作出澄清、说明或者补正，</w:t>
      </w:r>
      <w:r>
        <w:rPr>
          <w:color w:val="auto"/>
          <w:highlight w:val="none"/>
        </w:rPr>
        <w:t>澄清、说明或者补正不得超出投标文件的范围或者改变投标文件的实质性内容。</w:t>
      </w:r>
    </w:p>
    <w:p w14:paraId="591A6455">
      <w:pPr>
        <w:pStyle w:val="38"/>
        <w:keepNext w:val="0"/>
        <w:keepLines w:val="0"/>
        <w:pageBreakBefore w:val="0"/>
        <w:widowControl w:val="0"/>
        <w:kinsoku/>
        <w:wordWrap w:val="0"/>
        <w:overflowPunct/>
        <w:topLinePunct w:val="0"/>
        <w:autoSpaceDE/>
        <w:autoSpaceDN/>
        <w:bidi w:val="0"/>
        <w:adjustRightInd/>
        <w:snapToGrid/>
        <w:textAlignment w:val="auto"/>
        <w:rPr>
          <w:color w:val="auto"/>
          <w:highlight w:val="none"/>
        </w:rPr>
      </w:pPr>
      <w:r>
        <w:rPr>
          <w:rFonts w:hint="eastAsia"/>
          <w:color w:val="auto"/>
          <w:highlight w:val="none"/>
          <w:lang w:val="en-US" w:eastAsia="zh-CN"/>
        </w:rPr>
        <w:t>5</w:t>
      </w:r>
      <w:r>
        <w:rPr>
          <w:color w:val="auto"/>
          <w:highlight w:val="none"/>
        </w:rPr>
        <w:t>.</w:t>
      </w:r>
      <w:r>
        <w:rPr>
          <w:rFonts w:hint="eastAsia"/>
          <w:color w:val="auto"/>
          <w:highlight w:val="none"/>
        </w:rPr>
        <w:t>投标人的</w:t>
      </w:r>
      <w:r>
        <w:rPr>
          <w:color w:val="auto"/>
          <w:highlight w:val="none"/>
        </w:rPr>
        <w:t>澄清、说明或者补正</w:t>
      </w:r>
      <w:r>
        <w:rPr>
          <w:rFonts w:hint="eastAsia"/>
          <w:color w:val="auto"/>
          <w:highlight w:val="none"/>
        </w:rPr>
        <w:t>是其投标文件的有效组成部分，</w:t>
      </w:r>
      <w:r>
        <w:rPr>
          <w:color w:val="auto"/>
          <w:highlight w:val="none"/>
        </w:rPr>
        <w:t>澄清、说明或者补正应当</w:t>
      </w:r>
      <w:r>
        <w:rPr>
          <w:rFonts w:hint="eastAsia"/>
          <w:color w:val="auto"/>
          <w:highlight w:val="none"/>
        </w:rPr>
        <w:t>在</w:t>
      </w:r>
      <w:r>
        <w:rPr>
          <w:rFonts w:hint="eastAsia"/>
          <w:color w:val="auto"/>
          <w:highlight w:val="none"/>
          <w:lang w:val="en-US" w:eastAsia="zh-CN"/>
        </w:rPr>
        <w:t>政采云平台评标</w:t>
      </w:r>
      <w:r>
        <w:rPr>
          <w:rFonts w:hint="eastAsia"/>
          <w:color w:val="auto"/>
          <w:highlight w:val="none"/>
        </w:rPr>
        <w:t>系统中加盖电子印章后提交</w:t>
      </w:r>
      <w:r>
        <w:rPr>
          <w:color w:val="auto"/>
          <w:highlight w:val="none"/>
        </w:rPr>
        <w:t>。</w:t>
      </w:r>
    </w:p>
    <w:p w14:paraId="3B466024">
      <w:pPr>
        <w:pStyle w:val="38"/>
        <w:keepNext w:val="0"/>
        <w:keepLines w:val="0"/>
        <w:pageBreakBefore w:val="0"/>
        <w:widowControl w:val="0"/>
        <w:kinsoku/>
        <w:wordWrap w:val="0"/>
        <w:overflowPunct/>
        <w:topLinePunct w:val="0"/>
        <w:autoSpaceDE/>
        <w:autoSpaceDN/>
        <w:bidi w:val="0"/>
        <w:adjustRightInd/>
        <w:snapToGrid/>
        <w:textAlignment w:val="auto"/>
        <w:rPr>
          <w:color w:val="auto"/>
          <w:highlight w:val="none"/>
        </w:rPr>
      </w:pPr>
      <w:r>
        <w:rPr>
          <w:rFonts w:hint="eastAsia"/>
          <w:color w:val="auto"/>
          <w:highlight w:val="none"/>
          <w:lang w:val="en-US" w:eastAsia="zh-CN"/>
        </w:rPr>
        <w:t>6</w:t>
      </w:r>
      <w:r>
        <w:rPr>
          <w:color w:val="auto"/>
          <w:highlight w:val="none"/>
        </w:rPr>
        <w:t>.</w:t>
      </w:r>
      <w:r>
        <w:rPr>
          <w:rFonts w:hint="eastAsia"/>
          <w:color w:val="auto"/>
          <w:highlight w:val="none"/>
        </w:rPr>
        <w:t>报价合理性说明：</w:t>
      </w:r>
      <w:r>
        <w:rPr>
          <w:color w:val="auto"/>
          <w:highlight w:val="none"/>
        </w:rPr>
        <w:t>评标委员会认为投标人的报价明显低于其他通过</w:t>
      </w:r>
      <w:r>
        <w:rPr>
          <w:rFonts w:hint="eastAsia"/>
          <w:color w:val="auto"/>
          <w:highlight w:val="none"/>
        </w:rPr>
        <w:t>符合性审查</w:t>
      </w:r>
      <w:r>
        <w:rPr>
          <w:color w:val="auto"/>
          <w:highlight w:val="none"/>
        </w:rPr>
        <w:t>投标人的报价，有可能影响</w:t>
      </w:r>
      <w:r>
        <w:rPr>
          <w:rFonts w:hint="eastAsia"/>
          <w:color w:val="auto"/>
          <w:highlight w:val="none"/>
          <w:lang w:val="en-US" w:eastAsia="zh-CN"/>
        </w:rPr>
        <w:t>服务</w:t>
      </w:r>
      <w:r>
        <w:rPr>
          <w:color w:val="auto"/>
          <w:highlight w:val="none"/>
        </w:rPr>
        <w:t>质量或者不能诚信履约的，</w:t>
      </w:r>
      <w:r>
        <w:rPr>
          <w:rFonts w:hint="eastAsia"/>
          <w:color w:val="auto"/>
          <w:highlight w:val="none"/>
          <w:lang w:val="en-US" w:eastAsia="zh-CN"/>
        </w:rPr>
        <w:t>应当</w:t>
      </w:r>
      <w:r>
        <w:rPr>
          <w:color w:val="auto"/>
          <w:highlight w:val="none"/>
        </w:rPr>
        <w:t>要求</w:t>
      </w:r>
      <w:r>
        <w:rPr>
          <w:rFonts w:hint="eastAsia"/>
          <w:color w:val="auto"/>
          <w:highlight w:val="none"/>
          <w:lang w:val="en-US" w:eastAsia="zh-CN"/>
        </w:rPr>
        <w:t>该投标人</w:t>
      </w:r>
      <w:r>
        <w:rPr>
          <w:rFonts w:hint="eastAsia"/>
          <w:color w:val="auto"/>
          <w:highlight w:val="none"/>
        </w:rPr>
        <w:t>在</w:t>
      </w:r>
      <w:r>
        <w:rPr>
          <w:color w:val="auto"/>
          <w:highlight w:val="none"/>
        </w:rPr>
        <w:t>合理的时间内提供说明，必要时提交相关证明材料；</w:t>
      </w:r>
      <w:r>
        <w:rPr>
          <w:rFonts w:hint="eastAsia"/>
          <w:color w:val="auto"/>
          <w:highlight w:val="none"/>
          <w:lang w:val="en-US" w:eastAsia="zh-CN"/>
        </w:rPr>
        <w:t>若</w:t>
      </w:r>
      <w:r>
        <w:rPr>
          <w:color w:val="auto"/>
          <w:highlight w:val="none"/>
        </w:rPr>
        <w:t>投标人不能证明其报价合理性的，评标委员</w:t>
      </w:r>
      <w:r>
        <w:rPr>
          <w:rFonts w:hint="eastAsia"/>
          <w:color w:val="auto"/>
          <w:highlight w:val="none"/>
          <w:lang w:val="en-US" w:eastAsia="zh-CN"/>
        </w:rPr>
        <w:t>会应当</w:t>
      </w:r>
      <w:r>
        <w:rPr>
          <w:rFonts w:hint="eastAsia"/>
          <w:color w:val="auto"/>
          <w:highlight w:val="none"/>
        </w:rPr>
        <w:t>将其作</w:t>
      </w:r>
      <w:r>
        <w:rPr>
          <w:b/>
          <w:bCs/>
          <w:color w:val="auto"/>
          <w:highlight w:val="none"/>
        </w:rPr>
        <w:t>无效投标</w:t>
      </w:r>
      <w:r>
        <w:rPr>
          <w:color w:val="auto"/>
          <w:highlight w:val="none"/>
        </w:rPr>
        <w:t>处理。</w:t>
      </w:r>
    </w:p>
    <w:p w14:paraId="4FD6345C">
      <w:pPr>
        <w:pStyle w:val="38"/>
        <w:keepNext w:val="0"/>
        <w:keepLines w:val="0"/>
        <w:pageBreakBefore w:val="0"/>
        <w:widowControl w:val="0"/>
        <w:kinsoku/>
        <w:wordWrap w:val="0"/>
        <w:overflowPunct/>
        <w:topLinePunct w:val="0"/>
        <w:autoSpaceDE/>
        <w:autoSpaceDN/>
        <w:bidi w:val="0"/>
        <w:adjustRightInd/>
        <w:snapToGrid/>
        <w:ind w:left="0" w:leftChars="0" w:firstLine="480" w:firstLineChars="200"/>
        <w:textAlignment w:val="auto"/>
        <w:rPr>
          <w:rFonts w:hint="eastAsia"/>
          <w:color w:val="auto"/>
          <w:highlight w:val="none"/>
          <w:lang w:val="en-US" w:eastAsia="zh-CN"/>
        </w:rPr>
      </w:pPr>
      <w:r>
        <w:rPr>
          <w:rFonts w:hint="eastAsia"/>
          <w:color w:val="auto"/>
          <w:highlight w:val="none"/>
          <w:lang w:val="en-US" w:eastAsia="zh-CN"/>
        </w:rPr>
        <w:t>7.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w:t>
      </w:r>
      <w:r>
        <w:rPr>
          <w:rFonts w:hint="eastAsia"/>
          <w:b/>
          <w:bCs/>
          <w:color w:val="auto"/>
          <w:highlight w:val="none"/>
          <w:lang w:val="en-US" w:eastAsia="zh-CN"/>
        </w:rPr>
        <w:t>投标无效</w:t>
      </w:r>
      <w:r>
        <w:rPr>
          <w:rFonts w:hint="eastAsia"/>
          <w:color w:val="auto"/>
          <w:highlight w:val="none"/>
          <w:lang w:val="en-US" w:eastAsia="zh-CN"/>
        </w:rPr>
        <w:t>。</w:t>
      </w:r>
    </w:p>
    <w:p w14:paraId="015D7E7F">
      <w:pPr>
        <w:pStyle w:val="38"/>
        <w:keepNext w:val="0"/>
        <w:keepLines w:val="0"/>
        <w:pageBreakBefore w:val="0"/>
        <w:widowControl w:val="0"/>
        <w:kinsoku/>
        <w:wordWrap w:val="0"/>
        <w:overflowPunct/>
        <w:topLinePunct w:val="0"/>
        <w:autoSpaceDE/>
        <w:autoSpaceDN/>
        <w:bidi w:val="0"/>
        <w:adjustRightInd/>
        <w:snapToGrid/>
        <w:ind w:left="0" w:leftChars="0" w:firstLine="480" w:firstLineChars="200"/>
        <w:textAlignment w:val="auto"/>
        <w:rPr>
          <w:rFonts w:hint="eastAsia"/>
          <w:color w:val="auto"/>
          <w:highlight w:val="none"/>
          <w:lang w:val="en-US" w:eastAsia="zh-CN"/>
        </w:rPr>
      </w:pPr>
      <w:r>
        <w:rPr>
          <w:rFonts w:hint="eastAsia"/>
          <w:color w:val="auto"/>
          <w:highlight w:val="none"/>
          <w:lang w:val="en-US" w:eastAsia="zh-CN"/>
        </w:rPr>
        <w:t>8.投标文件报价出现前后不一致的，除招标文件另有规定外，按照下列规定修正：</w:t>
      </w:r>
    </w:p>
    <w:p w14:paraId="4D967018">
      <w:pPr>
        <w:pStyle w:val="38"/>
        <w:keepNext w:val="0"/>
        <w:keepLines w:val="0"/>
        <w:pageBreakBefore w:val="0"/>
        <w:widowControl w:val="0"/>
        <w:kinsoku/>
        <w:wordWrap w:val="0"/>
        <w:overflowPunct/>
        <w:topLinePunct w:val="0"/>
        <w:autoSpaceDE/>
        <w:autoSpaceDN/>
        <w:bidi w:val="0"/>
        <w:adjustRightInd/>
        <w:snapToGrid/>
        <w:ind w:left="0" w:leftChars="0" w:firstLine="480" w:firstLineChars="200"/>
        <w:textAlignment w:val="auto"/>
        <w:rPr>
          <w:rFonts w:hint="eastAsia"/>
          <w:color w:val="auto"/>
          <w:highlight w:val="none"/>
          <w:lang w:val="en-US" w:eastAsia="zh-CN"/>
        </w:rPr>
      </w:pPr>
      <w:r>
        <w:rPr>
          <w:rFonts w:hint="eastAsia"/>
          <w:color w:val="auto"/>
          <w:highlight w:val="none"/>
          <w:lang w:val="en-US" w:eastAsia="zh-CN"/>
        </w:rPr>
        <w:t>8.1投标文件中开标一览表（报价表）内容与投标文件中相应内容不一致的，以开标一览表（报价表）为准；</w:t>
      </w:r>
    </w:p>
    <w:p w14:paraId="657B9F51">
      <w:pPr>
        <w:pStyle w:val="38"/>
        <w:keepNext w:val="0"/>
        <w:keepLines w:val="0"/>
        <w:pageBreakBefore w:val="0"/>
        <w:widowControl w:val="0"/>
        <w:kinsoku/>
        <w:wordWrap w:val="0"/>
        <w:overflowPunct/>
        <w:topLinePunct w:val="0"/>
        <w:autoSpaceDE/>
        <w:autoSpaceDN/>
        <w:bidi w:val="0"/>
        <w:adjustRightInd/>
        <w:snapToGrid/>
        <w:ind w:left="0" w:leftChars="0" w:firstLine="480" w:firstLineChars="200"/>
        <w:textAlignment w:val="auto"/>
        <w:rPr>
          <w:rFonts w:hint="eastAsia"/>
          <w:color w:val="auto"/>
          <w:highlight w:val="none"/>
          <w:lang w:val="en-US" w:eastAsia="zh-CN"/>
        </w:rPr>
      </w:pPr>
      <w:r>
        <w:rPr>
          <w:rFonts w:hint="eastAsia"/>
          <w:color w:val="auto"/>
          <w:highlight w:val="none"/>
          <w:lang w:val="en-US" w:eastAsia="zh-CN"/>
        </w:rPr>
        <w:t>8.2大写金额和小写金额不一致的，以大写金额为准；</w:t>
      </w:r>
    </w:p>
    <w:p w14:paraId="628E9D79">
      <w:pPr>
        <w:pStyle w:val="38"/>
        <w:keepNext w:val="0"/>
        <w:keepLines w:val="0"/>
        <w:pageBreakBefore w:val="0"/>
        <w:widowControl w:val="0"/>
        <w:kinsoku/>
        <w:wordWrap w:val="0"/>
        <w:overflowPunct/>
        <w:topLinePunct w:val="0"/>
        <w:autoSpaceDE/>
        <w:autoSpaceDN/>
        <w:bidi w:val="0"/>
        <w:adjustRightInd/>
        <w:snapToGrid/>
        <w:ind w:left="0" w:leftChars="0" w:firstLine="480" w:firstLineChars="200"/>
        <w:textAlignment w:val="auto"/>
        <w:rPr>
          <w:rFonts w:hint="eastAsia"/>
          <w:color w:val="auto"/>
          <w:highlight w:val="none"/>
          <w:lang w:val="en-US" w:eastAsia="zh-CN"/>
        </w:rPr>
      </w:pPr>
      <w:r>
        <w:rPr>
          <w:rFonts w:hint="eastAsia"/>
          <w:color w:val="auto"/>
          <w:highlight w:val="none"/>
          <w:lang w:val="en-US" w:eastAsia="zh-CN"/>
        </w:rPr>
        <w:t>8.3单价金额小数点或者百分比有明显错位的，以开标一览表的总价为准，并修改单价；</w:t>
      </w:r>
    </w:p>
    <w:p w14:paraId="3D45997F">
      <w:pPr>
        <w:pStyle w:val="38"/>
        <w:keepNext w:val="0"/>
        <w:keepLines w:val="0"/>
        <w:pageBreakBefore w:val="0"/>
        <w:widowControl w:val="0"/>
        <w:kinsoku/>
        <w:wordWrap w:val="0"/>
        <w:overflowPunct/>
        <w:topLinePunct w:val="0"/>
        <w:autoSpaceDE/>
        <w:autoSpaceDN/>
        <w:bidi w:val="0"/>
        <w:adjustRightInd/>
        <w:snapToGrid/>
        <w:ind w:left="0" w:leftChars="0" w:firstLine="480" w:firstLineChars="200"/>
        <w:textAlignment w:val="auto"/>
        <w:rPr>
          <w:rFonts w:hint="eastAsia"/>
          <w:color w:val="auto"/>
          <w:highlight w:val="none"/>
          <w:lang w:val="en-US" w:eastAsia="zh-CN"/>
        </w:rPr>
      </w:pPr>
      <w:r>
        <w:rPr>
          <w:rFonts w:hint="eastAsia"/>
          <w:color w:val="auto"/>
          <w:highlight w:val="none"/>
          <w:lang w:val="en-US" w:eastAsia="zh-CN"/>
        </w:rPr>
        <w:t>8.4总价金额与按单价汇总金额不一致的，以单价金额计算结果为准。</w:t>
      </w:r>
    </w:p>
    <w:p w14:paraId="4E5FFFFF">
      <w:pPr>
        <w:pStyle w:val="38"/>
        <w:keepNext w:val="0"/>
        <w:keepLines w:val="0"/>
        <w:pageBreakBefore w:val="0"/>
        <w:widowControl w:val="0"/>
        <w:kinsoku/>
        <w:wordWrap w:val="0"/>
        <w:overflowPunct/>
        <w:topLinePunct w:val="0"/>
        <w:autoSpaceDE/>
        <w:autoSpaceDN/>
        <w:bidi w:val="0"/>
        <w:adjustRightInd/>
        <w:snapToGrid/>
        <w:ind w:left="0" w:leftChars="0" w:firstLine="480" w:firstLineChars="200"/>
        <w:textAlignment w:val="auto"/>
        <w:rPr>
          <w:rFonts w:hint="eastAsia"/>
          <w:color w:val="auto"/>
          <w:highlight w:val="none"/>
          <w:lang w:val="en-US" w:eastAsia="zh-CN"/>
        </w:rPr>
      </w:pPr>
      <w:r>
        <w:rPr>
          <w:rFonts w:hint="eastAsia"/>
          <w:color w:val="auto"/>
          <w:highlight w:val="none"/>
          <w:lang w:val="en-US" w:eastAsia="zh-CN"/>
        </w:rPr>
        <w:t>同时出现两种以上不一致的，按照8.1—8.4的顺序修正。修正后的报价采用书面形式，并加盖公章，或者由法定代表人或其授权的代表签字，经投标人确认后产生约束力，投标人不确认的，其</w:t>
      </w:r>
      <w:r>
        <w:rPr>
          <w:rFonts w:hint="eastAsia"/>
          <w:b/>
          <w:bCs/>
          <w:color w:val="auto"/>
          <w:highlight w:val="none"/>
          <w:lang w:val="en-US" w:eastAsia="zh-CN"/>
        </w:rPr>
        <w:t>投标无效</w:t>
      </w:r>
      <w:r>
        <w:rPr>
          <w:rFonts w:hint="eastAsia"/>
          <w:color w:val="auto"/>
          <w:highlight w:val="none"/>
          <w:lang w:val="en-US" w:eastAsia="zh-CN"/>
        </w:rPr>
        <w:t>。</w:t>
      </w:r>
    </w:p>
    <w:p w14:paraId="33748C4F">
      <w:pPr>
        <w:pStyle w:val="4"/>
        <w:keepNext/>
        <w:keepLines/>
        <w:pageBreakBefore w:val="0"/>
        <w:widowControl w:val="0"/>
        <w:numPr>
          <w:ilvl w:val="0"/>
          <w:numId w:val="0"/>
        </w:numPr>
        <w:kinsoku/>
        <w:wordWrap/>
        <w:overflowPunct/>
        <w:topLinePunct w:val="0"/>
        <w:autoSpaceDE/>
        <w:autoSpaceDN/>
        <w:bidi w:val="0"/>
        <w:adjustRightInd/>
        <w:snapToGrid/>
        <w:spacing w:before="60" w:after="60" w:line="360" w:lineRule="auto"/>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bookmarkStart w:id="490" w:name="_Toc8536"/>
      <w:bookmarkStart w:id="491" w:name="_Toc13289"/>
      <w:bookmarkStart w:id="492" w:name="_Toc1388"/>
      <w:r>
        <w:rPr>
          <w:rFonts w:hint="eastAsia" w:ascii="宋体" w:hAnsi="宋体" w:eastAsia="宋体" w:cs="宋体"/>
          <w:b/>
          <w:bCs/>
          <w:color w:val="auto"/>
          <w:kern w:val="2"/>
          <w:sz w:val="24"/>
          <w:szCs w:val="24"/>
          <w:highlight w:val="none"/>
          <w:lang w:val="zh-CN" w:eastAsia="zh-CN" w:bidi="ar-SA"/>
        </w:rPr>
        <w:t>（</w:t>
      </w:r>
      <w:r>
        <w:rPr>
          <w:rFonts w:hint="eastAsia" w:ascii="宋体" w:hAnsi="宋体" w:eastAsia="宋体" w:cs="宋体"/>
          <w:b/>
          <w:bCs/>
          <w:color w:val="auto"/>
          <w:kern w:val="2"/>
          <w:sz w:val="24"/>
          <w:szCs w:val="24"/>
          <w:highlight w:val="none"/>
          <w:lang w:val="en-US" w:eastAsia="zh-CN" w:bidi="ar-SA"/>
        </w:rPr>
        <w:t>三</w:t>
      </w:r>
      <w:r>
        <w:rPr>
          <w:rFonts w:hint="eastAsia" w:ascii="宋体" w:hAnsi="宋体" w:eastAsia="宋体" w:cs="宋体"/>
          <w:b/>
          <w:bCs/>
          <w:color w:val="auto"/>
          <w:kern w:val="2"/>
          <w:sz w:val="24"/>
          <w:szCs w:val="24"/>
          <w:highlight w:val="none"/>
          <w:lang w:val="zh-CN" w:eastAsia="zh-CN" w:bidi="ar-SA"/>
        </w:rPr>
        <w:t>）比较与评价</w:t>
      </w:r>
      <w:bookmarkEnd w:id="490"/>
      <w:bookmarkEnd w:id="491"/>
      <w:bookmarkEnd w:id="492"/>
    </w:p>
    <w:p w14:paraId="2BE6ECB2">
      <w:pPr>
        <w:pStyle w:val="38"/>
        <w:rPr>
          <w:rFonts w:hint="eastAsia"/>
          <w:color w:val="auto"/>
          <w:highlight w:val="none"/>
        </w:rPr>
      </w:pPr>
      <w:r>
        <w:rPr>
          <w:rFonts w:hint="eastAsia"/>
          <w:color w:val="auto"/>
          <w:highlight w:val="none"/>
          <w:lang w:val="en-US" w:eastAsia="zh-CN"/>
        </w:rPr>
        <w:t>9.</w:t>
      </w:r>
      <w:r>
        <w:rPr>
          <w:rFonts w:hint="eastAsia"/>
          <w:color w:val="auto"/>
          <w:highlight w:val="none"/>
        </w:rPr>
        <w:t>评标委员会应当按照招标文件中规定的评标方法和标准，对符合性审查合格的投标文件进行商务和技术评</w:t>
      </w:r>
      <w:r>
        <w:rPr>
          <w:rFonts w:hint="eastAsia"/>
          <w:color w:val="auto"/>
          <w:highlight w:val="none"/>
          <w:lang w:val="en-US" w:eastAsia="zh-CN"/>
        </w:rPr>
        <w:t>估</w:t>
      </w:r>
      <w:r>
        <w:rPr>
          <w:rFonts w:hint="eastAsia"/>
          <w:color w:val="auto"/>
          <w:highlight w:val="none"/>
        </w:rPr>
        <w:t>，综合比较与评价</w:t>
      </w:r>
      <w:r>
        <w:rPr>
          <w:rFonts w:hint="eastAsia"/>
          <w:color w:val="auto"/>
          <w:highlight w:val="none"/>
          <w:lang w:val="en-US" w:eastAsia="zh-CN"/>
        </w:rPr>
        <w:t>；未通过符合性审查的投标文件不得进入比较与评价</w:t>
      </w:r>
      <w:r>
        <w:rPr>
          <w:rFonts w:hint="eastAsia"/>
          <w:color w:val="auto"/>
          <w:highlight w:val="none"/>
        </w:rPr>
        <w:t>。评审因素包括投标报价、商务技术以及落实政府采购政策。评审因素及标准见本章</w:t>
      </w:r>
      <w:r>
        <w:rPr>
          <w:rFonts w:hint="eastAsia"/>
          <w:color w:val="auto"/>
          <w:highlight w:val="none"/>
          <w:lang w:eastAsia="zh-CN"/>
        </w:rPr>
        <w:t>“</w:t>
      </w:r>
      <w:r>
        <w:rPr>
          <w:rFonts w:hint="eastAsia"/>
          <w:color w:val="auto"/>
          <w:highlight w:val="none"/>
          <w:lang w:val="en-US" w:eastAsia="zh-CN"/>
        </w:rPr>
        <w:t>四、</w:t>
      </w:r>
      <w:r>
        <w:rPr>
          <w:rFonts w:hint="eastAsia"/>
          <w:color w:val="auto"/>
          <w:highlight w:val="none"/>
        </w:rPr>
        <w:t>评</w:t>
      </w:r>
      <w:r>
        <w:rPr>
          <w:rFonts w:hint="eastAsia"/>
          <w:color w:val="auto"/>
          <w:highlight w:val="none"/>
          <w:lang w:val="en-US" w:eastAsia="zh-CN"/>
        </w:rPr>
        <w:t>标</w:t>
      </w:r>
      <w:r>
        <w:rPr>
          <w:rFonts w:hint="eastAsia"/>
          <w:color w:val="auto"/>
          <w:highlight w:val="none"/>
        </w:rPr>
        <w:t>标准</w:t>
      </w:r>
      <w:r>
        <w:rPr>
          <w:rFonts w:hint="eastAsia"/>
          <w:color w:val="auto"/>
          <w:highlight w:val="none"/>
          <w:lang w:eastAsia="zh-CN"/>
        </w:rPr>
        <w:t>”</w:t>
      </w:r>
      <w:r>
        <w:rPr>
          <w:rFonts w:hint="eastAsia"/>
          <w:color w:val="auto"/>
          <w:highlight w:val="none"/>
        </w:rPr>
        <w:t>。</w:t>
      </w:r>
    </w:p>
    <w:p w14:paraId="384D833B">
      <w:pPr>
        <w:pStyle w:val="38"/>
        <w:keepNext w:val="0"/>
        <w:keepLines w:val="0"/>
        <w:pageBreakBefore w:val="0"/>
        <w:widowControl w:val="0"/>
        <w:kinsoku/>
        <w:overflowPunct/>
        <w:topLinePunct w:val="0"/>
        <w:autoSpaceDE/>
        <w:autoSpaceDN/>
        <w:bidi w:val="0"/>
        <w:adjustRightInd/>
        <w:snapToGrid/>
        <w:textAlignment w:val="auto"/>
        <w:rPr>
          <w:rFonts w:hint="eastAsia"/>
          <w:color w:val="auto"/>
          <w:highlight w:val="none"/>
        </w:rPr>
      </w:pPr>
      <w:r>
        <w:rPr>
          <w:rFonts w:hint="eastAsia"/>
          <w:color w:val="auto"/>
          <w:highlight w:val="none"/>
          <w:lang w:val="en-US" w:eastAsia="zh-CN"/>
        </w:rPr>
        <w:t>10</w:t>
      </w:r>
      <w:r>
        <w:rPr>
          <w:color w:val="auto"/>
          <w:highlight w:val="none"/>
        </w:rPr>
        <w:t>.</w:t>
      </w:r>
      <w:r>
        <w:rPr>
          <w:rFonts w:hint="eastAsia"/>
          <w:color w:val="auto"/>
          <w:highlight w:val="none"/>
        </w:rPr>
        <w:t>有效投标</w:t>
      </w:r>
      <w:r>
        <w:rPr>
          <w:rFonts w:hint="eastAsia"/>
          <w:color w:val="auto"/>
          <w:highlight w:val="none"/>
          <w:lang w:val="en-US" w:eastAsia="zh-CN"/>
        </w:rPr>
        <w:t>人</w:t>
      </w:r>
      <w:r>
        <w:rPr>
          <w:rFonts w:hint="eastAsia"/>
          <w:color w:val="auto"/>
          <w:highlight w:val="none"/>
        </w:rPr>
        <w:t>不足</w:t>
      </w:r>
      <w:r>
        <w:rPr>
          <w:color w:val="auto"/>
          <w:highlight w:val="none"/>
        </w:rPr>
        <w:t>3</w:t>
      </w:r>
      <w:r>
        <w:rPr>
          <w:rFonts w:hint="eastAsia"/>
          <w:color w:val="auto"/>
          <w:highlight w:val="none"/>
        </w:rPr>
        <w:t>家的应按</w:t>
      </w:r>
      <w:r>
        <w:rPr>
          <w:rFonts w:hint="eastAsia"/>
          <w:b/>
          <w:bCs/>
          <w:color w:val="auto"/>
          <w:highlight w:val="none"/>
        </w:rPr>
        <w:t>废标</w:t>
      </w:r>
      <w:r>
        <w:rPr>
          <w:rFonts w:hint="eastAsia"/>
          <w:color w:val="auto"/>
          <w:highlight w:val="none"/>
        </w:rPr>
        <w:t>处理。</w:t>
      </w:r>
    </w:p>
    <w:p w14:paraId="7C54BD9F">
      <w:pPr>
        <w:pStyle w:val="4"/>
        <w:keepNext/>
        <w:keepLines/>
        <w:pageBreakBefore w:val="0"/>
        <w:widowControl w:val="0"/>
        <w:numPr>
          <w:ilvl w:val="0"/>
          <w:numId w:val="0"/>
        </w:numPr>
        <w:kinsoku/>
        <w:wordWrap/>
        <w:overflowPunct/>
        <w:topLinePunct w:val="0"/>
        <w:autoSpaceDE/>
        <w:autoSpaceDN/>
        <w:bidi w:val="0"/>
        <w:adjustRightInd/>
        <w:snapToGrid/>
        <w:spacing w:before="60" w:after="60" w:line="360" w:lineRule="auto"/>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bookmarkStart w:id="493" w:name="_Toc24190"/>
      <w:bookmarkStart w:id="494" w:name="_Toc22691"/>
      <w:bookmarkStart w:id="495" w:name="_Toc4273"/>
      <w:r>
        <w:rPr>
          <w:rFonts w:hint="eastAsia" w:ascii="宋体" w:hAnsi="宋体" w:eastAsia="宋体" w:cs="宋体"/>
          <w:b/>
          <w:bCs/>
          <w:color w:val="auto"/>
          <w:kern w:val="2"/>
          <w:sz w:val="24"/>
          <w:szCs w:val="24"/>
          <w:highlight w:val="none"/>
          <w:lang w:val="zh-CN" w:eastAsia="zh-CN" w:bidi="ar-SA"/>
        </w:rPr>
        <w:t>（</w:t>
      </w:r>
      <w:r>
        <w:rPr>
          <w:rFonts w:hint="eastAsia" w:ascii="宋体" w:hAnsi="宋体" w:eastAsia="宋体" w:cs="宋体"/>
          <w:b/>
          <w:bCs/>
          <w:color w:val="auto"/>
          <w:kern w:val="2"/>
          <w:sz w:val="24"/>
          <w:szCs w:val="24"/>
          <w:highlight w:val="none"/>
          <w:lang w:val="en-US" w:eastAsia="zh-CN" w:bidi="ar-SA"/>
        </w:rPr>
        <w:t>四</w:t>
      </w:r>
      <w:r>
        <w:rPr>
          <w:rFonts w:hint="eastAsia" w:ascii="宋体" w:hAnsi="宋体" w:eastAsia="宋体" w:cs="宋体"/>
          <w:b/>
          <w:bCs/>
          <w:color w:val="auto"/>
          <w:kern w:val="2"/>
          <w:sz w:val="24"/>
          <w:szCs w:val="24"/>
          <w:highlight w:val="none"/>
          <w:lang w:val="zh-CN" w:eastAsia="zh-CN" w:bidi="ar-SA"/>
        </w:rPr>
        <w:t>）报价评审</w:t>
      </w:r>
      <w:bookmarkEnd w:id="493"/>
      <w:bookmarkEnd w:id="494"/>
      <w:bookmarkEnd w:id="495"/>
    </w:p>
    <w:p w14:paraId="21874171">
      <w:pPr>
        <w:pStyle w:val="38"/>
        <w:rPr>
          <w:color w:val="auto"/>
          <w:highlight w:val="none"/>
        </w:rPr>
      </w:pPr>
      <w:r>
        <w:rPr>
          <w:rFonts w:hint="eastAsia"/>
          <w:color w:val="auto"/>
          <w:highlight w:val="none"/>
          <w:lang w:val="en-US" w:eastAsia="zh-CN"/>
        </w:rPr>
        <w:t>11.</w:t>
      </w:r>
      <w:r>
        <w:rPr>
          <w:color w:val="auto"/>
          <w:highlight w:val="none"/>
        </w:rPr>
        <w:t>投标报价评审</w:t>
      </w:r>
    </w:p>
    <w:p w14:paraId="266BD854">
      <w:pPr>
        <w:pStyle w:val="38"/>
        <w:rPr>
          <w:color w:val="auto"/>
          <w:highlight w:val="none"/>
        </w:rPr>
      </w:pPr>
      <w:r>
        <w:rPr>
          <w:rFonts w:hint="eastAsia" w:ascii="宋体" w:hAnsi="宋体" w:eastAsia="宋体"/>
          <w:color w:val="auto"/>
          <w:highlight w:val="none"/>
          <w:lang w:val="en-US" w:eastAsia="zh-CN"/>
        </w:rPr>
        <w:t>11.1服务项目的价格分值占总分值的比重不得低于</w:t>
      </w:r>
      <w:r>
        <w:rPr>
          <w:rFonts w:hint="default" w:ascii="宋体" w:hAnsi="宋体" w:eastAsia="宋体"/>
          <w:color w:val="auto"/>
          <w:highlight w:val="none"/>
          <w:lang w:val="en-US" w:eastAsia="zh-CN"/>
        </w:rPr>
        <w:t>10%。</w:t>
      </w:r>
      <w:r>
        <w:rPr>
          <w:rFonts w:hint="eastAsia"/>
          <w:color w:val="auto"/>
          <w:highlight w:val="none"/>
          <w:lang w:val="en-US" w:eastAsia="zh-CN"/>
        </w:rPr>
        <w:t>执行国家统一定价标准和采用固定价格采购的项目，其价格不列为评审因素。</w:t>
      </w:r>
      <w:r>
        <w:rPr>
          <w:color w:val="auto"/>
          <w:highlight w:val="none"/>
        </w:rPr>
        <w:t>价格分应当采用低价优先法计算，即满足招标文件要求且投标价格最低的投标报价为评标基准价，其价格分为满分。其他投标人的价格分统一按照下列公式计算：</w:t>
      </w:r>
    </w:p>
    <w:p w14:paraId="2D86B7AD">
      <w:pPr>
        <w:pStyle w:val="38"/>
        <w:rPr>
          <w:color w:val="auto"/>
          <w:highlight w:val="none"/>
        </w:rPr>
      </w:pPr>
      <w:r>
        <w:rPr>
          <w:rFonts w:hint="eastAsia"/>
          <w:color w:val="auto"/>
          <w:highlight w:val="none"/>
        </w:rPr>
        <w:t>投标报价得分</w:t>
      </w:r>
      <w:r>
        <w:rPr>
          <w:color w:val="auto"/>
          <w:highlight w:val="none"/>
        </w:rPr>
        <w:t>=(评标基准价／投标报价)×</w:t>
      </w:r>
      <w:r>
        <w:rPr>
          <w:rFonts w:hint="eastAsia"/>
          <w:color w:val="auto"/>
          <w:highlight w:val="none"/>
        </w:rPr>
        <w:t>价格</w:t>
      </w:r>
      <w:r>
        <w:rPr>
          <w:rFonts w:hint="eastAsia"/>
          <w:color w:val="auto"/>
          <w:highlight w:val="none"/>
          <w:lang w:eastAsia="zh-CN"/>
        </w:rPr>
        <w:t>分值</w:t>
      </w:r>
    </w:p>
    <w:p w14:paraId="0CCB2E48">
      <w:pPr>
        <w:pStyle w:val="38"/>
        <w:rPr>
          <w:color w:val="auto"/>
          <w:highlight w:val="none"/>
        </w:rPr>
      </w:pPr>
      <w:r>
        <w:rPr>
          <w:rFonts w:hint="eastAsia"/>
          <w:color w:val="auto"/>
          <w:highlight w:val="none"/>
        </w:rPr>
        <w:t>评标过程中，不得去掉报价中的最高报价和最低报价。</w:t>
      </w:r>
    </w:p>
    <w:p w14:paraId="14E623B0">
      <w:pPr>
        <w:pStyle w:val="38"/>
        <w:rPr>
          <w:color w:val="auto"/>
          <w:highlight w:val="none"/>
        </w:rPr>
      </w:pPr>
      <w:r>
        <w:rPr>
          <w:rFonts w:hint="eastAsia"/>
          <w:color w:val="auto"/>
          <w:highlight w:val="none"/>
          <w:lang w:val="en-US" w:eastAsia="zh-CN"/>
        </w:rPr>
        <w:t>11.</w:t>
      </w:r>
      <w:r>
        <w:rPr>
          <w:color w:val="auto"/>
          <w:highlight w:val="none"/>
        </w:rPr>
        <w:t>2</w:t>
      </w:r>
      <w:r>
        <w:rPr>
          <w:rFonts w:hint="eastAsia"/>
          <w:iCs/>
          <w:color w:val="auto"/>
          <w:spacing w:val="-6"/>
          <w:sz w:val="24"/>
          <w:highlight w:val="none"/>
        </w:rPr>
        <w:t>除算术修正和落实政府采购政策的价格扣除外，不对投标报价进行调整；</w:t>
      </w:r>
    </w:p>
    <w:p w14:paraId="6DDDADCE">
      <w:pPr>
        <w:pStyle w:val="38"/>
        <w:rPr>
          <w:color w:val="auto"/>
          <w:highlight w:val="none"/>
        </w:rPr>
      </w:pPr>
      <w:r>
        <w:rPr>
          <w:rFonts w:hint="eastAsia"/>
          <w:color w:val="auto"/>
          <w:highlight w:val="none"/>
          <w:lang w:val="en-US" w:eastAsia="zh-CN"/>
        </w:rPr>
        <w:t>11.</w:t>
      </w:r>
      <w:r>
        <w:rPr>
          <w:color w:val="auto"/>
          <w:highlight w:val="none"/>
        </w:rPr>
        <w:t>3价</w:t>
      </w:r>
      <w:r>
        <w:rPr>
          <w:rFonts w:hint="eastAsia"/>
          <w:color w:val="auto"/>
          <w:highlight w:val="none"/>
        </w:rPr>
        <w:t>格</w:t>
      </w:r>
      <w:r>
        <w:rPr>
          <w:rFonts w:hint="eastAsia"/>
          <w:color w:val="auto"/>
          <w:highlight w:val="none"/>
          <w:lang w:eastAsia="zh-CN"/>
        </w:rPr>
        <w:t>分值</w:t>
      </w:r>
      <w:r>
        <w:rPr>
          <w:rFonts w:hint="eastAsia"/>
          <w:color w:val="auto"/>
          <w:highlight w:val="none"/>
        </w:rPr>
        <w:t>见本章</w:t>
      </w:r>
      <w:r>
        <w:rPr>
          <w:rFonts w:hint="eastAsia"/>
          <w:color w:val="auto"/>
          <w:highlight w:val="none"/>
          <w:lang w:eastAsia="zh-CN"/>
        </w:rPr>
        <w:t>“</w:t>
      </w:r>
      <w:r>
        <w:rPr>
          <w:rFonts w:hint="eastAsia"/>
          <w:color w:val="auto"/>
          <w:highlight w:val="none"/>
          <w:lang w:val="en-US" w:eastAsia="zh-CN"/>
        </w:rPr>
        <w:t>四、</w:t>
      </w:r>
      <w:r>
        <w:rPr>
          <w:rFonts w:hint="eastAsia"/>
          <w:color w:val="auto"/>
          <w:highlight w:val="none"/>
        </w:rPr>
        <w:t>评</w:t>
      </w:r>
      <w:r>
        <w:rPr>
          <w:rFonts w:hint="eastAsia"/>
          <w:color w:val="auto"/>
          <w:highlight w:val="none"/>
          <w:lang w:val="en-US" w:eastAsia="zh-CN"/>
        </w:rPr>
        <w:t>标</w:t>
      </w:r>
      <w:r>
        <w:rPr>
          <w:rFonts w:hint="eastAsia"/>
          <w:color w:val="auto"/>
          <w:highlight w:val="none"/>
        </w:rPr>
        <w:t>标准</w:t>
      </w:r>
      <w:r>
        <w:rPr>
          <w:rFonts w:hint="eastAsia"/>
          <w:color w:val="auto"/>
          <w:highlight w:val="none"/>
          <w:lang w:eastAsia="zh-CN"/>
        </w:rPr>
        <w:t>”</w:t>
      </w:r>
      <w:r>
        <w:rPr>
          <w:color w:val="auto"/>
          <w:highlight w:val="none"/>
        </w:rPr>
        <w:t>。</w:t>
      </w:r>
    </w:p>
    <w:p w14:paraId="30866637">
      <w:pPr>
        <w:pStyle w:val="38"/>
        <w:rPr>
          <w:b w:val="0"/>
          <w:bCs w:val="0"/>
          <w:color w:val="auto"/>
          <w:highlight w:val="none"/>
        </w:rPr>
      </w:pPr>
      <w:r>
        <w:rPr>
          <w:rFonts w:hint="eastAsia"/>
          <w:b w:val="0"/>
          <w:bCs w:val="0"/>
          <w:color w:val="auto"/>
          <w:highlight w:val="none"/>
        </w:rPr>
        <w:t>1</w:t>
      </w:r>
      <w:r>
        <w:rPr>
          <w:rFonts w:hint="eastAsia"/>
          <w:b w:val="0"/>
          <w:bCs w:val="0"/>
          <w:color w:val="auto"/>
          <w:highlight w:val="none"/>
          <w:lang w:val="en-US" w:eastAsia="zh-CN"/>
        </w:rPr>
        <w:t>2</w:t>
      </w:r>
      <w:r>
        <w:rPr>
          <w:b w:val="0"/>
          <w:bCs w:val="0"/>
          <w:color w:val="auto"/>
          <w:highlight w:val="none"/>
        </w:rPr>
        <w:t>.</w:t>
      </w:r>
      <w:r>
        <w:rPr>
          <w:rFonts w:hint="eastAsia"/>
          <w:b w:val="0"/>
          <w:bCs w:val="0"/>
          <w:color w:val="auto"/>
          <w:highlight w:val="none"/>
        </w:rPr>
        <w:t>政府采购政策评审</w:t>
      </w:r>
    </w:p>
    <w:p w14:paraId="1627C557">
      <w:pPr>
        <w:pStyle w:val="38"/>
        <w:numPr>
          <w:ilvl w:val="0"/>
          <w:numId w:val="0"/>
        </w:numPr>
        <w:ind w:firstLine="480" w:firstLineChars="200"/>
        <w:rPr>
          <w:color w:val="auto"/>
          <w:highlight w:val="none"/>
        </w:rPr>
      </w:pPr>
      <w:r>
        <w:rPr>
          <w:color w:val="auto"/>
          <w:highlight w:val="none"/>
        </w:rPr>
        <w:t>1</w:t>
      </w:r>
      <w:r>
        <w:rPr>
          <w:rFonts w:hint="eastAsia"/>
          <w:color w:val="auto"/>
          <w:highlight w:val="none"/>
          <w:lang w:val="en-US" w:eastAsia="zh-CN"/>
        </w:rPr>
        <w:t>2</w:t>
      </w:r>
      <w:r>
        <w:rPr>
          <w:color w:val="auto"/>
          <w:highlight w:val="none"/>
        </w:rPr>
        <w:t>.1非专门面向中小企业的采购项目或采购包，对符合规定的小微企业（</w:t>
      </w:r>
      <w:r>
        <w:rPr>
          <w:rFonts w:hint="eastAsia"/>
          <w:color w:val="auto"/>
          <w:highlight w:val="none"/>
          <w:lang w:val="en-US" w:eastAsia="zh-CN"/>
        </w:rPr>
        <w:t>含</w:t>
      </w:r>
      <w:r>
        <w:rPr>
          <w:color w:val="auto"/>
          <w:highlight w:val="none"/>
        </w:rPr>
        <w:t>监狱企业、残疾人福利性单位、联合体各方均为小微企业的联合体、符合小微企业划分标准的个体工商户视同小微企业）报价</w:t>
      </w:r>
      <w:r>
        <w:rPr>
          <w:rFonts w:hint="eastAsia"/>
          <w:color w:val="auto"/>
          <w:highlight w:val="none"/>
        </w:rPr>
        <w:t>按照本招标文件</w:t>
      </w:r>
      <w:r>
        <w:rPr>
          <w:rFonts w:hint="eastAsia"/>
          <w:color w:val="auto"/>
          <w:highlight w:val="none"/>
          <w:lang w:eastAsia="zh-CN"/>
        </w:rPr>
        <w:t>“</w:t>
      </w:r>
      <w:r>
        <w:rPr>
          <w:rFonts w:hint="eastAsia"/>
          <w:color w:val="auto"/>
          <w:highlight w:val="none"/>
        </w:rPr>
        <w:t>投标人须知前附表”中的规定</w:t>
      </w:r>
      <w:r>
        <w:rPr>
          <w:color w:val="auto"/>
          <w:highlight w:val="none"/>
        </w:rPr>
        <w:t>扣除</w:t>
      </w:r>
      <w:r>
        <w:rPr>
          <w:rFonts w:hint="eastAsia"/>
          <w:color w:val="auto"/>
          <w:highlight w:val="none"/>
        </w:rPr>
        <w:t>，对小微企业中的监狱企业、残疾人福利性单位、采购产品纳入创新产品应用示范推荐目录内企业、采购产品获得节能产品或环境标志产品认证证书的企业报价按照本</w:t>
      </w:r>
      <w:r>
        <w:rPr>
          <w:rFonts w:hint="eastAsia"/>
          <w:color w:val="auto"/>
          <w:highlight w:val="none"/>
          <w:lang w:val="en-US" w:eastAsia="zh-CN"/>
        </w:rPr>
        <w:t>招标</w:t>
      </w:r>
      <w:r>
        <w:rPr>
          <w:rFonts w:hint="eastAsia"/>
          <w:color w:val="auto"/>
          <w:highlight w:val="none"/>
        </w:rPr>
        <w:t>文件</w:t>
      </w:r>
      <w:r>
        <w:rPr>
          <w:rFonts w:hint="eastAsia"/>
          <w:color w:val="auto"/>
          <w:highlight w:val="none"/>
          <w:lang w:eastAsia="zh-CN"/>
        </w:rPr>
        <w:t>“</w:t>
      </w:r>
      <w:r>
        <w:rPr>
          <w:rFonts w:hint="eastAsia"/>
          <w:color w:val="auto"/>
          <w:highlight w:val="none"/>
          <w:lang w:val="en-US" w:eastAsia="zh-CN"/>
        </w:rPr>
        <w:t>投标人</w:t>
      </w:r>
      <w:r>
        <w:rPr>
          <w:rFonts w:hint="eastAsia"/>
          <w:color w:val="auto"/>
          <w:highlight w:val="none"/>
        </w:rPr>
        <w:t>须知前附表”中的规定扣除，用扣除后的价格计算评审基准价</w:t>
      </w:r>
      <w:r>
        <w:rPr>
          <w:color w:val="auto"/>
          <w:highlight w:val="none"/>
        </w:rPr>
        <w:t>。</w:t>
      </w:r>
    </w:p>
    <w:p w14:paraId="1E5F4E03">
      <w:pPr>
        <w:pStyle w:val="38"/>
        <w:numPr>
          <w:ilvl w:val="0"/>
          <w:numId w:val="0"/>
        </w:numPr>
        <w:ind w:firstLine="480" w:firstLineChars="200"/>
        <w:rPr>
          <w:rFonts w:ascii="宋体" w:hAnsi="宋体" w:eastAsia="宋体"/>
          <w:color w:val="auto"/>
          <w:highlight w:val="none"/>
        </w:rPr>
      </w:pPr>
      <w:r>
        <w:rPr>
          <w:rFonts w:hint="eastAsia" w:ascii="宋体" w:hAnsi="宋体" w:eastAsia="宋体"/>
          <w:color w:val="auto"/>
          <w:highlight w:val="none"/>
          <w:lang w:val="en-US" w:eastAsia="zh-CN"/>
        </w:rPr>
        <w:t>12.</w:t>
      </w:r>
      <w:r>
        <w:rPr>
          <w:rFonts w:hint="eastAsia" w:ascii="宋体" w:hAnsi="宋体" w:eastAsia="宋体"/>
          <w:color w:val="auto"/>
          <w:highlight w:val="none"/>
          <w:lang w:val="zh-CN" w:eastAsia="zh-CN"/>
        </w:rPr>
        <w:t>2</w:t>
      </w:r>
      <w:r>
        <w:rPr>
          <w:rFonts w:ascii="宋体" w:hAnsi="宋体" w:eastAsia="宋体"/>
          <w:color w:val="auto"/>
          <w:highlight w:val="none"/>
        </w:rPr>
        <w:t>参加政府采购活动的小微企业</w:t>
      </w:r>
      <w:r>
        <w:rPr>
          <w:rFonts w:hint="eastAsia"/>
          <w:color w:val="auto"/>
          <w:highlight w:val="none"/>
        </w:rPr>
        <w:t>（含节能环保、创新产品企业）</w:t>
      </w:r>
      <w:r>
        <w:rPr>
          <w:rFonts w:ascii="宋体" w:hAnsi="宋体" w:eastAsia="宋体"/>
          <w:color w:val="auto"/>
          <w:highlight w:val="none"/>
        </w:rPr>
        <w:t>未提供“中小企业声明函”的；监狱企业未提供“监狱企业证明文件”的；残疾人福利性单位未提供“残疾人福利性单位声明函”的；不得享受相应的价格扣除优惠。组成联合体或者接受分包的小微企业与联合体内其他企业、分包企业之间存在直接控股、管理关系的，不得享受价格扣除优惠。</w:t>
      </w:r>
      <w:r>
        <w:rPr>
          <w:rFonts w:hint="eastAsia"/>
          <w:color w:val="auto"/>
          <w:highlight w:val="none"/>
          <w:lang w:val="en-US" w:eastAsia="zh-CN"/>
        </w:rPr>
        <w:t>若供应商同时属于小型或微型企业、监狱企业、残疾人福利性单位 中的两种及以上，将不重复享受小微企业价格扣减的优惠政策。</w:t>
      </w:r>
    </w:p>
    <w:p w14:paraId="1A495953">
      <w:pPr>
        <w:pStyle w:val="38"/>
        <w:numPr>
          <w:ilvl w:val="0"/>
          <w:numId w:val="0"/>
        </w:numPr>
        <w:shd w:val="clear" w:color="auto" w:fill="FFFFFF" w:themeFill="background1"/>
        <w:ind w:firstLine="480" w:firstLineChars="200"/>
        <w:rPr>
          <w:rFonts w:ascii="宋体" w:hAnsi="宋体" w:eastAsia="宋体" w:cstheme="minorBidi"/>
          <w:color w:val="auto"/>
          <w:kern w:val="2"/>
          <w:sz w:val="24"/>
          <w:szCs w:val="22"/>
          <w:highlight w:val="none"/>
          <w:lang w:val="en-US" w:eastAsia="zh-CN" w:bidi="ar-SA"/>
        </w:rPr>
      </w:pPr>
      <w:r>
        <w:rPr>
          <w:rFonts w:ascii="宋体" w:hAnsi="宋体" w:eastAsia="宋体" w:cstheme="minorBidi"/>
          <w:color w:val="auto"/>
          <w:kern w:val="2"/>
          <w:sz w:val="24"/>
          <w:szCs w:val="22"/>
          <w:highlight w:val="none"/>
          <w:lang w:val="en-US" w:eastAsia="zh-CN" w:bidi="ar-SA"/>
        </w:rPr>
        <w:t>组成联合体或者接受分包的小微企业与联合体内其他企业、分包企业</w:t>
      </w:r>
      <w:r>
        <w:rPr>
          <w:rFonts w:hint="default" w:ascii="宋体" w:hAnsi="宋体" w:eastAsia="宋体" w:cstheme="minorBidi"/>
          <w:color w:val="auto"/>
          <w:kern w:val="2"/>
          <w:sz w:val="24"/>
          <w:szCs w:val="22"/>
          <w:highlight w:val="none"/>
          <w:lang w:val="en-US" w:eastAsia="zh-CN" w:bidi="ar-SA"/>
        </w:rPr>
        <w:t>之间存在直接控股、管理关系的，不享受价格扣除优惠政策。</w:t>
      </w:r>
    </w:p>
    <w:p w14:paraId="4FDAF77C">
      <w:pPr>
        <w:pStyle w:val="38"/>
        <w:numPr>
          <w:ilvl w:val="0"/>
          <w:numId w:val="0"/>
        </w:numPr>
        <w:ind w:firstLine="480" w:firstLineChars="200"/>
        <w:rPr>
          <w:rFonts w:ascii="宋体" w:hAnsi="宋体" w:eastAsia="宋体"/>
          <w:color w:val="auto"/>
          <w:highlight w:val="none"/>
        </w:rPr>
      </w:pPr>
      <w:r>
        <w:rPr>
          <w:rFonts w:ascii="宋体" w:hAnsi="宋体" w:eastAsia="宋体" w:cstheme="minorBidi"/>
          <w:color w:val="auto"/>
          <w:kern w:val="2"/>
          <w:sz w:val="24"/>
          <w:szCs w:val="22"/>
          <w:highlight w:val="none"/>
          <w:lang w:val="en-US" w:eastAsia="zh-CN" w:bidi="ar-SA"/>
        </w:rPr>
        <w:t>价格扣除比例对小型企业和微型企业同等对待，不作区分。</w:t>
      </w:r>
    </w:p>
    <w:p w14:paraId="71DD10A8">
      <w:pPr>
        <w:pStyle w:val="38"/>
        <w:numPr>
          <w:ilvl w:val="0"/>
          <w:numId w:val="0"/>
        </w:numPr>
        <w:ind w:firstLine="480" w:firstLineChars="200"/>
        <w:rPr>
          <w:rFonts w:ascii="宋体" w:hAnsi="宋体" w:eastAsia="宋体"/>
          <w:color w:val="auto"/>
          <w:highlight w:val="none"/>
        </w:rPr>
      </w:pPr>
      <w:r>
        <w:rPr>
          <w:rFonts w:hint="eastAsia" w:ascii="宋体" w:hAnsi="宋体" w:eastAsia="宋体"/>
          <w:color w:val="auto"/>
          <w:highlight w:val="none"/>
          <w:lang w:val="en-US" w:eastAsia="zh-CN"/>
        </w:rPr>
        <w:t>12.</w:t>
      </w:r>
      <w:r>
        <w:rPr>
          <w:rFonts w:hint="eastAsia" w:ascii="宋体" w:hAnsi="宋体" w:eastAsia="宋体"/>
          <w:color w:val="auto"/>
          <w:highlight w:val="none"/>
          <w:lang w:val="zh-CN" w:eastAsia="zh-CN"/>
        </w:rPr>
        <w:t>3</w:t>
      </w:r>
      <w:r>
        <w:rPr>
          <w:rFonts w:ascii="宋体" w:hAnsi="宋体" w:eastAsia="宋体"/>
          <w:color w:val="auto"/>
          <w:highlight w:val="none"/>
        </w:rPr>
        <w:t>专门面向中小企业、预留部分采购份额面向中小企业采购的项目或采购包，评审时不再进行价格扣除。</w:t>
      </w:r>
    </w:p>
    <w:p w14:paraId="3874ED83">
      <w:pPr>
        <w:pStyle w:val="38"/>
        <w:numPr>
          <w:ilvl w:val="0"/>
          <w:numId w:val="0"/>
        </w:numPr>
        <w:ind w:firstLine="480" w:firstLineChars="200"/>
        <w:rPr>
          <w:rFonts w:hint="eastAsia" w:ascii="宋体" w:hAnsi="宋体" w:eastAsia="宋体"/>
          <w:color w:val="auto"/>
          <w:highlight w:val="none"/>
        </w:rPr>
      </w:pPr>
      <w:r>
        <w:rPr>
          <w:rFonts w:hint="eastAsia" w:ascii="宋体" w:hAnsi="宋体" w:eastAsia="宋体"/>
          <w:color w:val="auto"/>
          <w:highlight w:val="none"/>
          <w:lang w:val="en-US" w:eastAsia="zh-CN"/>
        </w:rPr>
        <w:t>12.4</w:t>
      </w:r>
      <w:r>
        <w:rPr>
          <w:rFonts w:hint="eastAsia" w:ascii="宋体" w:hAnsi="宋体" w:eastAsia="宋体"/>
          <w:color w:val="auto"/>
          <w:highlight w:val="none"/>
        </w:rPr>
        <w:t>对于未预留份额专门面向中小企业的政府采购项目，以及预留份额政府采购项目中的非预留部分标项，对小型和微型企业的投标报价给予10%-</w:t>
      </w:r>
      <w:r>
        <w:rPr>
          <w:rFonts w:ascii="宋体" w:hAnsi="宋体" w:eastAsia="宋体"/>
          <w:color w:val="auto"/>
          <w:highlight w:val="none"/>
        </w:rPr>
        <w:t>20</w:t>
      </w:r>
      <w:r>
        <w:rPr>
          <w:rFonts w:hint="eastAsia" w:ascii="宋体" w:hAnsi="宋体" w:eastAsia="宋体"/>
          <w:color w:val="auto"/>
          <w:highlight w:val="none"/>
        </w:rPr>
        <w:t>%的扣除，用扣除后的价格参与评审。接受大中型企业与小微企业组成联合体或者允许大中型企业向一家或者多家小微企业分包的政府采购项目，对于联合</w:t>
      </w:r>
      <w:r>
        <w:rPr>
          <w:rFonts w:hint="eastAsia" w:ascii="宋体" w:hAnsi="宋体" w:eastAsia="宋体"/>
          <w:color w:val="auto"/>
          <w:highlight w:val="none"/>
          <w:lang w:val="en-US" w:eastAsia="zh-CN"/>
        </w:rPr>
        <w:t>体</w:t>
      </w:r>
      <w:r>
        <w:rPr>
          <w:rFonts w:hint="eastAsia" w:ascii="宋体" w:hAnsi="宋体" w:eastAsia="宋体"/>
          <w:color w:val="auto"/>
          <w:highlight w:val="none"/>
        </w:rPr>
        <w:t>协议</w:t>
      </w:r>
      <w:r>
        <w:rPr>
          <w:rFonts w:hint="eastAsia" w:ascii="宋体" w:hAnsi="宋体" w:eastAsia="宋体"/>
          <w:color w:val="auto"/>
          <w:highlight w:val="none"/>
          <w:lang w:val="en-US" w:eastAsia="zh-CN"/>
        </w:rPr>
        <w:t>书</w:t>
      </w:r>
      <w:r>
        <w:rPr>
          <w:rFonts w:hint="eastAsia" w:ascii="宋体" w:hAnsi="宋体" w:eastAsia="宋体"/>
          <w:color w:val="auto"/>
          <w:highlight w:val="none"/>
        </w:rPr>
        <w:t>或者分包意向协议</w:t>
      </w:r>
      <w:r>
        <w:rPr>
          <w:rFonts w:hint="eastAsia" w:ascii="宋体" w:hAnsi="宋体" w:eastAsia="宋体"/>
          <w:color w:val="auto"/>
          <w:highlight w:val="none"/>
          <w:lang w:val="en-US" w:eastAsia="zh-CN"/>
        </w:rPr>
        <w:t>书</w:t>
      </w:r>
      <w:r>
        <w:rPr>
          <w:rFonts w:hint="eastAsia" w:ascii="宋体" w:hAnsi="宋体" w:eastAsia="宋体"/>
          <w:color w:val="auto"/>
          <w:highlight w:val="none"/>
        </w:rPr>
        <w:t>约定小微企业的合同份额占到合同总金额30%以上的，对联合体或者大中型企业的报价给予4%-</w:t>
      </w:r>
      <w:r>
        <w:rPr>
          <w:rFonts w:ascii="宋体" w:hAnsi="宋体" w:eastAsia="宋体"/>
          <w:color w:val="auto"/>
          <w:highlight w:val="none"/>
        </w:rPr>
        <w:t>6</w:t>
      </w:r>
      <w:r>
        <w:rPr>
          <w:rFonts w:hint="eastAsia" w:ascii="宋体" w:hAnsi="宋体" w:eastAsia="宋体"/>
          <w:color w:val="auto"/>
          <w:highlight w:val="none"/>
        </w:rPr>
        <w:t>%的扣除，用扣除后的价格参加评审。组成联合体或者接受分包的小微企业与联合体内其他企业、分包企业之间存在直接控股、管理关系的，不享受价格扣除优惠政策。</w:t>
      </w:r>
    </w:p>
    <w:p w14:paraId="548FFFDB">
      <w:pPr>
        <w:pStyle w:val="4"/>
        <w:keepNext/>
        <w:keepLines/>
        <w:pageBreakBefore w:val="0"/>
        <w:widowControl w:val="0"/>
        <w:numPr>
          <w:ilvl w:val="0"/>
          <w:numId w:val="0"/>
        </w:numPr>
        <w:kinsoku/>
        <w:wordWrap/>
        <w:overflowPunct/>
        <w:topLinePunct w:val="0"/>
        <w:autoSpaceDE/>
        <w:autoSpaceDN/>
        <w:bidi w:val="0"/>
        <w:adjustRightInd/>
        <w:snapToGrid/>
        <w:spacing w:before="60" w:after="60" w:line="360" w:lineRule="auto"/>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bookmarkStart w:id="496" w:name="_Toc8718"/>
      <w:bookmarkStart w:id="497" w:name="_Toc32272"/>
      <w:bookmarkStart w:id="498" w:name="_Toc13576"/>
      <w:r>
        <w:rPr>
          <w:rFonts w:hint="eastAsia" w:ascii="宋体" w:hAnsi="宋体" w:eastAsia="宋体" w:cs="宋体"/>
          <w:b/>
          <w:bCs/>
          <w:color w:val="auto"/>
          <w:kern w:val="2"/>
          <w:sz w:val="24"/>
          <w:szCs w:val="24"/>
          <w:highlight w:val="none"/>
          <w:lang w:val="zh-CN" w:eastAsia="zh-CN" w:bidi="ar-SA"/>
        </w:rPr>
        <w:t>（</w:t>
      </w:r>
      <w:r>
        <w:rPr>
          <w:rFonts w:hint="eastAsia" w:ascii="宋体" w:hAnsi="宋体" w:eastAsia="宋体" w:cs="宋体"/>
          <w:b/>
          <w:bCs/>
          <w:color w:val="auto"/>
          <w:kern w:val="2"/>
          <w:sz w:val="24"/>
          <w:szCs w:val="24"/>
          <w:highlight w:val="none"/>
          <w:lang w:val="en-US" w:eastAsia="zh-CN" w:bidi="ar-SA"/>
        </w:rPr>
        <w:t>五</w:t>
      </w:r>
      <w:r>
        <w:rPr>
          <w:rFonts w:hint="eastAsia" w:ascii="宋体" w:hAnsi="宋体" w:eastAsia="宋体" w:cs="宋体"/>
          <w:b/>
          <w:bCs/>
          <w:color w:val="auto"/>
          <w:kern w:val="2"/>
          <w:sz w:val="24"/>
          <w:szCs w:val="24"/>
          <w:highlight w:val="none"/>
          <w:lang w:val="zh-CN" w:eastAsia="zh-CN" w:bidi="ar-SA"/>
        </w:rPr>
        <w:t>）评标得分及复核</w:t>
      </w:r>
      <w:bookmarkEnd w:id="496"/>
      <w:bookmarkEnd w:id="497"/>
      <w:bookmarkEnd w:id="498"/>
    </w:p>
    <w:p w14:paraId="073A56A5">
      <w:pPr>
        <w:pStyle w:val="38"/>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color w:val="auto"/>
          <w:highlight w:val="none"/>
          <w:lang w:val="en-US" w:eastAsia="zh-CN"/>
        </w:rPr>
      </w:pPr>
      <w:r>
        <w:rPr>
          <w:rFonts w:hint="eastAsia"/>
          <w:color w:val="auto"/>
          <w:highlight w:val="none"/>
          <w:lang w:val="en-US" w:eastAsia="zh-CN"/>
        </w:rPr>
        <w:t>13.评标过程中，各项分值一般精确到小数点后两位，评标得分应为商务评分、技术评分、报价评分之和。评标委员会各成员应汇总每个投标人的得分。</w:t>
      </w:r>
    </w:p>
    <w:p w14:paraId="0BE80DC7">
      <w:pPr>
        <w:pStyle w:val="38"/>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color w:val="auto"/>
          <w:highlight w:val="none"/>
          <w:lang w:val="en-US" w:eastAsia="zh-CN"/>
        </w:rPr>
      </w:pPr>
      <w:r>
        <w:rPr>
          <w:rFonts w:hint="eastAsia"/>
          <w:color w:val="auto"/>
          <w:highlight w:val="none"/>
          <w:lang w:val="en-US" w:eastAsia="zh-CN"/>
        </w:rPr>
        <w:t>14.评标结果汇总完成后，采购代理机构应对评标结果进行复核。经复核发现存在以下情形之一的，</w:t>
      </w:r>
      <w:r>
        <w:rPr>
          <w:rFonts w:hint="eastAsia"/>
          <w:iCs/>
          <w:color w:val="auto"/>
          <w:spacing w:val="-6"/>
          <w:sz w:val="24"/>
          <w:highlight w:val="none"/>
          <w:lang w:val="en-US" w:eastAsia="zh-CN"/>
        </w:rPr>
        <w:t>评标委员会应当当场修改评标结果，并在评标报告中记载</w:t>
      </w:r>
      <w:r>
        <w:rPr>
          <w:rFonts w:hint="eastAsia"/>
          <w:color w:val="auto"/>
          <w:highlight w:val="none"/>
          <w:lang w:val="en-US" w:eastAsia="zh-CN"/>
        </w:rPr>
        <w:t>：</w:t>
      </w:r>
    </w:p>
    <w:p w14:paraId="427128F3">
      <w:pPr>
        <w:pStyle w:val="38"/>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color w:val="auto"/>
          <w:highlight w:val="none"/>
          <w:lang w:val="en-US" w:eastAsia="zh-CN"/>
        </w:rPr>
      </w:pPr>
      <w:r>
        <w:rPr>
          <w:rFonts w:hint="eastAsia"/>
          <w:color w:val="auto"/>
          <w:highlight w:val="none"/>
          <w:lang w:val="en-US" w:eastAsia="zh-CN"/>
        </w:rPr>
        <w:t>14.1分值汇总计算错误的；</w:t>
      </w:r>
    </w:p>
    <w:p w14:paraId="4404F7B4">
      <w:pPr>
        <w:pStyle w:val="38"/>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color w:val="auto"/>
          <w:highlight w:val="none"/>
          <w:lang w:val="en-US" w:eastAsia="zh-CN"/>
        </w:rPr>
      </w:pPr>
      <w:r>
        <w:rPr>
          <w:rFonts w:hint="eastAsia"/>
          <w:color w:val="auto"/>
          <w:highlight w:val="none"/>
          <w:lang w:val="en-US" w:eastAsia="zh-CN"/>
        </w:rPr>
        <w:t>14.2分项评分超出评分标准范围的；</w:t>
      </w:r>
    </w:p>
    <w:p w14:paraId="18150CA8">
      <w:pPr>
        <w:pStyle w:val="38"/>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color w:val="auto"/>
          <w:highlight w:val="none"/>
          <w:lang w:val="en-US" w:eastAsia="zh-CN"/>
        </w:rPr>
      </w:pPr>
      <w:r>
        <w:rPr>
          <w:rFonts w:hint="eastAsia"/>
          <w:color w:val="auto"/>
          <w:highlight w:val="none"/>
          <w:lang w:val="en-US" w:eastAsia="zh-CN"/>
        </w:rPr>
        <w:t>14.3评标委员会成员对客观评审因素评分不一致的；</w:t>
      </w:r>
    </w:p>
    <w:p w14:paraId="6BFAB3DA">
      <w:pPr>
        <w:pStyle w:val="38"/>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color w:val="auto"/>
          <w:highlight w:val="none"/>
          <w:lang w:val="en-US" w:eastAsia="zh-CN"/>
        </w:rPr>
      </w:pPr>
      <w:r>
        <w:rPr>
          <w:rFonts w:hint="eastAsia"/>
          <w:color w:val="auto"/>
          <w:highlight w:val="none"/>
          <w:lang w:val="en-US" w:eastAsia="zh-CN"/>
        </w:rPr>
        <w:t>14.4经评标委员会认定评分畸高、畸低的。</w:t>
      </w:r>
    </w:p>
    <w:p w14:paraId="0FD26D1C">
      <w:pPr>
        <w:pStyle w:val="38"/>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color w:val="auto"/>
          <w:highlight w:val="none"/>
          <w:lang w:val="en-US" w:eastAsia="zh-CN"/>
        </w:rPr>
      </w:pPr>
      <w:r>
        <w:rPr>
          <w:rFonts w:hint="eastAsia"/>
          <w:color w:val="auto"/>
          <w:highlight w:val="none"/>
          <w:lang w:val="en-US" w:eastAsia="zh-CN"/>
        </w:rPr>
        <w:t>15.各投标人的最终得分为评标委员会所有成员对各投标人评标得分汇总后的算术平均值。</w:t>
      </w:r>
    </w:p>
    <w:p w14:paraId="1FD846A7">
      <w:pPr>
        <w:pStyle w:val="38"/>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color w:val="auto"/>
          <w:highlight w:val="none"/>
          <w:lang w:val="en-US" w:eastAsia="zh-CN"/>
        </w:rPr>
      </w:pPr>
      <w:r>
        <w:rPr>
          <w:rFonts w:hint="eastAsia"/>
          <w:color w:val="auto"/>
          <w:highlight w:val="none"/>
          <w:lang w:val="en-US" w:eastAsia="zh-CN"/>
        </w:rPr>
        <w:t>15.1除资格性检查认定错误、分值汇总计算错误、分项评分超出评分标准范围、客观分评分不一致、经评标委员会一致认定评分畸高、畸低的情形外，采购人或者采购代理机构不得以任何理由组织重新评审。采购人、采购代理机构发现评标委员会未按照招标文件规定的评审标准进行评审的，应当重新开展采购活动，并同时书面报告本级财政部门。</w:t>
      </w:r>
    </w:p>
    <w:p w14:paraId="52280223">
      <w:pPr>
        <w:pStyle w:val="38"/>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color w:val="auto"/>
          <w:highlight w:val="none"/>
          <w:lang w:val="en-US" w:eastAsia="zh-CN"/>
        </w:rPr>
      </w:pPr>
      <w:r>
        <w:rPr>
          <w:rFonts w:hint="eastAsia"/>
          <w:color w:val="auto"/>
          <w:highlight w:val="none"/>
          <w:lang w:val="en-US" w:eastAsia="zh-CN"/>
        </w:rPr>
        <w:t>15.2采购人或者采购代理机构不得通过对样品进行检测、对投标人进行考察等方式改变评审结果。</w:t>
      </w:r>
    </w:p>
    <w:p w14:paraId="5AB9E04E">
      <w:pPr>
        <w:pStyle w:val="4"/>
        <w:keepNext/>
        <w:keepLines/>
        <w:pageBreakBefore w:val="0"/>
        <w:widowControl w:val="0"/>
        <w:numPr>
          <w:ilvl w:val="0"/>
          <w:numId w:val="0"/>
        </w:numPr>
        <w:kinsoku/>
        <w:wordWrap/>
        <w:overflowPunct/>
        <w:topLinePunct w:val="0"/>
        <w:autoSpaceDE/>
        <w:autoSpaceDN/>
        <w:bidi w:val="0"/>
        <w:adjustRightInd/>
        <w:snapToGrid/>
        <w:spacing w:before="60" w:after="60" w:line="360" w:lineRule="auto"/>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bookmarkStart w:id="499" w:name="_Toc25831"/>
      <w:bookmarkStart w:id="500" w:name="_Toc10811"/>
      <w:bookmarkStart w:id="501" w:name="_Toc16908"/>
      <w:r>
        <w:rPr>
          <w:rFonts w:hint="eastAsia" w:ascii="宋体" w:hAnsi="宋体" w:eastAsia="宋体" w:cs="宋体"/>
          <w:b/>
          <w:bCs/>
          <w:color w:val="auto"/>
          <w:kern w:val="2"/>
          <w:sz w:val="24"/>
          <w:szCs w:val="24"/>
          <w:highlight w:val="none"/>
          <w:lang w:val="zh-CN" w:eastAsia="zh-CN" w:bidi="ar-SA"/>
        </w:rPr>
        <w:t>（</w:t>
      </w:r>
      <w:r>
        <w:rPr>
          <w:rFonts w:hint="eastAsia" w:ascii="宋体" w:hAnsi="宋体" w:eastAsia="宋体" w:cs="宋体"/>
          <w:b/>
          <w:bCs/>
          <w:color w:val="auto"/>
          <w:kern w:val="2"/>
          <w:sz w:val="24"/>
          <w:szCs w:val="24"/>
          <w:highlight w:val="none"/>
          <w:lang w:val="en-US" w:eastAsia="zh-CN" w:bidi="ar-SA"/>
        </w:rPr>
        <w:t>六</w:t>
      </w:r>
      <w:r>
        <w:rPr>
          <w:rFonts w:hint="eastAsia" w:ascii="宋体" w:hAnsi="宋体" w:eastAsia="宋体" w:cs="宋体"/>
          <w:b/>
          <w:bCs/>
          <w:color w:val="auto"/>
          <w:kern w:val="2"/>
          <w:sz w:val="24"/>
          <w:szCs w:val="24"/>
          <w:highlight w:val="none"/>
          <w:lang w:val="zh-CN" w:eastAsia="zh-CN" w:bidi="ar-SA"/>
        </w:rPr>
        <w:t>）排序与推荐</w:t>
      </w:r>
      <w:bookmarkEnd w:id="499"/>
      <w:bookmarkEnd w:id="500"/>
      <w:bookmarkEnd w:id="501"/>
    </w:p>
    <w:p w14:paraId="514ADBD8">
      <w:pPr>
        <w:pStyle w:val="38"/>
        <w:rPr>
          <w:rFonts w:hint="eastAsia"/>
          <w:color w:val="auto"/>
          <w:highlight w:val="none"/>
        </w:rPr>
      </w:pPr>
      <w:r>
        <w:rPr>
          <w:rFonts w:hint="eastAsia"/>
          <w:color w:val="auto"/>
          <w:highlight w:val="none"/>
          <w:lang w:val="en-US" w:eastAsia="zh-CN"/>
        </w:rPr>
        <w:t>16.</w:t>
      </w:r>
      <w:r>
        <w:rPr>
          <w:rFonts w:hint="eastAsia"/>
          <w:color w:val="auto"/>
          <w:highlight w:val="none"/>
        </w:rPr>
        <w:t>评标结果按评审后得分由高到低顺序排列。投标文件满足招标文件全部实质性要求，且按照评审因素的量化指标评审得分最高的投标人为排名第一的中标候选人。得分相同的，按投标报价由低到高顺序排列。得分且投标报价相同的，</w:t>
      </w:r>
      <w:r>
        <w:rPr>
          <w:rFonts w:hint="eastAsia"/>
          <w:color w:val="auto"/>
          <w:highlight w:val="none"/>
          <w:lang w:val="en-US" w:eastAsia="zh-CN"/>
        </w:rPr>
        <w:t>按</w:t>
      </w:r>
      <w:r>
        <w:rPr>
          <w:rFonts w:hint="eastAsia"/>
          <w:color w:val="auto"/>
          <w:highlight w:val="none"/>
        </w:rPr>
        <w:t>技术指标</w:t>
      </w:r>
      <w:r>
        <w:rPr>
          <w:rFonts w:hint="eastAsia"/>
          <w:color w:val="auto"/>
          <w:highlight w:val="none"/>
          <w:lang w:val="en-US" w:eastAsia="zh-CN"/>
        </w:rPr>
        <w:t>优劣顺序排列</w:t>
      </w:r>
      <w:r>
        <w:rPr>
          <w:rFonts w:hint="eastAsia"/>
          <w:color w:val="auto"/>
          <w:highlight w:val="none"/>
        </w:rPr>
        <w:t>。</w:t>
      </w:r>
    </w:p>
    <w:p w14:paraId="3B1F6C1A">
      <w:pPr>
        <w:pStyle w:val="38"/>
        <w:rPr>
          <w:color w:val="auto"/>
          <w:highlight w:val="none"/>
        </w:rPr>
      </w:pPr>
      <w:r>
        <w:rPr>
          <w:rFonts w:hint="eastAsia"/>
          <w:color w:val="auto"/>
          <w:highlight w:val="none"/>
          <w:lang w:val="en-US" w:eastAsia="zh-CN"/>
        </w:rPr>
        <w:t>17.</w:t>
      </w:r>
      <w:r>
        <w:rPr>
          <w:rFonts w:hint="eastAsia"/>
          <w:color w:val="auto"/>
          <w:highlight w:val="none"/>
        </w:rPr>
        <w:t>中标候选人</w:t>
      </w:r>
      <w:r>
        <w:rPr>
          <w:rFonts w:hint="eastAsia"/>
          <w:color w:val="auto"/>
          <w:highlight w:val="none"/>
          <w:lang w:val="en-US" w:eastAsia="zh-CN"/>
        </w:rPr>
        <w:t>推荐家数详</w:t>
      </w:r>
      <w:r>
        <w:rPr>
          <w:rFonts w:hint="eastAsia"/>
          <w:color w:val="auto"/>
          <w:highlight w:val="none"/>
        </w:rPr>
        <w:t>见“</w:t>
      </w:r>
      <w:r>
        <w:rPr>
          <w:rFonts w:hint="eastAsia"/>
          <w:color w:val="auto"/>
          <w:highlight w:val="none"/>
          <w:lang w:val="en-US" w:eastAsia="zh-CN"/>
        </w:rPr>
        <w:t>投标人须知</w:t>
      </w:r>
      <w:r>
        <w:rPr>
          <w:rFonts w:hint="eastAsia"/>
          <w:color w:val="auto"/>
          <w:highlight w:val="none"/>
        </w:rPr>
        <w:t>前附表”。</w:t>
      </w:r>
    </w:p>
    <w:p w14:paraId="1F98E10E">
      <w:pPr>
        <w:pStyle w:val="4"/>
        <w:keepNext/>
        <w:keepLines/>
        <w:pageBreakBefore w:val="0"/>
        <w:widowControl w:val="0"/>
        <w:numPr>
          <w:ilvl w:val="0"/>
          <w:numId w:val="0"/>
        </w:numPr>
        <w:kinsoku/>
        <w:wordWrap/>
        <w:overflowPunct/>
        <w:topLinePunct w:val="0"/>
        <w:autoSpaceDE/>
        <w:autoSpaceDN/>
        <w:bidi w:val="0"/>
        <w:adjustRightInd/>
        <w:snapToGrid/>
        <w:spacing w:before="60" w:after="60" w:line="360" w:lineRule="auto"/>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bookmarkStart w:id="502" w:name="_Toc13628"/>
      <w:bookmarkStart w:id="503" w:name="_Toc31063"/>
      <w:bookmarkStart w:id="504" w:name="_Toc7048"/>
      <w:r>
        <w:rPr>
          <w:rFonts w:hint="eastAsia" w:ascii="宋体" w:hAnsi="宋体" w:eastAsia="宋体" w:cs="宋体"/>
          <w:b/>
          <w:bCs/>
          <w:color w:val="auto"/>
          <w:kern w:val="2"/>
          <w:sz w:val="24"/>
          <w:szCs w:val="24"/>
          <w:highlight w:val="none"/>
          <w:lang w:val="zh-CN" w:eastAsia="zh-CN" w:bidi="ar-SA"/>
        </w:rPr>
        <w:t>（</w:t>
      </w:r>
      <w:r>
        <w:rPr>
          <w:rFonts w:hint="eastAsia" w:ascii="宋体" w:hAnsi="宋体" w:eastAsia="宋体" w:cs="宋体"/>
          <w:b/>
          <w:bCs/>
          <w:color w:val="auto"/>
          <w:kern w:val="2"/>
          <w:sz w:val="24"/>
          <w:szCs w:val="24"/>
          <w:highlight w:val="none"/>
          <w:lang w:val="en-US" w:eastAsia="zh-CN" w:bidi="ar-SA"/>
        </w:rPr>
        <w:t>七</w:t>
      </w:r>
      <w:r>
        <w:rPr>
          <w:rFonts w:hint="eastAsia" w:ascii="宋体" w:hAnsi="宋体" w:eastAsia="宋体" w:cs="宋体"/>
          <w:b/>
          <w:bCs/>
          <w:color w:val="auto"/>
          <w:kern w:val="2"/>
          <w:sz w:val="24"/>
          <w:szCs w:val="24"/>
          <w:highlight w:val="none"/>
          <w:lang w:val="zh-CN" w:eastAsia="zh-CN" w:bidi="ar-SA"/>
        </w:rPr>
        <w:t>）编写评标报告</w:t>
      </w:r>
      <w:bookmarkEnd w:id="502"/>
      <w:bookmarkEnd w:id="503"/>
      <w:bookmarkEnd w:id="504"/>
    </w:p>
    <w:p w14:paraId="3576CABA">
      <w:pPr>
        <w:pStyle w:val="38"/>
        <w:rPr>
          <w:color w:val="auto"/>
          <w:highlight w:val="none"/>
        </w:rPr>
      </w:pPr>
      <w:r>
        <w:rPr>
          <w:rFonts w:hint="eastAsia"/>
          <w:color w:val="auto"/>
          <w:highlight w:val="none"/>
          <w:lang w:val="en-US" w:eastAsia="zh-CN"/>
        </w:rPr>
        <w:t>18.</w:t>
      </w:r>
      <w:r>
        <w:rPr>
          <w:rFonts w:hint="eastAsia"/>
          <w:color w:val="auto"/>
          <w:highlight w:val="none"/>
        </w:rPr>
        <w:t>评标委员会根据全体评标成员签字的原始评标记录和评标结果编写评标报告。评标委员会应当在评标报告上签名，对自己的评审意见承担法律责任。评标委员会成员对需要共同认定的事项存在争议的，应当按照少数服从多数的原则作出结论。持不同意见的评标委员会成员应当在评标报告上签署不同意见，并说明理由，否则视为同意评标报告。</w:t>
      </w:r>
    </w:p>
    <w:p w14:paraId="29512443">
      <w:pPr>
        <w:pStyle w:val="4"/>
        <w:keepNext/>
        <w:keepLines/>
        <w:pageBreakBefore w:val="0"/>
        <w:widowControl w:val="0"/>
        <w:numPr>
          <w:ilvl w:val="0"/>
          <w:numId w:val="0"/>
        </w:numPr>
        <w:kinsoku/>
        <w:wordWrap/>
        <w:overflowPunct/>
        <w:topLinePunct w:val="0"/>
        <w:autoSpaceDE/>
        <w:autoSpaceDN/>
        <w:bidi w:val="0"/>
        <w:adjustRightInd/>
        <w:snapToGrid/>
        <w:spacing w:before="60" w:after="60" w:line="360" w:lineRule="auto"/>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bookmarkStart w:id="505" w:name="_Toc102119852"/>
      <w:bookmarkStart w:id="506" w:name="_Toc22304"/>
      <w:bookmarkStart w:id="507" w:name="_Toc102116021"/>
      <w:bookmarkStart w:id="508" w:name="_Toc25294"/>
      <w:bookmarkStart w:id="509" w:name="_Toc102114919"/>
      <w:bookmarkStart w:id="510" w:name="_Toc155185913"/>
      <w:bookmarkStart w:id="511" w:name="_Toc4897"/>
      <w:bookmarkStart w:id="512" w:name="_Toc163492906"/>
      <w:bookmarkStart w:id="513" w:name="_Toc102056217"/>
      <w:bookmarkStart w:id="514" w:name="_Toc102116151"/>
      <w:bookmarkStart w:id="515" w:name="_Toc102057717"/>
      <w:r>
        <w:rPr>
          <w:rFonts w:hint="eastAsia" w:ascii="宋体" w:hAnsi="宋体" w:eastAsia="宋体" w:cs="宋体"/>
          <w:b/>
          <w:bCs/>
          <w:color w:val="auto"/>
          <w:kern w:val="2"/>
          <w:sz w:val="24"/>
          <w:szCs w:val="24"/>
          <w:highlight w:val="none"/>
          <w:lang w:val="zh-CN" w:eastAsia="zh-CN" w:bidi="ar-SA"/>
        </w:rPr>
        <w:t>（</w:t>
      </w:r>
      <w:r>
        <w:rPr>
          <w:rFonts w:hint="eastAsia" w:ascii="宋体" w:hAnsi="宋体" w:eastAsia="宋体" w:cs="宋体"/>
          <w:b/>
          <w:bCs/>
          <w:color w:val="auto"/>
          <w:kern w:val="2"/>
          <w:sz w:val="24"/>
          <w:szCs w:val="24"/>
          <w:highlight w:val="none"/>
          <w:lang w:val="en-US" w:eastAsia="zh-CN" w:bidi="ar-SA"/>
        </w:rPr>
        <w:t>八</w:t>
      </w:r>
      <w:r>
        <w:rPr>
          <w:rFonts w:hint="eastAsia" w:ascii="宋体" w:hAnsi="宋体" w:eastAsia="宋体" w:cs="宋体"/>
          <w:b/>
          <w:bCs/>
          <w:color w:val="auto"/>
          <w:kern w:val="2"/>
          <w:sz w:val="24"/>
          <w:szCs w:val="24"/>
          <w:highlight w:val="none"/>
          <w:lang w:val="zh-CN" w:eastAsia="zh-CN" w:bidi="ar-SA"/>
        </w:rPr>
        <w:t>）</w:t>
      </w:r>
      <w:r>
        <w:rPr>
          <w:rFonts w:hint="eastAsia" w:ascii="宋体" w:hAnsi="宋体" w:eastAsia="宋体" w:cs="宋体"/>
          <w:b/>
          <w:bCs/>
          <w:color w:val="auto"/>
          <w:kern w:val="2"/>
          <w:sz w:val="24"/>
          <w:szCs w:val="24"/>
          <w:highlight w:val="none"/>
          <w:lang w:val="en-US" w:eastAsia="zh-CN" w:bidi="ar-SA"/>
        </w:rPr>
        <w:t>投标无效及</w:t>
      </w:r>
      <w:r>
        <w:rPr>
          <w:rFonts w:hint="eastAsia" w:ascii="宋体" w:hAnsi="宋体" w:eastAsia="宋体" w:cs="宋体"/>
          <w:b/>
          <w:bCs/>
          <w:color w:val="auto"/>
          <w:kern w:val="2"/>
          <w:sz w:val="24"/>
          <w:szCs w:val="24"/>
          <w:highlight w:val="none"/>
          <w:lang w:val="zh-CN" w:eastAsia="zh-CN" w:bidi="ar-SA"/>
        </w:rPr>
        <w:t>应予废标的情形</w:t>
      </w:r>
      <w:bookmarkEnd w:id="505"/>
      <w:bookmarkEnd w:id="506"/>
      <w:bookmarkEnd w:id="507"/>
      <w:bookmarkEnd w:id="508"/>
      <w:bookmarkEnd w:id="509"/>
      <w:bookmarkEnd w:id="510"/>
      <w:bookmarkEnd w:id="511"/>
      <w:bookmarkEnd w:id="512"/>
      <w:bookmarkEnd w:id="513"/>
      <w:bookmarkEnd w:id="514"/>
      <w:bookmarkEnd w:id="515"/>
    </w:p>
    <w:p w14:paraId="2D93D6F8">
      <w:pPr>
        <w:pStyle w:val="38"/>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color w:val="auto"/>
          <w:highlight w:val="none"/>
          <w:lang w:val="en-US" w:eastAsia="zh-CN"/>
        </w:rPr>
      </w:pPr>
      <w:r>
        <w:rPr>
          <w:rFonts w:hint="eastAsia"/>
          <w:color w:val="auto"/>
          <w:highlight w:val="none"/>
          <w:lang w:val="en-US" w:eastAsia="zh-CN"/>
        </w:rPr>
        <w:t>19.投标人存在下列情形之一的，</w:t>
      </w:r>
      <w:r>
        <w:rPr>
          <w:rFonts w:hint="eastAsia"/>
          <w:b/>
          <w:bCs/>
          <w:color w:val="auto"/>
          <w:highlight w:val="none"/>
          <w:lang w:val="en-US" w:eastAsia="zh-CN"/>
        </w:rPr>
        <w:t>投标无效</w:t>
      </w:r>
      <w:r>
        <w:rPr>
          <w:rFonts w:hint="eastAsia"/>
          <w:color w:val="auto"/>
          <w:highlight w:val="none"/>
          <w:lang w:val="en-US" w:eastAsia="zh-CN"/>
        </w:rPr>
        <w:t>：</w:t>
      </w:r>
    </w:p>
    <w:p w14:paraId="5C1B2C98">
      <w:pPr>
        <w:pStyle w:val="38"/>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color w:val="auto"/>
          <w:highlight w:val="none"/>
          <w:lang w:val="zh-CN" w:eastAsia="zh-CN"/>
        </w:rPr>
      </w:pPr>
      <w:r>
        <w:rPr>
          <w:rFonts w:hint="eastAsia"/>
          <w:color w:val="auto"/>
          <w:highlight w:val="none"/>
          <w:lang w:val="en-US" w:eastAsia="zh-CN"/>
        </w:rPr>
        <w:t>19.</w:t>
      </w:r>
      <w:r>
        <w:rPr>
          <w:rFonts w:hint="eastAsia"/>
          <w:color w:val="auto"/>
          <w:highlight w:val="none"/>
          <w:lang w:val="zh-CN" w:eastAsia="zh-CN"/>
        </w:rPr>
        <w:t>1</w:t>
      </w:r>
      <w:r>
        <w:rPr>
          <w:rFonts w:hint="eastAsia"/>
          <w:color w:val="auto"/>
          <w:highlight w:val="none"/>
          <w:lang w:val="en-US" w:eastAsia="zh-CN"/>
        </w:rPr>
        <w:t>投标人</w:t>
      </w:r>
      <w:r>
        <w:rPr>
          <w:rFonts w:hint="eastAsia"/>
          <w:color w:val="auto"/>
          <w:highlight w:val="none"/>
          <w:lang w:val="zh-CN" w:eastAsia="zh-CN"/>
        </w:rPr>
        <w:t>不具备《中华人民共和国政府采购法》第二十二条规定条件</w:t>
      </w:r>
      <w:r>
        <w:rPr>
          <w:rFonts w:hint="eastAsia"/>
          <w:color w:val="auto"/>
          <w:highlight w:val="none"/>
          <w:lang w:val="en-US" w:eastAsia="zh-CN"/>
        </w:rPr>
        <w:t>；</w:t>
      </w:r>
    </w:p>
    <w:p w14:paraId="15C939E8">
      <w:pPr>
        <w:pStyle w:val="38"/>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eastAsia="宋体"/>
          <w:color w:val="auto"/>
          <w:highlight w:val="none"/>
          <w:lang w:val="en-US" w:eastAsia="zh-CN"/>
        </w:rPr>
      </w:pPr>
      <w:r>
        <w:rPr>
          <w:rFonts w:hint="eastAsia"/>
          <w:color w:val="auto"/>
          <w:highlight w:val="none"/>
          <w:lang w:val="en-US" w:eastAsia="zh-CN"/>
        </w:rPr>
        <w:t>19.</w:t>
      </w:r>
      <w:r>
        <w:rPr>
          <w:rFonts w:hint="eastAsia"/>
          <w:color w:val="auto"/>
          <w:highlight w:val="none"/>
          <w:lang w:val="zh-CN" w:eastAsia="zh-CN"/>
        </w:rPr>
        <w:t>2</w:t>
      </w:r>
      <w:r>
        <w:rPr>
          <w:rFonts w:hint="eastAsia"/>
          <w:color w:val="auto"/>
          <w:highlight w:val="none"/>
        </w:rPr>
        <w:t>投标文件未按招标文件要求签署、盖章的</w:t>
      </w:r>
      <w:r>
        <w:rPr>
          <w:rFonts w:hint="eastAsia"/>
          <w:color w:val="auto"/>
          <w:highlight w:val="none"/>
          <w:lang w:val="en-US" w:eastAsia="zh-CN"/>
        </w:rPr>
        <w:t>；</w:t>
      </w:r>
    </w:p>
    <w:p w14:paraId="0A936FC6">
      <w:pPr>
        <w:pStyle w:val="38"/>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color w:val="auto"/>
          <w:highlight w:val="none"/>
          <w:lang w:val="en-US" w:eastAsia="zh-CN"/>
        </w:rPr>
      </w:pPr>
      <w:r>
        <w:rPr>
          <w:rFonts w:hint="eastAsia"/>
          <w:color w:val="auto"/>
          <w:highlight w:val="none"/>
          <w:lang w:val="en-US" w:eastAsia="zh-CN"/>
        </w:rPr>
        <w:t>19.</w:t>
      </w:r>
      <w:r>
        <w:rPr>
          <w:rFonts w:hint="eastAsia"/>
          <w:color w:val="auto"/>
          <w:highlight w:val="none"/>
          <w:lang w:val="zh-CN" w:eastAsia="zh-CN"/>
        </w:rPr>
        <w:t>3</w:t>
      </w:r>
      <w:r>
        <w:rPr>
          <w:rFonts w:hint="eastAsia"/>
          <w:color w:val="auto"/>
          <w:highlight w:val="none"/>
          <w:lang w:val="en-US" w:eastAsia="zh-CN"/>
        </w:rPr>
        <w:t>不具备招标文件中规定的资格要求的（投标人未提供有效资格文件的，视为投标人不具备招标文件中规定的资格要求）；</w:t>
      </w:r>
    </w:p>
    <w:p w14:paraId="0C68E355">
      <w:pPr>
        <w:pStyle w:val="38"/>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color w:val="auto"/>
          <w:highlight w:val="none"/>
          <w:lang w:val="zh-CN" w:eastAsia="zh-CN"/>
        </w:rPr>
      </w:pPr>
      <w:r>
        <w:rPr>
          <w:rFonts w:hint="eastAsia"/>
          <w:color w:val="auto"/>
          <w:highlight w:val="none"/>
          <w:lang w:val="en-US" w:eastAsia="zh-CN"/>
        </w:rPr>
        <w:t>19.</w:t>
      </w:r>
      <w:r>
        <w:rPr>
          <w:rFonts w:hint="eastAsia"/>
          <w:color w:val="auto"/>
          <w:highlight w:val="none"/>
          <w:lang w:val="zh-CN" w:eastAsia="zh-CN"/>
        </w:rPr>
        <w:t>4</w:t>
      </w:r>
      <w:r>
        <w:rPr>
          <w:rFonts w:hint="eastAsia"/>
          <w:color w:val="auto"/>
          <w:highlight w:val="none"/>
          <w:lang w:val="en-US" w:eastAsia="zh-CN"/>
        </w:rPr>
        <w:t>投标</w:t>
      </w:r>
      <w:r>
        <w:rPr>
          <w:rFonts w:hint="eastAsia"/>
          <w:color w:val="auto"/>
          <w:highlight w:val="none"/>
          <w:lang w:val="zh-CN" w:eastAsia="zh-CN"/>
        </w:rPr>
        <w:t>文件提供虚假材料的</w:t>
      </w:r>
      <w:r>
        <w:rPr>
          <w:rFonts w:hint="eastAsia"/>
          <w:color w:val="auto"/>
          <w:highlight w:val="none"/>
          <w:lang w:val="en-US" w:eastAsia="zh-CN"/>
        </w:rPr>
        <w:t>；</w:t>
      </w:r>
    </w:p>
    <w:p w14:paraId="3FDAE166">
      <w:pPr>
        <w:pStyle w:val="38"/>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color w:val="auto"/>
          <w:highlight w:val="none"/>
          <w:lang w:val="zh-CN" w:eastAsia="zh-CN"/>
        </w:rPr>
      </w:pPr>
      <w:r>
        <w:rPr>
          <w:rFonts w:hint="eastAsia"/>
          <w:color w:val="auto"/>
          <w:highlight w:val="none"/>
          <w:lang w:val="en-US" w:eastAsia="zh-CN"/>
        </w:rPr>
        <w:t>19.</w:t>
      </w:r>
      <w:r>
        <w:rPr>
          <w:rFonts w:hint="eastAsia"/>
          <w:color w:val="auto"/>
          <w:highlight w:val="none"/>
          <w:lang w:val="zh-CN" w:eastAsia="zh-CN"/>
        </w:rPr>
        <w:t>5</w:t>
      </w:r>
      <w:r>
        <w:rPr>
          <w:rFonts w:hint="eastAsia"/>
          <w:color w:val="auto"/>
          <w:highlight w:val="none"/>
          <w:lang w:val="en-US" w:eastAsia="zh-CN"/>
        </w:rPr>
        <w:t>投标</w:t>
      </w:r>
      <w:r>
        <w:rPr>
          <w:rFonts w:hint="eastAsia"/>
          <w:color w:val="auto"/>
          <w:highlight w:val="none"/>
          <w:lang w:val="zh-CN" w:eastAsia="zh-CN"/>
        </w:rPr>
        <w:t>文件不满足</w:t>
      </w:r>
      <w:r>
        <w:rPr>
          <w:rFonts w:hint="eastAsia"/>
          <w:color w:val="auto"/>
          <w:highlight w:val="none"/>
          <w:lang w:val="en-US" w:eastAsia="zh-CN"/>
        </w:rPr>
        <w:t>招标</w:t>
      </w:r>
      <w:r>
        <w:rPr>
          <w:rFonts w:hint="eastAsia"/>
          <w:color w:val="auto"/>
          <w:highlight w:val="none"/>
          <w:lang w:val="zh-CN" w:eastAsia="zh-CN"/>
        </w:rPr>
        <w:t>文件中标注“★”号的实质性条款（或指标）要求的</w:t>
      </w:r>
      <w:r>
        <w:rPr>
          <w:rFonts w:hint="eastAsia"/>
          <w:color w:val="auto"/>
          <w:highlight w:val="none"/>
          <w:lang w:val="en-US" w:eastAsia="zh-CN"/>
        </w:rPr>
        <w:t>；</w:t>
      </w:r>
    </w:p>
    <w:p w14:paraId="2C5FC304">
      <w:pPr>
        <w:pStyle w:val="38"/>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color w:val="auto"/>
          <w:highlight w:val="none"/>
          <w:lang w:val="en-US" w:eastAsia="zh-CN"/>
        </w:rPr>
      </w:pPr>
      <w:r>
        <w:rPr>
          <w:rFonts w:hint="eastAsia"/>
          <w:color w:val="auto"/>
          <w:highlight w:val="none"/>
          <w:lang w:val="en-US" w:eastAsia="zh-CN"/>
        </w:rPr>
        <w:t>19.</w:t>
      </w:r>
      <w:r>
        <w:rPr>
          <w:rFonts w:hint="eastAsia"/>
          <w:color w:val="auto"/>
          <w:highlight w:val="none"/>
          <w:lang w:val="zh-CN" w:eastAsia="zh-CN"/>
        </w:rPr>
        <w:t>6</w:t>
      </w:r>
      <w:r>
        <w:rPr>
          <w:rFonts w:hint="eastAsia"/>
          <w:color w:val="auto"/>
          <w:highlight w:val="none"/>
          <w:lang w:val="en-US" w:eastAsia="zh-CN"/>
        </w:rPr>
        <w:t>投标人</w:t>
      </w:r>
      <w:r>
        <w:rPr>
          <w:rFonts w:hint="eastAsia"/>
          <w:color w:val="auto"/>
          <w:highlight w:val="none"/>
          <w:lang w:val="zh-CN" w:eastAsia="zh-CN"/>
        </w:rPr>
        <w:t>报价超过招标文件中规定的</w:t>
      </w:r>
      <w:r>
        <w:rPr>
          <w:rFonts w:hint="eastAsia" w:ascii="宋体" w:hAnsi="宋体" w:eastAsia="宋体"/>
          <w:color w:val="auto"/>
          <w:highlight w:val="none"/>
          <w:lang w:val="en-US" w:eastAsia="zh-CN"/>
        </w:rPr>
        <w:t>最高限价或者预算金额</w:t>
      </w:r>
      <w:r>
        <w:rPr>
          <w:rFonts w:hint="eastAsia"/>
          <w:color w:val="auto"/>
          <w:highlight w:val="none"/>
          <w:lang w:val="zh-CN" w:eastAsia="zh-CN"/>
        </w:rPr>
        <w:t>的</w:t>
      </w:r>
      <w:r>
        <w:rPr>
          <w:rFonts w:hint="eastAsia"/>
          <w:color w:val="auto"/>
          <w:highlight w:val="none"/>
          <w:lang w:val="en-US" w:eastAsia="zh-CN"/>
        </w:rPr>
        <w:t>；</w:t>
      </w:r>
    </w:p>
    <w:p w14:paraId="6FC2A54F">
      <w:pPr>
        <w:pStyle w:val="38"/>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color w:val="auto"/>
          <w:highlight w:val="none"/>
          <w:lang w:val="zh-CN" w:eastAsia="zh-CN"/>
        </w:rPr>
      </w:pPr>
      <w:r>
        <w:rPr>
          <w:rFonts w:hint="eastAsia"/>
          <w:color w:val="auto"/>
          <w:highlight w:val="none"/>
          <w:lang w:val="en-US" w:eastAsia="zh-CN"/>
        </w:rPr>
        <w:t>19.</w:t>
      </w:r>
      <w:r>
        <w:rPr>
          <w:rFonts w:hint="eastAsia"/>
          <w:color w:val="auto"/>
          <w:highlight w:val="none"/>
          <w:lang w:val="zh-CN" w:eastAsia="zh-CN"/>
        </w:rPr>
        <w:t>7联合体的供应商未提交各方共同签署的</w:t>
      </w:r>
      <w:r>
        <w:rPr>
          <w:rFonts w:hint="eastAsia"/>
          <w:color w:val="auto"/>
          <w:highlight w:val="none"/>
          <w:lang w:val="en-US" w:eastAsia="zh-CN"/>
        </w:rPr>
        <w:t>联合体</w:t>
      </w:r>
      <w:r>
        <w:rPr>
          <w:rFonts w:hint="eastAsia"/>
          <w:color w:val="auto"/>
          <w:highlight w:val="none"/>
          <w:lang w:val="zh-CN" w:eastAsia="zh-CN"/>
        </w:rPr>
        <w:t>协议</w:t>
      </w:r>
      <w:r>
        <w:rPr>
          <w:rFonts w:hint="eastAsia"/>
          <w:color w:val="auto"/>
          <w:highlight w:val="none"/>
          <w:lang w:val="en-US" w:eastAsia="zh-CN"/>
        </w:rPr>
        <w:t>的；</w:t>
      </w:r>
    </w:p>
    <w:p w14:paraId="4D1E7850">
      <w:pPr>
        <w:pStyle w:val="38"/>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color w:val="auto"/>
          <w:highlight w:val="none"/>
          <w:lang w:val="zh-CN" w:eastAsia="zh-CN"/>
        </w:rPr>
      </w:pPr>
      <w:r>
        <w:rPr>
          <w:rFonts w:hint="eastAsia"/>
          <w:color w:val="auto"/>
          <w:highlight w:val="none"/>
          <w:lang w:val="en-US" w:eastAsia="zh-CN"/>
        </w:rPr>
        <w:t>19.</w:t>
      </w:r>
      <w:r>
        <w:rPr>
          <w:rFonts w:hint="eastAsia"/>
          <w:color w:val="auto"/>
          <w:highlight w:val="none"/>
          <w:lang w:val="zh-CN" w:eastAsia="zh-CN"/>
        </w:rPr>
        <w:t>8</w:t>
      </w:r>
      <w:r>
        <w:rPr>
          <w:rFonts w:hint="eastAsia"/>
          <w:color w:val="auto"/>
          <w:highlight w:val="none"/>
          <w:lang w:val="en-US" w:eastAsia="zh-CN"/>
        </w:rPr>
        <w:t>投标人</w:t>
      </w:r>
      <w:r>
        <w:rPr>
          <w:rFonts w:hint="eastAsia"/>
          <w:color w:val="auto"/>
          <w:highlight w:val="none"/>
          <w:lang w:val="zh-CN" w:eastAsia="zh-CN"/>
        </w:rPr>
        <w:t>未按</w:t>
      </w:r>
      <w:r>
        <w:rPr>
          <w:rFonts w:hint="eastAsia"/>
          <w:color w:val="auto"/>
          <w:highlight w:val="none"/>
          <w:lang w:val="en-US" w:eastAsia="zh-CN"/>
        </w:rPr>
        <w:t>招标</w:t>
      </w:r>
      <w:r>
        <w:rPr>
          <w:rFonts w:hint="eastAsia"/>
          <w:color w:val="auto"/>
          <w:highlight w:val="none"/>
          <w:lang w:val="zh-CN" w:eastAsia="zh-CN"/>
        </w:rPr>
        <w:t>文件</w:t>
      </w:r>
      <w:r>
        <w:rPr>
          <w:rFonts w:hint="eastAsia"/>
          <w:color w:val="auto"/>
          <w:highlight w:val="none"/>
          <w:lang w:val="en-US" w:eastAsia="zh-CN"/>
        </w:rPr>
        <w:t>的规定</w:t>
      </w:r>
      <w:r>
        <w:rPr>
          <w:rFonts w:hint="eastAsia"/>
          <w:color w:val="auto"/>
          <w:highlight w:val="none"/>
          <w:lang w:val="zh-CN" w:eastAsia="zh-CN"/>
        </w:rPr>
        <w:t>交纳投标保证金</w:t>
      </w:r>
      <w:r>
        <w:rPr>
          <w:rFonts w:hint="eastAsia"/>
          <w:color w:val="auto"/>
          <w:highlight w:val="none"/>
          <w:lang w:val="en-US" w:eastAsia="zh-CN"/>
        </w:rPr>
        <w:t>的；</w:t>
      </w:r>
    </w:p>
    <w:p w14:paraId="149A35CB">
      <w:pPr>
        <w:pStyle w:val="38"/>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color w:val="auto"/>
          <w:highlight w:val="none"/>
          <w:lang w:val="zh-CN" w:eastAsia="zh-CN"/>
        </w:rPr>
      </w:pPr>
      <w:r>
        <w:rPr>
          <w:rFonts w:hint="eastAsia"/>
          <w:color w:val="auto"/>
          <w:highlight w:val="none"/>
          <w:lang w:val="en-US" w:eastAsia="zh-CN"/>
        </w:rPr>
        <w:t>19.</w:t>
      </w:r>
      <w:r>
        <w:rPr>
          <w:rFonts w:hint="eastAsia"/>
          <w:color w:val="auto"/>
          <w:highlight w:val="none"/>
          <w:lang w:val="zh-CN" w:eastAsia="zh-CN"/>
        </w:rPr>
        <w:t>9评审期间,</w:t>
      </w:r>
      <w:r>
        <w:rPr>
          <w:rFonts w:hint="eastAsia"/>
          <w:color w:val="auto"/>
          <w:highlight w:val="none"/>
          <w:lang w:val="en-US" w:eastAsia="zh-CN"/>
        </w:rPr>
        <w:t>投标人</w:t>
      </w:r>
      <w:r>
        <w:rPr>
          <w:rFonts w:hint="eastAsia"/>
          <w:color w:val="auto"/>
          <w:highlight w:val="none"/>
          <w:lang w:val="zh-CN" w:eastAsia="zh-CN"/>
        </w:rPr>
        <w:t>没有按评标委员会的要求提交经授权代表签字的澄清、说明、补正或改变了</w:t>
      </w:r>
      <w:r>
        <w:rPr>
          <w:rFonts w:hint="eastAsia"/>
          <w:color w:val="auto"/>
          <w:highlight w:val="none"/>
          <w:lang w:val="en-US" w:eastAsia="zh-CN"/>
        </w:rPr>
        <w:t>投标</w:t>
      </w:r>
      <w:r>
        <w:rPr>
          <w:rFonts w:hint="eastAsia"/>
          <w:color w:val="auto"/>
          <w:highlight w:val="none"/>
          <w:lang w:val="zh-CN" w:eastAsia="zh-CN"/>
        </w:rPr>
        <w:t>文件的实质性内容</w:t>
      </w:r>
      <w:r>
        <w:rPr>
          <w:rFonts w:hint="eastAsia"/>
          <w:color w:val="auto"/>
          <w:highlight w:val="none"/>
          <w:lang w:val="en-US" w:eastAsia="zh-CN"/>
        </w:rPr>
        <w:t>的；</w:t>
      </w:r>
    </w:p>
    <w:p w14:paraId="19EFB935">
      <w:pPr>
        <w:pStyle w:val="38"/>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color w:val="auto"/>
          <w:highlight w:val="none"/>
          <w:lang w:val="en-US" w:eastAsia="zh-CN"/>
        </w:rPr>
      </w:pPr>
      <w:r>
        <w:rPr>
          <w:rFonts w:hint="eastAsia"/>
          <w:color w:val="auto"/>
          <w:highlight w:val="none"/>
          <w:lang w:val="en-US" w:eastAsia="zh-CN"/>
        </w:rPr>
        <w:t>19.</w:t>
      </w:r>
      <w:r>
        <w:rPr>
          <w:rFonts w:hint="eastAsia"/>
          <w:color w:val="auto"/>
          <w:highlight w:val="none"/>
          <w:lang w:val="zh-CN" w:eastAsia="zh-CN"/>
        </w:rPr>
        <w:t>10</w:t>
      </w:r>
      <w:r>
        <w:rPr>
          <w:rFonts w:hint="eastAsia"/>
          <w:color w:val="auto"/>
          <w:highlight w:val="none"/>
          <w:lang w:val="en-US" w:eastAsia="zh-CN"/>
        </w:rPr>
        <w:t>投标人</w:t>
      </w:r>
      <w:r>
        <w:rPr>
          <w:rFonts w:hint="eastAsia"/>
          <w:color w:val="auto"/>
          <w:highlight w:val="none"/>
          <w:lang w:val="zh-CN" w:eastAsia="zh-CN"/>
        </w:rPr>
        <w:t>对采购人、采购代理机构、评标委员会及其工作人员施加影响,有碍公平、公正</w:t>
      </w:r>
      <w:r>
        <w:rPr>
          <w:rFonts w:hint="eastAsia"/>
          <w:color w:val="auto"/>
          <w:highlight w:val="none"/>
          <w:lang w:val="en-US" w:eastAsia="zh-CN"/>
        </w:rPr>
        <w:t>的；</w:t>
      </w:r>
    </w:p>
    <w:p w14:paraId="3A6B2386">
      <w:pPr>
        <w:pStyle w:val="38"/>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default"/>
          <w:color w:val="auto"/>
          <w:highlight w:val="none"/>
          <w:lang w:val="en-US" w:eastAsia="zh-CN"/>
        </w:rPr>
      </w:pPr>
      <w:r>
        <w:rPr>
          <w:rFonts w:hint="eastAsia"/>
          <w:color w:val="auto"/>
          <w:highlight w:val="none"/>
          <w:lang w:val="en-US" w:eastAsia="zh-CN"/>
        </w:rPr>
        <w:t>19.11投标文件含有采购人不能接受的附加条件的；</w:t>
      </w:r>
    </w:p>
    <w:p w14:paraId="3764E979">
      <w:pPr>
        <w:pStyle w:val="38"/>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color w:val="auto"/>
          <w:highlight w:val="none"/>
          <w:lang w:val="en-US" w:eastAsia="zh-CN"/>
        </w:rPr>
      </w:pPr>
      <w:r>
        <w:rPr>
          <w:rFonts w:hint="eastAsia"/>
          <w:color w:val="auto"/>
          <w:highlight w:val="none"/>
          <w:lang w:val="en-US" w:eastAsia="zh-CN"/>
        </w:rPr>
        <w:t>19.</w:t>
      </w:r>
      <w:r>
        <w:rPr>
          <w:rFonts w:hint="eastAsia"/>
          <w:color w:val="auto"/>
          <w:highlight w:val="none"/>
          <w:lang w:val="zh-CN" w:eastAsia="zh-CN"/>
        </w:rPr>
        <w:t>1</w:t>
      </w:r>
      <w:r>
        <w:rPr>
          <w:rFonts w:hint="eastAsia"/>
          <w:color w:val="auto"/>
          <w:highlight w:val="none"/>
          <w:lang w:val="en-US" w:eastAsia="zh-CN"/>
        </w:rPr>
        <w:t>2</w:t>
      </w:r>
      <w:r>
        <w:rPr>
          <w:rFonts w:hint="eastAsia"/>
          <w:color w:val="auto"/>
          <w:highlight w:val="none"/>
          <w:lang w:val="zh-CN" w:eastAsia="zh-CN"/>
        </w:rPr>
        <w:t>法律、法规、规章规定属于</w:t>
      </w:r>
      <w:r>
        <w:rPr>
          <w:rFonts w:hint="eastAsia"/>
          <w:color w:val="auto"/>
          <w:highlight w:val="none"/>
          <w:lang w:val="en-US" w:eastAsia="zh-CN"/>
        </w:rPr>
        <w:t>投标</w:t>
      </w:r>
      <w:r>
        <w:rPr>
          <w:rFonts w:hint="eastAsia"/>
          <w:color w:val="auto"/>
          <w:highlight w:val="none"/>
          <w:lang w:val="zh-CN" w:eastAsia="zh-CN"/>
        </w:rPr>
        <w:t>无效的其他情形。</w:t>
      </w:r>
    </w:p>
    <w:p w14:paraId="601D7976">
      <w:pPr>
        <w:pStyle w:val="38"/>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color w:val="auto"/>
          <w:highlight w:val="none"/>
          <w:lang w:val="en-US" w:eastAsia="zh-CN"/>
        </w:rPr>
      </w:pPr>
      <w:r>
        <w:rPr>
          <w:rFonts w:hint="eastAsia"/>
          <w:color w:val="auto"/>
          <w:highlight w:val="none"/>
          <w:lang w:val="en-US" w:eastAsia="zh-CN"/>
        </w:rPr>
        <w:t>20.有下列情形之一的，视为投标人串通投标，其</w:t>
      </w:r>
      <w:r>
        <w:rPr>
          <w:rFonts w:hint="eastAsia"/>
          <w:b/>
          <w:bCs/>
          <w:color w:val="auto"/>
          <w:highlight w:val="none"/>
          <w:lang w:val="en-US" w:eastAsia="zh-CN"/>
        </w:rPr>
        <w:t>投标无效</w:t>
      </w:r>
      <w:r>
        <w:rPr>
          <w:rFonts w:hint="eastAsia"/>
          <w:color w:val="auto"/>
          <w:highlight w:val="none"/>
          <w:lang w:val="en-US" w:eastAsia="zh-CN"/>
        </w:rPr>
        <w:t>：</w:t>
      </w:r>
    </w:p>
    <w:p w14:paraId="0BD50610">
      <w:pPr>
        <w:pStyle w:val="38"/>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color w:val="auto"/>
          <w:highlight w:val="none"/>
          <w:lang w:val="en-US" w:eastAsia="zh-CN"/>
        </w:rPr>
      </w:pPr>
      <w:r>
        <w:rPr>
          <w:rFonts w:hint="eastAsia"/>
          <w:color w:val="auto"/>
          <w:highlight w:val="none"/>
          <w:lang w:val="en-US" w:eastAsia="zh-CN"/>
        </w:rPr>
        <w:t>20.1不同投标人的投标文件由同一单位或者个人编制；</w:t>
      </w:r>
    </w:p>
    <w:p w14:paraId="31815558">
      <w:pPr>
        <w:pStyle w:val="38"/>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color w:val="auto"/>
          <w:highlight w:val="none"/>
          <w:lang w:val="en-US" w:eastAsia="zh-CN"/>
        </w:rPr>
      </w:pPr>
      <w:r>
        <w:rPr>
          <w:rFonts w:hint="eastAsia"/>
          <w:color w:val="auto"/>
          <w:highlight w:val="none"/>
          <w:lang w:val="en-US" w:eastAsia="zh-CN"/>
        </w:rPr>
        <w:t>20.2不同投标人委托同一单位或者个人办理投标事宜；</w:t>
      </w:r>
    </w:p>
    <w:p w14:paraId="3AD20378">
      <w:pPr>
        <w:pStyle w:val="38"/>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color w:val="auto"/>
          <w:highlight w:val="none"/>
          <w:lang w:val="en-US" w:eastAsia="zh-CN"/>
        </w:rPr>
      </w:pPr>
      <w:r>
        <w:rPr>
          <w:rFonts w:hint="eastAsia"/>
          <w:color w:val="auto"/>
          <w:highlight w:val="none"/>
          <w:lang w:val="en-US" w:eastAsia="zh-CN"/>
        </w:rPr>
        <w:t>20.3不同投标人的投标文件载明的项目管理成员或者联系人员为同一人；</w:t>
      </w:r>
    </w:p>
    <w:p w14:paraId="3F168EA2">
      <w:pPr>
        <w:pStyle w:val="38"/>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color w:val="auto"/>
          <w:highlight w:val="none"/>
          <w:lang w:val="en-US" w:eastAsia="zh-CN"/>
        </w:rPr>
      </w:pPr>
      <w:r>
        <w:rPr>
          <w:rFonts w:hint="eastAsia"/>
          <w:color w:val="auto"/>
          <w:highlight w:val="none"/>
          <w:lang w:val="en-US" w:eastAsia="zh-CN"/>
        </w:rPr>
        <w:t>20.4不同投标人的投标文件异常一致或者投标报价呈规律性差异；</w:t>
      </w:r>
    </w:p>
    <w:p w14:paraId="634E7939">
      <w:pPr>
        <w:pStyle w:val="38"/>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color w:val="auto"/>
          <w:highlight w:val="none"/>
          <w:lang w:val="en-US" w:eastAsia="zh-CN"/>
        </w:rPr>
      </w:pPr>
      <w:r>
        <w:rPr>
          <w:rFonts w:hint="eastAsia"/>
          <w:color w:val="auto"/>
          <w:highlight w:val="none"/>
          <w:lang w:val="en-US" w:eastAsia="zh-CN"/>
        </w:rPr>
        <w:t>20.5不同投标人的投标文件相互混装；</w:t>
      </w:r>
    </w:p>
    <w:p w14:paraId="3B078CE3">
      <w:pPr>
        <w:pStyle w:val="38"/>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color w:val="auto"/>
          <w:highlight w:val="none"/>
          <w:lang w:val="en-US" w:eastAsia="zh-CN"/>
        </w:rPr>
      </w:pPr>
      <w:r>
        <w:rPr>
          <w:rFonts w:hint="eastAsia"/>
          <w:color w:val="auto"/>
          <w:highlight w:val="none"/>
          <w:lang w:val="en-US" w:eastAsia="zh-CN"/>
        </w:rPr>
        <w:t>20.6不同投标人的投标保证金从同一单位或者个人的账户转出；</w:t>
      </w:r>
    </w:p>
    <w:p w14:paraId="1C3AF755">
      <w:pPr>
        <w:pStyle w:val="38"/>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color w:val="auto"/>
          <w:highlight w:val="none"/>
          <w:lang w:val="en-US" w:eastAsia="zh-CN"/>
        </w:rPr>
      </w:pPr>
      <w:r>
        <w:rPr>
          <w:rFonts w:hint="eastAsia"/>
          <w:color w:val="auto"/>
          <w:highlight w:val="none"/>
          <w:lang w:val="en-US" w:eastAsia="zh-CN"/>
        </w:rPr>
        <w:t>20.7</w:t>
      </w:r>
      <w:r>
        <w:rPr>
          <w:rFonts w:hint="eastAsia"/>
          <w:color w:val="auto"/>
          <w:highlight w:val="none"/>
          <w:lang w:val="zh-CN" w:eastAsia="zh-CN"/>
        </w:rPr>
        <w:t>不同投标人使用同一电脑（机器特征值一致：如MAC地址等）或使用同一电子密钥，编制或上传电子投标文件</w:t>
      </w:r>
      <w:r>
        <w:rPr>
          <w:rFonts w:hint="eastAsia"/>
          <w:color w:val="auto"/>
          <w:highlight w:val="none"/>
          <w:lang w:val="en-US" w:eastAsia="zh-CN"/>
        </w:rPr>
        <w:t>；</w:t>
      </w:r>
    </w:p>
    <w:p w14:paraId="0641DF48">
      <w:pPr>
        <w:pStyle w:val="38"/>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default" w:eastAsia="宋体"/>
          <w:color w:val="auto"/>
          <w:highlight w:val="none"/>
          <w:lang w:val="en-US" w:eastAsia="zh-CN"/>
        </w:rPr>
      </w:pPr>
      <w:r>
        <w:rPr>
          <w:rFonts w:hint="eastAsia"/>
          <w:color w:val="auto"/>
          <w:highlight w:val="none"/>
          <w:lang w:val="en-US" w:eastAsia="zh-CN"/>
        </w:rPr>
        <w:t>20.8法律、法规、规章规定属于投标人串通投标的其他情形</w:t>
      </w:r>
      <w:r>
        <w:rPr>
          <w:rFonts w:hint="eastAsia"/>
          <w:color w:val="auto"/>
          <w:highlight w:val="none"/>
          <w:lang w:val="zh-CN" w:eastAsia="zh-CN"/>
        </w:rPr>
        <w:t>。</w:t>
      </w:r>
    </w:p>
    <w:p w14:paraId="737FAF06">
      <w:pPr>
        <w:pStyle w:val="38"/>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color w:val="auto"/>
          <w:highlight w:val="none"/>
        </w:rPr>
      </w:pPr>
      <w:r>
        <w:rPr>
          <w:rFonts w:hint="eastAsia"/>
          <w:color w:val="auto"/>
          <w:highlight w:val="none"/>
          <w:lang w:val="en-US" w:eastAsia="zh-CN"/>
        </w:rPr>
        <w:t>21</w:t>
      </w:r>
      <w:r>
        <w:rPr>
          <w:color w:val="auto"/>
          <w:highlight w:val="none"/>
        </w:rPr>
        <w:t>.</w:t>
      </w:r>
      <w:r>
        <w:rPr>
          <w:rFonts w:hint="eastAsia"/>
          <w:color w:val="auto"/>
          <w:highlight w:val="none"/>
        </w:rPr>
        <w:t>根据《中华人民共和国政府采购法》第三十六条之规定，在招标采购过程中，出现下列情形之一的，应予</w:t>
      </w:r>
      <w:r>
        <w:rPr>
          <w:rFonts w:hint="eastAsia"/>
          <w:b/>
          <w:bCs/>
          <w:color w:val="auto"/>
          <w:highlight w:val="none"/>
        </w:rPr>
        <w:t>废标</w:t>
      </w:r>
      <w:r>
        <w:rPr>
          <w:rFonts w:hint="eastAsia"/>
          <w:color w:val="auto"/>
          <w:highlight w:val="none"/>
        </w:rPr>
        <w:t>：</w:t>
      </w:r>
    </w:p>
    <w:p w14:paraId="2C92042A">
      <w:pPr>
        <w:pStyle w:val="38"/>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color w:val="auto"/>
          <w:highlight w:val="none"/>
        </w:rPr>
      </w:pPr>
      <w:r>
        <w:rPr>
          <w:rFonts w:hint="eastAsia"/>
          <w:color w:val="auto"/>
          <w:highlight w:val="none"/>
          <w:lang w:val="en-US" w:eastAsia="zh-CN"/>
        </w:rPr>
        <w:t>21</w:t>
      </w:r>
      <w:r>
        <w:rPr>
          <w:color w:val="auto"/>
          <w:highlight w:val="none"/>
        </w:rPr>
        <w:t>.1</w:t>
      </w:r>
      <w:r>
        <w:rPr>
          <w:rFonts w:hint="eastAsia"/>
          <w:iCs/>
          <w:color w:val="auto"/>
          <w:spacing w:val="-6"/>
          <w:sz w:val="24"/>
          <w:highlight w:val="none"/>
        </w:rPr>
        <w:t>符合专业条件的供应商或者对招标文件作实质响应的供应商不足3家的；</w:t>
      </w:r>
    </w:p>
    <w:p w14:paraId="34ECD7A2">
      <w:pPr>
        <w:pStyle w:val="38"/>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color w:val="auto"/>
          <w:highlight w:val="none"/>
        </w:rPr>
      </w:pPr>
      <w:r>
        <w:rPr>
          <w:rFonts w:hint="eastAsia"/>
          <w:color w:val="auto"/>
          <w:highlight w:val="none"/>
          <w:lang w:val="en-US" w:eastAsia="zh-CN"/>
        </w:rPr>
        <w:t>21</w:t>
      </w:r>
      <w:r>
        <w:rPr>
          <w:color w:val="auto"/>
          <w:highlight w:val="none"/>
        </w:rPr>
        <w:t>.2</w:t>
      </w:r>
      <w:r>
        <w:rPr>
          <w:rFonts w:hint="eastAsia"/>
          <w:color w:val="auto"/>
          <w:highlight w:val="none"/>
        </w:rPr>
        <w:t>出现影响采购公正的违法、违规行为的；</w:t>
      </w:r>
    </w:p>
    <w:p w14:paraId="55223AA1">
      <w:pPr>
        <w:pStyle w:val="38"/>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color w:val="auto"/>
          <w:highlight w:val="none"/>
        </w:rPr>
      </w:pPr>
      <w:r>
        <w:rPr>
          <w:rFonts w:hint="eastAsia"/>
          <w:color w:val="auto"/>
          <w:highlight w:val="none"/>
          <w:lang w:val="en-US" w:eastAsia="zh-CN"/>
        </w:rPr>
        <w:t>21</w:t>
      </w:r>
      <w:r>
        <w:rPr>
          <w:color w:val="auto"/>
          <w:highlight w:val="none"/>
        </w:rPr>
        <w:t>.3</w:t>
      </w:r>
      <w:r>
        <w:rPr>
          <w:rFonts w:hint="eastAsia"/>
          <w:color w:val="auto"/>
          <w:highlight w:val="none"/>
        </w:rPr>
        <w:t>投标人的报价均超过了采购预算，采购人不能支付的；</w:t>
      </w:r>
    </w:p>
    <w:p w14:paraId="238CC2DB">
      <w:pPr>
        <w:pStyle w:val="38"/>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color w:val="auto"/>
          <w:highlight w:val="none"/>
          <w:lang w:val="en-US" w:eastAsia="zh-CN"/>
        </w:rPr>
      </w:pPr>
      <w:r>
        <w:rPr>
          <w:rFonts w:hint="eastAsia"/>
          <w:color w:val="auto"/>
          <w:highlight w:val="none"/>
          <w:lang w:val="en-US" w:eastAsia="zh-CN"/>
        </w:rPr>
        <w:t>21</w:t>
      </w:r>
      <w:r>
        <w:rPr>
          <w:color w:val="auto"/>
          <w:highlight w:val="none"/>
        </w:rPr>
        <w:t>.4</w:t>
      </w:r>
      <w:r>
        <w:rPr>
          <w:rFonts w:hint="eastAsia"/>
          <w:color w:val="auto"/>
          <w:highlight w:val="none"/>
        </w:rPr>
        <w:t>因重大变故，采购任务取消的</w:t>
      </w:r>
      <w:r>
        <w:rPr>
          <w:rFonts w:hint="eastAsia"/>
          <w:color w:val="auto"/>
          <w:highlight w:val="none"/>
          <w:lang w:val="en-US" w:eastAsia="zh-CN"/>
        </w:rPr>
        <w:t>；</w:t>
      </w:r>
    </w:p>
    <w:p w14:paraId="42948BC7">
      <w:pPr>
        <w:pStyle w:val="38"/>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color w:val="auto"/>
          <w:highlight w:val="none"/>
        </w:rPr>
      </w:pPr>
      <w:r>
        <w:rPr>
          <w:rFonts w:hint="eastAsia"/>
          <w:color w:val="auto"/>
          <w:highlight w:val="none"/>
          <w:lang w:val="en-US" w:eastAsia="zh-CN"/>
        </w:rPr>
        <w:t>21.5</w:t>
      </w:r>
      <w:r>
        <w:rPr>
          <w:rFonts w:hint="eastAsia"/>
          <w:color w:val="auto"/>
          <w:highlight w:val="none"/>
        </w:rPr>
        <w:t>法律、法规、规章规定属于</w:t>
      </w:r>
      <w:r>
        <w:rPr>
          <w:rFonts w:hint="eastAsia"/>
          <w:color w:val="auto"/>
          <w:highlight w:val="none"/>
          <w:lang w:val="en-US" w:eastAsia="zh-CN"/>
        </w:rPr>
        <w:t>废标</w:t>
      </w:r>
      <w:r>
        <w:rPr>
          <w:rFonts w:hint="eastAsia"/>
          <w:color w:val="auto"/>
          <w:highlight w:val="none"/>
        </w:rPr>
        <w:t>的其他情形。</w:t>
      </w:r>
    </w:p>
    <w:p w14:paraId="3EE39131">
      <w:pPr>
        <w:pStyle w:val="38"/>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color w:val="auto"/>
          <w:highlight w:val="none"/>
        </w:rPr>
      </w:pPr>
      <w:r>
        <w:rPr>
          <w:rFonts w:hint="eastAsia"/>
          <w:color w:val="auto"/>
          <w:highlight w:val="none"/>
          <w:lang w:val="en-US" w:eastAsia="zh-CN"/>
        </w:rPr>
        <w:t>22.</w:t>
      </w:r>
      <w:r>
        <w:rPr>
          <w:rFonts w:hint="eastAsia"/>
          <w:color w:val="auto"/>
          <w:highlight w:val="none"/>
        </w:rPr>
        <w:t>废标后，采购人应当将废标理由通知所有投标人。</w:t>
      </w:r>
    </w:p>
    <w:p w14:paraId="05AB6DCD">
      <w:pPr>
        <w:pStyle w:val="4"/>
        <w:keepNext/>
        <w:keepLines/>
        <w:pageBreakBefore w:val="0"/>
        <w:widowControl w:val="0"/>
        <w:numPr>
          <w:ilvl w:val="0"/>
          <w:numId w:val="0"/>
        </w:numPr>
        <w:kinsoku/>
        <w:wordWrap/>
        <w:overflowPunct/>
        <w:topLinePunct w:val="0"/>
        <w:autoSpaceDE/>
        <w:autoSpaceDN/>
        <w:bidi w:val="0"/>
        <w:adjustRightInd/>
        <w:snapToGrid/>
        <w:spacing w:before="60" w:after="60" w:line="360" w:lineRule="auto"/>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bookmarkStart w:id="516" w:name="_Toc102114920"/>
      <w:bookmarkStart w:id="517" w:name="_Toc102057718"/>
      <w:bookmarkStart w:id="518" w:name="_Toc102056218"/>
      <w:bookmarkStart w:id="519" w:name="_Toc102116152"/>
      <w:bookmarkStart w:id="520" w:name="_Toc102119853"/>
      <w:bookmarkStart w:id="521" w:name="_Toc163492907"/>
      <w:bookmarkStart w:id="522" w:name="_Toc20839"/>
      <w:bookmarkStart w:id="523" w:name="_Toc14002"/>
      <w:bookmarkStart w:id="524" w:name="_Toc5243"/>
      <w:bookmarkStart w:id="525" w:name="_Toc102116022"/>
      <w:bookmarkStart w:id="526" w:name="_Toc155185914"/>
      <w:r>
        <w:rPr>
          <w:rFonts w:hint="eastAsia" w:ascii="宋体" w:hAnsi="宋体" w:eastAsia="宋体" w:cs="宋体"/>
          <w:b/>
          <w:bCs/>
          <w:color w:val="auto"/>
          <w:kern w:val="2"/>
          <w:sz w:val="24"/>
          <w:szCs w:val="24"/>
          <w:highlight w:val="none"/>
          <w:lang w:val="zh-CN" w:eastAsia="zh-CN" w:bidi="ar-SA"/>
        </w:rPr>
        <w:t>（</w:t>
      </w:r>
      <w:r>
        <w:rPr>
          <w:rFonts w:hint="eastAsia" w:ascii="宋体" w:hAnsi="宋体" w:eastAsia="宋体" w:cs="宋体"/>
          <w:b/>
          <w:bCs/>
          <w:color w:val="auto"/>
          <w:kern w:val="2"/>
          <w:sz w:val="24"/>
          <w:szCs w:val="24"/>
          <w:highlight w:val="none"/>
          <w:lang w:val="en-US" w:eastAsia="zh-CN" w:bidi="ar-SA"/>
        </w:rPr>
        <w:t>九</w:t>
      </w:r>
      <w:r>
        <w:rPr>
          <w:rFonts w:hint="eastAsia" w:ascii="宋体" w:hAnsi="宋体" w:eastAsia="宋体" w:cs="宋体"/>
          <w:b/>
          <w:bCs/>
          <w:color w:val="auto"/>
          <w:kern w:val="2"/>
          <w:sz w:val="24"/>
          <w:szCs w:val="24"/>
          <w:highlight w:val="none"/>
          <w:lang w:val="zh-CN" w:eastAsia="zh-CN" w:bidi="ar-SA"/>
        </w:rPr>
        <w:t>）停止评标的情形</w:t>
      </w:r>
      <w:bookmarkEnd w:id="516"/>
      <w:bookmarkEnd w:id="517"/>
      <w:bookmarkEnd w:id="518"/>
      <w:bookmarkEnd w:id="519"/>
      <w:bookmarkEnd w:id="520"/>
      <w:bookmarkEnd w:id="521"/>
      <w:bookmarkEnd w:id="522"/>
      <w:bookmarkEnd w:id="523"/>
      <w:bookmarkEnd w:id="524"/>
      <w:bookmarkEnd w:id="525"/>
      <w:bookmarkEnd w:id="526"/>
    </w:p>
    <w:p w14:paraId="190044DE">
      <w:pPr>
        <w:pStyle w:val="38"/>
        <w:rPr>
          <w:rFonts w:hint="eastAsia"/>
          <w:color w:val="auto"/>
          <w:highlight w:val="none"/>
        </w:rPr>
      </w:pPr>
      <w:r>
        <w:rPr>
          <w:rFonts w:hint="eastAsia"/>
          <w:color w:val="auto"/>
          <w:highlight w:val="none"/>
          <w:lang w:val="en-US" w:eastAsia="zh-CN"/>
        </w:rPr>
        <w:t>23</w:t>
      </w:r>
      <w:r>
        <w:rPr>
          <w:color w:val="auto"/>
          <w:highlight w:val="none"/>
        </w:rPr>
        <w:t>.</w:t>
      </w:r>
      <w:r>
        <w:rPr>
          <w:rFonts w:hint="eastAsia"/>
          <w:color w:val="auto"/>
          <w:highlight w:val="none"/>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2CDB1955">
      <w:pPr>
        <w:pStyle w:val="4"/>
        <w:keepNext/>
        <w:keepLines/>
        <w:pageBreakBefore w:val="0"/>
        <w:widowControl w:val="0"/>
        <w:numPr>
          <w:ilvl w:val="0"/>
          <w:numId w:val="0"/>
        </w:numPr>
        <w:kinsoku/>
        <w:wordWrap/>
        <w:overflowPunct/>
        <w:topLinePunct w:val="0"/>
        <w:autoSpaceDE/>
        <w:autoSpaceDN/>
        <w:bidi w:val="0"/>
        <w:adjustRightInd/>
        <w:snapToGrid/>
        <w:spacing w:before="60" w:after="60" w:line="360" w:lineRule="auto"/>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bookmarkStart w:id="527" w:name="_Toc10597"/>
      <w:bookmarkStart w:id="528" w:name="_Toc13967"/>
      <w:bookmarkStart w:id="529" w:name="_Toc8262"/>
      <w:r>
        <w:rPr>
          <w:rFonts w:hint="eastAsia" w:ascii="宋体" w:hAnsi="宋体" w:eastAsia="宋体" w:cs="宋体"/>
          <w:b/>
          <w:bCs/>
          <w:color w:val="auto"/>
          <w:kern w:val="2"/>
          <w:sz w:val="24"/>
          <w:szCs w:val="24"/>
          <w:highlight w:val="none"/>
          <w:lang w:val="zh-CN" w:eastAsia="zh-CN" w:bidi="ar-SA"/>
        </w:rPr>
        <w:t>（</w:t>
      </w:r>
      <w:r>
        <w:rPr>
          <w:rFonts w:hint="eastAsia" w:ascii="宋体" w:hAnsi="宋体" w:eastAsia="宋体" w:cs="宋体"/>
          <w:b/>
          <w:bCs/>
          <w:color w:val="auto"/>
          <w:kern w:val="2"/>
          <w:sz w:val="24"/>
          <w:szCs w:val="24"/>
          <w:highlight w:val="none"/>
          <w:lang w:val="en-US" w:eastAsia="zh-CN" w:bidi="ar-SA"/>
        </w:rPr>
        <w:t>十</w:t>
      </w:r>
      <w:r>
        <w:rPr>
          <w:rFonts w:hint="eastAsia" w:ascii="宋体" w:hAnsi="宋体" w:eastAsia="宋体" w:cs="宋体"/>
          <w:b/>
          <w:bCs/>
          <w:color w:val="auto"/>
          <w:kern w:val="2"/>
          <w:sz w:val="24"/>
          <w:szCs w:val="24"/>
          <w:highlight w:val="none"/>
          <w:lang w:val="zh-CN" w:eastAsia="zh-CN" w:bidi="ar-SA"/>
        </w:rPr>
        <w:t>）重新开展采购</w:t>
      </w:r>
      <w:bookmarkEnd w:id="527"/>
      <w:bookmarkEnd w:id="528"/>
      <w:bookmarkEnd w:id="529"/>
    </w:p>
    <w:p w14:paraId="461B653A">
      <w:pPr>
        <w:pStyle w:val="38"/>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color w:val="auto"/>
          <w:highlight w:val="none"/>
        </w:rPr>
      </w:pPr>
      <w:r>
        <w:rPr>
          <w:rFonts w:hint="eastAsia"/>
          <w:color w:val="auto"/>
          <w:highlight w:val="none"/>
          <w:lang w:val="en-US" w:eastAsia="zh-CN"/>
        </w:rPr>
        <w:t>24.</w:t>
      </w:r>
      <w:r>
        <w:rPr>
          <w:rFonts w:hint="eastAsia"/>
          <w:color w:val="auto"/>
          <w:highlight w:val="none"/>
        </w:rPr>
        <w:t>有</w:t>
      </w:r>
      <w:r>
        <w:rPr>
          <w:rFonts w:hint="eastAsia"/>
          <w:color w:val="auto"/>
          <w:highlight w:val="none"/>
          <w:lang w:eastAsia="zh-CN"/>
        </w:rPr>
        <w:t>《</w:t>
      </w:r>
      <w:r>
        <w:rPr>
          <w:rFonts w:hint="eastAsia"/>
          <w:color w:val="auto"/>
          <w:highlight w:val="none"/>
        </w:rPr>
        <w:t>中华人民共和国政府采购法</w:t>
      </w:r>
      <w:r>
        <w:rPr>
          <w:rFonts w:hint="eastAsia"/>
          <w:color w:val="auto"/>
          <w:highlight w:val="none"/>
          <w:lang w:eastAsia="zh-CN"/>
        </w:rPr>
        <w:t>》</w:t>
      </w:r>
      <w:r>
        <w:rPr>
          <w:rFonts w:hint="eastAsia"/>
          <w:color w:val="auto"/>
          <w:highlight w:val="none"/>
        </w:rPr>
        <w:t>第七十一条、第七十二条规定的违法行为之一，影响或者可能影响中标结果的，依照下列规定处理：</w:t>
      </w:r>
    </w:p>
    <w:p w14:paraId="7AA5C7C3">
      <w:pPr>
        <w:pStyle w:val="38"/>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color w:val="auto"/>
          <w:highlight w:val="none"/>
        </w:rPr>
      </w:pPr>
      <w:r>
        <w:rPr>
          <w:rFonts w:hint="eastAsia"/>
          <w:color w:val="auto"/>
          <w:highlight w:val="none"/>
          <w:lang w:val="en-US" w:eastAsia="zh-CN"/>
        </w:rPr>
        <w:t>24</w:t>
      </w:r>
      <w:r>
        <w:rPr>
          <w:rFonts w:hint="eastAsia"/>
          <w:color w:val="auto"/>
          <w:highlight w:val="none"/>
        </w:rPr>
        <w:t>.1</w:t>
      </w:r>
      <w:r>
        <w:rPr>
          <w:rFonts w:hint="eastAsia"/>
          <w:iCs/>
          <w:color w:val="auto"/>
          <w:spacing w:val="-6"/>
          <w:sz w:val="24"/>
          <w:highlight w:val="none"/>
        </w:rPr>
        <w:t>未确定中标供应商的，终止本次政府采购活动，重新开展政府采购活动。</w:t>
      </w:r>
    </w:p>
    <w:p w14:paraId="3A794890">
      <w:pPr>
        <w:pStyle w:val="38"/>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color w:val="auto"/>
          <w:highlight w:val="none"/>
        </w:rPr>
      </w:pPr>
      <w:r>
        <w:rPr>
          <w:rFonts w:hint="eastAsia"/>
          <w:color w:val="auto"/>
          <w:highlight w:val="none"/>
          <w:lang w:val="en-US" w:eastAsia="zh-CN"/>
        </w:rPr>
        <w:t>24</w:t>
      </w:r>
      <w:r>
        <w:rPr>
          <w:rFonts w:hint="eastAsia"/>
          <w:color w:val="auto"/>
          <w:highlight w:val="none"/>
        </w:rPr>
        <w:t>.2已确定中标供应商但尚未签订政府采购合同的，中标结果无效，从合格的中标候选人中另行确定中标供应商；没有合格的中标候选人的，重新开展政府采购活动。</w:t>
      </w:r>
    </w:p>
    <w:p w14:paraId="595100CC">
      <w:pPr>
        <w:pStyle w:val="38"/>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color w:val="auto"/>
          <w:highlight w:val="none"/>
        </w:rPr>
      </w:pPr>
      <w:r>
        <w:rPr>
          <w:rFonts w:hint="eastAsia"/>
          <w:color w:val="auto"/>
          <w:highlight w:val="none"/>
          <w:lang w:val="en-US" w:eastAsia="zh-CN"/>
        </w:rPr>
        <w:t>24</w:t>
      </w:r>
      <w:r>
        <w:rPr>
          <w:rFonts w:hint="eastAsia"/>
          <w:color w:val="auto"/>
          <w:highlight w:val="none"/>
        </w:rPr>
        <w:t>.3政府采购合同已签订但尚未履行的，撤销合同，从合格的中标候选人中另行确定中标供应商；没有合格的中标候选人的，重新开展政府采购活动。</w:t>
      </w:r>
    </w:p>
    <w:p w14:paraId="45E078B1">
      <w:pPr>
        <w:pStyle w:val="38"/>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rFonts w:hint="eastAsia"/>
          <w:color w:val="auto"/>
          <w:highlight w:val="none"/>
        </w:rPr>
      </w:pPr>
      <w:r>
        <w:rPr>
          <w:rFonts w:hint="eastAsia"/>
          <w:color w:val="auto"/>
          <w:highlight w:val="none"/>
          <w:lang w:val="en-US" w:eastAsia="zh-CN"/>
        </w:rPr>
        <w:t>24</w:t>
      </w:r>
      <w:r>
        <w:rPr>
          <w:rFonts w:hint="eastAsia"/>
          <w:color w:val="auto"/>
          <w:highlight w:val="none"/>
        </w:rPr>
        <w:t>.4政府采购合同已经履行，给采购人、供应商造成损失的，由责任人承担赔偿责任。</w:t>
      </w:r>
    </w:p>
    <w:p w14:paraId="43A428E9">
      <w:pPr>
        <w:pStyle w:val="38"/>
        <w:keepNext w:val="0"/>
        <w:keepLines w:val="0"/>
        <w:pageBreakBefore w:val="0"/>
        <w:widowControl w:val="0"/>
        <w:kinsoku/>
        <w:wordWrap w:val="0"/>
        <w:overflowPunct/>
        <w:topLinePunct w:val="0"/>
        <w:autoSpaceDE/>
        <w:autoSpaceDN/>
        <w:bidi w:val="0"/>
        <w:adjustRightInd/>
        <w:snapToGrid/>
        <w:spacing w:line="460" w:lineRule="exact"/>
        <w:ind w:firstLine="482"/>
        <w:textAlignment w:val="auto"/>
        <w:rPr>
          <w:color w:val="auto"/>
          <w:highlight w:val="none"/>
        </w:rPr>
      </w:pPr>
      <w:r>
        <w:rPr>
          <w:rFonts w:hint="eastAsia"/>
          <w:color w:val="auto"/>
          <w:highlight w:val="none"/>
          <w:lang w:val="en-US" w:eastAsia="zh-CN"/>
        </w:rPr>
        <w:t>24</w:t>
      </w:r>
      <w:r>
        <w:rPr>
          <w:rFonts w:hint="eastAsia"/>
          <w:color w:val="auto"/>
          <w:highlight w:val="none"/>
        </w:rPr>
        <w:t>.5政府采购当事人有其他违反</w:t>
      </w:r>
      <w:r>
        <w:rPr>
          <w:rFonts w:hint="eastAsia"/>
          <w:iCs/>
          <w:color w:val="auto"/>
          <w:spacing w:val="-6"/>
          <w:sz w:val="24"/>
          <w:highlight w:val="none"/>
          <w:lang w:eastAsia="zh-CN"/>
        </w:rPr>
        <w:t>《</w:t>
      </w:r>
      <w:r>
        <w:rPr>
          <w:rFonts w:hint="eastAsia"/>
          <w:iCs/>
          <w:color w:val="auto"/>
          <w:spacing w:val="-6"/>
          <w:sz w:val="24"/>
          <w:highlight w:val="none"/>
        </w:rPr>
        <w:t>中华人民共和国政府采购法</w:t>
      </w:r>
      <w:r>
        <w:rPr>
          <w:rFonts w:hint="eastAsia"/>
          <w:iCs/>
          <w:color w:val="auto"/>
          <w:spacing w:val="-6"/>
          <w:sz w:val="24"/>
          <w:highlight w:val="none"/>
          <w:lang w:eastAsia="zh-CN"/>
        </w:rPr>
        <w:t>》</w:t>
      </w:r>
      <w:r>
        <w:rPr>
          <w:rFonts w:hint="eastAsia"/>
          <w:iCs/>
          <w:color w:val="auto"/>
          <w:spacing w:val="-6"/>
          <w:sz w:val="24"/>
          <w:highlight w:val="none"/>
        </w:rPr>
        <w:t>或者</w:t>
      </w:r>
      <w:r>
        <w:rPr>
          <w:rFonts w:hint="eastAsia"/>
          <w:iCs/>
          <w:color w:val="auto"/>
          <w:spacing w:val="-6"/>
          <w:sz w:val="24"/>
          <w:highlight w:val="none"/>
          <w:lang w:eastAsia="zh-CN"/>
        </w:rPr>
        <w:t>《</w:t>
      </w:r>
      <w:r>
        <w:rPr>
          <w:rFonts w:hint="eastAsia"/>
          <w:iCs/>
          <w:color w:val="auto"/>
          <w:spacing w:val="-6"/>
          <w:sz w:val="24"/>
          <w:highlight w:val="none"/>
        </w:rPr>
        <w:t>中华人民共和国政府采购法实施条例</w:t>
      </w:r>
      <w:r>
        <w:rPr>
          <w:rFonts w:hint="eastAsia"/>
          <w:iCs/>
          <w:color w:val="auto"/>
          <w:spacing w:val="-6"/>
          <w:sz w:val="24"/>
          <w:highlight w:val="none"/>
          <w:lang w:eastAsia="zh-CN"/>
        </w:rPr>
        <w:t>》</w:t>
      </w:r>
      <w:r>
        <w:rPr>
          <w:rFonts w:hint="eastAsia"/>
          <w:color w:val="auto"/>
          <w:highlight w:val="none"/>
        </w:rPr>
        <w:t>等法律法规规定的行为，经改正后仍然影响或者可能影响中标结果或者依法被认定为中标无效的，依照</w:t>
      </w:r>
      <w:r>
        <w:rPr>
          <w:rFonts w:hint="eastAsia"/>
          <w:color w:val="auto"/>
          <w:highlight w:val="none"/>
          <w:lang w:val="en-US" w:eastAsia="zh-CN"/>
        </w:rPr>
        <w:t>24</w:t>
      </w:r>
      <w:r>
        <w:rPr>
          <w:rFonts w:hint="eastAsia"/>
          <w:color w:val="auto"/>
          <w:highlight w:val="none"/>
        </w:rPr>
        <w:t>.1</w:t>
      </w:r>
      <w:r>
        <w:rPr>
          <w:rFonts w:hint="eastAsia"/>
          <w:color w:val="auto"/>
          <w:highlight w:val="none"/>
          <w:lang w:eastAsia="zh-CN"/>
        </w:rPr>
        <w:t>—</w:t>
      </w:r>
      <w:r>
        <w:rPr>
          <w:rFonts w:hint="eastAsia"/>
          <w:color w:val="auto"/>
          <w:highlight w:val="none"/>
          <w:lang w:val="en-US" w:eastAsia="zh-CN"/>
        </w:rPr>
        <w:t>24</w:t>
      </w:r>
      <w:r>
        <w:rPr>
          <w:rFonts w:hint="eastAsia"/>
          <w:color w:val="auto"/>
          <w:highlight w:val="none"/>
        </w:rPr>
        <w:t>.4规定处理。</w:t>
      </w:r>
    </w:p>
    <w:bookmarkEnd w:id="465"/>
    <w:bookmarkEnd w:id="466"/>
    <w:bookmarkEnd w:id="467"/>
    <w:bookmarkEnd w:id="468"/>
    <w:bookmarkEnd w:id="469"/>
    <w:bookmarkEnd w:id="470"/>
    <w:bookmarkEnd w:id="471"/>
    <w:bookmarkEnd w:id="472"/>
    <w:bookmarkEnd w:id="473"/>
    <w:bookmarkEnd w:id="474"/>
    <w:p w14:paraId="6AD5E432">
      <w:pPr>
        <w:pStyle w:val="2"/>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textAlignment w:val="auto"/>
        <w:rPr>
          <w:rFonts w:hint="default" w:ascii="宋体" w:hAnsi="宋体" w:eastAsia="宋体" w:cs="宋体"/>
          <w:color w:val="auto"/>
          <w:sz w:val="28"/>
          <w:szCs w:val="28"/>
          <w:highlight w:val="none"/>
          <w:lang w:val="en-US" w:eastAsia="zh-CN"/>
        </w:rPr>
      </w:pPr>
      <w:bookmarkStart w:id="530" w:name="_Toc27264"/>
      <w:bookmarkStart w:id="531" w:name="_Toc14768"/>
      <w:r>
        <w:rPr>
          <w:rFonts w:hint="eastAsia" w:ascii="宋体" w:hAnsi="宋体" w:eastAsia="宋体" w:cs="宋体"/>
          <w:color w:val="auto"/>
          <w:sz w:val="28"/>
          <w:szCs w:val="28"/>
          <w:highlight w:val="none"/>
          <w:lang w:val="zh-CN" w:eastAsia="zh-CN"/>
        </w:rPr>
        <w:t>三、评标</w:t>
      </w:r>
      <w:r>
        <w:rPr>
          <w:rFonts w:hint="eastAsia" w:ascii="宋体" w:hAnsi="宋体" w:eastAsia="宋体" w:cs="宋体"/>
          <w:color w:val="auto"/>
          <w:sz w:val="28"/>
          <w:szCs w:val="28"/>
          <w:highlight w:val="none"/>
          <w:lang w:val="en-US" w:eastAsia="zh-CN"/>
        </w:rPr>
        <w:t>其他要求</w:t>
      </w:r>
      <w:bookmarkEnd w:id="530"/>
      <w:bookmarkEnd w:id="531"/>
    </w:p>
    <w:p w14:paraId="575548E5">
      <w:pPr>
        <w:pStyle w:val="2"/>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533" w:leftChars="222" w:firstLine="1044" w:firstLineChars="325"/>
        <w:textAlignment w:val="auto"/>
        <w:rPr>
          <w:rFonts w:hint="eastAsia"/>
          <w:color w:val="auto"/>
          <w:highlight w:val="none"/>
          <w:lang w:val="en-US" w:eastAsia="zh-CN"/>
        </w:rPr>
      </w:pPr>
      <w:bookmarkStart w:id="532" w:name="_Toc2099"/>
      <w:bookmarkStart w:id="533" w:name="_Toc22385"/>
      <w:r>
        <w:rPr>
          <w:rFonts w:hint="eastAsia"/>
          <w:color w:val="auto"/>
          <w:highlight w:val="none"/>
          <w:lang w:val="en-US" w:eastAsia="zh-CN"/>
        </w:rPr>
        <w:t>无</w:t>
      </w:r>
    </w:p>
    <w:p w14:paraId="0BE29AB1">
      <w:pPr>
        <w:pStyle w:val="2"/>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textAlignment w:val="auto"/>
        <w:rPr>
          <w:rFonts w:hint="eastAsia" w:ascii="宋体" w:hAnsi="宋体" w:eastAsia="宋体" w:cs="宋体"/>
          <w:color w:val="auto"/>
          <w:sz w:val="28"/>
          <w:szCs w:val="28"/>
          <w:highlight w:val="none"/>
          <w:lang w:val="zh-CN" w:eastAsia="zh-CN"/>
        </w:rPr>
      </w:pPr>
      <w:r>
        <w:rPr>
          <w:rFonts w:hint="eastAsia" w:ascii="宋体" w:hAnsi="宋体" w:eastAsia="宋体" w:cs="宋体"/>
          <w:color w:val="auto"/>
          <w:sz w:val="28"/>
          <w:szCs w:val="28"/>
          <w:highlight w:val="none"/>
          <w:lang w:val="en-US" w:eastAsia="zh-CN"/>
        </w:rPr>
        <w:t>四</w:t>
      </w:r>
      <w:r>
        <w:rPr>
          <w:rFonts w:hint="eastAsia" w:ascii="宋体" w:hAnsi="宋体" w:eastAsia="宋体" w:cs="宋体"/>
          <w:color w:val="auto"/>
          <w:sz w:val="28"/>
          <w:szCs w:val="28"/>
          <w:highlight w:val="none"/>
          <w:lang w:val="zh-CN" w:eastAsia="zh-CN"/>
        </w:rPr>
        <w:t>、评标标准</w:t>
      </w:r>
      <w:bookmarkEnd w:id="532"/>
      <w:bookmarkEnd w:id="533"/>
    </w:p>
    <w:p w14:paraId="6FC1DEBE">
      <w:pPr>
        <w:pStyle w:val="4"/>
        <w:keepNext/>
        <w:keepLines/>
        <w:pageBreakBefore w:val="0"/>
        <w:widowControl w:val="0"/>
        <w:numPr>
          <w:ilvl w:val="0"/>
          <w:numId w:val="0"/>
        </w:numPr>
        <w:kinsoku/>
        <w:wordWrap/>
        <w:overflowPunct/>
        <w:topLinePunct w:val="0"/>
        <w:autoSpaceDE/>
        <w:autoSpaceDN/>
        <w:bidi w:val="0"/>
        <w:adjustRightInd/>
        <w:snapToGrid/>
        <w:spacing w:before="60" w:after="60" w:line="360" w:lineRule="auto"/>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bookmarkStart w:id="534" w:name="_Toc1508"/>
      <w:bookmarkStart w:id="535" w:name="_Toc12396"/>
      <w:bookmarkStart w:id="536" w:name="_Toc163492909"/>
      <w:bookmarkStart w:id="537" w:name="_Toc29368"/>
      <w:r>
        <w:rPr>
          <w:rFonts w:hint="eastAsia" w:ascii="宋体" w:hAnsi="宋体" w:eastAsia="宋体" w:cs="宋体"/>
          <w:b/>
          <w:bCs/>
          <w:color w:val="auto"/>
          <w:kern w:val="2"/>
          <w:sz w:val="24"/>
          <w:szCs w:val="24"/>
          <w:highlight w:val="none"/>
          <w:lang w:val="zh-CN" w:eastAsia="zh-CN" w:bidi="ar-SA"/>
        </w:rPr>
        <w:t>（一）符合性审查表</w:t>
      </w:r>
      <w:bookmarkEnd w:id="534"/>
      <w:bookmarkEnd w:id="535"/>
      <w:bookmarkEnd w:id="536"/>
      <w:bookmarkEnd w:id="537"/>
    </w:p>
    <w:tbl>
      <w:tblPr>
        <w:tblStyle w:val="31"/>
        <w:tblW w:w="5424" w:type="pct"/>
        <w:tblInd w:w="-3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90"/>
        <w:gridCol w:w="1302"/>
        <w:gridCol w:w="5499"/>
        <w:gridCol w:w="866"/>
        <w:gridCol w:w="1088"/>
      </w:tblGrid>
      <w:tr w14:paraId="6867D0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265" w:type="pct"/>
            <w:vMerge w:val="restart"/>
            <w:shd w:val="clear" w:color="auto" w:fill="D8D8D8" w:themeFill="background1" w:themeFillShade="D9"/>
            <w:vAlign w:val="center"/>
          </w:tcPr>
          <w:p w14:paraId="3B188FC3">
            <w:pPr>
              <w:pStyle w:val="50"/>
              <w:jc w:val="center"/>
              <w:rPr>
                <w:rFonts w:hint="eastAsia" w:ascii="宋体" w:hAnsi="宋体" w:eastAsia="宋体" w:cs="宋体"/>
                <w:b/>
                <w:bCs/>
                <w:color w:val="auto"/>
                <w:sz w:val="21"/>
                <w:szCs w:val="21"/>
                <w:highlight w:val="none"/>
                <w:lang w:val="zh-CN"/>
              </w:rPr>
            </w:pPr>
            <w:bookmarkStart w:id="538" w:name="_Toc163492910"/>
            <w:bookmarkStart w:id="539" w:name="_Toc155185917"/>
            <w:r>
              <w:rPr>
                <w:rFonts w:hint="eastAsia" w:ascii="宋体" w:hAnsi="宋体" w:eastAsia="宋体" w:cs="宋体"/>
                <w:b/>
                <w:bCs/>
                <w:color w:val="auto"/>
                <w:sz w:val="21"/>
                <w:szCs w:val="21"/>
                <w:highlight w:val="none"/>
                <w:lang w:val="zh-CN"/>
              </w:rPr>
              <w:t>序号</w:t>
            </w:r>
          </w:p>
        </w:tc>
        <w:tc>
          <w:tcPr>
            <w:tcW w:w="704" w:type="pct"/>
            <w:vMerge w:val="restart"/>
            <w:shd w:val="clear" w:color="auto" w:fill="D8D8D8" w:themeFill="background1" w:themeFillShade="D9"/>
            <w:vAlign w:val="center"/>
          </w:tcPr>
          <w:p w14:paraId="316B5F87">
            <w:pPr>
              <w:pStyle w:val="50"/>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审查项名称</w:t>
            </w:r>
          </w:p>
        </w:tc>
        <w:tc>
          <w:tcPr>
            <w:tcW w:w="2973" w:type="pct"/>
            <w:vMerge w:val="restart"/>
            <w:shd w:val="clear" w:color="auto" w:fill="D8D8D8" w:themeFill="background1" w:themeFillShade="D9"/>
            <w:vAlign w:val="center"/>
          </w:tcPr>
          <w:p w14:paraId="44B32FDC">
            <w:pPr>
              <w:pStyle w:val="50"/>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审查内容</w:t>
            </w:r>
          </w:p>
        </w:tc>
        <w:tc>
          <w:tcPr>
            <w:tcW w:w="1056" w:type="pct"/>
            <w:gridSpan w:val="2"/>
            <w:shd w:val="clear" w:color="auto" w:fill="D8D8D8" w:themeFill="background1" w:themeFillShade="D9"/>
            <w:vAlign w:val="center"/>
          </w:tcPr>
          <w:p w14:paraId="2724C461">
            <w:pPr>
              <w:pStyle w:val="5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审查结果</w:t>
            </w:r>
          </w:p>
        </w:tc>
      </w:tr>
      <w:tr w14:paraId="6963BE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265" w:type="pct"/>
            <w:vMerge w:val="continue"/>
            <w:shd w:val="clear" w:color="auto" w:fill="D8D8D8" w:themeFill="background1" w:themeFillShade="D9"/>
            <w:vAlign w:val="center"/>
          </w:tcPr>
          <w:p w14:paraId="1859AA86">
            <w:pPr>
              <w:pStyle w:val="50"/>
              <w:jc w:val="center"/>
              <w:rPr>
                <w:rFonts w:hint="eastAsia" w:ascii="宋体" w:hAnsi="宋体" w:eastAsia="宋体" w:cs="宋体"/>
                <w:b/>
                <w:bCs/>
                <w:color w:val="auto"/>
                <w:sz w:val="21"/>
                <w:szCs w:val="21"/>
                <w:highlight w:val="none"/>
                <w:lang w:val="zh-CN"/>
              </w:rPr>
            </w:pPr>
          </w:p>
        </w:tc>
        <w:tc>
          <w:tcPr>
            <w:tcW w:w="704" w:type="pct"/>
            <w:vMerge w:val="continue"/>
            <w:shd w:val="clear" w:color="auto" w:fill="D8D8D8" w:themeFill="background1" w:themeFillShade="D9"/>
            <w:vAlign w:val="center"/>
          </w:tcPr>
          <w:p w14:paraId="51EF0565">
            <w:pPr>
              <w:pStyle w:val="50"/>
              <w:jc w:val="center"/>
              <w:rPr>
                <w:rFonts w:hint="eastAsia" w:ascii="宋体" w:hAnsi="宋体" w:eastAsia="宋体" w:cs="宋体"/>
                <w:b/>
                <w:bCs/>
                <w:color w:val="auto"/>
                <w:sz w:val="21"/>
                <w:szCs w:val="21"/>
                <w:highlight w:val="none"/>
                <w:lang w:val="zh-CN"/>
              </w:rPr>
            </w:pPr>
          </w:p>
        </w:tc>
        <w:tc>
          <w:tcPr>
            <w:tcW w:w="2973" w:type="pct"/>
            <w:vMerge w:val="continue"/>
            <w:shd w:val="clear" w:color="auto" w:fill="D8D8D8" w:themeFill="background1" w:themeFillShade="D9"/>
            <w:vAlign w:val="center"/>
          </w:tcPr>
          <w:p w14:paraId="2128C077">
            <w:pPr>
              <w:pStyle w:val="50"/>
              <w:jc w:val="center"/>
              <w:rPr>
                <w:rFonts w:hint="eastAsia" w:ascii="宋体" w:hAnsi="宋体" w:eastAsia="宋体" w:cs="宋体"/>
                <w:b/>
                <w:bCs/>
                <w:color w:val="auto"/>
                <w:sz w:val="21"/>
                <w:szCs w:val="21"/>
                <w:highlight w:val="none"/>
                <w:lang w:val="zh-CN"/>
              </w:rPr>
            </w:pPr>
          </w:p>
        </w:tc>
        <w:tc>
          <w:tcPr>
            <w:tcW w:w="468" w:type="pct"/>
            <w:shd w:val="clear" w:color="auto" w:fill="D8D8D8" w:themeFill="background1" w:themeFillShade="D9"/>
            <w:vAlign w:val="center"/>
          </w:tcPr>
          <w:p w14:paraId="0CAA21D7">
            <w:pPr>
              <w:pStyle w:val="5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符合</w:t>
            </w:r>
          </w:p>
        </w:tc>
        <w:tc>
          <w:tcPr>
            <w:tcW w:w="588" w:type="pct"/>
            <w:shd w:val="clear" w:color="auto" w:fill="D8D8D8" w:themeFill="background1" w:themeFillShade="D9"/>
            <w:vAlign w:val="center"/>
          </w:tcPr>
          <w:p w14:paraId="15D1F439">
            <w:pPr>
              <w:pStyle w:val="5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不符合</w:t>
            </w:r>
          </w:p>
        </w:tc>
      </w:tr>
      <w:tr w14:paraId="233AF5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8" w:hRule="atLeast"/>
        </w:trPr>
        <w:tc>
          <w:tcPr>
            <w:tcW w:w="265" w:type="pct"/>
            <w:shd w:val="clear" w:color="auto" w:fill="auto"/>
            <w:vAlign w:val="center"/>
          </w:tcPr>
          <w:p w14:paraId="4A515C07">
            <w:pPr>
              <w:pStyle w:val="50"/>
              <w:numPr>
                <w:ilvl w:val="0"/>
                <w:numId w:val="0"/>
              </w:numPr>
              <w:ind w:left="420" w:leftChars="0" w:hanging="420" w:firstLineChars="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kern w:val="2"/>
                <w:sz w:val="21"/>
                <w:szCs w:val="21"/>
                <w:highlight w:val="none"/>
                <w:lang w:val="zh-CN" w:eastAsia="zh-CN" w:bidi="ar-SA"/>
              </w:rPr>
              <w:t>1</w:t>
            </w:r>
          </w:p>
        </w:tc>
        <w:tc>
          <w:tcPr>
            <w:tcW w:w="704" w:type="pct"/>
            <w:vAlign w:val="center"/>
          </w:tcPr>
          <w:p w14:paraId="5E0E3062">
            <w:pPr>
              <w:pStyle w:val="74"/>
              <w:rPr>
                <w:rFonts w:hint="eastAsia" w:ascii="宋体" w:hAnsi="宋体" w:eastAsia="宋体" w:cs="宋体"/>
                <w:color w:val="auto"/>
                <w:sz w:val="21"/>
                <w:szCs w:val="21"/>
                <w:highlight w:val="none"/>
                <w:lang w:val="zh-CN"/>
              </w:rPr>
            </w:pPr>
            <w:r>
              <w:rPr>
                <w:rFonts w:hint="eastAsia" w:ascii="宋体" w:hAnsi="宋体" w:eastAsia="宋体" w:cs="宋体"/>
                <w:sz w:val="20"/>
                <w:szCs w:val="20"/>
              </w:rPr>
              <w:t>投标人名称</w:t>
            </w:r>
          </w:p>
        </w:tc>
        <w:tc>
          <w:tcPr>
            <w:tcW w:w="2973" w:type="pct"/>
            <w:shd w:val="clear" w:color="auto" w:fill="auto"/>
            <w:vAlign w:val="center"/>
          </w:tcPr>
          <w:p w14:paraId="0FA4ED80">
            <w:pPr>
              <w:pStyle w:val="74"/>
              <w:rPr>
                <w:rFonts w:hint="eastAsia" w:ascii="宋体" w:hAnsi="宋体" w:eastAsia="宋体" w:cs="宋体"/>
                <w:color w:val="auto"/>
                <w:sz w:val="21"/>
                <w:szCs w:val="21"/>
                <w:highlight w:val="none"/>
                <w:lang w:val="zh-CN" w:eastAsia="zh-CN"/>
              </w:rPr>
            </w:pPr>
            <w:r>
              <w:rPr>
                <w:rFonts w:hint="eastAsia" w:ascii="宋体" w:hAnsi="宋体" w:eastAsia="宋体" w:cs="宋体"/>
                <w:sz w:val="20"/>
                <w:szCs w:val="20"/>
              </w:rPr>
              <w:t>是否与营业执照、税务登记证、资质证书一致</w:t>
            </w:r>
          </w:p>
        </w:tc>
        <w:tc>
          <w:tcPr>
            <w:tcW w:w="468" w:type="pct"/>
            <w:shd w:val="clear" w:color="auto" w:fill="auto"/>
            <w:vAlign w:val="center"/>
          </w:tcPr>
          <w:p w14:paraId="1E1F1EB1">
            <w:pPr>
              <w:pStyle w:val="50"/>
              <w:rPr>
                <w:rFonts w:hint="eastAsia" w:ascii="宋体" w:hAnsi="宋体" w:eastAsia="宋体" w:cs="宋体"/>
                <w:color w:val="auto"/>
                <w:sz w:val="21"/>
                <w:szCs w:val="21"/>
                <w:highlight w:val="none"/>
                <w:lang w:val="zh-CN"/>
              </w:rPr>
            </w:pPr>
          </w:p>
        </w:tc>
        <w:tc>
          <w:tcPr>
            <w:tcW w:w="588" w:type="pct"/>
            <w:shd w:val="clear" w:color="auto" w:fill="auto"/>
            <w:vAlign w:val="center"/>
          </w:tcPr>
          <w:p w14:paraId="35325BAA">
            <w:pPr>
              <w:pStyle w:val="50"/>
              <w:rPr>
                <w:rFonts w:hint="eastAsia" w:ascii="宋体" w:hAnsi="宋体" w:eastAsia="宋体" w:cs="宋体"/>
                <w:color w:val="auto"/>
                <w:sz w:val="21"/>
                <w:szCs w:val="21"/>
                <w:highlight w:val="none"/>
                <w:lang w:val="zh-CN"/>
              </w:rPr>
            </w:pPr>
          </w:p>
        </w:tc>
      </w:tr>
      <w:tr w14:paraId="6BB86F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6" w:hRule="atLeast"/>
        </w:trPr>
        <w:tc>
          <w:tcPr>
            <w:tcW w:w="265" w:type="pct"/>
            <w:shd w:val="clear" w:color="auto" w:fill="auto"/>
            <w:vAlign w:val="center"/>
          </w:tcPr>
          <w:p w14:paraId="70154C2F">
            <w:pPr>
              <w:pStyle w:val="50"/>
              <w:numPr>
                <w:ilvl w:val="0"/>
                <w:numId w:val="0"/>
              </w:numPr>
              <w:ind w:left="420" w:leftChars="0" w:hanging="420" w:firstLineChars="0"/>
              <w:jc w:val="center"/>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2</w:t>
            </w:r>
          </w:p>
        </w:tc>
        <w:tc>
          <w:tcPr>
            <w:tcW w:w="704" w:type="pct"/>
            <w:shd w:val="clear" w:color="auto" w:fill="auto"/>
            <w:vAlign w:val="center"/>
          </w:tcPr>
          <w:p w14:paraId="1B390AF0">
            <w:pPr>
              <w:pStyle w:val="74"/>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sz w:val="20"/>
                <w:szCs w:val="20"/>
              </w:rPr>
              <w:t>投标有效期</w:t>
            </w:r>
          </w:p>
        </w:tc>
        <w:tc>
          <w:tcPr>
            <w:tcW w:w="2973" w:type="pct"/>
            <w:shd w:val="clear" w:color="auto" w:fill="auto"/>
            <w:vAlign w:val="center"/>
          </w:tcPr>
          <w:p w14:paraId="6D95F485">
            <w:pPr>
              <w:pStyle w:val="74"/>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sz w:val="20"/>
                <w:szCs w:val="20"/>
              </w:rPr>
              <w:t>投标文件已提交并符合招标文件要求的，且投标有效期不少于招标文件中载明的投标有效期</w:t>
            </w:r>
          </w:p>
        </w:tc>
        <w:tc>
          <w:tcPr>
            <w:tcW w:w="468" w:type="pct"/>
            <w:shd w:val="clear" w:color="auto" w:fill="auto"/>
            <w:vAlign w:val="center"/>
          </w:tcPr>
          <w:p w14:paraId="4C63B966">
            <w:pPr>
              <w:pStyle w:val="50"/>
              <w:rPr>
                <w:rFonts w:hint="eastAsia" w:ascii="宋体" w:hAnsi="宋体" w:eastAsia="宋体" w:cs="宋体"/>
                <w:color w:val="auto"/>
                <w:sz w:val="21"/>
                <w:szCs w:val="21"/>
                <w:highlight w:val="none"/>
                <w:lang w:val="zh-CN"/>
              </w:rPr>
            </w:pPr>
          </w:p>
        </w:tc>
        <w:tc>
          <w:tcPr>
            <w:tcW w:w="588" w:type="pct"/>
            <w:shd w:val="clear" w:color="auto" w:fill="auto"/>
            <w:vAlign w:val="center"/>
          </w:tcPr>
          <w:p w14:paraId="5A615EFE">
            <w:pPr>
              <w:pStyle w:val="50"/>
              <w:rPr>
                <w:rFonts w:hint="eastAsia" w:ascii="宋体" w:hAnsi="宋体" w:eastAsia="宋体" w:cs="宋体"/>
                <w:color w:val="auto"/>
                <w:sz w:val="21"/>
                <w:szCs w:val="21"/>
                <w:highlight w:val="none"/>
                <w:lang w:val="zh-CN"/>
              </w:rPr>
            </w:pPr>
          </w:p>
        </w:tc>
      </w:tr>
      <w:tr w14:paraId="7C777C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4" w:hRule="atLeast"/>
        </w:trPr>
        <w:tc>
          <w:tcPr>
            <w:tcW w:w="265" w:type="pct"/>
            <w:shd w:val="clear" w:color="auto" w:fill="auto"/>
            <w:vAlign w:val="center"/>
          </w:tcPr>
          <w:p w14:paraId="0D25BA5B">
            <w:pPr>
              <w:pStyle w:val="50"/>
              <w:numPr>
                <w:ilvl w:val="0"/>
                <w:numId w:val="0"/>
              </w:numPr>
              <w:ind w:left="420" w:leftChars="0" w:hanging="420" w:firstLineChars="0"/>
              <w:jc w:val="center"/>
              <w:rPr>
                <w:rFonts w:hint="eastAsia" w:ascii="宋体" w:hAnsi="宋体" w:eastAsia="宋体" w:cs="宋体"/>
                <w:color w:val="auto"/>
                <w:kern w:val="2"/>
                <w:sz w:val="21"/>
                <w:szCs w:val="21"/>
                <w:highlight w:val="none"/>
                <w:lang w:val="zh-CN" w:eastAsia="zh-CN" w:bidi="ar-SA"/>
              </w:rPr>
            </w:pPr>
            <w:r>
              <w:rPr>
                <w:rFonts w:hint="eastAsia" w:cs="宋体"/>
                <w:color w:val="auto"/>
                <w:kern w:val="2"/>
                <w:sz w:val="21"/>
                <w:szCs w:val="21"/>
                <w:highlight w:val="none"/>
                <w:lang w:val="en-US" w:eastAsia="zh-CN" w:bidi="ar-SA"/>
              </w:rPr>
              <w:t>3</w:t>
            </w:r>
          </w:p>
        </w:tc>
        <w:tc>
          <w:tcPr>
            <w:tcW w:w="704" w:type="pct"/>
            <w:vAlign w:val="center"/>
          </w:tcPr>
          <w:p w14:paraId="6B53D7DD">
            <w:pPr>
              <w:pStyle w:val="50"/>
              <w:rPr>
                <w:rFonts w:hint="eastAsia" w:ascii="宋体" w:hAnsi="宋体" w:eastAsia="宋体" w:cs="宋体"/>
                <w:sz w:val="20"/>
                <w:szCs w:val="20"/>
                <w:lang w:val="en-US" w:eastAsia="zh-CN" w:bidi="ar-SA"/>
              </w:rPr>
            </w:pPr>
            <w:r>
              <w:rPr>
                <w:rFonts w:hint="eastAsia" w:ascii="宋体" w:hAnsi="宋体" w:eastAsia="宋体" w:cs="宋体"/>
                <w:color w:val="auto"/>
                <w:sz w:val="21"/>
                <w:szCs w:val="21"/>
                <w:highlight w:val="none"/>
                <w:lang w:val="zh-CN"/>
              </w:rPr>
              <w:t>投标文件</w:t>
            </w:r>
            <w:r>
              <w:rPr>
                <w:rFonts w:hint="eastAsia" w:ascii="宋体" w:hAnsi="宋体" w:eastAsia="宋体" w:cs="宋体"/>
                <w:color w:val="auto"/>
                <w:sz w:val="21"/>
                <w:szCs w:val="21"/>
                <w:highlight w:val="none"/>
              </w:rPr>
              <w:t>签署</w:t>
            </w:r>
          </w:p>
        </w:tc>
        <w:tc>
          <w:tcPr>
            <w:tcW w:w="2973" w:type="pct"/>
            <w:shd w:val="clear" w:color="auto" w:fill="auto"/>
            <w:vAlign w:val="center"/>
          </w:tcPr>
          <w:p w14:paraId="3C241A91">
            <w:pPr>
              <w:pStyle w:val="50"/>
              <w:rPr>
                <w:rFonts w:hint="eastAsia" w:ascii="宋体" w:hAnsi="宋体" w:eastAsia="宋体" w:cs="宋体"/>
                <w:sz w:val="20"/>
                <w:szCs w:val="20"/>
                <w:lang w:val="zh-CN" w:eastAsia="zh-CN" w:bidi="ar-SA"/>
              </w:rPr>
            </w:pPr>
            <w:r>
              <w:rPr>
                <w:rFonts w:hint="eastAsia" w:ascii="宋体" w:hAnsi="宋体" w:eastAsia="宋体" w:cs="宋体"/>
                <w:color w:val="auto"/>
                <w:sz w:val="21"/>
                <w:szCs w:val="21"/>
                <w:highlight w:val="none"/>
                <w:lang w:val="en-US" w:eastAsia="zh-CN"/>
              </w:rPr>
              <w:t>投标文件按招标文件要求签署、盖章</w:t>
            </w:r>
            <w:r>
              <w:rPr>
                <w:rFonts w:hint="eastAsia" w:cs="宋体"/>
                <w:color w:val="auto"/>
                <w:sz w:val="21"/>
                <w:szCs w:val="21"/>
                <w:highlight w:val="none"/>
                <w:lang w:val="en-US" w:eastAsia="zh-CN"/>
              </w:rPr>
              <w:t>。</w:t>
            </w:r>
          </w:p>
        </w:tc>
        <w:tc>
          <w:tcPr>
            <w:tcW w:w="468" w:type="pct"/>
            <w:shd w:val="clear" w:color="auto" w:fill="auto"/>
            <w:vAlign w:val="center"/>
          </w:tcPr>
          <w:p w14:paraId="4B513014">
            <w:pPr>
              <w:pStyle w:val="50"/>
              <w:rPr>
                <w:rFonts w:hint="eastAsia" w:ascii="宋体" w:hAnsi="宋体" w:eastAsia="宋体" w:cs="宋体"/>
                <w:color w:val="auto"/>
                <w:sz w:val="21"/>
                <w:szCs w:val="21"/>
                <w:highlight w:val="none"/>
                <w:lang w:val="zh-CN"/>
              </w:rPr>
            </w:pPr>
          </w:p>
        </w:tc>
        <w:tc>
          <w:tcPr>
            <w:tcW w:w="588" w:type="pct"/>
            <w:shd w:val="clear" w:color="auto" w:fill="auto"/>
            <w:vAlign w:val="center"/>
          </w:tcPr>
          <w:p w14:paraId="48AFA180">
            <w:pPr>
              <w:pStyle w:val="50"/>
              <w:rPr>
                <w:rFonts w:hint="eastAsia" w:ascii="宋体" w:hAnsi="宋体" w:eastAsia="宋体" w:cs="宋体"/>
                <w:color w:val="auto"/>
                <w:sz w:val="21"/>
                <w:szCs w:val="21"/>
                <w:highlight w:val="none"/>
                <w:lang w:val="zh-CN"/>
              </w:rPr>
            </w:pPr>
          </w:p>
        </w:tc>
      </w:tr>
      <w:tr w14:paraId="2260FF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2" w:hRule="atLeast"/>
        </w:trPr>
        <w:tc>
          <w:tcPr>
            <w:tcW w:w="265" w:type="pct"/>
            <w:shd w:val="clear" w:color="auto" w:fill="auto"/>
            <w:vAlign w:val="center"/>
          </w:tcPr>
          <w:p w14:paraId="5772C4C0">
            <w:pPr>
              <w:pStyle w:val="50"/>
              <w:numPr>
                <w:ilvl w:val="0"/>
                <w:numId w:val="0"/>
              </w:numPr>
              <w:ind w:left="420" w:leftChars="0" w:hanging="420" w:firstLineChars="0"/>
              <w:jc w:val="center"/>
              <w:rPr>
                <w:rFonts w:hint="eastAsia" w:ascii="宋体" w:hAnsi="宋体" w:eastAsia="宋体" w:cs="宋体"/>
                <w:color w:val="auto"/>
                <w:kern w:val="2"/>
                <w:sz w:val="21"/>
                <w:szCs w:val="21"/>
                <w:highlight w:val="none"/>
                <w:lang w:val="zh-CN" w:eastAsia="zh-CN" w:bidi="ar-SA"/>
              </w:rPr>
            </w:pPr>
            <w:r>
              <w:rPr>
                <w:rFonts w:hint="eastAsia" w:cs="宋体"/>
                <w:color w:val="auto"/>
                <w:kern w:val="2"/>
                <w:sz w:val="21"/>
                <w:szCs w:val="21"/>
                <w:highlight w:val="none"/>
                <w:lang w:val="en-US" w:eastAsia="zh-CN" w:bidi="ar-SA"/>
              </w:rPr>
              <w:t>4</w:t>
            </w:r>
          </w:p>
        </w:tc>
        <w:tc>
          <w:tcPr>
            <w:tcW w:w="704" w:type="pct"/>
            <w:shd w:val="clear" w:color="auto" w:fill="auto"/>
            <w:vAlign w:val="center"/>
          </w:tcPr>
          <w:p w14:paraId="1817A2C0">
            <w:pPr>
              <w:pStyle w:val="5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投标报价</w:t>
            </w:r>
          </w:p>
        </w:tc>
        <w:tc>
          <w:tcPr>
            <w:tcW w:w="2973" w:type="pct"/>
            <w:shd w:val="clear" w:color="auto" w:fill="auto"/>
            <w:vAlign w:val="center"/>
          </w:tcPr>
          <w:p w14:paraId="39640874">
            <w:pPr>
              <w:pStyle w:val="5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投标人报价未超过招标文件中规定的</w:t>
            </w:r>
            <w:r>
              <w:rPr>
                <w:rFonts w:hint="eastAsia" w:ascii="宋体" w:hAnsi="宋体" w:eastAsia="宋体" w:cs="宋体"/>
                <w:color w:val="auto"/>
                <w:sz w:val="21"/>
                <w:szCs w:val="21"/>
                <w:highlight w:val="none"/>
                <w:lang w:val="en-US" w:eastAsia="zh-CN"/>
              </w:rPr>
              <w:t>最高限价或者预算金额</w:t>
            </w:r>
            <w:r>
              <w:rPr>
                <w:rFonts w:hint="eastAsia" w:ascii="宋体" w:hAnsi="宋体" w:eastAsia="宋体" w:cs="宋体"/>
                <w:color w:val="auto"/>
                <w:kern w:val="2"/>
                <w:sz w:val="21"/>
                <w:szCs w:val="21"/>
                <w:highlight w:val="none"/>
                <w:lang w:val="en-US" w:eastAsia="zh-CN" w:bidi="ar-SA"/>
              </w:rPr>
              <w:t>的</w:t>
            </w:r>
          </w:p>
        </w:tc>
        <w:tc>
          <w:tcPr>
            <w:tcW w:w="468" w:type="pct"/>
            <w:shd w:val="clear" w:color="auto" w:fill="auto"/>
            <w:vAlign w:val="center"/>
          </w:tcPr>
          <w:p w14:paraId="2C782F18">
            <w:pPr>
              <w:pStyle w:val="50"/>
              <w:rPr>
                <w:rFonts w:hint="eastAsia" w:ascii="宋体" w:hAnsi="宋体" w:eastAsia="宋体" w:cs="宋体"/>
                <w:color w:val="auto"/>
                <w:sz w:val="21"/>
                <w:szCs w:val="21"/>
                <w:highlight w:val="none"/>
                <w:lang w:val="zh-CN"/>
              </w:rPr>
            </w:pPr>
          </w:p>
        </w:tc>
        <w:tc>
          <w:tcPr>
            <w:tcW w:w="588" w:type="pct"/>
            <w:shd w:val="clear" w:color="auto" w:fill="auto"/>
            <w:vAlign w:val="center"/>
          </w:tcPr>
          <w:p w14:paraId="163069B8">
            <w:pPr>
              <w:pStyle w:val="50"/>
              <w:rPr>
                <w:rFonts w:hint="eastAsia" w:ascii="宋体" w:hAnsi="宋体" w:eastAsia="宋体" w:cs="宋体"/>
                <w:color w:val="auto"/>
                <w:sz w:val="21"/>
                <w:szCs w:val="21"/>
                <w:highlight w:val="none"/>
                <w:lang w:val="zh-CN"/>
              </w:rPr>
            </w:pPr>
          </w:p>
        </w:tc>
      </w:tr>
      <w:tr w14:paraId="37C419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trPr>
        <w:tc>
          <w:tcPr>
            <w:tcW w:w="265" w:type="pct"/>
            <w:shd w:val="clear" w:color="auto" w:fill="auto"/>
            <w:vAlign w:val="center"/>
          </w:tcPr>
          <w:p w14:paraId="31C12A1B">
            <w:pPr>
              <w:pStyle w:val="50"/>
              <w:numPr>
                <w:ilvl w:val="0"/>
                <w:numId w:val="0"/>
              </w:numPr>
              <w:ind w:left="420" w:leftChars="0" w:hanging="420" w:firstLineChars="0"/>
              <w:jc w:val="center"/>
              <w:rPr>
                <w:rFonts w:hint="eastAsia" w:ascii="宋体" w:hAnsi="宋体" w:eastAsia="宋体" w:cs="宋体"/>
                <w:color w:val="auto"/>
                <w:kern w:val="2"/>
                <w:sz w:val="21"/>
                <w:szCs w:val="21"/>
                <w:highlight w:val="none"/>
                <w:lang w:val="zh-CN" w:eastAsia="zh-CN" w:bidi="ar-SA"/>
              </w:rPr>
            </w:pPr>
            <w:r>
              <w:rPr>
                <w:rFonts w:hint="eastAsia" w:cs="宋体"/>
                <w:color w:val="auto"/>
                <w:kern w:val="2"/>
                <w:sz w:val="21"/>
                <w:szCs w:val="21"/>
                <w:highlight w:val="none"/>
                <w:lang w:val="en-US" w:eastAsia="zh-CN" w:bidi="ar-SA"/>
              </w:rPr>
              <w:t>5</w:t>
            </w:r>
          </w:p>
        </w:tc>
        <w:tc>
          <w:tcPr>
            <w:tcW w:w="704" w:type="pct"/>
            <w:vAlign w:val="center"/>
          </w:tcPr>
          <w:p w14:paraId="55194F4F">
            <w:pPr>
              <w:pStyle w:val="74"/>
              <w:rPr>
                <w:rFonts w:hint="eastAsia" w:ascii="宋体" w:hAnsi="宋体" w:eastAsia="宋体" w:cs="宋体"/>
                <w:color w:val="auto"/>
                <w:sz w:val="21"/>
                <w:szCs w:val="21"/>
                <w:highlight w:val="none"/>
                <w:lang w:val="en-US" w:eastAsia="zh-CN"/>
              </w:rPr>
            </w:pPr>
            <w:r>
              <w:rPr>
                <w:rFonts w:hint="eastAsia" w:ascii="宋体" w:hAnsi="宋体" w:eastAsia="宋体" w:cs="宋体"/>
                <w:sz w:val="20"/>
                <w:szCs w:val="20"/>
              </w:rPr>
              <w:t>商务</w:t>
            </w:r>
          </w:p>
        </w:tc>
        <w:tc>
          <w:tcPr>
            <w:tcW w:w="5498" w:type="dxa"/>
            <w:shd w:val="clear" w:color="auto" w:fill="auto"/>
            <w:vAlign w:val="center"/>
          </w:tcPr>
          <w:p w14:paraId="64CA9A6F">
            <w:pPr>
              <w:pStyle w:val="6"/>
              <w:jc w:val="both"/>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sz w:val="20"/>
                <w:szCs w:val="20"/>
                <w:lang w:val="en-US" w:eastAsia="zh-CN" w:bidi="ar-SA"/>
              </w:rPr>
              <w:t>所提供服务</w:t>
            </w:r>
            <w:r>
              <w:rPr>
                <w:rFonts w:hint="eastAsia" w:ascii="宋体" w:hAnsi="宋体" w:eastAsia="宋体" w:cs="宋体"/>
                <w:sz w:val="20"/>
                <w:szCs w:val="20"/>
                <w:lang w:bidi="ar-SA"/>
              </w:rPr>
              <w:t>标准、</w:t>
            </w:r>
            <w:r>
              <w:rPr>
                <w:rFonts w:hint="eastAsia" w:ascii="宋体" w:hAnsi="宋体" w:eastAsia="宋体" w:cs="宋体"/>
                <w:sz w:val="20"/>
                <w:szCs w:val="20"/>
                <w:lang w:val="en-US" w:eastAsia="zh-CN" w:bidi="ar-SA"/>
              </w:rPr>
              <w:t>合同履约期限</w:t>
            </w:r>
            <w:r>
              <w:rPr>
                <w:rFonts w:hint="eastAsia" w:ascii="宋体" w:hAnsi="宋体" w:eastAsia="宋体" w:cs="宋体"/>
                <w:sz w:val="20"/>
                <w:szCs w:val="20"/>
                <w:lang w:bidi="ar-SA"/>
              </w:rPr>
              <w:t>、付款方式、服务地点满足采购文件第三部分“</w:t>
            </w:r>
            <w:r>
              <w:rPr>
                <w:rFonts w:hint="eastAsia" w:ascii="宋体" w:hAnsi="宋体" w:eastAsia="宋体" w:cs="宋体"/>
                <w:sz w:val="20"/>
                <w:szCs w:val="20"/>
                <w:lang w:val="en-US" w:eastAsia="zh-CN" w:bidi="ar-SA"/>
              </w:rPr>
              <w:t>项目</w:t>
            </w:r>
            <w:r>
              <w:rPr>
                <w:rFonts w:hint="eastAsia" w:ascii="宋体" w:hAnsi="宋体" w:eastAsia="宋体" w:cs="宋体"/>
                <w:sz w:val="20"/>
                <w:szCs w:val="20"/>
                <w:lang w:bidi="ar-SA"/>
              </w:rPr>
              <w:t>采购需求”内的商务需求</w:t>
            </w:r>
          </w:p>
        </w:tc>
        <w:tc>
          <w:tcPr>
            <w:tcW w:w="468" w:type="pct"/>
            <w:shd w:val="clear" w:color="auto" w:fill="auto"/>
            <w:vAlign w:val="center"/>
          </w:tcPr>
          <w:p w14:paraId="194FF3C2">
            <w:pPr>
              <w:pStyle w:val="50"/>
              <w:rPr>
                <w:rFonts w:hint="eastAsia" w:ascii="宋体" w:hAnsi="宋体" w:eastAsia="宋体" w:cs="宋体"/>
                <w:color w:val="auto"/>
                <w:sz w:val="21"/>
                <w:szCs w:val="21"/>
                <w:highlight w:val="none"/>
                <w:lang w:val="zh-CN"/>
              </w:rPr>
            </w:pPr>
          </w:p>
        </w:tc>
        <w:tc>
          <w:tcPr>
            <w:tcW w:w="588" w:type="pct"/>
            <w:shd w:val="clear" w:color="auto" w:fill="auto"/>
            <w:vAlign w:val="center"/>
          </w:tcPr>
          <w:p w14:paraId="2372B823">
            <w:pPr>
              <w:pStyle w:val="50"/>
              <w:rPr>
                <w:rFonts w:hint="eastAsia" w:ascii="宋体" w:hAnsi="宋体" w:eastAsia="宋体" w:cs="宋体"/>
                <w:color w:val="auto"/>
                <w:sz w:val="21"/>
                <w:szCs w:val="21"/>
                <w:highlight w:val="none"/>
                <w:lang w:val="zh-CN"/>
              </w:rPr>
            </w:pPr>
          </w:p>
        </w:tc>
      </w:tr>
      <w:tr w14:paraId="30B89D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6" w:hRule="atLeast"/>
        </w:trPr>
        <w:tc>
          <w:tcPr>
            <w:tcW w:w="265" w:type="pct"/>
            <w:shd w:val="clear" w:color="auto" w:fill="auto"/>
            <w:vAlign w:val="center"/>
          </w:tcPr>
          <w:p w14:paraId="6C002E13">
            <w:pPr>
              <w:pStyle w:val="50"/>
              <w:numPr>
                <w:ilvl w:val="0"/>
                <w:numId w:val="0"/>
              </w:numPr>
              <w:ind w:left="0" w:leftChars="0" w:firstLine="0" w:firstLineChars="0"/>
              <w:jc w:val="center"/>
              <w:rPr>
                <w:rFonts w:hint="eastAsia" w:ascii="宋体" w:hAnsi="宋体" w:eastAsia="宋体" w:cs="宋体"/>
                <w:color w:val="auto"/>
                <w:kern w:val="2"/>
                <w:sz w:val="21"/>
                <w:szCs w:val="21"/>
                <w:highlight w:val="none"/>
                <w:lang w:val="zh-CN" w:eastAsia="zh-CN" w:bidi="ar-SA"/>
              </w:rPr>
            </w:pPr>
            <w:r>
              <w:rPr>
                <w:rFonts w:hint="eastAsia" w:cs="宋体"/>
                <w:color w:val="auto"/>
                <w:sz w:val="21"/>
                <w:szCs w:val="21"/>
                <w:highlight w:val="none"/>
                <w:lang w:val="en-US" w:eastAsia="zh-CN"/>
              </w:rPr>
              <w:t>6</w:t>
            </w:r>
          </w:p>
        </w:tc>
        <w:tc>
          <w:tcPr>
            <w:tcW w:w="704" w:type="pct"/>
            <w:vAlign w:val="center"/>
          </w:tcPr>
          <w:p w14:paraId="5C91A4A7">
            <w:pPr>
              <w:pStyle w:val="5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其他</w:t>
            </w:r>
          </w:p>
        </w:tc>
        <w:tc>
          <w:tcPr>
            <w:tcW w:w="2973" w:type="pct"/>
            <w:shd w:val="clear" w:color="auto" w:fill="auto"/>
            <w:vAlign w:val="center"/>
          </w:tcPr>
          <w:p w14:paraId="7DFF8F7F">
            <w:pPr>
              <w:pStyle w:val="74"/>
              <w:rPr>
                <w:rFonts w:hint="eastAsia" w:ascii="宋体" w:hAnsi="宋体" w:eastAsia="宋体" w:cs="宋体"/>
                <w:sz w:val="20"/>
                <w:szCs w:val="20"/>
              </w:rPr>
            </w:pPr>
            <w:r>
              <w:rPr>
                <w:rFonts w:hint="eastAsia" w:ascii="宋体" w:hAnsi="宋体" w:eastAsia="宋体" w:cs="宋体"/>
                <w:sz w:val="20"/>
                <w:szCs w:val="20"/>
                <w:lang w:val="en-US" w:eastAsia="zh-CN"/>
              </w:rPr>
              <w:t>1、</w:t>
            </w:r>
            <w:r>
              <w:rPr>
                <w:rFonts w:hint="eastAsia" w:ascii="宋体" w:hAnsi="宋体" w:eastAsia="宋体" w:cs="宋体"/>
                <w:sz w:val="20"/>
                <w:szCs w:val="20"/>
              </w:rPr>
              <w:t>响应文件未附有采购人不能接受的条件或不符合</w:t>
            </w:r>
            <w:r>
              <w:rPr>
                <w:rFonts w:hint="eastAsia" w:ascii="宋体" w:hAnsi="宋体" w:eastAsia="宋体" w:cs="宋体"/>
                <w:sz w:val="20"/>
                <w:szCs w:val="20"/>
                <w:lang w:val="en-US" w:eastAsia="zh-CN"/>
              </w:rPr>
              <w:t>招标</w:t>
            </w:r>
            <w:r>
              <w:rPr>
                <w:rFonts w:hint="eastAsia" w:ascii="宋体" w:hAnsi="宋体" w:eastAsia="宋体" w:cs="宋体"/>
                <w:sz w:val="20"/>
                <w:szCs w:val="20"/>
              </w:rPr>
              <w:t xml:space="preserve">文件的其他要求。 </w:t>
            </w:r>
          </w:p>
          <w:p w14:paraId="1A02946D">
            <w:pPr>
              <w:pStyle w:val="74"/>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sz w:val="20"/>
                <w:szCs w:val="20"/>
              </w:rPr>
              <w:t>2、不属于法律、法规、规章规定无效投标的其他情形。</w:t>
            </w:r>
          </w:p>
        </w:tc>
        <w:tc>
          <w:tcPr>
            <w:tcW w:w="468" w:type="pct"/>
            <w:shd w:val="clear" w:color="auto" w:fill="auto"/>
            <w:vAlign w:val="center"/>
          </w:tcPr>
          <w:p w14:paraId="1EA81190">
            <w:pPr>
              <w:pStyle w:val="50"/>
              <w:rPr>
                <w:rFonts w:hint="eastAsia" w:ascii="宋体" w:hAnsi="宋体" w:eastAsia="宋体" w:cs="宋体"/>
                <w:color w:val="auto"/>
                <w:sz w:val="21"/>
                <w:szCs w:val="21"/>
                <w:highlight w:val="none"/>
                <w:lang w:val="zh-CN"/>
              </w:rPr>
            </w:pPr>
          </w:p>
        </w:tc>
        <w:tc>
          <w:tcPr>
            <w:tcW w:w="588" w:type="pct"/>
            <w:shd w:val="clear" w:color="auto" w:fill="auto"/>
            <w:vAlign w:val="center"/>
          </w:tcPr>
          <w:p w14:paraId="2394B23D">
            <w:pPr>
              <w:pStyle w:val="50"/>
              <w:rPr>
                <w:rFonts w:hint="eastAsia" w:ascii="宋体" w:hAnsi="宋体" w:eastAsia="宋体" w:cs="宋体"/>
                <w:color w:val="auto"/>
                <w:sz w:val="21"/>
                <w:szCs w:val="21"/>
                <w:highlight w:val="none"/>
                <w:lang w:val="zh-CN"/>
              </w:rPr>
            </w:pPr>
          </w:p>
        </w:tc>
      </w:tr>
    </w:tbl>
    <w:p w14:paraId="3FE0903E">
      <w:pPr>
        <w:rPr>
          <w:rFonts w:hint="eastAsia" w:ascii="宋体" w:hAnsi="宋体" w:eastAsia="宋体" w:cs="宋体"/>
          <w:b/>
          <w:bCs/>
          <w:color w:val="auto"/>
          <w:kern w:val="2"/>
          <w:sz w:val="24"/>
          <w:szCs w:val="24"/>
          <w:highlight w:val="none"/>
          <w:lang w:val="zh-CN" w:eastAsia="zh-CN" w:bidi="ar-SA"/>
        </w:rPr>
      </w:pPr>
      <w:r>
        <w:rPr>
          <w:rFonts w:hint="eastAsia" w:ascii="宋体" w:hAnsi="宋体" w:eastAsia="宋体" w:cstheme="minorBidi"/>
          <w:b/>
          <w:bCs/>
          <w:color w:val="auto"/>
          <w:kern w:val="2"/>
          <w:sz w:val="30"/>
          <w:szCs w:val="32"/>
          <w:highlight w:val="none"/>
          <w:lang w:val="zh-CN" w:eastAsia="zh-CN" w:bidi="ar-SA"/>
        </w:rPr>
        <w:br w:type="page"/>
      </w:r>
      <w:bookmarkStart w:id="540" w:name="_Toc30949"/>
      <w:bookmarkStart w:id="541" w:name="_Toc27284"/>
      <w:bookmarkStart w:id="542" w:name="_Toc9173"/>
      <w:r>
        <w:rPr>
          <w:rFonts w:hint="eastAsia" w:ascii="宋体" w:hAnsi="宋体" w:eastAsia="宋体" w:cs="宋体"/>
          <w:b/>
          <w:bCs/>
          <w:color w:val="auto"/>
          <w:kern w:val="2"/>
          <w:sz w:val="24"/>
          <w:szCs w:val="24"/>
          <w:highlight w:val="none"/>
          <w:lang w:val="zh-CN" w:eastAsia="zh-CN" w:bidi="ar-SA"/>
        </w:rPr>
        <w:t>（二）评分标准</w:t>
      </w:r>
      <w:bookmarkEnd w:id="538"/>
      <w:bookmarkEnd w:id="539"/>
      <w:bookmarkEnd w:id="540"/>
      <w:bookmarkEnd w:id="541"/>
      <w:bookmarkEnd w:id="542"/>
    </w:p>
    <w:tbl>
      <w:tblPr>
        <w:tblStyle w:val="31"/>
        <w:tblW w:w="551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1576"/>
        <w:gridCol w:w="1494"/>
        <w:gridCol w:w="5543"/>
      </w:tblGrid>
      <w:tr w14:paraId="30C26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415" w:type="pct"/>
            <w:shd w:val="clear" w:color="auto" w:fill="D8D8D8" w:themeFill="background1" w:themeFillShade="D9"/>
            <w:vAlign w:val="center"/>
          </w:tcPr>
          <w:p w14:paraId="0F3AA061">
            <w:pPr>
              <w:pStyle w:val="50"/>
              <w:jc w:val="center"/>
              <w:rPr>
                <w:rFonts w:hint="eastAsia" w:ascii="宋体" w:hAnsi="宋体" w:eastAsia="宋体" w:cs="宋体"/>
                <w:b/>
                <w:bCs/>
                <w:i w:val="0"/>
                <w:iCs w:val="0"/>
                <w:color w:val="auto"/>
                <w:sz w:val="24"/>
                <w:szCs w:val="24"/>
                <w:highlight w:val="none"/>
              </w:rPr>
            </w:pPr>
            <w:r>
              <w:rPr>
                <w:rFonts w:hint="eastAsia" w:ascii="宋体" w:hAnsi="宋体" w:eastAsia="宋体" w:cs="宋体"/>
                <w:b/>
                <w:bCs/>
                <w:i w:val="0"/>
                <w:iCs w:val="0"/>
                <w:color w:val="auto"/>
                <w:sz w:val="24"/>
                <w:szCs w:val="24"/>
                <w:highlight w:val="none"/>
              </w:rPr>
              <w:t>评标项目</w:t>
            </w:r>
          </w:p>
        </w:tc>
        <w:tc>
          <w:tcPr>
            <w:tcW w:w="838" w:type="pct"/>
            <w:shd w:val="clear" w:color="auto" w:fill="D8D8D8" w:themeFill="background1" w:themeFillShade="D9"/>
            <w:vAlign w:val="center"/>
          </w:tcPr>
          <w:p w14:paraId="5D402233">
            <w:pPr>
              <w:pStyle w:val="50"/>
              <w:jc w:val="center"/>
              <w:rPr>
                <w:rFonts w:hint="eastAsia" w:ascii="宋体" w:hAnsi="宋体" w:eastAsia="宋体" w:cs="宋体"/>
                <w:b/>
                <w:bCs/>
                <w:i w:val="0"/>
                <w:iCs w:val="0"/>
                <w:color w:val="auto"/>
                <w:sz w:val="24"/>
                <w:szCs w:val="24"/>
                <w:highlight w:val="none"/>
              </w:rPr>
            </w:pPr>
            <w:r>
              <w:rPr>
                <w:rFonts w:hint="eastAsia" w:ascii="宋体" w:hAnsi="宋体" w:eastAsia="宋体" w:cs="宋体"/>
                <w:b/>
                <w:bCs/>
                <w:i w:val="0"/>
                <w:iCs w:val="0"/>
                <w:color w:val="auto"/>
                <w:sz w:val="24"/>
                <w:szCs w:val="24"/>
                <w:highlight w:val="none"/>
              </w:rPr>
              <w:t>评标分项</w:t>
            </w:r>
          </w:p>
        </w:tc>
        <w:tc>
          <w:tcPr>
            <w:tcW w:w="795" w:type="pct"/>
            <w:shd w:val="clear" w:color="auto" w:fill="D8D8D8" w:themeFill="background1" w:themeFillShade="D9"/>
            <w:vAlign w:val="center"/>
          </w:tcPr>
          <w:p w14:paraId="75B84287">
            <w:pPr>
              <w:pStyle w:val="50"/>
              <w:jc w:val="center"/>
              <w:rPr>
                <w:rFonts w:hint="eastAsia" w:ascii="宋体" w:hAnsi="宋体" w:eastAsia="宋体" w:cs="宋体"/>
                <w:b/>
                <w:bCs/>
                <w:i w:val="0"/>
                <w:iCs w:val="0"/>
                <w:color w:val="auto"/>
                <w:sz w:val="24"/>
                <w:szCs w:val="24"/>
                <w:highlight w:val="none"/>
              </w:rPr>
            </w:pPr>
            <w:r>
              <w:rPr>
                <w:rFonts w:hint="eastAsia" w:ascii="宋体" w:hAnsi="宋体" w:eastAsia="宋体" w:cs="宋体"/>
                <w:b/>
                <w:bCs/>
                <w:i w:val="0"/>
                <w:iCs w:val="0"/>
                <w:color w:val="auto"/>
                <w:sz w:val="24"/>
                <w:szCs w:val="24"/>
                <w:highlight w:val="none"/>
              </w:rPr>
              <w:t>分值</w:t>
            </w:r>
          </w:p>
        </w:tc>
        <w:tc>
          <w:tcPr>
            <w:tcW w:w="2950" w:type="pct"/>
            <w:shd w:val="clear" w:color="auto" w:fill="D8D8D8" w:themeFill="background1" w:themeFillShade="D9"/>
            <w:vAlign w:val="center"/>
          </w:tcPr>
          <w:p w14:paraId="2AC60434">
            <w:pPr>
              <w:pStyle w:val="50"/>
              <w:jc w:val="center"/>
              <w:rPr>
                <w:rFonts w:hint="eastAsia" w:ascii="宋体" w:hAnsi="宋体" w:eastAsia="宋体" w:cs="宋体"/>
                <w:b/>
                <w:bCs/>
                <w:i w:val="0"/>
                <w:iCs w:val="0"/>
                <w:color w:val="auto"/>
                <w:sz w:val="24"/>
                <w:szCs w:val="24"/>
                <w:highlight w:val="none"/>
              </w:rPr>
            </w:pPr>
            <w:r>
              <w:rPr>
                <w:rFonts w:hint="eastAsia" w:ascii="宋体" w:hAnsi="宋体" w:eastAsia="宋体" w:cs="宋体"/>
                <w:b/>
                <w:bCs/>
                <w:i w:val="0"/>
                <w:iCs w:val="0"/>
                <w:color w:val="auto"/>
                <w:sz w:val="24"/>
                <w:szCs w:val="24"/>
                <w:highlight w:val="none"/>
              </w:rPr>
              <w:t>子项目及分值</w:t>
            </w:r>
          </w:p>
        </w:tc>
      </w:tr>
      <w:tr w14:paraId="1599F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8" w:hRule="atLeast"/>
          <w:jc w:val="center"/>
        </w:trPr>
        <w:tc>
          <w:tcPr>
            <w:tcW w:w="415" w:type="pct"/>
            <w:vAlign w:val="center"/>
          </w:tcPr>
          <w:p w14:paraId="23730429">
            <w:pPr>
              <w:pStyle w:val="5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价格部分</w:t>
            </w:r>
          </w:p>
          <w:p w14:paraId="0F2FBA54">
            <w:pPr>
              <w:pStyle w:val="50"/>
              <w:jc w:val="center"/>
              <w:rPr>
                <w:rFonts w:hint="eastAsia" w:ascii="宋体" w:hAnsi="宋体" w:eastAsia="宋体" w:cs="宋体"/>
                <w:i w:val="0"/>
                <w:iCs w:val="0"/>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tc>
        <w:tc>
          <w:tcPr>
            <w:tcW w:w="838" w:type="pct"/>
            <w:tcBorders>
              <w:bottom w:val="single" w:color="auto" w:sz="4" w:space="0"/>
            </w:tcBorders>
            <w:vAlign w:val="center"/>
          </w:tcPr>
          <w:p w14:paraId="708BDB3A">
            <w:pPr>
              <w:pStyle w:val="50"/>
              <w:jc w:val="center"/>
              <w:rPr>
                <w:rFonts w:hint="eastAsia" w:ascii="宋体" w:hAnsi="宋体" w:eastAsia="宋体" w:cs="宋体"/>
                <w:i w:val="0"/>
                <w:iCs w:val="0"/>
                <w:color w:val="auto"/>
                <w:sz w:val="24"/>
                <w:szCs w:val="24"/>
                <w:highlight w:val="none"/>
              </w:rPr>
            </w:pPr>
            <w:r>
              <w:rPr>
                <w:rFonts w:hint="eastAsia" w:ascii="宋体" w:hAnsi="宋体" w:eastAsia="宋体" w:cs="宋体"/>
                <w:color w:val="auto"/>
                <w:sz w:val="24"/>
                <w:szCs w:val="24"/>
                <w:highlight w:val="none"/>
              </w:rPr>
              <w:t>报价</w:t>
            </w:r>
          </w:p>
        </w:tc>
        <w:tc>
          <w:tcPr>
            <w:tcW w:w="795" w:type="pct"/>
            <w:vAlign w:val="center"/>
          </w:tcPr>
          <w:p w14:paraId="036F3EE6">
            <w:pPr>
              <w:pStyle w:val="50"/>
              <w:jc w:val="center"/>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（30分）</w:t>
            </w:r>
          </w:p>
        </w:tc>
        <w:tc>
          <w:tcPr>
            <w:tcW w:w="2950" w:type="pct"/>
            <w:vAlign w:val="center"/>
          </w:tcPr>
          <w:p w14:paraId="5FA24B2A">
            <w:pPr>
              <w:pStyle w:val="6"/>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满足招标文件要求且最后报价最低的报价为评审基准价，其价格分为满分。其他</w:t>
            </w:r>
            <w:r>
              <w:rPr>
                <w:rFonts w:hint="eastAsia" w:ascii="宋体" w:hAnsi="宋体" w:cs="宋体"/>
                <w:color w:val="auto"/>
                <w:sz w:val="24"/>
                <w:szCs w:val="24"/>
                <w:highlight w:val="none"/>
                <w:lang w:val="en-US" w:eastAsia="zh-CN"/>
              </w:rPr>
              <w:t>投标单位</w:t>
            </w:r>
            <w:r>
              <w:rPr>
                <w:rFonts w:hint="eastAsia" w:ascii="宋体" w:hAnsi="宋体" w:eastAsia="宋体" w:cs="宋体"/>
                <w:color w:val="auto"/>
                <w:sz w:val="24"/>
                <w:szCs w:val="24"/>
                <w:highlight w:val="none"/>
                <w:lang w:val="en-US" w:eastAsia="zh-CN"/>
              </w:rPr>
              <w:t>的价格分统一按照下列公式计算：</w:t>
            </w:r>
          </w:p>
          <w:p w14:paraId="2904B1EE">
            <w:pPr>
              <w:pStyle w:val="6"/>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报价得分=</w:t>
            </w:r>
            <w:r>
              <w:rPr>
                <w:rFonts w:hint="eastAsia" w:ascii="宋体" w:hAnsi="宋体" w:eastAsia="宋体" w:cs="宋体"/>
                <w:color w:val="auto"/>
                <w:sz w:val="24"/>
                <w:szCs w:val="24"/>
                <w:highlight w:val="none"/>
                <w:lang w:val="zh-CN" w:eastAsia="zh-CN"/>
              </w:rPr>
              <w:t>（基准价/报价）</w:t>
            </w:r>
            <w:r>
              <w:rPr>
                <w:rFonts w:hint="eastAsia" w:ascii="宋体" w:hAnsi="宋体" w:eastAsia="宋体" w:cs="宋体"/>
                <w:color w:val="auto"/>
                <w:sz w:val="24"/>
                <w:szCs w:val="24"/>
                <w:highlight w:val="none"/>
                <w:lang w:val="en-US" w:eastAsia="zh-CN"/>
              </w:rPr>
              <w:t>×价格分值</w:t>
            </w:r>
          </w:p>
          <w:p w14:paraId="417B852B">
            <w:pPr>
              <w:pStyle w:val="6"/>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备注：符合投标单位须知中价格扣除规定的，在评审时予以价格扣除，用扣除后的最后报价参与评审。投标单位若为中小企业、监狱企业、残疾人福利性单位需提供中小微企业声明函</w:t>
            </w:r>
          </w:p>
        </w:tc>
      </w:tr>
      <w:tr w14:paraId="580E0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415" w:type="pct"/>
            <w:vMerge w:val="restart"/>
            <w:vAlign w:val="center"/>
          </w:tcPr>
          <w:p w14:paraId="4FB084F2">
            <w:pPr>
              <w:pStyle w:val="50"/>
              <w:jc w:val="center"/>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商务部分（14分）</w:t>
            </w:r>
          </w:p>
        </w:tc>
        <w:tc>
          <w:tcPr>
            <w:tcW w:w="838" w:type="pct"/>
            <w:tcBorders>
              <w:top w:val="single" w:color="auto" w:sz="4" w:space="0"/>
            </w:tcBorders>
            <w:vAlign w:val="center"/>
          </w:tcPr>
          <w:p w14:paraId="4DEE7D14">
            <w:pPr>
              <w:pStyle w:val="50"/>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类似业绩</w:t>
            </w:r>
          </w:p>
        </w:tc>
        <w:tc>
          <w:tcPr>
            <w:tcW w:w="795" w:type="pct"/>
            <w:vAlign w:val="center"/>
          </w:tcPr>
          <w:p w14:paraId="5A8BBA01">
            <w:pPr>
              <w:pStyle w:val="50"/>
              <w:jc w:val="center"/>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3分</w:t>
            </w:r>
          </w:p>
        </w:tc>
        <w:tc>
          <w:tcPr>
            <w:tcW w:w="2950" w:type="pct"/>
            <w:vAlign w:val="center"/>
          </w:tcPr>
          <w:p w14:paraId="135D826F">
            <w:pPr>
              <w:pStyle w:val="6"/>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投标单位近三年类似项目业绩，每提供 1 项有效的类似项目业绩的，得 1 分，本项最高得分 3 分。注：提供相关业绩证明资料（以合同、中标通知书、验收报告原件扫描件为准，缺项或未提供证明资料的，不得分。）</w:t>
            </w:r>
          </w:p>
        </w:tc>
      </w:tr>
      <w:tr w14:paraId="03AFE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415" w:type="pct"/>
            <w:vMerge w:val="continue"/>
            <w:vAlign w:val="center"/>
          </w:tcPr>
          <w:p w14:paraId="2F925D32">
            <w:pPr>
              <w:pStyle w:val="50"/>
              <w:jc w:val="center"/>
              <w:rPr>
                <w:rFonts w:hint="eastAsia" w:ascii="宋体" w:hAnsi="宋体" w:eastAsia="宋体" w:cs="宋体"/>
                <w:i w:val="0"/>
                <w:iCs w:val="0"/>
                <w:color w:val="auto"/>
                <w:sz w:val="24"/>
                <w:szCs w:val="24"/>
                <w:highlight w:val="none"/>
              </w:rPr>
            </w:pPr>
          </w:p>
        </w:tc>
        <w:tc>
          <w:tcPr>
            <w:tcW w:w="838" w:type="pct"/>
            <w:tcBorders>
              <w:top w:val="single" w:color="auto" w:sz="4" w:space="0"/>
            </w:tcBorders>
            <w:vAlign w:val="center"/>
          </w:tcPr>
          <w:p w14:paraId="361C3E44">
            <w:pPr>
              <w:keepNext w:val="0"/>
              <w:keepLines w:val="0"/>
              <w:widowControl/>
              <w:suppressLineNumbers w:val="0"/>
              <w:ind w:firstLine="240" w:firstLineChars="100"/>
              <w:jc w:val="left"/>
              <w:rPr>
                <w:rFonts w:hint="eastAsia" w:ascii="宋体" w:hAnsi="宋体" w:eastAsia="宋体" w:cs="宋体"/>
                <w:i w:val="0"/>
                <w:iCs w:val="0"/>
                <w:color w:val="auto"/>
                <w:sz w:val="24"/>
                <w:szCs w:val="24"/>
                <w:highlight w:val="none"/>
                <w:lang w:val="en-US" w:eastAsia="zh-CN"/>
              </w:rPr>
            </w:pPr>
            <w:r>
              <w:rPr>
                <w:rFonts w:hint="eastAsia" w:cs="宋体"/>
                <w:i w:val="0"/>
                <w:iCs w:val="0"/>
                <w:color w:val="auto"/>
                <w:sz w:val="24"/>
                <w:szCs w:val="24"/>
                <w:highlight w:val="none"/>
                <w:lang w:val="en-US" w:eastAsia="zh-CN"/>
              </w:rPr>
              <w:t>参数偏离</w:t>
            </w:r>
          </w:p>
        </w:tc>
        <w:tc>
          <w:tcPr>
            <w:tcW w:w="795" w:type="pct"/>
            <w:vAlign w:val="center"/>
          </w:tcPr>
          <w:p w14:paraId="0242E4E1">
            <w:pPr>
              <w:pStyle w:val="50"/>
              <w:jc w:val="center"/>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11分</w:t>
            </w:r>
          </w:p>
        </w:tc>
        <w:tc>
          <w:tcPr>
            <w:tcW w:w="2950" w:type="pct"/>
            <w:vAlign w:val="center"/>
          </w:tcPr>
          <w:p w14:paraId="6A55ECC9">
            <w:pPr>
              <w:pStyle w:val="6"/>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根据各投标单位所配备的管理服务人员在数量</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专业性范围、人员资格（提供健康证）等</w:t>
            </w:r>
            <w:r>
              <w:rPr>
                <w:rFonts w:hint="eastAsia" w:ascii="宋体" w:hAnsi="宋体" w:cs="宋体"/>
                <w:color w:val="auto"/>
                <w:sz w:val="24"/>
                <w:szCs w:val="24"/>
                <w:highlight w:val="none"/>
                <w:lang w:val="en-US" w:eastAsia="zh-CN"/>
              </w:rPr>
              <w:t>和服务标准等</w:t>
            </w:r>
            <w:r>
              <w:rPr>
                <w:rFonts w:hint="eastAsia" w:ascii="宋体" w:hAnsi="宋体" w:eastAsia="宋体" w:cs="宋体"/>
                <w:color w:val="auto"/>
                <w:sz w:val="24"/>
                <w:szCs w:val="24"/>
                <w:highlight w:val="none"/>
                <w:lang w:val="en-US" w:eastAsia="zh-CN"/>
              </w:rPr>
              <w:t>情况进行评审；满足采购人配备需求的基础上，每有一项正偏离加1分，最高得分11分，未有正偏离不得分</w:t>
            </w:r>
          </w:p>
          <w:p w14:paraId="2A9F1CF9">
            <w:pPr>
              <w:pStyle w:val="6"/>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注：附工作人员花名册及其简历基本信息、职业资格证明材料、健康证、社保证明材料（或劳动合同）等复印件加盖公章</w:t>
            </w:r>
            <w:r>
              <w:rPr>
                <w:rFonts w:hint="eastAsia" w:ascii="宋体" w:hAnsi="宋体" w:cs="宋体"/>
                <w:color w:val="auto"/>
                <w:sz w:val="24"/>
                <w:szCs w:val="24"/>
                <w:highlight w:val="none"/>
                <w:lang w:val="en-US" w:eastAsia="zh-CN"/>
              </w:rPr>
              <w:t>，服务标准备注好具体正偏离信息情况</w:t>
            </w:r>
            <w:r>
              <w:rPr>
                <w:rFonts w:hint="eastAsia" w:ascii="宋体" w:hAnsi="宋体" w:eastAsia="宋体" w:cs="宋体"/>
                <w:color w:val="auto"/>
                <w:sz w:val="24"/>
                <w:szCs w:val="24"/>
                <w:highlight w:val="none"/>
                <w:lang w:val="en-US" w:eastAsia="zh-CN"/>
              </w:rPr>
              <w:t>。</w:t>
            </w:r>
          </w:p>
        </w:tc>
      </w:tr>
      <w:tr w14:paraId="2A115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5" w:type="pct"/>
            <w:vMerge w:val="restart"/>
            <w:vAlign w:val="center"/>
          </w:tcPr>
          <w:p w14:paraId="7690E8F8">
            <w:pPr>
              <w:pStyle w:val="50"/>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技术部分</w:t>
            </w:r>
          </w:p>
          <w:p w14:paraId="044CD32A">
            <w:pPr>
              <w:pStyle w:val="50"/>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56</w:t>
            </w:r>
            <w:r>
              <w:rPr>
                <w:rFonts w:hint="eastAsia" w:ascii="宋体" w:hAnsi="宋体" w:eastAsia="宋体" w:cs="宋体"/>
                <w:i w:val="0"/>
                <w:iCs w:val="0"/>
                <w:color w:val="auto"/>
                <w:sz w:val="24"/>
                <w:szCs w:val="24"/>
                <w:highlight w:val="none"/>
              </w:rPr>
              <w:t>分）</w:t>
            </w:r>
          </w:p>
        </w:tc>
        <w:tc>
          <w:tcPr>
            <w:tcW w:w="838" w:type="pct"/>
            <w:tcBorders>
              <w:top w:val="single" w:color="auto" w:sz="4" w:space="0"/>
            </w:tcBorders>
            <w:vAlign w:val="center"/>
          </w:tcPr>
          <w:p w14:paraId="44ECECD0">
            <w:pPr>
              <w:keepNext w:val="0"/>
              <w:keepLines w:val="0"/>
              <w:widowControl/>
              <w:suppressLineNumbers w:val="0"/>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2"/>
                <w:sz w:val="24"/>
                <w:szCs w:val="24"/>
                <w:highlight w:val="none"/>
                <w:lang w:val="en-US" w:eastAsia="zh-CN" w:bidi="ar-SA"/>
              </w:rPr>
              <w:t>服务方案</w:t>
            </w:r>
          </w:p>
        </w:tc>
        <w:tc>
          <w:tcPr>
            <w:tcW w:w="795" w:type="pct"/>
            <w:vAlign w:val="center"/>
          </w:tcPr>
          <w:p w14:paraId="39C4AC0C">
            <w:pPr>
              <w:pStyle w:val="50"/>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1</w:t>
            </w:r>
            <w:r>
              <w:rPr>
                <w:rFonts w:hint="eastAsia" w:cs="宋体"/>
                <w:i w:val="0"/>
                <w:iCs w:val="0"/>
                <w:color w:val="auto"/>
                <w:sz w:val="24"/>
                <w:szCs w:val="24"/>
                <w:highlight w:val="none"/>
                <w:lang w:val="en-US" w:eastAsia="zh-CN"/>
              </w:rPr>
              <w:t>8</w:t>
            </w:r>
            <w:r>
              <w:rPr>
                <w:rFonts w:hint="eastAsia" w:ascii="宋体" w:hAnsi="宋体" w:eastAsia="宋体" w:cs="宋体"/>
                <w:i w:val="0"/>
                <w:iCs w:val="0"/>
                <w:color w:val="auto"/>
                <w:sz w:val="24"/>
                <w:szCs w:val="24"/>
                <w:highlight w:val="none"/>
                <w:lang w:val="en-US" w:eastAsia="zh-CN"/>
              </w:rPr>
              <w:t>分</w:t>
            </w:r>
          </w:p>
        </w:tc>
        <w:tc>
          <w:tcPr>
            <w:tcW w:w="2950" w:type="pct"/>
            <w:vAlign w:val="center"/>
          </w:tcPr>
          <w:p w14:paraId="2519C8FD">
            <w:pPr>
              <w:pStyle w:val="6"/>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针对本项目以及结合</w:t>
            </w:r>
            <w:r>
              <w:rPr>
                <w:rFonts w:hint="eastAsia" w:ascii="宋体" w:hAnsi="宋体" w:cs="宋体"/>
                <w:color w:val="auto"/>
                <w:sz w:val="24"/>
                <w:szCs w:val="24"/>
                <w:highlight w:val="none"/>
                <w:lang w:val="en-US" w:eastAsia="zh-CN"/>
              </w:rPr>
              <w:t>招标</w:t>
            </w:r>
            <w:r>
              <w:rPr>
                <w:rFonts w:hint="eastAsia" w:ascii="宋体" w:hAnsi="宋体" w:eastAsia="宋体" w:cs="宋体"/>
                <w:color w:val="auto"/>
                <w:sz w:val="24"/>
                <w:szCs w:val="24"/>
                <w:highlight w:val="none"/>
                <w:lang w:val="en-US" w:eastAsia="zh-CN"/>
              </w:rPr>
              <w:t>文件的服务要求实际情况,投标单位自行编写服务方案，</w:t>
            </w:r>
          </w:p>
          <w:p w14:paraId="6428CA2C">
            <w:pPr>
              <w:pStyle w:val="6"/>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①保洁服务方案; </w:t>
            </w:r>
          </w:p>
          <w:p w14:paraId="1B7FC745">
            <w:pPr>
              <w:pStyle w:val="6"/>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②绿化养护服务方案; </w:t>
            </w:r>
          </w:p>
          <w:p w14:paraId="1695E09E">
            <w:pPr>
              <w:pStyle w:val="6"/>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③保安（含门岗，消控岗）服务方案； </w:t>
            </w:r>
          </w:p>
          <w:p w14:paraId="34EF96EF">
            <w:pPr>
              <w:pStyle w:val="6"/>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④公共设施设备维护服务方案</w:t>
            </w:r>
          </w:p>
          <w:p w14:paraId="70B0C03C">
            <w:pPr>
              <w:pStyle w:val="6"/>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⑤宿舍管理服务方案;</w:t>
            </w:r>
          </w:p>
          <w:p w14:paraId="57C651F3">
            <w:pPr>
              <w:pStyle w:val="6"/>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⑥项目经理服务方案</w:t>
            </w:r>
          </w:p>
          <w:p w14:paraId="43CF5CDE">
            <w:pPr>
              <w:pStyle w:val="6"/>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方案完整、完全满足项目需求、合理、内容齐全的每项得3分；内容不能完全针对本项目或阐述不清楚的每项扣1分，未提供不得分，最高得18分。</w:t>
            </w:r>
          </w:p>
        </w:tc>
      </w:tr>
      <w:tr w14:paraId="0621E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415" w:type="pct"/>
            <w:vMerge w:val="continue"/>
            <w:vAlign w:val="center"/>
          </w:tcPr>
          <w:p w14:paraId="445DEAE5">
            <w:pPr>
              <w:pStyle w:val="50"/>
              <w:jc w:val="center"/>
              <w:rPr>
                <w:rFonts w:hint="eastAsia" w:ascii="宋体" w:hAnsi="宋体" w:eastAsia="宋体" w:cs="宋体"/>
                <w:i w:val="0"/>
                <w:iCs w:val="0"/>
                <w:color w:val="auto"/>
                <w:sz w:val="24"/>
                <w:szCs w:val="24"/>
                <w:highlight w:val="none"/>
              </w:rPr>
            </w:pPr>
          </w:p>
        </w:tc>
        <w:tc>
          <w:tcPr>
            <w:tcW w:w="838" w:type="pct"/>
            <w:vAlign w:val="center"/>
          </w:tcPr>
          <w:p w14:paraId="7B3D5A0D">
            <w:pPr>
              <w:pStyle w:val="50"/>
              <w:jc w:val="center"/>
              <w:rPr>
                <w:rFonts w:hint="default"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管理制度</w:t>
            </w:r>
          </w:p>
        </w:tc>
        <w:tc>
          <w:tcPr>
            <w:tcW w:w="795" w:type="pct"/>
            <w:vAlign w:val="center"/>
          </w:tcPr>
          <w:p w14:paraId="7E10C8CE">
            <w:pPr>
              <w:pStyle w:val="50"/>
              <w:jc w:val="center"/>
              <w:rPr>
                <w:rFonts w:hint="eastAsia" w:ascii="宋体" w:hAnsi="宋体" w:eastAsia="宋体" w:cs="宋体"/>
                <w:i w:val="0"/>
                <w:iCs w:val="0"/>
                <w:color w:val="auto"/>
                <w:sz w:val="24"/>
                <w:szCs w:val="24"/>
                <w:highlight w:val="none"/>
              </w:rPr>
            </w:pPr>
            <w:r>
              <w:rPr>
                <w:rFonts w:hint="eastAsia" w:cs="宋体"/>
                <w:i w:val="0"/>
                <w:iCs w:val="0"/>
                <w:color w:val="auto"/>
                <w:sz w:val="24"/>
                <w:szCs w:val="24"/>
                <w:highlight w:val="none"/>
                <w:lang w:val="en-US" w:eastAsia="zh-CN"/>
              </w:rPr>
              <w:t>18</w:t>
            </w:r>
            <w:r>
              <w:rPr>
                <w:rFonts w:hint="eastAsia" w:ascii="宋体" w:hAnsi="宋体" w:eastAsia="宋体" w:cs="宋体"/>
                <w:i w:val="0"/>
                <w:iCs w:val="0"/>
                <w:color w:val="auto"/>
                <w:sz w:val="24"/>
                <w:szCs w:val="24"/>
                <w:highlight w:val="none"/>
                <w:lang w:val="en-US" w:eastAsia="zh-CN"/>
              </w:rPr>
              <w:t>分</w:t>
            </w:r>
          </w:p>
        </w:tc>
        <w:tc>
          <w:tcPr>
            <w:tcW w:w="2950" w:type="pct"/>
            <w:vAlign w:val="center"/>
          </w:tcPr>
          <w:p w14:paraId="63C4950D">
            <w:pPr>
              <w:pStyle w:val="6"/>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投标单位针对本项目提供的管理制度方案内容：</w:t>
            </w:r>
          </w:p>
          <w:p w14:paraId="3B7BE036">
            <w:pPr>
              <w:pStyle w:val="6"/>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①保洁管理制度; </w:t>
            </w:r>
          </w:p>
          <w:p w14:paraId="53169768">
            <w:pPr>
              <w:pStyle w:val="6"/>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②绿化养护管理制度; </w:t>
            </w:r>
          </w:p>
          <w:p w14:paraId="5FD0436D">
            <w:pPr>
              <w:pStyle w:val="6"/>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③保安（含门岗，消控岗）管理制度； </w:t>
            </w:r>
          </w:p>
          <w:p w14:paraId="0FE39C1A">
            <w:pPr>
              <w:pStyle w:val="6"/>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④公共设施设备维护管理制度</w:t>
            </w:r>
          </w:p>
          <w:p w14:paraId="0307870E">
            <w:pPr>
              <w:pStyle w:val="6"/>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⑤宿舍管理管理制度;</w:t>
            </w:r>
          </w:p>
          <w:p w14:paraId="0ABB8670">
            <w:pPr>
              <w:pStyle w:val="6"/>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⑥项目经理管理制度</w:t>
            </w:r>
          </w:p>
          <w:p w14:paraId="45F7E689">
            <w:pPr>
              <w:pStyle w:val="6"/>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制度完善明确合理、内容齐全完整可行的，每项</w:t>
            </w:r>
            <w:r>
              <w:rPr>
                <w:rFonts w:hint="eastAsia" w:ascii="宋体" w:hAnsi="宋体" w:cs="宋体"/>
                <w:color w:val="auto"/>
                <w:sz w:val="24"/>
                <w:szCs w:val="24"/>
                <w:highlight w:val="none"/>
                <w:lang w:val="en-US" w:eastAsia="zh-CN"/>
              </w:rPr>
              <w:t>得3</w:t>
            </w:r>
            <w:r>
              <w:rPr>
                <w:rFonts w:hint="eastAsia" w:ascii="宋体" w:hAnsi="宋体" w:eastAsia="宋体" w:cs="宋体"/>
                <w:color w:val="auto"/>
                <w:sz w:val="24"/>
                <w:szCs w:val="24"/>
                <w:highlight w:val="none"/>
                <w:lang w:val="en-US" w:eastAsia="zh-CN"/>
              </w:rPr>
              <w:t>分；内容不能完全针对本项目或阐述不清楚的每项扣</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分，未提供不得分，最高得</w:t>
            </w:r>
            <w:r>
              <w:rPr>
                <w:rFonts w:hint="eastAsia" w:ascii="宋体" w:hAnsi="宋体" w:cs="宋体"/>
                <w:color w:val="auto"/>
                <w:sz w:val="24"/>
                <w:szCs w:val="24"/>
                <w:highlight w:val="none"/>
                <w:lang w:val="en-US" w:eastAsia="zh-CN"/>
              </w:rPr>
              <w:t>18</w:t>
            </w:r>
            <w:r>
              <w:rPr>
                <w:rFonts w:hint="eastAsia" w:ascii="宋体" w:hAnsi="宋体" w:eastAsia="宋体" w:cs="宋体"/>
                <w:color w:val="auto"/>
                <w:sz w:val="24"/>
                <w:szCs w:val="24"/>
                <w:highlight w:val="none"/>
                <w:lang w:val="en-US" w:eastAsia="zh-CN"/>
              </w:rPr>
              <w:t>分</w:t>
            </w:r>
          </w:p>
        </w:tc>
      </w:tr>
      <w:tr w14:paraId="3D5CE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0" w:hRule="atLeast"/>
          <w:jc w:val="center"/>
        </w:trPr>
        <w:tc>
          <w:tcPr>
            <w:tcW w:w="415" w:type="pct"/>
            <w:vMerge w:val="continue"/>
            <w:vAlign w:val="center"/>
          </w:tcPr>
          <w:p w14:paraId="0D2554B0">
            <w:pPr>
              <w:pStyle w:val="50"/>
              <w:jc w:val="center"/>
              <w:rPr>
                <w:rFonts w:hint="eastAsia" w:ascii="宋体" w:hAnsi="宋体" w:eastAsia="宋体" w:cs="宋体"/>
                <w:i w:val="0"/>
                <w:iCs w:val="0"/>
                <w:color w:val="auto"/>
                <w:sz w:val="24"/>
                <w:szCs w:val="24"/>
                <w:highlight w:val="none"/>
              </w:rPr>
            </w:pPr>
          </w:p>
        </w:tc>
        <w:tc>
          <w:tcPr>
            <w:tcW w:w="838" w:type="pct"/>
            <w:vAlign w:val="center"/>
          </w:tcPr>
          <w:p w14:paraId="7A2552A2">
            <w:pPr>
              <w:pStyle w:val="50"/>
              <w:jc w:val="center"/>
              <w:rPr>
                <w:rFonts w:hint="eastAsia" w:ascii="宋体" w:hAnsi="宋体" w:eastAsia="宋体" w:cs="宋体"/>
                <w:i w:val="0"/>
                <w:iCs w:val="0"/>
                <w:color w:val="auto"/>
                <w:sz w:val="24"/>
                <w:szCs w:val="24"/>
                <w:highlight w:val="none"/>
                <w:lang w:val="en-US"/>
              </w:rPr>
            </w:pPr>
            <w:r>
              <w:rPr>
                <w:rFonts w:hint="eastAsia" w:ascii="宋体" w:hAnsi="宋体" w:eastAsia="宋体" w:cs="宋体"/>
                <w:i w:val="0"/>
                <w:iCs w:val="0"/>
                <w:color w:val="auto"/>
                <w:sz w:val="24"/>
                <w:szCs w:val="24"/>
                <w:highlight w:val="none"/>
                <w:lang w:val="en-US" w:eastAsia="zh-CN"/>
              </w:rPr>
              <w:t>应急预案</w:t>
            </w:r>
          </w:p>
        </w:tc>
        <w:tc>
          <w:tcPr>
            <w:tcW w:w="795" w:type="pct"/>
            <w:vAlign w:val="center"/>
          </w:tcPr>
          <w:p w14:paraId="23A632D7">
            <w:pPr>
              <w:pStyle w:val="50"/>
              <w:jc w:val="center"/>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 xml:space="preserve">15分 </w:t>
            </w:r>
          </w:p>
        </w:tc>
        <w:tc>
          <w:tcPr>
            <w:tcW w:w="2950" w:type="pct"/>
            <w:vAlign w:val="center"/>
          </w:tcPr>
          <w:p w14:paraId="1D4F9A0E">
            <w:pPr>
              <w:pStyle w:val="6"/>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针对本项目提供项目突发事件应急预案，内容包含： </w:t>
            </w:r>
          </w:p>
          <w:p w14:paraId="3E1F3EB0">
            <w:pPr>
              <w:pStyle w:val="6"/>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①突发断水、断电、停气的应急方案；</w:t>
            </w:r>
          </w:p>
          <w:p w14:paraId="67A91A36">
            <w:pPr>
              <w:pStyle w:val="6"/>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②消防（火情、水情、 漏气、漏电等）的应急方案；③</w:t>
            </w:r>
            <w:r>
              <w:rPr>
                <w:rFonts w:hint="eastAsia" w:ascii="宋体" w:hAnsi="宋体" w:cs="宋体"/>
                <w:color w:val="auto"/>
                <w:sz w:val="24"/>
                <w:szCs w:val="24"/>
                <w:highlight w:val="none"/>
                <w:lang w:val="en-US" w:eastAsia="zh-CN"/>
              </w:rPr>
              <w:t>社会</w:t>
            </w:r>
            <w:r>
              <w:rPr>
                <w:rFonts w:hint="eastAsia" w:ascii="宋体" w:hAnsi="宋体" w:eastAsia="宋体" w:cs="宋体"/>
                <w:color w:val="auto"/>
                <w:sz w:val="24"/>
                <w:szCs w:val="24"/>
                <w:highlight w:val="none"/>
                <w:lang w:val="en-US" w:eastAsia="zh-CN"/>
              </w:rPr>
              <w:t>安全</w:t>
            </w:r>
            <w:r>
              <w:rPr>
                <w:rFonts w:hint="eastAsia" w:ascii="宋体" w:hAnsi="宋体" w:cs="宋体"/>
                <w:color w:val="auto"/>
                <w:sz w:val="24"/>
                <w:szCs w:val="24"/>
                <w:highlight w:val="none"/>
                <w:lang w:val="en-US" w:eastAsia="zh-CN"/>
              </w:rPr>
              <w:t>类（暴力、恐怖袭击）应急</w:t>
            </w:r>
            <w:r>
              <w:rPr>
                <w:rFonts w:hint="eastAsia" w:ascii="宋体" w:hAnsi="宋体" w:eastAsia="宋体" w:cs="宋体"/>
                <w:color w:val="auto"/>
                <w:sz w:val="24"/>
                <w:szCs w:val="24"/>
                <w:highlight w:val="none"/>
                <w:lang w:val="en-US" w:eastAsia="zh-CN"/>
              </w:rPr>
              <w:t>事件</w:t>
            </w:r>
          </w:p>
          <w:p w14:paraId="23D02DB4">
            <w:pPr>
              <w:pStyle w:val="6"/>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④流行病、传染 病等疫情防控方案；</w:t>
            </w:r>
          </w:p>
          <w:p w14:paraId="0B7BB2DF">
            <w:pPr>
              <w:pStyle w:val="6"/>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⑤其它特殊情况；</w:t>
            </w:r>
          </w:p>
          <w:p w14:paraId="475AD2B2">
            <w:pPr>
              <w:pStyle w:val="6"/>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预案完整、完全满足项目需求、合理、内容齐全的得每项3分；内容不能完全针对本项目或阐述不清楚的每项扣1分，未提供不得分，最高得15分</w:t>
            </w:r>
          </w:p>
        </w:tc>
      </w:tr>
      <w:tr w14:paraId="76409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7" w:hRule="atLeast"/>
          <w:jc w:val="center"/>
        </w:trPr>
        <w:tc>
          <w:tcPr>
            <w:tcW w:w="415" w:type="pct"/>
            <w:vMerge w:val="continue"/>
            <w:vAlign w:val="center"/>
          </w:tcPr>
          <w:p w14:paraId="75AE5FED">
            <w:pPr>
              <w:pStyle w:val="50"/>
              <w:jc w:val="center"/>
              <w:rPr>
                <w:rFonts w:hint="eastAsia" w:ascii="宋体" w:hAnsi="宋体" w:eastAsia="宋体" w:cs="宋体"/>
                <w:i w:val="0"/>
                <w:iCs w:val="0"/>
                <w:color w:val="auto"/>
                <w:sz w:val="24"/>
                <w:szCs w:val="24"/>
                <w:highlight w:val="none"/>
              </w:rPr>
            </w:pPr>
          </w:p>
        </w:tc>
        <w:tc>
          <w:tcPr>
            <w:tcW w:w="838" w:type="pct"/>
            <w:vAlign w:val="center"/>
          </w:tcPr>
          <w:p w14:paraId="19FBAEEE">
            <w:pPr>
              <w:pStyle w:val="50"/>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培训方案</w:t>
            </w:r>
          </w:p>
        </w:tc>
        <w:tc>
          <w:tcPr>
            <w:tcW w:w="795" w:type="pct"/>
            <w:vAlign w:val="center"/>
          </w:tcPr>
          <w:p w14:paraId="4CF25904">
            <w:pPr>
              <w:pStyle w:val="50"/>
              <w:jc w:val="center"/>
              <w:rPr>
                <w:rFonts w:hint="eastAsia" w:ascii="宋体" w:hAnsi="宋体" w:eastAsia="宋体" w:cs="宋体"/>
                <w:i w:val="0"/>
                <w:iCs w:val="0"/>
                <w:color w:val="auto"/>
                <w:sz w:val="24"/>
                <w:szCs w:val="24"/>
                <w:highlight w:val="none"/>
                <w:lang w:val="en-US" w:eastAsia="zh-CN"/>
              </w:rPr>
            </w:pPr>
            <w:r>
              <w:rPr>
                <w:rFonts w:hint="eastAsia" w:cs="宋体"/>
                <w:i w:val="0"/>
                <w:iCs w:val="0"/>
                <w:color w:val="auto"/>
                <w:sz w:val="24"/>
                <w:szCs w:val="24"/>
                <w:highlight w:val="none"/>
                <w:lang w:val="en-US" w:eastAsia="zh-CN"/>
              </w:rPr>
              <w:t>5</w:t>
            </w:r>
            <w:r>
              <w:rPr>
                <w:rFonts w:hint="eastAsia" w:ascii="宋体" w:hAnsi="宋体" w:eastAsia="宋体" w:cs="宋体"/>
                <w:i w:val="0"/>
                <w:iCs w:val="0"/>
                <w:color w:val="auto"/>
                <w:sz w:val="24"/>
                <w:szCs w:val="24"/>
                <w:highlight w:val="none"/>
                <w:lang w:val="en-US" w:eastAsia="zh-CN"/>
              </w:rPr>
              <w:t>分</w:t>
            </w:r>
          </w:p>
        </w:tc>
        <w:tc>
          <w:tcPr>
            <w:tcW w:w="2950" w:type="pct"/>
            <w:vAlign w:val="center"/>
          </w:tcPr>
          <w:p w14:paraId="2D197ACE">
            <w:pPr>
              <w:pStyle w:val="6"/>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根据投标单位针对本项目提供的:</w:t>
            </w:r>
          </w:p>
          <w:p w14:paraId="6F79663C">
            <w:pPr>
              <w:pStyle w:val="6"/>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①人员培训(包括人员的培训计划、方式、目标);②培训内容</w:t>
            </w:r>
            <w:r>
              <w:rPr>
                <w:rFonts w:hint="eastAsia" w:ascii="宋体" w:hAnsi="宋体" w:cs="宋体"/>
                <w:color w:val="auto"/>
                <w:sz w:val="24"/>
                <w:szCs w:val="24"/>
                <w:highlight w:val="none"/>
                <w:lang w:val="en-US" w:eastAsia="zh-CN"/>
              </w:rPr>
              <w:t>设计及课程</w:t>
            </w:r>
            <w:r>
              <w:rPr>
                <w:rFonts w:hint="eastAsia" w:ascii="宋体" w:hAnsi="宋体" w:eastAsia="宋体" w:cs="宋体"/>
                <w:color w:val="auto"/>
                <w:sz w:val="24"/>
                <w:szCs w:val="24"/>
                <w:highlight w:val="none"/>
                <w:lang w:val="en-US" w:eastAsia="zh-CN"/>
              </w:rPr>
              <w:t>;</w:t>
            </w:r>
          </w:p>
          <w:p w14:paraId="57355785">
            <w:pPr>
              <w:pStyle w:val="6"/>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③人员的管理(录用与考核、淘汰机制、奖罚、协调关系、服务意识、量化管理及标准运作)</w:t>
            </w:r>
          </w:p>
          <w:p w14:paraId="033944EC">
            <w:pPr>
              <w:pStyle w:val="6"/>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④培训结果考核与效果评估</w:t>
            </w:r>
          </w:p>
          <w:p w14:paraId="394BF32B">
            <w:pPr>
              <w:pStyle w:val="6"/>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⑤培训组织形式及实施计划</w:t>
            </w:r>
          </w:p>
          <w:p w14:paraId="31E04B47">
            <w:pPr>
              <w:pStyle w:val="6"/>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等方面进行评审。每符合一项得1分，不符合或未提供的不得分，最高得5分。</w:t>
            </w:r>
          </w:p>
        </w:tc>
      </w:tr>
      <w:tr w14:paraId="01E61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1254" w:type="pct"/>
            <w:gridSpan w:val="2"/>
            <w:vAlign w:val="center"/>
          </w:tcPr>
          <w:p w14:paraId="41529577">
            <w:pPr>
              <w:pStyle w:val="50"/>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合计</w:t>
            </w:r>
          </w:p>
        </w:tc>
        <w:tc>
          <w:tcPr>
            <w:tcW w:w="795" w:type="pct"/>
            <w:tcBorders>
              <w:bottom w:val="single" w:color="auto" w:sz="4" w:space="0"/>
            </w:tcBorders>
            <w:vAlign w:val="center"/>
          </w:tcPr>
          <w:p w14:paraId="62715861">
            <w:pPr>
              <w:pStyle w:val="50"/>
              <w:jc w:val="center"/>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=SUM(ABOVE)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100</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lang w:val="en-US" w:eastAsia="zh-CN"/>
              </w:rPr>
              <w:t>分</w:t>
            </w:r>
          </w:p>
        </w:tc>
        <w:tc>
          <w:tcPr>
            <w:tcW w:w="2950" w:type="pct"/>
            <w:tcBorders>
              <w:bottom w:val="single" w:color="auto" w:sz="4" w:space="0"/>
            </w:tcBorders>
            <w:vAlign w:val="center"/>
          </w:tcPr>
          <w:p w14:paraId="3B7A28EB">
            <w:pPr>
              <w:pStyle w:val="50"/>
              <w:rPr>
                <w:rFonts w:hint="eastAsia" w:ascii="宋体" w:hAnsi="宋体" w:eastAsia="宋体" w:cs="宋体"/>
                <w:i w:val="0"/>
                <w:iCs w:val="0"/>
                <w:color w:val="auto"/>
                <w:sz w:val="24"/>
                <w:szCs w:val="24"/>
                <w:highlight w:val="none"/>
              </w:rPr>
            </w:pPr>
          </w:p>
        </w:tc>
      </w:tr>
    </w:tbl>
    <w:p w14:paraId="4D73CDB2">
      <w:pPr>
        <w:rPr>
          <w:color w:val="auto"/>
          <w:highlight w:val="none"/>
          <w:lang w:val="zh-CN"/>
        </w:rPr>
      </w:pPr>
    </w:p>
    <w:p w14:paraId="57339138">
      <w:pPr>
        <w:pStyle w:val="2"/>
        <w:rPr>
          <w:lang w:val="zh-CN"/>
        </w:rPr>
      </w:pPr>
    </w:p>
    <w:p w14:paraId="09581C0A">
      <w:pPr>
        <w:pStyle w:val="2"/>
        <w:rPr>
          <w:lang w:val="zh-CN"/>
        </w:rPr>
      </w:pPr>
    </w:p>
    <w:p w14:paraId="2A84EE30">
      <w:pPr>
        <w:rPr>
          <w:color w:val="auto"/>
          <w:highlight w:val="none"/>
          <w:lang w:val="zh-CN"/>
        </w:rPr>
        <w:sectPr>
          <w:headerReference r:id="rId7" w:type="default"/>
          <w:footerReference r:id="rId8" w:type="default"/>
          <w:pgSz w:w="11906" w:h="16838"/>
          <w:pgMar w:top="1440" w:right="1800" w:bottom="1440" w:left="1800" w:header="851" w:footer="765" w:gutter="0"/>
          <w:pgBorders>
            <w:top w:val="none" w:sz="0" w:space="0"/>
            <w:left w:val="none" w:sz="0" w:space="0"/>
            <w:bottom w:val="none" w:sz="0" w:space="0"/>
            <w:right w:val="none" w:sz="0" w:space="0"/>
          </w:pgBorders>
          <w:pgNumType w:fmt="numberInDash"/>
          <w:cols w:space="0" w:num="1"/>
          <w:rtlGutter w:val="0"/>
          <w:docGrid w:type="lines" w:linePitch="312" w:charSpace="0"/>
        </w:sectPr>
      </w:pPr>
    </w:p>
    <w:p w14:paraId="54C87150">
      <w:pPr>
        <w:pStyle w:val="3"/>
        <w:keepNext/>
        <w:keepLines/>
        <w:pageBreakBefore w:val="0"/>
        <w:widowControl w:val="0"/>
        <w:numPr>
          <w:ilvl w:val="0"/>
          <w:numId w:val="0"/>
        </w:numPr>
        <w:kinsoku/>
        <w:wordWrap/>
        <w:overflowPunct/>
        <w:topLinePunct w:val="0"/>
        <w:autoSpaceDE/>
        <w:autoSpaceDN/>
        <w:bidi w:val="0"/>
        <w:adjustRightInd/>
        <w:snapToGrid/>
        <w:spacing w:before="220" w:after="220" w:line="480" w:lineRule="auto"/>
        <w:ind w:left="420" w:leftChars="0" w:hanging="420" w:firstLineChars="0"/>
        <w:textAlignment w:val="auto"/>
        <w:rPr>
          <w:rFonts w:hint="eastAsia" w:ascii="宋体" w:hAnsi="宋体" w:eastAsia="宋体" w:cs="宋体"/>
          <w:b/>
          <w:bCs/>
          <w:color w:val="auto"/>
          <w:kern w:val="44"/>
          <w:sz w:val="36"/>
          <w:szCs w:val="36"/>
          <w:highlight w:val="none"/>
          <w:lang w:val="zh-CN" w:eastAsia="zh-CN" w:bidi="ar-SA"/>
        </w:rPr>
      </w:pPr>
      <w:bookmarkStart w:id="543" w:name="_Toc155185918"/>
      <w:bookmarkStart w:id="544" w:name="_Toc17112"/>
      <w:bookmarkStart w:id="545" w:name="_Toc32037"/>
      <w:r>
        <w:rPr>
          <w:rFonts w:hint="eastAsia" w:ascii="宋体" w:hAnsi="宋体" w:eastAsia="宋体" w:cs="宋体"/>
          <w:b/>
          <w:bCs/>
          <w:color w:val="auto"/>
          <w:kern w:val="44"/>
          <w:sz w:val="36"/>
          <w:szCs w:val="36"/>
          <w:highlight w:val="none"/>
          <w:lang w:val="zh-CN" w:eastAsia="zh-CN" w:bidi="ar-SA"/>
        </w:rPr>
        <w:t>第六章 合同</w:t>
      </w:r>
      <w:bookmarkEnd w:id="543"/>
      <w:r>
        <w:rPr>
          <w:rFonts w:hint="eastAsia" w:ascii="宋体" w:hAnsi="宋体" w:eastAsia="宋体" w:cs="宋体"/>
          <w:b/>
          <w:bCs/>
          <w:color w:val="auto"/>
          <w:kern w:val="44"/>
          <w:sz w:val="36"/>
          <w:szCs w:val="36"/>
          <w:highlight w:val="none"/>
          <w:lang w:val="zh-CN" w:eastAsia="zh-CN" w:bidi="ar-SA"/>
        </w:rPr>
        <w:t>草案</w:t>
      </w:r>
      <w:bookmarkEnd w:id="544"/>
      <w:bookmarkEnd w:id="545"/>
    </w:p>
    <w:p w14:paraId="0F73DEB3">
      <w:pPr>
        <w:wordWrap w:val="0"/>
        <w:jc w:val="center"/>
        <w:rPr>
          <w:bCs/>
          <w:color w:val="auto"/>
          <w:sz w:val="36"/>
          <w:szCs w:val="36"/>
          <w:highlight w:val="none"/>
        </w:rPr>
      </w:pPr>
      <w:r>
        <w:rPr>
          <w:rFonts w:hint="eastAsia"/>
          <w:color w:val="auto"/>
          <w:highlight w:val="none"/>
        </w:rPr>
        <w:t>（</w:t>
      </w:r>
      <w:r>
        <w:rPr>
          <w:rFonts w:hint="eastAsia"/>
          <w:color w:val="auto"/>
          <w:szCs w:val="24"/>
          <w:highlight w:val="none"/>
        </w:rPr>
        <w:t>此合同书仅作为签订正式合同时的参考，正式合同书应包括本参考格式的内容）</w:t>
      </w:r>
    </w:p>
    <w:p w14:paraId="51E629DD">
      <w:pPr>
        <w:wordWrap w:val="0"/>
        <w:rPr>
          <w:bCs/>
          <w:color w:val="auto"/>
          <w:sz w:val="28"/>
          <w:szCs w:val="28"/>
          <w:highlight w:val="none"/>
        </w:rPr>
      </w:pPr>
      <w:r>
        <w:rPr>
          <w:rFonts w:hint="eastAsia" w:cs="Helvetica"/>
          <w:bCs/>
          <w:color w:val="auto"/>
          <w:szCs w:val="24"/>
          <w:highlight w:val="none"/>
          <w:lang w:val="zh-CN"/>
        </w:rPr>
        <w:t>合同编号：</w:t>
      </w:r>
      <w:r>
        <w:rPr>
          <w:rFonts w:hint="eastAsia" w:cs="Helvetica"/>
          <w:bCs/>
          <w:color w:val="auto"/>
          <w:szCs w:val="24"/>
          <w:highlight w:val="none"/>
          <w:u w:val="single"/>
        </w:rPr>
        <w:t xml:space="preserve">              </w:t>
      </w:r>
    </w:p>
    <w:p w14:paraId="4DD54709">
      <w:pPr>
        <w:pStyle w:val="10"/>
        <w:spacing w:after="0"/>
        <w:jc w:val="center"/>
        <w:rPr>
          <w:rFonts w:ascii="宋体" w:hAnsi="宋体" w:cs="宋体"/>
          <w:b/>
          <w:bCs/>
          <w:color w:val="auto"/>
          <w:spacing w:val="-20"/>
          <w:kern w:val="44"/>
          <w:sz w:val="48"/>
          <w:szCs w:val="48"/>
          <w:highlight w:val="none"/>
        </w:rPr>
      </w:pPr>
      <w:bookmarkStart w:id="546" w:name="_Toc3995"/>
    </w:p>
    <w:p w14:paraId="3B059C39">
      <w:pPr>
        <w:pStyle w:val="10"/>
        <w:rPr>
          <w:color w:val="auto"/>
          <w:highlight w:val="none"/>
        </w:rPr>
      </w:pPr>
    </w:p>
    <w:p w14:paraId="1EAD278A">
      <w:pPr>
        <w:spacing w:line="240" w:lineRule="auto"/>
        <w:jc w:val="center"/>
        <w:outlineLvl w:val="1"/>
        <w:rPr>
          <w:rFonts w:hint="eastAsia" w:ascii="宋体" w:hAnsi="宋体" w:eastAsia="宋体" w:cs="宋体"/>
          <w:b/>
          <w:bCs/>
          <w:color w:val="auto"/>
          <w:spacing w:val="-20"/>
          <w:kern w:val="44"/>
          <w:sz w:val="44"/>
          <w:szCs w:val="44"/>
          <w:highlight w:val="none"/>
          <w:lang w:val="en-US" w:eastAsia="zh-CN" w:bidi="ar-SA"/>
        </w:rPr>
      </w:pPr>
      <w:bookmarkStart w:id="547" w:name="_Toc3714"/>
      <w:bookmarkStart w:id="548" w:name="_Toc9350"/>
      <w:r>
        <w:rPr>
          <w:rFonts w:hint="eastAsia" w:ascii="宋体" w:hAnsi="宋体" w:eastAsia="宋体" w:cs="宋体"/>
          <w:b/>
          <w:bCs/>
          <w:color w:val="auto"/>
          <w:spacing w:val="-20"/>
          <w:kern w:val="44"/>
          <w:sz w:val="44"/>
          <w:szCs w:val="44"/>
          <w:highlight w:val="none"/>
          <w:lang w:val="en-US" w:eastAsia="zh-CN" w:bidi="ar-SA"/>
        </w:rPr>
        <w:t>政府采购合同参考范本</w:t>
      </w:r>
      <w:bookmarkEnd w:id="547"/>
      <w:bookmarkEnd w:id="548"/>
    </w:p>
    <w:p w14:paraId="4571CDB1">
      <w:pPr>
        <w:spacing w:line="480" w:lineRule="auto"/>
        <w:jc w:val="center"/>
        <w:outlineLvl w:val="1"/>
        <w:rPr>
          <w:rFonts w:hint="eastAsia" w:ascii="宋体" w:hAnsi="宋体" w:eastAsia="宋体" w:cs="宋体"/>
          <w:b/>
          <w:bCs/>
          <w:color w:val="auto"/>
          <w:spacing w:val="-20"/>
          <w:kern w:val="44"/>
          <w:sz w:val="44"/>
          <w:szCs w:val="44"/>
          <w:highlight w:val="none"/>
          <w:lang w:val="en-US" w:eastAsia="zh-CN" w:bidi="ar-SA"/>
        </w:rPr>
      </w:pPr>
      <w:bookmarkStart w:id="549" w:name="_Toc22704"/>
      <w:bookmarkStart w:id="550" w:name="_Toc8560"/>
      <w:r>
        <w:rPr>
          <w:rFonts w:hint="eastAsia" w:ascii="宋体" w:hAnsi="宋体" w:eastAsia="宋体" w:cs="宋体"/>
          <w:b/>
          <w:bCs/>
          <w:color w:val="auto"/>
          <w:spacing w:val="-20"/>
          <w:kern w:val="44"/>
          <w:sz w:val="44"/>
          <w:szCs w:val="44"/>
          <w:highlight w:val="none"/>
          <w:lang w:val="en-US" w:eastAsia="zh-CN" w:bidi="ar-SA"/>
        </w:rPr>
        <w:t>（服务类）</w:t>
      </w:r>
      <w:bookmarkEnd w:id="549"/>
      <w:bookmarkEnd w:id="550"/>
    </w:p>
    <w:p w14:paraId="78DDAE5C">
      <w:pPr>
        <w:spacing w:line="480" w:lineRule="auto"/>
        <w:jc w:val="center"/>
        <w:rPr>
          <w:rFonts w:cs="Times New Roman" w:asciiTheme="minorEastAsia" w:hAnsiTheme="minorEastAsia" w:eastAsiaTheme="minorEastAsia"/>
          <w:b/>
          <w:color w:val="auto"/>
          <w:sz w:val="24"/>
          <w:szCs w:val="24"/>
          <w:highlight w:val="none"/>
        </w:rPr>
      </w:pPr>
    </w:p>
    <w:p w14:paraId="317A7DEF">
      <w:pPr>
        <w:spacing w:line="480" w:lineRule="auto"/>
        <w:jc w:val="center"/>
        <w:rPr>
          <w:rFonts w:cs="Times New Roman" w:asciiTheme="minorEastAsia" w:hAnsiTheme="minorEastAsia" w:eastAsiaTheme="minorEastAsia"/>
          <w:b/>
          <w:color w:val="auto"/>
          <w:sz w:val="24"/>
          <w:szCs w:val="24"/>
          <w:highlight w:val="none"/>
        </w:rPr>
      </w:pPr>
    </w:p>
    <w:p w14:paraId="55C3B597">
      <w:pPr>
        <w:spacing w:line="360" w:lineRule="auto"/>
        <w:jc w:val="center"/>
        <w:outlineLvl w:val="1"/>
        <w:rPr>
          <w:rFonts w:hint="eastAsia" w:ascii="宋体" w:hAnsi="宋体" w:eastAsia="宋体" w:cs="宋体"/>
          <w:b/>
          <w:color w:val="auto"/>
          <w:sz w:val="36"/>
          <w:szCs w:val="36"/>
          <w:highlight w:val="none"/>
        </w:rPr>
      </w:pPr>
      <w:bookmarkStart w:id="551" w:name="_Toc16803"/>
      <w:bookmarkStart w:id="552" w:name="_Toc2449"/>
      <w:bookmarkStart w:id="553" w:name="_Toc24900"/>
      <w:r>
        <w:rPr>
          <w:rFonts w:hint="eastAsia" w:ascii="宋体" w:hAnsi="宋体" w:eastAsia="宋体" w:cs="宋体"/>
          <w:b/>
          <w:color w:val="auto"/>
          <w:sz w:val="36"/>
          <w:szCs w:val="36"/>
          <w:highlight w:val="none"/>
        </w:rPr>
        <w:t>第一部分 合同书</w:t>
      </w:r>
      <w:bookmarkEnd w:id="551"/>
      <w:bookmarkEnd w:id="552"/>
      <w:bookmarkEnd w:id="553"/>
    </w:p>
    <w:p w14:paraId="4BA01776">
      <w:pPr>
        <w:spacing w:line="480" w:lineRule="auto"/>
        <w:jc w:val="center"/>
        <w:rPr>
          <w:rFonts w:cs="Times New Roman" w:asciiTheme="minorEastAsia" w:hAnsiTheme="minorEastAsia" w:eastAsiaTheme="minorEastAsia"/>
          <w:b/>
          <w:color w:val="auto"/>
          <w:sz w:val="24"/>
          <w:szCs w:val="24"/>
          <w:highlight w:val="none"/>
        </w:rPr>
      </w:pPr>
    </w:p>
    <w:p w14:paraId="5F204112">
      <w:pPr>
        <w:pStyle w:val="10"/>
        <w:rPr>
          <w:color w:val="auto"/>
          <w:highlight w:val="none"/>
        </w:rPr>
      </w:pPr>
    </w:p>
    <w:p w14:paraId="69570DA0">
      <w:pPr>
        <w:pStyle w:val="10"/>
        <w:rPr>
          <w:color w:val="auto"/>
          <w:highlight w:val="none"/>
        </w:rPr>
      </w:pPr>
    </w:p>
    <w:p w14:paraId="77910ED1">
      <w:pPr>
        <w:spacing w:before="120" w:line="480" w:lineRule="auto"/>
        <w:ind w:left="960"/>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sz w:val="24"/>
          <w:szCs w:val="24"/>
          <w:highlight w:val="none"/>
        </w:rPr>
        <w:t>项目名称：</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（分包项目须填写完整的分包号及分包名称）</w:t>
      </w:r>
    </w:p>
    <w:p w14:paraId="730F4465">
      <w:pPr>
        <w:spacing w:before="120" w:line="480" w:lineRule="auto"/>
        <w:ind w:left="96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项目编号</w:t>
      </w:r>
      <w:r>
        <w:rPr>
          <w:rFonts w:hint="eastAsia" w:ascii="宋体" w:hAnsi="宋体" w:eastAsia="宋体" w:cs="宋体"/>
          <w:i w:val="0"/>
          <w:iCs w:val="0"/>
          <w:color w:val="auto"/>
          <w:sz w:val="24"/>
          <w:szCs w:val="24"/>
          <w:highlight w:val="none"/>
          <w:lang w:val="en-US" w:eastAsia="zh-CN"/>
        </w:rPr>
        <w:t>/包号</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u w:val="single"/>
        </w:rPr>
        <w:t xml:space="preserve">        </w:t>
      </w:r>
    </w:p>
    <w:p w14:paraId="66872538">
      <w:pPr>
        <w:spacing w:before="120" w:line="480" w:lineRule="auto"/>
        <w:ind w:left="960"/>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sz w:val="24"/>
          <w:szCs w:val="24"/>
          <w:highlight w:val="none"/>
        </w:rPr>
        <w:t>甲方（采购人）：</w:t>
      </w:r>
      <w:r>
        <w:rPr>
          <w:rFonts w:hint="eastAsia" w:ascii="宋体" w:hAnsi="宋体" w:eastAsia="宋体" w:cs="宋体"/>
          <w:i w:val="0"/>
          <w:iCs w:val="0"/>
          <w:color w:val="auto"/>
          <w:sz w:val="24"/>
          <w:szCs w:val="24"/>
          <w:highlight w:val="none"/>
          <w:u w:val="single"/>
        </w:rPr>
        <w:t xml:space="preserve">                              </w:t>
      </w:r>
    </w:p>
    <w:p w14:paraId="557645D2">
      <w:pPr>
        <w:spacing w:before="120" w:line="480" w:lineRule="auto"/>
        <w:ind w:left="960"/>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sz w:val="24"/>
          <w:szCs w:val="24"/>
          <w:highlight w:val="none"/>
        </w:rPr>
        <w:t>乙方（中标人）：</w:t>
      </w:r>
      <w:r>
        <w:rPr>
          <w:rFonts w:hint="eastAsia" w:ascii="宋体" w:hAnsi="宋体" w:eastAsia="宋体" w:cs="宋体"/>
          <w:i w:val="0"/>
          <w:iCs w:val="0"/>
          <w:color w:val="auto"/>
          <w:sz w:val="24"/>
          <w:szCs w:val="24"/>
          <w:highlight w:val="none"/>
          <w:u w:val="single"/>
        </w:rPr>
        <w:t xml:space="preserve">                              </w:t>
      </w:r>
    </w:p>
    <w:p w14:paraId="263D5C0B">
      <w:pPr>
        <w:spacing w:before="120" w:line="480" w:lineRule="auto"/>
        <w:ind w:firstLine="960" w:firstLineChars="400"/>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sz w:val="24"/>
          <w:szCs w:val="24"/>
          <w:highlight w:val="none"/>
        </w:rPr>
        <w:t>签订地：</w:t>
      </w:r>
      <w:r>
        <w:rPr>
          <w:rFonts w:hint="eastAsia" w:ascii="宋体" w:hAnsi="宋体" w:eastAsia="宋体" w:cs="宋体"/>
          <w:i w:val="0"/>
          <w:iCs w:val="0"/>
          <w:color w:val="auto"/>
          <w:sz w:val="24"/>
          <w:szCs w:val="24"/>
          <w:highlight w:val="none"/>
          <w:u w:val="single"/>
        </w:rPr>
        <w:t xml:space="preserve">                                     </w:t>
      </w:r>
    </w:p>
    <w:p w14:paraId="28A94FB3">
      <w:pPr>
        <w:spacing w:before="120" w:line="480" w:lineRule="auto"/>
        <w:ind w:firstLine="960" w:firstLineChars="4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签订日期：</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年</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月</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日</w:t>
      </w:r>
    </w:p>
    <w:p w14:paraId="34F4996A">
      <w:pPr>
        <w:widowControl/>
        <w:jc w:val="left"/>
        <w:rPr>
          <w:rFonts w:cs="Times New Roman" w:asciiTheme="minorEastAsia" w:hAnsiTheme="minorEastAsia" w:eastAsiaTheme="minorEastAsia"/>
          <w:color w:val="auto"/>
          <w:sz w:val="24"/>
          <w:szCs w:val="24"/>
          <w:highlight w:val="none"/>
        </w:rPr>
      </w:pPr>
      <w:r>
        <w:rPr>
          <w:rFonts w:cs="Times New Roman" w:asciiTheme="minorEastAsia" w:hAnsiTheme="minorEastAsia" w:eastAsiaTheme="minorEastAsia"/>
          <w:color w:val="auto"/>
          <w:sz w:val="24"/>
          <w:szCs w:val="24"/>
          <w:highlight w:val="none"/>
        </w:rPr>
        <w:br w:type="page"/>
      </w:r>
    </w:p>
    <w:p w14:paraId="5343AEB4">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以下简称：甲方</w:t>
      </w:r>
      <w:r>
        <w:rPr>
          <w:rFonts w:hint="eastAsia" w:ascii="宋体" w:hAnsi="宋体" w:eastAsia="宋体" w:cs="宋体"/>
          <w:color w:val="auto"/>
          <w:sz w:val="24"/>
          <w:szCs w:val="24"/>
          <w:highlight w:val="none"/>
        </w:rPr>
        <w:t>）通过</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组织的</w:t>
      </w:r>
      <w:r>
        <w:rPr>
          <w:rFonts w:hint="eastAsia" w:ascii="宋体" w:hAnsi="宋体" w:eastAsia="宋体" w:cs="宋体"/>
          <w:color w:val="auto"/>
          <w:sz w:val="24"/>
          <w:szCs w:val="24"/>
          <w:highlight w:val="none"/>
          <w:u w:val="single"/>
        </w:rPr>
        <w:t>公开招标</w:t>
      </w:r>
      <w:r>
        <w:rPr>
          <w:rFonts w:hint="eastAsia" w:ascii="宋体" w:hAnsi="宋体" w:eastAsia="宋体" w:cs="宋体"/>
          <w:color w:val="auto"/>
          <w:sz w:val="24"/>
          <w:szCs w:val="24"/>
          <w:highlight w:val="none"/>
        </w:rPr>
        <w:t>方式采购活动，经</w:t>
      </w:r>
      <w:r>
        <w:rPr>
          <w:rFonts w:hint="eastAsia" w:ascii="宋体" w:hAnsi="宋体" w:eastAsia="宋体" w:cs="宋体"/>
          <w:color w:val="auto"/>
          <w:sz w:val="24"/>
          <w:szCs w:val="24"/>
          <w:highlight w:val="none"/>
          <w:u w:val="single"/>
        </w:rPr>
        <w:t>评标委员会</w:t>
      </w:r>
      <w:r>
        <w:rPr>
          <w:rFonts w:hint="eastAsia" w:ascii="宋体" w:hAnsi="宋体" w:eastAsia="宋体" w:cs="宋体"/>
          <w:color w:val="auto"/>
          <w:sz w:val="24"/>
          <w:szCs w:val="24"/>
          <w:highlight w:val="none"/>
        </w:rPr>
        <w:t>评定，</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以下简称：乙方</w:t>
      </w:r>
      <w:r>
        <w:rPr>
          <w:rFonts w:hint="eastAsia" w:ascii="宋体" w:hAnsi="宋体" w:eastAsia="宋体" w:cs="宋体"/>
          <w:color w:val="auto"/>
          <w:sz w:val="24"/>
          <w:szCs w:val="24"/>
          <w:highlight w:val="none"/>
        </w:rPr>
        <w:t>）为本项目中标人，现按照采购文件确定的事项签订本合同。</w:t>
      </w:r>
    </w:p>
    <w:p w14:paraId="1A7D6614">
      <w:pPr>
        <w:spacing w:line="360" w:lineRule="auto"/>
        <w:ind w:firstLine="435"/>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根据《中华人民共和国民法典》、《中华人民共和国政府采购法》等相关法律法规之规定，按照平等、自愿、公平和诚实信用的原则，经甲方和乙方协商一致，约定以下合同条款，以兹共同遵守、全面履行。</w:t>
      </w:r>
    </w:p>
    <w:p w14:paraId="081298ED">
      <w:pPr>
        <w:spacing w:line="360" w:lineRule="auto"/>
        <w:ind w:firstLine="437"/>
        <w:outlineLvl w:val="2"/>
        <w:rPr>
          <w:rFonts w:hint="eastAsia" w:ascii="宋体" w:hAnsi="宋体" w:eastAsia="宋体" w:cs="宋体"/>
          <w:b/>
          <w:bCs/>
          <w:color w:val="auto"/>
          <w:sz w:val="24"/>
          <w:szCs w:val="24"/>
          <w:highlight w:val="none"/>
          <w:lang w:val="zh-CN"/>
        </w:rPr>
      </w:pPr>
      <w:bookmarkStart w:id="554" w:name="_Toc3029"/>
      <w:bookmarkStart w:id="555" w:name="_Toc32343"/>
      <w:bookmarkStart w:id="556" w:name="_Toc24059"/>
      <w:bookmarkStart w:id="557" w:name="_Toc2232"/>
      <w:bookmarkStart w:id="558" w:name="_Toc1600"/>
      <w:r>
        <w:rPr>
          <w:rFonts w:hint="eastAsia" w:ascii="宋体" w:hAnsi="宋体" w:eastAsia="宋体" w:cs="宋体"/>
          <w:b/>
          <w:bCs/>
          <w:color w:val="auto"/>
          <w:sz w:val="24"/>
          <w:szCs w:val="24"/>
          <w:highlight w:val="none"/>
          <w:lang w:val="zh-CN"/>
        </w:rPr>
        <w:t>1.1 合同组成部分</w:t>
      </w:r>
      <w:bookmarkEnd w:id="554"/>
      <w:bookmarkEnd w:id="555"/>
      <w:bookmarkEnd w:id="556"/>
      <w:bookmarkEnd w:id="557"/>
      <w:bookmarkEnd w:id="558"/>
    </w:p>
    <w:p w14:paraId="024A42B6">
      <w:pPr>
        <w:spacing w:line="360" w:lineRule="auto"/>
        <w:ind w:firstLine="435"/>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14:paraId="62BC58A8">
      <w:pPr>
        <w:spacing w:line="360" w:lineRule="auto"/>
        <w:ind w:firstLine="435"/>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1.1.1本合同及其补充合同、变更协议；</w:t>
      </w:r>
    </w:p>
    <w:p w14:paraId="037DCF58">
      <w:pPr>
        <w:spacing w:line="360" w:lineRule="auto"/>
        <w:ind w:firstLine="435"/>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1.1.2中标通知书；</w:t>
      </w:r>
    </w:p>
    <w:p w14:paraId="20FA8DCC">
      <w:pPr>
        <w:spacing w:line="360" w:lineRule="auto"/>
        <w:ind w:firstLine="435"/>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1.1.3投标文件（含澄清或者说明文件）；</w:t>
      </w:r>
    </w:p>
    <w:p w14:paraId="01E3C1EE">
      <w:pPr>
        <w:spacing w:line="360" w:lineRule="auto"/>
        <w:ind w:firstLine="435"/>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1.1.4招标文件（含澄清或者修改文件）；</w:t>
      </w:r>
    </w:p>
    <w:p w14:paraId="7BCC15DE">
      <w:pPr>
        <w:spacing w:line="360" w:lineRule="auto"/>
        <w:ind w:firstLine="435"/>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1.1.5其他相关采购文件。</w:t>
      </w:r>
    </w:p>
    <w:p w14:paraId="283E7943">
      <w:pPr>
        <w:spacing w:line="360" w:lineRule="auto"/>
        <w:ind w:firstLine="437"/>
        <w:outlineLvl w:val="2"/>
        <w:rPr>
          <w:rFonts w:hint="eastAsia" w:ascii="宋体" w:hAnsi="宋体" w:eastAsia="宋体" w:cs="宋体"/>
          <w:b/>
          <w:bCs/>
          <w:color w:val="auto"/>
          <w:sz w:val="24"/>
          <w:szCs w:val="24"/>
          <w:highlight w:val="none"/>
          <w:lang w:val="zh-CN"/>
        </w:rPr>
      </w:pPr>
      <w:bookmarkStart w:id="559" w:name="_Toc2918"/>
      <w:bookmarkStart w:id="560" w:name="_Toc6773"/>
      <w:bookmarkStart w:id="561" w:name="_Toc18585"/>
      <w:bookmarkStart w:id="562" w:name="_Toc22185"/>
      <w:bookmarkStart w:id="563" w:name="_Toc6311"/>
      <w:bookmarkStart w:id="564" w:name="_Toc8950"/>
      <w:bookmarkStart w:id="565" w:name="_Toc4436"/>
      <w:r>
        <w:rPr>
          <w:rFonts w:hint="eastAsia" w:ascii="宋体" w:hAnsi="宋体" w:eastAsia="宋体" w:cs="宋体"/>
          <w:b/>
          <w:bCs/>
          <w:color w:val="auto"/>
          <w:sz w:val="24"/>
          <w:szCs w:val="24"/>
          <w:highlight w:val="none"/>
          <w:lang w:val="zh-CN"/>
        </w:rPr>
        <w:t xml:space="preserve">1.2 </w:t>
      </w:r>
      <w:bookmarkEnd w:id="559"/>
      <w:bookmarkEnd w:id="560"/>
      <w:bookmarkEnd w:id="561"/>
      <w:bookmarkEnd w:id="562"/>
      <w:bookmarkEnd w:id="563"/>
      <w:r>
        <w:rPr>
          <w:rFonts w:hint="eastAsia" w:ascii="宋体" w:hAnsi="宋体" w:eastAsia="宋体" w:cs="宋体"/>
          <w:b/>
          <w:bCs/>
          <w:color w:val="auto"/>
          <w:sz w:val="24"/>
          <w:szCs w:val="24"/>
          <w:highlight w:val="none"/>
          <w:lang w:val="zh-CN"/>
        </w:rPr>
        <w:t>服务</w:t>
      </w:r>
      <w:bookmarkEnd w:id="564"/>
      <w:bookmarkEnd w:id="565"/>
    </w:p>
    <w:p w14:paraId="2A8C8081">
      <w:pPr>
        <w:spacing w:line="360" w:lineRule="auto"/>
        <w:ind w:firstLine="435"/>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1.2.1服务名称：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D507EFA">
      <w:pPr>
        <w:spacing w:line="360" w:lineRule="auto"/>
        <w:ind w:firstLine="435"/>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1.2.2服务内容：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7170C53">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1.2.3服务质量：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2949008">
      <w:pPr>
        <w:spacing w:line="360" w:lineRule="auto"/>
        <w:ind w:firstLine="437"/>
        <w:outlineLvl w:val="2"/>
        <w:rPr>
          <w:rFonts w:hint="eastAsia" w:ascii="宋体" w:hAnsi="宋体" w:eastAsia="宋体" w:cs="宋体"/>
          <w:b/>
          <w:bCs/>
          <w:color w:val="auto"/>
          <w:sz w:val="24"/>
          <w:szCs w:val="24"/>
          <w:highlight w:val="none"/>
          <w:lang w:val="zh-CN"/>
        </w:rPr>
      </w:pPr>
      <w:bookmarkStart w:id="566" w:name="_Toc23292"/>
      <w:bookmarkStart w:id="567" w:name="_Toc11350"/>
      <w:bookmarkStart w:id="568" w:name="_Toc21631"/>
      <w:bookmarkStart w:id="569" w:name="_Toc8047"/>
      <w:bookmarkStart w:id="570" w:name="_Toc21551"/>
      <w:r>
        <w:rPr>
          <w:rFonts w:hint="eastAsia" w:ascii="宋体" w:hAnsi="宋体" w:eastAsia="宋体" w:cs="宋体"/>
          <w:b/>
          <w:bCs/>
          <w:color w:val="auto"/>
          <w:sz w:val="24"/>
          <w:szCs w:val="24"/>
          <w:highlight w:val="none"/>
          <w:lang w:val="zh-CN"/>
        </w:rPr>
        <w:t>1.3 价款</w:t>
      </w:r>
      <w:bookmarkEnd w:id="566"/>
      <w:bookmarkEnd w:id="567"/>
      <w:bookmarkEnd w:id="568"/>
      <w:bookmarkEnd w:id="569"/>
      <w:bookmarkEnd w:id="570"/>
    </w:p>
    <w:p w14:paraId="0E6E2DB0">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本合同总价为：￥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元（大写：人民币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585CBE51">
      <w:pPr>
        <w:spacing w:line="360" w:lineRule="auto"/>
        <w:ind w:firstLine="435"/>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分项价格：</w:t>
      </w:r>
    </w:p>
    <w:tbl>
      <w:tblPr>
        <w:tblStyle w:val="3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4316"/>
        <w:gridCol w:w="12"/>
        <w:gridCol w:w="3225"/>
        <w:gridCol w:w="12"/>
      </w:tblGrid>
      <w:tr w14:paraId="7AF9B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vAlign w:val="center"/>
          </w:tcPr>
          <w:p w14:paraId="0CD18D7F">
            <w:pPr>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序号</w:t>
            </w:r>
          </w:p>
        </w:tc>
        <w:tc>
          <w:tcPr>
            <w:tcW w:w="4316" w:type="dxa"/>
            <w:vAlign w:val="center"/>
          </w:tcPr>
          <w:p w14:paraId="4F68A816">
            <w:pPr>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分项名称</w:t>
            </w:r>
          </w:p>
        </w:tc>
        <w:tc>
          <w:tcPr>
            <w:tcW w:w="3237" w:type="dxa"/>
            <w:gridSpan w:val="2"/>
            <w:vAlign w:val="center"/>
          </w:tcPr>
          <w:p w14:paraId="4C7FFB2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分项价格</w:t>
            </w:r>
          </w:p>
        </w:tc>
      </w:tr>
      <w:tr w14:paraId="6B926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tcPr>
          <w:p w14:paraId="0F360428">
            <w:pPr>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p>
        </w:tc>
        <w:tc>
          <w:tcPr>
            <w:tcW w:w="4316" w:type="dxa"/>
            <w:vAlign w:val="center"/>
          </w:tcPr>
          <w:p w14:paraId="2461E5E0">
            <w:pPr>
              <w:ind w:firstLine="200"/>
              <w:jc w:val="center"/>
              <w:rPr>
                <w:rFonts w:hint="eastAsia" w:ascii="宋体" w:hAnsi="宋体" w:eastAsia="宋体" w:cs="宋体"/>
                <w:color w:val="auto"/>
                <w:sz w:val="24"/>
                <w:szCs w:val="24"/>
                <w:highlight w:val="none"/>
              </w:rPr>
            </w:pPr>
          </w:p>
        </w:tc>
        <w:tc>
          <w:tcPr>
            <w:tcW w:w="3237" w:type="dxa"/>
            <w:gridSpan w:val="2"/>
            <w:vAlign w:val="center"/>
          </w:tcPr>
          <w:p w14:paraId="0E415F66">
            <w:pPr>
              <w:ind w:firstLine="200"/>
              <w:jc w:val="center"/>
              <w:rPr>
                <w:rFonts w:hint="eastAsia" w:ascii="宋体" w:hAnsi="宋体" w:eastAsia="宋体" w:cs="宋体"/>
                <w:color w:val="auto"/>
                <w:sz w:val="24"/>
                <w:szCs w:val="24"/>
                <w:highlight w:val="none"/>
              </w:rPr>
            </w:pPr>
          </w:p>
        </w:tc>
      </w:tr>
      <w:tr w14:paraId="0D861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tcPr>
          <w:p w14:paraId="424CE31A">
            <w:pPr>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p>
        </w:tc>
        <w:tc>
          <w:tcPr>
            <w:tcW w:w="4316" w:type="dxa"/>
            <w:vAlign w:val="center"/>
          </w:tcPr>
          <w:p w14:paraId="345F5B41">
            <w:pPr>
              <w:ind w:firstLine="200"/>
              <w:jc w:val="center"/>
              <w:rPr>
                <w:rFonts w:hint="eastAsia" w:ascii="宋体" w:hAnsi="宋体" w:eastAsia="宋体" w:cs="宋体"/>
                <w:color w:val="auto"/>
                <w:sz w:val="24"/>
                <w:szCs w:val="24"/>
                <w:highlight w:val="none"/>
              </w:rPr>
            </w:pPr>
          </w:p>
        </w:tc>
        <w:tc>
          <w:tcPr>
            <w:tcW w:w="3237" w:type="dxa"/>
            <w:gridSpan w:val="2"/>
            <w:vAlign w:val="center"/>
          </w:tcPr>
          <w:p w14:paraId="3722A032">
            <w:pPr>
              <w:ind w:firstLine="200"/>
              <w:jc w:val="center"/>
              <w:rPr>
                <w:rFonts w:hint="eastAsia" w:ascii="宋体" w:hAnsi="宋体" w:eastAsia="宋体" w:cs="宋体"/>
                <w:color w:val="auto"/>
                <w:sz w:val="24"/>
                <w:szCs w:val="24"/>
                <w:highlight w:val="none"/>
              </w:rPr>
            </w:pPr>
          </w:p>
        </w:tc>
      </w:tr>
      <w:tr w14:paraId="6F079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tcPr>
          <w:p w14:paraId="512C37D0">
            <w:pPr>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w:t>
            </w:r>
          </w:p>
        </w:tc>
        <w:tc>
          <w:tcPr>
            <w:tcW w:w="4316" w:type="dxa"/>
            <w:vAlign w:val="center"/>
          </w:tcPr>
          <w:p w14:paraId="498FC842">
            <w:pPr>
              <w:ind w:firstLine="200"/>
              <w:jc w:val="center"/>
              <w:rPr>
                <w:rFonts w:hint="eastAsia" w:ascii="宋体" w:hAnsi="宋体" w:eastAsia="宋体" w:cs="宋体"/>
                <w:color w:val="auto"/>
                <w:sz w:val="24"/>
                <w:szCs w:val="24"/>
                <w:highlight w:val="none"/>
              </w:rPr>
            </w:pPr>
          </w:p>
        </w:tc>
        <w:tc>
          <w:tcPr>
            <w:tcW w:w="3237" w:type="dxa"/>
            <w:gridSpan w:val="2"/>
            <w:vAlign w:val="center"/>
          </w:tcPr>
          <w:p w14:paraId="4CAABBD7">
            <w:pPr>
              <w:ind w:firstLine="200"/>
              <w:jc w:val="center"/>
              <w:rPr>
                <w:rFonts w:hint="eastAsia" w:ascii="宋体" w:hAnsi="宋体" w:eastAsia="宋体" w:cs="宋体"/>
                <w:color w:val="auto"/>
                <w:sz w:val="24"/>
                <w:szCs w:val="24"/>
                <w:highlight w:val="none"/>
              </w:rPr>
            </w:pPr>
          </w:p>
        </w:tc>
      </w:tr>
      <w:tr w14:paraId="7BB67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tcPr>
          <w:p w14:paraId="1019B673">
            <w:pPr>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p>
        </w:tc>
        <w:tc>
          <w:tcPr>
            <w:tcW w:w="4316" w:type="dxa"/>
            <w:vAlign w:val="center"/>
          </w:tcPr>
          <w:p w14:paraId="1668CCE7">
            <w:pPr>
              <w:ind w:firstLine="200"/>
              <w:jc w:val="center"/>
              <w:rPr>
                <w:rFonts w:hint="eastAsia" w:ascii="宋体" w:hAnsi="宋体" w:eastAsia="宋体" w:cs="宋体"/>
                <w:color w:val="auto"/>
                <w:sz w:val="24"/>
                <w:szCs w:val="24"/>
                <w:highlight w:val="none"/>
              </w:rPr>
            </w:pPr>
          </w:p>
        </w:tc>
        <w:tc>
          <w:tcPr>
            <w:tcW w:w="3237" w:type="dxa"/>
            <w:gridSpan w:val="2"/>
            <w:vAlign w:val="center"/>
          </w:tcPr>
          <w:p w14:paraId="14647217">
            <w:pPr>
              <w:ind w:firstLine="200"/>
              <w:jc w:val="center"/>
              <w:rPr>
                <w:rFonts w:hint="eastAsia" w:ascii="宋体" w:hAnsi="宋体" w:eastAsia="宋体" w:cs="宋体"/>
                <w:color w:val="auto"/>
                <w:sz w:val="24"/>
                <w:szCs w:val="24"/>
                <w:highlight w:val="none"/>
              </w:rPr>
            </w:pPr>
          </w:p>
        </w:tc>
      </w:tr>
      <w:tr w14:paraId="7B385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285" w:type="dxa"/>
            <w:gridSpan w:val="3"/>
            <w:vAlign w:val="center"/>
          </w:tcPr>
          <w:p w14:paraId="445538F7">
            <w:pPr>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3237" w:type="dxa"/>
            <w:gridSpan w:val="2"/>
            <w:vAlign w:val="center"/>
          </w:tcPr>
          <w:p w14:paraId="155BB530">
            <w:pPr>
              <w:ind w:firstLine="200"/>
              <w:jc w:val="center"/>
              <w:rPr>
                <w:rFonts w:hint="eastAsia" w:ascii="宋体" w:hAnsi="宋体" w:eastAsia="宋体" w:cs="宋体"/>
                <w:color w:val="auto"/>
                <w:sz w:val="24"/>
                <w:szCs w:val="24"/>
                <w:highlight w:val="none"/>
              </w:rPr>
            </w:pPr>
          </w:p>
        </w:tc>
      </w:tr>
    </w:tbl>
    <w:p w14:paraId="17E2FC9E">
      <w:pPr>
        <w:spacing w:line="360" w:lineRule="auto"/>
        <w:ind w:firstLine="437"/>
        <w:outlineLvl w:val="2"/>
        <w:rPr>
          <w:rFonts w:hint="eastAsia" w:ascii="宋体" w:hAnsi="宋体" w:eastAsia="宋体" w:cs="宋体"/>
          <w:b/>
          <w:bCs/>
          <w:color w:val="auto"/>
          <w:sz w:val="24"/>
          <w:szCs w:val="24"/>
          <w:highlight w:val="none"/>
          <w:lang w:val="zh-CN"/>
        </w:rPr>
      </w:pPr>
      <w:bookmarkStart w:id="571" w:name="_Toc22618"/>
      <w:bookmarkStart w:id="572" w:name="_Toc21546"/>
      <w:bookmarkStart w:id="573" w:name="_Toc10340"/>
      <w:bookmarkStart w:id="574" w:name="_Toc1814"/>
      <w:bookmarkStart w:id="575" w:name="_Toc20171"/>
      <w:r>
        <w:rPr>
          <w:rFonts w:hint="eastAsia" w:ascii="宋体" w:hAnsi="宋体" w:eastAsia="宋体" w:cs="宋体"/>
          <w:b/>
          <w:bCs/>
          <w:color w:val="auto"/>
          <w:sz w:val="24"/>
          <w:szCs w:val="24"/>
          <w:highlight w:val="none"/>
          <w:lang w:val="zh-CN"/>
        </w:rPr>
        <w:t>1.4 付款方式和发票开具方式</w:t>
      </w:r>
      <w:bookmarkEnd w:id="571"/>
      <w:bookmarkEnd w:id="572"/>
      <w:bookmarkEnd w:id="573"/>
      <w:bookmarkEnd w:id="574"/>
      <w:bookmarkEnd w:id="575"/>
    </w:p>
    <w:p w14:paraId="0D15CC02">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1.4.1付款方式：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591FB6B">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1.4.2发票开具方式：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2035217">
      <w:pPr>
        <w:spacing w:line="360" w:lineRule="auto"/>
        <w:ind w:firstLine="437"/>
        <w:outlineLvl w:val="2"/>
        <w:rPr>
          <w:rFonts w:hint="eastAsia" w:ascii="宋体" w:hAnsi="宋体" w:eastAsia="宋体" w:cs="宋体"/>
          <w:b/>
          <w:bCs/>
          <w:color w:val="auto"/>
          <w:sz w:val="24"/>
          <w:szCs w:val="24"/>
          <w:highlight w:val="none"/>
          <w:lang w:val="zh-CN"/>
        </w:rPr>
      </w:pPr>
      <w:bookmarkStart w:id="576" w:name="_Toc21443"/>
      <w:bookmarkStart w:id="577" w:name="_Toc2846"/>
      <w:bookmarkStart w:id="578" w:name="_Toc32071"/>
      <w:bookmarkStart w:id="579" w:name="_Toc15519"/>
      <w:bookmarkStart w:id="580" w:name="_Toc19304"/>
      <w:r>
        <w:rPr>
          <w:rFonts w:hint="eastAsia" w:ascii="宋体" w:hAnsi="宋体" w:eastAsia="宋体" w:cs="宋体"/>
          <w:b/>
          <w:bCs/>
          <w:color w:val="auto"/>
          <w:sz w:val="24"/>
          <w:szCs w:val="24"/>
          <w:highlight w:val="none"/>
          <w:lang w:val="zh-CN"/>
        </w:rPr>
        <w:t>1.5 服务期限、地点和方式</w:t>
      </w:r>
      <w:bookmarkEnd w:id="576"/>
      <w:bookmarkEnd w:id="577"/>
      <w:bookmarkEnd w:id="578"/>
      <w:bookmarkEnd w:id="579"/>
      <w:bookmarkEnd w:id="580"/>
    </w:p>
    <w:p w14:paraId="5A2C5E65">
      <w:pPr>
        <w:spacing w:line="360" w:lineRule="auto"/>
        <w:ind w:firstLine="435"/>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1.5.1服务期限：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3FF6520">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1.5.2服务地点：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CE4FC75">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1.5.3服务方式：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B2ED679">
      <w:pPr>
        <w:spacing w:line="360" w:lineRule="auto"/>
        <w:ind w:firstLine="437"/>
        <w:outlineLvl w:val="2"/>
        <w:rPr>
          <w:rFonts w:hint="eastAsia" w:ascii="宋体" w:hAnsi="宋体" w:eastAsia="宋体" w:cs="宋体"/>
          <w:b/>
          <w:bCs/>
          <w:color w:val="auto"/>
          <w:sz w:val="24"/>
          <w:szCs w:val="24"/>
          <w:highlight w:val="none"/>
          <w:lang w:val="zh-CN"/>
        </w:rPr>
      </w:pPr>
      <w:bookmarkStart w:id="581" w:name="_Toc9372"/>
      <w:bookmarkStart w:id="582" w:name="_Toc19554"/>
      <w:bookmarkStart w:id="583" w:name="_Toc26348"/>
      <w:bookmarkStart w:id="584" w:name="_Toc27250"/>
      <w:bookmarkStart w:id="585" w:name="_Toc21423"/>
      <w:r>
        <w:rPr>
          <w:rFonts w:hint="eastAsia" w:ascii="宋体" w:hAnsi="宋体" w:eastAsia="宋体" w:cs="宋体"/>
          <w:b/>
          <w:bCs/>
          <w:color w:val="auto"/>
          <w:sz w:val="24"/>
          <w:szCs w:val="24"/>
          <w:highlight w:val="none"/>
          <w:lang w:val="zh-CN"/>
        </w:rPr>
        <w:t>1.6 违约责任</w:t>
      </w:r>
      <w:bookmarkEnd w:id="581"/>
      <w:bookmarkEnd w:id="582"/>
      <w:bookmarkEnd w:id="583"/>
      <w:bookmarkEnd w:id="584"/>
      <w:bookmarkEnd w:id="585"/>
    </w:p>
    <w:p w14:paraId="5DD1292A">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1.6.1除不可抗力外，如果乙方没有按照本合同约定的期限、地点和方式履行，那么甲方可要求乙方支付违约金，违约金按每迟延履行一日的应提供而未提供服务价格的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%计算，最高限额为本合同总价的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%；迟延履行的违约金计算数额达到前述最高限额之日起，甲方有权在要求乙方支付违约金的同时，书面通知乙方解除本合同；</w:t>
      </w:r>
    </w:p>
    <w:p w14:paraId="7B8B7DEE">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%计算，最高限额为本合同总价的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%；迟延付款的违约金计算数额达到前述最高限额之日起，乙方有权在要求甲方支付违约金的同时，书面通知甲方解除本合同；</w:t>
      </w:r>
    </w:p>
    <w:p w14:paraId="1A4EF162">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9112113">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39201045">
      <w:pPr>
        <w:keepNext w:val="0"/>
        <w:keepLines w:val="0"/>
        <w:pageBreakBefore w:val="0"/>
        <w:widowControl w:val="0"/>
        <w:kinsoku/>
        <w:wordWrap/>
        <w:overflowPunct/>
        <w:topLinePunct w:val="0"/>
        <w:autoSpaceDE/>
        <w:autoSpaceDN/>
        <w:bidi w:val="0"/>
        <w:adjustRightInd/>
        <w:snapToGrid/>
        <w:spacing w:line="360" w:lineRule="auto"/>
        <w:ind w:firstLine="43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2F44C03A">
      <w:pPr>
        <w:keepNext w:val="0"/>
        <w:keepLines w:val="0"/>
        <w:pageBreakBefore w:val="0"/>
        <w:widowControl w:val="0"/>
        <w:kinsoku/>
        <w:wordWrap/>
        <w:overflowPunct/>
        <w:topLinePunct w:val="0"/>
        <w:autoSpaceDE/>
        <w:autoSpaceDN/>
        <w:bidi w:val="0"/>
        <w:adjustRightInd/>
        <w:snapToGrid/>
        <w:spacing w:line="360" w:lineRule="auto"/>
        <w:ind w:firstLine="43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1.6.6如果出现政府采购监督管理部门在处理投诉事项期间，书面通知甲方暂停采购活动的情形，或者询问或质疑事项可能影响中标结果的，导致甲方中止履行合同的情形，均不视为甲方违约。</w:t>
      </w:r>
    </w:p>
    <w:p w14:paraId="6DDBD423">
      <w:pPr>
        <w:keepNext w:val="0"/>
        <w:keepLines w:val="0"/>
        <w:pageBreakBefore w:val="0"/>
        <w:widowControl w:val="0"/>
        <w:kinsoku/>
        <w:wordWrap/>
        <w:overflowPunct/>
        <w:topLinePunct w:val="0"/>
        <w:autoSpaceDE/>
        <w:autoSpaceDN/>
        <w:bidi w:val="0"/>
        <w:adjustRightInd/>
        <w:snapToGrid/>
        <w:spacing w:line="360" w:lineRule="auto"/>
        <w:ind w:firstLine="43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1.6.7因甲方未按合同约定支付价款、未按合同约定受领标的物、擅自解除合同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逾期退还履约保证金导致乙方遭受的直接损失，乙方可向甲方申请赔偿，赔偿金额由双方协商一致；针对因政策变化等原因不能签订合同或解除合同时，造成乙方合法利益受损的情形，可以给予乙方合理补偿，补偿金额不得超过乙方的直接损失。</w:t>
      </w:r>
    </w:p>
    <w:p w14:paraId="1D4B476D">
      <w:pPr>
        <w:spacing w:line="360" w:lineRule="auto"/>
        <w:ind w:firstLine="437"/>
        <w:outlineLvl w:val="2"/>
        <w:rPr>
          <w:rFonts w:hint="eastAsia" w:ascii="宋体" w:hAnsi="宋体" w:eastAsia="宋体" w:cs="宋体"/>
          <w:b/>
          <w:bCs/>
          <w:color w:val="auto"/>
          <w:sz w:val="24"/>
          <w:szCs w:val="24"/>
          <w:highlight w:val="none"/>
          <w:lang w:val="zh-CN"/>
        </w:rPr>
      </w:pPr>
      <w:bookmarkStart w:id="586" w:name="_Toc20996"/>
      <w:bookmarkStart w:id="587" w:name="_Toc10408"/>
      <w:bookmarkStart w:id="588" w:name="_Toc28375"/>
      <w:bookmarkStart w:id="589" w:name="_Toc15583"/>
      <w:bookmarkStart w:id="590" w:name="_Toc16021"/>
      <w:r>
        <w:rPr>
          <w:rFonts w:hint="eastAsia" w:ascii="宋体" w:hAnsi="宋体" w:eastAsia="宋体" w:cs="宋体"/>
          <w:b/>
          <w:bCs/>
          <w:color w:val="auto"/>
          <w:sz w:val="24"/>
          <w:szCs w:val="24"/>
          <w:highlight w:val="none"/>
          <w:lang w:val="zh-CN"/>
        </w:rPr>
        <w:t>1.7 合同争议的解决</w:t>
      </w:r>
      <w:bookmarkEnd w:id="586"/>
      <w:bookmarkEnd w:id="587"/>
      <w:bookmarkEnd w:id="588"/>
      <w:bookmarkEnd w:id="589"/>
      <w:bookmarkEnd w:id="590"/>
    </w:p>
    <w:p w14:paraId="7C025FBF">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本合同履行过程中发生的任何争议，双方当事人均可通过和解或者调解解决；不愿和解、调解或者和解、调解不成的，可以选择下列第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种方式解决：</w:t>
      </w:r>
    </w:p>
    <w:p w14:paraId="7856D441">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1.7.1将争议提交</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仲裁委员会依申请仲裁时其现行有效的仲裁规则裁决；</w:t>
      </w:r>
    </w:p>
    <w:p w14:paraId="525321B9">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人民法院起诉。</w:t>
      </w:r>
    </w:p>
    <w:p w14:paraId="21D8E3B4">
      <w:pPr>
        <w:spacing w:line="360" w:lineRule="auto"/>
        <w:ind w:firstLine="437"/>
        <w:outlineLvl w:val="2"/>
        <w:rPr>
          <w:rFonts w:hint="eastAsia" w:ascii="宋体" w:hAnsi="宋体" w:eastAsia="宋体" w:cs="宋体"/>
          <w:b/>
          <w:bCs/>
          <w:color w:val="auto"/>
          <w:sz w:val="24"/>
          <w:szCs w:val="24"/>
          <w:highlight w:val="none"/>
          <w:lang w:val="zh-CN"/>
        </w:rPr>
      </w:pPr>
      <w:bookmarkStart w:id="591" w:name="_Toc21422"/>
      <w:bookmarkStart w:id="592" w:name="_Toc11173"/>
      <w:bookmarkStart w:id="593" w:name="_Toc7245"/>
      <w:bookmarkStart w:id="594" w:name="_Toc15322"/>
      <w:bookmarkStart w:id="595" w:name="_Toc14122"/>
      <w:r>
        <w:rPr>
          <w:rFonts w:hint="eastAsia" w:ascii="宋体" w:hAnsi="宋体" w:eastAsia="宋体" w:cs="宋体"/>
          <w:b/>
          <w:bCs/>
          <w:color w:val="auto"/>
          <w:sz w:val="24"/>
          <w:szCs w:val="24"/>
          <w:highlight w:val="none"/>
          <w:lang w:val="zh-CN"/>
        </w:rPr>
        <w:t>1.8 合同生效</w:t>
      </w:r>
      <w:bookmarkEnd w:id="591"/>
      <w:bookmarkEnd w:id="592"/>
      <w:bookmarkEnd w:id="593"/>
      <w:bookmarkEnd w:id="594"/>
      <w:bookmarkEnd w:id="595"/>
    </w:p>
    <w:p w14:paraId="5961B88C">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本合同自双方当事人盖章时生效。</w:t>
      </w:r>
    </w:p>
    <w:p w14:paraId="2F65E252">
      <w:pPr>
        <w:autoSpaceDE w:val="0"/>
        <w:autoSpaceDN w:val="0"/>
        <w:adjustRightInd w:val="0"/>
        <w:spacing w:line="560" w:lineRule="exact"/>
        <w:rPr>
          <w:rFonts w:hint="eastAsia" w:ascii="宋体" w:hAnsi="宋体" w:eastAsia="宋体" w:cs="宋体"/>
          <w:color w:val="auto"/>
          <w:sz w:val="24"/>
          <w:szCs w:val="24"/>
          <w:highlight w:val="none"/>
          <w:lang w:val="zh-CN"/>
        </w:rPr>
      </w:pPr>
    </w:p>
    <w:p w14:paraId="6DB0DE5E">
      <w:pPr>
        <w:keepNext w:val="0"/>
        <w:keepLines w:val="0"/>
        <w:pageBreakBefore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甲    方：</w:t>
      </w:r>
      <w:r>
        <w:rPr>
          <w:rFonts w:hint="eastAsia" w:ascii="宋体" w:hAnsi="宋体" w:eastAsia="宋体" w:cs="宋体"/>
          <w:bCs/>
          <w:color w:val="auto"/>
          <w:sz w:val="24"/>
          <w:szCs w:val="24"/>
          <w:highlight w:val="none"/>
          <w:u w:val="single"/>
          <w:lang w:val="zh-CN"/>
        </w:rPr>
        <w:t xml:space="preserve">    （单位盖章）     </w:t>
      </w:r>
      <w:r>
        <w:rPr>
          <w:rFonts w:hint="eastAsia" w:ascii="宋体" w:hAnsi="宋体" w:eastAsia="宋体" w:cs="宋体"/>
          <w:bCs/>
          <w:color w:val="auto"/>
          <w:sz w:val="24"/>
          <w:szCs w:val="24"/>
          <w:highlight w:val="none"/>
          <w:lang w:val="zh-CN"/>
        </w:rPr>
        <w:t xml:space="preserve">          乙方：</w:t>
      </w:r>
      <w:r>
        <w:rPr>
          <w:rFonts w:hint="eastAsia" w:ascii="宋体" w:hAnsi="宋体" w:eastAsia="宋体" w:cs="宋体"/>
          <w:bCs/>
          <w:color w:val="auto"/>
          <w:sz w:val="24"/>
          <w:szCs w:val="24"/>
          <w:highlight w:val="none"/>
          <w:u w:val="single"/>
          <w:lang w:val="zh-CN"/>
        </w:rPr>
        <w:t xml:space="preserve">    （单位盖章）     </w:t>
      </w:r>
    </w:p>
    <w:p w14:paraId="1B900B99">
      <w:pPr>
        <w:keepNext w:val="0"/>
        <w:keepLines w:val="0"/>
        <w:pageBreakBefore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法定代表人                               法定代表人</w:t>
      </w:r>
    </w:p>
    <w:p w14:paraId="009FFBBE">
      <w:pPr>
        <w:keepNext w:val="0"/>
        <w:keepLines w:val="0"/>
        <w:pageBreakBefore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或授权代表（签字）：                      或授权代表（签字）：</w:t>
      </w:r>
    </w:p>
    <w:p w14:paraId="5226F044">
      <w:pPr>
        <w:keepNext w:val="0"/>
        <w:keepLines w:val="0"/>
        <w:pageBreakBefore w:val="0"/>
        <w:widowControl/>
        <w:kinsoku/>
        <w:wordWrap/>
        <w:overflowPunct/>
        <w:topLinePunct w:val="0"/>
        <w:bidi w:val="0"/>
        <w:snapToGrid/>
        <w:spacing w:line="500" w:lineRule="exact"/>
        <w:jc w:val="left"/>
        <w:textAlignment w:val="auto"/>
        <w:rPr>
          <w:rFonts w:hint="eastAsia" w:ascii="宋体" w:hAnsi="宋体" w:eastAsia="宋体" w:cs="宋体"/>
          <w:bCs/>
          <w:color w:val="auto"/>
          <w:sz w:val="24"/>
          <w:szCs w:val="24"/>
          <w:highlight w:val="none"/>
        </w:rPr>
      </w:pPr>
      <w:bookmarkStart w:id="596" w:name="_Toc331685783"/>
      <w:r>
        <w:rPr>
          <w:rFonts w:hint="eastAsia" w:ascii="宋体" w:hAnsi="宋体" w:eastAsia="宋体" w:cs="宋体"/>
          <w:bCs/>
          <w:color w:val="auto"/>
          <w:sz w:val="24"/>
          <w:szCs w:val="24"/>
          <w:highlight w:val="none"/>
        </w:rPr>
        <w:t>时间：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日               时间：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日</w:t>
      </w:r>
    </w:p>
    <w:p w14:paraId="0FB8187C">
      <w:pPr>
        <w:keepNext w:val="0"/>
        <w:keepLines w:val="0"/>
        <w:pageBreakBefore w:val="0"/>
        <w:kinsoku/>
        <w:wordWrap/>
        <w:overflowPunct/>
        <w:topLinePunct w:val="0"/>
        <w:bidi w:val="0"/>
        <w:snapToGri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bookmarkStart w:id="597" w:name="_Hlk110099149"/>
      <w:r>
        <w:rPr>
          <w:rFonts w:hint="eastAsia" w:ascii="宋体" w:hAnsi="宋体" w:eastAsia="宋体" w:cs="宋体"/>
          <w:color w:val="auto"/>
          <w:sz w:val="24"/>
          <w:szCs w:val="24"/>
          <w:highlight w:val="none"/>
        </w:rPr>
        <w:t>乙方账户信息</w:t>
      </w:r>
    </w:p>
    <w:p w14:paraId="58A2B11B">
      <w:pPr>
        <w:keepNext w:val="0"/>
        <w:keepLines w:val="0"/>
        <w:pageBreakBefore w:val="0"/>
        <w:kinsoku/>
        <w:wordWrap/>
        <w:overflowPunct/>
        <w:topLinePunct w:val="0"/>
        <w:bidi w:val="0"/>
        <w:snapToGri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户名：</w:t>
      </w:r>
      <w:r>
        <w:rPr>
          <w:rFonts w:hint="eastAsia" w:ascii="宋体" w:hAnsi="宋体" w:eastAsia="宋体" w:cs="宋体"/>
          <w:color w:val="auto"/>
          <w:sz w:val="24"/>
          <w:szCs w:val="24"/>
          <w:highlight w:val="none"/>
          <w:u w:val="single"/>
        </w:rPr>
        <w:t xml:space="preserve">            </w:t>
      </w:r>
    </w:p>
    <w:p w14:paraId="0D697104">
      <w:pPr>
        <w:keepNext w:val="0"/>
        <w:keepLines w:val="0"/>
        <w:pageBreakBefore w:val="0"/>
        <w:kinsoku/>
        <w:wordWrap/>
        <w:overflowPunct/>
        <w:topLinePunct w:val="0"/>
        <w:bidi w:val="0"/>
        <w:snapToGri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账号：</w:t>
      </w:r>
      <w:r>
        <w:rPr>
          <w:rFonts w:hint="eastAsia" w:ascii="宋体" w:hAnsi="宋体" w:eastAsia="宋体" w:cs="宋体"/>
          <w:color w:val="auto"/>
          <w:sz w:val="24"/>
          <w:szCs w:val="24"/>
          <w:highlight w:val="none"/>
          <w:u w:val="single"/>
        </w:rPr>
        <w:t xml:space="preserve">            </w:t>
      </w:r>
    </w:p>
    <w:p w14:paraId="7309CDF0">
      <w:pPr>
        <w:keepNext w:val="0"/>
        <w:keepLines w:val="0"/>
        <w:pageBreakBefore w:val="0"/>
        <w:kinsoku/>
        <w:wordWrap/>
        <w:overflowPunct/>
        <w:topLinePunct w:val="0"/>
        <w:bidi w:val="0"/>
        <w:snapToGri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开户银行：</w:t>
      </w:r>
      <w:r>
        <w:rPr>
          <w:rFonts w:hint="eastAsia" w:ascii="宋体" w:hAnsi="宋体" w:eastAsia="宋体" w:cs="宋体"/>
          <w:color w:val="auto"/>
          <w:sz w:val="24"/>
          <w:szCs w:val="24"/>
          <w:highlight w:val="none"/>
          <w:u w:val="single"/>
        </w:rPr>
        <w:t xml:space="preserve">        </w:t>
      </w:r>
    </w:p>
    <w:bookmarkEnd w:id="597"/>
    <w:p w14:paraId="4D631BBC">
      <w:pPr>
        <w:widowControl/>
        <w:jc w:val="left"/>
        <w:rPr>
          <w:rFonts w:cs="Times New Roman" w:asciiTheme="minorEastAsia" w:hAnsiTheme="minorEastAsia" w:eastAsiaTheme="minorEastAsia"/>
          <w:b/>
          <w:color w:val="auto"/>
          <w:sz w:val="24"/>
          <w:szCs w:val="24"/>
          <w:highlight w:val="none"/>
        </w:rPr>
      </w:pPr>
      <w:r>
        <w:rPr>
          <w:rFonts w:cs="Times New Roman" w:asciiTheme="minorEastAsia" w:hAnsiTheme="minorEastAsia" w:eastAsiaTheme="minorEastAsia"/>
          <w:b/>
          <w:color w:val="auto"/>
          <w:sz w:val="24"/>
          <w:szCs w:val="24"/>
          <w:highlight w:val="none"/>
        </w:rPr>
        <w:br w:type="page"/>
      </w:r>
    </w:p>
    <w:p w14:paraId="37D2F896">
      <w:pPr>
        <w:spacing w:line="360" w:lineRule="auto"/>
        <w:jc w:val="center"/>
        <w:outlineLvl w:val="1"/>
        <w:rPr>
          <w:rFonts w:hint="eastAsia" w:ascii="宋体" w:hAnsi="宋体" w:eastAsia="宋体" w:cs="宋体"/>
          <w:b/>
          <w:color w:val="auto"/>
          <w:sz w:val="36"/>
          <w:szCs w:val="36"/>
          <w:highlight w:val="none"/>
        </w:rPr>
      </w:pPr>
      <w:bookmarkStart w:id="598" w:name="_Toc4008"/>
      <w:bookmarkStart w:id="599" w:name="_Toc13256"/>
      <w:bookmarkStart w:id="600" w:name="_Toc415"/>
      <w:r>
        <w:rPr>
          <w:rFonts w:hint="eastAsia" w:ascii="宋体" w:hAnsi="宋体" w:eastAsia="宋体" w:cs="宋体"/>
          <w:b/>
          <w:color w:val="auto"/>
          <w:sz w:val="36"/>
          <w:szCs w:val="36"/>
          <w:highlight w:val="none"/>
        </w:rPr>
        <w:t>第二部分 合同一般条款</w:t>
      </w:r>
      <w:bookmarkEnd w:id="596"/>
      <w:bookmarkEnd w:id="598"/>
      <w:bookmarkEnd w:id="599"/>
      <w:bookmarkEnd w:id="600"/>
    </w:p>
    <w:p w14:paraId="232A2B3D">
      <w:pPr>
        <w:spacing w:line="360" w:lineRule="auto"/>
        <w:ind w:firstLine="437"/>
        <w:outlineLvl w:val="2"/>
        <w:rPr>
          <w:rFonts w:hint="eastAsia" w:ascii="宋体" w:hAnsi="宋体" w:eastAsia="宋体" w:cs="宋体"/>
          <w:b/>
          <w:bCs/>
          <w:i w:val="0"/>
          <w:iCs w:val="0"/>
          <w:color w:val="auto"/>
          <w:sz w:val="24"/>
          <w:szCs w:val="24"/>
          <w:highlight w:val="none"/>
          <w:lang w:val="zh-CN"/>
        </w:rPr>
      </w:pPr>
      <w:bookmarkStart w:id="601" w:name="_Ref467379109"/>
      <w:bookmarkStart w:id="602" w:name="_Toc279701240"/>
      <w:bookmarkStart w:id="603" w:name="_Toc15955"/>
      <w:bookmarkStart w:id="604" w:name="_Ref467378404"/>
      <w:bookmarkStart w:id="605" w:name="_Ref467379225"/>
      <w:bookmarkStart w:id="606" w:name="_Ref467378463"/>
      <w:bookmarkStart w:id="607" w:name="_Toc6755"/>
      <w:bookmarkStart w:id="608" w:name="_Toc259093669"/>
      <w:bookmarkStart w:id="609" w:name="_Toc19614"/>
      <w:bookmarkStart w:id="610" w:name="_Ref467379094"/>
      <w:bookmarkStart w:id="611" w:name="_Ref467379214"/>
      <w:bookmarkStart w:id="612" w:name="_Toc16917"/>
      <w:bookmarkStart w:id="613" w:name="_Toc28763"/>
      <w:bookmarkStart w:id="614" w:name="_Ref467379101"/>
      <w:bookmarkStart w:id="615" w:name="_Ref467378499"/>
      <w:bookmarkStart w:id="616" w:name="_Ref467379205"/>
      <w:bookmarkStart w:id="617" w:name="_Toc487900349"/>
      <w:bookmarkStart w:id="618" w:name="_Ref467379195"/>
      <w:r>
        <w:rPr>
          <w:rFonts w:hint="eastAsia" w:ascii="宋体" w:hAnsi="宋体" w:eastAsia="宋体" w:cs="宋体"/>
          <w:b/>
          <w:bCs/>
          <w:i w:val="0"/>
          <w:iCs w:val="0"/>
          <w:color w:val="auto"/>
          <w:sz w:val="24"/>
          <w:szCs w:val="24"/>
          <w:highlight w:val="none"/>
          <w:lang w:val="zh-CN"/>
        </w:rPr>
        <w:t>2.1 定义</w:t>
      </w:r>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p>
    <w:p w14:paraId="3DABC3C2">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本合同中的下列词语应按以下内容进行解释：</w:t>
      </w:r>
    </w:p>
    <w:p w14:paraId="029314FD">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2.1.1“合同”系指采购人和中标人签订的载明双方当事人所达成的协议，并包括所有的附件、附录和构成合同的其他文件。</w:t>
      </w:r>
    </w:p>
    <w:p w14:paraId="2F4EDFDB">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2.1.2“合同价”系指根据合同约定，中标人在完全履行合同义务后，采购人应支付给中标人的价格。</w:t>
      </w:r>
    </w:p>
    <w:p w14:paraId="5824C107">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2.1.3“服务”系指中标人根据合同约定应向采购人履行的除货物和工程以外的其他政府采购对象，包括采购人自身需要的服务和向社会公众提供的公共服务。</w:t>
      </w:r>
    </w:p>
    <w:p w14:paraId="1802AAD8">
      <w:pPr>
        <w:spacing w:line="360" w:lineRule="auto"/>
        <w:ind w:firstLine="435"/>
        <w:rPr>
          <w:rFonts w:hint="eastAsia" w:ascii="宋体" w:hAnsi="宋体" w:eastAsia="宋体" w:cs="宋体"/>
          <w:i w:val="0"/>
          <w:iCs w:val="0"/>
          <w:color w:val="auto"/>
          <w:sz w:val="24"/>
          <w:szCs w:val="24"/>
          <w:highlight w:val="none"/>
        </w:rPr>
      </w:pPr>
      <w:bookmarkStart w:id="619" w:name="_Ref467378840"/>
      <w:r>
        <w:rPr>
          <w:rFonts w:hint="eastAsia" w:ascii="宋体" w:hAnsi="宋体" w:eastAsia="宋体" w:cs="宋体"/>
          <w:i w:val="0"/>
          <w:iCs w:val="0"/>
          <w:color w:val="auto"/>
          <w:sz w:val="24"/>
          <w:szCs w:val="24"/>
          <w:highlight w:val="none"/>
        </w:rPr>
        <w:t>2.1.4“甲方”系指与中标人签署合同的采购人</w:t>
      </w:r>
      <w:bookmarkEnd w:id="619"/>
      <w:r>
        <w:rPr>
          <w:rFonts w:hint="eastAsia" w:ascii="宋体" w:hAnsi="宋体" w:eastAsia="宋体" w:cs="宋体"/>
          <w:i w:val="0"/>
          <w:iCs w:val="0"/>
          <w:color w:val="auto"/>
          <w:sz w:val="24"/>
          <w:szCs w:val="24"/>
          <w:highlight w:val="none"/>
        </w:rPr>
        <w:t>；采购人委托采购代理机构代表其与乙方签订合同的，采购人的授权委托书作为合同附件。</w:t>
      </w:r>
    </w:p>
    <w:p w14:paraId="1106E655">
      <w:pPr>
        <w:spacing w:line="360" w:lineRule="auto"/>
        <w:ind w:firstLine="435"/>
        <w:rPr>
          <w:rFonts w:hint="eastAsia" w:ascii="宋体" w:hAnsi="宋体" w:eastAsia="宋体" w:cs="宋体"/>
          <w:i w:val="0"/>
          <w:iCs w:val="0"/>
          <w:color w:val="auto"/>
          <w:sz w:val="24"/>
          <w:szCs w:val="24"/>
          <w:highlight w:val="none"/>
        </w:rPr>
      </w:pPr>
      <w:bookmarkStart w:id="620" w:name="_Ref467379400"/>
      <w:r>
        <w:rPr>
          <w:rFonts w:hint="eastAsia" w:ascii="宋体" w:hAnsi="宋体" w:eastAsia="宋体" w:cs="宋体"/>
          <w:i w:val="0"/>
          <w:iCs w:val="0"/>
          <w:color w:val="auto"/>
          <w:sz w:val="24"/>
          <w:szCs w:val="24"/>
          <w:highlight w:val="none"/>
        </w:rPr>
        <w:t>2.1.5“乙方”系指根据合同约定提供服务的中标人</w:t>
      </w:r>
      <w:bookmarkEnd w:id="620"/>
      <w:r>
        <w:rPr>
          <w:rFonts w:hint="eastAsia" w:ascii="宋体" w:hAnsi="宋体" w:eastAsia="宋体" w:cs="宋体"/>
          <w:i w:val="0"/>
          <w:iCs w:val="0"/>
          <w:color w:val="auto"/>
          <w:sz w:val="24"/>
          <w:szCs w:val="24"/>
          <w:highlight w:val="none"/>
        </w:rPr>
        <w:t>；两个以上的自然人、法人或者其他组织组成一个联合体，以一个</w:t>
      </w:r>
      <w:r>
        <w:rPr>
          <w:rFonts w:hint="eastAsia" w:cs="宋体"/>
          <w:i w:val="0"/>
          <w:iCs w:val="0"/>
          <w:color w:val="auto"/>
          <w:sz w:val="24"/>
          <w:szCs w:val="24"/>
          <w:highlight w:val="none"/>
          <w:lang w:eastAsia="zh-CN"/>
        </w:rPr>
        <w:t>投标单位</w:t>
      </w:r>
      <w:r>
        <w:rPr>
          <w:rFonts w:hint="eastAsia" w:ascii="宋体" w:hAnsi="宋体" w:eastAsia="宋体" w:cs="宋体"/>
          <w:i w:val="0"/>
          <w:iCs w:val="0"/>
          <w:color w:val="auto"/>
          <w:sz w:val="24"/>
          <w:szCs w:val="24"/>
          <w:highlight w:val="none"/>
        </w:rPr>
        <w:t>的身份共同参加政府采购的，联合体各方均应为乙方或者与乙方相同地位的合同当事人，并就合同约定的事项对甲方承担连带责任。</w:t>
      </w:r>
    </w:p>
    <w:p w14:paraId="368FF11B">
      <w:pPr>
        <w:spacing w:line="360" w:lineRule="auto"/>
        <w:ind w:firstLine="435"/>
        <w:rPr>
          <w:rFonts w:hint="eastAsia" w:ascii="宋体" w:hAnsi="宋体" w:eastAsia="宋体" w:cs="宋体"/>
          <w:i w:val="0"/>
          <w:iCs w:val="0"/>
          <w:color w:val="auto"/>
          <w:sz w:val="24"/>
          <w:szCs w:val="24"/>
          <w:highlight w:val="none"/>
        </w:rPr>
      </w:pPr>
      <w:bookmarkStart w:id="621" w:name="_Ref467379436"/>
      <w:r>
        <w:rPr>
          <w:rFonts w:hint="eastAsia" w:ascii="宋体" w:hAnsi="宋体" w:eastAsia="宋体" w:cs="宋体"/>
          <w:i w:val="0"/>
          <w:iCs w:val="0"/>
          <w:color w:val="auto"/>
          <w:sz w:val="24"/>
          <w:szCs w:val="24"/>
          <w:highlight w:val="none"/>
        </w:rPr>
        <w:t>2.1.6“现场”系指合同约定提供服务的地点。</w:t>
      </w:r>
      <w:bookmarkEnd w:id="621"/>
    </w:p>
    <w:p w14:paraId="6E2582CC">
      <w:pPr>
        <w:spacing w:line="360" w:lineRule="auto"/>
        <w:ind w:firstLine="437"/>
        <w:outlineLvl w:val="2"/>
        <w:rPr>
          <w:rFonts w:hint="eastAsia" w:ascii="宋体" w:hAnsi="宋体" w:eastAsia="宋体" w:cs="宋体"/>
          <w:b/>
          <w:bCs/>
          <w:i w:val="0"/>
          <w:iCs w:val="0"/>
          <w:color w:val="auto"/>
          <w:sz w:val="24"/>
          <w:szCs w:val="24"/>
          <w:highlight w:val="none"/>
          <w:lang w:val="zh-CN"/>
        </w:rPr>
      </w:pPr>
      <w:bookmarkStart w:id="622" w:name="_Toc259093670"/>
      <w:bookmarkStart w:id="623" w:name="_Toc28490"/>
      <w:bookmarkStart w:id="624" w:name="_Toc487900350"/>
      <w:bookmarkStart w:id="625" w:name="_Toc32504"/>
      <w:bookmarkStart w:id="626" w:name="_Toc279701241"/>
      <w:bookmarkStart w:id="627" w:name="_Toc27635"/>
      <w:bookmarkStart w:id="628" w:name="_Toc32079"/>
      <w:bookmarkStart w:id="629" w:name="_Toc13336"/>
      <w:r>
        <w:rPr>
          <w:rFonts w:hint="eastAsia" w:ascii="宋体" w:hAnsi="宋体" w:eastAsia="宋体" w:cs="宋体"/>
          <w:b/>
          <w:bCs/>
          <w:i w:val="0"/>
          <w:iCs w:val="0"/>
          <w:color w:val="auto"/>
          <w:sz w:val="24"/>
          <w:szCs w:val="24"/>
          <w:highlight w:val="none"/>
          <w:lang w:val="zh-CN"/>
        </w:rPr>
        <w:t>2.2 技术规范</w:t>
      </w:r>
      <w:bookmarkEnd w:id="622"/>
      <w:bookmarkEnd w:id="623"/>
      <w:bookmarkEnd w:id="624"/>
      <w:bookmarkEnd w:id="625"/>
      <w:bookmarkEnd w:id="626"/>
      <w:bookmarkEnd w:id="627"/>
      <w:bookmarkEnd w:id="628"/>
      <w:bookmarkEnd w:id="629"/>
    </w:p>
    <w:p w14:paraId="69A21D85">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9340A77">
      <w:pPr>
        <w:spacing w:line="360" w:lineRule="auto"/>
        <w:ind w:firstLine="437"/>
        <w:outlineLvl w:val="2"/>
        <w:rPr>
          <w:rFonts w:hint="eastAsia" w:ascii="宋体" w:hAnsi="宋体" w:eastAsia="宋体" w:cs="宋体"/>
          <w:b/>
          <w:bCs/>
          <w:i w:val="0"/>
          <w:iCs w:val="0"/>
          <w:color w:val="auto"/>
          <w:sz w:val="24"/>
          <w:szCs w:val="24"/>
          <w:highlight w:val="none"/>
          <w:lang w:val="zh-CN"/>
        </w:rPr>
      </w:pPr>
      <w:bookmarkStart w:id="630" w:name="_Toc17683"/>
      <w:bookmarkStart w:id="631" w:name="_Toc27853"/>
      <w:bookmarkStart w:id="632" w:name="_Toc487900351"/>
      <w:bookmarkStart w:id="633" w:name="_Toc259093671"/>
      <w:bookmarkStart w:id="634" w:name="_Toc31634"/>
      <w:bookmarkStart w:id="635" w:name="_Toc15907"/>
      <w:bookmarkStart w:id="636" w:name="_Toc279701242"/>
      <w:bookmarkStart w:id="637" w:name="_Toc9829"/>
      <w:r>
        <w:rPr>
          <w:rFonts w:hint="eastAsia" w:ascii="宋体" w:hAnsi="宋体" w:eastAsia="宋体" w:cs="宋体"/>
          <w:b/>
          <w:bCs/>
          <w:i w:val="0"/>
          <w:iCs w:val="0"/>
          <w:color w:val="auto"/>
          <w:sz w:val="24"/>
          <w:szCs w:val="24"/>
          <w:highlight w:val="none"/>
          <w:lang w:val="zh-CN"/>
        </w:rPr>
        <w:t>2.3 知识产权</w:t>
      </w:r>
      <w:bookmarkEnd w:id="630"/>
      <w:bookmarkEnd w:id="631"/>
      <w:bookmarkEnd w:id="632"/>
      <w:bookmarkEnd w:id="633"/>
      <w:bookmarkEnd w:id="634"/>
      <w:bookmarkEnd w:id="635"/>
      <w:bookmarkEnd w:id="636"/>
      <w:bookmarkEnd w:id="637"/>
    </w:p>
    <w:p w14:paraId="0051651D">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2.3.1乙方应保证其提供的服务不受任何第三方提出的侵犯其著作权、商标权、专利权等知识产权方面的起诉；如果任何第三方提出侵权指控，那么乙方须与该第三方交涉并承担由此发生的一切责任、费用和赔偿；</w:t>
      </w:r>
    </w:p>
    <w:p w14:paraId="1B5AB00A">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2.3.2具有知识产权的计算机软件等货物的知识产权归属，详见</w:t>
      </w:r>
      <w:r>
        <w:rPr>
          <w:rFonts w:hint="eastAsia" w:ascii="宋体" w:hAnsi="宋体" w:eastAsia="宋体" w:cs="宋体"/>
          <w:b/>
          <w:i w:val="0"/>
          <w:iCs w:val="0"/>
          <w:color w:val="auto"/>
          <w:sz w:val="24"/>
          <w:szCs w:val="24"/>
          <w:highlight w:val="none"/>
          <w:u w:val="single"/>
        </w:rPr>
        <w:t>合同专用条款</w:t>
      </w:r>
      <w:r>
        <w:rPr>
          <w:rFonts w:hint="eastAsia" w:ascii="宋体" w:hAnsi="宋体" w:eastAsia="宋体" w:cs="宋体"/>
          <w:i w:val="0"/>
          <w:iCs w:val="0"/>
          <w:color w:val="auto"/>
          <w:sz w:val="24"/>
          <w:szCs w:val="24"/>
          <w:highlight w:val="none"/>
        </w:rPr>
        <w:t>。</w:t>
      </w:r>
    </w:p>
    <w:p w14:paraId="7FDDB45A">
      <w:pPr>
        <w:spacing w:line="360" w:lineRule="auto"/>
        <w:ind w:firstLine="437"/>
        <w:outlineLvl w:val="2"/>
        <w:rPr>
          <w:rFonts w:hint="eastAsia" w:ascii="宋体" w:hAnsi="宋体" w:eastAsia="宋体" w:cs="宋体"/>
          <w:b/>
          <w:bCs/>
          <w:i w:val="0"/>
          <w:iCs w:val="0"/>
          <w:color w:val="auto"/>
          <w:sz w:val="24"/>
          <w:szCs w:val="24"/>
          <w:highlight w:val="none"/>
          <w:lang w:val="zh-CN"/>
        </w:rPr>
      </w:pPr>
      <w:bookmarkStart w:id="638" w:name="_Ref467379527"/>
      <w:bookmarkStart w:id="639" w:name="_Ref467378541"/>
      <w:bookmarkStart w:id="640" w:name="_Ref467379542"/>
      <w:bookmarkStart w:id="641" w:name="_Toc487900354"/>
      <w:bookmarkStart w:id="642" w:name="_Ref467378591"/>
      <w:bookmarkStart w:id="643" w:name="_Toc259093674"/>
      <w:bookmarkStart w:id="644" w:name="_Ref467379536"/>
      <w:bookmarkStart w:id="645" w:name="_Toc279701245"/>
      <w:bookmarkStart w:id="646" w:name="_Toc29150"/>
      <w:bookmarkStart w:id="647" w:name="_Toc19074"/>
      <w:bookmarkStart w:id="648" w:name="_Toc26182"/>
      <w:bookmarkStart w:id="649" w:name="_Toc28304"/>
      <w:bookmarkStart w:id="650" w:name="_Toc30272"/>
      <w:r>
        <w:rPr>
          <w:rFonts w:hint="eastAsia" w:ascii="宋体" w:hAnsi="宋体" w:eastAsia="宋体" w:cs="宋体"/>
          <w:b/>
          <w:bCs/>
          <w:i w:val="0"/>
          <w:iCs w:val="0"/>
          <w:color w:val="auto"/>
          <w:sz w:val="24"/>
          <w:szCs w:val="24"/>
          <w:highlight w:val="none"/>
          <w:lang w:val="zh-CN"/>
        </w:rPr>
        <w:t>2.</w:t>
      </w:r>
      <w:bookmarkEnd w:id="638"/>
      <w:bookmarkEnd w:id="639"/>
      <w:bookmarkEnd w:id="640"/>
      <w:bookmarkEnd w:id="641"/>
      <w:bookmarkEnd w:id="642"/>
      <w:bookmarkEnd w:id="643"/>
      <w:bookmarkEnd w:id="644"/>
      <w:bookmarkEnd w:id="645"/>
      <w:r>
        <w:rPr>
          <w:rFonts w:hint="eastAsia" w:ascii="宋体" w:hAnsi="宋体" w:eastAsia="宋体" w:cs="宋体"/>
          <w:b/>
          <w:bCs/>
          <w:i w:val="0"/>
          <w:iCs w:val="0"/>
          <w:color w:val="auto"/>
          <w:sz w:val="24"/>
          <w:szCs w:val="24"/>
          <w:highlight w:val="none"/>
          <w:lang w:val="zh-CN"/>
        </w:rPr>
        <w:t>4 履约检查和问题反馈</w:t>
      </w:r>
      <w:bookmarkEnd w:id="646"/>
      <w:bookmarkEnd w:id="647"/>
      <w:bookmarkEnd w:id="648"/>
      <w:bookmarkEnd w:id="649"/>
      <w:bookmarkEnd w:id="650"/>
    </w:p>
    <w:p w14:paraId="1F572855">
      <w:pPr>
        <w:spacing w:line="360" w:lineRule="auto"/>
        <w:ind w:firstLine="435"/>
        <w:rPr>
          <w:rFonts w:hint="eastAsia" w:ascii="宋体" w:hAnsi="宋体" w:eastAsia="宋体" w:cs="宋体"/>
          <w:i w:val="0"/>
          <w:iCs w:val="0"/>
          <w:color w:val="auto"/>
          <w:sz w:val="24"/>
          <w:szCs w:val="24"/>
          <w:highlight w:val="none"/>
        </w:rPr>
      </w:pPr>
      <w:bookmarkStart w:id="651" w:name="_Toc186431854"/>
      <w:bookmarkStart w:id="652" w:name="_Ref467379807"/>
      <w:bookmarkStart w:id="653" w:name="_Toc279701247"/>
      <w:bookmarkStart w:id="654" w:name="_Ref467379793"/>
      <w:bookmarkStart w:id="655" w:name="_Toc487900357"/>
      <w:bookmarkStart w:id="656" w:name="_Toc259093676"/>
      <w:r>
        <w:rPr>
          <w:rFonts w:hint="eastAsia" w:ascii="宋体" w:hAnsi="宋体" w:eastAsia="宋体" w:cs="宋体"/>
          <w:i w:val="0"/>
          <w:iCs w:val="0"/>
          <w:color w:val="auto"/>
          <w:sz w:val="24"/>
          <w:szCs w:val="24"/>
          <w:highlight w:val="none"/>
        </w:rPr>
        <w:t>2.4.1甲方有权在其认为必要时，对乙方是否能够按照合同约定提供服务进行履约检查，以确保乙方所提供的服务能够依约满足甲方项目需求，但不得因履约检查妨碍乙方的正常工作，乙方应予积极配合；</w:t>
      </w:r>
    </w:p>
    <w:p w14:paraId="46A90DE8">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2.4.2合同履行期间，甲方有权将履行过程中出现的问题反馈给乙方，双方当事人应以书面形式约定需要完善和改进的内容</w:t>
      </w:r>
      <w:bookmarkEnd w:id="651"/>
      <w:bookmarkStart w:id="657" w:name="_Toc186431855"/>
      <w:r>
        <w:rPr>
          <w:rFonts w:hint="eastAsia" w:ascii="宋体" w:hAnsi="宋体" w:eastAsia="宋体" w:cs="宋体"/>
          <w:i w:val="0"/>
          <w:iCs w:val="0"/>
          <w:color w:val="auto"/>
          <w:sz w:val="24"/>
          <w:szCs w:val="24"/>
          <w:highlight w:val="none"/>
        </w:rPr>
        <w:t>。</w:t>
      </w:r>
    </w:p>
    <w:bookmarkEnd w:id="657"/>
    <w:p w14:paraId="37DDF5E5">
      <w:pPr>
        <w:spacing w:line="360" w:lineRule="auto"/>
        <w:ind w:firstLine="437"/>
        <w:outlineLvl w:val="2"/>
        <w:rPr>
          <w:rFonts w:hint="eastAsia" w:ascii="宋体" w:hAnsi="宋体" w:eastAsia="宋体" w:cs="宋体"/>
          <w:b/>
          <w:bCs/>
          <w:i w:val="0"/>
          <w:iCs w:val="0"/>
          <w:color w:val="auto"/>
          <w:sz w:val="24"/>
          <w:szCs w:val="24"/>
          <w:highlight w:val="none"/>
          <w:lang w:val="zh-CN"/>
        </w:rPr>
      </w:pPr>
      <w:bookmarkStart w:id="658" w:name="_Toc28451"/>
      <w:bookmarkStart w:id="659" w:name="_Toc745"/>
      <w:bookmarkStart w:id="660" w:name="_Toc6918"/>
      <w:bookmarkStart w:id="661" w:name="_Toc7836"/>
      <w:bookmarkStart w:id="662" w:name="_Toc19219"/>
      <w:r>
        <w:rPr>
          <w:rFonts w:hint="eastAsia" w:ascii="宋体" w:hAnsi="宋体" w:eastAsia="宋体" w:cs="宋体"/>
          <w:b/>
          <w:bCs/>
          <w:i w:val="0"/>
          <w:iCs w:val="0"/>
          <w:color w:val="auto"/>
          <w:sz w:val="24"/>
          <w:szCs w:val="24"/>
          <w:highlight w:val="none"/>
          <w:lang w:val="zh-CN"/>
        </w:rPr>
        <w:t>2.5 结算方式和付款条件</w:t>
      </w:r>
      <w:bookmarkEnd w:id="652"/>
      <w:bookmarkEnd w:id="653"/>
      <w:bookmarkEnd w:id="654"/>
      <w:bookmarkEnd w:id="655"/>
      <w:bookmarkEnd w:id="656"/>
      <w:bookmarkEnd w:id="658"/>
      <w:bookmarkEnd w:id="659"/>
      <w:bookmarkEnd w:id="660"/>
      <w:bookmarkEnd w:id="661"/>
      <w:bookmarkEnd w:id="662"/>
    </w:p>
    <w:p w14:paraId="350F9F19">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详见</w:t>
      </w:r>
      <w:r>
        <w:rPr>
          <w:rFonts w:hint="eastAsia" w:ascii="宋体" w:hAnsi="宋体" w:eastAsia="宋体" w:cs="宋体"/>
          <w:b/>
          <w:i w:val="0"/>
          <w:iCs w:val="0"/>
          <w:color w:val="auto"/>
          <w:sz w:val="24"/>
          <w:szCs w:val="24"/>
          <w:highlight w:val="none"/>
          <w:u w:val="single"/>
        </w:rPr>
        <w:t>合同专用条款</w:t>
      </w:r>
      <w:r>
        <w:rPr>
          <w:rFonts w:hint="eastAsia" w:ascii="宋体" w:hAnsi="宋体" w:eastAsia="宋体" w:cs="宋体"/>
          <w:i w:val="0"/>
          <w:iCs w:val="0"/>
          <w:color w:val="auto"/>
          <w:sz w:val="24"/>
          <w:szCs w:val="24"/>
          <w:highlight w:val="none"/>
        </w:rPr>
        <w:t>。</w:t>
      </w:r>
    </w:p>
    <w:p w14:paraId="0E66E798">
      <w:pPr>
        <w:spacing w:line="360" w:lineRule="auto"/>
        <w:ind w:firstLine="437"/>
        <w:outlineLvl w:val="2"/>
        <w:rPr>
          <w:rFonts w:hint="eastAsia" w:ascii="宋体" w:hAnsi="宋体" w:eastAsia="宋体" w:cs="宋体"/>
          <w:b/>
          <w:bCs/>
          <w:i w:val="0"/>
          <w:iCs w:val="0"/>
          <w:color w:val="auto"/>
          <w:sz w:val="24"/>
          <w:szCs w:val="24"/>
          <w:highlight w:val="none"/>
          <w:lang w:val="zh-CN"/>
        </w:rPr>
      </w:pPr>
      <w:bookmarkStart w:id="663" w:name="_Ref467379863"/>
      <w:bookmarkStart w:id="664" w:name="_Ref467379852"/>
      <w:bookmarkStart w:id="665" w:name="_Toc487900358"/>
      <w:bookmarkStart w:id="666" w:name="_Toc279701248"/>
      <w:bookmarkStart w:id="667" w:name="_Toc259093677"/>
      <w:bookmarkStart w:id="668" w:name="_Ref467379923"/>
      <w:bookmarkStart w:id="669" w:name="_Toc6627"/>
      <w:bookmarkStart w:id="670" w:name="_Toc16110"/>
      <w:bookmarkStart w:id="671" w:name="_Toc3225"/>
      <w:bookmarkStart w:id="672" w:name="_Toc8947"/>
      <w:bookmarkStart w:id="673" w:name="_Toc774"/>
      <w:r>
        <w:rPr>
          <w:rFonts w:hint="eastAsia" w:ascii="宋体" w:hAnsi="宋体" w:eastAsia="宋体" w:cs="宋体"/>
          <w:b/>
          <w:bCs/>
          <w:i w:val="0"/>
          <w:iCs w:val="0"/>
          <w:color w:val="auto"/>
          <w:sz w:val="24"/>
          <w:szCs w:val="24"/>
          <w:highlight w:val="none"/>
          <w:lang w:val="zh-CN"/>
        </w:rPr>
        <w:t>2.6 技术资料</w:t>
      </w:r>
      <w:bookmarkEnd w:id="663"/>
      <w:bookmarkEnd w:id="664"/>
      <w:bookmarkEnd w:id="665"/>
      <w:bookmarkEnd w:id="666"/>
      <w:bookmarkEnd w:id="667"/>
      <w:bookmarkEnd w:id="668"/>
      <w:r>
        <w:rPr>
          <w:rFonts w:hint="eastAsia" w:ascii="宋体" w:hAnsi="宋体" w:eastAsia="宋体" w:cs="宋体"/>
          <w:b/>
          <w:bCs/>
          <w:i w:val="0"/>
          <w:iCs w:val="0"/>
          <w:color w:val="auto"/>
          <w:sz w:val="24"/>
          <w:szCs w:val="24"/>
          <w:highlight w:val="none"/>
          <w:lang w:val="zh-CN"/>
        </w:rPr>
        <w:t>和保密义务</w:t>
      </w:r>
      <w:bookmarkEnd w:id="669"/>
      <w:bookmarkEnd w:id="670"/>
      <w:bookmarkEnd w:id="671"/>
      <w:bookmarkEnd w:id="672"/>
      <w:bookmarkEnd w:id="673"/>
    </w:p>
    <w:p w14:paraId="043E0FD0">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2.6.1乙方有权依据合同约定和项目需要，向甲方了解有关情况，调阅有关资料等，甲方应予积极配合；</w:t>
      </w:r>
    </w:p>
    <w:p w14:paraId="12D7ADE8">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2.6.2乙方有义务妥善保管和保护由甲方提供的前款信息和资料等；</w:t>
      </w:r>
    </w:p>
    <w:p w14:paraId="1BFAE2B4">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2.6.3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D716C7F">
      <w:pPr>
        <w:spacing w:line="360" w:lineRule="auto"/>
        <w:ind w:firstLine="437"/>
        <w:outlineLvl w:val="2"/>
        <w:rPr>
          <w:rFonts w:hint="eastAsia" w:ascii="宋体" w:hAnsi="宋体" w:eastAsia="宋体" w:cs="宋体"/>
          <w:b/>
          <w:bCs/>
          <w:i w:val="0"/>
          <w:iCs w:val="0"/>
          <w:color w:val="auto"/>
          <w:sz w:val="24"/>
          <w:szCs w:val="24"/>
          <w:highlight w:val="none"/>
          <w:lang w:val="zh-CN"/>
        </w:rPr>
      </w:pPr>
      <w:bookmarkStart w:id="674" w:name="_Toc1434"/>
      <w:bookmarkStart w:id="675" w:name="_Toc7860"/>
      <w:bookmarkStart w:id="676" w:name="_Toc20401"/>
      <w:r>
        <w:rPr>
          <w:rFonts w:hint="eastAsia" w:ascii="宋体" w:hAnsi="宋体" w:eastAsia="宋体" w:cs="宋体"/>
          <w:b/>
          <w:bCs/>
          <w:i w:val="0"/>
          <w:iCs w:val="0"/>
          <w:color w:val="auto"/>
          <w:sz w:val="24"/>
          <w:szCs w:val="24"/>
          <w:highlight w:val="none"/>
          <w:lang w:val="zh-CN"/>
        </w:rPr>
        <w:t>2.7 质量保证</w:t>
      </w:r>
      <w:bookmarkEnd w:id="674"/>
      <w:bookmarkEnd w:id="675"/>
      <w:bookmarkEnd w:id="676"/>
    </w:p>
    <w:p w14:paraId="06F68E3D">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2.7.1乙方应建立和完善履行合同的内部质量保证体系，并提供相关内部规章制度给甲方，以便甲方进行监督检查；</w:t>
      </w:r>
    </w:p>
    <w:p w14:paraId="37CEC890">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2.7.2乙方应保证履行合同的人员数量和素质、软件和硬件设备的配置、场地、环境和设施等满足全面履行合同的要求，并应接受甲方的监督检查。</w:t>
      </w:r>
    </w:p>
    <w:p w14:paraId="6EE54FD6">
      <w:pPr>
        <w:spacing w:line="360" w:lineRule="auto"/>
        <w:ind w:firstLine="437"/>
        <w:outlineLvl w:val="2"/>
        <w:rPr>
          <w:rFonts w:hint="eastAsia" w:ascii="宋体" w:hAnsi="宋体" w:eastAsia="宋体" w:cs="宋体"/>
          <w:b/>
          <w:i w:val="0"/>
          <w:iCs w:val="0"/>
          <w:color w:val="auto"/>
          <w:sz w:val="24"/>
          <w:szCs w:val="24"/>
          <w:highlight w:val="none"/>
        </w:rPr>
      </w:pPr>
      <w:bookmarkStart w:id="677" w:name="_Toc27251"/>
      <w:bookmarkStart w:id="678" w:name="_Toc20440"/>
      <w:bookmarkStart w:id="679" w:name="_Toc22267"/>
      <w:r>
        <w:rPr>
          <w:rFonts w:hint="eastAsia" w:ascii="宋体" w:hAnsi="宋体" w:eastAsia="宋体" w:cs="宋体"/>
          <w:b/>
          <w:i w:val="0"/>
          <w:iCs w:val="0"/>
          <w:color w:val="auto"/>
          <w:sz w:val="24"/>
          <w:szCs w:val="24"/>
          <w:highlight w:val="none"/>
        </w:rPr>
        <w:t>2.8 延迟履行</w:t>
      </w:r>
      <w:bookmarkEnd w:id="677"/>
      <w:bookmarkEnd w:id="678"/>
      <w:bookmarkEnd w:id="679"/>
    </w:p>
    <w:p w14:paraId="39241BB2">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546551B4">
      <w:pPr>
        <w:spacing w:line="360" w:lineRule="auto"/>
        <w:ind w:firstLine="437"/>
        <w:outlineLvl w:val="2"/>
        <w:rPr>
          <w:rFonts w:hint="eastAsia" w:ascii="宋体" w:hAnsi="宋体" w:eastAsia="宋体" w:cs="宋体"/>
          <w:b/>
          <w:bCs/>
          <w:i w:val="0"/>
          <w:iCs w:val="0"/>
          <w:color w:val="auto"/>
          <w:sz w:val="24"/>
          <w:szCs w:val="24"/>
          <w:highlight w:val="none"/>
          <w:lang w:val="zh-CN"/>
        </w:rPr>
      </w:pPr>
      <w:bookmarkStart w:id="680" w:name="_Toc22045"/>
      <w:bookmarkStart w:id="681" w:name="_Toc7502"/>
      <w:bookmarkStart w:id="682" w:name="_Toc106"/>
      <w:bookmarkStart w:id="683" w:name="_Toc259093683"/>
      <w:bookmarkStart w:id="684" w:name="_Ref467378121"/>
      <w:bookmarkStart w:id="685" w:name="_Toc279701254"/>
      <w:bookmarkStart w:id="686" w:name="_Toc487900364"/>
      <w:r>
        <w:rPr>
          <w:rFonts w:hint="eastAsia" w:ascii="宋体" w:hAnsi="宋体" w:eastAsia="宋体" w:cs="宋体"/>
          <w:b/>
          <w:bCs/>
          <w:i w:val="0"/>
          <w:iCs w:val="0"/>
          <w:color w:val="auto"/>
          <w:sz w:val="24"/>
          <w:szCs w:val="24"/>
          <w:highlight w:val="none"/>
          <w:lang w:val="zh-CN"/>
        </w:rPr>
        <w:t>2.9 合同变更</w:t>
      </w:r>
      <w:bookmarkEnd w:id="680"/>
      <w:bookmarkEnd w:id="681"/>
      <w:bookmarkEnd w:id="682"/>
    </w:p>
    <w:p w14:paraId="60F58CC5">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2.9.1双方当事人协商一致，可以签订书面补充合同的形式变更合同，但不得违背采购文件确定的事项；</w:t>
      </w:r>
    </w:p>
    <w:p w14:paraId="42F7E758">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2.9.2合同继续履行将损害国家利益和社会公共利益的，双方当事人应当以书面形式变更合同。有过错的一方应当承担赔偿责任，双方当事人都有过错的，各自承担相应的责任。</w:t>
      </w:r>
      <w:bookmarkStart w:id="687" w:name="_Toc279701259"/>
      <w:bookmarkStart w:id="688" w:name="_Toc259093688"/>
      <w:bookmarkStart w:id="689" w:name="_Toc487900369"/>
    </w:p>
    <w:p w14:paraId="742F9E7E">
      <w:pPr>
        <w:spacing w:line="360" w:lineRule="auto"/>
        <w:ind w:firstLine="437"/>
        <w:outlineLvl w:val="2"/>
        <w:rPr>
          <w:rFonts w:hint="eastAsia" w:ascii="宋体" w:hAnsi="宋体" w:eastAsia="宋体" w:cs="宋体"/>
          <w:b/>
          <w:bCs/>
          <w:i w:val="0"/>
          <w:iCs w:val="0"/>
          <w:color w:val="auto"/>
          <w:sz w:val="24"/>
          <w:szCs w:val="24"/>
          <w:highlight w:val="none"/>
          <w:lang w:val="zh-CN"/>
        </w:rPr>
      </w:pPr>
      <w:bookmarkStart w:id="690" w:name="_Toc19955"/>
      <w:bookmarkStart w:id="691" w:name="_Toc22955"/>
      <w:bookmarkStart w:id="692" w:name="_Toc10366"/>
      <w:bookmarkStart w:id="693" w:name="_Toc15237"/>
      <w:bookmarkStart w:id="694" w:name="_Toc20243"/>
      <w:r>
        <w:rPr>
          <w:rFonts w:hint="eastAsia" w:ascii="宋体" w:hAnsi="宋体" w:eastAsia="宋体" w:cs="宋体"/>
          <w:b/>
          <w:bCs/>
          <w:i w:val="0"/>
          <w:iCs w:val="0"/>
          <w:color w:val="auto"/>
          <w:sz w:val="24"/>
          <w:szCs w:val="24"/>
          <w:highlight w:val="none"/>
          <w:lang w:val="zh-CN"/>
        </w:rPr>
        <w:t>2.10 合同转让</w:t>
      </w:r>
      <w:bookmarkEnd w:id="687"/>
      <w:bookmarkEnd w:id="688"/>
      <w:bookmarkEnd w:id="689"/>
      <w:r>
        <w:rPr>
          <w:rFonts w:hint="eastAsia" w:ascii="宋体" w:hAnsi="宋体" w:eastAsia="宋体" w:cs="宋体"/>
          <w:b/>
          <w:bCs/>
          <w:i w:val="0"/>
          <w:iCs w:val="0"/>
          <w:color w:val="auto"/>
          <w:sz w:val="24"/>
          <w:szCs w:val="24"/>
          <w:highlight w:val="none"/>
          <w:lang w:val="zh-CN"/>
        </w:rPr>
        <w:t>和分包</w:t>
      </w:r>
      <w:bookmarkEnd w:id="690"/>
      <w:bookmarkEnd w:id="691"/>
      <w:bookmarkEnd w:id="692"/>
      <w:bookmarkEnd w:id="693"/>
      <w:bookmarkEnd w:id="694"/>
    </w:p>
    <w:p w14:paraId="26ADD7CF">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w:t>
      </w:r>
      <w:r>
        <w:rPr>
          <w:rFonts w:hint="eastAsia" w:cs="宋体"/>
          <w:i w:val="0"/>
          <w:iCs w:val="0"/>
          <w:color w:val="auto"/>
          <w:sz w:val="24"/>
          <w:szCs w:val="24"/>
          <w:highlight w:val="none"/>
          <w:lang w:eastAsia="zh-CN"/>
        </w:rPr>
        <w:t>投标单位</w:t>
      </w:r>
      <w:r>
        <w:rPr>
          <w:rFonts w:hint="eastAsia" w:ascii="宋体" w:hAnsi="宋体" w:eastAsia="宋体" w:cs="宋体"/>
          <w:i w:val="0"/>
          <w:iCs w:val="0"/>
          <w:color w:val="auto"/>
          <w:sz w:val="24"/>
          <w:szCs w:val="24"/>
          <w:highlight w:val="none"/>
        </w:rPr>
        <w:t>就分包项目向甲方承担连带责任。</w:t>
      </w:r>
    </w:p>
    <w:p w14:paraId="54061B35">
      <w:pPr>
        <w:spacing w:line="360" w:lineRule="auto"/>
        <w:ind w:firstLine="437"/>
        <w:outlineLvl w:val="2"/>
        <w:rPr>
          <w:rFonts w:hint="eastAsia" w:ascii="宋体" w:hAnsi="宋体" w:eastAsia="宋体" w:cs="宋体"/>
          <w:b/>
          <w:bCs/>
          <w:i w:val="0"/>
          <w:iCs w:val="0"/>
          <w:color w:val="auto"/>
          <w:sz w:val="24"/>
          <w:szCs w:val="24"/>
          <w:highlight w:val="none"/>
          <w:lang w:val="zh-CN"/>
        </w:rPr>
      </w:pPr>
      <w:bookmarkStart w:id="695" w:name="_Toc22946"/>
      <w:bookmarkStart w:id="696" w:name="_Toc16508"/>
      <w:bookmarkStart w:id="697" w:name="_Toc10157"/>
      <w:bookmarkStart w:id="698" w:name="_Toc13566"/>
      <w:bookmarkStart w:id="699" w:name="_Toc14066"/>
      <w:r>
        <w:rPr>
          <w:rFonts w:hint="eastAsia" w:ascii="宋体" w:hAnsi="宋体" w:eastAsia="宋体" w:cs="宋体"/>
          <w:b/>
          <w:bCs/>
          <w:i w:val="0"/>
          <w:iCs w:val="0"/>
          <w:color w:val="auto"/>
          <w:sz w:val="24"/>
          <w:szCs w:val="24"/>
          <w:highlight w:val="none"/>
          <w:lang w:val="zh-CN"/>
        </w:rPr>
        <w:t>2.11 不可抗力</w:t>
      </w:r>
      <w:bookmarkEnd w:id="695"/>
      <w:bookmarkEnd w:id="696"/>
      <w:bookmarkEnd w:id="697"/>
      <w:bookmarkEnd w:id="698"/>
      <w:bookmarkEnd w:id="699"/>
    </w:p>
    <w:p w14:paraId="2E7E6126">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2.11.1如果任何一方遭遇法律规定的不可抗力，致使合同履行受阻时，履行合同的期限应予延长，延长的期限应相当于不可抗力所影响的时间；</w:t>
      </w:r>
    </w:p>
    <w:p w14:paraId="584AA569">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2.11.2因不可抗力致使不能实现合同目的的，当事人可以解除合同；</w:t>
      </w:r>
    </w:p>
    <w:p w14:paraId="7EC56964">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2.11.3因不可抗力致使合同有变更必要的，双方当事人应在</w:t>
      </w:r>
      <w:r>
        <w:rPr>
          <w:rFonts w:hint="eastAsia" w:ascii="宋体" w:hAnsi="宋体" w:eastAsia="宋体" w:cs="宋体"/>
          <w:b/>
          <w:i w:val="0"/>
          <w:iCs w:val="0"/>
          <w:color w:val="auto"/>
          <w:sz w:val="24"/>
          <w:szCs w:val="24"/>
          <w:highlight w:val="none"/>
          <w:u w:val="single"/>
        </w:rPr>
        <w:t>合同专用条款</w:t>
      </w:r>
      <w:r>
        <w:rPr>
          <w:rFonts w:hint="eastAsia" w:ascii="宋体" w:hAnsi="宋体" w:eastAsia="宋体" w:cs="宋体"/>
          <w:i w:val="0"/>
          <w:iCs w:val="0"/>
          <w:color w:val="auto"/>
          <w:sz w:val="24"/>
          <w:szCs w:val="24"/>
          <w:highlight w:val="none"/>
        </w:rPr>
        <w:t>约定时间内以书面形式变更合同；</w:t>
      </w:r>
    </w:p>
    <w:p w14:paraId="64C45C6C">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2.11.4受不可抗力影响的一方在不可抗力发生后，应在</w:t>
      </w:r>
      <w:r>
        <w:rPr>
          <w:rFonts w:hint="eastAsia" w:ascii="宋体" w:hAnsi="宋体" w:eastAsia="宋体" w:cs="宋体"/>
          <w:b/>
          <w:i w:val="0"/>
          <w:iCs w:val="0"/>
          <w:color w:val="auto"/>
          <w:sz w:val="24"/>
          <w:szCs w:val="24"/>
          <w:highlight w:val="none"/>
          <w:u w:val="single"/>
        </w:rPr>
        <w:t>合同专用条款</w:t>
      </w:r>
      <w:r>
        <w:rPr>
          <w:rFonts w:hint="eastAsia" w:ascii="宋体" w:hAnsi="宋体" w:eastAsia="宋体" w:cs="宋体"/>
          <w:i w:val="0"/>
          <w:iCs w:val="0"/>
          <w:color w:val="auto"/>
          <w:sz w:val="24"/>
          <w:szCs w:val="24"/>
          <w:highlight w:val="none"/>
        </w:rPr>
        <w:t>约定时间内以书面形式通知对方当事人，并在</w:t>
      </w:r>
      <w:r>
        <w:rPr>
          <w:rFonts w:hint="eastAsia" w:ascii="宋体" w:hAnsi="宋体" w:eastAsia="宋体" w:cs="宋体"/>
          <w:b/>
          <w:i w:val="0"/>
          <w:iCs w:val="0"/>
          <w:color w:val="auto"/>
          <w:sz w:val="24"/>
          <w:szCs w:val="24"/>
          <w:highlight w:val="none"/>
          <w:u w:val="single"/>
        </w:rPr>
        <w:t>合同专用条款</w:t>
      </w:r>
      <w:r>
        <w:rPr>
          <w:rFonts w:hint="eastAsia" w:ascii="宋体" w:hAnsi="宋体" w:eastAsia="宋体" w:cs="宋体"/>
          <w:i w:val="0"/>
          <w:iCs w:val="0"/>
          <w:color w:val="auto"/>
          <w:sz w:val="24"/>
          <w:szCs w:val="24"/>
          <w:highlight w:val="none"/>
        </w:rPr>
        <w:t>约定时间内，将有关部门出具的证明文件送达对方当事人。</w:t>
      </w:r>
    </w:p>
    <w:p w14:paraId="07379467">
      <w:pPr>
        <w:spacing w:line="360" w:lineRule="auto"/>
        <w:ind w:firstLine="437"/>
        <w:outlineLvl w:val="2"/>
        <w:rPr>
          <w:rFonts w:hint="eastAsia" w:ascii="宋体" w:hAnsi="宋体" w:eastAsia="宋体" w:cs="宋体"/>
          <w:b/>
          <w:bCs/>
          <w:i w:val="0"/>
          <w:iCs w:val="0"/>
          <w:color w:val="auto"/>
          <w:sz w:val="24"/>
          <w:szCs w:val="24"/>
          <w:highlight w:val="none"/>
          <w:lang w:val="zh-CN"/>
        </w:rPr>
      </w:pPr>
      <w:bookmarkStart w:id="700" w:name="_Toc487900365"/>
      <w:bookmarkStart w:id="701" w:name="_Toc259093684"/>
      <w:bookmarkStart w:id="702" w:name="_Toc24332"/>
      <w:bookmarkStart w:id="703" w:name="_Toc279701255"/>
      <w:bookmarkStart w:id="704" w:name="_Toc689"/>
      <w:bookmarkStart w:id="705" w:name="_Toc30676"/>
      <w:bookmarkStart w:id="706" w:name="_Toc12787"/>
      <w:bookmarkStart w:id="707" w:name="_Toc6969"/>
      <w:r>
        <w:rPr>
          <w:rFonts w:hint="eastAsia" w:ascii="宋体" w:hAnsi="宋体" w:eastAsia="宋体" w:cs="宋体"/>
          <w:b/>
          <w:bCs/>
          <w:i w:val="0"/>
          <w:iCs w:val="0"/>
          <w:color w:val="auto"/>
          <w:sz w:val="24"/>
          <w:szCs w:val="24"/>
          <w:highlight w:val="none"/>
          <w:lang w:val="zh-CN"/>
        </w:rPr>
        <w:t>2.12 税费</w:t>
      </w:r>
      <w:bookmarkEnd w:id="700"/>
      <w:bookmarkEnd w:id="701"/>
      <w:bookmarkEnd w:id="702"/>
      <w:bookmarkEnd w:id="703"/>
      <w:bookmarkEnd w:id="704"/>
      <w:bookmarkEnd w:id="705"/>
      <w:bookmarkEnd w:id="706"/>
      <w:bookmarkEnd w:id="707"/>
    </w:p>
    <w:p w14:paraId="7FDC3728">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与合同有关的一切税费，均按照中华人民共和国法律的相关规定缴纳。</w:t>
      </w:r>
    </w:p>
    <w:p w14:paraId="485EEA44">
      <w:pPr>
        <w:spacing w:line="360" w:lineRule="auto"/>
        <w:ind w:firstLine="437"/>
        <w:outlineLvl w:val="2"/>
        <w:rPr>
          <w:rFonts w:hint="eastAsia" w:ascii="宋体" w:hAnsi="宋体" w:eastAsia="宋体" w:cs="宋体"/>
          <w:b/>
          <w:bCs/>
          <w:i w:val="0"/>
          <w:iCs w:val="0"/>
          <w:color w:val="auto"/>
          <w:sz w:val="24"/>
          <w:szCs w:val="24"/>
          <w:highlight w:val="none"/>
          <w:lang w:val="zh-CN"/>
        </w:rPr>
      </w:pPr>
      <w:bookmarkStart w:id="708" w:name="_Toc259093687"/>
      <w:bookmarkStart w:id="709" w:name="_Toc16959"/>
      <w:bookmarkStart w:id="710" w:name="_Toc487900368"/>
      <w:bookmarkStart w:id="711" w:name="_Toc7102"/>
      <w:bookmarkStart w:id="712" w:name="_Toc2206"/>
      <w:bookmarkStart w:id="713" w:name="_Toc8298"/>
      <w:bookmarkStart w:id="714" w:name="_Toc279701258"/>
      <w:bookmarkStart w:id="715" w:name="_Toc30741"/>
      <w:r>
        <w:rPr>
          <w:rFonts w:hint="eastAsia" w:ascii="宋体" w:hAnsi="宋体" w:eastAsia="宋体" w:cs="宋体"/>
          <w:b/>
          <w:bCs/>
          <w:i w:val="0"/>
          <w:iCs w:val="0"/>
          <w:color w:val="auto"/>
          <w:sz w:val="24"/>
          <w:szCs w:val="24"/>
          <w:highlight w:val="none"/>
          <w:lang w:val="zh-CN"/>
        </w:rPr>
        <w:t>2.13 乙方破产</w:t>
      </w:r>
      <w:bookmarkEnd w:id="708"/>
      <w:bookmarkEnd w:id="709"/>
      <w:bookmarkEnd w:id="710"/>
      <w:bookmarkEnd w:id="711"/>
      <w:bookmarkEnd w:id="712"/>
      <w:bookmarkEnd w:id="713"/>
      <w:bookmarkEnd w:id="714"/>
      <w:bookmarkEnd w:id="715"/>
    </w:p>
    <w:p w14:paraId="4706273A">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E79A5F8">
      <w:pPr>
        <w:spacing w:line="360" w:lineRule="auto"/>
        <w:ind w:firstLine="437"/>
        <w:outlineLvl w:val="2"/>
        <w:rPr>
          <w:rFonts w:hint="eastAsia" w:ascii="宋体" w:hAnsi="宋体" w:eastAsia="宋体" w:cs="宋体"/>
          <w:b/>
          <w:i w:val="0"/>
          <w:iCs w:val="0"/>
          <w:color w:val="auto"/>
          <w:sz w:val="24"/>
          <w:szCs w:val="24"/>
          <w:highlight w:val="none"/>
        </w:rPr>
      </w:pPr>
      <w:bookmarkStart w:id="716" w:name="_Toc15387"/>
      <w:bookmarkStart w:id="717" w:name="_Toc13537"/>
      <w:bookmarkStart w:id="718" w:name="_Toc6134"/>
      <w:bookmarkStart w:id="719" w:name="_Toc29333"/>
      <w:bookmarkStart w:id="720" w:name="_Toc9036"/>
      <w:r>
        <w:rPr>
          <w:rFonts w:hint="eastAsia" w:ascii="宋体" w:hAnsi="宋体" w:eastAsia="宋体" w:cs="宋体"/>
          <w:b/>
          <w:bCs/>
          <w:i w:val="0"/>
          <w:iCs w:val="0"/>
          <w:color w:val="auto"/>
          <w:sz w:val="24"/>
          <w:szCs w:val="24"/>
          <w:highlight w:val="none"/>
          <w:lang w:val="zh-CN"/>
        </w:rPr>
        <w:t>2.14 合同中止、终止</w:t>
      </w:r>
      <w:bookmarkEnd w:id="716"/>
      <w:bookmarkEnd w:id="717"/>
      <w:bookmarkEnd w:id="718"/>
      <w:bookmarkEnd w:id="719"/>
      <w:bookmarkEnd w:id="720"/>
    </w:p>
    <w:p w14:paraId="6151CDA0">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2.14.1双方当事人不得擅自中止或者终止合同；</w:t>
      </w:r>
    </w:p>
    <w:p w14:paraId="0A33DBB1">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2.14.2合同继续履行将损害国家利益和社会公共利益的，双方当事人应当中止或者终止合同。有过错的一方应当承担赔偿责任，双方当事人都有过错的，各自承担相应的责任。</w:t>
      </w:r>
    </w:p>
    <w:p w14:paraId="51ADDB27">
      <w:pPr>
        <w:spacing w:line="360" w:lineRule="auto"/>
        <w:ind w:firstLine="437"/>
        <w:outlineLvl w:val="2"/>
        <w:rPr>
          <w:rFonts w:hint="eastAsia" w:ascii="宋体" w:hAnsi="宋体" w:eastAsia="宋体" w:cs="宋体"/>
          <w:b/>
          <w:bCs/>
          <w:i w:val="0"/>
          <w:iCs w:val="0"/>
          <w:color w:val="auto"/>
          <w:sz w:val="24"/>
          <w:szCs w:val="24"/>
          <w:highlight w:val="none"/>
          <w:lang w:val="zh-CN"/>
        </w:rPr>
      </w:pPr>
      <w:bookmarkStart w:id="721" w:name="_Toc1125"/>
      <w:bookmarkStart w:id="722" w:name="_Toc6596"/>
      <w:bookmarkStart w:id="723" w:name="_Toc7061"/>
      <w:bookmarkStart w:id="724" w:name="_Toc14791"/>
      <w:bookmarkStart w:id="725" w:name="_Toc14563"/>
      <w:r>
        <w:rPr>
          <w:rFonts w:hint="eastAsia" w:ascii="宋体" w:hAnsi="宋体" w:eastAsia="宋体" w:cs="宋体"/>
          <w:b/>
          <w:bCs/>
          <w:i w:val="0"/>
          <w:iCs w:val="0"/>
          <w:color w:val="auto"/>
          <w:sz w:val="24"/>
          <w:szCs w:val="24"/>
          <w:highlight w:val="none"/>
          <w:lang w:val="zh-CN"/>
        </w:rPr>
        <w:t>2.15 检验和验收</w:t>
      </w:r>
      <w:bookmarkEnd w:id="721"/>
      <w:bookmarkEnd w:id="722"/>
      <w:bookmarkEnd w:id="723"/>
      <w:bookmarkEnd w:id="724"/>
      <w:bookmarkEnd w:id="725"/>
    </w:p>
    <w:p w14:paraId="4B523E11">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2.15.1乙方按照</w:t>
      </w:r>
      <w:r>
        <w:rPr>
          <w:rFonts w:hint="eastAsia" w:ascii="宋体" w:hAnsi="宋体" w:eastAsia="宋体" w:cs="宋体"/>
          <w:b/>
          <w:i w:val="0"/>
          <w:iCs w:val="0"/>
          <w:color w:val="auto"/>
          <w:sz w:val="24"/>
          <w:szCs w:val="24"/>
          <w:highlight w:val="none"/>
          <w:u w:val="single"/>
        </w:rPr>
        <w:t>合同专用条款</w:t>
      </w:r>
      <w:r>
        <w:rPr>
          <w:rFonts w:hint="eastAsia" w:ascii="宋体" w:hAnsi="宋体" w:eastAsia="宋体" w:cs="宋体"/>
          <w:i w:val="0"/>
          <w:iCs w:val="0"/>
          <w:color w:val="auto"/>
          <w:sz w:val="24"/>
          <w:szCs w:val="24"/>
          <w:highlight w:val="none"/>
        </w:rPr>
        <w:t>的约定，定期提交服务报告，甲方按照</w:t>
      </w:r>
      <w:r>
        <w:rPr>
          <w:rFonts w:hint="eastAsia" w:ascii="宋体" w:hAnsi="宋体" w:eastAsia="宋体" w:cs="宋体"/>
          <w:b/>
          <w:i w:val="0"/>
          <w:iCs w:val="0"/>
          <w:color w:val="auto"/>
          <w:sz w:val="24"/>
          <w:szCs w:val="24"/>
          <w:highlight w:val="none"/>
          <w:u w:val="single"/>
        </w:rPr>
        <w:t>合同专用条款</w:t>
      </w:r>
      <w:r>
        <w:rPr>
          <w:rFonts w:hint="eastAsia" w:ascii="宋体" w:hAnsi="宋体" w:eastAsia="宋体" w:cs="宋体"/>
          <w:i w:val="0"/>
          <w:iCs w:val="0"/>
          <w:color w:val="auto"/>
          <w:sz w:val="24"/>
          <w:szCs w:val="24"/>
          <w:highlight w:val="none"/>
        </w:rPr>
        <w:t>的约定进行定期验收；</w:t>
      </w:r>
    </w:p>
    <w:p w14:paraId="2691C969">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5630CD7">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2.15.3检验和验收标准、程序等具体内容以及前述验收书的效力详见</w:t>
      </w:r>
      <w:r>
        <w:rPr>
          <w:rFonts w:hint="eastAsia" w:ascii="宋体" w:hAnsi="宋体" w:eastAsia="宋体" w:cs="宋体"/>
          <w:b/>
          <w:i w:val="0"/>
          <w:iCs w:val="0"/>
          <w:color w:val="auto"/>
          <w:sz w:val="24"/>
          <w:szCs w:val="24"/>
          <w:highlight w:val="none"/>
          <w:u w:val="single"/>
        </w:rPr>
        <w:t>合同专用条款</w:t>
      </w:r>
      <w:r>
        <w:rPr>
          <w:rFonts w:hint="eastAsia" w:ascii="宋体" w:hAnsi="宋体" w:eastAsia="宋体" w:cs="宋体"/>
          <w:i w:val="0"/>
          <w:iCs w:val="0"/>
          <w:color w:val="auto"/>
          <w:sz w:val="24"/>
          <w:szCs w:val="24"/>
          <w:highlight w:val="none"/>
        </w:rPr>
        <w:t>。</w:t>
      </w:r>
    </w:p>
    <w:bookmarkEnd w:id="683"/>
    <w:bookmarkEnd w:id="684"/>
    <w:bookmarkEnd w:id="685"/>
    <w:bookmarkEnd w:id="686"/>
    <w:p w14:paraId="73AF77C8">
      <w:pPr>
        <w:spacing w:line="360" w:lineRule="auto"/>
        <w:ind w:firstLine="437"/>
        <w:outlineLvl w:val="2"/>
        <w:rPr>
          <w:rFonts w:hint="eastAsia" w:ascii="宋体" w:hAnsi="宋体" w:eastAsia="宋体" w:cs="宋体"/>
          <w:b/>
          <w:bCs/>
          <w:i w:val="0"/>
          <w:iCs w:val="0"/>
          <w:color w:val="auto"/>
          <w:sz w:val="24"/>
          <w:szCs w:val="24"/>
          <w:highlight w:val="none"/>
        </w:rPr>
      </w:pPr>
      <w:bookmarkStart w:id="726" w:name="_Toc487900373"/>
      <w:bookmarkStart w:id="727" w:name="_Toc28706"/>
      <w:bookmarkStart w:id="728" w:name="_Toc12773"/>
      <w:bookmarkStart w:id="729" w:name="_Toc259093692"/>
      <w:bookmarkStart w:id="730" w:name="_Toc18567"/>
      <w:bookmarkStart w:id="731" w:name="_Toc10330"/>
      <w:bookmarkStart w:id="732" w:name="_Toc279701263"/>
      <w:bookmarkStart w:id="733" w:name="_Toc31923"/>
      <w:r>
        <w:rPr>
          <w:rFonts w:hint="eastAsia" w:ascii="宋体" w:hAnsi="宋体" w:eastAsia="宋体" w:cs="宋体"/>
          <w:b/>
          <w:bCs/>
          <w:i w:val="0"/>
          <w:iCs w:val="0"/>
          <w:color w:val="auto"/>
          <w:sz w:val="24"/>
          <w:szCs w:val="24"/>
          <w:highlight w:val="none"/>
        </w:rPr>
        <w:t xml:space="preserve">2.16 </w:t>
      </w:r>
      <w:r>
        <w:rPr>
          <w:rFonts w:hint="eastAsia" w:ascii="宋体" w:hAnsi="宋体" w:eastAsia="宋体" w:cs="宋体"/>
          <w:b/>
          <w:bCs/>
          <w:i w:val="0"/>
          <w:iCs w:val="0"/>
          <w:color w:val="auto"/>
          <w:sz w:val="24"/>
          <w:szCs w:val="24"/>
          <w:highlight w:val="none"/>
          <w:lang w:val="zh-CN"/>
        </w:rPr>
        <w:t>合同使用的文字和适用的法律</w:t>
      </w:r>
      <w:bookmarkEnd w:id="726"/>
      <w:bookmarkEnd w:id="727"/>
      <w:bookmarkEnd w:id="728"/>
      <w:bookmarkEnd w:id="729"/>
      <w:bookmarkEnd w:id="730"/>
      <w:bookmarkEnd w:id="731"/>
      <w:bookmarkEnd w:id="732"/>
      <w:bookmarkEnd w:id="733"/>
    </w:p>
    <w:p w14:paraId="584303E2">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2.16.1合同使用汉语书就、变更和解释；</w:t>
      </w:r>
    </w:p>
    <w:p w14:paraId="6120D4C0">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2.16.2合同适用中华人民共和国法律。</w:t>
      </w:r>
    </w:p>
    <w:p w14:paraId="6DD35A5C">
      <w:pPr>
        <w:spacing w:line="360" w:lineRule="auto"/>
        <w:ind w:firstLine="437"/>
        <w:outlineLvl w:val="2"/>
        <w:rPr>
          <w:rFonts w:hint="eastAsia" w:ascii="宋体" w:hAnsi="宋体" w:eastAsia="宋体" w:cs="宋体"/>
          <w:b/>
          <w:i w:val="0"/>
          <w:iCs w:val="0"/>
          <w:color w:val="auto"/>
          <w:sz w:val="24"/>
          <w:szCs w:val="24"/>
          <w:highlight w:val="none"/>
        </w:rPr>
      </w:pPr>
      <w:bookmarkStart w:id="734" w:name="_Toc279701264"/>
      <w:bookmarkStart w:id="735" w:name="_Toc30894"/>
      <w:bookmarkStart w:id="736" w:name="_Toc259093693"/>
      <w:bookmarkStart w:id="737" w:name="_Toc13059"/>
      <w:bookmarkStart w:id="738" w:name="_Toc12004"/>
      <w:bookmarkStart w:id="739" w:name="_Toc16673"/>
      <w:bookmarkStart w:id="740" w:name="_Toc3148"/>
      <w:bookmarkStart w:id="741" w:name="_Toc487900374"/>
      <w:r>
        <w:rPr>
          <w:rFonts w:hint="eastAsia" w:ascii="宋体" w:hAnsi="宋体" w:eastAsia="宋体" w:cs="宋体"/>
          <w:b/>
          <w:bCs/>
          <w:i w:val="0"/>
          <w:iCs w:val="0"/>
          <w:color w:val="auto"/>
          <w:sz w:val="24"/>
          <w:szCs w:val="24"/>
          <w:highlight w:val="none"/>
          <w:lang w:val="zh-CN"/>
        </w:rPr>
        <w:t>2.17 履约保证金</w:t>
      </w:r>
      <w:bookmarkEnd w:id="734"/>
      <w:bookmarkEnd w:id="735"/>
      <w:bookmarkEnd w:id="736"/>
      <w:bookmarkEnd w:id="737"/>
      <w:bookmarkEnd w:id="738"/>
      <w:bookmarkEnd w:id="739"/>
      <w:bookmarkEnd w:id="740"/>
    </w:p>
    <w:p w14:paraId="1C42A5BF">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2.17.1采购文件要求乙方提交履约保证金的，乙方应按</w:t>
      </w:r>
      <w:r>
        <w:rPr>
          <w:rFonts w:hint="eastAsia" w:ascii="宋体" w:hAnsi="宋体" w:eastAsia="宋体" w:cs="宋体"/>
          <w:b/>
          <w:i w:val="0"/>
          <w:iCs w:val="0"/>
          <w:color w:val="auto"/>
          <w:sz w:val="24"/>
          <w:szCs w:val="24"/>
          <w:highlight w:val="none"/>
          <w:u w:val="single"/>
        </w:rPr>
        <w:t>合同专用条款</w:t>
      </w:r>
      <w:r>
        <w:rPr>
          <w:rFonts w:hint="eastAsia" w:ascii="宋体" w:hAnsi="宋体" w:eastAsia="宋体" w:cs="宋体"/>
          <w:i w:val="0"/>
          <w:iCs w:val="0"/>
          <w:color w:val="auto"/>
          <w:sz w:val="24"/>
          <w:szCs w:val="24"/>
          <w:highlight w:val="none"/>
        </w:rPr>
        <w:t>约定的方式，以支票、汇票、本票或者金融机构、担保机构出具的保函等非现金形式提交；</w:t>
      </w:r>
    </w:p>
    <w:p w14:paraId="4D9AC60E">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2.17.2履约保证金在</w:t>
      </w:r>
      <w:r>
        <w:rPr>
          <w:rFonts w:hint="eastAsia" w:ascii="宋体" w:hAnsi="宋体" w:eastAsia="宋体" w:cs="宋体"/>
          <w:b/>
          <w:i w:val="0"/>
          <w:iCs w:val="0"/>
          <w:color w:val="auto"/>
          <w:sz w:val="24"/>
          <w:szCs w:val="24"/>
          <w:highlight w:val="none"/>
          <w:u w:val="single"/>
        </w:rPr>
        <w:t>合同专用条款</w:t>
      </w:r>
      <w:r>
        <w:rPr>
          <w:rFonts w:hint="eastAsia" w:ascii="宋体" w:hAnsi="宋体" w:eastAsia="宋体" w:cs="宋体"/>
          <w:i w:val="0"/>
          <w:iCs w:val="0"/>
          <w:color w:val="auto"/>
          <w:sz w:val="24"/>
          <w:szCs w:val="24"/>
          <w:highlight w:val="none"/>
        </w:rPr>
        <w:t>约定期间内不予退还或者应完全有效，前述约定期间届满之日起</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个工作日内，甲方应将履约保证金退还乙方</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甲方</w:t>
      </w:r>
      <w:r>
        <w:rPr>
          <w:rFonts w:hint="eastAsia" w:ascii="宋体" w:hAnsi="宋体" w:eastAsia="宋体" w:cs="宋体"/>
          <w:i w:val="0"/>
          <w:iCs w:val="0"/>
          <w:color w:val="auto"/>
          <w:sz w:val="24"/>
          <w:szCs w:val="24"/>
          <w:highlight w:val="none"/>
        </w:rPr>
        <w:t>逾期退还履约保证金</w:t>
      </w:r>
      <w:r>
        <w:rPr>
          <w:rFonts w:hint="eastAsia" w:ascii="宋体" w:hAnsi="宋体" w:eastAsia="宋体" w:cs="宋体"/>
          <w:i w:val="0"/>
          <w:iCs w:val="0"/>
          <w:color w:val="auto"/>
          <w:sz w:val="24"/>
          <w:szCs w:val="24"/>
          <w:highlight w:val="none"/>
          <w:lang w:val="en-US" w:eastAsia="zh-CN"/>
        </w:rPr>
        <w:t>应承担违约责任。</w:t>
      </w:r>
    </w:p>
    <w:p w14:paraId="5DC1A76F">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2.17.3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741"/>
    <w:p w14:paraId="1186696B">
      <w:pPr>
        <w:spacing w:line="360" w:lineRule="auto"/>
        <w:ind w:firstLine="437"/>
        <w:outlineLvl w:val="2"/>
        <w:rPr>
          <w:rFonts w:hint="eastAsia" w:ascii="宋体" w:hAnsi="宋体" w:eastAsia="宋体" w:cs="宋体"/>
          <w:b/>
          <w:i w:val="0"/>
          <w:iCs w:val="0"/>
          <w:color w:val="auto"/>
          <w:sz w:val="24"/>
          <w:szCs w:val="24"/>
          <w:highlight w:val="none"/>
        </w:rPr>
      </w:pPr>
      <w:bookmarkStart w:id="742" w:name="_Toc7242"/>
      <w:bookmarkStart w:id="743" w:name="_Toc6885"/>
      <w:bookmarkStart w:id="744" w:name="_Toc19890"/>
      <w:bookmarkStart w:id="745" w:name="_Toc14001"/>
      <w:bookmarkStart w:id="746" w:name="_Toc11238"/>
      <w:r>
        <w:rPr>
          <w:rFonts w:hint="eastAsia" w:ascii="宋体" w:hAnsi="宋体" w:eastAsia="宋体" w:cs="宋体"/>
          <w:b/>
          <w:bCs/>
          <w:i w:val="0"/>
          <w:iCs w:val="0"/>
          <w:color w:val="auto"/>
          <w:sz w:val="24"/>
          <w:szCs w:val="24"/>
          <w:highlight w:val="none"/>
          <w:lang w:val="zh-CN"/>
        </w:rPr>
        <w:t>2.18 合同份数</w:t>
      </w:r>
      <w:bookmarkEnd w:id="742"/>
      <w:bookmarkEnd w:id="743"/>
      <w:bookmarkEnd w:id="744"/>
      <w:bookmarkEnd w:id="745"/>
      <w:bookmarkEnd w:id="746"/>
    </w:p>
    <w:p w14:paraId="1E34590B">
      <w:pPr>
        <w:spacing w:line="360" w:lineRule="auto"/>
        <w:ind w:firstLine="435"/>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合同份数按</w:t>
      </w:r>
      <w:r>
        <w:rPr>
          <w:rFonts w:hint="eastAsia" w:ascii="宋体" w:hAnsi="宋体" w:eastAsia="宋体" w:cs="宋体"/>
          <w:b/>
          <w:i w:val="0"/>
          <w:iCs w:val="0"/>
          <w:color w:val="auto"/>
          <w:sz w:val="24"/>
          <w:szCs w:val="24"/>
          <w:highlight w:val="none"/>
          <w:u w:val="single"/>
        </w:rPr>
        <w:t>合同专用条款</w:t>
      </w:r>
      <w:r>
        <w:rPr>
          <w:rFonts w:hint="eastAsia" w:ascii="宋体" w:hAnsi="宋体" w:eastAsia="宋体" w:cs="宋体"/>
          <w:i w:val="0"/>
          <w:iCs w:val="0"/>
          <w:color w:val="auto"/>
          <w:sz w:val="24"/>
          <w:szCs w:val="24"/>
          <w:highlight w:val="none"/>
        </w:rPr>
        <w:t>规定，每份均具有同等法律效力。</w:t>
      </w:r>
    </w:p>
    <w:p w14:paraId="53F3690C">
      <w:pPr>
        <w:spacing w:line="360" w:lineRule="auto"/>
        <w:jc w:val="center"/>
        <w:outlineLvl w:val="1"/>
        <w:rPr>
          <w:rFonts w:hint="eastAsia" w:ascii="宋体" w:hAnsi="宋体" w:eastAsia="宋体" w:cs="宋体"/>
          <w:b/>
          <w:color w:val="auto"/>
          <w:sz w:val="36"/>
          <w:szCs w:val="36"/>
          <w:highlight w:val="none"/>
        </w:rPr>
      </w:pPr>
      <w:r>
        <w:rPr>
          <w:rFonts w:cs="Times New Roman" w:asciiTheme="minorEastAsia" w:hAnsiTheme="minorEastAsia" w:eastAsiaTheme="minorEastAsia"/>
          <w:color w:val="auto"/>
          <w:sz w:val="24"/>
          <w:szCs w:val="24"/>
          <w:highlight w:val="none"/>
        </w:rPr>
        <w:br w:type="page"/>
      </w:r>
      <w:bookmarkStart w:id="747" w:name="_Toc3736"/>
      <w:bookmarkStart w:id="748" w:name="_Toc19801"/>
      <w:bookmarkStart w:id="749" w:name="_Toc24453"/>
      <w:r>
        <w:rPr>
          <w:rFonts w:hint="eastAsia" w:ascii="宋体" w:hAnsi="宋体" w:eastAsia="宋体" w:cs="宋体"/>
          <w:b/>
          <w:color w:val="auto"/>
          <w:sz w:val="36"/>
          <w:szCs w:val="36"/>
          <w:highlight w:val="none"/>
        </w:rPr>
        <w:t>第三部分 合同专用条款</w:t>
      </w:r>
      <w:bookmarkEnd w:id="747"/>
      <w:bookmarkEnd w:id="748"/>
      <w:bookmarkEnd w:id="749"/>
    </w:p>
    <w:p w14:paraId="3D7C59F3">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31"/>
        <w:tblW w:w="836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94"/>
        <w:gridCol w:w="7568"/>
      </w:tblGrid>
      <w:tr w14:paraId="024E01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794" w:type="dxa"/>
            <w:tcBorders>
              <w:left w:val="single" w:color="auto" w:sz="4" w:space="0"/>
            </w:tcBorders>
            <w:vAlign w:val="center"/>
          </w:tcPr>
          <w:p w14:paraId="30CAE03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p>
        </w:tc>
        <w:tc>
          <w:tcPr>
            <w:tcW w:w="7568" w:type="dxa"/>
            <w:vAlign w:val="center"/>
          </w:tcPr>
          <w:p w14:paraId="5E297E2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约定内容</w:t>
            </w:r>
          </w:p>
        </w:tc>
      </w:tr>
      <w:tr w14:paraId="47A1DC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794" w:type="dxa"/>
            <w:tcBorders>
              <w:left w:val="single" w:color="auto" w:sz="4" w:space="0"/>
            </w:tcBorders>
            <w:vAlign w:val="center"/>
          </w:tcPr>
          <w:p w14:paraId="3B4B21CE">
            <w:pPr>
              <w:spacing w:line="560" w:lineRule="exact"/>
              <w:rPr>
                <w:rFonts w:hint="eastAsia" w:ascii="宋体" w:hAnsi="宋体" w:eastAsia="宋体" w:cs="宋体"/>
                <w:color w:val="auto"/>
                <w:sz w:val="24"/>
                <w:szCs w:val="24"/>
                <w:highlight w:val="none"/>
              </w:rPr>
            </w:pPr>
          </w:p>
        </w:tc>
        <w:tc>
          <w:tcPr>
            <w:tcW w:w="7568" w:type="dxa"/>
            <w:vAlign w:val="center"/>
          </w:tcPr>
          <w:p w14:paraId="40655C46">
            <w:pPr>
              <w:spacing w:line="560" w:lineRule="exact"/>
              <w:rPr>
                <w:rFonts w:hint="eastAsia" w:ascii="宋体" w:hAnsi="宋体" w:eastAsia="宋体" w:cs="宋体"/>
                <w:color w:val="auto"/>
                <w:sz w:val="24"/>
                <w:szCs w:val="24"/>
                <w:highlight w:val="none"/>
              </w:rPr>
            </w:pPr>
          </w:p>
        </w:tc>
      </w:tr>
      <w:tr w14:paraId="0B040D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0F3CD612">
            <w:pPr>
              <w:spacing w:line="560" w:lineRule="exact"/>
              <w:rPr>
                <w:rFonts w:hint="eastAsia" w:ascii="宋体" w:hAnsi="宋体" w:eastAsia="宋体" w:cs="宋体"/>
                <w:color w:val="auto"/>
                <w:sz w:val="24"/>
                <w:szCs w:val="24"/>
                <w:highlight w:val="none"/>
              </w:rPr>
            </w:pPr>
          </w:p>
        </w:tc>
        <w:tc>
          <w:tcPr>
            <w:tcW w:w="7568" w:type="dxa"/>
            <w:vAlign w:val="center"/>
          </w:tcPr>
          <w:p w14:paraId="32E7ECB0">
            <w:pPr>
              <w:spacing w:line="560" w:lineRule="exact"/>
              <w:rPr>
                <w:rFonts w:hint="eastAsia" w:ascii="宋体" w:hAnsi="宋体" w:eastAsia="宋体" w:cs="宋体"/>
                <w:color w:val="auto"/>
                <w:sz w:val="24"/>
                <w:szCs w:val="24"/>
                <w:highlight w:val="none"/>
              </w:rPr>
            </w:pPr>
          </w:p>
        </w:tc>
      </w:tr>
      <w:tr w14:paraId="1FC913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79AF35CA">
            <w:pPr>
              <w:spacing w:line="560" w:lineRule="exact"/>
              <w:rPr>
                <w:rFonts w:hint="eastAsia" w:ascii="宋体" w:hAnsi="宋体" w:eastAsia="宋体" w:cs="宋体"/>
                <w:color w:val="auto"/>
                <w:sz w:val="24"/>
                <w:szCs w:val="24"/>
                <w:highlight w:val="none"/>
              </w:rPr>
            </w:pPr>
          </w:p>
        </w:tc>
        <w:tc>
          <w:tcPr>
            <w:tcW w:w="7568" w:type="dxa"/>
            <w:vAlign w:val="center"/>
          </w:tcPr>
          <w:p w14:paraId="611385EA">
            <w:pPr>
              <w:spacing w:line="560" w:lineRule="exact"/>
              <w:rPr>
                <w:rFonts w:hint="eastAsia" w:ascii="宋体" w:hAnsi="宋体" w:eastAsia="宋体" w:cs="宋体"/>
                <w:color w:val="auto"/>
                <w:sz w:val="24"/>
                <w:szCs w:val="24"/>
                <w:highlight w:val="none"/>
              </w:rPr>
            </w:pPr>
          </w:p>
        </w:tc>
      </w:tr>
      <w:tr w14:paraId="4AA115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08C18170">
            <w:pPr>
              <w:spacing w:line="560" w:lineRule="exact"/>
              <w:rPr>
                <w:rFonts w:hint="eastAsia" w:ascii="宋体" w:hAnsi="宋体" w:eastAsia="宋体" w:cs="宋体"/>
                <w:color w:val="auto"/>
                <w:sz w:val="24"/>
                <w:szCs w:val="24"/>
                <w:highlight w:val="none"/>
              </w:rPr>
            </w:pPr>
          </w:p>
        </w:tc>
        <w:tc>
          <w:tcPr>
            <w:tcW w:w="7568" w:type="dxa"/>
            <w:vAlign w:val="center"/>
          </w:tcPr>
          <w:p w14:paraId="728B2346">
            <w:pPr>
              <w:spacing w:line="560" w:lineRule="exact"/>
              <w:rPr>
                <w:rFonts w:hint="eastAsia" w:ascii="宋体" w:hAnsi="宋体" w:eastAsia="宋体" w:cs="宋体"/>
                <w:color w:val="auto"/>
                <w:sz w:val="24"/>
                <w:szCs w:val="24"/>
                <w:highlight w:val="none"/>
              </w:rPr>
            </w:pPr>
          </w:p>
        </w:tc>
      </w:tr>
      <w:tr w14:paraId="2F6F83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64A51C9F">
            <w:pPr>
              <w:spacing w:line="560" w:lineRule="exact"/>
              <w:rPr>
                <w:rFonts w:hint="eastAsia" w:ascii="宋体" w:hAnsi="宋体" w:eastAsia="宋体" w:cs="宋体"/>
                <w:color w:val="auto"/>
                <w:sz w:val="24"/>
                <w:szCs w:val="24"/>
                <w:highlight w:val="none"/>
              </w:rPr>
            </w:pPr>
          </w:p>
        </w:tc>
        <w:tc>
          <w:tcPr>
            <w:tcW w:w="7568" w:type="dxa"/>
            <w:vAlign w:val="center"/>
          </w:tcPr>
          <w:p w14:paraId="41CA5680">
            <w:pPr>
              <w:spacing w:line="560" w:lineRule="exact"/>
              <w:rPr>
                <w:rFonts w:hint="eastAsia" w:ascii="宋体" w:hAnsi="宋体" w:eastAsia="宋体" w:cs="宋体"/>
                <w:color w:val="auto"/>
                <w:sz w:val="24"/>
                <w:szCs w:val="24"/>
                <w:highlight w:val="none"/>
                <w:u w:val="single"/>
              </w:rPr>
            </w:pPr>
          </w:p>
        </w:tc>
      </w:tr>
      <w:tr w14:paraId="3E013D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09316856">
            <w:pPr>
              <w:spacing w:line="560" w:lineRule="exact"/>
              <w:rPr>
                <w:rFonts w:hint="eastAsia" w:ascii="宋体" w:hAnsi="宋体" w:eastAsia="宋体" w:cs="宋体"/>
                <w:color w:val="auto"/>
                <w:sz w:val="24"/>
                <w:szCs w:val="24"/>
                <w:highlight w:val="none"/>
              </w:rPr>
            </w:pPr>
          </w:p>
        </w:tc>
        <w:tc>
          <w:tcPr>
            <w:tcW w:w="7568" w:type="dxa"/>
            <w:vAlign w:val="center"/>
          </w:tcPr>
          <w:p w14:paraId="5CD2BDDA">
            <w:pPr>
              <w:spacing w:line="560" w:lineRule="exact"/>
              <w:rPr>
                <w:rFonts w:hint="eastAsia" w:ascii="宋体" w:hAnsi="宋体" w:eastAsia="宋体" w:cs="宋体"/>
                <w:color w:val="auto"/>
                <w:sz w:val="24"/>
                <w:szCs w:val="24"/>
                <w:highlight w:val="none"/>
              </w:rPr>
            </w:pPr>
          </w:p>
        </w:tc>
      </w:tr>
      <w:tr w14:paraId="3FED07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345B688D">
            <w:pPr>
              <w:spacing w:line="560" w:lineRule="exact"/>
              <w:rPr>
                <w:rFonts w:hint="eastAsia" w:ascii="宋体" w:hAnsi="宋体" w:eastAsia="宋体" w:cs="宋体"/>
                <w:color w:val="auto"/>
                <w:sz w:val="24"/>
                <w:szCs w:val="24"/>
                <w:highlight w:val="none"/>
              </w:rPr>
            </w:pPr>
          </w:p>
        </w:tc>
        <w:tc>
          <w:tcPr>
            <w:tcW w:w="7568" w:type="dxa"/>
            <w:vAlign w:val="center"/>
          </w:tcPr>
          <w:p w14:paraId="7E92421C">
            <w:pPr>
              <w:spacing w:line="560" w:lineRule="exact"/>
              <w:rPr>
                <w:rFonts w:hint="eastAsia" w:ascii="宋体" w:hAnsi="宋体" w:eastAsia="宋体" w:cs="宋体"/>
                <w:color w:val="auto"/>
                <w:sz w:val="24"/>
                <w:szCs w:val="24"/>
                <w:highlight w:val="none"/>
                <w:u w:val="single"/>
              </w:rPr>
            </w:pPr>
          </w:p>
        </w:tc>
      </w:tr>
      <w:tr w14:paraId="7AA8F8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43B5D46E">
            <w:pPr>
              <w:spacing w:line="560" w:lineRule="exact"/>
              <w:rPr>
                <w:rFonts w:hint="eastAsia" w:ascii="宋体" w:hAnsi="宋体" w:eastAsia="宋体" w:cs="宋体"/>
                <w:color w:val="auto"/>
                <w:sz w:val="24"/>
                <w:szCs w:val="24"/>
                <w:highlight w:val="none"/>
              </w:rPr>
            </w:pPr>
          </w:p>
        </w:tc>
        <w:tc>
          <w:tcPr>
            <w:tcW w:w="7568" w:type="dxa"/>
            <w:vAlign w:val="center"/>
          </w:tcPr>
          <w:p w14:paraId="4A52371D">
            <w:pPr>
              <w:spacing w:line="560" w:lineRule="exact"/>
              <w:rPr>
                <w:rFonts w:hint="eastAsia" w:ascii="宋体" w:hAnsi="宋体" w:eastAsia="宋体" w:cs="宋体"/>
                <w:color w:val="auto"/>
                <w:sz w:val="24"/>
                <w:szCs w:val="24"/>
                <w:highlight w:val="none"/>
              </w:rPr>
            </w:pPr>
          </w:p>
        </w:tc>
      </w:tr>
      <w:tr w14:paraId="220B96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6CD534FB">
            <w:pPr>
              <w:spacing w:line="560" w:lineRule="exact"/>
              <w:rPr>
                <w:rFonts w:hint="eastAsia" w:ascii="宋体" w:hAnsi="宋体" w:eastAsia="宋体" w:cs="宋体"/>
                <w:color w:val="auto"/>
                <w:sz w:val="24"/>
                <w:szCs w:val="24"/>
                <w:highlight w:val="none"/>
              </w:rPr>
            </w:pPr>
          </w:p>
        </w:tc>
        <w:tc>
          <w:tcPr>
            <w:tcW w:w="7568" w:type="dxa"/>
            <w:vAlign w:val="center"/>
          </w:tcPr>
          <w:p w14:paraId="6035952A">
            <w:pPr>
              <w:spacing w:line="560" w:lineRule="exact"/>
              <w:rPr>
                <w:rFonts w:hint="eastAsia" w:ascii="宋体" w:hAnsi="宋体" w:eastAsia="宋体" w:cs="宋体"/>
                <w:color w:val="auto"/>
                <w:sz w:val="24"/>
                <w:szCs w:val="24"/>
                <w:highlight w:val="none"/>
              </w:rPr>
            </w:pPr>
          </w:p>
        </w:tc>
      </w:tr>
      <w:tr w14:paraId="00AFCF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45C13F9E">
            <w:pPr>
              <w:spacing w:line="560" w:lineRule="exact"/>
              <w:rPr>
                <w:rFonts w:hint="eastAsia" w:ascii="宋体" w:hAnsi="宋体" w:eastAsia="宋体" w:cs="宋体"/>
                <w:color w:val="auto"/>
                <w:sz w:val="24"/>
                <w:szCs w:val="24"/>
                <w:highlight w:val="none"/>
              </w:rPr>
            </w:pPr>
          </w:p>
        </w:tc>
        <w:tc>
          <w:tcPr>
            <w:tcW w:w="7568" w:type="dxa"/>
            <w:vAlign w:val="center"/>
          </w:tcPr>
          <w:p w14:paraId="3AE9AB17">
            <w:pPr>
              <w:spacing w:line="560" w:lineRule="exact"/>
              <w:rPr>
                <w:rFonts w:hint="eastAsia" w:ascii="宋体" w:hAnsi="宋体" w:eastAsia="宋体" w:cs="宋体"/>
                <w:color w:val="auto"/>
                <w:sz w:val="24"/>
                <w:szCs w:val="24"/>
                <w:highlight w:val="none"/>
              </w:rPr>
            </w:pPr>
          </w:p>
        </w:tc>
      </w:tr>
      <w:tr w14:paraId="3EE9C8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top w:val="single" w:color="auto" w:sz="6" w:space="0"/>
              <w:left w:val="single" w:color="auto" w:sz="4" w:space="0"/>
              <w:bottom w:val="single" w:color="auto" w:sz="6" w:space="0"/>
              <w:right w:val="single" w:color="auto" w:sz="6" w:space="0"/>
            </w:tcBorders>
            <w:vAlign w:val="center"/>
          </w:tcPr>
          <w:p w14:paraId="62A2E4F5">
            <w:pPr>
              <w:spacing w:line="560" w:lineRule="exact"/>
              <w:rPr>
                <w:rFonts w:hint="eastAsia" w:ascii="宋体" w:hAnsi="宋体" w:eastAsia="宋体" w:cs="宋体"/>
                <w:color w:val="auto"/>
                <w:sz w:val="24"/>
                <w:szCs w:val="24"/>
                <w:highlight w:val="none"/>
              </w:rPr>
            </w:pPr>
          </w:p>
        </w:tc>
        <w:tc>
          <w:tcPr>
            <w:tcW w:w="7568" w:type="dxa"/>
            <w:tcBorders>
              <w:top w:val="single" w:color="auto" w:sz="6" w:space="0"/>
              <w:left w:val="single" w:color="auto" w:sz="6" w:space="0"/>
              <w:bottom w:val="single" w:color="auto" w:sz="6" w:space="0"/>
              <w:right w:val="single" w:color="auto" w:sz="6" w:space="0"/>
            </w:tcBorders>
            <w:vAlign w:val="center"/>
          </w:tcPr>
          <w:p w14:paraId="0966F80C">
            <w:pPr>
              <w:spacing w:line="560" w:lineRule="exact"/>
              <w:rPr>
                <w:rFonts w:hint="eastAsia" w:ascii="宋体" w:hAnsi="宋体" w:eastAsia="宋体" w:cs="宋体"/>
                <w:color w:val="auto"/>
                <w:sz w:val="24"/>
                <w:szCs w:val="24"/>
                <w:highlight w:val="none"/>
              </w:rPr>
            </w:pPr>
          </w:p>
        </w:tc>
      </w:tr>
      <w:tr w14:paraId="504B17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top w:val="single" w:color="auto" w:sz="6" w:space="0"/>
              <w:left w:val="single" w:color="auto" w:sz="4" w:space="0"/>
              <w:bottom w:val="single" w:color="auto" w:sz="6" w:space="0"/>
              <w:right w:val="single" w:color="auto" w:sz="6" w:space="0"/>
            </w:tcBorders>
            <w:vAlign w:val="center"/>
          </w:tcPr>
          <w:p w14:paraId="0E06642C">
            <w:pPr>
              <w:spacing w:line="560" w:lineRule="exact"/>
              <w:rPr>
                <w:rFonts w:hint="eastAsia" w:ascii="宋体" w:hAnsi="宋体" w:eastAsia="宋体" w:cs="宋体"/>
                <w:color w:val="auto"/>
                <w:sz w:val="24"/>
                <w:szCs w:val="24"/>
                <w:highlight w:val="none"/>
              </w:rPr>
            </w:pPr>
          </w:p>
        </w:tc>
        <w:tc>
          <w:tcPr>
            <w:tcW w:w="7568" w:type="dxa"/>
            <w:tcBorders>
              <w:top w:val="single" w:color="auto" w:sz="6" w:space="0"/>
              <w:left w:val="single" w:color="auto" w:sz="6" w:space="0"/>
              <w:bottom w:val="single" w:color="auto" w:sz="6" w:space="0"/>
              <w:right w:val="single" w:color="auto" w:sz="6" w:space="0"/>
            </w:tcBorders>
            <w:vAlign w:val="center"/>
          </w:tcPr>
          <w:p w14:paraId="48D2113A">
            <w:pPr>
              <w:spacing w:line="560" w:lineRule="exact"/>
              <w:rPr>
                <w:rFonts w:hint="eastAsia" w:ascii="宋体" w:hAnsi="宋体" w:eastAsia="宋体" w:cs="宋体"/>
                <w:color w:val="auto"/>
                <w:sz w:val="24"/>
                <w:szCs w:val="24"/>
                <w:highlight w:val="none"/>
              </w:rPr>
            </w:pPr>
          </w:p>
        </w:tc>
      </w:tr>
    </w:tbl>
    <w:p w14:paraId="1FAB85DE">
      <w:pPr>
        <w:spacing w:line="360" w:lineRule="auto"/>
        <w:rPr>
          <w:rFonts w:asciiTheme="minorEastAsia" w:hAnsiTheme="minorEastAsia" w:eastAsiaTheme="minorEastAsia"/>
          <w:color w:val="auto"/>
          <w:sz w:val="24"/>
          <w:highlight w:val="none"/>
        </w:rPr>
      </w:pPr>
    </w:p>
    <w:p w14:paraId="02ABD43E">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bookmarkEnd w:id="546"/>
    <w:p w14:paraId="557A8F2F">
      <w:pPr>
        <w:pStyle w:val="3"/>
        <w:keepNext/>
        <w:keepLines/>
        <w:pageBreakBefore w:val="0"/>
        <w:widowControl w:val="0"/>
        <w:numPr>
          <w:ilvl w:val="0"/>
          <w:numId w:val="0"/>
        </w:numPr>
        <w:kinsoku/>
        <w:wordWrap/>
        <w:overflowPunct/>
        <w:topLinePunct w:val="0"/>
        <w:autoSpaceDE/>
        <w:autoSpaceDN/>
        <w:bidi w:val="0"/>
        <w:adjustRightInd/>
        <w:snapToGrid/>
        <w:spacing w:before="100" w:after="90" w:line="360" w:lineRule="auto"/>
        <w:ind w:left="420" w:leftChars="0" w:hanging="420" w:firstLineChars="0"/>
        <w:textAlignment w:val="auto"/>
        <w:rPr>
          <w:rFonts w:hint="eastAsia" w:ascii="宋体" w:hAnsi="宋体" w:eastAsia="黑体" w:cstheme="minorBidi"/>
          <w:b/>
          <w:bCs/>
          <w:color w:val="auto"/>
          <w:kern w:val="44"/>
          <w:sz w:val="44"/>
          <w:szCs w:val="44"/>
          <w:highlight w:val="none"/>
          <w:lang w:val="en-US" w:eastAsia="zh-CN" w:bidi="ar-SA"/>
        </w:rPr>
      </w:pPr>
      <w:bookmarkStart w:id="750" w:name="_Toc155185919"/>
    </w:p>
    <w:p w14:paraId="72D513E7">
      <w:pPr>
        <w:pStyle w:val="3"/>
        <w:keepNext/>
        <w:keepLines/>
        <w:pageBreakBefore w:val="0"/>
        <w:widowControl w:val="0"/>
        <w:numPr>
          <w:ilvl w:val="0"/>
          <w:numId w:val="0"/>
        </w:numPr>
        <w:kinsoku/>
        <w:wordWrap/>
        <w:overflowPunct/>
        <w:topLinePunct w:val="0"/>
        <w:autoSpaceDE/>
        <w:autoSpaceDN/>
        <w:bidi w:val="0"/>
        <w:adjustRightInd/>
        <w:snapToGrid/>
        <w:spacing w:before="100" w:after="90" w:line="360" w:lineRule="auto"/>
        <w:ind w:left="420" w:leftChars="0" w:hanging="420" w:firstLineChars="0"/>
        <w:textAlignment w:val="auto"/>
        <w:rPr>
          <w:rFonts w:hint="eastAsia" w:ascii="宋体" w:hAnsi="宋体" w:eastAsia="黑体" w:cstheme="minorBidi"/>
          <w:b/>
          <w:bCs/>
          <w:color w:val="auto"/>
          <w:kern w:val="44"/>
          <w:sz w:val="44"/>
          <w:szCs w:val="44"/>
          <w:highlight w:val="none"/>
          <w:lang w:val="en-US" w:eastAsia="zh-CN" w:bidi="ar-SA"/>
        </w:rPr>
      </w:pPr>
    </w:p>
    <w:p w14:paraId="5CAF3138">
      <w:pPr>
        <w:pStyle w:val="3"/>
        <w:keepNext/>
        <w:keepLines/>
        <w:pageBreakBefore w:val="0"/>
        <w:widowControl w:val="0"/>
        <w:numPr>
          <w:ilvl w:val="0"/>
          <w:numId w:val="0"/>
        </w:numPr>
        <w:kinsoku/>
        <w:wordWrap/>
        <w:overflowPunct/>
        <w:topLinePunct w:val="0"/>
        <w:autoSpaceDE/>
        <w:autoSpaceDN/>
        <w:bidi w:val="0"/>
        <w:adjustRightInd/>
        <w:snapToGrid/>
        <w:spacing w:before="220" w:after="220" w:line="480" w:lineRule="auto"/>
        <w:ind w:left="420" w:leftChars="0" w:hanging="420" w:firstLineChars="0"/>
        <w:textAlignment w:val="auto"/>
        <w:rPr>
          <w:rFonts w:hint="eastAsia" w:ascii="宋体" w:hAnsi="宋体" w:eastAsia="宋体" w:cs="宋体"/>
          <w:b/>
          <w:bCs/>
          <w:color w:val="auto"/>
          <w:kern w:val="44"/>
          <w:sz w:val="36"/>
          <w:szCs w:val="36"/>
          <w:highlight w:val="none"/>
          <w:lang w:val="en-US" w:eastAsia="zh-CN" w:bidi="ar-SA"/>
        </w:rPr>
      </w:pPr>
      <w:bookmarkStart w:id="751" w:name="_Toc126"/>
      <w:bookmarkStart w:id="752" w:name="_Toc4770"/>
      <w:r>
        <w:rPr>
          <w:rFonts w:hint="eastAsia" w:ascii="宋体" w:hAnsi="宋体" w:eastAsia="宋体" w:cs="宋体"/>
          <w:b/>
          <w:bCs/>
          <w:color w:val="auto"/>
          <w:kern w:val="44"/>
          <w:sz w:val="36"/>
          <w:szCs w:val="36"/>
          <w:highlight w:val="none"/>
          <w:lang w:val="en-US" w:eastAsia="zh-CN" w:bidi="ar-SA"/>
        </w:rPr>
        <w:t>第七章 投标文件格式</w:t>
      </w:r>
      <w:bookmarkEnd w:id="750"/>
      <w:bookmarkEnd w:id="751"/>
      <w:bookmarkEnd w:id="752"/>
    </w:p>
    <w:p w14:paraId="20B1063D">
      <w:pPr>
        <w:ind w:left="240" w:leftChars="100" w:firstLine="480" w:firstLineChars="200"/>
        <w:rPr>
          <w:rFonts w:cs="仿宋_GB2312"/>
          <w:color w:val="auto"/>
          <w:szCs w:val="24"/>
          <w:highlight w:val="none"/>
        </w:rPr>
      </w:pPr>
    </w:p>
    <w:p w14:paraId="29D44C55">
      <w:pPr>
        <w:pStyle w:val="60"/>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244DD0F1">
      <w:pPr>
        <w:pStyle w:val="60"/>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09EDECB5">
      <w:pPr>
        <w:pStyle w:val="60"/>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75F9B001">
      <w:pPr>
        <w:pStyle w:val="60"/>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12E1D158">
      <w:pPr>
        <w:pStyle w:val="60"/>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4E6822E5">
      <w:pPr>
        <w:pStyle w:val="60"/>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62CA045B">
      <w:pPr>
        <w:pStyle w:val="60"/>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3893E9FD">
      <w:pPr>
        <w:pStyle w:val="60"/>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495452EF">
      <w:pPr>
        <w:pStyle w:val="60"/>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0AA66CC1">
      <w:pPr>
        <w:pStyle w:val="60"/>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369FA17D">
      <w:pPr>
        <w:pStyle w:val="60"/>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572E3CAE">
      <w:pPr>
        <w:pStyle w:val="60"/>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5565C3EB">
      <w:pPr>
        <w:pStyle w:val="60"/>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07DA079A">
      <w:pPr>
        <w:pStyle w:val="60"/>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6E15166A">
      <w:pPr>
        <w:pStyle w:val="60"/>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63A9983C">
      <w:pPr>
        <w:pStyle w:val="60"/>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748F8DEC">
      <w:pPr>
        <w:pStyle w:val="60"/>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6F52A8AF">
      <w:pPr>
        <w:pStyle w:val="60"/>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42FC05CF">
      <w:pPr>
        <w:pStyle w:val="60"/>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761F2B5A">
      <w:pPr>
        <w:pStyle w:val="60"/>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599474F0">
      <w:pPr>
        <w:pStyle w:val="60"/>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5390F1A2">
      <w:pPr>
        <w:pStyle w:val="60"/>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4A93A46C">
      <w:pPr>
        <w:pStyle w:val="60"/>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3C290983">
      <w:pPr>
        <w:pStyle w:val="60"/>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155D68F1">
      <w:pPr>
        <w:pStyle w:val="60"/>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1025489F">
      <w:pPr>
        <w:pStyle w:val="60"/>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308F138C">
      <w:pPr>
        <w:pStyle w:val="60"/>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2CDCE37B">
      <w:pPr>
        <w:ind w:firstLine="480" w:firstLineChars="200"/>
        <w:rPr>
          <w:rFonts w:hint="eastAsia" w:cs="仿宋_GB2312"/>
          <w:color w:val="auto"/>
          <w:szCs w:val="24"/>
          <w:highlight w:val="none"/>
          <w:lang w:val="zh-CN"/>
        </w:rPr>
      </w:pPr>
    </w:p>
    <w:p w14:paraId="3D40132F">
      <w:pPr>
        <w:ind w:firstLine="480" w:firstLineChars="200"/>
        <w:rPr>
          <w:rFonts w:hint="eastAsia" w:cs="仿宋_GB2312"/>
          <w:color w:val="auto"/>
          <w:szCs w:val="24"/>
          <w:highlight w:val="none"/>
          <w:lang w:val="zh-CN"/>
        </w:rPr>
      </w:pPr>
    </w:p>
    <w:p w14:paraId="375DA883">
      <w:pPr>
        <w:ind w:firstLine="480" w:firstLineChars="200"/>
        <w:rPr>
          <w:rFonts w:cs="仿宋_GB2312"/>
          <w:color w:val="auto"/>
          <w:szCs w:val="24"/>
          <w:highlight w:val="none"/>
          <w:lang w:val="zh-CN"/>
        </w:rPr>
      </w:pPr>
      <w:r>
        <w:rPr>
          <w:rFonts w:hint="eastAsia" w:cs="仿宋_GB2312"/>
          <w:color w:val="auto"/>
          <w:szCs w:val="24"/>
          <w:highlight w:val="none"/>
          <w:lang w:val="zh-CN"/>
        </w:rPr>
        <w:t>封面：</w:t>
      </w:r>
    </w:p>
    <w:p w14:paraId="6466A4DC">
      <w:pPr>
        <w:autoSpaceDE w:val="0"/>
        <w:autoSpaceDN w:val="0"/>
        <w:adjustRightInd w:val="0"/>
        <w:rPr>
          <w:color w:val="auto"/>
          <w:sz w:val="21"/>
          <w:szCs w:val="24"/>
          <w:highlight w:val="none"/>
        </w:rPr>
      </w:pPr>
    </w:p>
    <w:p w14:paraId="445E5BF7">
      <w:pPr>
        <w:autoSpaceDE w:val="0"/>
        <w:autoSpaceDN w:val="0"/>
        <w:adjustRightInd w:val="0"/>
        <w:rPr>
          <w:color w:val="auto"/>
          <w:sz w:val="21"/>
          <w:szCs w:val="24"/>
          <w:highlight w:val="none"/>
        </w:rPr>
      </w:pPr>
    </w:p>
    <w:p w14:paraId="4BD0E164">
      <w:pPr>
        <w:autoSpaceDE w:val="0"/>
        <w:autoSpaceDN w:val="0"/>
        <w:adjustRightInd w:val="0"/>
        <w:jc w:val="center"/>
        <w:rPr>
          <w:color w:val="auto"/>
          <w:sz w:val="21"/>
          <w:szCs w:val="24"/>
          <w:highlight w:val="none"/>
        </w:rPr>
      </w:pPr>
    </w:p>
    <w:p w14:paraId="2280C3BA">
      <w:pPr>
        <w:pStyle w:val="2"/>
        <w:bidi w:val="0"/>
        <w:jc w:val="center"/>
        <w:rPr>
          <w:sz w:val="84"/>
          <w:szCs w:val="84"/>
        </w:rPr>
      </w:pPr>
      <w:bookmarkStart w:id="753" w:name="_Toc29969"/>
      <w:r>
        <w:rPr>
          <w:rFonts w:hint="eastAsia"/>
          <w:sz w:val="84"/>
          <w:szCs w:val="84"/>
        </w:rPr>
        <w:t>投 标 文 件</w:t>
      </w:r>
      <w:bookmarkEnd w:id="753"/>
    </w:p>
    <w:p w14:paraId="0FA5F802">
      <w:pPr>
        <w:pStyle w:val="2"/>
        <w:bidi w:val="0"/>
        <w:spacing w:before="0" w:after="0" w:line="240" w:lineRule="auto"/>
        <w:jc w:val="center"/>
        <w:rPr>
          <w:sz w:val="56"/>
          <w:szCs w:val="56"/>
        </w:rPr>
      </w:pPr>
      <w:bookmarkStart w:id="754" w:name="_Toc26966"/>
      <w:r>
        <w:rPr>
          <w:rFonts w:hint="eastAsia"/>
          <w:sz w:val="56"/>
          <w:szCs w:val="56"/>
        </w:rPr>
        <w:t>资格证明文件</w:t>
      </w:r>
      <w:bookmarkEnd w:id="754"/>
    </w:p>
    <w:p w14:paraId="66E88D4F">
      <w:pPr>
        <w:autoSpaceDE w:val="0"/>
        <w:autoSpaceDN w:val="0"/>
        <w:adjustRightInd w:val="0"/>
        <w:rPr>
          <w:b/>
          <w:bCs/>
          <w:color w:val="auto"/>
          <w:sz w:val="22"/>
          <w:highlight w:val="none"/>
        </w:rPr>
      </w:pPr>
    </w:p>
    <w:p w14:paraId="537F8D86">
      <w:pPr>
        <w:autoSpaceDE w:val="0"/>
        <w:autoSpaceDN w:val="0"/>
        <w:adjustRightInd w:val="0"/>
        <w:jc w:val="center"/>
        <w:rPr>
          <w:rFonts w:hint="eastAsia" w:eastAsia="宋体"/>
          <w:color w:val="auto"/>
          <w:sz w:val="36"/>
          <w:szCs w:val="36"/>
          <w:highlight w:val="none"/>
          <w:lang w:eastAsia="zh-CN"/>
        </w:rPr>
      </w:pPr>
      <w:r>
        <w:rPr>
          <w:rFonts w:hint="eastAsia"/>
          <w:color w:val="auto"/>
          <w:sz w:val="36"/>
          <w:szCs w:val="36"/>
          <w:highlight w:val="none"/>
          <w:lang w:val="en-US" w:eastAsia="zh-CN"/>
        </w:rPr>
        <w:t>（第XX包</w:t>
      </w:r>
      <w:r>
        <w:rPr>
          <w:rFonts w:hint="eastAsia"/>
          <w:color w:val="auto"/>
          <w:sz w:val="36"/>
          <w:szCs w:val="36"/>
          <w:highlight w:val="none"/>
          <w:lang w:eastAsia="zh-CN"/>
        </w:rPr>
        <w:t>）</w:t>
      </w:r>
    </w:p>
    <w:p w14:paraId="026E8C70">
      <w:pPr>
        <w:autoSpaceDE w:val="0"/>
        <w:autoSpaceDN w:val="0"/>
        <w:adjustRightInd w:val="0"/>
        <w:rPr>
          <w:color w:val="auto"/>
          <w:sz w:val="21"/>
          <w:szCs w:val="21"/>
          <w:highlight w:val="none"/>
        </w:rPr>
      </w:pPr>
    </w:p>
    <w:p w14:paraId="2874C375">
      <w:pPr>
        <w:pStyle w:val="2"/>
        <w:rPr>
          <w:color w:val="auto"/>
          <w:highlight w:val="none"/>
        </w:rPr>
      </w:pPr>
    </w:p>
    <w:p w14:paraId="2085130F">
      <w:pPr>
        <w:autoSpaceDE w:val="0"/>
        <w:autoSpaceDN w:val="0"/>
        <w:adjustRightInd w:val="0"/>
        <w:rPr>
          <w:color w:val="auto"/>
          <w:sz w:val="21"/>
          <w:szCs w:val="21"/>
          <w:highlight w:val="none"/>
        </w:rPr>
      </w:pPr>
    </w:p>
    <w:p w14:paraId="39700BDA">
      <w:pPr>
        <w:autoSpaceDE w:val="0"/>
        <w:autoSpaceDN w:val="0"/>
        <w:adjustRightInd w:val="0"/>
        <w:rPr>
          <w:color w:val="auto"/>
          <w:sz w:val="21"/>
          <w:szCs w:val="21"/>
          <w:highlight w:val="none"/>
        </w:rPr>
      </w:pPr>
    </w:p>
    <w:p w14:paraId="6334E3E2">
      <w:pPr>
        <w:ind w:left="420" w:leftChars="175"/>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lang w:val="en-US" w:eastAsia="zh-CN"/>
        </w:rPr>
        <w:t>/包号</w:t>
      </w:r>
      <w:r>
        <w:rPr>
          <w:rFonts w:hint="eastAsia" w:ascii="宋体" w:hAnsi="宋体" w:eastAsia="宋体" w:cs="宋体"/>
          <w:color w:val="auto"/>
          <w:sz w:val="36"/>
          <w:szCs w:val="36"/>
          <w:highlight w:val="none"/>
        </w:rPr>
        <w:t>：</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p>
    <w:p w14:paraId="5A643116">
      <w:pPr>
        <w:ind w:left="420" w:leftChars="175"/>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项目名称：</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p>
    <w:p w14:paraId="2710CA78">
      <w:pPr>
        <w:ind w:left="420" w:leftChars="175"/>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投</w:t>
      </w:r>
      <w:r>
        <w:rPr>
          <w:rFonts w:hint="eastAsia" w:ascii="宋体" w:hAnsi="宋体" w:eastAsia="宋体" w:cs="宋体"/>
          <w:color w:val="auto"/>
          <w:sz w:val="36"/>
          <w:szCs w:val="36"/>
          <w:highlight w:val="none"/>
          <w:lang w:val="en-US" w:eastAsia="zh-CN"/>
        </w:rPr>
        <w:t xml:space="preserve"> </w:t>
      </w:r>
      <w:r>
        <w:rPr>
          <w:rFonts w:hint="eastAsia" w:ascii="宋体" w:hAnsi="宋体" w:eastAsia="宋体" w:cs="宋体"/>
          <w:color w:val="auto"/>
          <w:sz w:val="36"/>
          <w:szCs w:val="36"/>
          <w:highlight w:val="none"/>
        </w:rPr>
        <w:t>标</w:t>
      </w:r>
      <w:r>
        <w:rPr>
          <w:rFonts w:hint="eastAsia" w:ascii="宋体" w:hAnsi="宋体" w:eastAsia="宋体" w:cs="宋体"/>
          <w:color w:val="auto"/>
          <w:sz w:val="36"/>
          <w:szCs w:val="36"/>
          <w:highlight w:val="none"/>
          <w:lang w:val="en-US" w:eastAsia="zh-CN"/>
        </w:rPr>
        <w:t xml:space="preserve"> </w:t>
      </w:r>
      <w:r>
        <w:rPr>
          <w:rFonts w:hint="eastAsia" w:ascii="宋体" w:hAnsi="宋体" w:eastAsia="宋体" w:cs="宋体"/>
          <w:color w:val="auto"/>
          <w:sz w:val="36"/>
          <w:szCs w:val="36"/>
          <w:highlight w:val="none"/>
        </w:rPr>
        <w:t>人：</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p>
    <w:p w14:paraId="7A39596D">
      <w:pPr>
        <w:ind w:left="840" w:firstLine="420"/>
        <w:rPr>
          <w:b/>
          <w:bCs/>
          <w:color w:val="auto"/>
          <w:sz w:val="28"/>
          <w:szCs w:val="28"/>
          <w:highlight w:val="none"/>
        </w:rPr>
      </w:pPr>
    </w:p>
    <w:p w14:paraId="0613F091">
      <w:pPr>
        <w:ind w:left="840" w:firstLine="420"/>
        <w:rPr>
          <w:b/>
          <w:bCs/>
          <w:color w:val="auto"/>
          <w:sz w:val="28"/>
          <w:szCs w:val="28"/>
          <w:highlight w:val="none"/>
        </w:rPr>
      </w:pPr>
    </w:p>
    <w:p w14:paraId="2330D405">
      <w:pPr>
        <w:jc w:val="center"/>
        <w:rPr>
          <w:rFonts w:ascii="黑体" w:hAnsi="黑体" w:eastAsia="黑体"/>
          <w:color w:val="auto"/>
          <w:sz w:val="32"/>
          <w:szCs w:val="32"/>
          <w:highlight w:val="none"/>
        </w:rPr>
      </w:pPr>
      <w:r>
        <w:rPr>
          <w:rFonts w:hint="eastAsia" w:ascii="宋体" w:hAnsi="宋体" w:eastAsia="宋体" w:cs="宋体"/>
          <w:color w:val="auto"/>
          <w:sz w:val="32"/>
          <w:szCs w:val="32"/>
          <w:highlight w:val="none"/>
        </w:rPr>
        <w:t>年   月    日</w:t>
      </w:r>
    </w:p>
    <w:p w14:paraId="6447D651">
      <w:pPr>
        <w:rPr>
          <w:color w:val="auto"/>
          <w:highlight w:val="none"/>
          <w:lang w:val="zh-CN"/>
        </w:rPr>
      </w:pPr>
      <w:r>
        <w:rPr>
          <w:color w:val="auto"/>
          <w:highlight w:val="none"/>
          <w:lang w:val="zh-CN"/>
        </w:rPr>
        <w:br w:type="page"/>
      </w:r>
    </w:p>
    <w:p w14:paraId="6DBE2CDA">
      <w:pPr>
        <w:rPr>
          <w:color w:val="auto"/>
          <w:highlight w:val="none"/>
          <w:lang w:val="zh-CN"/>
        </w:rPr>
      </w:pPr>
    </w:p>
    <w:p w14:paraId="215FC2E3">
      <w:pPr>
        <w:pStyle w:val="2"/>
        <w:bidi w:val="0"/>
        <w:rPr>
          <w:rFonts w:hint="eastAsia"/>
          <w:sz w:val="28"/>
          <w:szCs w:val="28"/>
          <w:lang w:val="en-US" w:eastAsia="zh-CN"/>
        </w:rPr>
      </w:pPr>
      <w:bookmarkStart w:id="755" w:name="_Toc25215"/>
      <w:bookmarkStart w:id="756" w:name="_Toc155185927"/>
      <w:r>
        <w:rPr>
          <w:rFonts w:hint="eastAsia"/>
          <w:sz w:val="28"/>
          <w:szCs w:val="28"/>
          <w:lang w:val="en-US" w:eastAsia="zh-CN"/>
        </w:rPr>
        <w:t>一、满足《中华人民共和国政府采购法》第二十二条规定</w:t>
      </w:r>
      <w:bookmarkEnd w:id="755"/>
    </w:p>
    <w:bookmarkEnd w:id="756"/>
    <w:p w14:paraId="4C032460">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（一）法人、其他组织或者自然人的证明文件</w:t>
      </w:r>
    </w:p>
    <w:p w14:paraId="2881C92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cs="宋体"/>
          <w:b w:val="0"/>
          <w:bCs w:val="0"/>
          <w:color w:val="auto"/>
          <w:kern w:val="0"/>
          <w:sz w:val="24"/>
          <w:szCs w:val="24"/>
          <w:highlight w:val="none"/>
          <w:lang w:val="en-US" w:eastAsia="zh-CN"/>
        </w:rPr>
        <w:t>1、投标人</w:t>
      </w:r>
      <w:r>
        <w:rPr>
          <w:rFonts w:hint="eastAsia" w:ascii="宋体" w:hAnsi="宋体" w:eastAsia="宋体" w:cs="宋体"/>
          <w:b w:val="0"/>
          <w:bCs w:val="0"/>
          <w:color w:val="auto"/>
          <w:kern w:val="0"/>
          <w:sz w:val="24"/>
          <w:szCs w:val="24"/>
          <w:highlight w:val="none"/>
          <w:lang w:val="en-US" w:eastAsia="zh-CN"/>
        </w:rPr>
        <w:t>为企业（包括合伙企业）的，应提供有效的“营业执照”；</w:t>
      </w:r>
    </w:p>
    <w:p w14:paraId="1CA280B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cs="宋体"/>
          <w:b w:val="0"/>
          <w:bCs w:val="0"/>
          <w:color w:val="auto"/>
          <w:kern w:val="0"/>
          <w:sz w:val="24"/>
          <w:szCs w:val="24"/>
          <w:highlight w:val="none"/>
          <w:lang w:val="en-US" w:eastAsia="zh-CN"/>
        </w:rPr>
        <w:t>2、投标人</w:t>
      </w:r>
      <w:r>
        <w:rPr>
          <w:rFonts w:hint="eastAsia" w:ascii="宋体" w:hAnsi="宋体" w:eastAsia="宋体" w:cs="宋体"/>
          <w:b w:val="0"/>
          <w:bCs w:val="0"/>
          <w:color w:val="auto"/>
          <w:kern w:val="0"/>
          <w:sz w:val="24"/>
          <w:szCs w:val="24"/>
          <w:highlight w:val="none"/>
          <w:lang w:val="en-US" w:eastAsia="zh-CN"/>
        </w:rPr>
        <w:t>为事业单位的，应提供有效的“事业单位法人证书”；</w:t>
      </w:r>
    </w:p>
    <w:p w14:paraId="4C09FDB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cs="宋体"/>
          <w:b w:val="0"/>
          <w:bCs w:val="0"/>
          <w:color w:val="auto"/>
          <w:kern w:val="0"/>
          <w:sz w:val="24"/>
          <w:szCs w:val="24"/>
          <w:highlight w:val="none"/>
          <w:lang w:val="en-US" w:eastAsia="zh-CN"/>
        </w:rPr>
        <w:t>3、投标人</w:t>
      </w:r>
      <w:r>
        <w:rPr>
          <w:rFonts w:hint="eastAsia" w:ascii="宋体" w:hAnsi="宋体" w:eastAsia="宋体" w:cs="宋体"/>
          <w:b w:val="0"/>
          <w:bCs w:val="0"/>
          <w:color w:val="auto"/>
          <w:kern w:val="0"/>
          <w:sz w:val="24"/>
          <w:szCs w:val="24"/>
          <w:highlight w:val="none"/>
          <w:lang w:val="en-US" w:eastAsia="zh-CN"/>
        </w:rPr>
        <w:t>为非企业机构的，应提供有效的“执业许可证”、“登记证书”等证明文件；</w:t>
      </w:r>
    </w:p>
    <w:p w14:paraId="3239349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cs="宋体"/>
          <w:b w:val="0"/>
          <w:bCs w:val="0"/>
          <w:color w:val="auto"/>
          <w:kern w:val="0"/>
          <w:sz w:val="24"/>
          <w:szCs w:val="24"/>
          <w:highlight w:val="none"/>
          <w:lang w:val="en-US" w:eastAsia="zh-CN"/>
        </w:rPr>
        <w:t>4、投标人</w:t>
      </w:r>
      <w:r>
        <w:rPr>
          <w:rFonts w:hint="eastAsia" w:ascii="宋体" w:hAnsi="宋体" w:eastAsia="宋体" w:cs="宋体"/>
          <w:b w:val="0"/>
          <w:bCs w:val="0"/>
          <w:color w:val="auto"/>
          <w:kern w:val="0"/>
          <w:sz w:val="24"/>
          <w:szCs w:val="24"/>
          <w:highlight w:val="none"/>
          <w:lang w:val="en-US" w:eastAsia="zh-CN"/>
        </w:rPr>
        <w:t>是个体工商户的，应提供有效的“个体工商户营业执照”；</w:t>
      </w:r>
    </w:p>
    <w:p w14:paraId="47F836A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cs="宋体"/>
          <w:b w:val="0"/>
          <w:bCs w:val="0"/>
          <w:color w:val="auto"/>
          <w:kern w:val="0"/>
          <w:sz w:val="24"/>
          <w:szCs w:val="24"/>
          <w:highlight w:val="none"/>
          <w:lang w:val="en-US" w:eastAsia="zh-CN"/>
        </w:rPr>
        <w:t>5、投标人</w:t>
      </w:r>
      <w:r>
        <w:rPr>
          <w:rFonts w:hint="eastAsia" w:ascii="宋体" w:hAnsi="宋体" w:eastAsia="宋体" w:cs="宋体"/>
          <w:b w:val="0"/>
          <w:bCs w:val="0"/>
          <w:color w:val="auto"/>
          <w:kern w:val="0"/>
          <w:sz w:val="24"/>
          <w:szCs w:val="24"/>
          <w:highlight w:val="none"/>
          <w:lang w:val="en-US" w:eastAsia="zh-CN"/>
        </w:rPr>
        <w:t>是自然人的，应提供有效的自然人身份证明</w:t>
      </w:r>
      <w:r>
        <w:rPr>
          <w:rFonts w:hint="eastAsia" w:cs="宋体"/>
          <w:b w:val="0"/>
          <w:bCs w:val="0"/>
          <w:color w:val="auto"/>
          <w:kern w:val="0"/>
          <w:sz w:val="24"/>
          <w:szCs w:val="24"/>
          <w:highlight w:val="none"/>
          <w:lang w:val="en-US" w:eastAsia="zh-CN"/>
        </w:rPr>
        <w:t>。</w:t>
      </w:r>
    </w:p>
    <w:p w14:paraId="77687BE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0"/>
          <w:sz w:val="24"/>
          <w:szCs w:val="24"/>
          <w:highlight w:val="none"/>
          <w:lang w:val="en-US" w:eastAsia="zh-CN"/>
        </w:rPr>
      </w:pPr>
    </w:p>
    <w:p w14:paraId="2FE2A9CA">
      <w:pP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br w:type="page"/>
      </w:r>
    </w:p>
    <w:p w14:paraId="6FC7F68F">
      <w:pPr>
        <w:pStyle w:val="2"/>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0" w:leftChars="0" w:firstLine="0" w:firstLineChars="0"/>
        <w:textAlignment w:val="auto"/>
        <w:rPr>
          <w:rFonts w:hint="eastAsia" w:eastAsia="宋体" w:cstheme="majorBidi"/>
          <w:b/>
          <w:bCs/>
          <w:color w:val="auto"/>
          <w:kern w:val="2"/>
          <w:sz w:val="24"/>
          <w:szCs w:val="24"/>
          <w:highlight w:val="none"/>
          <w:lang w:val="en-US" w:eastAsia="zh-CN" w:bidi="ar-SA"/>
        </w:rPr>
      </w:pPr>
      <w:bookmarkStart w:id="757" w:name="_Toc23771"/>
      <w:bookmarkStart w:id="758" w:name="_Toc15114"/>
      <w:r>
        <w:rPr>
          <w:rFonts w:hint="eastAsia" w:eastAsia="宋体" w:cstheme="majorBidi"/>
          <w:b/>
          <w:bCs/>
          <w:color w:val="auto"/>
          <w:kern w:val="2"/>
          <w:sz w:val="24"/>
          <w:szCs w:val="24"/>
          <w:highlight w:val="none"/>
          <w:lang w:val="en-US" w:eastAsia="zh-CN" w:bidi="ar-SA"/>
        </w:rPr>
        <w:t>（二）兵团政府采购供应商信用承诺函</w:t>
      </w:r>
      <w:bookmarkEnd w:id="757"/>
      <w:bookmarkEnd w:id="758"/>
    </w:p>
    <w:p w14:paraId="695B752A">
      <w:pPr>
        <w:spacing w:line="560" w:lineRule="exac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单位名称</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自然人姓名</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w:t>
      </w:r>
    </w:p>
    <w:p w14:paraId="1BF1CBCB">
      <w:pPr>
        <w:spacing w:line="56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统一社会信用代码</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身份证号码</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w:t>
      </w:r>
    </w:p>
    <w:p w14:paraId="314E343E">
      <w:pPr>
        <w:spacing w:line="56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负责人</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w:t>
      </w:r>
    </w:p>
    <w:p w14:paraId="2F4CE840">
      <w:pPr>
        <w:spacing w:line="560" w:lineRule="exact"/>
        <w:ind w:firstLine="480" w:firstLineChars="200"/>
        <w:rPr>
          <w:rFonts w:hint="eastAsia" w:ascii="宋体" w:hAnsi="宋体" w:eastAsia="宋体" w:cs="宋体"/>
          <w:color w:val="auto"/>
          <w:kern w:val="0"/>
          <w:sz w:val="24"/>
          <w:szCs w:val="24"/>
          <w:highlight w:val="none"/>
        </w:rPr>
      </w:pPr>
    </w:p>
    <w:p w14:paraId="776D8704">
      <w:pPr>
        <w:spacing w:line="5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我单位</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本人</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 xml:space="preserve">自愿参加本次政府采购活动，严格遵守《中华人民共和国政府采购法》及相关法律法规，坚守公开、公平、公正和诚实信用等原则，依法诚信经营，并郑重承诺：    </w:t>
      </w:r>
    </w:p>
    <w:p w14:paraId="353CD750">
      <w:pPr>
        <w:spacing w:line="5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一、我单位</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本人</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符合《中华人民共和国政府采购法》第二十二条规定：</w:t>
      </w:r>
    </w:p>
    <w:p w14:paraId="6C579D2A">
      <w:pPr>
        <w:spacing w:line="5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一</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具有独立承担民事责任的能力;</w:t>
      </w:r>
    </w:p>
    <w:p w14:paraId="1253879B">
      <w:pPr>
        <w:spacing w:line="5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（二）</w:t>
      </w:r>
      <w:r>
        <w:rPr>
          <w:rFonts w:hint="eastAsia" w:ascii="宋体" w:hAnsi="宋体" w:eastAsia="宋体" w:cs="宋体"/>
          <w:color w:val="auto"/>
          <w:kern w:val="0"/>
          <w:sz w:val="24"/>
          <w:szCs w:val="24"/>
          <w:highlight w:val="none"/>
        </w:rPr>
        <w:t>具有良好的商业信誉和健全的财务会计制度;</w:t>
      </w:r>
    </w:p>
    <w:p w14:paraId="550B1CDF">
      <w:pPr>
        <w:spacing w:line="5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（三）</w:t>
      </w:r>
      <w:r>
        <w:rPr>
          <w:rFonts w:hint="eastAsia" w:ascii="宋体" w:hAnsi="宋体" w:eastAsia="宋体" w:cs="宋体"/>
          <w:color w:val="auto"/>
          <w:kern w:val="0"/>
          <w:sz w:val="24"/>
          <w:szCs w:val="24"/>
          <w:highlight w:val="none"/>
        </w:rPr>
        <w:t>具有履行合同所必需的设备和专业技术能力;</w:t>
      </w:r>
    </w:p>
    <w:p w14:paraId="221E549B">
      <w:pPr>
        <w:spacing w:line="5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（四）</w:t>
      </w:r>
      <w:r>
        <w:rPr>
          <w:rFonts w:hint="eastAsia" w:ascii="宋体" w:hAnsi="宋体" w:eastAsia="宋体" w:cs="宋体"/>
          <w:color w:val="auto"/>
          <w:kern w:val="0"/>
          <w:sz w:val="24"/>
          <w:szCs w:val="24"/>
          <w:highlight w:val="none"/>
        </w:rPr>
        <w:t>有依法缴纳税收和社会保障资金的良好记录;</w:t>
      </w:r>
    </w:p>
    <w:p w14:paraId="56D831AE">
      <w:pPr>
        <w:spacing w:line="5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（五）</w:t>
      </w:r>
      <w:r>
        <w:rPr>
          <w:rFonts w:hint="eastAsia" w:ascii="宋体" w:hAnsi="宋体" w:eastAsia="宋体" w:cs="宋体"/>
          <w:color w:val="auto"/>
          <w:kern w:val="0"/>
          <w:sz w:val="24"/>
          <w:szCs w:val="24"/>
          <w:highlight w:val="none"/>
        </w:rPr>
        <w:t>参加政府采购活动前三年内，在经营活动中没有重大违法记录;</w:t>
      </w:r>
    </w:p>
    <w:p w14:paraId="126A1FC2">
      <w:pPr>
        <w:spacing w:line="5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（六）</w:t>
      </w:r>
      <w:r>
        <w:rPr>
          <w:rFonts w:hint="eastAsia" w:ascii="宋体" w:hAnsi="宋体" w:eastAsia="宋体" w:cs="宋体"/>
          <w:color w:val="auto"/>
          <w:kern w:val="0"/>
          <w:sz w:val="24"/>
          <w:szCs w:val="24"/>
          <w:highlight w:val="none"/>
        </w:rPr>
        <w:t>符合法律、行政法规规定的其他条件。</w:t>
      </w:r>
    </w:p>
    <w:p w14:paraId="48BFD221">
      <w:pPr>
        <w:spacing w:line="5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二、我单位</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本人</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未被列入严重违法失信名单、失信被执行人</w:t>
      </w:r>
      <w:r>
        <w:rPr>
          <w:rFonts w:hint="eastAsia" w:ascii="宋体" w:hAnsi="宋体" w:eastAsia="宋体" w:cs="宋体"/>
          <w:color w:val="auto"/>
          <w:kern w:val="0"/>
          <w:sz w:val="24"/>
          <w:szCs w:val="24"/>
          <w:highlight w:val="none"/>
          <w:lang w:eastAsia="zh-CN"/>
        </w:rPr>
        <w:t>名单</w:t>
      </w:r>
      <w:r>
        <w:rPr>
          <w:rFonts w:hint="eastAsia" w:ascii="宋体" w:hAnsi="宋体" w:eastAsia="宋体" w:cs="宋体"/>
          <w:color w:val="auto"/>
          <w:kern w:val="0"/>
          <w:sz w:val="24"/>
          <w:szCs w:val="24"/>
          <w:highlight w:val="none"/>
        </w:rPr>
        <w:t>、重大税收违法失信主体、政府采购严重违法失信行为记录名</w:t>
      </w:r>
      <w:r>
        <w:rPr>
          <w:rFonts w:hint="eastAsia" w:ascii="宋体" w:hAnsi="宋体" w:eastAsia="宋体" w:cs="宋体"/>
          <w:color w:val="auto"/>
          <w:kern w:val="0"/>
          <w:sz w:val="24"/>
          <w:szCs w:val="24"/>
          <w:highlight w:val="none"/>
          <w:lang w:eastAsia="zh-CN"/>
        </w:rPr>
        <w:t>单</w:t>
      </w:r>
      <w:r>
        <w:rPr>
          <w:rFonts w:hint="eastAsia" w:ascii="宋体" w:hAnsi="宋体" w:eastAsia="宋体" w:cs="宋体"/>
          <w:color w:val="auto"/>
          <w:kern w:val="0"/>
          <w:sz w:val="24"/>
          <w:szCs w:val="24"/>
          <w:highlight w:val="none"/>
        </w:rPr>
        <w:t>。</w:t>
      </w:r>
    </w:p>
    <w:p w14:paraId="30747A83">
      <w:pPr>
        <w:spacing w:line="5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三、如果本公司（本人）有幸中标（成交），在合同签订之前，采购单位有权要求本公司（本人）提供资格证明材料原件进行核验。</w:t>
      </w:r>
    </w:p>
    <w:p w14:paraId="663B7525">
      <w:pPr>
        <w:spacing w:line="5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四、我单位</w:t>
      </w:r>
      <w:r>
        <w:rPr>
          <w:rFonts w:hint="eastAsia" w:ascii="宋体" w:hAnsi="宋体" w:eastAsia="宋体" w:cs="宋体"/>
          <w:color w:val="auto"/>
          <w:kern w:val="0"/>
          <w:sz w:val="24"/>
          <w:szCs w:val="24"/>
          <w:highlight w:val="none"/>
          <w:lang w:eastAsia="zh-CN"/>
        </w:rPr>
        <w:t>（本人）</w:t>
      </w:r>
      <w:r>
        <w:rPr>
          <w:rFonts w:hint="eastAsia" w:ascii="宋体" w:hAnsi="宋体" w:eastAsia="宋体" w:cs="宋体"/>
          <w:color w:val="auto"/>
          <w:kern w:val="0"/>
          <w:sz w:val="24"/>
          <w:szCs w:val="24"/>
          <w:highlight w:val="none"/>
        </w:rPr>
        <w:t>保证上述承诺事项的真实性。如有弄虚作假或其他违法违规行为，自愿按照规定将违背承诺行为作为失信行为记录到社会信用信息平台，并视同为“提供虚假材料谋取中标、成交”按照</w:t>
      </w:r>
      <w:r>
        <w:rPr>
          <w:rFonts w:hint="eastAsia"/>
          <w:color w:val="auto"/>
          <w:highlight w:val="none"/>
        </w:rPr>
        <w:t>《中华人民共和国政府采购法》</w:t>
      </w:r>
      <w:r>
        <w:rPr>
          <w:rFonts w:hint="eastAsia" w:ascii="宋体" w:hAnsi="宋体" w:eastAsia="宋体" w:cs="宋体"/>
          <w:color w:val="auto"/>
          <w:kern w:val="0"/>
          <w:sz w:val="24"/>
          <w:szCs w:val="24"/>
          <w:highlight w:val="none"/>
        </w:rPr>
        <w:t>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2B6C39AD">
      <w:pPr>
        <w:spacing w:line="560" w:lineRule="exact"/>
        <w:rPr>
          <w:rFonts w:hint="eastAsia" w:ascii="宋体" w:hAnsi="宋体" w:eastAsia="宋体" w:cs="宋体"/>
          <w:color w:val="auto"/>
          <w:kern w:val="0"/>
          <w:sz w:val="24"/>
          <w:szCs w:val="24"/>
          <w:highlight w:val="none"/>
        </w:rPr>
      </w:pPr>
    </w:p>
    <w:p w14:paraId="49F57DB1">
      <w:pPr>
        <w:spacing w:line="560" w:lineRule="exact"/>
        <w:rPr>
          <w:rFonts w:hint="eastAsia" w:ascii="宋体" w:hAnsi="宋体" w:eastAsia="宋体" w:cs="宋体"/>
          <w:color w:val="auto"/>
          <w:kern w:val="0"/>
          <w:sz w:val="24"/>
          <w:szCs w:val="24"/>
          <w:highlight w:val="none"/>
        </w:rPr>
      </w:pPr>
    </w:p>
    <w:p w14:paraId="5AA48816">
      <w:pPr>
        <w:spacing w:line="56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w:t>
      </w:r>
      <w:r>
        <w:rPr>
          <w:rFonts w:hint="eastAsia" w:cs="宋体"/>
          <w:color w:val="auto"/>
          <w:kern w:val="0"/>
          <w:sz w:val="24"/>
          <w:szCs w:val="24"/>
          <w:highlight w:val="none"/>
          <w:lang w:val="en-US" w:eastAsia="zh-CN"/>
        </w:rPr>
        <w:t>名称</w:t>
      </w:r>
      <w:r>
        <w:rPr>
          <w:rFonts w:hint="eastAsia" w:ascii="宋体" w:hAnsi="宋体" w:eastAsia="宋体" w:cs="宋体"/>
          <w:color w:val="auto"/>
          <w:kern w:val="0"/>
          <w:sz w:val="24"/>
          <w:szCs w:val="24"/>
          <w:highlight w:val="none"/>
          <w:lang w:eastAsia="zh-CN"/>
        </w:rPr>
        <w:t>（</w:t>
      </w:r>
      <w:r>
        <w:rPr>
          <w:rFonts w:hint="eastAsia" w:cs="宋体"/>
          <w:color w:val="auto"/>
          <w:kern w:val="0"/>
          <w:sz w:val="24"/>
          <w:szCs w:val="24"/>
          <w:highlight w:val="none"/>
          <w:lang w:eastAsia="zh-CN"/>
        </w:rPr>
        <w:t>公章</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w:t>
      </w:r>
    </w:p>
    <w:p w14:paraId="45C65A8C">
      <w:pPr>
        <w:spacing w:line="56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法定代表人、负责人、本人、或授权代表</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签字或</w:t>
      </w:r>
      <w:r>
        <w:rPr>
          <w:rFonts w:hint="eastAsia" w:cs="宋体"/>
          <w:color w:val="auto"/>
          <w:kern w:val="0"/>
          <w:sz w:val="24"/>
          <w:szCs w:val="24"/>
          <w:highlight w:val="none"/>
          <w:lang w:eastAsia="zh-CN"/>
        </w:rPr>
        <w:t>盖</w:t>
      </w:r>
      <w:r>
        <w:rPr>
          <w:rFonts w:hint="eastAsia" w:ascii="宋体" w:hAnsi="宋体" w:eastAsia="宋体" w:cs="宋体"/>
          <w:color w:val="auto"/>
          <w:kern w:val="0"/>
          <w:sz w:val="24"/>
          <w:szCs w:val="24"/>
          <w:highlight w:val="none"/>
          <w:lang w:eastAsia="zh-CN"/>
        </w:rPr>
        <w:t>章）</w:t>
      </w:r>
      <w:r>
        <w:rPr>
          <w:rFonts w:hint="eastAsia" w:ascii="宋体" w:hAnsi="宋体" w:eastAsia="宋体" w:cs="宋体"/>
          <w:color w:val="auto"/>
          <w:kern w:val="0"/>
          <w:sz w:val="24"/>
          <w:szCs w:val="24"/>
          <w:highlight w:val="none"/>
        </w:rPr>
        <w:t>：</w:t>
      </w:r>
    </w:p>
    <w:p w14:paraId="524E5ADC">
      <w:pPr>
        <w:spacing w:line="56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 年 月 日</w:t>
      </w:r>
    </w:p>
    <w:p w14:paraId="2CB41018">
      <w:pPr>
        <w:widowControl/>
        <w:spacing w:line="560" w:lineRule="exact"/>
        <w:ind w:firstLine="630"/>
        <w:jc w:val="left"/>
        <w:rPr>
          <w:rFonts w:hint="eastAsia" w:ascii="宋体" w:hAnsi="宋体" w:eastAsia="宋体" w:cs="宋体"/>
          <w:color w:val="auto"/>
          <w:kern w:val="0"/>
          <w:sz w:val="24"/>
          <w:szCs w:val="24"/>
          <w:highlight w:val="none"/>
        </w:rPr>
      </w:pPr>
    </w:p>
    <w:p w14:paraId="67DF1B87">
      <w:pPr>
        <w:rPr>
          <w:rFonts w:ascii="Arial" w:hAnsi="Arial" w:cs="Arial"/>
          <w:color w:val="auto"/>
          <w:szCs w:val="21"/>
          <w:highlight w:val="none"/>
        </w:rPr>
      </w:pPr>
      <w:r>
        <w:rPr>
          <w:rFonts w:ascii="Arial" w:hAnsi="Arial" w:cs="Arial"/>
          <w:color w:val="auto"/>
          <w:szCs w:val="21"/>
          <w:highlight w:val="none"/>
        </w:rPr>
        <w:br w:type="page"/>
      </w:r>
    </w:p>
    <w:p w14:paraId="2A9F81A4">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theme="minorBidi"/>
          <w:b/>
          <w:bCs/>
          <w:color w:val="auto"/>
          <w:kern w:val="2"/>
          <w:sz w:val="24"/>
          <w:szCs w:val="24"/>
          <w:highlight w:val="none"/>
          <w:lang w:val="en-US" w:eastAsia="zh-CN" w:bidi="ar-SA"/>
        </w:rPr>
      </w:pPr>
      <w:bookmarkStart w:id="759" w:name="_Toc29603"/>
      <w:bookmarkStart w:id="760" w:name="_Toc163492939"/>
      <w:bookmarkStart w:id="761" w:name="_Toc24277"/>
      <w:r>
        <w:rPr>
          <w:rFonts w:hint="eastAsia" w:ascii="宋体" w:hAnsi="宋体" w:eastAsia="宋体" w:cstheme="minorBidi"/>
          <w:b/>
          <w:bCs/>
          <w:color w:val="auto"/>
          <w:kern w:val="2"/>
          <w:sz w:val="24"/>
          <w:szCs w:val="24"/>
          <w:highlight w:val="none"/>
          <w:lang w:val="en-US" w:eastAsia="zh-CN" w:bidi="ar-SA"/>
        </w:rPr>
        <w:t>中小企业声明函</w:t>
      </w:r>
      <w:bookmarkEnd w:id="759"/>
      <w:bookmarkEnd w:id="760"/>
      <w:bookmarkEnd w:id="761"/>
    </w:p>
    <w:p w14:paraId="16CFCD4A">
      <w:pPr>
        <w:pStyle w:val="40"/>
        <w:keepNext w:val="0"/>
        <w:keepLines w:val="0"/>
        <w:pageBreakBefore w:val="0"/>
        <w:widowControl w:val="0"/>
        <w:numPr>
          <w:ilvl w:val="0"/>
          <w:numId w:val="0"/>
        </w:numPr>
        <w:kinsoku/>
        <w:wordWrap/>
        <w:overflowPunct/>
        <w:topLinePunct w:val="0"/>
        <w:autoSpaceDE/>
        <w:autoSpaceDN/>
        <w:bidi w:val="0"/>
        <w:adjustRightInd/>
        <w:snapToGrid/>
        <w:spacing w:line="300" w:lineRule="exact"/>
        <w:ind w:left="420" w:leftChars="0" w:hanging="420" w:firstLineChars="0"/>
        <w:jc w:val="center"/>
        <w:textAlignment w:val="auto"/>
        <w:rPr>
          <w:rFonts w:hint="eastAsia"/>
          <w:b/>
          <w:bCs/>
          <w:color w:val="auto"/>
          <w:sz w:val="32"/>
          <w:szCs w:val="32"/>
          <w:highlight w:val="none"/>
        </w:rPr>
      </w:pPr>
    </w:p>
    <w:p w14:paraId="0D7CD940">
      <w:pPr>
        <w:pStyle w:val="40"/>
        <w:numPr>
          <w:ilvl w:val="0"/>
          <w:numId w:val="0"/>
        </w:numPr>
        <w:ind w:left="420" w:leftChars="0" w:hanging="420" w:firstLineChars="0"/>
        <w:jc w:val="center"/>
        <w:rPr>
          <w:b/>
          <w:bCs/>
          <w:color w:val="auto"/>
          <w:sz w:val="32"/>
          <w:szCs w:val="32"/>
          <w:highlight w:val="none"/>
        </w:rPr>
      </w:pPr>
      <w:r>
        <w:rPr>
          <w:rFonts w:hint="eastAsia"/>
          <w:b/>
          <w:bCs/>
          <w:color w:val="auto"/>
          <w:sz w:val="32"/>
          <w:szCs w:val="32"/>
          <w:highlight w:val="none"/>
        </w:rPr>
        <w:t>中小企业声明函</w:t>
      </w:r>
    </w:p>
    <w:p w14:paraId="5688740A">
      <w:pPr>
        <w:ind w:firstLine="504" w:firstLineChars="200"/>
        <w:rPr>
          <w:rFonts w:hint="eastAsia" w:cs="宋体"/>
          <w:color w:val="auto"/>
          <w:spacing w:val="6"/>
          <w:szCs w:val="24"/>
          <w:highlight w:val="none"/>
        </w:rPr>
      </w:pPr>
      <w:r>
        <w:rPr>
          <w:rFonts w:hint="eastAsia" w:cs="宋体"/>
          <w:color w:val="auto"/>
          <w:spacing w:val="6"/>
          <w:szCs w:val="24"/>
          <w:highlight w:val="none"/>
        </w:rPr>
        <w:t>本公司（联合体）郑重声明，根据《政府采购促进中小企业发展管理办法》（财库﹝2020﹞46 号）的规定，本公司（联合体）参加</w:t>
      </w:r>
      <w:r>
        <w:rPr>
          <w:rFonts w:hint="eastAsia" w:cs="宋体"/>
          <w:color w:val="auto"/>
          <w:spacing w:val="6"/>
          <w:szCs w:val="24"/>
          <w:highlight w:val="none"/>
          <w:u w:val="single"/>
        </w:rPr>
        <w:t xml:space="preserve"> （单位名称）</w:t>
      </w:r>
      <w:r>
        <w:rPr>
          <w:rFonts w:hint="eastAsia" w:cs="宋体"/>
          <w:color w:val="auto"/>
          <w:spacing w:val="6"/>
          <w:szCs w:val="24"/>
          <w:highlight w:val="none"/>
        </w:rPr>
        <w:t xml:space="preserve"> 的</w:t>
      </w:r>
      <w:r>
        <w:rPr>
          <w:rFonts w:hint="eastAsia" w:cs="宋体"/>
          <w:color w:val="auto"/>
          <w:spacing w:val="6"/>
          <w:szCs w:val="24"/>
          <w:highlight w:val="none"/>
          <w:u w:val="single"/>
        </w:rPr>
        <w:t xml:space="preserve"> （项目名称） </w:t>
      </w:r>
      <w:r>
        <w:rPr>
          <w:rFonts w:hint="eastAsia" w:cs="宋体"/>
          <w:color w:val="auto"/>
          <w:spacing w:val="6"/>
          <w:szCs w:val="24"/>
          <w:highlight w:val="none"/>
        </w:rPr>
        <w:t>采购活动，服务全部由符合政策要求的中小企业承接。相关企业（含联合体中的中小企业、签订分包意向协议的中小企业）的具体情况如下：</w:t>
      </w:r>
    </w:p>
    <w:p w14:paraId="57A088DF">
      <w:pPr>
        <w:ind w:firstLine="504" w:firstLineChars="200"/>
        <w:rPr>
          <w:rFonts w:hint="eastAsia" w:cs="宋体"/>
          <w:color w:val="auto"/>
          <w:spacing w:val="6"/>
          <w:szCs w:val="24"/>
          <w:highlight w:val="none"/>
        </w:rPr>
      </w:pPr>
      <w:r>
        <w:rPr>
          <w:rFonts w:hint="eastAsia" w:cs="宋体"/>
          <w:color w:val="auto"/>
          <w:spacing w:val="6"/>
          <w:szCs w:val="24"/>
          <w:highlight w:val="none"/>
        </w:rPr>
        <w:t xml:space="preserve">1. </w:t>
      </w:r>
      <w:r>
        <w:rPr>
          <w:rFonts w:hint="eastAsia" w:cs="宋体"/>
          <w:color w:val="auto"/>
          <w:spacing w:val="6"/>
          <w:szCs w:val="24"/>
          <w:highlight w:val="none"/>
          <w:u w:val="single"/>
        </w:rPr>
        <w:t xml:space="preserve">（标的名称） </w:t>
      </w:r>
      <w:r>
        <w:rPr>
          <w:rFonts w:hint="eastAsia" w:cs="宋体"/>
          <w:color w:val="auto"/>
          <w:spacing w:val="6"/>
          <w:szCs w:val="24"/>
          <w:highlight w:val="none"/>
        </w:rPr>
        <w:t>，属于</w:t>
      </w:r>
      <w:r>
        <w:rPr>
          <w:rFonts w:hint="eastAsia" w:cs="宋体"/>
          <w:color w:val="auto"/>
          <w:spacing w:val="6"/>
          <w:szCs w:val="24"/>
          <w:highlight w:val="none"/>
          <w:u w:val="single"/>
        </w:rPr>
        <w:t xml:space="preserve"> （采购文件中明确的所属行业） </w:t>
      </w:r>
      <w:r>
        <w:rPr>
          <w:rFonts w:hint="eastAsia" w:cs="宋体"/>
          <w:color w:val="auto"/>
          <w:spacing w:val="6"/>
          <w:szCs w:val="24"/>
          <w:highlight w:val="none"/>
        </w:rPr>
        <w:t>；承接企业为</w:t>
      </w:r>
      <w:r>
        <w:rPr>
          <w:rFonts w:hint="eastAsia" w:cs="宋体"/>
          <w:color w:val="auto"/>
          <w:spacing w:val="6"/>
          <w:szCs w:val="24"/>
          <w:highlight w:val="none"/>
          <w:u w:val="single"/>
        </w:rPr>
        <w:t xml:space="preserve"> （企业名称）  </w:t>
      </w:r>
      <w:r>
        <w:rPr>
          <w:rFonts w:hint="eastAsia" w:cs="宋体"/>
          <w:color w:val="auto"/>
          <w:spacing w:val="6"/>
          <w:szCs w:val="24"/>
          <w:highlight w:val="none"/>
        </w:rPr>
        <w:t>，从业人员</w:t>
      </w:r>
      <w:r>
        <w:rPr>
          <w:rFonts w:hint="eastAsia" w:cs="宋体"/>
          <w:color w:val="auto"/>
          <w:spacing w:val="6"/>
          <w:szCs w:val="24"/>
          <w:highlight w:val="none"/>
          <w:u w:val="single"/>
          <w:lang w:val="en-US" w:eastAsia="zh-CN"/>
        </w:rPr>
        <w:t xml:space="preserve">     </w:t>
      </w:r>
      <w:r>
        <w:rPr>
          <w:rFonts w:hint="eastAsia" w:cs="宋体"/>
          <w:color w:val="auto"/>
          <w:spacing w:val="6"/>
          <w:szCs w:val="24"/>
          <w:highlight w:val="none"/>
        </w:rPr>
        <w:t>人，营业收入为</w:t>
      </w:r>
      <w:r>
        <w:rPr>
          <w:rFonts w:hint="eastAsia" w:cs="宋体"/>
          <w:color w:val="auto"/>
          <w:spacing w:val="6"/>
          <w:szCs w:val="24"/>
          <w:highlight w:val="none"/>
          <w:u w:val="single"/>
          <w:lang w:val="en-US" w:eastAsia="zh-CN"/>
        </w:rPr>
        <w:t xml:space="preserve">       </w:t>
      </w:r>
      <w:r>
        <w:rPr>
          <w:rFonts w:hint="eastAsia" w:cs="宋体"/>
          <w:color w:val="auto"/>
          <w:spacing w:val="6"/>
          <w:szCs w:val="24"/>
          <w:highlight w:val="none"/>
        </w:rPr>
        <w:t>万元，资产总额为</w:t>
      </w:r>
      <w:r>
        <w:rPr>
          <w:rFonts w:hint="eastAsia" w:cs="宋体"/>
          <w:color w:val="auto"/>
          <w:spacing w:val="6"/>
          <w:szCs w:val="24"/>
          <w:highlight w:val="none"/>
          <w:u w:val="single"/>
          <w:lang w:val="en-US" w:eastAsia="zh-CN"/>
        </w:rPr>
        <w:t xml:space="preserve">         </w:t>
      </w:r>
      <w:r>
        <w:rPr>
          <w:rFonts w:hint="eastAsia" w:cs="宋体"/>
          <w:color w:val="auto"/>
          <w:spacing w:val="6"/>
          <w:szCs w:val="24"/>
          <w:highlight w:val="none"/>
        </w:rPr>
        <w:t>万元，属于</w:t>
      </w:r>
      <w:r>
        <w:rPr>
          <w:rFonts w:hint="eastAsia" w:cs="宋体"/>
          <w:color w:val="auto"/>
          <w:spacing w:val="6"/>
          <w:szCs w:val="24"/>
          <w:highlight w:val="none"/>
          <w:u w:val="single"/>
        </w:rPr>
        <w:t>（中型企业、小型企业、微型企业）</w:t>
      </w:r>
      <w:r>
        <w:rPr>
          <w:rFonts w:hint="eastAsia" w:cs="宋体"/>
          <w:color w:val="auto"/>
          <w:spacing w:val="6"/>
          <w:szCs w:val="24"/>
          <w:highlight w:val="none"/>
        </w:rPr>
        <w:t>；</w:t>
      </w:r>
    </w:p>
    <w:p w14:paraId="222AFB4D">
      <w:pPr>
        <w:ind w:firstLine="504" w:firstLineChars="200"/>
        <w:rPr>
          <w:rFonts w:hint="eastAsia" w:cs="宋体"/>
          <w:color w:val="auto"/>
          <w:spacing w:val="6"/>
          <w:szCs w:val="24"/>
          <w:highlight w:val="none"/>
        </w:rPr>
      </w:pPr>
      <w:r>
        <w:rPr>
          <w:rFonts w:hint="eastAsia" w:cs="宋体"/>
          <w:color w:val="auto"/>
          <w:spacing w:val="6"/>
          <w:szCs w:val="24"/>
          <w:highlight w:val="none"/>
        </w:rPr>
        <w:t>2.</w:t>
      </w:r>
      <w:r>
        <w:rPr>
          <w:rFonts w:hint="eastAsia" w:cs="宋体"/>
          <w:color w:val="auto"/>
          <w:spacing w:val="6"/>
          <w:szCs w:val="24"/>
          <w:highlight w:val="none"/>
          <w:u w:val="single"/>
        </w:rPr>
        <w:t xml:space="preserve"> （标的名称）</w:t>
      </w:r>
      <w:r>
        <w:rPr>
          <w:rFonts w:hint="eastAsia" w:cs="宋体"/>
          <w:color w:val="auto"/>
          <w:spacing w:val="6"/>
          <w:szCs w:val="24"/>
          <w:highlight w:val="none"/>
        </w:rPr>
        <w:t xml:space="preserve"> ，属于</w:t>
      </w:r>
      <w:r>
        <w:rPr>
          <w:rFonts w:hint="eastAsia" w:cs="宋体"/>
          <w:color w:val="auto"/>
          <w:spacing w:val="6"/>
          <w:szCs w:val="24"/>
          <w:highlight w:val="none"/>
          <w:u w:val="single"/>
        </w:rPr>
        <w:t xml:space="preserve"> （采购文件中明确的所属行业） </w:t>
      </w:r>
      <w:r>
        <w:rPr>
          <w:rFonts w:hint="eastAsia" w:cs="宋体"/>
          <w:color w:val="auto"/>
          <w:spacing w:val="6"/>
          <w:szCs w:val="24"/>
          <w:highlight w:val="none"/>
        </w:rPr>
        <w:t>；承接企业为</w:t>
      </w:r>
      <w:r>
        <w:rPr>
          <w:rFonts w:hint="eastAsia" w:cs="宋体"/>
          <w:color w:val="auto"/>
          <w:spacing w:val="6"/>
          <w:szCs w:val="24"/>
          <w:highlight w:val="none"/>
          <w:u w:val="single"/>
        </w:rPr>
        <w:t xml:space="preserve"> （企业名称）  </w:t>
      </w:r>
      <w:r>
        <w:rPr>
          <w:rFonts w:hint="eastAsia" w:cs="宋体"/>
          <w:color w:val="auto"/>
          <w:spacing w:val="6"/>
          <w:szCs w:val="24"/>
          <w:highlight w:val="none"/>
        </w:rPr>
        <w:t>，从业人员</w:t>
      </w:r>
      <w:r>
        <w:rPr>
          <w:rFonts w:hint="eastAsia" w:cs="宋体"/>
          <w:color w:val="auto"/>
          <w:spacing w:val="6"/>
          <w:szCs w:val="24"/>
          <w:highlight w:val="none"/>
          <w:u w:val="single"/>
          <w:lang w:val="en-US" w:eastAsia="zh-CN"/>
        </w:rPr>
        <w:t xml:space="preserve">     </w:t>
      </w:r>
      <w:r>
        <w:rPr>
          <w:rFonts w:hint="eastAsia" w:cs="宋体"/>
          <w:color w:val="auto"/>
          <w:spacing w:val="6"/>
          <w:szCs w:val="24"/>
          <w:highlight w:val="none"/>
        </w:rPr>
        <w:t>人，营业收入为</w:t>
      </w:r>
      <w:r>
        <w:rPr>
          <w:rFonts w:hint="eastAsia" w:cs="宋体"/>
          <w:color w:val="auto"/>
          <w:spacing w:val="6"/>
          <w:szCs w:val="24"/>
          <w:highlight w:val="none"/>
          <w:u w:val="single"/>
          <w:lang w:val="en-US" w:eastAsia="zh-CN"/>
        </w:rPr>
        <w:t xml:space="preserve">       </w:t>
      </w:r>
      <w:r>
        <w:rPr>
          <w:rFonts w:hint="eastAsia" w:cs="宋体"/>
          <w:color w:val="auto"/>
          <w:spacing w:val="6"/>
          <w:szCs w:val="24"/>
          <w:highlight w:val="none"/>
        </w:rPr>
        <w:t>万元，资产总额为</w:t>
      </w:r>
      <w:r>
        <w:rPr>
          <w:rFonts w:hint="eastAsia" w:cs="宋体"/>
          <w:color w:val="auto"/>
          <w:spacing w:val="6"/>
          <w:szCs w:val="24"/>
          <w:highlight w:val="none"/>
          <w:u w:val="single"/>
          <w:lang w:val="en-US" w:eastAsia="zh-CN"/>
        </w:rPr>
        <w:t xml:space="preserve">         </w:t>
      </w:r>
      <w:r>
        <w:rPr>
          <w:rFonts w:hint="eastAsia" w:cs="宋体"/>
          <w:color w:val="auto"/>
          <w:spacing w:val="6"/>
          <w:szCs w:val="24"/>
          <w:highlight w:val="none"/>
        </w:rPr>
        <w:t>万元，属于</w:t>
      </w:r>
      <w:r>
        <w:rPr>
          <w:rFonts w:hint="eastAsia" w:cs="宋体"/>
          <w:color w:val="auto"/>
          <w:spacing w:val="6"/>
          <w:szCs w:val="24"/>
          <w:highlight w:val="none"/>
          <w:u w:val="single"/>
        </w:rPr>
        <w:t>（中型企业、小型企业、微型企业）</w:t>
      </w:r>
      <w:r>
        <w:rPr>
          <w:rFonts w:hint="eastAsia" w:cs="宋体"/>
          <w:color w:val="auto"/>
          <w:spacing w:val="6"/>
          <w:szCs w:val="24"/>
          <w:highlight w:val="none"/>
        </w:rPr>
        <w:t>；</w:t>
      </w:r>
    </w:p>
    <w:p w14:paraId="39DCDC52">
      <w:pPr>
        <w:ind w:firstLine="504" w:firstLineChars="200"/>
        <w:rPr>
          <w:rFonts w:hint="eastAsia" w:cs="宋体"/>
          <w:color w:val="auto"/>
          <w:spacing w:val="6"/>
          <w:szCs w:val="24"/>
          <w:highlight w:val="none"/>
        </w:rPr>
      </w:pPr>
      <w:r>
        <w:rPr>
          <w:rFonts w:hint="eastAsia" w:cs="宋体"/>
          <w:color w:val="auto"/>
          <w:spacing w:val="6"/>
          <w:szCs w:val="24"/>
          <w:highlight w:val="none"/>
        </w:rPr>
        <w:t>……</w:t>
      </w:r>
    </w:p>
    <w:p w14:paraId="708F1D10">
      <w:pPr>
        <w:ind w:firstLine="504" w:firstLineChars="200"/>
        <w:rPr>
          <w:rFonts w:hint="eastAsia" w:cs="宋体"/>
          <w:color w:val="auto"/>
          <w:spacing w:val="6"/>
          <w:szCs w:val="24"/>
          <w:highlight w:val="none"/>
        </w:rPr>
      </w:pPr>
      <w:r>
        <w:rPr>
          <w:rFonts w:hint="eastAsia" w:cs="宋体"/>
          <w:color w:val="auto"/>
          <w:spacing w:val="6"/>
          <w:szCs w:val="24"/>
          <w:highlight w:val="none"/>
        </w:rPr>
        <w:t>以上企业，不属于大企业的分支机构，不存在控股股东为大企业的情形，也不存在与大企业的负责人为同一人的情形。</w:t>
      </w:r>
    </w:p>
    <w:p w14:paraId="02D6F1D3">
      <w:pPr>
        <w:ind w:firstLine="504" w:firstLineChars="200"/>
        <w:rPr>
          <w:rFonts w:hint="eastAsia" w:cs="宋体"/>
          <w:color w:val="auto"/>
          <w:spacing w:val="6"/>
          <w:szCs w:val="24"/>
          <w:highlight w:val="none"/>
        </w:rPr>
      </w:pPr>
      <w:r>
        <w:rPr>
          <w:rFonts w:hint="eastAsia" w:cs="宋体"/>
          <w:color w:val="auto"/>
          <w:spacing w:val="6"/>
          <w:szCs w:val="24"/>
          <w:highlight w:val="none"/>
        </w:rPr>
        <w:t>本企业对上述声明内容的真实性负责。如有虚假，将依法承担相应责任。</w:t>
      </w:r>
    </w:p>
    <w:p w14:paraId="1ADB2C8D">
      <w:pPr>
        <w:ind w:firstLine="504" w:firstLineChars="200"/>
        <w:rPr>
          <w:rFonts w:cs="宋体"/>
          <w:color w:val="auto"/>
          <w:spacing w:val="6"/>
          <w:szCs w:val="24"/>
          <w:highlight w:val="none"/>
        </w:rPr>
      </w:pPr>
    </w:p>
    <w:p w14:paraId="5A6D844B">
      <w:pPr>
        <w:ind w:right="1008" w:firstLine="4788" w:firstLineChars="1900"/>
        <w:rPr>
          <w:rFonts w:cs="宋体"/>
          <w:color w:val="auto"/>
          <w:spacing w:val="6"/>
          <w:szCs w:val="24"/>
          <w:highlight w:val="none"/>
        </w:rPr>
      </w:pPr>
    </w:p>
    <w:p w14:paraId="165AEE2D">
      <w:pPr>
        <w:ind w:right="1008" w:firstLine="4284" w:firstLineChars="1700"/>
        <w:rPr>
          <w:rFonts w:cs="宋体"/>
          <w:color w:val="auto"/>
          <w:spacing w:val="6"/>
          <w:szCs w:val="24"/>
          <w:highlight w:val="none"/>
        </w:rPr>
      </w:pPr>
      <w:r>
        <w:rPr>
          <w:rFonts w:hint="eastAsia" w:cs="宋体"/>
          <w:color w:val="auto"/>
          <w:spacing w:val="6"/>
          <w:szCs w:val="24"/>
          <w:highlight w:val="none"/>
          <w:lang w:val="en-US" w:eastAsia="zh-CN"/>
        </w:rPr>
        <w:t>投标人</w:t>
      </w:r>
      <w:r>
        <w:rPr>
          <w:rFonts w:hint="eastAsia" w:cs="宋体"/>
          <w:color w:val="auto"/>
          <w:spacing w:val="6"/>
          <w:szCs w:val="24"/>
          <w:highlight w:val="none"/>
        </w:rPr>
        <w:t>名称</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r>
        <w:rPr>
          <w:rFonts w:hint="eastAsia" w:cs="宋体"/>
          <w:color w:val="auto"/>
          <w:spacing w:val="6"/>
          <w:szCs w:val="24"/>
          <w:highlight w:val="none"/>
        </w:rPr>
        <w:t>：</w:t>
      </w:r>
    </w:p>
    <w:p w14:paraId="5183E380">
      <w:pPr>
        <w:ind w:right="1008" w:firstLine="4284" w:firstLineChars="1700"/>
        <w:rPr>
          <w:rFonts w:hint="default" w:eastAsia="宋体" w:cs="宋体"/>
          <w:color w:val="auto"/>
          <w:spacing w:val="6"/>
          <w:szCs w:val="24"/>
          <w:highlight w:val="none"/>
          <w:lang w:val="en-US" w:eastAsia="zh-CN"/>
        </w:rPr>
      </w:pPr>
      <w:r>
        <w:rPr>
          <w:rFonts w:hint="eastAsia" w:cs="宋体"/>
          <w:color w:val="auto"/>
          <w:spacing w:val="6"/>
          <w:szCs w:val="24"/>
          <w:highlight w:val="none"/>
        </w:rPr>
        <w:t>日期：</w:t>
      </w:r>
      <w:r>
        <w:rPr>
          <w:rFonts w:hint="eastAsia" w:cs="宋体"/>
          <w:color w:val="auto"/>
          <w:spacing w:val="6"/>
          <w:szCs w:val="24"/>
          <w:highlight w:val="none"/>
          <w:lang w:val="en-US" w:eastAsia="zh-CN"/>
        </w:rPr>
        <w:t xml:space="preserve">   年  月  日</w:t>
      </w:r>
    </w:p>
    <w:p w14:paraId="7BA8C73B">
      <w:pPr>
        <w:ind w:firstLine="504" w:firstLineChars="200"/>
        <w:rPr>
          <w:rFonts w:cs="宋体"/>
          <w:color w:val="auto"/>
          <w:spacing w:val="6"/>
          <w:szCs w:val="24"/>
          <w:highlight w:val="none"/>
        </w:rPr>
      </w:pPr>
    </w:p>
    <w:p w14:paraId="748B4DD4">
      <w:pPr>
        <w:rPr>
          <w:rFonts w:hint="default" w:cs="宋体"/>
          <w:b/>
          <w:bCs/>
          <w:color w:val="auto"/>
          <w:spacing w:val="6"/>
          <w:sz w:val="21"/>
          <w:szCs w:val="21"/>
          <w:highlight w:val="none"/>
          <w:lang w:val="en-US" w:eastAsia="zh-CN"/>
        </w:rPr>
      </w:pPr>
      <w:r>
        <w:rPr>
          <w:rFonts w:hint="eastAsia" w:cs="宋体"/>
          <w:b/>
          <w:bCs/>
          <w:color w:val="auto"/>
          <w:spacing w:val="6"/>
          <w:sz w:val="21"/>
          <w:szCs w:val="21"/>
          <w:highlight w:val="none"/>
        </w:rPr>
        <w:t>说明：</w:t>
      </w:r>
      <w:r>
        <w:rPr>
          <w:rFonts w:hint="eastAsia" w:cs="宋体"/>
          <w:b/>
          <w:bCs/>
          <w:color w:val="auto"/>
          <w:spacing w:val="6"/>
          <w:sz w:val="21"/>
          <w:szCs w:val="21"/>
          <w:highlight w:val="none"/>
          <w:lang w:val="en-US" w:eastAsia="zh-CN"/>
        </w:rPr>
        <w:t>1.重要提示：供应商应仔细阅读本函附件1关于“中小企业声明函”的填写要求及提交要求，否则，因填写或提交等产生的一切不利后果，须自行承担。</w:t>
      </w:r>
    </w:p>
    <w:p w14:paraId="126DF3AF">
      <w:pPr>
        <w:ind w:firstLine="668" w:firstLineChars="300"/>
        <w:rPr>
          <w:rFonts w:cs="宋体"/>
          <w:color w:val="auto"/>
          <w:spacing w:val="6"/>
          <w:sz w:val="21"/>
          <w:szCs w:val="21"/>
          <w:highlight w:val="none"/>
        </w:rPr>
      </w:pPr>
      <w:r>
        <w:rPr>
          <w:rFonts w:hint="eastAsia" w:cs="宋体"/>
          <w:b/>
          <w:bCs/>
          <w:color w:val="auto"/>
          <w:spacing w:val="6"/>
          <w:sz w:val="21"/>
          <w:szCs w:val="21"/>
          <w:highlight w:val="none"/>
          <w:lang w:val="en-US" w:eastAsia="zh-CN"/>
        </w:rPr>
        <w:t>2.</w:t>
      </w:r>
      <w:r>
        <w:rPr>
          <w:rFonts w:hint="eastAsia" w:cs="宋体"/>
          <w:color w:val="auto"/>
          <w:spacing w:val="6"/>
          <w:sz w:val="21"/>
          <w:szCs w:val="21"/>
          <w:highlight w:val="none"/>
        </w:rPr>
        <w:t>从业人员、营业收入、资产总额填报上一年度数据，无上一年度数据的新成立企业可不填报。</w:t>
      </w:r>
    </w:p>
    <w:p w14:paraId="13E0A52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color w:val="auto"/>
          <w:highlight w:val="none"/>
          <w:lang w:val="en-US" w:eastAsia="zh-CN"/>
        </w:rPr>
      </w:pPr>
    </w:p>
    <w:p w14:paraId="7EA8D88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color w:val="auto"/>
          <w:highlight w:val="none"/>
          <w:lang w:val="en-US" w:eastAsia="zh-CN"/>
        </w:rPr>
      </w:pPr>
    </w:p>
    <w:p w14:paraId="3EF0BAE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color w:val="auto"/>
          <w:highlight w:val="none"/>
          <w:lang w:val="en-US" w:eastAsia="zh-CN"/>
        </w:rPr>
      </w:pPr>
    </w:p>
    <w:p w14:paraId="3EAEDF6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color w:val="auto"/>
          <w:highlight w:val="none"/>
          <w:lang w:val="en-US" w:eastAsia="zh-CN"/>
        </w:rPr>
      </w:pPr>
    </w:p>
    <w:p w14:paraId="5190A2DB">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bCs/>
          <w:color w:val="auto"/>
          <w:highlight w:val="none"/>
          <w:lang w:val="en-US" w:eastAsia="zh-CN"/>
        </w:rPr>
      </w:pPr>
      <w:r>
        <w:rPr>
          <w:rFonts w:hint="eastAsia"/>
          <w:b/>
          <w:bCs/>
          <w:color w:val="auto"/>
          <w:highlight w:val="none"/>
          <w:lang w:val="en-US" w:eastAsia="zh-CN"/>
        </w:rPr>
        <w:t xml:space="preserve">附件1 </w:t>
      </w:r>
    </w:p>
    <w:p w14:paraId="5E2CB0B5">
      <w:pPr>
        <w:keepNext w:val="0"/>
        <w:keepLines w:val="0"/>
        <w:widowControl/>
        <w:suppressLineNumbers w:val="0"/>
        <w:ind w:firstLine="562" w:firstLineChars="200"/>
        <w:jc w:val="left"/>
        <w:rPr>
          <w:rStyle w:val="34"/>
          <w:rFonts w:hint="eastAsia" w:ascii="宋体" w:hAnsi="宋体" w:eastAsia="宋体" w:cs="宋体"/>
          <w:color w:val="auto"/>
          <w:kern w:val="0"/>
          <w:sz w:val="28"/>
          <w:szCs w:val="28"/>
          <w:highlight w:val="none"/>
          <w:lang w:val="en-US" w:eastAsia="zh-CN" w:bidi="ar"/>
        </w:rPr>
      </w:pPr>
    </w:p>
    <w:p w14:paraId="62EF0AA4">
      <w:pPr>
        <w:keepNext w:val="0"/>
        <w:keepLines w:val="0"/>
        <w:widowControl/>
        <w:suppressLineNumbers w:val="0"/>
        <w:ind w:firstLine="482" w:firstLineChars="200"/>
        <w:jc w:val="left"/>
        <w:rPr>
          <w:rStyle w:val="34"/>
          <w:rFonts w:hint="eastAsia" w:ascii="宋体" w:hAnsi="宋体" w:eastAsia="宋体" w:cs="宋体"/>
          <w:color w:val="auto"/>
          <w:kern w:val="0"/>
          <w:sz w:val="28"/>
          <w:szCs w:val="28"/>
          <w:highlight w:val="none"/>
          <w:lang w:val="en-US" w:eastAsia="zh-CN" w:bidi="ar"/>
        </w:rPr>
      </w:pPr>
      <w:r>
        <w:rPr>
          <w:rStyle w:val="34"/>
          <w:rFonts w:hint="eastAsia" w:ascii="宋体" w:hAnsi="宋体" w:eastAsia="宋体" w:cs="宋体"/>
          <w:color w:val="auto"/>
          <w:kern w:val="0"/>
          <w:sz w:val="24"/>
          <w:szCs w:val="24"/>
          <w:highlight w:val="none"/>
          <w:lang w:val="en-US" w:eastAsia="zh-CN" w:bidi="ar"/>
        </w:rPr>
        <w:t>（一）关于</w:t>
      </w:r>
      <w:r>
        <w:rPr>
          <w:rStyle w:val="34"/>
          <w:rFonts w:hint="eastAsia" w:cs="宋体"/>
          <w:color w:val="auto"/>
          <w:kern w:val="0"/>
          <w:sz w:val="24"/>
          <w:szCs w:val="24"/>
          <w:highlight w:val="none"/>
          <w:lang w:val="en-US" w:eastAsia="zh-CN" w:bidi="ar"/>
        </w:rPr>
        <w:t>“</w:t>
      </w:r>
      <w:r>
        <w:rPr>
          <w:rStyle w:val="34"/>
          <w:rFonts w:hint="eastAsia" w:ascii="宋体" w:hAnsi="宋体" w:eastAsia="宋体" w:cs="宋体"/>
          <w:color w:val="auto"/>
          <w:kern w:val="0"/>
          <w:sz w:val="24"/>
          <w:szCs w:val="24"/>
          <w:highlight w:val="none"/>
          <w:lang w:val="en-US" w:eastAsia="zh-CN" w:bidi="ar"/>
        </w:rPr>
        <w:t>中小企业声明函</w:t>
      </w:r>
      <w:r>
        <w:rPr>
          <w:rStyle w:val="34"/>
          <w:rFonts w:hint="eastAsia" w:cs="宋体"/>
          <w:color w:val="auto"/>
          <w:kern w:val="0"/>
          <w:sz w:val="24"/>
          <w:szCs w:val="24"/>
          <w:highlight w:val="none"/>
          <w:lang w:val="en-US" w:eastAsia="zh-CN" w:bidi="ar"/>
        </w:rPr>
        <w:t>”</w:t>
      </w:r>
      <w:r>
        <w:rPr>
          <w:rStyle w:val="34"/>
          <w:rFonts w:hint="eastAsia" w:ascii="宋体" w:hAnsi="宋体" w:eastAsia="宋体" w:cs="宋体"/>
          <w:color w:val="auto"/>
          <w:kern w:val="0"/>
          <w:sz w:val="24"/>
          <w:szCs w:val="24"/>
          <w:highlight w:val="none"/>
          <w:lang w:val="en-US" w:eastAsia="zh-CN" w:bidi="ar"/>
        </w:rPr>
        <w:t>的填写要求</w:t>
      </w:r>
    </w:p>
    <w:p w14:paraId="6BC4DFB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8"/>
          <w:highlight w:val="none"/>
          <w:lang w:val="en-US" w:eastAsia="zh-CN" w:bidi="ar"/>
        </w:rPr>
      </w:pPr>
      <w:r>
        <w:rPr>
          <w:rFonts w:hint="eastAsia" w:cs="宋体"/>
          <w:color w:val="auto"/>
          <w:kern w:val="0"/>
          <w:sz w:val="24"/>
          <w:szCs w:val="28"/>
          <w:highlight w:val="none"/>
          <w:lang w:val="en-US" w:eastAsia="zh-CN" w:bidi="ar"/>
        </w:rPr>
        <w:t>“</w:t>
      </w:r>
      <w:r>
        <w:rPr>
          <w:rFonts w:hint="eastAsia" w:ascii="宋体" w:hAnsi="宋体" w:eastAsia="宋体" w:cs="宋体"/>
          <w:color w:val="auto"/>
          <w:kern w:val="0"/>
          <w:sz w:val="24"/>
          <w:szCs w:val="28"/>
          <w:highlight w:val="none"/>
          <w:lang w:val="en-US" w:eastAsia="zh-CN" w:bidi="ar"/>
        </w:rPr>
        <w:t>中小企业声明函</w:t>
      </w:r>
      <w:r>
        <w:rPr>
          <w:rFonts w:hint="eastAsia" w:cs="宋体"/>
          <w:color w:val="auto"/>
          <w:kern w:val="0"/>
          <w:sz w:val="24"/>
          <w:szCs w:val="28"/>
          <w:highlight w:val="none"/>
          <w:lang w:val="en-US" w:eastAsia="zh-CN" w:bidi="ar"/>
        </w:rPr>
        <w:t>”</w:t>
      </w:r>
      <w:r>
        <w:rPr>
          <w:rFonts w:hint="eastAsia" w:ascii="宋体" w:hAnsi="宋体" w:eastAsia="宋体" w:cs="宋体"/>
          <w:color w:val="auto"/>
          <w:kern w:val="0"/>
          <w:sz w:val="24"/>
          <w:szCs w:val="28"/>
          <w:highlight w:val="none"/>
          <w:lang w:val="en-US" w:eastAsia="zh-CN" w:bidi="ar"/>
        </w:rPr>
        <w:t>具体填写要求如下：</w:t>
      </w:r>
    </w:p>
    <w:p w14:paraId="414BDEE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8"/>
          <w:highlight w:val="none"/>
          <w:lang w:val="en-US" w:eastAsia="zh-CN" w:bidi="ar"/>
        </w:rPr>
      </w:pPr>
      <w:r>
        <w:rPr>
          <w:rFonts w:hint="eastAsia" w:ascii="宋体" w:hAnsi="宋体" w:eastAsia="宋体" w:cs="宋体"/>
          <w:color w:val="auto"/>
          <w:kern w:val="0"/>
          <w:sz w:val="24"/>
          <w:szCs w:val="28"/>
          <w:highlight w:val="none"/>
          <w:lang w:val="en-US" w:eastAsia="zh-CN" w:bidi="ar"/>
        </w:rPr>
        <w:t>1.“单位名称”应填写采购人名称。</w:t>
      </w:r>
    </w:p>
    <w:p w14:paraId="3C11145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8"/>
          <w:highlight w:val="none"/>
          <w:lang w:val="en-US" w:eastAsia="zh-CN" w:bidi="ar"/>
        </w:rPr>
      </w:pPr>
      <w:r>
        <w:rPr>
          <w:rFonts w:hint="eastAsia" w:ascii="宋体" w:hAnsi="宋体" w:eastAsia="宋体" w:cs="宋体"/>
          <w:color w:val="auto"/>
          <w:kern w:val="0"/>
          <w:sz w:val="24"/>
          <w:szCs w:val="28"/>
          <w:highlight w:val="none"/>
          <w:lang w:val="en-US" w:eastAsia="zh-CN" w:bidi="ar"/>
        </w:rPr>
        <w:t>2.“项目名称”应按照采购文件中确定的项目名称填写。对于分包方式面向中小企业采购的项目，应标明中小企业的具体分包内容；对于以联合体方式面向中小企业采购的项目，应标明联合体中中小企业所承担的具体内容。</w:t>
      </w:r>
    </w:p>
    <w:p w14:paraId="02B61C1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8"/>
          <w:highlight w:val="none"/>
          <w:lang w:val="en-US" w:eastAsia="zh-CN" w:bidi="ar"/>
        </w:rPr>
      </w:pPr>
      <w:r>
        <w:rPr>
          <w:rFonts w:hint="eastAsia" w:ascii="宋体" w:hAnsi="宋体" w:eastAsia="宋体" w:cs="宋体"/>
          <w:color w:val="auto"/>
          <w:kern w:val="0"/>
          <w:sz w:val="24"/>
          <w:szCs w:val="28"/>
          <w:highlight w:val="none"/>
          <w:lang w:val="en-US" w:eastAsia="zh-CN" w:bidi="ar"/>
        </w:rPr>
        <w:t>3.“标的名称”应填写采购文件中细化载明的采购标的名称。对于分包方式面向中小企业采购的项目，“标的名称”应填写采购文件中注明的分包给中小企业的采购标的名称；对于以联合体方式面向中小企业采购的项目，“标的名称”应填写采购文件中注明的联合体中中小企业承担的采购标的名称。</w:t>
      </w:r>
    </w:p>
    <w:p w14:paraId="29C8232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8"/>
          <w:highlight w:val="none"/>
          <w:lang w:val="en-US" w:eastAsia="zh-CN" w:bidi="ar"/>
        </w:rPr>
      </w:pPr>
      <w:r>
        <w:rPr>
          <w:rFonts w:hint="eastAsia" w:ascii="宋体" w:hAnsi="宋体" w:eastAsia="宋体" w:cs="宋体"/>
          <w:color w:val="auto"/>
          <w:kern w:val="0"/>
          <w:sz w:val="24"/>
          <w:szCs w:val="28"/>
          <w:highlight w:val="none"/>
          <w:lang w:val="en-US" w:eastAsia="zh-CN" w:bidi="ar"/>
        </w:rPr>
        <w:t>4.“采购文件中明确的所属行业”应填写采购文件中明确的采购标的所属行业，并应确保与采购标的涉及的货物制造商/服务承接商/工程承建商（根据项目属性确定）本身的所属行业保持一致。</w:t>
      </w:r>
    </w:p>
    <w:p w14:paraId="634D661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8"/>
          <w:highlight w:val="none"/>
          <w:lang w:val="en-US" w:eastAsia="zh-CN" w:bidi="ar"/>
        </w:rPr>
      </w:pPr>
      <w:r>
        <w:rPr>
          <w:rFonts w:hint="eastAsia" w:ascii="宋体" w:hAnsi="宋体" w:eastAsia="宋体" w:cs="宋体"/>
          <w:color w:val="auto"/>
          <w:kern w:val="0"/>
          <w:sz w:val="24"/>
          <w:szCs w:val="28"/>
          <w:highlight w:val="none"/>
          <w:lang w:val="en-US" w:eastAsia="zh-CN" w:bidi="ar"/>
        </w:rPr>
        <w:t>对于分包方式面向中小企业采购的项目，“采购文件中明确的所属行业”应按照采购文件中注明的分包给中小企业的采购标的所属行业填写，并应确保与该分包部分采购标的涉及的货物制造商/服务承接商/工程承建商（根据项目属性确定）本身的所属行业保持一致。</w:t>
      </w:r>
    </w:p>
    <w:p w14:paraId="3941B3F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8"/>
          <w:highlight w:val="none"/>
          <w:lang w:val="en-US" w:eastAsia="zh-CN" w:bidi="ar"/>
        </w:rPr>
      </w:pPr>
      <w:r>
        <w:rPr>
          <w:rFonts w:hint="eastAsia" w:ascii="宋体" w:hAnsi="宋体" w:eastAsia="宋体" w:cs="宋体"/>
          <w:color w:val="auto"/>
          <w:kern w:val="0"/>
          <w:sz w:val="24"/>
          <w:szCs w:val="28"/>
          <w:highlight w:val="none"/>
          <w:lang w:val="en-US" w:eastAsia="zh-CN" w:bidi="ar"/>
        </w:rPr>
        <w:t>对于以联合体方式面向中小企业采购的项目，“采购文件中明确的所属行业”应按照采购文件中注明的联合体中中小企业承担的采购标的所属行业填写，并应确保与该承担部分采购标的涉及的货物制造商/服务承接商/工程承建商（根据项目属性确定）本身的所属行业保持一致。</w:t>
      </w:r>
    </w:p>
    <w:p w14:paraId="3C9C37F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8"/>
          <w:highlight w:val="none"/>
          <w:lang w:val="en-US" w:eastAsia="zh-CN" w:bidi="ar"/>
        </w:rPr>
      </w:pPr>
      <w:r>
        <w:rPr>
          <w:rFonts w:hint="eastAsia" w:ascii="宋体" w:hAnsi="宋体" w:eastAsia="宋体" w:cs="宋体"/>
          <w:color w:val="auto"/>
          <w:kern w:val="0"/>
          <w:sz w:val="24"/>
          <w:szCs w:val="28"/>
          <w:highlight w:val="none"/>
          <w:lang w:val="en-US" w:eastAsia="zh-CN" w:bidi="ar"/>
        </w:rPr>
        <w:t>5.“企业名称”应填写投标（响应）的货物制造商/服务承接商/工程承建商（根据项目属性确定）。</w:t>
      </w:r>
    </w:p>
    <w:p w14:paraId="1A04AFA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8"/>
          <w:highlight w:val="none"/>
          <w:lang w:val="en-US" w:eastAsia="zh-CN" w:bidi="ar"/>
        </w:rPr>
      </w:pPr>
      <w:r>
        <w:rPr>
          <w:rFonts w:hint="eastAsia" w:ascii="宋体" w:hAnsi="宋体" w:eastAsia="宋体" w:cs="宋体"/>
          <w:color w:val="auto"/>
          <w:kern w:val="0"/>
          <w:sz w:val="24"/>
          <w:szCs w:val="28"/>
          <w:highlight w:val="none"/>
          <w:lang w:val="en-US" w:eastAsia="zh-CN" w:bidi="ar"/>
        </w:rPr>
        <w:t>对于分包方式面向中小企业采购的项目，“企业名称”应填写分包部分采购标的对应的货物制造商/服务承接商/工程承建商（根据项目属性确定）。</w:t>
      </w:r>
    </w:p>
    <w:p w14:paraId="67D0083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8"/>
          <w:highlight w:val="none"/>
          <w:lang w:val="en-US" w:eastAsia="zh-CN" w:bidi="ar"/>
        </w:rPr>
      </w:pPr>
      <w:r>
        <w:rPr>
          <w:rFonts w:hint="eastAsia" w:ascii="宋体" w:hAnsi="宋体" w:eastAsia="宋体" w:cs="宋体"/>
          <w:color w:val="auto"/>
          <w:kern w:val="0"/>
          <w:sz w:val="24"/>
          <w:szCs w:val="28"/>
          <w:highlight w:val="none"/>
          <w:lang w:val="en-US" w:eastAsia="zh-CN" w:bidi="ar"/>
        </w:rPr>
        <w:t>对于以联合体方式面向中小企业采购的项目，“企业名称”应填写联合体中中小企业承担采购标的对应的货物制造商/服务承接商/工程承建商（根据项目属性确定）。</w:t>
      </w:r>
    </w:p>
    <w:p w14:paraId="47482CF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8"/>
          <w:highlight w:val="none"/>
          <w:lang w:val="en-US" w:eastAsia="zh-CN" w:bidi="ar"/>
        </w:rPr>
      </w:pPr>
      <w:r>
        <w:rPr>
          <w:rFonts w:hint="eastAsia" w:ascii="宋体" w:hAnsi="宋体" w:eastAsia="宋体" w:cs="宋体"/>
          <w:color w:val="auto"/>
          <w:kern w:val="0"/>
          <w:sz w:val="24"/>
          <w:szCs w:val="28"/>
          <w:highlight w:val="none"/>
          <w:lang w:val="en-US" w:eastAsia="zh-CN" w:bidi="ar"/>
        </w:rPr>
        <w:t>6.从业人员、资产总额指标以上年度末数据为依据，营业收入指标以上年度累计数据为依据。无上年度数据的新成立企业可不填报。</w:t>
      </w:r>
    </w:p>
    <w:p w14:paraId="417BBFD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8"/>
          <w:highlight w:val="none"/>
          <w:lang w:val="en-US" w:eastAsia="zh-CN" w:bidi="ar"/>
        </w:rPr>
      </w:pPr>
      <w:r>
        <w:rPr>
          <w:rFonts w:hint="eastAsia" w:ascii="宋体" w:hAnsi="宋体" w:eastAsia="宋体" w:cs="宋体"/>
          <w:color w:val="auto"/>
          <w:kern w:val="0"/>
          <w:sz w:val="24"/>
          <w:szCs w:val="28"/>
          <w:highlight w:val="none"/>
          <w:lang w:val="en-US" w:eastAsia="zh-CN" w:bidi="ar"/>
        </w:rPr>
        <w:t>7.“中型企业/小型企业/微型企业”部分，供应商应依据企业上年度从业人员、营业收入、资产总额等指标，按照《中小企业划型标准规定》（工信部联企业〔2011〕300号）、《金融业企业划型标准规定》（银发〔2015〕309号），判断</w:t>
      </w:r>
      <w:r>
        <w:rPr>
          <w:rFonts w:hint="eastAsia" w:cs="宋体"/>
          <w:color w:val="auto"/>
          <w:kern w:val="0"/>
          <w:sz w:val="24"/>
          <w:szCs w:val="28"/>
          <w:highlight w:val="none"/>
          <w:lang w:val="en-US" w:eastAsia="zh-CN" w:bidi="ar"/>
        </w:rPr>
        <w:t>“</w:t>
      </w:r>
      <w:r>
        <w:rPr>
          <w:rFonts w:hint="eastAsia" w:ascii="宋体" w:hAnsi="宋体" w:eastAsia="宋体" w:cs="宋体"/>
          <w:color w:val="auto"/>
          <w:kern w:val="0"/>
          <w:sz w:val="24"/>
          <w:szCs w:val="28"/>
          <w:highlight w:val="none"/>
          <w:lang w:val="en-US" w:eastAsia="zh-CN" w:bidi="ar"/>
        </w:rPr>
        <w:t>中小企业声明函</w:t>
      </w:r>
      <w:r>
        <w:rPr>
          <w:rFonts w:hint="eastAsia" w:cs="宋体"/>
          <w:color w:val="auto"/>
          <w:kern w:val="0"/>
          <w:sz w:val="24"/>
          <w:szCs w:val="28"/>
          <w:highlight w:val="none"/>
          <w:lang w:val="en-US" w:eastAsia="zh-CN" w:bidi="ar"/>
        </w:rPr>
        <w:t>”</w:t>
      </w:r>
      <w:r>
        <w:rPr>
          <w:rFonts w:hint="eastAsia" w:ascii="宋体" w:hAnsi="宋体" w:eastAsia="宋体" w:cs="宋体"/>
          <w:color w:val="auto"/>
          <w:kern w:val="0"/>
          <w:sz w:val="24"/>
          <w:szCs w:val="28"/>
          <w:highlight w:val="none"/>
          <w:lang w:val="en-US" w:eastAsia="zh-CN" w:bidi="ar"/>
        </w:rPr>
        <w:t>载明的货物制造商/服务承接商/工程承建商（根据项目属性确定）是否属于采购文件所属行业的中型企业/小型企业/微型企业。</w:t>
      </w:r>
    </w:p>
    <w:p w14:paraId="0A3DD53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8"/>
          <w:highlight w:val="none"/>
          <w:lang w:val="en-US" w:eastAsia="zh-CN" w:bidi="ar"/>
        </w:rPr>
      </w:pPr>
      <w:r>
        <w:rPr>
          <w:rFonts w:hint="eastAsia" w:ascii="宋体" w:hAnsi="宋体" w:eastAsia="宋体" w:cs="宋体"/>
          <w:color w:val="auto"/>
          <w:kern w:val="0"/>
          <w:sz w:val="24"/>
          <w:szCs w:val="28"/>
          <w:highlight w:val="none"/>
          <w:lang w:val="en-US" w:eastAsia="zh-CN" w:bidi="ar"/>
        </w:rPr>
        <w:t>8.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14:paraId="7BA9439A">
      <w:pPr>
        <w:keepNext w:val="0"/>
        <w:keepLines w:val="0"/>
        <w:widowControl/>
        <w:suppressLineNumbers w:val="0"/>
        <w:ind w:firstLine="482" w:firstLineChars="200"/>
        <w:jc w:val="left"/>
        <w:rPr>
          <w:rStyle w:val="34"/>
          <w:rFonts w:hint="eastAsia" w:ascii="宋体" w:hAnsi="宋体" w:eastAsia="宋体" w:cs="宋体"/>
          <w:color w:val="auto"/>
          <w:kern w:val="0"/>
          <w:sz w:val="24"/>
          <w:szCs w:val="24"/>
          <w:highlight w:val="none"/>
          <w:lang w:val="en-US" w:eastAsia="zh-CN" w:bidi="ar"/>
        </w:rPr>
      </w:pPr>
      <w:r>
        <w:rPr>
          <w:rStyle w:val="34"/>
          <w:rFonts w:hint="eastAsia" w:ascii="宋体" w:hAnsi="宋体" w:eastAsia="宋体" w:cs="宋体"/>
          <w:color w:val="auto"/>
          <w:kern w:val="0"/>
          <w:sz w:val="24"/>
          <w:szCs w:val="24"/>
          <w:highlight w:val="none"/>
          <w:lang w:val="en-US" w:eastAsia="zh-CN" w:bidi="ar"/>
        </w:rPr>
        <w:t>（二）关于“中小企业声明函”的提交要求</w:t>
      </w:r>
    </w:p>
    <w:p w14:paraId="5F29A0D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8"/>
          <w:highlight w:val="none"/>
          <w:lang w:val="en-US" w:eastAsia="zh-CN" w:bidi="ar"/>
        </w:rPr>
      </w:pPr>
      <w:r>
        <w:rPr>
          <w:rFonts w:hint="eastAsia" w:ascii="宋体" w:hAnsi="宋体" w:eastAsia="宋体" w:cs="宋体"/>
          <w:color w:val="auto"/>
          <w:kern w:val="0"/>
          <w:sz w:val="24"/>
          <w:szCs w:val="28"/>
          <w:highlight w:val="none"/>
          <w:lang w:val="en-US" w:eastAsia="zh-CN" w:bidi="ar"/>
        </w:rPr>
        <w:t>1.投标（响应）供应商对</w:t>
      </w:r>
      <w:r>
        <w:rPr>
          <w:rFonts w:hint="eastAsia" w:cs="宋体"/>
          <w:color w:val="auto"/>
          <w:kern w:val="0"/>
          <w:sz w:val="24"/>
          <w:szCs w:val="28"/>
          <w:highlight w:val="none"/>
          <w:lang w:val="en-US" w:eastAsia="zh-CN" w:bidi="ar"/>
        </w:rPr>
        <w:t>“</w:t>
      </w:r>
      <w:r>
        <w:rPr>
          <w:rFonts w:hint="eastAsia" w:ascii="宋体" w:hAnsi="宋体" w:eastAsia="宋体" w:cs="宋体"/>
          <w:color w:val="auto"/>
          <w:kern w:val="0"/>
          <w:sz w:val="24"/>
          <w:szCs w:val="28"/>
          <w:highlight w:val="none"/>
          <w:lang w:val="en-US" w:eastAsia="zh-CN" w:bidi="ar"/>
        </w:rPr>
        <w:t>中小企业声明函</w:t>
      </w:r>
      <w:r>
        <w:rPr>
          <w:rFonts w:hint="eastAsia" w:cs="宋体"/>
          <w:color w:val="auto"/>
          <w:kern w:val="0"/>
          <w:sz w:val="24"/>
          <w:szCs w:val="28"/>
          <w:highlight w:val="none"/>
          <w:lang w:val="en-US" w:eastAsia="zh-CN" w:bidi="ar"/>
        </w:rPr>
        <w:t>”</w:t>
      </w:r>
      <w:r>
        <w:rPr>
          <w:rFonts w:hint="eastAsia" w:ascii="宋体" w:hAnsi="宋体" w:eastAsia="宋体" w:cs="宋体"/>
          <w:color w:val="auto"/>
          <w:kern w:val="0"/>
          <w:sz w:val="24"/>
          <w:szCs w:val="28"/>
          <w:highlight w:val="none"/>
          <w:lang w:val="en-US" w:eastAsia="zh-CN" w:bidi="ar"/>
        </w:rPr>
        <w:t>的真实性负责。投标（响应）供应商应当核实投标（响应）的货物制造商/服务承接商/工程承建商（根据项目属性确定）的相关信息，如对相关信息了解不充分，或者不能确定相关信息真实、准确的，不建议出具</w:t>
      </w:r>
      <w:r>
        <w:rPr>
          <w:rFonts w:hint="eastAsia" w:cs="宋体"/>
          <w:color w:val="auto"/>
          <w:kern w:val="0"/>
          <w:sz w:val="24"/>
          <w:szCs w:val="28"/>
          <w:highlight w:val="none"/>
          <w:lang w:val="en-US" w:eastAsia="zh-CN" w:bidi="ar"/>
        </w:rPr>
        <w:t>“</w:t>
      </w:r>
      <w:r>
        <w:rPr>
          <w:rFonts w:hint="eastAsia" w:ascii="宋体" w:hAnsi="宋体" w:eastAsia="宋体" w:cs="宋体"/>
          <w:color w:val="auto"/>
          <w:kern w:val="0"/>
          <w:sz w:val="24"/>
          <w:szCs w:val="28"/>
          <w:highlight w:val="none"/>
          <w:lang w:val="en-US" w:eastAsia="zh-CN" w:bidi="ar"/>
        </w:rPr>
        <w:t>中小企业声明函</w:t>
      </w:r>
      <w:r>
        <w:rPr>
          <w:rFonts w:hint="eastAsia" w:cs="宋体"/>
          <w:color w:val="auto"/>
          <w:kern w:val="0"/>
          <w:sz w:val="24"/>
          <w:szCs w:val="28"/>
          <w:highlight w:val="none"/>
          <w:lang w:val="en-US" w:eastAsia="zh-CN" w:bidi="ar"/>
        </w:rPr>
        <w:t>”</w:t>
      </w:r>
      <w:r>
        <w:rPr>
          <w:rFonts w:hint="eastAsia" w:ascii="宋体" w:hAnsi="宋体" w:eastAsia="宋体" w:cs="宋体"/>
          <w:color w:val="auto"/>
          <w:kern w:val="0"/>
          <w:sz w:val="24"/>
          <w:szCs w:val="28"/>
          <w:highlight w:val="none"/>
          <w:lang w:val="en-US" w:eastAsia="zh-CN" w:bidi="ar"/>
        </w:rPr>
        <w:t>。</w:t>
      </w:r>
    </w:p>
    <w:p w14:paraId="49FFD35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8"/>
          <w:highlight w:val="none"/>
          <w:lang w:val="en-US" w:eastAsia="zh-CN" w:bidi="ar"/>
        </w:rPr>
      </w:pPr>
      <w:r>
        <w:rPr>
          <w:rFonts w:hint="eastAsia" w:ascii="宋体" w:hAnsi="宋体" w:eastAsia="宋体" w:cs="宋体"/>
          <w:color w:val="auto"/>
          <w:kern w:val="0"/>
          <w:sz w:val="24"/>
          <w:szCs w:val="28"/>
          <w:highlight w:val="none"/>
          <w:lang w:val="en-US" w:eastAsia="zh-CN" w:bidi="ar"/>
        </w:rPr>
        <w:t>2.鼓励供应商在投标（响应）时一并提供对货物制造商、服务承接商、工程承建商相关信息的核实核验情况以及其他佐证材料。</w:t>
      </w:r>
    </w:p>
    <w:p w14:paraId="15483C2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8"/>
          <w:highlight w:val="none"/>
          <w:lang w:val="en-US" w:eastAsia="zh-CN" w:bidi="ar"/>
        </w:rPr>
      </w:pPr>
      <w:r>
        <w:rPr>
          <w:rFonts w:hint="eastAsia" w:ascii="宋体" w:hAnsi="宋体" w:eastAsia="宋体" w:cs="宋体"/>
          <w:color w:val="auto"/>
          <w:kern w:val="0"/>
          <w:sz w:val="24"/>
          <w:szCs w:val="28"/>
          <w:highlight w:val="none"/>
          <w:lang w:val="en-US" w:eastAsia="zh-CN" w:bidi="ar"/>
        </w:rPr>
        <w:t>3.如供应商提供的</w:t>
      </w:r>
      <w:r>
        <w:rPr>
          <w:rFonts w:hint="eastAsia" w:cs="宋体"/>
          <w:color w:val="auto"/>
          <w:kern w:val="0"/>
          <w:sz w:val="24"/>
          <w:szCs w:val="28"/>
          <w:highlight w:val="none"/>
          <w:lang w:val="en-US" w:eastAsia="zh-CN" w:bidi="ar"/>
        </w:rPr>
        <w:t>“</w:t>
      </w:r>
      <w:r>
        <w:rPr>
          <w:rFonts w:hint="eastAsia" w:ascii="宋体" w:hAnsi="宋体" w:eastAsia="宋体" w:cs="宋体"/>
          <w:color w:val="auto"/>
          <w:kern w:val="0"/>
          <w:sz w:val="24"/>
          <w:szCs w:val="28"/>
          <w:highlight w:val="none"/>
          <w:lang w:val="en-US" w:eastAsia="zh-CN" w:bidi="ar"/>
        </w:rPr>
        <w:t>中小企业声明函</w:t>
      </w:r>
      <w:r>
        <w:rPr>
          <w:rFonts w:hint="eastAsia" w:cs="宋体"/>
          <w:color w:val="auto"/>
          <w:kern w:val="0"/>
          <w:sz w:val="24"/>
          <w:szCs w:val="28"/>
          <w:highlight w:val="none"/>
          <w:lang w:val="en-US" w:eastAsia="zh-CN" w:bidi="ar"/>
        </w:rPr>
        <w:t>”</w:t>
      </w:r>
      <w:r>
        <w:rPr>
          <w:rFonts w:hint="eastAsia" w:ascii="宋体" w:hAnsi="宋体" w:eastAsia="宋体" w:cs="宋体"/>
          <w:color w:val="auto"/>
          <w:kern w:val="0"/>
          <w:sz w:val="24"/>
          <w:szCs w:val="28"/>
          <w:highlight w:val="none"/>
          <w:lang w:val="en-US" w:eastAsia="zh-CN" w:bidi="ar"/>
        </w:rPr>
        <w:t>存在按采购文件所属行业划型不实的，属于提供虚假材料谋取中标、成交，依照《中华人民共和国政府采购法》第七十七条的规定，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6E224C04">
      <w:pPr>
        <w:rPr>
          <w:rFonts w:cs="宋体"/>
          <w:color w:val="auto"/>
          <w:spacing w:val="6"/>
          <w:sz w:val="21"/>
          <w:szCs w:val="21"/>
          <w:highlight w:val="none"/>
        </w:rPr>
      </w:pPr>
    </w:p>
    <w:p w14:paraId="6B42F924">
      <w:pPr>
        <w:rPr>
          <w:rFonts w:cs="宋体"/>
          <w:color w:val="auto"/>
          <w:spacing w:val="6"/>
          <w:sz w:val="21"/>
          <w:szCs w:val="21"/>
          <w:highlight w:val="none"/>
        </w:rPr>
      </w:pPr>
    </w:p>
    <w:p w14:paraId="511B2BB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宋体"/>
          <w:b/>
          <w:bCs/>
          <w:color w:val="auto"/>
          <w:highlight w:val="none"/>
          <w:lang w:val="en-US" w:eastAsia="zh-CN"/>
        </w:rPr>
      </w:pPr>
      <w:r>
        <w:rPr>
          <w:rFonts w:hint="eastAsia"/>
          <w:b/>
          <w:bCs/>
          <w:color w:val="auto"/>
          <w:highlight w:val="none"/>
          <w:lang w:val="en-US" w:eastAsia="zh-CN"/>
        </w:rPr>
        <w:t>附件2：</w:t>
      </w:r>
    </w:p>
    <w:p w14:paraId="639A9CC2">
      <w:pPr>
        <w:pStyle w:val="2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auto"/>
          <w:sz w:val="32"/>
          <w:szCs w:val="32"/>
          <w:highlight w:val="none"/>
        </w:rPr>
      </w:pPr>
      <w:r>
        <w:rPr>
          <w:rFonts w:hint="eastAsia" w:ascii="宋体" w:hAnsi="宋体" w:eastAsia="宋体" w:cs="宋体"/>
          <w:b/>
          <w:bCs w:val="0"/>
          <w:color w:val="auto"/>
          <w:sz w:val="32"/>
          <w:szCs w:val="32"/>
          <w:highlight w:val="none"/>
        </w:rPr>
        <w:t>关于印发中小企业划型标准规定的通知</w:t>
      </w:r>
    </w:p>
    <w:p w14:paraId="2592204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34"/>
          <w:rFonts w:hint="eastAsia" w:ascii="宋体" w:hAnsi="宋体" w:eastAsia="宋体" w:cs="宋体"/>
          <w:b w:val="0"/>
          <w:color w:val="auto"/>
          <w:sz w:val="24"/>
          <w:szCs w:val="24"/>
          <w:highlight w:val="none"/>
        </w:rPr>
      </w:pPr>
      <w:r>
        <w:rPr>
          <w:rStyle w:val="34"/>
          <w:rFonts w:hint="eastAsia" w:ascii="宋体" w:hAnsi="宋体" w:eastAsia="宋体" w:cs="宋体"/>
          <w:b w:val="0"/>
          <w:color w:val="auto"/>
          <w:sz w:val="24"/>
          <w:szCs w:val="24"/>
          <w:highlight w:val="none"/>
        </w:rPr>
        <w:t>工信部联企业〔2011〕300号</w:t>
      </w:r>
    </w:p>
    <w:p w14:paraId="0E959BE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34"/>
          <w:rFonts w:hint="eastAsia" w:ascii="宋体" w:hAnsi="宋体" w:eastAsia="宋体" w:cs="宋体"/>
          <w:b w:val="0"/>
          <w:color w:val="auto"/>
          <w:sz w:val="24"/>
          <w:szCs w:val="24"/>
          <w:highlight w:val="none"/>
        </w:rPr>
      </w:pPr>
    </w:p>
    <w:p w14:paraId="289C59A7">
      <w:pPr>
        <w:keepNext w:val="0"/>
        <w:keepLines w:val="0"/>
        <w:pageBreakBefore w:val="0"/>
        <w:widowControl w:val="0"/>
        <w:kinsoku/>
        <w:wordWrap/>
        <w:overflowPunct/>
        <w:topLinePunct w:val="0"/>
        <w:autoSpaceDE/>
        <w:autoSpaceDN/>
        <w:bidi w:val="0"/>
        <w:adjustRightInd/>
        <w:snapToGrid/>
        <w:spacing w:line="360" w:lineRule="exact"/>
        <w:textAlignment w:val="auto"/>
        <w:rPr>
          <w:rStyle w:val="34"/>
          <w:rFonts w:hint="eastAsia" w:ascii="宋体" w:hAnsi="宋体" w:eastAsia="宋体" w:cs="宋体"/>
          <w:b w:val="0"/>
          <w:color w:val="auto"/>
          <w:sz w:val="24"/>
          <w:szCs w:val="24"/>
          <w:highlight w:val="none"/>
        </w:rPr>
      </w:pPr>
      <w:r>
        <w:rPr>
          <w:rStyle w:val="34"/>
          <w:rFonts w:hint="eastAsia" w:ascii="宋体" w:hAnsi="宋体" w:eastAsia="宋体" w:cs="宋体"/>
          <w:b w:val="0"/>
          <w:color w:val="auto"/>
          <w:sz w:val="24"/>
          <w:szCs w:val="24"/>
          <w:highlight w:val="none"/>
        </w:rPr>
        <w:t>各省、自治区、直辖市人民政府，国务院各部委、各直属机构及有关单位：</w:t>
      </w:r>
    </w:p>
    <w:p w14:paraId="11AACCD7">
      <w:pPr>
        <w:keepNext w:val="0"/>
        <w:keepLines w:val="0"/>
        <w:pageBreakBefore w:val="0"/>
        <w:widowControl w:val="0"/>
        <w:kinsoku/>
        <w:wordWrap/>
        <w:overflowPunct/>
        <w:topLinePunct w:val="0"/>
        <w:autoSpaceDE/>
        <w:autoSpaceDN/>
        <w:bidi w:val="0"/>
        <w:adjustRightInd/>
        <w:snapToGrid/>
        <w:spacing w:line="360" w:lineRule="exact"/>
        <w:textAlignment w:val="auto"/>
        <w:rPr>
          <w:rStyle w:val="34"/>
          <w:rFonts w:hint="eastAsia" w:ascii="宋体" w:hAnsi="宋体" w:eastAsia="宋体" w:cs="宋体"/>
          <w:b w:val="0"/>
          <w:bCs w:val="0"/>
          <w:color w:val="auto"/>
          <w:sz w:val="24"/>
          <w:szCs w:val="24"/>
          <w:highlight w:val="none"/>
        </w:rPr>
      </w:pPr>
      <w:r>
        <w:rPr>
          <w:rStyle w:val="34"/>
          <w:rFonts w:hint="eastAsia" w:ascii="宋体" w:hAnsi="宋体" w:eastAsia="宋体" w:cs="宋体"/>
          <w:b w:val="0"/>
          <w:bCs w:val="0"/>
          <w:color w:val="auto"/>
          <w:sz w:val="24"/>
          <w:szCs w:val="24"/>
          <w:highlight w:val="none"/>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69C30634">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Style w:val="34"/>
          <w:rFonts w:hint="eastAsia" w:ascii="宋体" w:hAnsi="宋体" w:eastAsia="宋体" w:cs="宋体"/>
          <w:b w:val="0"/>
          <w:bCs w:val="0"/>
          <w:color w:val="auto"/>
          <w:sz w:val="24"/>
          <w:szCs w:val="24"/>
          <w:highlight w:val="none"/>
        </w:rPr>
      </w:pPr>
      <w:r>
        <w:rPr>
          <w:rStyle w:val="34"/>
          <w:rFonts w:hint="eastAsia" w:ascii="宋体" w:hAnsi="宋体" w:eastAsia="宋体" w:cs="宋体"/>
          <w:b w:val="0"/>
          <w:bCs w:val="0"/>
          <w:color w:val="auto"/>
          <w:sz w:val="24"/>
          <w:szCs w:val="24"/>
          <w:highlight w:val="none"/>
        </w:rPr>
        <w:t>工业和信息化部　国家统计局</w:t>
      </w:r>
    </w:p>
    <w:p w14:paraId="5C55A29B">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Style w:val="34"/>
          <w:rFonts w:hint="eastAsia" w:ascii="宋体" w:hAnsi="宋体" w:eastAsia="宋体" w:cs="宋体"/>
          <w:b w:val="0"/>
          <w:bCs w:val="0"/>
          <w:color w:val="auto"/>
          <w:sz w:val="24"/>
          <w:szCs w:val="24"/>
          <w:highlight w:val="none"/>
        </w:rPr>
      </w:pPr>
      <w:r>
        <w:rPr>
          <w:rStyle w:val="34"/>
          <w:rFonts w:hint="eastAsia" w:ascii="宋体" w:hAnsi="宋体" w:eastAsia="宋体" w:cs="宋体"/>
          <w:b w:val="0"/>
          <w:bCs w:val="0"/>
          <w:color w:val="auto"/>
          <w:sz w:val="24"/>
          <w:szCs w:val="24"/>
          <w:highlight w:val="none"/>
        </w:rPr>
        <w:t>国家发展和改革委员会　财政部</w:t>
      </w:r>
    </w:p>
    <w:p w14:paraId="6F52758A">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Style w:val="34"/>
          <w:rFonts w:hint="eastAsia" w:ascii="宋体" w:hAnsi="宋体" w:eastAsia="宋体" w:cs="宋体"/>
          <w:b w:val="0"/>
          <w:bCs w:val="0"/>
          <w:color w:val="auto"/>
          <w:sz w:val="24"/>
          <w:szCs w:val="24"/>
          <w:highlight w:val="none"/>
        </w:rPr>
      </w:pPr>
      <w:r>
        <w:rPr>
          <w:rStyle w:val="34"/>
          <w:rFonts w:hint="eastAsia" w:ascii="宋体" w:hAnsi="宋体" w:eastAsia="宋体" w:cs="宋体"/>
          <w:b w:val="0"/>
          <w:bCs w:val="0"/>
          <w:color w:val="auto"/>
          <w:sz w:val="24"/>
          <w:szCs w:val="24"/>
          <w:highlight w:val="none"/>
        </w:rPr>
        <w:t>二○一一年六月十八日</w:t>
      </w:r>
    </w:p>
    <w:p w14:paraId="75F0B3C6">
      <w:pPr>
        <w:keepNext w:val="0"/>
        <w:keepLines w:val="0"/>
        <w:pageBreakBefore w:val="0"/>
        <w:widowControl w:val="0"/>
        <w:kinsoku/>
        <w:wordWrap/>
        <w:overflowPunct/>
        <w:topLinePunct w:val="0"/>
        <w:autoSpaceDE/>
        <w:autoSpaceDN/>
        <w:bidi w:val="0"/>
        <w:adjustRightInd/>
        <w:snapToGrid/>
        <w:spacing w:line="360" w:lineRule="exact"/>
        <w:textAlignment w:val="auto"/>
        <w:rPr>
          <w:rStyle w:val="34"/>
          <w:rFonts w:hint="eastAsia" w:ascii="宋体" w:hAnsi="宋体" w:eastAsia="宋体" w:cs="宋体"/>
          <w:b w:val="0"/>
          <w:bCs w:val="0"/>
          <w:color w:val="auto"/>
          <w:sz w:val="24"/>
          <w:szCs w:val="24"/>
          <w:highlight w:val="none"/>
        </w:rPr>
      </w:pPr>
      <w:r>
        <w:rPr>
          <w:rStyle w:val="34"/>
          <w:rFonts w:hint="eastAsia" w:ascii="宋体" w:hAnsi="宋体" w:eastAsia="宋体" w:cs="宋体"/>
          <w:b w:val="0"/>
          <w:bCs w:val="0"/>
          <w:color w:val="auto"/>
          <w:sz w:val="24"/>
          <w:szCs w:val="24"/>
          <w:highlight w:val="none"/>
        </w:rPr>
        <w:t xml:space="preserve"> </w:t>
      </w:r>
    </w:p>
    <w:p w14:paraId="3E2FDBA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34"/>
          <w:rFonts w:hint="eastAsia" w:ascii="宋体" w:hAnsi="宋体" w:eastAsia="宋体" w:cs="宋体"/>
          <w:b/>
          <w:bCs w:val="0"/>
          <w:color w:val="auto"/>
          <w:sz w:val="28"/>
          <w:szCs w:val="28"/>
          <w:highlight w:val="none"/>
        </w:rPr>
      </w:pPr>
      <w:r>
        <w:rPr>
          <w:rStyle w:val="34"/>
          <w:rFonts w:hint="eastAsia" w:ascii="宋体" w:hAnsi="宋体" w:eastAsia="宋体" w:cs="宋体"/>
          <w:b/>
          <w:bCs w:val="0"/>
          <w:color w:val="auto"/>
          <w:sz w:val="28"/>
          <w:szCs w:val="28"/>
          <w:highlight w:val="none"/>
        </w:rPr>
        <w:t>中小企业划型标准规定</w:t>
      </w:r>
    </w:p>
    <w:p w14:paraId="7440C465">
      <w:pPr>
        <w:keepNext w:val="0"/>
        <w:keepLines w:val="0"/>
        <w:pageBreakBefore w:val="0"/>
        <w:widowControl w:val="0"/>
        <w:kinsoku/>
        <w:wordWrap/>
        <w:overflowPunct/>
        <w:topLinePunct w:val="0"/>
        <w:autoSpaceDE/>
        <w:autoSpaceDN/>
        <w:bidi w:val="0"/>
        <w:adjustRightInd/>
        <w:snapToGrid/>
        <w:spacing w:line="400" w:lineRule="exact"/>
        <w:textAlignment w:val="auto"/>
        <w:rPr>
          <w:rStyle w:val="34"/>
          <w:rFonts w:hint="eastAsia" w:ascii="宋体" w:hAnsi="宋体" w:eastAsia="宋体" w:cs="宋体"/>
          <w:b w:val="0"/>
          <w:bCs w:val="0"/>
          <w:color w:val="auto"/>
          <w:sz w:val="24"/>
          <w:szCs w:val="24"/>
          <w:highlight w:val="none"/>
        </w:rPr>
      </w:pPr>
      <w:r>
        <w:rPr>
          <w:rStyle w:val="34"/>
          <w:rFonts w:hint="eastAsia" w:ascii="宋体" w:hAnsi="宋体" w:eastAsia="宋体" w:cs="宋体"/>
          <w:b w:val="0"/>
          <w:bCs w:val="0"/>
          <w:color w:val="auto"/>
          <w:sz w:val="24"/>
          <w:szCs w:val="24"/>
          <w:highlight w:val="none"/>
        </w:rPr>
        <w:t>　　一、根据《中华人民共和国中小企业促进法》和《国务院关于进一步促进中小企业发展的若干意见》(国发〔2009〕36号)，制定本规定。</w:t>
      </w:r>
    </w:p>
    <w:p w14:paraId="507AD261">
      <w:pPr>
        <w:keepNext w:val="0"/>
        <w:keepLines w:val="0"/>
        <w:pageBreakBefore w:val="0"/>
        <w:widowControl w:val="0"/>
        <w:kinsoku/>
        <w:wordWrap/>
        <w:overflowPunct/>
        <w:topLinePunct w:val="0"/>
        <w:autoSpaceDE/>
        <w:autoSpaceDN/>
        <w:bidi w:val="0"/>
        <w:adjustRightInd/>
        <w:snapToGrid/>
        <w:spacing w:line="400" w:lineRule="exact"/>
        <w:textAlignment w:val="auto"/>
        <w:rPr>
          <w:rStyle w:val="34"/>
          <w:rFonts w:hint="eastAsia" w:ascii="宋体" w:hAnsi="宋体" w:eastAsia="宋体" w:cs="宋体"/>
          <w:b w:val="0"/>
          <w:bCs w:val="0"/>
          <w:color w:val="auto"/>
          <w:sz w:val="24"/>
          <w:szCs w:val="24"/>
          <w:highlight w:val="none"/>
        </w:rPr>
      </w:pPr>
      <w:r>
        <w:rPr>
          <w:rStyle w:val="34"/>
          <w:rFonts w:hint="eastAsia" w:ascii="宋体" w:hAnsi="宋体" w:eastAsia="宋体" w:cs="宋体"/>
          <w:b w:val="0"/>
          <w:bCs w:val="0"/>
          <w:color w:val="auto"/>
          <w:sz w:val="24"/>
          <w:szCs w:val="24"/>
          <w:highlight w:val="none"/>
        </w:rPr>
        <w:t>　　二、中小企业划分为中型、小型、微型三种类型，具体标准根据企业从业人员、营业收入、资产总额等指标，结合行业特点制定。</w:t>
      </w:r>
    </w:p>
    <w:p w14:paraId="58A39619">
      <w:pPr>
        <w:keepNext w:val="0"/>
        <w:keepLines w:val="0"/>
        <w:pageBreakBefore w:val="0"/>
        <w:widowControl w:val="0"/>
        <w:kinsoku/>
        <w:wordWrap/>
        <w:overflowPunct/>
        <w:topLinePunct w:val="0"/>
        <w:autoSpaceDE/>
        <w:autoSpaceDN/>
        <w:bidi w:val="0"/>
        <w:adjustRightInd/>
        <w:snapToGrid/>
        <w:spacing w:line="400" w:lineRule="exact"/>
        <w:textAlignment w:val="auto"/>
        <w:rPr>
          <w:rStyle w:val="34"/>
          <w:rFonts w:hint="eastAsia" w:ascii="宋体" w:hAnsi="宋体" w:eastAsia="宋体" w:cs="宋体"/>
          <w:b w:val="0"/>
          <w:bCs w:val="0"/>
          <w:color w:val="auto"/>
          <w:sz w:val="24"/>
          <w:szCs w:val="24"/>
          <w:highlight w:val="none"/>
        </w:rPr>
      </w:pPr>
      <w:r>
        <w:rPr>
          <w:rStyle w:val="34"/>
          <w:rFonts w:hint="eastAsia" w:ascii="宋体" w:hAnsi="宋体" w:eastAsia="宋体" w:cs="宋体"/>
          <w:b w:val="0"/>
          <w:bCs w:val="0"/>
          <w:color w:val="auto"/>
          <w:sz w:val="24"/>
          <w:szCs w:val="24"/>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7F5AE90D">
      <w:pPr>
        <w:keepNext w:val="0"/>
        <w:keepLines w:val="0"/>
        <w:pageBreakBefore w:val="0"/>
        <w:widowControl w:val="0"/>
        <w:kinsoku/>
        <w:wordWrap/>
        <w:overflowPunct/>
        <w:topLinePunct w:val="0"/>
        <w:autoSpaceDE/>
        <w:autoSpaceDN/>
        <w:bidi w:val="0"/>
        <w:adjustRightInd/>
        <w:snapToGrid/>
        <w:spacing w:line="400" w:lineRule="exact"/>
        <w:textAlignment w:val="auto"/>
        <w:rPr>
          <w:rStyle w:val="34"/>
          <w:rFonts w:hint="eastAsia" w:ascii="宋体" w:hAnsi="宋体" w:eastAsia="宋体" w:cs="宋体"/>
          <w:b w:val="0"/>
          <w:bCs w:val="0"/>
          <w:color w:val="auto"/>
          <w:sz w:val="24"/>
          <w:szCs w:val="24"/>
          <w:highlight w:val="none"/>
        </w:rPr>
      </w:pPr>
      <w:r>
        <w:rPr>
          <w:rStyle w:val="34"/>
          <w:rFonts w:hint="eastAsia" w:ascii="宋体" w:hAnsi="宋体" w:eastAsia="宋体" w:cs="宋体"/>
          <w:b w:val="0"/>
          <w:bCs w:val="0"/>
          <w:color w:val="auto"/>
          <w:sz w:val="24"/>
          <w:szCs w:val="24"/>
          <w:highlight w:val="none"/>
        </w:rPr>
        <w:t>　　四、各行业划型标准为：</w:t>
      </w:r>
    </w:p>
    <w:p w14:paraId="6B4E2D0C">
      <w:pPr>
        <w:keepNext w:val="0"/>
        <w:keepLines w:val="0"/>
        <w:pageBreakBefore w:val="0"/>
        <w:widowControl w:val="0"/>
        <w:kinsoku/>
        <w:wordWrap/>
        <w:overflowPunct/>
        <w:topLinePunct w:val="0"/>
        <w:autoSpaceDE/>
        <w:autoSpaceDN/>
        <w:bidi w:val="0"/>
        <w:adjustRightInd/>
        <w:snapToGrid/>
        <w:spacing w:line="400" w:lineRule="exact"/>
        <w:textAlignment w:val="auto"/>
        <w:rPr>
          <w:rStyle w:val="34"/>
          <w:rFonts w:hint="eastAsia" w:ascii="宋体" w:hAnsi="宋体" w:eastAsia="宋体" w:cs="宋体"/>
          <w:b w:val="0"/>
          <w:bCs w:val="0"/>
          <w:color w:val="auto"/>
          <w:sz w:val="24"/>
          <w:szCs w:val="24"/>
          <w:highlight w:val="none"/>
        </w:rPr>
      </w:pPr>
      <w:r>
        <w:rPr>
          <w:rStyle w:val="34"/>
          <w:rFonts w:hint="eastAsia" w:ascii="宋体" w:hAnsi="宋体" w:eastAsia="宋体" w:cs="宋体"/>
          <w:b w:val="0"/>
          <w:bCs w:val="0"/>
          <w:color w:val="auto"/>
          <w:sz w:val="24"/>
          <w:szCs w:val="24"/>
          <w:highlight w:val="none"/>
        </w:rPr>
        <w:t>　　（一）农、林、牧、渔业。营业收入20000万元以下的为中小微型企业。其中，营业收入500万元及以上的为中型企业，营业收入50万元及以上的为小型企业，营业收入50万元以下的为微型企业。</w:t>
      </w:r>
    </w:p>
    <w:p w14:paraId="79E2F5AC">
      <w:pPr>
        <w:keepNext w:val="0"/>
        <w:keepLines w:val="0"/>
        <w:pageBreakBefore w:val="0"/>
        <w:widowControl w:val="0"/>
        <w:kinsoku/>
        <w:wordWrap/>
        <w:overflowPunct/>
        <w:topLinePunct w:val="0"/>
        <w:autoSpaceDE/>
        <w:autoSpaceDN/>
        <w:bidi w:val="0"/>
        <w:adjustRightInd/>
        <w:snapToGrid/>
        <w:spacing w:line="400" w:lineRule="exact"/>
        <w:textAlignment w:val="auto"/>
        <w:rPr>
          <w:rStyle w:val="34"/>
          <w:rFonts w:hint="eastAsia" w:ascii="宋体" w:hAnsi="宋体" w:eastAsia="宋体" w:cs="宋体"/>
          <w:b w:val="0"/>
          <w:bCs w:val="0"/>
          <w:color w:val="auto"/>
          <w:sz w:val="24"/>
          <w:szCs w:val="24"/>
          <w:highlight w:val="none"/>
        </w:rPr>
      </w:pPr>
      <w:r>
        <w:rPr>
          <w:rStyle w:val="34"/>
          <w:rFonts w:hint="eastAsia" w:ascii="宋体" w:hAnsi="宋体" w:eastAsia="宋体" w:cs="宋体"/>
          <w:b w:val="0"/>
          <w:bCs w:val="0"/>
          <w:color w:val="auto"/>
          <w:sz w:val="24"/>
          <w:szCs w:val="24"/>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AA582AE">
      <w:pPr>
        <w:keepNext w:val="0"/>
        <w:keepLines w:val="0"/>
        <w:pageBreakBefore w:val="0"/>
        <w:widowControl w:val="0"/>
        <w:kinsoku/>
        <w:wordWrap/>
        <w:overflowPunct/>
        <w:topLinePunct w:val="0"/>
        <w:autoSpaceDE/>
        <w:autoSpaceDN/>
        <w:bidi w:val="0"/>
        <w:adjustRightInd/>
        <w:snapToGrid/>
        <w:spacing w:line="400" w:lineRule="exact"/>
        <w:textAlignment w:val="auto"/>
        <w:rPr>
          <w:rStyle w:val="34"/>
          <w:rFonts w:hint="eastAsia" w:ascii="宋体" w:hAnsi="宋体" w:eastAsia="宋体" w:cs="宋体"/>
          <w:b w:val="0"/>
          <w:bCs w:val="0"/>
          <w:color w:val="auto"/>
          <w:sz w:val="24"/>
          <w:szCs w:val="24"/>
          <w:highlight w:val="none"/>
        </w:rPr>
      </w:pPr>
      <w:r>
        <w:rPr>
          <w:rStyle w:val="34"/>
          <w:rFonts w:hint="eastAsia" w:ascii="宋体" w:hAnsi="宋体" w:eastAsia="宋体" w:cs="宋体"/>
          <w:b w:val="0"/>
          <w:bCs w:val="0"/>
          <w:color w:val="auto"/>
          <w:sz w:val="24"/>
          <w:szCs w:val="24"/>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21D138B">
      <w:pPr>
        <w:keepNext w:val="0"/>
        <w:keepLines w:val="0"/>
        <w:pageBreakBefore w:val="0"/>
        <w:widowControl w:val="0"/>
        <w:kinsoku/>
        <w:wordWrap/>
        <w:overflowPunct/>
        <w:topLinePunct w:val="0"/>
        <w:autoSpaceDE/>
        <w:autoSpaceDN/>
        <w:bidi w:val="0"/>
        <w:adjustRightInd/>
        <w:snapToGrid/>
        <w:spacing w:line="400" w:lineRule="exact"/>
        <w:textAlignment w:val="auto"/>
        <w:rPr>
          <w:rStyle w:val="34"/>
          <w:rFonts w:hint="eastAsia" w:ascii="宋体" w:hAnsi="宋体" w:eastAsia="宋体" w:cs="宋体"/>
          <w:b w:val="0"/>
          <w:bCs w:val="0"/>
          <w:color w:val="auto"/>
          <w:sz w:val="24"/>
          <w:szCs w:val="24"/>
          <w:highlight w:val="none"/>
        </w:rPr>
      </w:pPr>
      <w:r>
        <w:rPr>
          <w:rStyle w:val="34"/>
          <w:rFonts w:hint="eastAsia" w:ascii="宋体" w:hAnsi="宋体" w:eastAsia="宋体" w:cs="宋体"/>
          <w:b w:val="0"/>
          <w:bCs w:val="0"/>
          <w:color w:val="auto"/>
          <w:sz w:val="24"/>
          <w:szCs w:val="24"/>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17EB3B7">
      <w:pPr>
        <w:keepNext w:val="0"/>
        <w:keepLines w:val="0"/>
        <w:pageBreakBefore w:val="0"/>
        <w:widowControl w:val="0"/>
        <w:kinsoku/>
        <w:wordWrap/>
        <w:overflowPunct/>
        <w:topLinePunct w:val="0"/>
        <w:autoSpaceDE/>
        <w:autoSpaceDN/>
        <w:bidi w:val="0"/>
        <w:adjustRightInd/>
        <w:snapToGrid/>
        <w:spacing w:line="400" w:lineRule="exact"/>
        <w:textAlignment w:val="auto"/>
        <w:rPr>
          <w:rStyle w:val="34"/>
          <w:rFonts w:hint="eastAsia" w:ascii="宋体" w:hAnsi="宋体" w:eastAsia="宋体" w:cs="宋体"/>
          <w:b w:val="0"/>
          <w:bCs w:val="0"/>
          <w:color w:val="auto"/>
          <w:sz w:val="24"/>
          <w:szCs w:val="24"/>
          <w:highlight w:val="none"/>
        </w:rPr>
      </w:pPr>
      <w:r>
        <w:rPr>
          <w:rStyle w:val="34"/>
          <w:rFonts w:hint="eastAsia" w:ascii="宋体" w:hAnsi="宋体" w:eastAsia="宋体" w:cs="宋体"/>
          <w:b w:val="0"/>
          <w:bCs w:val="0"/>
          <w:color w:val="auto"/>
          <w:sz w:val="24"/>
          <w:szCs w:val="24"/>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FEB118A">
      <w:pPr>
        <w:keepNext w:val="0"/>
        <w:keepLines w:val="0"/>
        <w:pageBreakBefore w:val="0"/>
        <w:widowControl w:val="0"/>
        <w:kinsoku/>
        <w:wordWrap/>
        <w:overflowPunct/>
        <w:topLinePunct w:val="0"/>
        <w:autoSpaceDE/>
        <w:autoSpaceDN/>
        <w:bidi w:val="0"/>
        <w:adjustRightInd/>
        <w:snapToGrid/>
        <w:spacing w:line="400" w:lineRule="exact"/>
        <w:textAlignment w:val="auto"/>
        <w:rPr>
          <w:rStyle w:val="34"/>
          <w:rFonts w:hint="eastAsia" w:ascii="宋体" w:hAnsi="宋体" w:eastAsia="宋体" w:cs="宋体"/>
          <w:b w:val="0"/>
          <w:bCs w:val="0"/>
          <w:color w:val="auto"/>
          <w:sz w:val="24"/>
          <w:szCs w:val="24"/>
          <w:highlight w:val="none"/>
        </w:rPr>
      </w:pPr>
      <w:r>
        <w:rPr>
          <w:rStyle w:val="34"/>
          <w:rFonts w:hint="eastAsia" w:ascii="宋体" w:hAnsi="宋体" w:eastAsia="宋体" w:cs="宋体"/>
          <w:b w:val="0"/>
          <w:bCs w:val="0"/>
          <w:color w:val="auto"/>
          <w:sz w:val="24"/>
          <w:szCs w:val="24"/>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514A6D2">
      <w:pPr>
        <w:keepNext w:val="0"/>
        <w:keepLines w:val="0"/>
        <w:pageBreakBefore w:val="0"/>
        <w:widowControl w:val="0"/>
        <w:kinsoku/>
        <w:wordWrap/>
        <w:overflowPunct/>
        <w:topLinePunct w:val="0"/>
        <w:autoSpaceDE/>
        <w:autoSpaceDN/>
        <w:bidi w:val="0"/>
        <w:adjustRightInd/>
        <w:snapToGrid/>
        <w:spacing w:line="400" w:lineRule="exact"/>
        <w:textAlignment w:val="auto"/>
        <w:rPr>
          <w:rStyle w:val="34"/>
          <w:rFonts w:hint="eastAsia" w:ascii="宋体" w:hAnsi="宋体" w:eastAsia="宋体" w:cs="宋体"/>
          <w:b w:val="0"/>
          <w:bCs w:val="0"/>
          <w:color w:val="auto"/>
          <w:sz w:val="24"/>
          <w:szCs w:val="24"/>
          <w:highlight w:val="none"/>
        </w:rPr>
      </w:pPr>
      <w:r>
        <w:rPr>
          <w:rStyle w:val="34"/>
          <w:rFonts w:hint="eastAsia" w:ascii="宋体" w:hAnsi="宋体" w:eastAsia="宋体" w:cs="宋体"/>
          <w:b w:val="0"/>
          <w:bCs w:val="0"/>
          <w:color w:val="auto"/>
          <w:sz w:val="24"/>
          <w:szCs w:val="24"/>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EFCEC98">
      <w:pPr>
        <w:keepNext w:val="0"/>
        <w:keepLines w:val="0"/>
        <w:pageBreakBefore w:val="0"/>
        <w:widowControl w:val="0"/>
        <w:kinsoku/>
        <w:wordWrap/>
        <w:overflowPunct/>
        <w:topLinePunct w:val="0"/>
        <w:autoSpaceDE/>
        <w:autoSpaceDN/>
        <w:bidi w:val="0"/>
        <w:adjustRightInd/>
        <w:snapToGrid/>
        <w:spacing w:line="400" w:lineRule="exact"/>
        <w:textAlignment w:val="auto"/>
        <w:rPr>
          <w:rStyle w:val="34"/>
          <w:rFonts w:hint="eastAsia" w:ascii="宋体" w:hAnsi="宋体" w:eastAsia="宋体" w:cs="宋体"/>
          <w:b w:val="0"/>
          <w:bCs w:val="0"/>
          <w:color w:val="auto"/>
          <w:sz w:val="24"/>
          <w:szCs w:val="24"/>
          <w:highlight w:val="none"/>
        </w:rPr>
      </w:pPr>
      <w:r>
        <w:rPr>
          <w:rStyle w:val="34"/>
          <w:rFonts w:hint="eastAsia" w:ascii="宋体" w:hAnsi="宋体" w:eastAsia="宋体" w:cs="宋体"/>
          <w:b w:val="0"/>
          <w:bCs w:val="0"/>
          <w:color w:val="auto"/>
          <w:sz w:val="24"/>
          <w:szCs w:val="24"/>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D4D3E4D">
      <w:pPr>
        <w:keepNext w:val="0"/>
        <w:keepLines w:val="0"/>
        <w:pageBreakBefore w:val="0"/>
        <w:widowControl w:val="0"/>
        <w:kinsoku/>
        <w:wordWrap/>
        <w:overflowPunct/>
        <w:topLinePunct w:val="0"/>
        <w:autoSpaceDE/>
        <w:autoSpaceDN/>
        <w:bidi w:val="0"/>
        <w:adjustRightInd/>
        <w:snapToGrid/>
        <w:spacing w:line="400" w:lineRule="exact"/>
        <w:textAlignment w:val="auto"/>
        <w:rPr>
          <w:rStyle w:val="34"/>
          <w:rFonts w:hint="eastAsia" w:ascii="宋体" w:hAnsi="宋体" w:eastAsia="宋体" w:cs="宋体"/>
          <w:b w:val="0"/>
          <w:bCs w:val="0"/>
          <w:color w:val="auto"/>
          <w:sz w:val="24"/>
          <w:szCs w:val="24"/>
          <w:highlight w:val="none"/>
        </w:rPr>
      </w:pPr>
      <w:r>
        <w:rPr>
          <w:rStyle w:val="34"/>
          <w:rFonts w:hint="eastAsia" w:ascii="宋体" w:hAnsi="宋体" w:eastAsia="宋体" w:cs="宋体"/>
          <w:b w:val="0"/>
          <w:bCs w:val="0"/>
          <w:color w:val="auto"/>
          <w:sz w:val="24"/>
          <w:szCs w:val="24"/>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A462725">
      <w:pPr>
        <w:keepNext w:val="0"/>
        <w:keepLines w:val="0"/>
        <w:pageBreakBefore w:val="0"/>
        <w:widowControl w:val="0"/>
        <w:kinsoku/>
        <w:wordWrap/>
        <w:overflowPunct/>
        <w:topLinePunct w:val="0"/>
        <w:autoSpaceDE/>
        <w:autoSpaceDN/>
        <w:bidi w:val="0"/>
        <w:adjustRightInd/>
        <w:snapToGrid/>
        <w:spacing w:line="400" w:lineRule="exact"/>
        <w:textAlignment w:val="auto"/>
        <w:rPr>
          <w:rStyle w:val="34"/>
          <w:rFonts w:hint="eastAsia" w:ascii="宋体" w:hAnsi="宋体" w:eastAsia="宋体" w:cs="宋体"/>
          <w:b w:val="0"/>
          <w:bCs w:val="0"/>
          <w:color w:val="auto"/>
          <w:sz w:val="24"/>
          <w:szCs w:val="24"/>
          <w:highlight w:val="none"/>
        </w:rPr>
      </w:pPr>
      <w:r>
        <w:rPr>
          <w:rStyle w:val="34"/>
          <w:rFonts w:hint="eastAsia" w:ascii="宋体" w:hAnsi="宋体" w:eastAsia="宋体" w:cs="宋体"/>
          <w:b w:val="0"/>
          <w:bCs w:val="0"/>
          <w:color w:val="auto"/>
          <w:sz w:val="24"/>
          <w:szCs w:val="24"/>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37CBAA6">
      <w:pPr>
        <w:keepNext w:val="0"/>
        <w:keepLines w:val="0"/>
        <w:pageBreakBefore w:val="0"/>
        <w:widowControl w:val="0"/>
        <w:kinsoku/>
        <w:wordWrap/>
        <w:overflowPunct/>
        <w:topLinePunct w:val="0"/>
        <w:autoSpaceDE/>
        <w:autoSpaceDN/>
        <w:bidi w:val="0"/>
        <w:adjustRightInd/>
        <w:snapToGrid/>
        <w:spacing w:line="400" w:lineRule="exact"/>
        <w:textAlignment w:val="auto"/>
        <w:rPr>
          <w:rStyle w:val="34"/>
          <w:rFonts w:hint="eastAsia" w:ascii="宋体" w:hAnsi="宋体" w:eastAsia="宋体" w:cs="宋体"/>
          <w:b w:val="0"/>
          <w:bCs w:val="0"/>
          <w:color w:val="auto"/>
          <w:sz w:val="24"/>
          <w:szCs w:val="24"/>
          <w:highlight w:val="none"/>
        </w:rPr>
      </w:pPr>
      <w:r>
        <w:rPr>
          <w:rStyle w:val="34"/>
          <w:rFonts w:hint="eastAsia" w:ascii="宋体" w:hAnsi="宋体" w:eastAsia="宋体" w:cs="宋体"/>
          <w:b w:val="0"/>
          <w:bCs w:val="0"/>
          <w:color w:val="auto"/>
          <w:sz w:val="24"/>
          <w:szCs w:val="24"/>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10AAA96">
      <w:pPr>
        <w:keepNext w:val="0"/>
        <w:keepLines w:val="0"/>
        <w:pageBreakBefore w:val="0"/>
        <w:widowControl w:val="0"/>
        <w:kinsoku/>
        <w:wordWrap/>
        <w:overflowPunct/>
        <w:topLinePunct w:val="0"/>
        <w:autoSpaceDE/>
        <w:autoSpaceDN/>
        <w:bidi w:val="0"/>
        <w:adjustRightInd/>
        <w:snapToGrid/>
        <w:spacing w:line="400" w:lineRule="exact"/>
        <w:textAlignment w:val="auto"/>
        <w:rPr>
          <w:rStyle w:val="34"/>
          <w:rFonts w:hint="eastAsia" w:ascii="宋体" w:hAnsi="宋体" w:eastAsia="宋体" w:cs="宋体"/>
          <w:b w:val="0"/>
          <w:bCs w:val="0"/>
          <w:color w:val="auto"/>
          <w:sz w:val="24"/>
          <w:szCs w:val="24"/>
          <w:highlight w:val="none"/>
        </w:rPr>
      </w:pPr>
      <w:r>
        <w:rPr>
          <w:rStyle w:val="34"/>
          <w:rFonts w:hint="eastAsia" w:ascii="宋体" w:hAnsi="宋体" w:eastAsia="宋体" w:cs="宋体"/>
          <w:b w:val="0"/>
          <w:bCs w:val="0"/>
          <w:color w:val="auto"/>
          <w:sz w:val="24"/>
          <w:szCs w:val="24"/>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EC394A7">
      <w:pPr>
        <w:keepNext w:val="0"/>
        <w:keepLines w:val="0"/>
        <w:pageBreakBefore w:val="0"/>
        <w:widowControl w:val="0"/>
        <w:kinsoku/>
        <w:wordWrap/>
        <w:overflowPunct/>
        <w:topLinePunct w:val="0"/>
        <w:autoSpaceDE/>
        <w:autoSpaceDN/>
        <w:bidi w:val="0"/>
        <w:adjustRightInd/>
        <w:snapToGrid/>
        <w:spacing w:line="400" w:lineRule="exact"/>
        <w:textAlignment w:val="auto"/>
        <w:rPr>
          <w:rStyle w:val="34"/>
          <w:rFonts w:hint="eastAsia" w:ascii="宋体" w:hAnsi="宋体" w:eastAsia="宋体" w:cs="宋体"/>
          <w:b w:val="0"/>
          <w:bCs w:val="0"/>
          <w:color w:val="auto"/>
          <w:sz w:val="24"/>
          <w:szCs w:val="24"/>
          <w:highlight w:val="none"/>
        </w:rPr>
      </w:pPr>
      <w:r>
        <w:rPr>
          <w:rStyle w:val="34"/>
          <w:rFonts w:hint="eastAsia" w:ascii="宋体" w:hAnsi="宋体" w:eastAsia="宋体" w:cs="宋体"/>
          <w:b w:val="0"/>
          <w:bCs w:val="0"/>
          <w:color w:val="auto"/>
          <w:sz w:val="24"/>
          <w:szCs w:val="24"/>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1121D1E">
      <w:pPr>
        <w:keepNext w:val="0"/>
        <w:keepLines w:val="0"/>
        <w:pageBreakBefore w:val="0"/>
        <w:widowControl w:val="0"/>
        <w:kinsoku/>
        <w:wordWrap/>
        <w:overflowPunct/>
        <w:topLinePunct w:val="0"/>
        <w:autoSpaceDE/>
        <w:autoSpaceDN/>
        <w:bidi w:val="0"/>
        <w:adjustRightInd/>
        <w:snapToGrid/>
        <w:spacing w:line="400" w:lineRule="exact"/>
        <w:textAlignment w:val="auto"/>
        <w:rPr>
          <w:rStyle w:val="34"/>
          <w:rFonts w:hint="eastAsia" w:ascii="宋体" w:hAnsi="宋体" w:eastAsia="宋体" w:cs="宋体"/>
          <w:b w:val="0"/>
          <w:bCs w:val="0"/>
          <w:color w:val="auto"/>
          <w:sz w:val="24"/>
          <w:szCs w:val="24"/>
          <w:highlight w:val="none"/>
        </w:rPr>
      </w:pPr>
      <w:r>
        <w:rPr>
          <w:rStyle w:val="34"/>
          <w:rFonts w:hint="eastAsia" w:ascii="宋体" w:hAnsi="宋体" w:eastAsia="宋体" w:cs="宋体"/>
          <w:b w:val="0"/>
          <w:bCs w:val="0"/>
          <w:color w:val="auto"/>
          <w:sz w:val="24"/>
          <w:szCs w:val="24"/>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6AB8718">
      <w:pPr>
        <w:keepNext w:val="0"/>
        <w:keepLines w:val="0"/>
        <w:pageBreakBefore w:val="0"/>
        <w:widowControl w:val="0"/>
        <w:kinsoku/>
        <w:wordWrap/>
        <w:overflowPunct/>
        <w:topLinePunct w:val="0"/>
        <w:autoSpaceDE/>
        <w:autoSpaceDN/>
        <w:bidi w:val="0"/>
        <w:adjustRightInd/>
        <w:snapToGrid/>
        <w:spacing w:line="400" w:lineRule="exact"/>
        <w:textAlignment w:val="auto"/>
        <w:rPr>
          <w:rStyle w:val="34"/>
          <w:rFonts w:hint="eastAsia" w:ascii="宋体" w:hAnsi="宋体" w:eastAsia="宋体" w:cs="宋体"/>
          <w:b w:val="0"/>
          <w:bCs w:val="0"/>
          <w:color w:val="auto"/>
          <w:sz w:val="24"/>
          <w:szCs w:val="24"/>
          <w:highlight w:val="none"/>
        </w:rPr>
      </w:pPr>
      <w:r>
        <w:rPr>
          <w:rStyle w:val="34"/>
          <w:rFonts w:hint="eastAsia" w:ascii="宋体" w:hAnsi="宋体" w:eastAsia="宋体" w:cs="宋体"/>
          <w:b w:val="0"/>
          <w:bCs w:val="0"/>
          <w:color w:val="auto"/>
          <w:sz w:val="24"/>
          <w:szCs w:val="24"/>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0881398">
      <w:pPr>
        <w:keepNext w:val="0"/>
        <w:keepLines w:val="0"/>
        <w:pageBreakBefore w:val="0"/>
        <w:widowControl w:val="0"/>
        <w:kinsoku/>
        <w:wordWrap/>
        <w:overflowPunct/>
        <w:topLinePunct w:val="0"/>
        <w:autoSpaceDE/>
        <w:autoSpaceDN/>
        <w:bidi w:val="0"/>
        <w:adjustRightInd/>
        <w:snapToGrid/>
        <w:spacing w:line="400" w:lineRule="exact"/>
        <w:textAlignment w:val="auto"/>
        <w:rPr>
          <w:rStyle w:val="34"/>
          <w:rFonts w:hint="eastAsia" w:ascii="宋体" w:hAnsi="宋体" w:eastAsia="宋体" w:cs="宋体"/>
          <w:b w:val="0"/>
          <w:bCs w:val="0"/>
          <w:color w:val="auto"/>
          <w:sz w:val="24"/>
          <w:szCs w:val="24"/>
          <w:highlight w:val="none"/>
        </w:rPr>
      </w:pPr>
      <w:r>
        <w:rPr>
          <w:rStyle w:val="34"/>
          <w:rFonts w:hint="eastAsia" w:ascii="宋体" w:hAnsi="宋体" w:eastAsia="宋体" w:cs="宋体"/>
          <w:b w:val="0"/>
          <w:bCs w:val="0"/>
          <w:color w:val="auto"/>
          <w:sz w:val="24"/>
          <w:szCs w:val="24"/>
          <w:highlight w:val="none"/>
        </w:rPr>
        <w:t>（十六）其他未列明行业。从业人员300人以下的为中小微型企业。其中，从业人员100人及以上的为中型企业；从业人员10人及以上的为小型企业；从业人员10人以下的为微型企业。　　</w:t>
      </w:r>
    </w:p>
    <w:p w14:paraId="509B953B">
      <w:pPr>
        <w:keepNext w:val="0"/>
        <w:keepLines w:val="0"/>
        <w:pageBreakBefore w:val="0"/>
        <w:widowControl w:val="0"/>
        <w:kinsoku/>
        <w:wordWrap/>
        <w:overflowPunct/>
        <w:topLinePunct w:val="0"/>
        <w:autoSpaceDE/>
        <w:autoSpaceDN/>
        <w:bidi w:val="0"/>
        <w:adjustRightInd/>
        <w:snapToGrid/>
        <w:spacing w:line="400" w:lineRule="exact"/>
        <w:textAlignment w:val="auto"/>
        <w:rPr>
          <w:rStyle w:val="34"/>
          <w:rFonts w:hint="eastAsia" w:ascii="宋体" w:hAnsi="宋体" w:eastAsia="宋体" w:cs="宋体"/>
          <w:b w:val="0"/>
          <w:bCs w:val="0"/>
          <w:color w:val="auto"/>
          <w:sz w:val="24"/>
          <w:szCs w:val="24"/>
          <w:highlight w:val="none"/>
        </w:rPr>
      </w:pPr>
      <w:r>
        <w:rPr>
          <w:rStyle w:val="34"/>
          <w:rFonts w:hint="eastAsia" w:ascii="宋体" w:hAnsi="宋体" w:eastAsia="宋体" w:cs="宋体"/>
          <w:b w:val="0"/>
          <w:bCs w:val="0"/>
          <w:color w:val="auto"/>
          <w:sz w:val="24"/>
          <w:szCs w:val="24"/>
          <w:highlight w:val="none"/>
        </w:rPr>
        <w:t>五、企业类型的划分以统计部门的统计数据为依据。</w:t>
      </w:r>
    </w:p>
    <w:p w14:paraId="77228C0D">
      <w:pPr>
        <w:keepNext w:val="0"/>
        <w:keepLines w:val="0"/>
        <w:pageBreakBefore w:val="0"/>
        <w:widowControl w:val="0"/>
        <w:kinsoku/>
        <w:wordWrap/>
        <w:overflowPunct/>
        <w:topLinePunct w:val="0"/>
        <w:autoSpaceDE/>
        <w:autoSpaceDN/>
        <w:bidi w:val="0"/>
        <w:adjustRightInd/>
        <w:snapToGrid/>
        <w:spacing w:line="400" w:lineRule="exact"/>
        <w:textAlignment w:val="auto"/>
        <w:rPr>
          <w:rStyle w:val="34"/>
          <w:rFonts w:hint="eastAsia" w:ascii="宋体" w:hAnsi="宋体" w:eastAsia="宋体" w:cs="宋体"/>
          <w:b w:val="0"/>
          <w:bCs w:val="0"/>
          <w:color w:val="auto"/>
          <w:sz w:val="24"/>
          <w:szCs w:val="24"/>
          <w:highlight w:val="none"/>
        </w:rPr>
      </w:pPr>
      <w:r>
        <w:rPr>
          <w:rStyle w:val="34"/>
          <w:rFonts w:hint="eastAsia" w:ascii="宋体" w:hAnsi="宋体" w:eastAsia="宋体" w:cs="宋体"/>
          <w:b w:val="0"/>
          <w:bCs w:val="0"/>
          <w:color w:val="auto"/>
          <w:sz w:val="24"/>
          <w:szCs w:val="24"/>
          <w:highlight w:val="none"/>
        </w:rPr>
        <w:t>　　六、本规定适用于在中华人民共和国境内依法设立的各类所有制和各种组织形式的企业。个体工商户和本规定以外的行业，参照本规定进行划型。</w:t>
      </w:r>
    </w:p>
    <w:p w14:paraId="5F4BB8EA">
      <w:pPr>
        <w:keepNext w:val="0"/>
        <w:keepLines w:val="0"/>
        <w:pageBreakBefore w:val="0"/>
        <w:widowControl w:val="0"/>
        <w:kinsoku/>
        <w:wordWrap/>
        <w:overflowPunct/>
        <w:topLinePunct w:val="0"/>
        <w:autoSpaceDE/>
        <w:autoSpaceDN/>
        <w:bidi w:val="0"/>
        <w:adjustRightInd/>
        <w:snapToGrid/>
        <w:spacing w:line="400" w:lineRule="exact"/>
        <w:textAlignment w:val="auto"/>
        <w:rPr>
          <w:rStyle w:val="34"/>
          <w:rFonts w:hint="eastAsia" w:ascii="宋体" w:hAnsi="宋体" w:eastAsia="宋体" w:cs="宋体"/>
          <w:b w:val="0"/>
          <w:bCs w:val="0"/>
          <w:color w:val="auto"/>
          <w:sz w:val="24"/>
          <w:szCs w:val="24"/>
          <w:highlight w:val="none"/>
        </w:rPr>
      </w:pPr>
      <w:r>
        <w:rPr>
          <w:rStyle w:val="34"/>
          <w:rFonts w:hint="eastAsia" w:ascii="宋体" w:hAnsi="宋体" w:eastAsia="宋体" w:cs="宋体"/>
          <w:b w:val="0"/>
          <w:bCs w:val="0"/>
          <w:color w:val="auto"/>
          <w:sz w:val="24"/>
          <w:szCs w:val="24"/>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14:paraId="0450AEC1">
      <w:pPr>
        <w:keepNext w:val="0"/>
        <w:keepLines w:val="0"/>
        <w:pageBreakBefore w:val="0"/>
        <w:widowControl w:val="0"/>
        <w:kinsoku/>
        <w:wordWrap/>
        <w:overflowPunct/>
        <w:topLinePunct w:val="0"/>
        <w:autoSpaceDE/>
        <w:autoSpaceDN/>
        <w:bidi w:val="0"/>
        <w:adjustRightInd/>
        <w:snapToGrid/>
        <w:spacing w:line="400" w:lineRule="exact"/>
        <w:textAlignment w:val="auto"/>
        <w:rPr>
          <w:rStyle w:val="34"/>
          <w:rFonts w:hint="eastAsia" w:ascii="宋体" w:hAnsi="宋体" w:eastAsia="宋体" w:cs="宋体"/>
          <w:b w:val="0"/>
          <w:bCs w:val="0"/>
          <w:color w:val="auto"/>
          <w:sz w:val="24"/>
          <w:szCs w:val="24"/>
          <w:highlight w:val="none"/>
        </w:rPr>
      </w:pPr>
      <w:r>
        <w:rPr>
          <w:rStyle w:val="34"/>
          <w:rFonts w:hint="eastAsia" w:ascii="宋体" w:hAnsi="宋体" w:eastAsia="宋体" w:cs="宋体"/>
          <w:b w:val="0"/>
          <w:bCs w:val="0"/>
          <w:color w:val="auto"/>
          <w:sz w:val="24"/>
          <w:szCs w:val="24"/>
          <w:highlight w:val="none"/>
        </w:rPr>
        <w:t>　　八、本规定由工业和信息化部、国家统计局会同有关部门根据《国民经济行业分类》修订情况和企业发展变化情况适时修订。</w:t>
      </w:r>
    </w:p>
    <w:p w14:paraId="69D789A4">
      <w:pPr>
        <w:keepNext w:val="0"/>
        <w:keepLines w:val="0"/>
        <w:pageBreakBefore w:val="0"/>
        <w:widowControl w:val="0"/>
        <w:kinsoku/>
        <w:wordWrap/>
        <w:overflowPunct/>
        <w:topLinePunct w:val="0"/>
        <w:autoSpaceDE/>
        <w:autoSpaceDN/>
        <w:bidi w:val="0"/>
        <w:adjustRightInd/>
        <w:snapToGrid/>
        <w:spacing w:line="400" w:lineRule="exact"/>
        <w:textAlignment w:val="auto"/>
        <w:rPr>
          <w:rStyle w:val="34"/>
          <w:rFonts w:hint="eastAsia" w:ascii="宋体" w:hAnsi="宋体" w:eastAsia="宋体" w:cs="宋体"/>
          <w:b w:val="0"/>
          <w:bCs w:val="0"/>
          <w:color w:val="auto"/>
          <w:sz w:val="24"/>
          <w:szCs w:val="24"/>
          <w:highlight w:val="none"/>
        </w:rPr>
      </w:pPr>
      <w:r>
        <w:rPr>
          <w:rStyle w:val="34"/>
          <w:rFonts w:hint="eastAsia" w:ascii="宋体" w:hAnsi="宋体" w:eastAsia="宋体" w:cs="宋体"/>
          <w:b w:val="0"/>
          <w:bCs w:val="0"/>
          <w:color w:val="auto"/>
          <w:sz w:val="24"/>
          <w:szCs w:val="24"/>
          <w:highlight w:val="none"/>
        </w:rPr>
        <w:t>　　九、本规定由工业和信息化部、国家统计局会同有关部门负责解释。</w:t>
      </w:r>
    </w:p>
    <w:p w14:paraId="4299A031">
      <w:pPr>
        <w:keepNext w:val="0"/>
        <w:keepLines w:val="0"/>
        <w:pageBreakBefore w:val="0"/>
        <w:widowControl w:val="0"/>
        <w:kinsoku/>
        <w:wordWrap/>
        <w:overflowPunct/>
        <w:topLinePunct w:val="0"/>
        <w:autoSpaceDE/>
        <w:autoSpaceDN/>
        <w:bidi w:val="0"/>
        <w:adjustRightInd/>
        <w:snapToGrid/>
        <w:spacing w:line="400" w:lineRule="exact"/>
        <w:textAlignment w:val="auto"/>
        <w:rPr>
          <w:rStyle w:val="34"/>
          <w:rFonts w:hint="eastAsia" w:ascii="宋体" w:hAnsi="宋体" w:eastAsia="宋体" w:cs="宋体"/>
          <w:b w:val="0"/>
          <w:bCs w:val="0"/>
          <w:color w:val="auto"/>
          <w:sz w:val="24"/>
          <w:szCs w:val="24"/>
          <w:highlight w:val="none"/>
        </w:rPr>
      </w:pPr>
      <w:r>
        <w:rPr>
          <w:rStyle w:val="34"/>
          <w:rFonts w:hint="eastAsia" w:ascii="宋体" w:hAnsi="宋体" w:eastAsia="宋体" w:cs="宋体"/>
          <w:b w:val="0"/>
          <w:bCs w:val="0"/>
          <w:color w:val="auto"/>
          <w:sz w:val="24"/>
          <w:szCs w:val="24"/>
          <w:highlight w:val="none"/>
        </w:rPr>
        <w:t>十、本规定自发布之日起执行，原国家经贸委、原国家计委、财政部和国家统计局2003年颁布的《中小企业标准暂行规定》同时废止。</w:t>
      </w:r>
    </w:p>
    <w:p w14:paraId="5BCE9D64">
      <w:pPr>
        <w:rPr>
          <w:rFonts w:cs="宋体"/>
          <w:color w:val="auto"/>
          <w:spacing w:val="6"/>
          <w:sz w:val="21"/>
          <w:szCs w:val="21"/>
          <w:highlight w:val="none"/>
        </w:rPr>
      </w:pPr>
      <w:r>
        <w:rPr>
          <w:rFonts w:cs="宋体"/>
          <w:color w:val="auto"/>
          <w:spacing w:val="6"/>
          <w:sz w:val="21"/>
          <w:szCs w:val="21"/>
          <w:highlight w:val="none"/>
        </w:rPr>
        <w:br w:type="page"/>
      </w:r>
    </w:p>
    <w:p w14:paraId="6BF97866">
      <w:pPr>
        <w:rPr>
          <w:rFonts w:cs="宋体"/>
          <w:color w:val="auto"/>
          <w:spacing w:val="6"/>
          <w:sz w:val="21"/>
          <w:szCs w:val="21"/>
          <w:highlight w:val="none"/>
        </w:rPr>
      </w:pPr>
      <w:bookmarkStart w:id="762" w:name="_Toc163492940"/>
    </w:p>
    <w:p w14:paraId="07DD596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宋体"/>
          <w:b/>
          <w:bCs/>
          <w:color w:val="auto"/>
          <w:highlight w:val="none"/>
          <w:lang w:val="en-US" w:eastAsia="zh-CN"/>
        </w:rPr>
      </w:pPr>
      <w:r>
        <w:rPr>
          <w:rFonts w:hint="eastAsia"/>
          <w:b/>
          <w:bCs/>
          <w:color w:val="auto"/>
          <w:highlight w:val="none"/>
          <w:lang w:val="en-US" w:eastAsia="zh-CN"/>
        </w:rPr>
        <w:t>附件3：</w:t>
      </w:r>
    </w:p>
    <w:p w14:paraId="754A877D">
      <w:pPr>
        <w:rPr>
          <w:rFonts w:hint="eastAsia" w:cs="宋体"/>
          <w:color w:val="auto"/>
          <w:spacing w:val="6"/>
          <w:sz w:val="21"/>
          <w:szCs w:val="21"/>
          <w:highlight w:val="none"/>
        </w:rPr>
      </w:pPr>
    </w:p>
    <w:p w14:paraId="36D4DB1B">
      <w:pPr>
        <w:pStyle w:val="2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auto"/>
          <w:sz w:val="32"/>
          <w:szCs w:val="32"/>
          <w:highlight w:val="none"/>
        </w:rPr>
      </w:pPr>
      <w:r>
        <w:rPr>
          <w:rFonts w:hint="eastAsia" w:ascii="宋体" w:hAnsi="宋体" w:eastAsia="宋体" w:cs="宋体"/>
          <w:b/>
          <w:bCs w:val="0"/>
          <w:color w:val="auto"/>
          <w:sz w:val="32"/>
          <w:szCs w:val="32"/>
          <w:highlight w:val="none"/>
        </w:rPr>
        <w:t>关于印发《金融业企业划型标准规定》的通知</w:t>
      </w:r>
    </w:p>
    <w:p w14:paraId="46F847F3">
      <w:pPr>
        <w:jc w:val="center"/>
        <w:rPr>
          <w:rStyle w:val="34"/>
          <w:rFonts w:hint="eastAsia" w:ascii="宋体" w:hAnsi="宋体" w:eastAsia="宋体" w:cs="宋体"/>
          <w:b w:val="0"/>
          <w:color w:val="auto"/>
          <w:sz w:val="24"/>
          <w:szCs w:val="24"/>
          <w:highlight w:val="none"/>
        </w:rPr>
      </w:pPr>
      <w:r>
        <w:rPr>
          <w:rStyle w:val="34"/>
          <w:rFonts w:hint="eastAsia" w:ascii="宋体" w:hAnsi="宋体" w:eastAsia="宋体" w:cs="宋体"/>
          <w:b w:val="0"/>
          <w:color w:val="auto"/>
          <w:sz w:val="24"/>
          <w:szCs w:val="24"/>
          <w:highlight w:val="none"/>
        </w:rPr>
        <w:t>银发〔2015〕309号</w:t>
      </w:r>
    </w:p>
    <w:p w14:paraId="6EBA1AEF">
      <w:pPr>
        <w:keepNext w:val="0"/>
        <w:keepLines w:val="0"/>
        <w:pageBreakBefore w:val="0"/>
        <w:widowControl w:val="0"/>
        <w:kinsoku/>
        <w:wordWrap/>
        <w:overflowPunct/>
        <w:topLinePunct w:val="0"/>
        <w:autoSpaceDE/>
        <w:autoSpaceDN/>
        <w:bidi w:val="0"/>
        <w:adjustRightInd/>
        <w:snapToGrid/>
        <w:spacing w:line="460" w:lineRule="exact"/>
        <w:ind w:firstLine="483"/>
        <w:textAlignment w:val="auto"/>
        <w:rPr>
          <w:rStyle w:val="34"/>
          <w:rFonts w:hint="eastAsia" w:ascii="宋体" w:hAnsi="宋体" w:eastAsia="宋体" w:cs="宋体"/>
          <w:b w:val="0"/>
          <w:bCs w:val="0"/>
          <w:color w:val="auto"/>
          <w:sz w:val="24"/>
          <w:szCs w:val="24"/>
          <w:highlight w:val="none"/>
        </w:rPr>
      </w:pPr>
      <w:r>
        <w:rPr>
          <w:rStyle w:val="34"/>
          <w:rFonts w:hint="eastAsia" w:ascii="宋体" w:hAnsi="宋体" w:eastAsia="宋体" w:cs="宋体"/>
          <w:b w:val="0"/>
          <w:bCs w:val="0"/>
          <w:color w:val="auto"/>
          <w:sz w:val="24"/>
          <w:szCs w:val="24"/>
          <w:highlight w:val="none"/>
        </w:rPr>
        <w:t>为进一步贯彻落实《中华人民共和国中小企业促进法》、《国务院关于进一步促进中小企业发展的若干意见》（国发〔2009〕36号）、《国务院办公厅关于金融支持小微企业发展的实施意见》（国办发〔2013〕87号），推动中小金融机构健康发展，加大金融对实体经济的支持，人民银行会同银监会、证监会、保监会和国家统计局联合研究制定了《金融业企业划型标准规定》（见附件）。经国务院同意，现印发给你们，请遵照执行。</w:t>
      </w:r>
    </w:p>
    <w:p w14:paraId="12B6BFCB">
      <w:pPr>
        <w:keepNext w:val="0"/>
        <w:keepLines w:val="0"/>
        <w:pageBreakBefore w:val="0"/>
        <w:widowControl w:val="0"/>
        <w:kinsoku/>
        <w:wordWrap/>
        <w:overflowPunct/>
        <w:topLinePunct w:val="0"/>
        <w:autoSpaceDE/>
        <w:autoSpaceDN/>
        <w:bidi w:val="0"/>
        <w:adjustRightInd/>
        <w:snapToGrid/>
        <w:spacing w:line="460" w:lineRule="exact"/>
        <w:ind w:firstLine="483"/>
        <w:textAlignment w:val="auto"/>
        <w:rPr>
          <w:rStyle w:val="34"/>
          <w:rFonts w:hint="eastAsia" w:ascii="宋体" w:hAnsi="宋体" w:eastAsia="宋体" w:cs="宋体"/>
          <w:b w:val="0"/>
          <w:bCs w:val="0"/>
          <w:color w:val="auto"/>
          <w:sz w:val="24"/>
          <w:szCs w:val="24"/>
          <w:highlight w:val="none"/>
        </w:rPr>
      </w:pPr>
      <w:r>
        <w:rPr>
          <w:rStyle w:val="34"/>
          <w:rFonts w:hint="eastAsia" w:ascii="宋体" w:hAnsi="宋体" w:eastAsia="宋体" w:cs="宋体"/>
          <w:b w:val="0"/>
          <w:bCs w:val="0"/>
          <w:color w:val="auto"/>
          <w:sz w:val="24"/>
          <w:szCs w:val="24"/>
          <w:highlight w:val="none"/>
        </w:rPr>
        <w:t>请人民银行上海总部，各分行、营业管理部、省会（首府）城市中心支行、副省级城市中心支行会同所在省（区、市）银监局、证监局、保监局、统计局将本通知联合转发至辖内相关机构。</w:t>
      </w:r>
    </w:p>
    <w:p w14:paraId="53F6A9E3">
      <w:pPr>
        <w:keepNext w:val="0"/>
        <w:keepLines w:val="0"/>
        <w:pageBreakBefore w:val="0"/>
        <w:widowControl w:val="0"/>
        <w:kinsoku/>
        <w:wordWrap/>
        <w:overflowPunct/>
        <w:topLinePunct w:val="0"/>
        <w:autoSpaceDE/>
        <w:autoSpaceDN/>
        <w:bidi w:val="0"/>
        <w:adjustRightInd/>
        <w:snapToGrid/>
        <w:spacing w:line="460" w:lineRule="exact"/>
        <w:ind w:firstLine="483"/>
        <w:textAlignment w:val="auto"/>
        <w:rPr>
          <w:rStyle w:val="34"/>
          <w:rFonts w:hint="eastAsia" w:ascii="宋体" w:hAnsi="宋体" w:eastAsia="宋体" w:cs="宋体"/>
          <w:b w:val="0"/>
          <w:bCs w:val="0"/>
          <w:color w:val="auto"/>
          <w:sz w:val="24"/>
          <w:szCs w:val="24"/>
          <w:highlight w:val="none"/>
        </w:rPr>
      </w:pPr>
    </w:p>
    <w:p w14:paraId="5AE5F476">
      <w:pPr>
        <w:keepNext w:val="0"/>
        <w:keepLines w:val="0"/>
        <w:pageBreakBefore w:val="0"/>
        <w:widowControl w:val="0"/>
        <w:kinsoku/>
        <w:wordWrap/>
        <w:overflowPunct/>
        <w:topLinePunct w:val="0"/>
        <w:autoSpaceDE/>
        <w:autoSpaceDN/>
        <w:bidi w:val="0"/>
        <w:adjustRightInd/>
        <w:snapToGrid/>
        <w:spacing w:line="460" w:lineRule="exact"/>
        <w:ind w:firstLine="483"/>
        <w:textAlignment w:val="auto"/>
        <w:rPr>
          <w:rStyle w:val="34"/>
          <w:rFonts w:hint="eastAsia" w:ascii="宋体" w:hAnsi="宋体" w:eastAsia="宋体" w:cs="宋体"/>
          <w:b w:val="0"/>
          <w:bCs w:val="0"/>
          <w:color w:val="auto"/>
          <w:sz w:val="24"/>
          <w:szCs w:val="24"/>
          <w:highlight w:val="none"/>
        </w:rPr>
      </w:pPr>
      <w:r>
        <w:rPr>
          <w:rStyle w:val="34"/>
          <w:rFonts w:hint="eastAsia" w:ascii="宋体" w:hAnsi="宋体" w:eastAsia="宋体" w:cs="宋体"/>
          <w:b w:val="0"/>
          <w:bCs w:val="0"/>
          <w:color w:val="auto"/>
          <w:sz w:val="24"/>
          <w:szCs w:val="24"/>
          <w:highlight w:val="none"/>
        </w:rPr>
        <w:t>附件：金融业企业划型标准规定</w:t>
      </w:r>
    </w:p>
    <w:p w14:paraId="575D4BF4">
      <w:pPr>
        <w:keepNext w:val="0"/>
        <w:keepLines w:val="0"/>
        <w:pageBreakBefore w:val="0"/>
        <w:widowControl w:val="0"/>
        <w:kinsoku/>
        <w:wordWrap/>
        <w:overflowPunct/>
        <w:topLinePunct w:val="0"/>
        <w:autoSpaceDE/>
        <w:autoSpaceDN/>
        <w:bidi w:val="0"/>
        <w:adjustRightInd/>
        <w:snapToGrid/>
        <w:spacing w:line="460" w:lineRule="exact"/>
        <w:textAlignment w:val="auto"/>
        <w:rPr>
          <w:rStyle w:val="34"/>
          <w:rFonts w:hint="eastAsia" w:ascii="宋体" w:hAnsi="宋体" w:eastAsia="宋体" w:cs="宋体"/>
          <w:b w:val="0"/>
          <w:bCs w:val="0"/>
          <w:color w:val="auto"/>
          <w:sz w:val="24"/>
          <w:szCs w:val="24"/>
          <w:highlight w:val="none"/>
        </w:rPr>
      </w:pPr>
      <w:r>
        <w:rPr>
          <w:rFonts w:hint="eastAsia" w:cs="宋体"/>
          <w:color w:val="auto"/>
          <w:spacing w:val="6"/>
          <w:sz w:val="24"/>
          <w:szCs w:val="24"/>
          <w:highlight w:val="none"/>
        </w:rPr>
        <w:t>                                      </w:t>
      </w:r>
      <w:r>
        <w:rPr>
          <w:rStyle w:val="34"/>
          <w:rFonts w:hint="eastAsia" w:ascii="宋体" w:hAnsi="宋体" w:eastAsia="宋体" w:cs="宋体"/>
          <w:b w:val="0"/>
          <w:bCs w:val="0"/>
          <w:color w:val="auto"/>
          <w:sz w:val="24"/>
          <w:szCs w:val="24"/>
          <w:highlight w:val="none"/>
        </w:rPr>
        <w:t>       </w:t>
      </w:r>
      <w:r>
        <w:rPr>
          <w:rStyle w:val="34"/>
          <w:rFonts w:hint="eastAsia" w:cs="宋体"/>
          <w:b w:val="0"/>
          <w:bCs w:val="0"/>
          <w:color w:val="auto"/>
          <w:sz w:val="24"/>
          <w:szCs w:val="24"/>
          <w:highlight w:val="none"/>
          <w:lang w:val="en-US" w:eastAsia="zh-CN"/>
        </w:rPr>
        <w:t xml:space="preserve">                            </w:t>
      </w:r>
      <w:r>
        <w:rPr>
          <w:rStyle w:val="34"/>
          <w:rFonts w:hint="eastAsia" w:ascii="宋体" w:hAnsi="宋体" w:eastAsia="宋体" w:cs="宋体"/>
          <w:b w:val="0"/>
          <w:bCs w:val="0"/>
          <w:color w:val="auto"/>
          <w:sz w:val="24"/>
          <w:szCs w:val="24"/>
          <w:highlight w:val="none"/>
        </w:rPr>
        <w:t>中国人民银行</w:t>
      </w:r>
    </w:p>
    <w:p w14:paraId="0E162F05">
      <w:pPr>
        <w:keepNext w:val="0"/>
        <w:keepLines w:val="0"/>
        <w:pageBreakBefore w:val="0"/>
        <w:widowControl w:val="0"/>
        <w:kinsoku/>
        <w:wordWrap/>
        <w:overflowPunct/>
        <w:topLinePunct w:val="0"/>
        <w:autoSpaceDE/>
        <w:autoSpaceDN/>
        <w:bidi w:val="0"/>
        <w:adjustRightInd/>
        <w:snapToGrid/>
        <w:spacing w:line="460" w:lineRule="exact"/>
        <w:ind w:firstLine="2400" w:firstLineChars="1000"/>
        <w:textAlignment w:val="auto"/>
        <w:rPr>
          <w:rStyle w:val="34"/>
          <w:rFonts w:hint="eastAsia" w:ascii="宋体" w:hAnsi="宋体" w:eastAsia="宋体" w:cs="宋体"/>
          <w:b w:val="0"/>
          <w:bCs w:val="0"/>
          <w:color w:val="auto"/>
          <w:sz w:val="24"/>
          <w:szCs w:val="24"/>
          <w:highlight w:val="none"/>
        </w:rPr>
      </w:pPr>
      <w:r>
        <w:rPr>
          <w:rStyle w:val="34"/>
          <w:rFonts w:hint="eastAsia" w:ascii="宋体" w:hAnsi="宋体" w:eastAsia="宋体" w:cs="宋体"/>
          <w:b w:val="0"/>
          <w:bCs w:val="0"/>
          <w:color w:val="auto"/>
          <w:sz w:val="24"/>
          <w:szCs w:val="24"/>
          <w:highlight w:val="none"/>
        </w:rPr>
        <w:t>          中国银行业监督管理委员会</w:t>
      </w:r>
    </w:p>
    <w:p w14:paraId="644A820C">
      <w:pPr>
        <w:keepNext w:val="0"/>
        <w:keepLines w:val="0"/>
        <w:pageBreakBefore w:val="0"/>
        <w:widowControl w:val="0"/>
        <w:kinsoku/>
        <w:wordWrap/>
        <w:overflowPunct/>
        <w:topLinePunct w:val="0"/>
        <w:autoSpaceDE/>
        <w:autoSpaceDN/>
        <w:bidi w:val="0"/>
        <w:adjustRightInd/>
        <w:snapToGrid/>
        <w:spacing w:line="460" w:lineRule="exact"/>
        <w:ind w:firstLine="2400" w:firstLineChars="1000"/>
        <w:textAlignment w:val="auto"/>
        <w:rPr>
          <w:rStyle w:val="34"/>
          <w:rFonts w:hint="eastAsia" w:ascii="宋体" w:hAnsi="宋体" w:eastAsia="宋体" w:cs="宋体"/>
          <w:b w:val="0"/>
          <w:bCs w:val="0"/>
          <w:color w:val="auto"/>
          <w:sz w:val="24"/>
          <w:szCs w:val="24"/>
          <w:highlight w:val="none"/>
        </w:rPr>
      </w:pPr>
      <w:r>
        <w:rPr>
          <w:rStyle w:val="34"/>
          <w:rFonts w:hint="eastAsia" w:ascii="宋体" w:hAnsi="宋体" w:eastAsia="宋体" w:cs="宋体"/>
          <w:b w:val="0"/>
          <w:bCs w:val="0"/>
          <w:color w:val="auto"/>
          <w:sz w:val="24"/>
          <w:szCs w:val="24"/>
          <w:highlight w:val="none"/>
        </w:rPr>
        <w:t>           中国证券监督管理委员会</w:t>
      </w:r>
    </w:p>
    <w:p w14:paraId="13427FED">
      <w:pPr>
        <w:keepNext w:val="0"/>
        <w:keepLines w:val="0"/>
        <w:pageBreakBefore w:val="0"/>
        <w:widowControl w:val="0"/>
        <w:kinsoku/>
        <w:wordWrap/>
        <w:overflowPunct/>
        <w:topLinePunct w:val="0"/>
        <w:autoSpaceDE/>
        <w:autoSpaceDN/>
        <w:bidi w:val="0"/>
        <w:adjustRightInd/>
        <w:snapToGrid/>
        <w:spacing w:line="460" w:lineRule="exact"/>
        <w:ind w:firstLine="2400" w:firstLineChars="1000"/>
        <w:textAlignment w:val="auto"/>
        <w:rPr>
          <w:rStyle w:val="34"/>
          <w:rFonts w:hint="eastAsia" w:ascii="宋体" w:hAnsi="宋体" w:eastAsia="宋体" w:cs="宋体"/>
          <w:b w:val="0"/>
          <w:bCs w:val="0"/>
          <w:color w:val="auto"/>
          <w:sz w:val="24"/>
          <w:szCs w:val="24"/>
          <w:highlight w:val="none"/>
        </w:rPr>
      </w:pPr>
      <w:r>
        <w:rPr>
          <w:rStyle w:val="34"/>
          <w:rFonts w:hint="eastAsia" w:ascii="宋体" w:hAnsi="宋体" w:eastAsia="宋体" w:cs="宋体"/>
          <w:b w:val="0"/>
          <w:bCs w:val="0"/>
          <w:color w:val="auto"/>
          <w:sz w:val="24"/>
          <w:szCs w:val="24"/>
          <w:highlight w:val="none"/>
        </w:rPr>
        <w:t>           中国保险监督管理委员会</w:t>
      </w:r>
    </w:p>
    <w:p w14:paraId="189E390E">
      <w:pPr>
        <w:keepNext w:val="0"/>
        <w:keepLines w:val="0"/>
        <w:pageBreakBefore w:val="0"/>
        <w:widowControl w:val="0"/>
        <w:kinsoku/>
        <w:wordWrap/>
        <w:overflowPunct/>
        <w:topLinePunct w:val="0"/>
        <w:autoSpaceDE/>
        <w:autoSpaceDN/>
        <w:bidi w:val="0"/>
        <w:adjustRightInd/>
        <w:snapToGrid/>
        <w:spacing w:line="460" w:lineRule="exact"/>
        <w:ind w:firstLine="2160" w:firstLineChars="900"/>
        <w:textAlignment w:val="auto"/>
        <w:rPr>
          <w:rStyle w:val="34"/>
          <w:rFonts w:hint="eastAsia" w:ascii="宋体" w:hAnsi="宋体" w:eastAsia="宋体" w:cs="宋体"/>
          <w:b w:val="0"/>
          <w:bCs w:val="0"/>
          <w:color w:val="auto"/>
          <w:sz w:val="24"/>
          <w:szCs w:val="24"/>
          <w:highlight w:val="none"/>
        </w:rPr>
      </w:pPr>
      <w:r>
        <w:rPr>
          <w:rStyle w:val="34"/>
          <w:rFonts w:hint="eastAsia" w:ascii="宋体" w:hAnsi="宋体" w:eastAsia="宋体" w:cs="宋体"/>
          <w:b w:val="0"/>
          <w:bCs w:val="0"/>
          <w:color w:val="auto"/>
          <w:sz w:val="24"/>
          <w:szCs w:val="24"/>
          <w:highlight w:val="none"/>
        </w:rPr>
        <w:t>           中华人民共和国国家统计局</w:t>
      </w:r>
    </w:p>
    <w:p w14:paraId="35EB1163">
      <w:pPr>
        <w:keepNext w:val="0"/>
        <w:keepLines w:val="0"/>
        <w:pageBreakBefore w:val="0"/>
        <w:widowControl w:val="0"/>
        <w:kinsoku/>
        <w:wordWrap/>
        <w:overflowPunct/>
        <w:topLinePunct w:val="0"/>
        <w:autoSpaceDE/>
        <w:autoSpaceDN/>
        <w:bidi w:val="0"/>
        <w:adjustRightInd/>
        <w:snapToGrid/>
        <w:spacing w:line="460" w:lineRule="exact"/>
        <w:textAlignment w:val="auto"/>
        <w:rPr>
          <w:rStyle w:val="34"/>
          <w:rFonts w:hint="eastAsia" w:ascii="宋体" w:hAnsi="宋体" w:eastAsia="宋体" w:cs="宋体"/>
          <w:b w:val="0"/>
          <w:bCs w:val="0"/>
          <w:color w:val="auto"/>
          <w:sz w:val="24"/>
          <w:szCs w:val="24"/>
          <w:highlight w:val="none"/>
        </w:rPr>
      </w:pPr>
      <w:r>
        <w:rPr>
          <w:rStyle w:val="34"/>
          <w:rFonts w:hint="eastAsia" w:ascii="宋体" w:hAnsi="宋体" w:eastAsia="宋体" w:cs="宋体"/>
          <w:b w:val="0"/>
          <w:bCs w:val="0"/>
          <w:color w:val="auto"/>
          <w:sz w:val="24"/>
          <w:szCs w:val="24"/>
          <w:highlight w:val="none"/>
        </w:rPr>
        <w:t>                                                     </w:t>
      </w:r>
      <w:r>
        <w:rPr>
          <w:rStyle w:val="34"/>
          <w:rFonts w:hint="eastAsia" w:cs="宋体"/>
          <w:b w:val="0"/>
          <w:bCs w:val="0"/>
          <w:color w:val="auto"/>
          <w:sz w:val="24"/>
          <w:szCs w:val="24"/>
          <w:highlight w:val="none"/>
          <w:lang w:val="en-US" w:eastAsia="zh-CN"/>
        </w:rPr>
        <w:t xml:space="preserve">     </w:t>
      </w:r>
      <w:r>
        <w:rPr>
          <w:rStyle w:val="34"/>
          <w:rFonts w:hint="eastAsia" w:ascii="宋体" w:hAnsi="宋体" w:eastAsia="宋体" w:cs="宋体"/>
          <w:b w:val="0"/>
          <w:bCs w:val="0"/>
          <w:color w:val="auto"/>
          <w:sz w:val="24"/>
          <w:szCs w:val="24"/>
          <w:highlight w:val="none"/>
        </w:rPr>
        <w:t> 2015年9月28日</w:t>
      </w:r>
    </w:p>
    <w:p w14:paraId="2D875BF0">
      <w:pPr>
        <w:rPr>
          <w:rFonts w:hint="eastAsia" w:cs="宋体"/>
          <w:color w:val="auto"/>
          <w:spacing w:val="6"/>
          <w:sz w:val="21"/>
          <w:szCs w:val="21"/>
          <w:highlight w:val="none"/>
        </w:rPr>
      </w:pPr>
    </w:p>
    <w:p w14:paraId="3D3E2F07">
      <w:pPr>
        <w:rPr>
          <w:rFonts w:hint="eastAsia" w:cs="宋体"/>
          <w:color w:val="auto"/>
          <w:spacing w:val="6"/>
          <w:sz w:val="21"/>
          <w:szCs w:val="21"/>
          <w:highlight w:val="none"/>
          <w:lang w:val="en-US" w:eastAsia="zh-CN"/>
        </w:rPr>
      </w:pPr>
    </w:p>
    <w:p w14:paraId="7D55D2C4">
      <w:pPr>
        <w:rPr>
          <w:rFonts w:hint="eastAsia" w:cs="宋体"/>
          <w:color w:val="auto"/>
          <w:spacing w:val="6"/>
          <w:sz w:val="21"/>
          <w:szCs w:val="21"/>
          <w:highlight w:val="none"/>
          <w:lang w:val="en-US" w:eastAsia="zh-CN"/>
        </w:rPr>
      </w:pPr>
    </w:p>
    <w:p w14:paraId="535B7B3C">
      <w:pPr>
        <w:rPr>
          <w:rFonts w:hint="eastAsia" w:cs="宋体"/>
          <w:color w:val="auto"/>
          <w:spacing w:val="6"/>
          <w:sz w:val="21"/>
          <w:szCs w:val="21"/>
          <w:highlight w:val="none"/>
          <w:lang w:val="en-US" w:eastAsia="zh-CN"/>
        </w:rPr>
      </w:pPr>
    </w:p>
    <w:p w14:paraId="0003DA46">
      <w:pPr>
        <w:rPr>
          <w:rFonts w:hint="eastAsia" w:cs="宋体"/>
          <w:color w:val="auto"/>
          <w:spacing w:val="6"/>
          <w:sz w:val="21"/>
          <w:szCs w:val="21"/>
          <w:highlight w:val="none"/>
          <w:lang w:val="en-US" w:eastAsia="zh-CN"/>
        </w:rPr>
      </w:pPr>
    </w:p>
    <w:p w14:paraId="2EB5298D">
      <w:pPr>
        <w:rPr>
          <w:rFonts w:hint="eastAsia" w:cs="宋体"/>
          <w:color w:val="auto"/>
          <w:spacing w:val="6"/>
          <w:sz w:val="21"/>
          <w:szCs w:val="21"/>
          <w:highlight w:val="none"/>
          <w:lang w:val="en-US" w:eastAsia="zh-CN"/>
        </w:rPr>
      </w:pPr>
    </w:p>
    <w:p w14:paraId="22DC8AB1">
      <w:pPr>
        <w:rPr>
          <w:rFonts w:hint="eastAsia" w:cs="宋体"/>
          <w:color w:val="auto"/>
          <w:spacing w:val="6"/>
          <w:sz w:val="21"/>
          <w:szCs w:val="21"/>
          <w:highlight w:val="none"/>
          <w:lang w:val="en-US" w:eastAsia="zh-CN"/>
        </w:rPr>
      </w:pPr>
    </w:p>
    <w:p w14:paraId="62A6A0C9">
      <w:pPr>
        <w:rPr>
          <w:rFonts w:hint="eastAsia" w:cs="宋体"/>
          <w:color w:val="auto"/>
          <w:spacing w:val="6"/>
          <w:sz w:val="21"/>
          <w:szCs w:val="21"/>
          <w:highlight w:val="none"/>
          <w:lang w:val="en-US" w:eastAsia="zh-CN"/>
        </w:rPr>
      </w:pPr>
    </w:p>
    <w:p w14:paraId="10A8E63C">
      <w:pPr>
        <w:rPr>
          <w:rFonts w:hint="eastAsia" w:cs="宋体"/>
          <w:color w:val="auto"/>
          <w:spacing w:val="6"/>
          <w:sz w:val="21"/>
          <w:szCs w:val="21"/>
          <w:highlight w:val="none"/>
          <w:lang w:val="en-US" w:eastAsia="zh-CN"/>
        </w:rPr>
      </w:pPr>
    </w:p>
    <w:p w14:paraId="422FF70F">
      <w:pPr>
        <w:rPr>
          <w:rFonts w:hint="eastAsia" w:cs="宋体"/>
          <w:color w:val="auto"/>
          <w:spacing w:val="6"/>
          <w:sz w:val="21"/>
          <w:szCs w:val="21"/>
          <w:highlight w:val="none"/>
        </w:rPr>
      </w:pPr>
      <w:r>
        <w:rPr>
          <w:rFonts w:hint="eastAsia" w:cs="宋体"/>
          <w:color w:val="auto"/>
          <w:spacing w:val="6"/>
          <w:sz w:val="21"/>
          <w:szCs w:val="21"/>
          <w:highlight w:val="none"/>
          <w:lang w:val="en-US" w:eastAsia="zh-CN"/>
        </w:rPr>
        <w:t>附件</w:t>
      </w:r>
      <w:r>
        <w:rPr>
          <w:rFonts w:hint="eastAsia" w:cs="宋体"/>
          <w:color w:val="auto"/>
          <w:spacing w:val="6"/>
          <w:sz w:val="21"/>
          <w:szCs w:val="21"/>
          <w:highlight w:val="none"/>
        </w:rPr>
        <w:t>              </w:t>
      </w:r>
    </w:p>
    <w:p w14:paraId="3E48D324">
      <w:pPr>
        <w:pStyle w:val="2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金融业企业划型标准规定</w:t>
      </w:r>
    </w:p>
    <w:p w14:paraId="5AB18E43">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4"/>
          <w:rFonts w:hint="eastAsia" w:ascii="宋体" w:hAnsi="宋体" w:eastAsia="宋体" w:cs="宋体"/>
          <w:b w:val="0"/>
          <w:bCs w:val="0"/>
          <w:color w:val="auto"/>
          <w:sz w:val="24"/>
          <w:szCs w:val="24"/>
          <w:highlight w:val="none"/>
        </w:rPr>
      </w:pPr>
      <w:r>
        <w:rPr>
          <w:rStyle w:val="34"/>
          <w:rFonts w:hint="eastAsia" w:ascii="宋体" w:hAnsi="宋体" w:eastAsia="宋体" w:cs="宋体"/>
          <w:b w:val="0"/>
          <w:bCs w:val="0"/>
          <w:color w:val="auto"/>
          <w:sz w:val="24"/>
          <w:szCs w:val="24"/>
          <w:highlight w:val="none"/>
        </w:rPr>
        <w:t>一、根据《中华人民共和国中小企业促进法》、《国务院关于进一步促进中小企业发展的若干意见》（国发〔2009〕36号）和《国务院办公厅关于金融支持小微企业发展的实施意见》（国办发〔2013〕87号），制定本规定。</w:t>
      </w:r>
    </w:p>
    <w:p w14:paraId="4D87CEE4">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4"/>
          <w:rFonts w:hint="eastAsia" w:ascii="宋体" w:hAnsi="宋体" w:eastAsia="宋体" w:cs="宋体"/>
          <w:b w:val="0"/>
          <w:bCs w:val="0"/>
          <w:color w:val="auto"/>
          <w:sz w:val="24"/>
          <w:szCs w:val="24"/>
          <w:highlight w:val="none"/>
        </w:rPr>
      </w:pPr>
      <w:r>
        <w:rPr>
          <w:rStyle w:val="34"/>
          <w:rFonts w:hint="eastAsia" w:ascii="宋体" w:hAnsi="宋体" w:eastAsia="宋体" w:cs="宋体"/>
          <w:b w:val="0"/>
          <w:bCs w:val="0"/>
          <w:color w:val="auto"/>
          <w:sz w:val="24"/>
          <w:szCs w:val="24"/>
          <w:highlight w:val="none"/>
        </w:rPr>
        <w:t>二、适用范围。本规定适用于从事《国民经济行业分类》（GB/T4754-2011）中J门类（金融业）活动的企业。</w:t>
      </w:r>
    </w:p>
    <w:p w14:paraId="405839B7">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4"/>
          <w:rFonts w:hint="eastAsia" w:ascii="宋体" w:hAnsi="宋体" w:eastAsia="宋体" w:cs="宋体"/>
          <w:b w:val="0"/>
          <w:bCs w:val="0"/>
          <w:color w:val="auto"/>
          <w:sz w:val="24"/>
          <w:szCs w:val="24"/>
          <w:highlight w:val="none"/>
        </w:rPr>
      </w:pPr>
      <w:r>
        <w:rPr>
          <w:rStyle w:val="34"/>
          <w:rFonts w:hint="eastAsia" w:ascii="宋体" w:hAnsi="宋体" w:eastAsia="宋体" w:cs="宋体"/>
          <w:b w:val="0"/>
          <w:bCs w:val="0"/>
          <w:color w:val="auto"/>
          <w:sz w:val="24"/>
          <w:szCs w:val="24"/>
          <w:highlight w:val="none"/>
        </w:rPr>
        <w:t>三、行业分类。采用复合分类方法对金融业企业进行分类。首先，按《国民经济行业分类》将金融业企业分为货币金融服务、资本市场服务、保险业、其他金融业四大类。其次，将货币金融服务分为货币银行服务和非货币银行服务两类，将其他金融业分为金融信托与管理服务、控股公司服务和其他未包括的金融业三类。最后，按经济性质将货币银行服务类金融企业划为银行业存款类金融机构；将非货币银行服务类金融业企业分为银行业非存款类金融机构，贷款公司、小额贷款公司及典当行；将资本市场服务类金融业企业划为证券业金融机构；将保险业金融企业划为保险业金融机构；将其他金融业企业分为信托公司，金融控股公司和除贷款公司、小额贷款公司、典当行以外的其他金融机构。</w:t>
      </w:r>
    </w:p>
    <w:p w14:paraId="199C178F">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4"/>
          <w:rFonts w:hint="eastAsia" w:ascii="宋体" w:hAnsi="宋体" w:eastAsia="宋体" w:cs="宋体"/>
          <w:b w:val="0"/>
          <w:bCs w:val="0"/>
          <w:color w:val="auto"/>
          <w:sz w:val="24"/>
          <w:szCs w:val="24"/>
          <w:highlight w:val="none"/>
        </w:rPr>
      </w:pPr>
      <w:r>
        <w:rPr>
          <w:rStyle w:val="34"/>
          <w:rFonts w:hint="eastAsia" w:ascii="宋体" w:hAnsi="宋体" w:eastAsia="宋体" w:cs="宋体"/>
          <w:b w:val="0"/>
          <w:bCs w:val="0"/>
          <w:color w:val="auto"/>
          <w:sz w:val="24"/>
          <w:szCs w:val="24"/>
          <w:highlight w:val="none"/>
        </w:rPr>
        <w:t>四、划型标准指标。采用一个完整会计年度中四个季度末法人并表口径的资产总额（信托公司为信托资产）平均值作为划型指标，该指标以监管部门数据为准。</w:t>
      </w:r>
    </w:p>
    <w:p w14:paraId="7793BE62">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4"/>
          <w:rFonts w:hint="eastAsia" w:ascii="宋体" w:hAnsi="宋体" w:eastAsia="宋体" w:cs="宋体"/>
          <w:b w:val="0"/>
          <w:bCs w:val="0"/>
          <w:color w:val="auto"/>
          <w:sz w:val="24"/>
          <w:szCs w:val="24"/>
          <w:highlight w:val="none"/>
        </w:rPr>
      </w:pPr>
      <w:r>
        <w:rPr>
          <w:rStyle w:val="34"/>
          <w:rFonts w:hint="eastAsia" w:ascii="宋体" w:hAnsi="宋体" w:eastAsia="宋体" w:cs="宋体"/>
          <w:b w:val="0"/>
          <w:bCs w:val="0"/>
          <w:color w:val="auto"/>
          <w:sz w:val="24"/>
          <w:szCs w:val="24"/>
          <w:highlight w:val="none"/>
        </w:rPr>
        <w:t>五、指标标准值。依据指标标准值，将各类金融业企业划分为大、中、小、微四个规模类型，中型企业标准上限及以上的为大型企业。</w:t>
      </w:r>
    </w:p>
    <w:p w14:paraId="520E443E">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4"/>
          <w:rFonts w:hint="eastAsia" w:ascii="宋体" w:hAnsi="宋体" w:eastAsia="宋体" w:cs="宋体"/>
          <w:b w:val="0"/>
          <w:bCs w:val="0"/>
          <w:color w:val="auto"/>
          <w:sz w:val="24"/>
          <w:szCs w:val="24"/>
          <w:highlight w:val="none"/>
        </w:rPr>
      </w:pPr>
      <w:r>
        <w:rPr>
          <w:rStyle w:val="34"/>
          <w:rFonts w:hint="eastAsia" w:ascii="宋体" w:hAnsi="宋体" w:eastAsia="宋体" w:cs="宋体"/>
          <w:b w:val="0"/>
          <w:bCs w:val="0"/>
          <w:color w:val="auto"/>
          <w:sz w:val="24"/>
          <w:szCs w:val="24"/>
          <w:highlight w:val="none"/>
        </w:rPr>
        <w:t>（一）银行业存款类金融机构。资产总额40000亿元以下的为中小微型企业。其中，资产总额5000亿元及以上的为中型企业，资产总额50亿元及以上的为小型企业，资产总额50亿元以下的为微型企业。</w:t>
      </w:r>
    </w:p>
    <w:p w14:paraId="3C947BA4">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4"/>
          <w:rFonts w:hint="eastAsia" w:ascii="宋体" w:hAnsi="宋体" w:eastAsia="宋体" w:cs="宋体"/>
          <w:b w:val="0"/>
          <w:bCs w:val="0"/>
          <w:color w:val="auto"/>
          <w:sz w:val="24"/>
          <w:szCs w:val="24"/>
          <w:highlight w:val="none"/>
        </w:rPr>
      </w:pPr>
      <w:r>
        <w:rPr>
          <w:rStyle w:val="34"/>
          <w:rFonts w:hint="eastAsia" w:ascii="宋体" w:hAnsi="宋体" w:eastAsia="宋体" w:cs="宋体"/>
          <w:b w:val="0"/>
          <w:bCs w:val="0"/>
          <w:color w:val="auto"/>
          <w:sz w:val="24"/>
          <w:szCs w:val="24"/>
          <w:highlight w:val="none"/>
        </w:rPr>
        <w:t>（二）银行业非存款类金融机构。资产总额1000亿元以下的为中小微企业。其中，资产总额200亿元及以上的为中型企业，资产总额50亿元及以上的为小型企业，资产总额50亿元以下的为微型企业。</w:t>
      </w:r>
    </w:p>
    <w:p w14:paraId="6D9795B3">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4"/>
          <w:rFonts w:hint="eastAsia" w:ascii="宋体" w:hAnsi="宋体" w:eastAsia="宋体" w:cs="宋体"/>
          <w:b w:val="0"/>
          <w:bCs w:val="0"/>
          <w:color w:val="auto"/>
          <w:sz w:val="24"/>
          <w:szCs w:val="24"/>
          <w:highlight w:val="none"/>
        </w:rPr>
      </w:pPr>
      <w:r>
        <w:rPr>
          <w:rStyle w:val="34"/>
          <w:rFonts w:hint="eastAsia" w:ascii="宋体" w:hAnsi="宋体" w:eastAsia="宋体" w:cs="宋体"/>
          <w:b w:val="0"/>
          <w:bCs w:val="0"/>
          <w:color w:val="auto"/>
          <w:sz w:val="24"/>
          <w:szCs w:val="24"/>
          <w:highlight w:val="none"/>
        </w:rPr>
        <w:t>（三）贷款公司、小额贷款公司及典当行。资产总额1000亿元以下的为中小微型企业。其中，资产总额200亿元及以上的为中型企业，资产总额50亿元及以上的为小型企业，资产总额50亿元以下的为微型企业。</w:t>
      </w:r>
    </w:p>
    <w:p w14:paraId="76FAEF44">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4"/>
          <w:rFonts w:hint="eastAsia" w:ascii="宋体" w:hAnsi="宋体" w:eastAsia="宋体" w:cs="宋体"/>
          <w:b w:val="0"/>
          <w:bCs w:val="0"/>
          <w:color w:val="auto"/>
          <w:sz w:val="24"/>
          <w:szCs w:val="24"/>
          <w:highlight w:val="none"/>
        </w:rPr>
      </w:pPr>
      <w:r>
        <w:rPr>
          <w:rStyle w:val="34"/>
          <w:rFonts w:hint="eastAsia" w:ascii="宋体" w:hAnsi="宋体" w:eastAsia="宋体" w:cs="宋体"/>
          <w:b w:val="0"/>
          <w:bCs w:val="0"/>
          <w:color w:val="auto"/>
          <w:sz w:val="24"/>
          <w:szCs w:val="24"/>
          <w:highlight w:val="none"/>
        </w:rPr>
        <w:t>（四）证券业金融机构。资产总额1000亿元以下的为中小微型企业。其中，资产总额100亿元及以上的为中型企业，资产总额10亿元及以上的为小型企业，资产总额10亿元以下的为微型企业。</w:t>
      </w:r>
    </w:p>
    <w:p w14:paraId="09CAA279">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4"/>
          <w:rFonts w:hint="eastAsia" w:ascii="宋体" w:hAnsi="宋体" w:eastAsia="宋体" w:cs="宋体"/>
          <w:b w:val="0"/>
          <w:bCs w:val="0"/>
          <w:color w:val="auto"/>
          <w:sz w:val="24"/>
          <w:szCs w:val="24"/>
          <w:highlight w:val="none"/>
        </w:rPr>
      </w:pPr>
      <w:r>
        <w:rPr>
          <w:rStyle w:val="34"/>
          <w:rFonts w:hint="eastAsia" w:ascii="宋体" w:hAnsi="宋体" w:eastAsia="宋体" w:cs="宋体"/>
          <w:b w:val="0"/>
          <w:bCs w:val="0"/>
          <w:color w:val="auto"/>
          <w:sz w:val="24"/>
          <w:szCs w:val="24"/>
          <w:highlight w:val="none"/>
        </w:rPr>
        <w:t>（五）保险业金融机构。资产总额5000亿元以下的为中小微型企业。其中，资产总额400亿元及以上的为中型企业，资产总额20亿元及以上的为小型企业，资产总额20亿元以下的为微型企业。</w:t>
      </w:r>
    </w:p>
    <w:p w14:paraId="1C3C0055">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4"/>
          <w:rFonts w:hint="eastAsia" w:ascii="宋体" w:hAnsi="宋体" w:eastAsia="宋体" w:cs="宋体"/>
          <w:b w:val="0"/>
          <w:bCs w:val="0"/>
          <w:color w:val="auto"/>
          <w:sz w:val="24"/>
          <w:szCs w:val="24"/>
          <w:highlight w:val="none"/>
        </w:rPr>
      </w:pPr>
      <w:r>
        <w:rPr>
          <w:rStyle w:val="34"/>
          <w:rFonts w:hint="eastAsia" w:ascii="宋体" w:hAnsi="宋体" w:eastAsia="宋体" w:cs="宋体"/>
          <w:b w:val="0"/>
          <w:bCs w:val="0"/>
          <w:color w:val="auto"/>
          <w:sz w:val="24"/>
          <w:szCs w:val="24"/>
          <w:highlight w:val="none"/>
        </w:rPr>
        <w:t>（六）信托公司。信托资产1000亿元以下的为中小微型企业。其中，信托资产400亿元及以上的为中型企业，信托资产20亿元及以上的为小型企业，信托资产20亿元以下的为微型企业。</w:t>
      </w:r>
    </w:p>
    <w:p w14:paraId="158B91FE">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4"/>
          <w:rFonts w:hint="eastAsia" w:ascii="宋体" w:hAnsi="宋体" w:eastAsia="宋体" w:cs="宋体"/>
          <w:b w:val="0"/>
          <w:bCs w:val="0"/>
          <w:color w:val="auto"/>
          <w:sz w:val="24"/>
          <w:szCs w:val="24"/>
          <w:highlight w:val="none"/>
        </w:rPr>
      </w:pPr>
      <w:r>
        <w:rPr>
          <w:rStyle w:val="34"/>
          <w:rFonts w:hint="eastAsia" w:ascii="宋体" w:hAnsi="宋体" w:eastAsia="宋体" w:cs="宋体"/>
          <w:b w:val="0"/>
          <w:bCs w:val="0"/>
          <w:color w:val="auto"/>
          <w:sz w:val="24"/>
          <w:szCs w:val="24"/>
          <w:highlight w:val="none"/>
        </w:rPr>
        <w:t>（七）金融控股公司。资产总额40000亿元以下的为中小微企业。其中，资产总额5000亿元及以上的为中型企业，资产总额50亿元及以上的为小型企业，资产总额50亿元以下的为微型企业。、</w:t>
      </w:r>
    </w:p>
    <w:p w14:paraId="78FD5B10">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4"/>
          <w:rFonts w:hint="eastAsia" w:ascii="宋体" w:hAnsi="宋体" w:eastAsia="宋体" w:cs="宋体"/>
          <w:b w:val="0"/>
          <w:bCs w:val="0"/>
          <w:color w:val="auto"/>
          <w:sz w:val="24"/>
          <w:szCs w:val="24"/>
          <w:highlight w:val="none"/>
          <w:lang w:eastAsia="zh-CN"/>
        </w:rPr>
      </w:pPr>
      <w:r>
        <w:rPr>
          <w:rStyle w:val="34"/>
          <w:rFonts w:hint="eastAsia" w:ascii="宋体" w:hAnsi="宋体" w:eastAsia="宋体" w:cs="宋体"/>
          <w:b w:val="0"/>
          <w:bCs w:val="0"/>
          <w:color w:val="auto"/>
          <w:sz w:val="24"/>
          <w:szCs w:val="24"/>
          <w:highlight w:val="none"/>
        </w:rPr>
        <w:t>(八)除贷款公司、小额贷款公司、典当行以外的其他金融机构。资产总额1000亿元以下的为中小微型企业。其中，资产总额200亿元及以上的为中型企业，资产总额50亿元及以上的为小型企业，资产总额50亿元以下的为微型企业</w:t>
      </w:r>
      <w:r>
        <w:rPr>
          <w:rStyle w:val="34"/>
          <w:rFonts w:hint="eastAsia" w:cs="宋体"/>
          <w:b w:val="0"/>
          <w:bCs w:val="0"/>
          <w:color w:val="auto"/>
          <w:sz w:val="24"/>
          <w:szCs w:val="24"/>
          <w:highlight w:val="none"/>
          <w:lang w:eastAsia="zh-CN"/>
        </w:rPr>
        <w:t>。</w:t>
      </w:r>
    </w:p>
    <w:p w14:paraId="064C9A6D">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4"/>
          <w:rFonts w:hint="eastAsia" w:ascii="宋体" w:hAnsi="宋体" w:eastAsia="宋体" w:cs="宋体"/>
          <w:b w:val="0"/>
          <w:bCs w:val="0"/>
          <w:color w:val="auto"/>
          <w:sz w:val="24"/>
          <w:szCs w:val="24"/>
          <w:highlight w:val="none"/>
        </w:rPr>
      </w:pPr>
      <w:r>
        <w:rPr>
          <w:rStyle w:val="34"/>
          <w:rFonts w:hint="eastAsia" w:ascii="宋体" w:hAnsi="宋体" w:eastAsia="宋体" w:cs="宋体"/>
          <w:b w:val="0"/>
          <w:bCs w:val="0"/>
          <w:color w:val="auto"/>
          <w:sz w:val="24"/>
          <w:szCs w:val="24"/>
          <w:highlight w:val="none"/>
        </w:rPr>
        <w:t>六、组织实施。由人民银行会同银监会、证监会、保监会和统计局联合组成金融业企业划型标准工作组，负责金融业企业划型标准的实施、后期评估和调整工作，按年组织金融业企业规模认定，并在人民银行建立的《金融业机构信息管理系统》中增加相应的字段模块。经过认定的金融业企业在系统中进行规模登记</w:t>
      </w:r>
      <w:r>
        <w:rPr>
          <w:rStyle w:val="34"/>
          <w:rFonts w:hint="eastAsia" w:cs="宋体"/>
          <w:b w:val="0"/>
          <w:bCs w:val="0"/>
          <w:color w:val="auto"/>
          <w:sz w:val="24"/>
          <w:szCs w:val="24"/>
          <w:highlight w:val="none"/>
          <w:lang w:eastAsia="zh-CN"/>
        </w:rPr>
        <w:t>，</w:t>
      </w:r>
      <w:r>
        <w:rPr>
          <w:rStyle w:val="34"/>
          <w:rFonts w:hint="eastAsia" w:ascii="宋体" w:hAnsi="宋体" w:eastAsia="宋体" w:cs="宋体"/>
          <w:b w:val="0"/>
          <w:bCs w:val="0"/>
          <w:color w:val="auto"/>
          <w:sz w:val="24"/>
          <w:szCs w:val="24"/>
          <w:highlight w:val="none"/>
        </w:rPr>
        <w:t>方便政府部门和社会各界查询使用。</w:t>
      </w:r>
    </w:p>
    <w:p w14:paraId="2C50E64F">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4"/>
          <w:rFonts w:hint="eastAsia" w:ascii="宋体" w:hAnsi="宋体" w:eastAsia="宋体" w:cs="宋体"/>
          <w:b w:val="0"/>
          <w:bCs w:val="0"/>
          <w:color w:val="auto"/>
          <w:sz w:val="24"/>
          <w:szCs w:val="24"/>
          <w:highlight w:val="none"/>
        </w:rPr>
      </w:pPr>
      <w:r>
        <w:rPr>
          <w:rStyle w:val="34"/>
          <w:rFonts w:hint="eastAsia" w:ascii="宋体" w:hAnsi="宋体" w:eastAsia="宋体" w:cs="宋体"/>
          <w:b w:val="0"/>
          <w:bCs w:val="0"/>
          <w:color w:val="auto"/>
          <w:sz w:val="24"/>
          <w:szCs w:val="24"/>
          <w:highlight w:val="none"/>
        </w:rPr>
        <w:t>七、标准值的评估和调整。金融业企业划型标准工作组每五年对划型标准值受经济发展与通货膨胀等因素的影响程度进行评估和调整。</w:t>
      </w:r>
    </w:p>
    <w:p w14:paraId="350BE408">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4"/>
          <w:rFonts w:hint="eastAsia" w:ascii="宋体" w:hAnsi="宋体" w:eastAsia="宋体" w:cs="宋体"/>
          <w:b w:val="0"/>
          <w:bCs w:val="0"/>
          <w:color w:val="auto"/>
          <w:sz w:val="24"/>
          <w:szCs w:val="24"/>
          <w:highlight w:val="none"/>
          <w:lang w:eastAsia="zh-CN"/>
        </w:rPr>
      </w:pPr>
      <w:r>
        <w:rPr>
          <w:rStyle w:val="34"/>
          <w:rFonts w:hint="eastAsia" w:ascii="宋体" w:hAnsi="宋体" w:eastAsia="宋体" w:cs="宋体"/>
          <w:b w:val="0"/>
          <w:bCs w:val="0"/>
          <w:color w:val="auto"/>
          <w:sz w:val="24"/>
          <w:szCs w:val="24"/>
          <w:highlight w:val="none"/>
        </w:rPr>
        <w:t>八、本规定的中型金融业企业标准上限即为大型金融业企业下限。国务院有关部门据此进行相关数据的统计分析，不得制定与本规定不一致的金融业企业划型标准</w:t>
      </w:r>
      <w:r>
        <w:rPr>
          <w:rStyle w:val="34"/>
          <w:rFonts w:hint="eastAsia" w:cs="宋体"/>
          <w:b w:val="0"/>
          <w:bCs w:val="0"/>
          <w:color w:val="auto"/>
          <w:sz w:val="24"/>
          <w:szCs w:val="24"/>
          <w:highlight w:val="none"/>
          <w:lang w:eastAsia="zh-CN"/>
        </w:rPr>
        <w:t>。</w:t>
      </w:r>
    </w:p>
    <w:p w14:paraId="61D82EC5">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4"/>
          <w:rFonts w:hint="eastAsia" w:ascii="宋体" w:hAnsi="宋体" w:eastAsia="宋体" w:cs="宋体"/>
          <w:b w:val="0"/>
          <w:bCs w:val="0"/>
          <w:color w:val="auto"/>
          <w:sz w:val="24"/>
          <w:szCs w:val="24"/>
          <w:highlight w:val="none"/>
          <w:lang w:eastAsia="zh-CN"/>
        </w:rPr>
      </w:pPr>
      <w:r>
        <w:rPr>
          <w:rStyle w:val="34"/>
          <w:rFonts w:hint="eastAsia" w:ascii="宋体" w:hAnsi="宋体" w:eastAsia="宋体" w:cs="宋体"/>
          <w:b w:val="0"/>
          <w:bCs w:val="0"/>
          <w:color w:val="auto"/>
          <w:sz w:val="24"/>
          <w:szCs w:val="24"/>
          <w:highlight w:val="none"/>
        </w:rPr>
        <w:t>九、融资担保公司参照本规定中“除贷款公司、小额贷款公司、典当行以外的其他金融机构”标准划型</w:t>
      </w:r>
      <w:r>
        <w:rPr>
          <w:rStyle w:val="34"/>
          <w:rFonts w:hint="eastAsia" w:cs="宋体"/>
          <w:b w:val="0"/>
          <w:bCs w:val="0"/>
          <w:color w:val="auto"/>
          <w:sz w:val="24"/>
          <w:szCs w:val="24"/>
          <w:highlight w:val="none"/>
          <w:lang w:eastAsia="zh-CN"/>
        </w:rPr>
        <w:t>。</w:t>
      </w:r>
    </w:p>
    <w:p w14:paraId="63FF3481">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4"/>
          <w:rFonts w:hint="eastAsia" w:ascii="宋体" w:hAnsi="宋体" w:eastAsia="宋体" w:cs="宋体"/>
          <w:b w:val="0"/>
          <w:bCs w:val="0"/>
          <w:color w:val="auto"/>
          <w:sz w:val="24"/>
          <w:szCs w:val="24"/>
          <w:highlight w:val="none"/>
        </w:rPr>
      </w:pPr>
      <w:r>
        <w:rPr>
          <w:rStyle w:val="34"/>
          <w:rFonts w:hint="eastAsia" w:ascii="宋体" w:hAnsi="宋体" w:eastAsia="宋体" w:cs="宋体"/>
          <w:b w:val="0"/>
          <w:bCs w:val="0"/>
          <w:color w:val="auto"/>
          <w:sz w:val="24"/>
          <w:szCs w:val="24"/>
          <w:highlight w:val="none"/>
        </w:rPr>
        <w:t>十、本规定由人民银行会同银监会、证监会、保监会和统计局负责解释。</w:t>
      </w:r>
    </w:p>
    <w:p w14:paraId="0114765C">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4"/>
          <w:rFonts w:hint="eastAsia" w:ascii="宋体" w:hAnsi="宋体" w:eastAsia="宋体" w:cs="宋体"/>
          <w:b w:val="0"/>
          <w:bCs w:val="0"/>
          <w:color w:val="auto"/>
          <w:sz w:val="24"/>
          <w:szCs w:val="24"/>
          <w:highlight w:val="none"/>
          <w:lang w:eastAsia="zh-CN"/>
        </w:rPr>
      </w:pPr>
      <w:r>
        <w:rPr>
          <w:rStyle w:val="34"/>
          <w:rFonts w:hint="eastAsia" w:ascii="宋体" w:hAnsi="宋体" w:eastAsia="宋体" w:cs="宋体"/>
          <w:b w:val="0"/>
          <w:bCs w:val="0"/>
          <w:color w:val="auto"/>
          <w:sz w:val="24"/>
          <w:szCs w:val="24"/>
          <w:highlight w:val="none"/>
        </w:rPr>
        <w:t>十一、本规定自发布之日起实施</w:t>
      </w:r>
      <w:r>
        <w:rPr>
          <w:rStyle w:val="34"/>
          <w:rFonts w:hint="eastAsia" w:cs="宋体"/>
          <w:b w:val="0"/>
          <w:bCs w:val="0"/>
          <w:color w:val="auto"/>
          <w:sz w:val="24"/>
          <w:szCs w:val="24"/>
          <w:highlight w:val="none"/>
          <w:lang w:eastAsia="zh-CN"/>
        </w:rPr>
        <w:t>。</w:t>
      </w:r>
    </w:p>
    <w:p w14:paraId="74D817B1">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4"/>
          <w:rFonts w:hint="eastAsia" w:ascii="宋体" w:hAnsi="宋体" w:eastAsia="宋体" w:cs="宋体"/>
          <w:b w:val="0"/>
          <w:bCs w:val="0"/>
          <w:color w:val="auto"/>
          <w:sz w:val="24"/>
          <w:szCs w:val="24"/>
          <w:highlight w:val="none"/>
        </w:rPr>
      </w:pPr>
    </w:p>
    <w:p w14:paraId="4033EFE1">
      <w:pPr>
        <w:keepNext w:val="0"/>
        <w:keepLines w:val="0"/>
        <w:pageBreakBefore w:val="0"/>
        <w:widowControl w:val="0"/>
        <w:kinsoku/>
        <w:wordWrap/>
        <w:overflowPunct/>
        <w:topLinePunct w:val="0"/>
        <w:autoSpaceDE/>
        <w:autoSpaceDN/>
        <w:bidi w:val="0"/>
        <w:adjustRightInd/>
        <w:snapToGrid/>
        <w:spacing w:line="400" w:lineRule="exact"/>
        <w:ind w:firstLine="483"/>
        <w:textAlignment w:val="auto"/>
        <w:rPr>
          <w:rStyle w:val="34"/>
          <w:rFonts w:hint="eastAsia" w:ascii="宋体" w:hAnsi="宋体" w:eastAsia="宋体" w:cs="宋体"/>
          <w:b w:val="0"/>
          <w:bCs w:val="0"/>
          <w:color w:val="auto"/>
          <w:sz w:val="24"/>
          <w:szCs w:val="24"/>
          <w:highlight w:val="none"/>
        </w:rPr>
      </w:pPr>
      <w:r>
        <w:rPr>
          <w:rStyle w:val="34"/>
          <w:rFonts w:hint="eastAsia" w:ascii="宋体" w:hAnsi="宋体" w:eastAsia="宋体" w:cs="宋体"/>
          <w:b w:val="0"/>
          <w:bCs w:val="0"/>
          <w:color w:val="auto"/>
          <w:sz w:val="24"/>
          <w:szCs w:val="24"/>
          <w:highlight w:val="none"/>
        </w:rPr>
        <w:t>附:金融业企业划型标准</w:t>
      </w:r>
    </w:p>
    <w:p w14:paraId="4CB94869">
      <w:pPr>
        <w:rPr>
          <w:rFonts w:cs="宋体"/>
          <w:color w:val="auto"/>
          <w:spacing w:val="6"/>
          <w:sz w:val="21"/>
          <w:szCs w:val="21"/>
          <w:highlight w:val="none"/>
        </w:rPr>
      </w:pPr>
    </w:p>
    <w:p w14:paraId="018058A8">
      <w:pPr>
        <w:rPr>
          <w:rFonts w:hint="eastAsia" w:cs="宋体"/>
          <w:color w:val="auto"/>
          <w:spacing w:val="6"/>
          <w:sz w:val="24"/>
          <w:szCs w:val="24"/>
          <w:highlight w:val="none"/>
          <w:lang w:val="en-US" w:eastAsia="zh-CN"/>
        </w:rPr>
      </w:pPr>
    </w:p>
    <w:p w14:paraId="5023B69E">
      <w:pPr>
        <w:rPr>
          <w:rFonts w:hint="eastAsia" w:cs="宋体"/>
          <w:color w:val="auto"/>
          <w:spacing w:val="6"/>
          <w:sz w:val="24"/>
          <w:szCs w:val="24"/>
          <w:highlight w:val="none"/>
          <w:lang w:val="en-US" w:eastAsia="zh-CN"/>
        </w:rPr>
      </w:pPr>
    </w:p>
    <w:p w14:paraId="5F7D4B83">
      <w:pPr>
        <w:rPr>
          <w:rFonts w:hint="eastAsia" w:cs="宋体"/>
          <w:color w:val="auto"/>
          <w:spacing w:val="6"/>
          <w:sz w:val="24"/>
          <w:szCs w:val="24"/>
          <w:highlight w:val="none"/>
          <w:lang w:val="en-US" w:eastAsia="zh-CN"/>
        </w:rPr>
      </w:pPr>
    </w:p>
    <w:p w14:paraId="20B74F82">
      <w:pPr>
        <w:rPr>
          <w:rFonts w:hint="eastAsia" w:cs="宋体"/>
          <w:color w:val="auto"/>
          <w:spacing w:val="6"/>
          <w:sz w:val="24"/>
          <w:szCs w:val="24"/>
          <w:highlight w:val="none"/>
          <w:lang w:val="en-US" w:eastAsia="zh-CN"/>
        </w:rPr>
      </w:pPr>
    </w:p>
    <w:p w14:paraId="568CB75F">
      <w:pPr>
        <w:rPr>
          <w:rFonts w:hint="eastAsia" w:cs="宋体"/>
          <w:color w:val="auto"/>
          <w:spacing w:val="6"/>
          <w:sz w:val="24"/>
          <w:szCs w:val="24"/>
          <w:highlight w:val="none"/>
          <w:lang w:val="en-US" w:eastAsia="zh-CN"/>
        </w:rPr>
      </w:pPr>
    </w:p>
    <w:p w14:paraId="46228B00">
      <w:pPr>
        <w:rPr>
          <w:rFonts w:hint="eastAsia" w:cs="宋体"/>
          <w:color w:val="auto"/>
          <w:spacing w:val="6"/>
          <w:sz w:val="24"/>
          <w:szCs w:val="24"/>
          <w:highlight w:val="none"/>
          <w:lang w:val="en-US" w:eastAsia="zh-CN"/>
        </w:rPr>
      </w:pPr>
    </w:p>
    <w:p w14:paraId="70123D58">
      <w:pPr>
        <w:rPr>
          <w:rFonts w:hint="eastAsia" w:cs="宋体"/>
          <w:color w:val="auto"/>
          <w:spacing w:val="6"/>
          <w:sz w:val="24"/>
          <w:szCs w:val="24"/>
          <w:highlight w:val="none"/>
          <w:lang w:val="en-US" w:eastAsia="zh-CN"/>
        </w:rPr>
      </w:pPr>
      <w:r>
        <w:rPr>
          <w:rFonts w:hint="eastAsia" w:cs="宋体"/>
          <w:color w:val="auto"/>
          <w:spacing w:val="6"/>
          <w:sz w:val="24"/>
          <w:szCs w:val="24"/>
          <w:highlight w:val="none"/>
          <w:lang w:val="en-US" w:eastAsia="zh-CN"/>
        </w:rPr>
        <w:t>附</w:t>
      </w:r>
    </w:p>
    <w:p w14:paraId="7EB97DB1">
      <w:pPr>
        <w:pStyle w:val="20"/>
        <w:keepNext w:val="0"/>
        <w:keepLines w:val="0"/>
        <w:pageBreakBefore w:val="0"/>
        <w:widowControl w:val="0"/>
        <w:kinsoku/>
        <w:wordWrap/>
        <w:overflowPunct/>
        <w:topLinePunct w:val="0"/>
        <w:autoSpaceDE/>
        <w:autoSpaceDN/>
        <w:bidi w:val="0"/>
        <w:adjustRightInd/>
        <w:snapToGrid/>
        <w:spacing w:before="100" w:after="100" w:line="240" w:lineRule="auto"/>
        <w:jc w:val="center"/>
        <w:textAlignment w:val="auto"/>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金融业企业划型标准</w:t>
      </w:r>
    </w:p>
    <w:tbl>
      <w:tblPr>
        <w:tblStyle w:val="32"/>
        <w:tblW w:w="8498" w:type="dxa"/>
        <w:tblInd w:w="1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9"/>
        <w:gridCol w:w="1168"/>
        <w:gridCol w:w="1817"/>
        <w:gridCol w:w="1143"/>
        <w:gridCol w:w="3251"/>
      </w:tblGrid>
      <w:tr w14:paraId="26CBC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Align w:val="center"/>
          </w:tcPr>
          <w:p w14:paraId="25F9841A">
            <w:pPr>
              <w:spacing w:line="240" w:lineRule="auto"/>
              <w:jc w:val="center"/>
              <w:rPr>
                <w:rFonts w:hint="eastAsia" w:ascii="宋体" w:hAnsi="宋体" w:eastAsia="宋体" w:cs="宋体"/>
                <w:b/>
                <w:color w:val="auto"/>
                <w:spacing w:val="6"/>
                <w:sz w:val="21"/>
                <w:szCs w:val="21"/>
                <w:highlight w:val="none"/>
                <w:vertAlign w:val="baseline"/>
                <w:lang w:val="en-US" w:eastAsia="zh-CN"/>
              </w:rPr>
            </w:pPr>
            <w:r>
              <w:rPr>
                <w:rFonts w:hint="eastAsia" w:ascii="宋体" w:hAnsi="宋体" w:eastAsia="宋体" w:cs="宋体"/>
                <w:b/>
                <w:color w:val="auto"/>
                <w:spacing w:val="6"/>
                <w:sz w:val="21"/>
                <w:szCs w:val="21"/>
                <w:highlight w:val="none"/>
                <w:vertAlign w:val="baseline"/>
                <w:lang w:val="en-US" w:eastAsia="zh-CN"/>
              </w:rPr>
              <w:t>行业</w:t>
            </w:r>
          </w:p>
        </w:tc>
        <w:tc>
          <w:tcPr>
            <w:tcW w:w="1817" w:type="dxa"/>
            <w:vAlign w:val="center"/>
          </w:tcPr>
          <w:p w14:paraId="3B4008BC">
            <w:pPr>
              <w:spacing w:line="240" w:lineRule="auto"/>
              <w:jc w:val="center"/>
              <w:rPr>
                <w:rFonts w:hint="eastAsia" w:ascii="宋体" w:hAnsi="宋体" w:eastAsia="宋体" w:cs="宋体"/>
                <w:b/>
                <w:color w:val="auto"/>
                <w:spacing w:val="6"/>
                <w:sz w:val="21"/>
                <w:szCs w:val="21"/>
                <w:highlight w:val="none"/>
                <w:vertAlign w:val="baseline"/>
                <w:lang w:val="en-US" w:eastAsia="zh-CN"/>
              </w:rPr>
            </w:pPr>
            <w:r>
              <w:rPr>
                <w:rFonts w:hint="eastAsia" w:ascii="宋体" w:hAnsi="宋体" w:eastAsia="宋体" w:cs="宋体"/>
                <w:b/>
                <w:color w:val="auto"/>
                <w:spacing w:val="6"/>
                <w:sz w:val="21"/>
                <w:szCs w:val="21"/>
                <w:highlight w:val="none"/>
                <w:vertAlign w:val="baseline"/>
                <w:lang w:val="en-US" w:eastAsia="zh-CN"/>
              </w:rPr>
              <w:t>类别</w:t>
            </w:r>
          </w:p>
        </w:tc>
        <w:tc>
          <w:tcPr>
            <w:tcW w:w="1143" w:type="dxa"/>
            <w:vAlign w:val="center"/>
          </w:tcPr>
          <w:p w14:paraId="199F0882">
            <w:pPr>
              <w:spacing w:line="240" w:lineRule="auto"/>
              <w:jc w:val="center"/>
              <w:rPr>
                <w:rFonts w:hint="eastAsia" w:ascii="宋体" w:hAnsi="宋体" w:eastAsia="宋体" w:cs="宋体"/>
                <w:b/>
                <w:color w:val="auto"/>
                <w:spacing w:val="6"/>
                <w:sz w:val="21"/>
                <w:szCs w:val="21"/>
                <w:highlight w:val="none"/>
                <w:vertAlign w:val="baseline"/>
                <w:lang w:val="en-US" w:eastAsia="zh-CN"/>
              </w:rPr>
            </w:pPr>
            <w:r>
              <w:rPr>
                <w:rFonts w:hint="eastAsia" w:ascii="宋体" w:hAnsi="宋体" w:eastAsia="宋体" w:cs="宋体"/>
                <w:b/>
                <w:color w:val="auto"/>
                <w:spacing w:val="6"/>
                <w:sz w:val="21"/>
                <w:szCs w:val="21"/>
                <w:highlight w:val="none"/>
                <w:vertAlign w:val="baseline"/>
                <w:lang w:val="en-US" w:eastAsia="zh-CN"/>
              </w:rPr>
              <w:t>类型</w:t>
            </w:r>
          </w:p>
        </w:tc>
        <w:tc>
          <w:tcPr>
            <w:tcW w:w="3251" w:type="dxa"/>
            <w:vAlign w:val="center"/>
          </w:tcPr>
          <w:p w14:paraId="715E5C3B">
            <w:pPr>
              <w:spacing w:line="240" w:lineRule="auto"/>
              <w:jc w:val="center"/>
              <w:rPr>
                <w:rFonts w:hint="eastAsia" w:ascii="宋体" w:hAnsi="宋体" w:eastAsia="宋体" w:cs="宋体"/>
                <w:b/>
                <w:color w:val="auto"/>
                <w:spacing w:val="6"/>
                <w:sz w:val="21"/>
                <w:szCs w:val="21"/>
                <w:highlight w:val="none"/>
                <w:vertAlign w:val="baseline"/>
                <w:lang w:val="en-US" w:eastAsia="zh-CN"/>
              </w:rPr>
            </w:pPr>
            <w:r>
              <w:rPr>
                <w:rFonts w:hint="eastAsia" w:ascii="宋体" w:hAnsi="宋体" w:eastAsia="宋体" w:cs="宋体"/>
                <w:b/>
                <w:color w:val="auto"/>
                <w:spacing w:val="6"/>
                <w:sz w:val="21"/>
                <w:szCs w:val="21"/>
                <w:highlight w:val="none"/>
                <w:vertAlign w:val="baseline"/>
                <w:lang w:val="en-US" w:eastAsia="zh-CN"/>
              </w:rPr>
              <w:t>资产总额</w:t>
            </w:r>
          </w:p>
        </w:tc>
      </w:tr>
      <w:tr w14:paraId="471A8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restart"/>
            <w:vAlign w:val="center"/>
          </w:tcPr>
          <w:p w14:paraId="1233504D">
            <w:pPr>
              <w:spacing w:line="240" w:lineRule="auto"/>
              <w:jc w:val="both"/>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货币金融服务</w:t>
            </w:r>
          </w:p>
        </w:tc>
        <w:tc>
          <w:tcPr>
            <w:tcW w:w="1168" w:type="dxa"/>
            <w:vMerge w:val="restart"/>
            <w:vAlign w:val="center"/>
          </w:tcPr>
          <w:p w14:paraId="4350DE89">
            <w:pPr>
              <w:spacing w:line="240" w:lineRule="auto"/>
              <w:jc w:val="both"/>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货币银行服务</w:t>
            </w:r>
          </w:p>
        </w:tc>
        <w:tc>
          <w:tcPr>
            <w:tcW w:w="1817" w:type="dxa"/>
            <w:vMerge w:val="restart"/>
            <w:vAlign w:val="center"/>
          </w:tcPr>
          <w:p w14:paraId="6D5CDA82">
            <w:pPr>
              <w:spacing w:line="240" w:lineRule="auto"/>
              <w:jc w:val="both"/>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银行业存款类金融机构</w:t>
            </w:r>
          </w:p>
        </w:tc>
        <w:tc>
          <w:tcPr>
            <w:tcW w:w="1143" w:type="dxa"/>
            <w:vAlign w:val="center"/>
          </w:tcPr>
          <w:p w14:paraId="18DA8CED">
            <w:pPr>
              <w:spacing w:line="240" w:lineRule="auto"/>
              <w:jc w:val="center"/>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中型</w:t>
            </w:r>
          </w:p>
        </w:tc>
        <w:tc>
          <w:tcPr>
            <w:tcW w:w="3251" w:type="dxa"/>
            <w:vAlign w:val="center"/>
          </w:tcPr>
          <w:p w14:paraId="6553EDDF">
            <w:pPr>
              <w:spacing w:line="240" w:lineRule="auto"/>
              <w:jc w:val="center"/>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5000亿元（含）至40000亿元</w:t>
            </w:r>
          </w:p>
        </w:tc>
      </w:tr>
      <w:tr w14:paraId="7DDCE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25D803A9">
            <w:pPr>
              <w:spacing w:line="240" w:lineRule="auto"/>
              <w:jc w:val="both"/>
              <w:rPr>
                <w:rFonts w:hint="eastAsia" w:ascii="宋体" w:hAnsi="宋体" w:eastAsia="宋体" w:cs="宋体"/>
                <w:color w:val="auto"/>
                <w:spacing w:val="6"/>
                <w:sz w:val="21"/>
                <w:szCs w:val="21"/>
                <w:highlight w:val="none"/>
                <w:vertAlign w:val="baseline"/>
              </w:rPr>
            </w:pPr>
          </w:p>
        </w:tc>
        <w:tc>
          <w:tcPr>
            <w:tcW w:w="1168" w:type="dxa"/>
            <w:vMerge w:val="continue"/>
            <w:vAlign w:val="center"/>
          </w:tcPr>
          <w:p w14:paraId="45CFC2BC">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continue"/>
            <w:vAlign w:val="center"/>
          </w:tcPr>
          <w:p w14:paraId="392AD96A">
            <w:pPr>
              <w:spacing w:line="240" w:lineRule="auto"/>
              <w:jc w:val="both"/>
              <w:rPr>
                <w:rFonts w:hint="eastAsia" w:ascii="宋体" w:hAnsi="宋体" w:eastAsia="宋体" w:cs="宋体"/>
                <w:color w:val="auto"/>
                <w:spacing w:val="6"/>
                <w:sz w:val="21"/>
                <w:szCs w:val="21"/>
                <w:highlight w:val="none"/>
                <w:vertAlign w:val="baseline"/>
              </w:rPr>
            </w:pPr>
          </w:p>
        </w:tc>
        <w:tc>
          <w:tcPr>
            <w:tcW w:w="1143" w:type="dxa"/>
            <w:vAlign w:val="center"/>
          </w:tcPr>
          <w:p w14:paraId="146F4352">
            <w:pPr>
              <w:spacing w:line="240" w:lineRule="auto"/>
              <w:jc w:val="center"/>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小型</w:t>
            </w:r>
          </w:p>
        </w:tc>
        <w:tc>
          <w:tcPr>
            <w:tcW w:w="3251" w:type="dxa"/>
            <w:shd w:val="clear" w:color="auto" w:fill="auto"/>
            <w:vAlign w:val="center"/>
          </w:tcPr>
          <w:p w14:paraId="0C955763">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50亿元（含）至5000亿元</w:t>
            </w:r>
          </w:p>
        </w:tc>
      </w:tr>
      <w:tr w14:paraId="73826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244DEC46">
            <w:pPr>
              <w:spacing w:line="240" w:lineRule="auto"/>
              <w:jc w:val="both"/>
              <w:rPr>
                <w:rFonts w:hint="eastAsia" w:ascii="宋体" w:hAnsi="宋体" w:eastAsia="宋体" w:cs="宋体"/>
                <w:color w:val="auto"/>
                <w:spacing w:val="6"/>
                <w:sz w:val="21"/>
                <w:szCs w:val="21"/>
                <w:highlight w:val="none"/>
                <w:vertAlign w:val="baseline"/>
              </w:rPr>
            </w:pPr>
          </w:p>
        </w:tc>
        <w:tc>
          <w:tcPr>
            <w:tcW w:w="1168" w:type="dxa"/>
            <w:vMerge w:val="continue"/>
            <w:vAlign w:val="center"/>
          </w:tcPr>
          <w:p w14:paraId="147E3A4E">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continue"/>
            <w:vAlign w:val="center"/>
          </w:tcPr>
          <w:p w14:paraId="543C1290">
            <w:pPr>
              <w:spacing w:line="240" w:lineRule="auto"/>
              <w:jc w:val="both"/>
              <w:rPr>
                <w:rFonts w:hint="eastAsia" w:ascii="宋体" w:hAnsi="宋体" w:eastAsia="宋体" w:cs="宋体"/>
                <w:color w:val="auto"/>
                <w:spacing w:val="6"/>
                <w:sz w:val="21"/>
                <w:szCs w:val="21"/>
                <w:highlight w:val="none"/>
                <w:vertAlign w:val="baseline"/>
              </w:rPr>
            </w:pPr>
          </w:p>
        </w:tc>
        <w:tc>
          <w:tcPr>
            <w:tcW w:w="1143" w:type="dxa"/>
            <w:vAlign w:val="center"/>
          </w:tcPr>
          <w:p w14:paraId="0A8569B9">
            <w:pPr>
              <w:spacing w:line="240" w:lineRule="auto"/>
              <w:jc w:val="center"/>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微型</w:t>
            </w:r>
          </w:p>
        </w:tc>
        <w:tc>
          <w:tcPr>
            <w:tcW w:w="3251" w:type="dxa"/>
            <w:vAlign w:val="center"/>
          </w:tcPr>
          <w:p w14:paraId="29C9E0F4">
            <w:pPr>
              <w:spacing w:line="240" w:lineRule="auto"/>
              <w:jc w:val="center"/>
              <w:rPr>
                <w:rFonts w:hint="eastAsia" w:ascii="宋体" w:hAnsi="宋体" w:eastAsia="宋体" w:cs="宋体"/>
                <w:color w:val="auto"/>
                <w:spacing w:val="6"/>
                <w:sz w:val="21"/>
                <w:szCs w:val="21"/>
                <w:highlight w:val="none"/>
                <w:vertAlign w:val="baseline"/>
                <w:lang w:val="en-US"/>
              </w:rPr>
            </w:pPr>
            <w:r>
              <w:rPr>
                <w:rFonts w:hint="eastAsia" w:ascii="宋体" w:hAnsi="宋体" w:eastAsia="宋体" w:cs="宋体"/>
                <w:color w:val="auto"/>
                <w:spacing w:val="6"/>
                <w:sz w:val="21"/>
                <w:szCs w:val="21"/>
                <w:highlight w:val="none"/>
                <w:vertAlign w:val="baseline"/>
                <w:lang w:val="en-US" w:eastAsia="zh-CN"/>
              </w:rPr>
              <w:t>50亿元以下</w:t>
            </w:r>
          </w:p>
        </w:tc>
      </w:tr>
      <w:tr w14:paraId="1C15D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22A12E1E">
            <w:pPr>
              <w:spacing w:line="240" w:lineRule="auto"/>
              <w:jc w:val="both"/>
              <w:rPr>
                <w:rFonts w:hint="eastAsia" w:ascii="宋体" w:hAnsi="宋体" w:eastAsia="宋体" w:cs="宋体"/>
                <w:color w:val="auto"/>
                <w:spacing w:val="6"/>
                <w:sz w:val="21"/>
                <w:szCs w:val="21"/>
                <w:highlight w:val="none"/>
                <w:vertAlign w:val="baseline"/>
              </w:rPr>
            </w:pPr>
          </w:p>
        </w:tc>
        <w:tc>
          <w:tcPr>
            <w:tcW w:w="1168" w:type="dxa"/>
            <w:vMerge w:val="restart"/>
            <w:vAlign w:val="center"/>
          </w:tcPr>
          <w:p w14:paraId="56574B6D">
            <w:pPr>
              <w:spacing w:line="240" w:lineRule="auto"/>
              <w:jc w:val="both"/>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非货币银行服务</w:t>
            </w:r>
          </w:p>
        </w:tc>
        <w:tc>
          <w:tcPr>
            <w:tcW w:w="1817" w:type="dxa"/>
            <w:vMerge w:val="restart"/>
            <w:vAlign w:val="center"/>
          </w:tcPr>
          <w:p w14:paraId="7DD2F497">
            <w:pPr>
              <w:spacing w:line="240" w:lineRule="auto"/>
              <w:jc w:val="both"/>
              <w:rPr>
                <w:rFonts w:hint="eastAsia" w:ascii="宋体" w:hAnsi="宋体" w:eastAsia="宋体" w:cs="宋体"/>
                <w:color w:val="auto"/>
                <w:spacing w:val="6"/>
                <w:sz w:val="21"/>
                <w:szCs w:val="21"/>
                <w:highlight w:val="none"/>
                <w:vertAlign w:val="baseline"/>
              </w:rPr>
            </w:pPr>
            <w:r>
              <w:rPr>
                <w:rFonts w:hint="eastAsia" w:ascii="宋体" w:hAnsi="宋体" w:eastAsia="宋体" w:cs="宋体"/>
                <w:color w:val="auto"/>
                <w:spacing w:val="6"/>
                <w:sz w:val="21"/>
                <w:szCs w:val="21"/>
                <w:highlight w:val="none"/>
                <w:vertAlign w:val="baseline"/>
                <w:lang w:val="en-US" w:eastAsia="zh-CN"/>
              </w:rPr>
              <w:t>银行业非存款类金融机构</w:t>
            </w:r>
          </w:p>
        </w:tc>
        <w:tc>
          <w:tcPr>
            <w:tcW w:w="1143" w:type="dxa"/>
            <w:shd w:val="clear" w:color="auto" w:fill="auto"/>
            <w:vAlign w:val="center"/>
          </w:tcPr>
          <w:p w14:paraId="46609FB8">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中型</w:t>
            </w:r>
          </w:p>
        </w:tc>
        <w:tc>
          <w:tcPr>
            <w:tcW w:w="3251" w:type="dxa"/>
            <w:shd w:val="clear" w:color="auto" w:fill="auto"/>
            <w:vAlign w:val="center"/>
          </w:tcPr>
          <w:p w14:paraId="288F5BE5">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200亿元（含）至1000亿元</w:t>
            </w:r>
          </w:p>
        </w:tc>
      </w:tr>
      <w:tr w14:paraId="29DE0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40CFE49B">
            <w:pPr>
              <w:spacing w:line="240" w:lineRule="auto"/>
              <w:jc w:val="both"/>
              <w:rPr>
                <w:rFonts w:hint="eastAsia" w:ascii="宋体" w:hAnsi="宋体" w:eastAsia="宋体" w:cs="宋体"/>
                <w:color w:val="auto"/>
                <w:spacing w:val="6"/>
                <w:sz w:val="21"/>
                <w:szCs w:val="21"/>
                <w:highlight w:val="none"/>
                <w:vertAlign w:val="baseline"/>
              </w:rPr>
            </w:pPr>
          </w:p>
        </w:tc>
        <w:tc>
          <w:tcPr>
            <w:tcW w:w="1168" w:type="dxa"/>
            <w:vMerge w:val="continue"/>
            <w:vAlign w:val="center"/>
          </w:tcPr>
          <w:p w14:paraId="1EF9025F">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continue"/>
            <w:vAlign w:val="center"/>
          </w:tcPr>
          <w:p w14:paraId="6CC015F9">
            <w:pPr>
              <w:spacing w:line="240" w:lineRule="auto"/>
              <w:jc w:val="both"/>
              <w:rPr>
                <w:rFonts w:hint="eastAsia" w:ascii="宋体" w:hAnsi="宋体" w:eastAsia="宋体" w:cs="宋体"/>
                <w:color w:val="auto"/>
                <w:spacing w:val="6"/>
                <w:sz w:val="21"/>
                <w:szCs w:val="21"/>
                <w:highlight w:val="none"/>
                <w:vertAlign w:val="baseline"/>
              </w:rPr>
            </w:pPr>
          </w:p>
        </w:tc>
        <w:tc>
          <w:tcPr>
            <w:tcW w:w="1143" w:type="dxa"/>
            <w:shd w:val="clear" w:color="auto" w:fill="auto"/>
            <w:vAlign w:val="center"/>
          </w:tcPr>
          <w:p w14:paraId="0699B1D7">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小型</w:t>
            </w:r>
          </w:p>
        </w:tc>
        <w:tc>
          <w:tcPr>
            <w:tcW w:w="3251" w:type="dxa"/>
            <w:shd w:val="clear" w:color="auto" w:fill="auto"/>
            <w:vAlign w:val="center"/>
          </w:tcPr>
          <w:p w14:paraId="56E78EC6">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50亿元（含）至200亿元</w:t>
            </w:r>
          </w:p>
        </w:tc>
      </w:tr>
      <w:tr w14:paraId="0CA59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6EE674B4">
            <w:pPr>
              <w:spacing w:line="240" w:lineRule="auto"/>
              <w:jc w:val="both"/>
              <w:rPr>
                <w:rFonts w:hint="eastAsia" w:ascii="宋体" w:hAnsi="宋体" w:eastAsia="宋体" w:cs="宋体"/>
                <w:color w:val="auto"/>
                <w:spacing w:val="6"/>
                <w:sz w:val="21"/>
                <w:szCs w:val="21"/>
                <w:highlight w:val="none"/>
                <w:vertAlign w:val="baseline"/>
              </w:rPr>
            </w:pPr>
          </w:p>
        </w:tc>
        <w:tc>
          <w:tcPr>
            <w:tcW w:w="1168" w:type="dxa"/>
            <w:vMerge w:val="continue"/>
            <w:vAlign w:val="center"/>
          </w:tcPr>
          <w:p w14:paraId="217EDCC4">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continue"/>
            <w:vAlign w:val="center"/>
          </w:tcPr>
          <w:p w14:paraId="7DEB5E22">
            <w:pPr>
              <w:spacing w:line="240" w:lineRule="auto"/>
              <w:jc w:val="both"/>
              <w:rPr>
                <w:rFonts w:hint="eastAsia" w:ascii="宋体" w:hAnsi="宋体" w:eastAsia="宋体" w:cs="宋体"/>
                <w:color w:val="auto"/>
                <w:spacing w:val="6"/>
                <w:sz w:val="21"/>
                <w:szCs w:val="21"/>
                <w:highlight w:val="none"/>
                <w:vertAlign w:val="baseline"/>
              </w:rPr>
            </w:pPr>
          </w:p>
        </w:tc>
        <w:tc>
          <w:tcPr>
            <w:tcW w:w="1143" w:type="dxa"/>
            <w:shd w:val="clear" w:color="auto" w:fill="auto"/>
            <w:vAlign w:val="center"/>
          </w:tcPr>
          <w:p w14:paraId="24E9D4A7">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微型</w:t>
            </w:r>
          </w:p>
        </w:tc>
        <w:tc>
          <w:tcPr>
            <w:tcW w:w="3251" w:type="dxa"/>
            <w:vAlign w:val="center"/>
          </w:tcPr>
          <w:p w14:paraId="00D701CA">
            <w:pPr>
              <w:spacing w:line="240" w:lineRule="auto"/>
              <w:jc w:val="center"/>
              <w:rPr>
                <w:rFonts w:hint="eastAsia" w:ascii="宋体" w:hAnsi="宋体" w:eastAsia="宋体" w:cs="宋体"/>
                <w:color w:val="auto"/>
                <w:spacing w:val="6"/>
                <w:sz w:val="21"/>
                <w:szCs w:val="21"/>
                <w:highlight w:val="none"/>
                <w:vertAlign w:val="baseline"/>
              </w:rPr>
            </w:pPr>
            <w:r>
              <w:rPr>
                <w:rFonts w:hint="eastAsia" w:ascii="宋体" w:hAnsi="宋体" w:eastAsia="宋体" w:cs="宋体"/>
                <w:color w:val="auto"/>
                <w:spacing w:val="6"/>
                <w:sz w:val="21"/>
                <w:szCs w:val="21"/>
                <w:highlight w:val="none"/>
                <w:vertAlign w:val="baseline"/>
                <w:lang w:val="en-US" w:eastAsia="zh-CN"/>
              </w:rPr>
              <w:t>50亿元以下</w:t>
            </w:r>
          </w:p>
        </w:tc>
      </w:tr>
      <w:tr w14:paraId="4B534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6D041F7C">
            <w:pPr>
              <w:spacing w:line="240" w:lineRule="auto"/>
              <w:jc w:val="both"/>
              <w:rPr>
                <w:rFonts w:hint="eastAsia" w:ascii="宋体" w:hAnsi="宋体" w:eastAsia="宋体" w:cs="宋体"/>
                <w:color w:val="auto"/>
                <w:spacing w:val="6"/>
                <w:sz w:val="21"/>
                <w:szCs w:val="21"/>
                <w:highlight w:val="none"/>
                <w:vertAlign w:val="baseline"/>
              </w:rPr>
            </w:pPr>
          </w:p>
        </w:tc>
        <w:tc>
          <w:tcPr>
            <w:tcW w:w="1168" w:type="dxa"/>
            <w:vMerge w:val="continue"/>
            <w:vAlign w:val="center"/>
          </w:tcPr>
          <w:p w14:paraId="295688AF">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restart"/>
            <w:vAlign w:val="center"/>
          </w:tcPr>
          <w:p w14:paraId="2420EBEF">
            <w:pPr>
              <w:spacing w:line="240" w:lineRule="auto"/>
              <w:jc w:val="both"/>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贷款公司、小额贷款公司及典当行</w:t>
            </w:r>
          </w:p>
        </w:tc>
        <w:tc>
          <w:tcPr>
            <w:tcW w:w="1143" w:type="dxa"/>
            <w:shd w:val="clear" w:color="auto" w:fill="auto"/>
            <w:vAlign w:val="center"/>
          </w:tcPr>
          <w:p w14:paraId="705DE846">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中型</w:t>
            </w:r>
          </w:p>
        </w:tc>
        <w:tc>
          <w:tcPr>
            <w:tcW w:w="3251" w:type="dxa"/>
            <w:shd w:val="clear" w:color="auto" w:fill="auto"/>
            <w:vAlign w:val="center"/>
          </w:tcPr>
          <w:p w14:paraId="007BBC2E">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200亿元（含）至1000亿元</w:t>
            </w:r>
          </w:p>
        </w:tc>
      </w:tr>
      <w:tr w14:paraId="39E6E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1180FDC1">
            <w:pPr>
              <w:spacing w:line="240" w:lineRule="auto"/>
              <w:jc w:val="both"/>
              <w:rPr>
                <w:rFonts w:hint="eastAsia" w:ascii="宋体" w:hAnsi="宋体" w:eastAsia="宋体" w:cs="宋体"/>
                <w:color w:val="auto"/>
                <w:spacing w:val="6"/>
                <w:sz w:val="21"/>
                <w:szCs w:val="21"/>
                <w:highlight w:val="none"/>
                <w:vertAlign w:val="baseline"/>
              </w:rPr>
            </w:pPr>
          </w:p>
        </w:tc>
        <w:tc>
          <w:tcPr>
            <w:tcW w:w="1168" w:type="dxa"/>
            <w:vMerge w:val="continue"/>
            <w:vAlign w:val="center"/>
          </w:tcPr>
          <w:p w14:paraId="078270CB">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continue"/>
            <w:vAlign w:val="center"/>
          </w:tcPr>
          <w:p w14:paraId="0CBA7696">
            <w:pPr>
              <w:spacing w:line="240" w:lineRule="auto"/>
              <w:jc w:val="both"/>
              <w:rPr>
                <w:rFonts w:hint="eastAsia" w:ascii="宋体" w:hAnsi="宋体" w:eastAsia="宋体" w:cs="宋体"/>
                <w:color w:val="auto"/>
                <w:spacing w:val="6"/>
                <w:sz w:val="21"/>
                <w:szCs w:val="21"/>
                <w:highlight w:val="none"/>
                <w:vertAlign w:val="baseline"/>
              </w:rPr>
            </w:pPr>
          </w:p>
        </w:tc>
        <w:tc>
          <w:tcPr>
            <w:tcW w:w="1143" w:type="dxa"/>
            <w:shd w:val="clear" w:color="auto" w:fill="auto"/>
            <w:vAlign w:val="center"/>
          </w:tcPr>
          <w:p w14:paraId="2EA1A43D">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小型</w:t>
            </w:r>
          </w:p>
        </w:tc>
        <w:tc>
          <w:tcPr>
            <w:tcW w:w="3251" w:type="dxa"/>
            <w:shd w:val="clear" w:color="auto" w:fill="auto"/>
            <w:vAlign w:val="center"/>
          </w:tcPr>
          <w:p w14:paraId="220FC05B">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50亿元（含）至200亿元</w:t>
            </w:r>
          </w:p>
        </w:tc>
      </w:tr>
      <w:tr w14:paraId="7A6B2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1C9F23C9">
            <w:pPr>
              <w:spacing w:line="240" w:lineRule="auto"/>
              <w:jc w:val="both"/>
              <w:rPr>
                <w:rFonts w:hint="eastAsia" w:ascii="宋体" w:hAnsi="宋体" w:eastAsia="宋体" w:cs="宋体"/>
                <w:color w:val="auto"/>
                <w:spacing w:val="6"/>
                <w:sz w:val="21"/>
                <w:szCs w:val="21"/>
                <w:highlight w:val="none"/>
                <w:vertAlign w:val="baseline"/>
              </w:rPr>
            </w:pPr>
          </w:p>
        </w:tc>
        <w:tc>
          <w:tcPr>
            <w:tcW w:w="1168" w:type="dxa"/>
            <w:vMerge w:val="continue"/>
            <w:vAlign w:val="center"/>
          </w:tcPr>
          <w:p w14:paraId="693061F1">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continue"/>
            <w:vAlign w:val="center"/>
          </w:tcPr>
          <w:p w14:paraId="7241FB1E">
            <w:pPr>
              <w:spacing w:line="240" w:lineRule="auto"/>
              <w:jc w:val="both"/>
              <w:rPr>
                <w:rFonts w:hint="eastAsia" w:ascii="宋体" w:hAnsi="宋体" w:eastAsia="宋体" w:cs="宋体"/>
                <w:color w:val="auto"/>
                <w:spacing w:val="6"/>
                <w:sz w:val="21"/>
                <w:szCs w:val="21"/>
                <w:highlight w:val="none"/>
                <w:vertAlign w:val="baseline"/>
              </w:rPr>
            </w:pPr>
          </w:p>
        </w:tc>
        <w:tc>
          <w:tcPr>
            <w:tcW w:w="1143" w:type="dxa"/>
            <w:shd w:val="clear" w:color="auto" w:fill="auto"/>
            <w:vAlign w:val="center"/>
          </w:tcPr>
          <w:p w14:paraId="6076913A">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微型</w:t>
            </w:r>
          </w:p>
        </w:tc>
        <w:tc>
          <w:tcPr>
            <w:tcW w:w="3251" w:type="dxa"/>
            <w:shd w:val="clear" w:color="auto" w:fill="auto"/>
            <w:vAlign w:val="center"/>
          </w:tcPr>
          <w:p w14:paraId="03E9BD7B">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50亿元以下</w:t>
            </w:r>
          </w:p>
        </w:tc>
      </w:tr>
      <w:tr w14:paraId="10E75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Merge w:val="restart"/>
            <w:vAlign w:val="center"/>
          </w:tcPr>
          <w:p w14:paraId="3A884F55">
            <w:pPr>
              <w:spacing w:line="240" w:lineRule="auto"/>
              <w:jc w:val="both"/>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资本市场服务</w:t>
            </w:r>
          </w:p>
        </w:tc>
        <w:tc>
          <w:tcPr>
            <w:tcW w:w="1817" w:type="dxa"/>
            <w:vMerge w:val="restart"/>
            <w:vAlign w:val="center"/>
          </w:tcPr>
          <w:p w14:paraId="6E78CF81">
            <w:pPr>
              <w:spacing w:line="240" w:lineRule="auto"/>
              <w:jc w:val="both"/>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证券业金融机构</w:t>
            </w:r>
          </w:p>
        </w:tc>
        <w:tc>
          <w:tcPr>
            <w:tcW w:w="1143" w:type="dxa"/>
            <w:shd w:val="clear" w:color="auto" w:fill="auto"/>
            <w:vAlign w:val="center"/>
          </w:tcPr>
          <w:p w14:paraId="04142618">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中型</w:t>
            </w:r>
          </w:p>
        </w:tc>
        <w:tc>
          <w:tcPr>
            <w:tcW w:w="3251" w:type="dxa"/>
            <w:shd w:val="clear" w:color="auto" w:fill="auto"/>
            <w:vAlign w:val="center"/>
          </w:tcPr>
          <w:p w14:paraId="4444928A">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100亿元（含）至1000亿元</w:t>
            </w:r>
          </w:p>
        </w:tc>
      </w:tr>
      <w:tr w14:paraId="0F1C8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Merge w:val="continue"/>
            <w:vAlign w:val="center"/>
          </w:tcPr>
          <w:p w14:paraId="43B06C7E">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continue"/>
            <w:vAlign w:val="center"/>
          </w:tcPr>
          <w:p w14:paraId="59421CAF">
            <w:pPr>
              <w:spacing w:line="240" w:lineRule="auto"/>
              <w:jc w:val="both"/>
              <w:rPr>
                <w:rFonts w:hint="eastAsia" w:ascii="宋体" w:hAnsi="宋体" w:eastAsia="宋体" w:cs="宋体"/>
                <w:color w:val="auto"/>
                <w:spacing w:val="6"/>
                <w:sz w:val="21"/>
                <w:szCs w:val="21"/>
                <w:highlight w:val="none"/>
                <w:vertAlign w:val="baseline"/>
              </w:rPr>
            </w:pPr>
          </w:p>
        </w:tc>
        <w:tc>
          <w:tcPr>
            <w:tcW w:w="1143" w:type="dxa"/>
            <w:shd w:val="clear" w:color="auto" w:fill="auto"/>
            <w:vAlign w:val="center"/>
          </w:tcPr>
          <w:p w14:paraId="54B5A7F4">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小型</w:t>
            </w:r>
          </w:p>
        </w:tc>
        <w:tc>
          <w:tcPr>
            <w:tcW w:w="3251" w:type="dxa"/>
            <w:shd w:val="clear" w:color="auto" w:fill="auto"/>
            <w:vAlign w:val="center"/>
          </w:tcPr>
          <w:p w14:paraId="1A9C4DFF">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10亿元（含）至100亿元</w:t>
            </w:r>
          </w:p>
        </w:tc>
      </w:tr>
      <w:tr w14:paraId="01E76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Merge w:val="continue"/>
            <w:vAlign w:val="center"/>
          </w:tcPr>
          <w:p w14:paraId="465FECCF">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continue"/>
            <w:vAlign w:val="center"/>
          </w:tcPr>
          <w:p w14:paraId="7ADD78C9">
            <w:pPr>
              <w:spacing w:line="240" w:lineRule="auto"/>
              <w:jc w:val="both"/>
              <w:rPr>
                <w:rFonts w:hint="eastAsia" w:ascii="宋体" w:hAnsi="宋体" w:eastAsia="宋体" w:cs="宋体"/>
                <w:color w:val="auto"/>
                <w:spacing w:val="6"/>
                <w:sz w:val="21"/>
                <w:szCs w:val="21"/>
                <w:highlight w:val="none"/>
                <w:vertAlign w:val="baseline"/>
              </w:rPr>
            </w:pPr>
          </w:p>
        </w:tc>
        <w:tc>
          <w:tcPr>
            <w:tcW w:w="1143" w:type="dxa"/>
            <w:shd w:val="clear" w:color="auto" w:fill="auto"/>
            <w:vAlign w:val="center"/>
          </w:tcPr>
          <w:p w14:paraId="60F7AF91">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微型</w:t>
            </w:r>
          </w:p>
        </w:tc>
        <w:tc>
          <w:tcPr>
            <w:tcW w:w="3251" w:type="dxa"/>
            <w:shd w:val="clear" w:color="auto" w:fill="auto"/>
            <w:vAlign w:val="center"/>
          </w:tcPr>
          <w:p w14:paraId="43D0131F">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10亿元以下</w:t>
            </w:r>
          </w:p>
        </w:tc>
      </w:tr>
      <w:tr w14:paraId="33147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Merge w:val="restart"/>
            <w:vAlign w:val="center"/>
          </w:tcPr>
          <w:p w14:paraId="7FAED341">
            <w:pPr>
              <w:spacing w:line="240" w:lineRule="auto"/>
              <w:jc w:val="both"/>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保险业</w:t>
            </w:r>
          </w:p>
        </w:tc>
        <w:tc>
          <w:tcPr>
            <w:tcW w:w="1817" w:type="dxa"/>
            <w:vMerge w:val="restart"/>
            <w:vAlign w:val="center"/>
          </w:tcPr>
          <w:p w14:paraId="73A1B699">
            <w:pPr>
              <w:spacing w:line="240" w:lineRule="auto"/>
              <w:jc w:val="both"/>
              <w:rPr>
                <w:rFonts w:hint="eastAsia" w:ascii="宋体" w:hAnsi="宋体" w:eastAsia="宋体" w:cs="宋体"/>
                <w:color w:val="auto"/>
                <w:spacing w:val="6"/>
                <w:sz w:val="21"/>
                <w:szCs w:val="21"/>
                <w:highlight w:val="none"/>
                <w:vertAlign w:val="baseline"/>
              </w:rPr>
            </w:pPr>
            <w:r>
              <w:rPr>
                <w:rFonts w:hint="eastAsia" w:ascii="宋体" w:hAnsi="宋体" w:eastAsia="宋体" w:cs="宋体"/>
                <w:color w:val="auto"/>
                <w:spacing w:val="6"/>
                <w:sz w:val="21"/>
                <w:szCs w:val="21"/>
                <w:highlight w:val="none"/>
                <w:vertAlign w:val="baseline"/>
                <w:lang w:val="en-US" w:eastAsia="zh-CN"/>
              </w:rPr>
              <w:t>保险业金融机构</w:t>
            </w:r>
          </w:p>
        </w:tc>
        <w:tc>
          <w:tcPr>
            <w:tcW w:w="1143" w:type="dxa"/>
            <w:shd w:val="clear" w:color="auto" w:fill="auto"/>
            <w:vAlign w:val="center"/>
          </w:tcPr>
          <w:p w14:paraId="7046BDEC">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中型</w:t>
            </w:r>
          </w:p>
        </w:tc>
        <w:tc>
          <w:tcPr>
            <w:tcW w:w="3251" w:type="dxa"/>
            <w:shd w:val="clear" w:color="auto" w:fill="auto"/>
            <w:vAlign w:val="center"/>
          </w:tcPr>
          <w:p w14:paraId="41B9BB44">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400亿元（含）至5000亿元</w:t>
            </w:r>
          </w:p>
        </w:tc>
      </w:tr>
      <w:tr w14:paraId="386FC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Merge w:val="continue"/>
            <w:vAlign w:val="center"/>
          </w:tcPr>
          <w:p w14:paraId="48C86132">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continue"/>
            <w:vAlign w:val="center"/>
          </w:tcPr>
          <w:p w14:paraId="62ACF5AB">
            <w:pPr>
              <w:spacing w:line="240" w:lineRule="auto"/>
              <w:jc w:val="both"/>
              <w:rPr>
                <w:rFonts w:hint="eastAsia" w:ascii="宋体" w:hAnsi="宋体" w:eastAsia="宋体" w:cs="宋体"/>
                <w:color w:val="auto"/>
                <w:spacing w:val="6"/>
                <w:sz w:val="21"/>
                <w:szCs w:val="21"/>
                <w:highlight w:val="none"/>
                <w:vertAlign w:val="baseline"/>
              </w:rPr>
            </w:pPr>
          </w:p>
        </w:tc>
        <w:tc>
          <w:tcPr>
            <w:tcW w:w="1143" w:type="dxa"/>
            <w:shd w:val="clear" w:color="auto" w:fill="auto"/>
            <w:vAlign w:val="center"/>
          </w:tcPr>
          <w:p w14:paraId="361981C2">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小型</w:t>
            </w:r>
          </w:p>
        </w:tc>
        <w:tc>
          <w:tcPr>
            <w:tcW w:w="3251" w:type="dxa"/>
            <w:shd w:val="clear" w:color="auto" w:fill="auto"/>
            <w:vAlign w:val="center"/>
          </w:tcPr>
          <w:p w14:paraId="7F195A7E">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20亿元（含）至400亿元</w:t>
            </w:r>
          </w:p>
        </w:tc>
      </w:tr>
      <w:tr w14:paraId="13369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287" w:type="dxa"/>
            <w:gridSpan w:val="2"/>
            <w:vMerge w:val="continue"/>
            <w:vAlign w:val="center"/>
          </w:tcPr>
          <w:p w14:paraId="7051FBA8">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continue"/>
            <w:vAlign w:val="center"/>
          </w:tcPr>
          <w:p w14:paraId="1A95E01E">
            <w:pPr>
              <w:spacing w:line="240" w:lineRule="auto"/>
              <w:jc w:val="both"/>
              <w:rPr>
                <w:rFonts w:hint="eastAsia" w:ascii="宋体" w:hAnsi="宋体" w:eastAsia="宋体" w:cs="宋体"/>
                <w:color w:val="auto"/>
                <w:spacing w:val="6"/>
                <w:sz w:val="21"/>
                <w:szCs w:val="21"/>
                <w:highlight w:val="none"/>
                <w:vertAlign w:val="baseline"/>
              </w:rPr>
            </w:pPr>
          </w:p>
        </w:tc>
        <w:tc>
          <w:tcPr>
            <w:tcW w:w="1143" w:type="dxa"/>
            <w:shd w:val="clear" w:color="auto" w:fill="auto"/>
            <w:vAlign w:val="center"/>
          </w:tcPr>
          <w:p w14:paraId="5DD1435F">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微型</w:t>
            </w:r>
          </w:p>
        </w:tc>
        <w:tc>
          <w:tcPr>
            <w:tcW w:w="3251" w:type="dxa"/>
            <w:shd w:val="clear" w:color="auto" w:fill="auto"/>
            <w:vAlign w:val="center"/>
          </w:tcPr>
          <w:p w14:paraId="19F4DBB0">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20亿元以下</w:t>
            </w:r>
          </w:p>
        </w:tc>
      </w:tr>
      <w:tr w14:paraId="1B382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restart"/>
            <w:vAlign w:val="center"/>
          </w:tcPr>
          <w:p w14:paraId="6A4EBA5D">
            <w:pPr>
              <w:spacing w:line="240" w:lineRule="auto"/>
              <w:jc w:val="both"/>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其他金融业</w:t>
            </w:r>
          </w:p>
        </w:tc>
        <w:tc>
          <w:tcPr>
            <w:tcW w:w="1168" w:type="dxa"/>
            <w:vMerge w:val="restart"/>
            <w:vAlign w:val="center"/>
          </w:tcPr>
          <w:p w14:paraId="741CF031">
            <w:pPr>
              <w:spacing w:line="240" w:lineRule="auto"/>
              <w:jc w:val="both"/>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金融信托与管理服务</w:t>
            </w:r>
          </w:p>
        </w:tc>
        <w:tc>
          <w:tcPr>
            <w:tcW w:w="1817" w:type="dxa"/>
            <w:vMerge w:val="restart"/>
            <w:vAlign w:val="center"/>
          </w:tcPr>
          <w:p w14:paraId="70836B6C">
            <w:pPr>
              <w:spacing w:line="240" w:lineRule="auto"/>
              <w:jc w:val="both"/>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信托公司</w:t>
            </w:r>
          </w:p>
        </w:tc>
        <w:tc>
          <w:tcPr>
            <w:tcW w:w="1143" w:type="dxa"/>
            <w:shd w:val="clear" w:color="auto" w:fill="auto"/>
            <w:vAlign w:val="center"/>
          </w:tcPr>
          <w:p w14:paraId="03C999A9">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中型</w:t>
            </w:r>
          </w:p>
        </w:tc>
        <w:tc>
          <w:tcPr>
            <w:tcW w:w="3251" w:type="dxa"/>
            <w:shd w:val="clear" w:color="auto" w:fill="auto"/>
            <w:vAlign w:val="center"/>
          </w:tcPr>
          <w:p w14:paraId="0C96EEDA">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400亿元（含）至1000亿元</w:t>
            </w:r>
          </w:p>
        </w:tc>
      </w:tr>
      <w:tr w14:paraId="394AA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338E5D4F">
            <w:pPr>
              <w:spacing w:line="240" w:lineRule="auto"/>
              <w:jc w:val="both"/>
              <w:rPr>
                <w:rFonts w:hint="eastAsia" w:ascii="宋体" w:hAnsi="宋体" w:eastAsia="宋体" w:cs="宋体"/>
                <w:color w:val="auto"/>
                <w:spacing w:val="6"/>
                <w:sz w:val="21"/>
                <w:szCs w:val="21"/>
                <w:highlight w:val="none"/>
                <w:vertAlign w:val="baseline"/>
              </w:rPr>
            </w:pPr>
          </w:p>
        </w:tc>
        <w:tc>
          <w:tcPr>
            <w:tcW w:w="1168" w:type="dxa"/>
            <w:vMerge w:val="continue"/>
            <w:vAlign w:val="center"/>
          </w:tcPr>
          <w:p w14:paraId="2343FC29">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continue"/>
            <w:vAlign w:val="center"/>
          </w:tcPr>
          <w:p w14:paraId="7EB960A0">
            <w:pPr>
              <w:spacing w:line="240" w:lineRule="auto"/>
              <w:jc w:val="both"/>
              <w:rPr>
                <w:rFonts w:hint="eastAsia" w:ascii="宋体" w:hAnsi="宋体" w:eastAsia="宋体" w:cs="宋体"/>
                <w:color w:val="auto"/>
                <w:spacing w:val="6"/>
                <w:sz w:val="21"/>
                <w:szCs w:val="21"/>
                <w:highlight w:val="none"/>
                <w:vertAlign w:val="baseline"/>
              </w:rPr>
            </w:pPr>
          </w:p>
        </w:tc>
        <w:tc>
          <w:tcPr>
            <w:tcW w:w="1143" w:type="dxa"/>
            <w:shd w:val="clear" w:color="auto" w:fill="auto"/>
            <w:vAlign w:val="center"/>
          </w:tcPr>
          <w:p w14:paraId="6D76C176">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小型</w:t>
            </w:r>
          </w:p>
        </w:tc>
        <w:tc>
          <w:tcPr>
            <w:tcW w:w="3251" w:type="dxa"/>
            <w:shd w:val="clear" w:color="auto" w:fill="auto"/>
            <w:vAlign w:val="center"/>
          </w:tcPr>
          <w:p w14:paraId="0E689FDB">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20亿元（含）至400亿元</w:t>
            </w:r>
          </w:p>
        </w:tc>
      </w:tr>
      <w:tr w14:paraId="3E940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71E32AA3">
            <w:pPr>
              <w:spacing w:line="240" w:lineRule="auto"/>
              <w:jc w:val="both"/>
              <w:rPr>
                <w:rFonts w:hint="eastAsia" w:ascii="宋体" w:hAnsi="宋体" w:eastAsia="宋体" w:cs="宋体"/>
                <w:color w:val="auto"/>
                <w:spacing w:val="6"/>
                <w:sz w:val="21"/>
                <w:szCs w:val="21"/>
                <w:highlight w:val="none"/>
                <w:vertAlign w:val="baseline"/>
              </w:rPr>
            </w:pPr>
          </w:p>
        </w:tc>
        <w:tc>
          <w:tcPr>
            <w:tcW w:w="1168" w:type="dxa"/>
            <w:vMerge w:val="continue"/>
            <w:vAlign w:val="center"/>
          </w:tcPr>
          <w:p w14:paraId="441AB74F">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continue"/>
            <w:vAlign w:val="center"/>
          </w:tcPr>
          <w:p w14:paraId="715F254D">
            <w:pPr>
              <w:spacing w:line="240" w:lineRule="auto"/>
              <w:jc w:val="both"/>
              <w:rPr>
                <w:rFonts w:hint="eastAsia" w:ascii="宋体" w:hAnsi="宋体" w:eastAsia="宋体" w:cs="宋体"/>
                <w:color w:val="auto"/>
                <w:spacing w:val="6"/>
                <w:sz w:val="21"/>
                <w:szCs w:val="21"/>
                <w:highlight w:val="none"/>
                <w:vertAlign w:val="baseline"/>
              </w:rPr>
            </w:pPr>
          </w:p>
        </w:tc>
        <w:tc>
          <w:tcPr>
            <w:tcW w:w="1143" w:type="dxa"/>
            <w:shd w:val="clear" w:color="auto" w:fill="auto"/>
            <w:vAlign w:val="center"/>
          </w:tcPr>
          <w:p w14:paraId="160C098A">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微型</w:t>
            </w:r>
          </w:p>
        </w:tc>
        <w:tc>
          <w:tcPr>
            <w:tcW w:w="3251" w:type="dxa"/>
            <w:shd w:val="clear" w:color="auto" w:fill="auto"/>
            <w:vAlign w:val="center"/>
          </w:tcPr>
          <w:p w14:paraId="33182E48">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20亿元以下</w:t>
            </w:r>
          </w:p>
        </w:tc>
      </w:tr>
      <w:tr w14:paraId="61CA0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0A3463AD">
            <w:pPr>
              <w:spacing w:line="240" w:lineRule="auto"/>
              <w:jc w:val="both"/>
              <w:rPr>
                <w:rFonts w:hint="eastAsia" w:ascii="宋体" w:hAnsi="宋体" w:eastAsia="宋体" w:cs="宋体"/>
                <w:color w:val="auto"/>
                <w:spacing w:val="6"/>
                <w:sz w:val="21"/>
                <w:szCs w:val="21"/>
                <w:highlight w:val="none"/>
                <w:vertAlign w:val="baseline"/>
              </w:rPr>
            </w:pPr>
          </w:p>
        </w:tc>
        <w:tc>
          <w:tcPr>
            <w:tcW w:w="1168" w:type="dxa"/>
            <w:vMerge w:val="restart"/>
            <w:vAlign w:val="center"/>
          </w:tcPr>
          <w:p w14:paraId="65B75359">
            <w:pPr>
              <w:spacing w:line="240" w:lineRule="auto"/>
              <w:jc w:val="both"/>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控股公司服务</w:t>
            </w:r>
          </w:p>
        </w:tc>
        <w:tc>
          <w:tcPr>
            <w:tcW w:w="1817" w:type="dxa"/>
            <w:vMerge w:val="restart"/>
            <w:vAlign w:val="center"/>
          </w:tcPr>
          <w:p w14:paraId="5AA3A788">
            <w:pPr>
              <w:spacing w:line="240" w:lineRule="auto"/>
              <w:jc w:val="both"/>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金融控股公司</w:t>
            </w:r>
          </w:p>
        </w:tc>
        <w:tc>
          <w:tcPr>
            <w:tcW w:w="1143" w:type="dxa"/>
            <w:shd w:val="clear" w:color="auto" w:fill="auto"/>
            <w:vAlign w:val="center"/>
          </w:tcPr>
          <w:p w14:paraId="6A34EBF4">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中型</w:t>
            </w:r>
          </w:p>
        </w:tc>
        <w:tc>
          <w:tcPr>
            <w:tcW w:w="3251" w:type="dxa"/>
            <w:shd w:val="clear" w:color="auto" w:fill="auto"/>
            <w:vAlign w:val="center"/>
          </w:tcPr>
          <w:p w14:paraId="2863D8FC">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5000亿元（含）至40000亿元</w:t>
            </w:r>
          </w:p>
        </w:tc>
      </w:tr>
      <w:tr w14:paraId="61EE7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57F9BDD8">
            <w:pPr>
              <w:spacing w:line="240" w:lineRule="auto"/>
              <w:jc w:val="both"/>
              <w:rPr>
                <w:rFonts w:hint="eastAsia" w:ascii="宋体" w:hAnsi="宋体" w:eastAsia="宋体" w:cs="宋体"/>
                <w:color w:val="auto"/>
                <w:spacing w:val="6"/>
                <w:sz w:val="21"/>
                <w:szCs w:val="21"/>
                <w:highlight w:val="none"/>
                <w:vertAlign w:val="baseline"/>
              </w:rPr>
            </w:pPr>
          </w:p>
        </w:tc>
        <w:tc>
          <w:tcPr>
            <w:tcW w:w="1168" w:type="dxa"/>
            <w:vMerge w:val="continue"/>
            <w:vAlign w:val="center"/>
          </w:tcPr>
          <w:p w14:paraId="774A5596">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continue"/>
            <w:vAlign w:val="center"/>
          </w:tcPr>
          <w:p w14:paraId="658174A6">
            <w:pPr>
              <w:spacing w:line="240" w:lineRule="auto"/>
              <w:jc w:val="both"/>
              <w:rPr>
                <w:rFonts w:hint="eastAsia" w:ascii="宋体" w:hAnsi="宋体" w:eastAsia="宋体" w:cs="宋体"/>
                <w:color w:val="auto"/>
                <w:spacing w:val="6"/>
                <w:sz w:val="21"/>
                <w:szCs w:val="21"/>
                <w:highlight w:val="none"/>
                <w:vertAlign w:val="baseline"/>
              </w:rPr>
            </w:pPr>
          </w:p>
        </w:tc>
        <w:tc>
          <w:tcPr>
            <w:tcW w:w="1143" w:type="dxa"/>
            <w:shd w:val="clear" w:color="auto" w:fill="auto"/>
            <w:vAlign w:val="center"/>
          </w:tcPr>
          <w:p w14:paraId="43D84EB3">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小型</w:t>
            </w:r>
          </w:p>
        </w:tc>
        <w:tc>
          <w:tcPr>
            <w:tcW w:w="3251" w:type="dxa"/>
            <w:shd w:val="clear" w:color="auto" w:fill="auto"/>
            <w:vAlign w:val="center"/>
          </w:tcPr>
          <w:p w14:paraId="434D1F52">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50亿元（含）至5000亿元</w:t>
            </w:r>
          </w:p>
        </w:tc>
      </w:tr>
      <w:tr w14:paraId="245B3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19" w:type="dxa"/>
            <w:vMerge w:val="continue"/>
            <w:vAlign w:val="center"/>
          </w:tcPr>
          <w:p w14:paraId="288472CC">
            <w:pPr>
              <w:spacing w:line="240" w:lineRule="auto"/>
              <w:jc w:val="both"/>
              <w:rPr>
                <w:rFonts w:hint="eastAsia" w:ascii="宋体" w:hAnsi="宋体" w:eastAsia="宋体" w:cs="宋体"/>
                <w:color w:val="auto"/>
                <w:spacing w:val="6"/>
                <w:sz w:val="21"/>
                <w:szCs w:val="21"/>
                <w:highlight w:val="none"/>
                <w:vertAlign w:val="baseline"/>
              </w:rPr>
            </w:pPr>
          </w:p>
        </w:tc>
        <w:tc>
          <w:tcPr>
            <w:tcW w:w="1168" w:type="dxa"/>
            <w:vMerge w:val="continue"/>
            <w:vAlign w:val="center"/>
          </w:tcPr>
          <w:p w14:paraId="4DB4D286">
            <w:pPr>
              <w:spacing w:line="240" w:lineRule="auto"/>
              <w:jc w:val="both"/>
              <w:rPr>
                <w:rFonts w:hint="eastAsia" w:ascii="宋体" w:hAnsi="宋体" w:eastAsia="宋体" w:cs="宋体"/>
                <w:color w:val="auto"/>
                <w:spacing w:val="6"/>
                <w:sz w:val="21"/>
                <w:szCs w:val="21"/>
                <w:highlight w:val="none"/>
                <w:vertAlign w:val="baseline"/>
              </w:rPr>
            </w:pPr>
          </w:p>
        </w:tc>
        <w:tc>
          <w:tcPr>
            <w:tcW w:w="1817" w:type="dxa"/>
            <w:vMerge w:val="continue"/>
            <w:vAlign w:val="center"/>
          </w:tcPr>
          <w:p w14:paraId="72B6EDD2">
            <w:pPr>
              <w:spacing w:line="240" w:lineRule="auto"/>
              <w:jc w:val="both"/>
              <w:rPr>
                <w:rFonts w:hint="eastAsia" w:ascii="宋体" w:hAnsi="宋体" w:eastAsia="宋体" w:cs="宋体"/>
                <w:color w:val="auto"/>
                <w:spacing w:val="6"/>
                <w:sz w:val="21"/>
                <w:szCs w:val="21"/>
                <w:highlight w:val="none"/>
                <w:vertAlign w:val="baseline"/>
              </w:rPr>
            </w:pPr>
          </w:p>
        </w:tc>
        <w:tc>
          <w:tcPr>
            <w:tcW w:w="1143" w:type="dxa"/>
            <w:shd w:val="clear" w:color="auto" w:fill="auto"/>
            <w:vAlign w:val="center"/>
          </w:tcPr>
          <w:p w14:paraId="472A904B">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微型</w:t>
            </w:r>
          </w:p>
        </w:tc>
        <w:tc>
          <w:tcPr>
            <w:tcW w:w="3251" w:type="dxa"/>
            <w:shd w:val="clear" w:color="auto" w:fill="auto"/>
            <w:vAlign w:val="center"/>
          </w:tcPr>
          <w:p w14:paraId="1FC344BB">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50亿元以下</w:t>
            </w:r>
          </w:p>
        </w:tc>
      </w:tr>
      <w:tr w14:paraId="3F9EF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119" w:type="dxa"/>
            <w:vMerge w:val="continue"/>
            <w:vAlign w:val="center"/>
          </w:tcPr>
          <w:p w14:paraId="046E9137">
            <w:pPr>
              <w:spacing w:line="240" w:lineRule="auto"/>
              <w:jc w:val="both"/>
              <w:rPr>
                <w:rFonts w:hint="eastAsia" w:ascii="宋体" w:hAnsi="宋体" w:eastAsia="宋体" w:cs="宋体"/>
                <w:color w:val="auto"/>
                <w:spacing w:val="6"/>
                <w:sz w:val="21"/>
                <w:szCs w:val="21"/>
                <w:highlight w:val="none"/>
                <w:vertAlign w:val="baseline"/>
              </w:rPr>
            </w:pPr>
          </w:p>
        </w:tc>
        <w:tc>
          <w:tcPr>
            <w:tcW w:w="1168" w:type="dxa"/>
            <w:vMerge w:val="restart"/>
            <w:vAlign w:val="center"/>
          </w:tcPr>
          <w:p w14:paraId="10B14656">
            <w:pPr>
              <w:spacing w:line="240" w:lineRule="auto"/>
              <w:jc w:val="both"/>
              <w:rPr>
                <w:rFonts w:hint="eastAsia" w:ascii="宋体" w:hAnsi="宋体" w:eastAsia="宋体" w:cs="宋体"/>
                <w:color w:val="auto"/>
                <w:spacing w:val="6"/>
                <w:sz w:val="21"/>
                <w:szCs w:val="21"/>
                <w:highlight w:val="none"/>
                <w:vertAlign w:val="baseline"/>
                <w:lang w:val="en-US" w:eastAsia="zh-CN"/>
              </w:rPr>
            </w:pPr>
            <w:r>
              <w:rPr>
                <w:rFonts w:hint="eastAsia" w:ascii="宋体" w:hAnsi="宋体" w:eastAsia="宋体" w:cs="宋体"/>
                <w:color w:val="auto"/>
                <w:spacing w:val="6"/>
                <w:sz w:val="21"/>
                <w:szCs w:val="21"/>
                <w:highlight w:val="none"/>
                <w:vertAlign w:val="baseline"/>
                <w:lang w:val="en-US" w:eastAsia="zh-CN"/>
              </w:rPr>
              <w:t>其他未包括的金融业</w:t>
            </w:r>
          </w:p>
        </w:tc>
        <w:tc>
          <w:tcPr>
            <w:tcW w:w="1817" w:type="dxa"/>
            <w:vMerge w:val="restart"/>
            <w:vAlign w:val="center"/>
          </w:tcPr>
          <w:p w14:paraId="3E665F4F">
            <w:pPr>
              <w:spacing w:line="240" w:lineRule="auto"/>
              <w:jc w:val="both"/>
              <w:rPr>
                <w:rFonts w:hint="eastAsia" w:ascii="宋体" w:hAnsi="宋体" w:eastAsia="宋体" w:cs="宋体"/>
                <w:color w:val="auto"/>
                <w:spacing w:val="6"/>
                <w:sz w:val="21"/>
                <w:szCs w:val="21"/>
                <w:highlight w:val="none"/>
                <w:vertAlign w:val="baseline"/>
              </w:rPr>
            </w:pPr>
            <w:r>
              <w:rPr>
                <w:rFonts w:hint="eastAsia" w:ascii="宋体" w:hAnsi="宋体" w:eastAsia="宋体" w:cs="宋体"/>
                <w:color w:val="auto"/>
                <w:spacing w:val="6"/>
                <w:sz w:val="21"/>
                <w:szCs w:val="21"/>
                <w:highlight w:val="none"/>
                <w:vertAlign w:val="baseline"/>
              </w:rPr>
              <w:t>除贷款公司、小额贷款公司、典当行以外的其他金融机构</w:t>
            </w:r>
          </w:p>
        </w:tc>
        <w:tc>
          <w:tcPr>
            <w:tcW w:w="1143" w:type="dxa"/>
            <w:shd w:val="clear" w:color="auto" w:fill="auto"/>
            <w:vAlign w:val="center"/>
          </w:tcPr>
          <w:p w14:paraId="00510279">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中型</w:t>
            </w:r>
          </w:p>
        </w:tc>
        <w:tc>
          <w:tcPr>
            <w:tcW w:w="3251" w:type="dxa"/>
            <w:shd w:val="clear" w:color="auto" w:fill="auto"/>
            <w:vAlign w:val="center"/>
          </w:tcPr>
          <w:p w14:paraId="6033F5D6">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200亿元（含）至1000亿元</w:t>
            </w:r>
          </w:p>
        </w:tc>
      </w:tr>
      <w:tr w14:paraId="34EBC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119" w:type="dxa"/>
            <w:vMerge w:val="continue"/>
          </w:tcPr>
          <w:p w14:paraId="04848A28">
            <w:pPr>
              <w:spacing w:line="240" w:lineRule="auto"/>
              <w:rPr>
                <w:rFonts w:hint="eastAsia" w:ascii="宋体" w:hAnsi="宋体" w:eastAsia="宋体" w:cs="宋体"/>
                <w:color w:val="auto"/>
                <w:spacing w:val="6"/>
                <w:sz w:val="21"/>
                <w:szCs w:val="21"/>
                <w:highlight w:val="none"/>
                <w:vertAlign w:val="baseline"/>
              </w:rPr>
            </w:pPr>
          </w:p>
        </w:tc>
        <w:tc>
          <w:tcPr>
            <w:tcW w:w="1168" w:type="dxa"/>
            <w:vMerge w:val="continue"/>
          </w:tcPr>
          <w:p w14:paraId="2F2E72F9">
            <w:pPr>
              <w:spacing w:line="240" w:lineRule="auto"/>
              <w:rPr>
                <w:rFonts w:hint="eastAsia" w:ascii="宋体" w:hAnsi="宋体" w:eastAsia="宋体" w:cs="宋体"/>
                <w:color w:val="auto"/>
                <w:spacing w:val="6"/>
                <w:sz w:val="21"/>
                <w:szCs w:val="21"/>
                <w:highlight w:val="none"/>
                <w:vertAlign w:val="baseline"/>
              </w:rPr>
            </w:pPr>
          </w:p>
        </w:tc>
        <w:tc>
          <w:tcPr>
            <w:tcW w:w="1817" w:type="dxa"/>
            <w:vMerge w:val="continue"/>
          </w:tcPr>
          <w:p w14:paraId="179DE2D0">
            <w:pPr>
              <w:spacing w:line="240" w:lineRule="auto"/>
              <w:rPr>
                <w:rFonts w:hint="eastAsia" w:ascii="宋体" w:hAnsi="宋体" w:eastAsia="宋体" w:cs="宋体"/>
                <w:color w:val="auto"/>
                <w:spacing w:val="6"/>
                <w:sz w:val="21"/>
                <w:szCs w:val="21"/>
                <w:highlight w:val="none"/>
                <w:vertAlign w:val="baseline"/>
              </w:rPr>
            </w:pPr>
          </w:p>
        </w:tc>
        <w:tc>
          <w:tcPr>
            <w:tcW w:w="1143" w:type="dxa"/>
            <w:shd w:val="clear" w:color="auto" w:fill="auto"/>
            <w:vAlign w:val="center"/>
          </w:tcPr>
          <w:p w14:paraId="1E623338">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小型</w:t>
            </w:r>
          </w:p>
        </w:tc>
        <w:tc>
          <w:tcPr>
            <w:tcW w:w="3251" w:type="dxa"/>
            <w:shd w:val="clear" w:color="auto" w:fill="auto"/>
            <w:vAlign w:val="center"/>
          </w:tcPr>
          <w:p w14:paraId="12916BB7">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50亿元（含）至200亿元</w:t>
            </w:r>
          </w:p>
        </w:tc>
      </w:tr>
      <w:tr w14:paraId="6DDCD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119" w:type="dxa"/>
            <w:vMerge w:val="continue"/>
          </w:tcPr>
          <w:p w14:paraId="0F1E7A7B">
            <w:pPr>
              <w:spacing w:line="240" w:lineRule="auto"/>
              <w:rPr>
                <w:rFonts w:hint="eastAsia" w:ascii="宋体" w:hAnsi="宋体" w:eastAsia="宋体" w:cs="宋体"/>
                <w:color w:val="auto"/>
                <w:spacing w:val="6"/>
                <w:sz w:val="21"/>
                <w:szCs w:val="21"/>
                <w:highlight w:val="none"/>
                <w:vertAlign w:val="baseline"/>
              </w:rPr>
            </w:pPr>
          </w:p>
        </w:tc>
        <w:tc>
          <w:tcPr>
            <w:tcW w:w="1168" w:type="dxa"/>
            <w:vMerge w:val="continue"/>
          </w:tcPr>
          <w:p w14:paraId="08010151">
            <w:pPr>
              <w:spacing w:line="240" w:lineRule="auto"/>
              <w:rPr>
                <w:rFonts w:hint="eastAsia" w:ascii="宋体" w:hAnsi="宋体" w:eastAsia="宋体" w:cs="宋体"/>
                <w:color w:val="auto"/>
                <w:spacing w:val="6"/>
                <w:sz w:val="21"/>
                <w:szCs w:val="21"/>
                <w:highlight w:val="none"/>
                <w:vertAlign w:val="baseline"/>
              </w:rPr>
            </w:pPr>
          </w:p>
        </w:tc>
        <w:tc>
          <w:tcPr>
            <w:tcW w:w="1817" w:type="dxa"/>
            <w:vMerge w:val="continue"/>
          </w:tcPr>
          <w:p w14:paraId="71A393FF">
            <w:pPr>
              <w:spacing w:line="240" w:lineRule="auto"/>
              <w:rPr>
                <w:rFonts w:hint="eastAsia" w:ascii="宋体" w:hAnsi="宋体" w:eastAsia="宋体" w:cs="宋体"/>
                <w:color w:val="auto"/>
                <w:spacing w:val="6"/>
                <w:sz w:val="21"/>
                <w:szCs w:val="21"/>
                <w:highlight w:val="none"/>
                <w:vertAlign w:val="baseline"/>
              </w:rPr>
            </w:pPr>
          </w:p>
        </w:tc>
        <w:tc>
          <w:tcPr>
            <w:tcW w:w="1143" w:type="dxa"/>
            <w:shd w:val="clear" w:color="auto" w:fill="auto"/>
            <w:vAlign w:val="center"/>
          </w:tcPr>
          <w:p w14:paraId="668714F1">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微型</w:t>
            </w:r>
          </w:p>
        </w:tc>
        <w:tc>
          <w:tcPr>
            <w:tcW w:w="3251" w:type="dxa"/>
            <w:shd w:val="clear" w:color="auto" w:fill="auto"/>
            <w:vAlign w:val="center"/>
          </w:tcPr>
          <w:p w14:paraId="1913FA3F">
            <w:pPr>
              <w:spacing w:line="240" w:lineRule="auto"/>
              <w:jc w:val="center"/>
              <w:rPr>
                <w:rFonts w:hint="eastAsia" w:ascii="宋体" w:hAnsi="宋体" w:eastAsia="宋体" w:cs="宋体"/>
                <w:color w:val="auto"/>
                <w:spacing w:val="6"/>
                <w:kern w:val="2"/>
                <w:sz w:val="21"/>
                <w:szCs w:val="21"/>
                <w:highlight w:val="none"/>
                <w:vertAlign w:val="baseline"/>
                <w:lang w:val="en-US" w:eastAsia="zh-CN" w:bidi="ar-SA"/>
              </w:rPr>
            </w:pPr>
            <w:r>
              <w:rPr>
                <w:rFonts w:hint="eastAsia" w:ascii="宋体" w:hAnsi="宋体" w:eastAsia="宋体" w:cs="宋体"/>
                <w:color w:val="auto"/>
                <w:spacing w:val="6"/>
                <w:sz w:val="21"/>
                <w:szCs w:val="21"/>
                <w:highlight w:val="none"/>
                <w:vertAlign w:val="baseline"/>
                <w:lang w:val="en-US" w:eastAsia="zh-CN"/>
              </w:rPr>
              <w:t>50亿元以下</w:t>
            </w:r>
          </w:p>
        </w:tc>
      </w:tr>
    </w:tbl>
    <w:p w14:paraId="76252C9C">
      <w:pPr>
        <w:pStyle w:val="20"/>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小标宋_GBK" w:hAnsi="方正小标宋_GBK" w:eastAsia="方正小标宋_GBK" w:cs="方正小标宋_GBK"/>
          <w:bCs/>
          <w:color w:val="auto"/>
          <w:sz w:val="36"/>
          <w:szCs w:val="36"/>
          <w:highlight w:val="none"/>
          <w:lang w:val="en-US" w:eastAsia="zh-CN"/>
        </w:rPr>
      </w:pPr>
      <w:r>
        <w:rPr>
          <w:rFonts w:cs="宋体"/>
          <w:color w:val="auto"/>
          <w:spacing w:val="6"/>
          <w:sz w:val="21"/>
          <w:szCs w:val="21"/>
          <w:highlight w:val="none"/>
        </w:rPr>
        <w:br w:type="page"/>
      </w:r>
    </w:p>
    <w:p w14:paraId="3D939C43">
      <w:pPr>
        <w:pStyle w:val="20"/>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_GBK" w:hAnsi="方正小标宋_GBK" w:eastAsia="方正小标宋_GBK" w:cs="方正小标宋_GBK"/>
          <w:bCs/>
          <w:color w:val="auto"/>
          <w:sz w:val="36"/>
          <w:szCs w:val="36"/>
          <w:highlight w:val="none"/>
          <w:lang w:val="en-US" w:eastAsia="zh-CN"/>
        </w:rPr>
      </w:pPr>
    </w:p>
    <w:p w14:paraId="0711552D">
      <w:pPr>
        <w:pStyle w:val="4"/>
        <w:keepNext/>
        <w:keepLines/>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theme="minorBidi"/>
          <w:b/>
          <w:bCs/>
          <w:color w:val="auto"/>
          <w:kern w:val="2"/>
          <w:sz w:val="24"/>
          <w:szCs w:val="24"/>
          <w:highlight w:val="none"/>
          <w:lang w:val="en-US" w:eastAsia="zh-CN" w:bidi="ar-SA"/>
        </w:rPr>
      </w:pPr>
      <w:bookmarkStart w:id="763" w:name="_Toc16227"/>
      <w:bookmarkStart w:id="764" w:name="_Toc30764"/>
      <w:r>
        <w:rPr>
          <w:rFonts w:hint="eastAsia" w:ascii="宋体" w:hAnsi="宋体" w:eastAsia="宋体" w:cstheme="minorBidi"/>
          <w:b/>
          <w:bCs/>
          <w:color w:val="auto"/>
          <w:kern w:val="2"/>
          <w:sz w:val="24"/>
          <w:szCs w:val="24"/>
          <w:highlight w:val="none"/>
          <w:lang w:val="en-US" w:eastAsia="zh-CN" w:bidi="ar-SA"/>
        </w:rPr>
        <w:t>（三）监狱企业证明文件</w:t>
      </w:r>
      <w:r>
        <w:rPr>
          <w:rFonts w:hint="eastAsia" w:ascii="宋体" w:hAnsi="宋体" w:eastAsia="宋体" w:cstheme="minorBidi"/>
          <w:b w:val="0"/>
          <w:bCs w:val="0"/>
          <w:color w:val="auto"/>
          <w:kern w:val="2"/>
          <w:sz w:val="24"/>
          <w:szCs w:val="24"/>
          <w:highlight w:val="none"/>
          <w:lang w:val="en-US" w:eastAsia="zh-CN" w:bidi="ar-SA"/>
        </w:rPr>
        <w:t>【如适用】</w:t>
      </w:r>
      <w:bookmarkEnd w:id="762"/>
      <w:bookmarkEnd w:id="763"/>
      <w:bookmarkEnd w:id="764"/>
    </w:p>
    <w:p w14:paraId="744F56E2">
      <w:pPr>
        <w:rPr>
          <w:rFonts w:cs="仿宋_GB2312"/>
          <w:b/>
          <w:color w:val="auto"/>
          <w:sz w:val="24"/>
          <w:szCs w:val="24"/>
          <w:highlight w:val="none"/>
        </w:rPr>
      </w:pPr>
    </w:p>
    <w:p w14:paraId="23D1BFCD">
      <w:pPr>
        <w:adjustRightInd w:val="0"/>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【监狱企业应当提供由省级及以上监狱管理局、戒毒管理局（含新疆生产建设兵团）出具的监狱企业的证明文件，格式</w:t>
      </w:r>
      <w:r>
        <w:rPr>
          <w:rFonts w:hint="eastAsia" w:ascii="宋体" w:hAnsi="宋体" w:eastAsia="宋体" w:cs="宋体"/>
          <w:color w:val="auto"/>
          <w:sz w:val="24"/>
          <w:szCs w:val="24"/>
          <w:highlight w:val="none"/>
          <w:lang w:val="en-US" w:eastAsia="zh-CN"/>
        </w:rPr>
        <w:t>如下</w:t>
      </w:r>
      <w:r>
        <w:rPr>
          <w:rFonts w:hint="eastAsia" w:ascii="宋体" w:hAnsi="宋体" w:eastAsia="宋体" w:cs="宋体"/>
          <w:color w:val="auto"/>
          <w:sz w:val="24"/>
          <w:szCs w:val="24"/>
          <w:highlight w:val="none"/>
        </w:rPr>
        <w:t>】。</w:t>
      </w:r>
    </w:p>
    <w:p w14:paraId="75238DB1">
      <w:pPr>
        <w:pStyle w:val="20"/>
        <w:spacing w:line="360" w:lineRule="auto"/>
        <w:jc w:val="center"/>
        <w:rPr>
          <w:rFonts w:hint="eastAsia" w:ascii="宋体" w:hAnsi="宋体" w:eastAsia="宋体" w:cs="宋体"/>
          <w:b/>
          <w:bCs w:val="0"/>
          <w:color w:val="auto"/>
          <w:sz w:val="32"/>
          <w:szCs w:val="32"/>
          <w:highlight w:val="none"/>
        </w:rPr>
      </w:pPr>
    </w:p>
    <w:p w14:paraId="3EAA5E2A">
      <w:pPr>
        <w:pStyle w:val="20"/>
        <w:spacing w:line="360" w:lineRule="auto"/>
        <w:jc w:val="center"/>
        <w:rPr>
          <w:rFonts w:hint="eastAsia" w:ascii="宋体" w:hAnsi="宋体" w:eastAsia="宋体" w:cs="宋体"/>
          <w:b/>
          <w:bCs w:val="0"/>
          <w:color w:val="auto"/>
          <w:sz w:val="32"/>
          <w:szCs w:val="32"/>
          <w:highlight w:val="none"/>
        </w:rPr>
      </w:pPr>
      <w:r>
        <w:rPr>
          <w:rFonts w:hint="eastAsia" w:ascii="宋体" w:hAnsi="宋体" w:eastAsia="宋体" w:cs="宋体"/>
          <w:b/>
          <w:bCs w:val="0"/>
          <w:color w:val="auto"/>
          <w:sz w:val="32"/>
          <w:szCs w:val="32"/>
          <w:highlight w:val="none"/>
        </w:rPr>
        <w:t>监狱企业证明函</w:t>
      </w:r>
    </w:p>
    <w:p w14:paraId="73EFA9C1">
      <w:pPr>
        <w:spacing w:line="360" w:lineRule="auto"/>
        <w:rPr>
          <w:rFonts w:hint="eastAsia" w:ascii="仿宋_GB2312" w:hAnsi="仿宋_GB2312" w:eastAsia="仿宋_GB2312" w:cs="仿宋_GB2312"/>
          <w:color w:val="auto"/>
          <w:sz w:val="32"/>
          <w:szCs w:val="32"/>
          <w:highlight w:val="none"/>
        </w:rPr>
      </w:pPr>
    </w:p>
    <w:p w14:paraId="7E6FDB37">
      <w:pPr>
        <w:ind w:firstLine="504" w:firstLineChars="200"/>
        <w:rPr>
          <w:rFonts w:hint="eastAsia" w:cs="宋体"/>
          <w:color w:val="auto"/>
          <w:spacing w:val="6"/>
          <w:szCs w:val="24"/>
          <w:highlight w:val="none"/>
        </w:rPr>
      </w:pPr>
      <w:r>
        <w:rPr>
          <w:rFonts w:hint="eastAsia" w:cs="宋体"/>
          <w:color w:val="auto"/>
          <w:spacing w:val="6"/>
          <w:szCs w:val="24"/>
          <w:highlight w:val="none"/>
        </w:rPr>
        <w:t>本公司郑重声明，根据财政部、司法部《关于政府采购支持监狱企业发展有关问题的通知》（财库</w:t>
      </w:r>
      <w:r>
        <w:rPr>
          <w:rFonts w:hint="eastAsia" w:ascii="微软雅黑" w:hAnsi="微软雅黑" w:eastAsia="微软雅黑" w:cs="微软雅黑"/>
          <w:color w:val="auto"/>
          <w:spacing w:val="6"/>
          <w:szCs w:val="24"/>
          <w:highlight w:val="none"/>
          <w:lang w:eastAsia="zh-CN"/>
        </w:rPr>
        <w:t>〔</w:t>
      </w:r>
      <w:r>
        <w:rPr>
          <w:rFonts w:hint="eastAsia" w:cs="宋体"/>
          <w:color w:val="auto"/>
          <w:spacing w:val="6"/>
          <w:szCs w:val="24"/>
          <w:highlight w:val="none"/>
        </w:rPr>
        <w:t>2014</w:t>
      </w:r>
      <w:r>
        <w:rPr>
          <w:rFonts w:hint="eastAsia" w:ascii="微软雅黑" w:hAnsi="微软雅黑" w:eastAsia="微软雅黑" w:cs="微软雅黑"/>
          <w:color w:val="auto"/>
          <w:spacing w:val="6"/>
          <w:szCs w:val="24"/>
          <w:highlight w:val="none"/>
          <w:lang w:eastAsia="zh-CN"/>
        </w:rPr>
        <w:t>〕</w:t>
      </w:r>
      <w:r>
        <w:rPr>
          <w:rFonts w:hint="eastAsia" w:cs="宋体"/>
          <w:color w:val="auto"/>
          <w:spacing w:val="6"/>
          <w:szCs w:val="24"/>
          <w:highlight w:val="none"/>
        </w:rPr>
        <w:t>68号）的规定，本公司为监狱企业。</w:t>
      </w:r>
    </w:p>
    <w:p w14:paraId="3C2CE4C6">
      <w:pPr>
        <w:spacing w:line="360" w:lineRule="auto"/>
        <w:rPr>
          <w:rFonts w:hint="eastAsia" w:ascii="宋体" w:hAnsi="宋体" w:eastAsia="宋体" w:cs="宋体"/>
          <w:color w:val="auto"/>
          <w:sz w:val="24"/>
          <w:szCs w:val="24"/>
          <w:highlight w:val="none"/>
        </w:rPr>
      </w:pPr>
    </w:p>
    <w:p w14:paraId="25406F97">
      <w:pPr>
        <w:ind w:firstLine="4440" w:firstLineChars="1850"/>
        <w:rPr>
          <w:rFonts w:hint="eastAsia" w:ascii="宋体" w:hAnsi="宋体" w:eastAsia="宋体" w:cs="宋体"/>
          <w:color w:val="auto"/>
          <w:sz w:val="24"/>
          <w:szCs w:val="24"/>
          <w:highlight w:val="none"/>
        </w:rPr>
      </w:pPr>
    </w:p>
    <w:p w14:paraId="44FF352C">
      <w:pPr>
        <w:ind w:firstLine="4440" w:firstLineChars="1850"/>
        <w:rPr>
          <w:rFonts w:hint="eastAsia" w:ascii="宋体" w:hAnsi="宋体" w:eastAsia="宋体" w:cs="宋体"/>
          <w:color w:val="auto"/>
          <w:sz w:val="24"/>
          <w:szCs w:val="24"/>
          <w:highlight w:val="none"/>
        </w:rPr>
      </w:pPr>
    </w:p>
    <w:p w14:paraId="0841D36F">
      <w:pPr>
        <w:ind w:right="1008" w:firstLine="4284" w:firstLineChars="17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lang w:val="en-US" w:eastAsia="zh-CN"/>
        </w:rPr>
        <w:t>投标人</w:t>
      </w:r>
      <w:r>
        <w:rPr>
          <w:rFonts w:hint="eastAsia" w:ascii="宋体" w:hAnsi="宋体" w:eastAsia="宋体" w:cs="宋体"/>
          <w:color w:val="auto"/>
          <w:spacing w:val="6"/>
          <w:sz w:val="24"/>
          <w:szCs w:val="24"/>
          <w:highlight w:val="none"/>
        </w:rPr>
        <w:t>名称</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r>
        <w:rPr>
          <w:rFonts w:hint="eastAsia" w:ascii="宋体" w:hAnsi="宋体" w:eastAsia="宋体" w:cs="宋体"/>
          <w:color w:val="auto"/>
          <w:spacing w:val="6"/>
          <w:sz w:val="24"/>
          <w:szCs w:val="24"/>
          <w:highlight w:val="none"/>
        </w:rPr>
        <w:t>：</w:t>
      </w:r>
    </w:p>
    <w:p w14:paraId="3678CEA7">
      <w:pPr>
        <w:ind w:right="1008" w:firstLine="4284" w:firstLineChars="1700"/>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rPr>
        <w:t>日期：</w:t>
      </w:r>
      <w:r>
        <w:rPr>
          <w:rFonts w:hint="eastAsia" w:ascii="宋体" w:hAnsi="宋体" w:eastAsia="宋体" w:cs="宋体"/>
          <w:color w:val="auto"/>
          <w:spacing w:val="6"/>
          <w:sz w:val="24"/>
          <w:szCs w:val="24"/>
          <w:highlight w:val="none"/>
          <w:lang w:val="en-US" w:eastAsia="zh-CN"/>
        </w:rPr>
        <w:t xml:space="preserve">   年  月  日</w:t>
      </w:r>
    </w:p>
    <w:p w14:paraId="75D11779">
      <w:pPr>
        <w:spacing w:line="360" w:lineRule="auto"/>
        <w:ind w:firstLine="240" w:firstLineChars="100"/>
        <w:rPr>
          <w:rFonts w:hint="eastAsia" w:ascii="宋体" w:hAnsi="宋体" w:eastAsia="宋体" w:cs="宋体"/>
          <w:color w:val="auto"/>
          <w:sz w:val="24"/>
          <w:szCs w:val="24"/>
          <w:highlight w:val="none"/>
        </w:rPr>
      </w:pPr>
    </w:p>
    <w:p w14:paraId="7B8735C9">
      <w:pPr>
        <w:spacing w:line="360" w:lineRule="auto"/>
        <w:ind w:firstLine="240" w:firstLineChars="100"/>
        <w:rPr>
          <w:rFonts w:hint="eastAsia" w:ascii="宋体" w:hAnsi="宋体" w:eastAsia="宋体" w:cs="宋体"/>
          <w:color w:val="auto"/>
          <w:sz w:val="24"/>
          <w:szCs w:val="24"/>
          <w:highlight w:val="none"/>
        </w:rPr>
      </w:pPr>
    </w:p>
    <w:p w14:paraId="32722C7E">
      <w:pPr>
        <w:spacing w:line="360" w:lineRule="auto"/>
        <w:ind w:firstLine="3360" w:firstLineChars="1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省级以上监狱管理局、戒毒管理局</w:t>
      </w:r>
    </w:p>
    <w:p w14:paraId="20204BC0">
      <w:pPr>
        <w:ind w:firstLine="3360" w:firstLineChars="1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（含新疆生产建设兵团）（盖章）：  </w:t>
      </w:r>
    </w:p>
    <w:p w14:paraId="4A414B41">
      <w:pPr>
        <w:ind w:firstLine="4320" w:firstLineChars="18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pacing w:val="6"/>
          <w:sz w:val="24"/>
          <w:szCs w:val="24"/>
          <w:highlight w:val="none"/>
          <w:lang w:val="en-US" w:eastAsia="zh-CN"/>
        </w:rPr>
        <w:t xml:space="preserve">   年  月  日</w:t>
      </w:r>
    </w:p>
    <w:p w14:paraId="028B0253">
      <w:pPr>
        <w:spacing w:line="360" w:lineRule="auto"/>
        <w:ind w:firstLine="240" w:firstLineChars="100"/>
        <w:rPr>
          <w:rFonts w:hint="eastAsia" w:ascii="宋体" w:hAnsi="宋体" w:eastAsia="宋体" w:cs="宋体"/>
          <w:color w:val="auto"/>
          <w:sz w:val="24"/>
          <w:szCs w:val="24"/>
          <w:highlight w:val="none"/>
        </w:rPr>
      </w:pPr>
    </w:p>
    <w:p w14:paraId="4A20867A">
      <w:pPr>
        <w:spacing w:line="360" w:lineRule="auto"/>
        <w:ind w:firstLine="4000" w:firstLineChars="1250"/>
        <w:rPr>
          <w:rFonts w:hint="eastAsia" w:ascii="仿宋_GB2312" w:hAnsi="仿宋_GB2312" w:eastAsia="仿宋_GB2312" w:cs="仿宋_GB2312"/>
          <w:color w:val="auto"/>
          <w:sz w:val="32"/>
          <w:szCs w:val="32"/>
          <w:highlight w:val="none"/>
        </w:rPr>
      </w:pPr>
    </w:p>
    <w:p w14:paraId="206A9633">
      <w:pPr>
        <w:spacing w:line="360" w:lineRule="auto"/>
        <w:rPr>
          <w:rFonts w:hint="eastAsia" w:ascii="仿宋_GB2312" w:hAnsi="仿宋_GB2312" w:eastAsia="仿宋_GB2312" w:cs="仿宋_GB2312"/>
          <w:color w:val="auto"/>
          <w:sz w:val="32"/>
          <w:szCs w:val="32"/>
          <w:highlight w:val="none"/>
        </w:rPr>
      </w:pPr>
    </w:p>
    <w:p w14:paraId="283F77FC">
      <w:pPr>
        <w:widowControl/>
        <w:spacing w:before="100" w:beforeAutospacing="1" w:after="100" w:afterAutospacing="1"/>
        <w:rPr>
          <w:rFonts w:ascii="Arial" w:hAnsi="Arial" w:cs="Arial"/>
          <w:color w:val="auto"/>
          <w:sz w:val="21"/>
          <w:szCs w:val="21"/>
          <w:highlight w:val="none"/>
        </w:rPr>
      </w:pPr>
    </w:p>
    <w:p w14:paraId="3ACDD48E">
      <w:pPr>
        <w:widowControl/>
        <w:spacing w:before="100" w:beforeAutospacing="1" w:after="100" w:afterAutospacing="1"/>
        <w:rPr>
          <w:rFonts w:ascii="Arial" w:hAnsi="Arial" w:cs="Arial"/>
          <w:color w:val="auto"/>
          <w:sz w:val="21"/>
          <w:szCs w:val="21"/>
          <w:highlight w:val="none"/>
        </w:rPr>
      </w:pPr>
    </w:p>
    <w:p w14:paraId="22F7A202">
      <w:pPr>
        <w:widowControl/>
        <w:spacing w:before="100" w:beforeAutospacing="1" w:after="100" w:afterAutospacing="1"/>
        <w:rPr>
          <w:rFonts w:ascii="Arial" w:hAnsi="Arial" w:cs="Arial"/>
          <w:color w:val="auto"/>
          <w:sz w:val="21"/>
          <w:szCs w:val="21"/>
          <w:highlight w:val="none"/>
        </w:rPr>
      </w:pPr>
    </w:p>
    <w:p w14:paraId="24405F32">
      <w:pPr>
        <w:pStyle w:val="4"/>
        <w:keepNext/>
        <w:keepLines/>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theme="minorBidi"/>
          <w:b/>
          <w:bCs/>
          <w:color w:val="auto"/>
          <w:kern w:val="2"/>
          <w:sz w:val="24"/>
          <w:szCs w:val="24"/>
          <w:highlight w:val="none"/>
          <w:lang w:val="en-US" w:eastAsia="zh-CN" w:bidi="ar-SA"/>
        </w:rPr>
      </w:pPr>
      <w:bookmarkStart w:id="765" w:name="_Toc163492941"/>
    </w:p>
    <w:p w14:paraId="05E6EFA2">
      <w:pPr>
        <w:pStyle w:val="4"/>
        <w:keepNext/>
        <w:keepLines/>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theme="minorBidi"/>
          <w:b/>
          <w:bCs/>
          <w:color w:val="auto"/>
          <w:kern w:val="2"/>
          <w:sz w:val="24"/>
          <w:szCs w:val="24"/>
          <w:highlight w:val="none"/>
          <w:lang w:val="en-US" w:eastAsia="zh-CN" w:bidi="ar-SA"/>
        </w:rPr>
      </w:pPr>
      <w:bookmarkStart w:id="766" w:name="_Toc31652"/>
      <w:bookmarkStart w:id="767" w:name="_Toc13465"/>
      <w:r>
        <w:rPr>
          <w:rFonts w:hint="eastAsia" w:ascii="宋体" w:hAnsi="宋体" w:eastAsia="宋体" w:cstheme="minorBidi"/>
          <w:b/>
          <w:bCs/>
          <w:color w:val="auto"/>
          <w:kern w:val="2"/>
          <w:sz w:val="24"/>
          <w:szCs w:val="24"/>
          <w:highlight w:val="none"/>
          <w:lang w:val="en-US" w:eastAsia="zh-CN" w:bidi="ar-SA"/>
        </w:rPr>
        <w:t>（四）残疾人福利性单位声明函</w:t>
      </w:r>
      <w:r>
        <w:rPr>
          <w:rFonts w:hint="eastAsia" w:ascii="宋体" w:hAnsi="宋体" w:eastAsia="宋体" w:cstheme="minorBidi"/>
          <w:b w:val="0"/>
          <w:bCs w:val="0"/>
          <w:color w:val="auto"/>
          <w:kern w:val="2"/>
          <w:sz w:val="24"/>
          <w:szCs w:val="24"/>
          <w:highlight w:val="none"/>
          <w:lang w:val="en-US" w:eastAsia="zh-CN" w:bidi="ar-SA"/>
        </w:rPr>
        <w:t>【如适用】</w:t>
      </w:r>
      <w:bookmarkEnd w:id="765"/>
      <w:bookmarkEnd w:id="766"/>
      <w:bookmarkEnd w:id="767"/>
    </w:p>
    <w:p w14:paraId="0EAC9468">
      <w:pPr>
        <w:pStyle w:val="40"/>
        <w:numPr>
          <w:ilvl w:val="0"/>
          <w:numId w:val="0"/>
        </w:numPr>
        <w:ind w:left="420" w:leftChars="0" w:hanging="420" w:firstLineChars="0"/>
        <w:jc w:val="center"/>
        <w:rPr>
          <w:rFonts w:hint="eastAsia"/>
          <w:b/>
          <w:bCs/>
          <w:color w:val="auto"/>
          <w:sz w:val="32"/>
          <w:szCs w:val="32"/>
          <w:highlight w:val="none"/>
        </w:rPr>
      </w:pPr>
    </w:p>
    <w:p w14:paraId="091B47EA">
      <w:pPr>
        <w:pStyle w:val="40"/>
        <w:numPr>
          <w:ilvl w:val="0"/>
          <w:numId w:val="0"/>
        </w:numPr>
        <w:ind w:left="420" w:leftChars="0" w:hanging="420" w:firstLineChars="0"/>
        <w:jc w:val="center"/>
        <w:rPr>
          <w:b/>
          <w:bCs/>
          <w:color w:val="auto"/>
          <w:sz w:val="32"/>
          <w:szCs w:val="32"/>
          <w:highlight w:val="none"/>
        </w:rPr>
      </w:pPr>
      <w:r>
        <w:rPr>
          <w:rFonts w:hint="eastAsia"/>
          <w:b/>
          <w:bCs/>
          <w:color w:val="auto"/>
          <w:sz w:val="32"/>
          <w:szCs w:val="32"/>
          <w:highlight w:val="none"/>
        </w:rPr>
        <w:t>残疾人福利性单位声明函</w:t>
      </w:r>
    </w:p>
    <w:p w14:paraId="28D13EE8">
      <w:pPr>
        <w:wordWrap w:val="0"/>
        <w:ind w:firstLine="480" w:firstLineChars="200"/>
        <w:rPr>
          <w:rFonts w:hint="eastAsia"/>
          <w:color w:val="auto"/>
          <w:szCs w:val="24"/>
          <w:highlight w:val="none"/>
        </w:rPr>
      </w:pPr>
    </w:p>
    <w:p w14:paraId="2B2B6A0A">
      <w:pPr>
        <w:wordWrap w:val="0"/>
        <w:ind w:firstLine="480" w:firstLineChars="200"/>
        <w:rPr>
          <w:i w:val="0"/>
          <w:iCs w:val="0"/>
          <w:color w:val="auto"/>
          <w:szCs w:val="24"/>
          <w:highlight w:val="none"/>
        </w:rPr>
      </w:pPr>
      <w:r>
        <w:rPr>
          <w:rFonts w:hint="eastAsia"/>
          <w:i w:val="0"/>
          <w:iCs w:val="0"/>
          <w:color w:val="auto"/>
          <w:szCs w:val="24"/>
          <w:highlight w:val="none"/>
        </w:rPr>
        <w:t>本公司（联合体）郑重声明，根据《财政部 民政部 中国残疾人联合会关于促进残疾人就业政府采购政策的通知》（财库〔2017〕141号）的规定，本公司（联合体）参加</w:t>
      </w:r>
      <w:r>
        <w:rPr>
          <w:rFonts w:hint="eastAsia"/>
          <w:i w:val="0"/>
          <w:iCs w:val="0"/>
          <w:color w:val="auto"/>
          <w:szCs w:val="24"/>
          <w:highlight w:val="none"/>
          <w:u w:val="single"/>
        </w:rPr>
        <w:t xml:space="preserve"> （单位名称） </w:t>
      </w:r>
      <w:r>
        <w:rPr>
          <w:rFonts w:hint="eastAsia"/>
          <w:i w:val="0"/>
          <w:iCs w:val="0"/>
          <w:color w:val="auto"/>
          <w:szCs w:val="24"/>
          <w:highlight w:val="none"/>
        </w:rPr>
        <w:t>的</w:t>
      </w:r>
      <w:r>
        <w:rPr>
          <w:rFonts w:hint="eastAsia"/>
          <w:i w:val="0"/>
          <w:iCs w:val="0"/>
          <w:color w:val="auto"/>
          <w:szCs w:val="24"/>
          <w:highlight w:val="none"/>
          <w:u w:val="single"/>
        </w:rPr>
        <w:t xml:space="preserve"> （项目名称） </w:t>
      </w:r>
      <w:r>
        <w:rPr>
          <w:rFonts w:hint="eastAsia"/>
          <w:i w:val="0"/>
          <w:iCs w:val="0"/>
          <w:color w:val="auto"/>
          <w:szCs w:val="24"/>
          <w:highlight w:val="none"/>
        </w:rPr>
        <w:t>采购活动，提供的</w:t>
      </w:r>
      <w:r>
        <w:rPr>
          <w:rFonts w:hint="eastAsia"/>
          <w:i w:val="0"/>
          <w:iCs w:val="0"/>
          <w:color w:val="auto"/>
          <w:szCs w:val="24"/>
          <w:highlight w:val="none"/>
          <w:lang w:val="en-US" w:eastAsia="zh-CN"/>
        </w:rPr>
        <w:t>服务及</w:t>
      </w:r>
      <w:r>
        <w:rPr>
          <w:rFonts w:hint="eastAsia"/>
          <w:i w:val="0"/>
          <w:iCs w:val="0"/>
          <w:color w:val="auto"/>
          <w:szCs w:val="24"/>
          <w:highlight w:val="none"/>
        </w:rPr>
        <w:t>货物</w:t>
      </w:r>
      <w:r>
        <w:rPr>
          <w:rFonts w:hint="eastAsia"/>
          <w:b/>
          <w:i w:val="0"/>
          <w:iCs w:val="0"/>
          <w:color w:val="auto"/>
          <w:szCs w:val="24"/>
          <w:highlight w:val="none"/>
        </w:rPr>
        <w:t>全部由</w:t>
      </w:r>
      <w:r>
        <w:rPr>
          <w:rFonts w:hint="eastAsia"/>
          <w:i w:val="0"/>
          <w:iCs w:val="0"/>
          <w:color w:val="auto"/>
          <w:szCs w:val="24"/>
          <w:highlight w:val="none"/>
        </w:rPr>
        <w:t>符合政策要求的</w:t>
      </w:r>
      <w:r>
        <w:rPr>
          <w:rFonts w:hint="eastAsia"/>
          <w:b/>
          <w:i w:val="0"/>
          <w:iCs w:val="0"/>
          <w:color w:val="auto"/>
          <w:szCs w:val="24"/>
          <w:highlight w:val="none"/>
        </w:rPr>
        <w:t>残疾人福利性单位</w:t>
      </w:r>
      <w:r>
        <w:rPr>
          <w:rFonts w:hint="eastAsia"/>
          <w:b/>
          <w:i w:val="0"/>
          <w:iCs w:val="0"/>
          <w:color w:val="auto"/>
          <w:szCs w:val="24"/>
          <w:highlight w:val="none"/>
          <w:lang w:val="en-US" w:eastAsia="zh-CN"/>
        </w:rPr>
        <w:t>提供和</w:t>
      </w:r>
      <w:r>
        <w:rPr>
          <w:rFonts w:hint="eastAsia"/>
          <w:b/>
          <w:i w:val="0"/>
          <w:iCs w:val="0"/>
          <w:color w:val="auto"/>
          <w:szCs w:val="24"/>
          <w:highlight w:val="none"/>
        </w:rPr>
        <w:t>制造</w:t>
      </w:r>
      <w:r>
        <w:rPr>
          <w:rFonts w:hint="eastAsia"/>
          <w:i w:val="0"/>
          <w:iCs w:val="0"/>
          <w:color w:val="auto"/>
          <w:szCs w:val="24"/>
          <w:highlight w:val="none"/>
        </w:rPr>
        <w:t>。相关企业（含联合体中的残疾人福利性单位、签订分包意向协议</w:t>
      </w:r>
      <w:r>
        <w:rPr>
          <w:rFonts w:hint="eastAsia"/>
          <w:i w:val="0"/>
          <w:iCs w:val="0"/>
          <w:color w:val="auto"/>
          <w:szCs w:val="24"/>
          <w:highlight w:val="none"/>
          <w:lang w:val="en-US" w:eastAsia="zh-CN"/>
        </w:rPr>
        <w:t>书</w:t>
      </w:r>
      <w:r>
        <w:rPr>
          <w:rFonts w:hint="eastAsia"/>
          <w:i w:val="0"/>
          <w:iCs w:val="0"/>
          <w:color w:val="auto"/>
          <w:szCs w:val="24"/>
          <w:highlight w:val="none"/>
        </w:rPr>
        <w:t>的残疾人福利性单位）的具体情况如下：</w:t>
      </w:r>
    </w:p>
    <w:p w14:paraId="2B0D31AB">
      <w:pPr>
        <w:wordWrap w:val="0"/>
        <w:ind w:firstLine="480" w:firstLineChars="200"/>
        <w:rPr>
          <w:i w:val="0"/>
          <w:iCs w:val="0"/>
          <w:color w:val="auto"/>
          <w:szCs w:val="24"/>
          <w:highlight w:val="none"/>
        </w:rPr>
      </w:pPr>
      <w:r>
        <w:rPr>
          <w:rFonts w:hint="eastAsia"/>
          <w:i w:val="0"/>
          <w:iCs w:val="0"/>
          <w:color w:val="auto"/>
          <w:szCs w:val="24"/>
          <w:highlight w:val="none"/>
        </w:rPr>
        <w:t>1.</w:t>
      </w:r>
      <w:r>
        <w:rPr>
          <w:rFonts w:hint="eastAsia"/>
          <w:i w:val="0"/>
          <w:iCs w:val="0"/>
          <w:color w:val="auto"/>
          <w:szCs w:val="24"/>
          <w:highlight w:val="none"/>
          <w:u w:val="single"/>
        </w:rPr>
        <w:t xml:space="preserve"> （标的名称） </w:t>
      </w:r>
      <w:r>
        <w:rPr>
          <w:rFonts w:hint="eastAsia"/>
          <w:i w:val="0"/>
          <w:iCs w:val="0"/>
          <w:color w:val="auto"/>
          <w:szCs w:val="24"/>
          <w:highlight w:val="none"/>
        </w:rPr>
        <w:t>，</w:t>
      </w:r>
      <w:r>
        <w:rPr>
          <w:rFonts w:hint="eastAsia"/>
          <w:i w:val="0"/>
          <w:iCs w:val="0"/>
          <w:color w:val="auto"/>
          <w:szCs w:val="24"/>
          <w:highlight w:val="none"/>
          <w:lang w:val="en-US" w:eastAsia="zh-CN"/>
        </w:rPr>
        <w:t>承接单位</w:t>
      </w:r>
      <w:r>
        <w:rPr>
          <w:rFonts w:hint="eastAsia"/>
          <w:i w:val="0"/>
          <w:iCs w:val="0"/>
          <w:color w:val="auto"/>
          <w:szCs w:val="24"/>
          <w:highlight w:val="none"/>
        </w:rPr>
        <w:t xml:space="preserve">为 </w:t>
      </w:r>
      <w:r>
        <w:rPr>
          <w:i w:val="0"/>
          <w:iCs w:val="0"/>
          <w:color w:val="auto"/>
          <w:szCs w:val="24"/>
          <w:highlight w:val="none"/>
          <w:u w:val="single"/>
        </w:rPr>
        <w:t xml:space="preserve">  </w:t>
      </w:r>
      <w:r>
        <w:rPr>
          <w:rFonts w:hint="eastAsia"/>
          <w:i w:val="0"/>
          <w:iCs w:val="0"/>
          <w:color w:val="auto"/>
          <w:szCs w:val="24"/>
          <w:highlight w:val="none"/>
          <w:u w:val="single"/>
        </w:rPr>
        <w:t xml:space="preserve">（企业名称） </w:t>
      </w:r>
      <w:r>
        <w:rPr>
          <w:rFonts w:hint="eastAsia"/>
          <w:i w:val="0"/>
          <w:iCs w:val="0"/>
          <w:color w:val="auto"/>
          <w:szCs w:val="24"/>
          <w:highlight w:val="none"/>
        </w:rPr>
        <w:t>，属于残疾人福利性单位；</w:t>
      </w:r>
    </w:p>
    <w:p w14:paraId="138F8FD5">
      <w:pPr>
        <w:wordWrap w:val="0"/>
        <w:ind w:firstLine="480" w:firstLineChars="200"/>
        <w:rPr>
          <w:i w:val="0"/>
          <w:iCs w:val="0"/>
          <w:color w:val="auto"/>
          <w:szCs w:val="24"/>
          <w:highlight w:val="none"/>
        </w:rPr>
      </w:pPr>
      <w:r>
        <w:rPr>
          <w:rFonts w:hint="eastAsia"/>
          <w:i w:val="0"/>
          <w:iCs w:val="0"/>
          <w:color w:val="auto"/>
          <w:szCs w:val="24"/>
          <w:highlight w:val="none"/>
        </w:rPr>
        <w:t xml:space="preserve">2. </w:t>
      </w:r>
      <w:r>
        <w:rPr>
          <w:rFonts w:hint="eastAsia"/>
          <w:i w:val="0"/>
          <w:iCs w:val="0"/>
          <w:color w:val="auto"/>
          <w:szCs w:val="24"/>
          <w:highlight w:val="none"/>
          <w:u w:val="single"/>
        </w:rPr>
        <w:t xml:space="preserve">（标的名称） </w:t>
      </w:r>
      <w:r>
        <w:rPr>
          <w:rFonts w:hint="eastAsia"/>
          <w:i w:val="0"/>
          <w:iCs w:val="0"/>
          <w:color w:val="auto"/>
          <w:szCs w:val="24"/>
          <w:highlight w:val="none"/>
        </w:rPr>
        <w:t>，</w:t>
      </w:r>
      <w:r>
        <w:rPr>
          <w:rFonts w:hint="eastAsia"/>
          <w:i w:val="0"/>
          <w:iCs w:val="0"/>
          <w:color w:val="auto"/>
          <w:szCs w:val="24"/>
          <w:highlight w:val="none"/>
          <w:lang w:val="en-US" w:eastAsia="zh-CN"/>
        </w:rPr>
        <w:t>承接单位</w:t>
      </w:r>
      <w:r>
        <w:rPr>
          <w:rFonts w:hint="eastAsia"/>
          <w:i w:val="0"/>
          <w:iCs w:val="0"/>
          <w:color w:val="auto"/>
          <w:szCs w:val="24"/>
          <w:highlight w:val="none"/>
        </w:rPr>
        <w:t xml:space="preserve">为 </w:t>
      </w:r>
      <w:r>
        <w:rPr>
          <w:i w:val="0"/>
          <w:iCs w:val="0"/>
          <w:color w:val="auto"/>
          <w:szCs w:val="24"/>
          <w:highlight w:val="none"/>
          <w:u w:val="single"/>
        </w:rPr>
        <w:t xml:space="preserve">  </w:t>
      </w:r>
      <w:r>
        <w:rPr>
          <w:rFonts w:hint="eastAsia"/>
          <w:i w:val="0"/>
          <w:iCs w:val="0"/>
          <w:color w:val="auto"/>
          <w:szCs w:val="24"/>
          <w:highlight w:val="none"/>
          <w:u w:val="single"/>
        </w:rPr>
        <w:t xml:space="preserve">（企业名称） </w:t>
      </w:r>
      <w:r>
        <w:rPr>
          <w:rFonts w:hint="eastAsia"/>
          <w:i w:val="0"/>
          <w:iCs w:val="0"/>
          <w:color w:val="auto"/>
          <w:szCs w:val="24"/>
          <w:highlight w:val="none"/>
        </w:rPr>
        <w:t>，属于残疾人福利性单位；</w:t>
      </w:r>
    </w:p>
    <w:p w14:paraId="7FB12063">
      <w:pPr>
        <w:wordWrap w:val="0"/>
        <w:ind w:firstLine="480" w:firstLineChars="200"/>
        <w:rPr>
          <w:i w:val="0"/>
          <w:iCs w:val="0"/>
          <w:color w:val="auto"/>
          <w:szCs w:val="24"/>
          <w:highlight w:val="none"/>
        </w:rPr>
      </w:pPr>
      <w:r>
        <w:rPr>
          <w:rFonts w:hint="eastAsia"/>
          <w:i w:val="0"/>
          <w:iCs w:val="0"/>
          <w:color w:val="auto"/>
          <w:szCs w:val="24"/>
          <w:highlight w:val="none"/>
        </w:rPr>
        <w:t>……</w:t>
      </w:r>
    </w:p>
    <w:p w14:paraId="7B8F3287">
      <w:pPr>
        <w:wordWrap w:val="0"/>
        <w:ind w:firstLine="480" w:firstLineChars="200"/>
        <w:rPr>
          <w:i w:val="0"/>
          <w:iCs w:val="0"/>
          <w:color w:val="auto"/>
          <w:szCs w:val="24"/>
          <w:highlight w:val="none"/>
        </w:rPr>
      </w:pPr>
      <w:r>
        <w:rPr>
          <w:rFonts w:hint="eastAsia"/>
          <w:i w:val="0"/>
          <w:iCs w:val="0"/>
          <w:color w:val="auto"/>
          <w:szCs w:val="24"/>
          <w:highlight w:val="none"/>
        </w:rPr>
        <w:t>以上企业，不属于大企业的分支机构，不存在控股股东为大企业的情形，也不存在与大企业的负责人为同一人的情形。</w:t>
      </w:r>
    </w:p>
    <w:p w14:paraId="18EB7223">
      <w:pPr>
        <w:wordWrap w:val="0"/>
        <w:ind w:left="1087" w:leftChars="200" w:hanging="607" w:hangingChars="253"/>
        <w:rPr>
          <w:color w:val="auto"/>
          <w:szCs w:val="24"/>
          <w:highlight w:val="none"/>
        </w:rPr>
      </w:pPr>
      <w:r>
        <w:rPr>
          <w:rFonts w:hint="eastAsia"/>
          <w:color w:val="auto"/>
          <w:szCs w:val="24"/>
          <w:highlight w:val="none"/>
        </w:rPr>
        <w:t>本企业对上述声明内容的真实性负责。如有虚假，将依法承担相应责任。</w:t>
      </w:r>
    </w:p>
    <w:p w14:paraId="44C7A080">
      <w:pPr>
        <w:wordWrap w:val="0"/>
        <w:ind w:left="1091" w:hanging="1091" w:hangingChars="453"/>
        <w:rPr>
          <w:b/>
          <w:bCs/>
          <w:color w:val="auto"/>
          <w:szCs w:val="24"/>
          <w:highlight w:val="none"/>
        </w:rPr>
      </w:pPr>
    </w:p>
    <w:p w14:paraId="43523196">
      <w:pPr>
        <w:wordWrap w:val="0"/>
        <w:ind w:left="1091" w:hanging="1091" w:hangingChars="453"/>
        <w:rPr>
          <w:bCs/>
          <w:color w:val="auto"/>
          <w:szCs w:val="24"/>
          <w:highlight w:val="none"/>
        </w:rPr>
      </w:pPr>
      <w:r>
        <w:rPr>
          <w:rFonts w:hint="eastAsia"/>
          <w:b/>
          <w:bCs/>
          <w:color w:val="auto"/>
          <w:szCs w:val="24"/>
          <w:highlight w:val="none"/>
        </w:rPr>
        <w:t>说明：</w:t>
      </w:r>
      <w:r>
        <w:rPr>
          <w:rFonts w:hint="eastAsia"/>
          <w:bCs/>
          <w:color w:val="auto"/>
          <w:szCs w:val="24"/>
          <w:highlight w:val="none"/>
        </w:rPr>
        <w:t>1、</w:t>
      </w:r>
      <w:r>
        <w:rPr>
          <w:rFonts w:hint="eastAsia"/>
          <w:bCs/>
          <w:color w:val="auto"/>
          <w:szCs w:val="24"/>
          <w:highlight w:val="none"/>
          <w:lang w:val="en-US" w:eastAsia="zh-CN"/>
        </w:rPr>
        <w:t>服务及</w:t>
      </w:r>
      <w:r>
        <w:rPr>
          <w:rFonts w:hint="eastAsia"/>
          <w:bCs/>
          <w:color w:val="auto"/>
          <w:szCs w:val="21"/>
          <w:highlight w:val="none"/>
          <w:lang w:val="zh-CN"/>
        </w:rPr>
        <w:t>货物应当全部由符合政策要求的残疾人福利性单位</w:t>
      </w:r>
      <w:r>
        <w:rPr>
          <w:rFonts w:hint="eastAsia"/>
          <w:bCs/>
          <w:color w:val="auto"/>
          <w:szCs w:val="21"/>
          <w:highlight w:val="none"/>
          <w:lang w:val="en-US" w:eastAsia="zh-CN"/>
        </w:rPr>
        <w:t>提供及</w:t>
      </w:r>
      <w:r>
        <w:rPr>
          <w:rFonts w:hint="eastAsia"/>
          <w:bCs/>
          <w:color w:val="auto"/>
          <w:szCs w:val="21"/>
          <w:highlight w:val="none"/>
          <w:lang w:val="zh-CN"/>
        </w:rPr>
        <w:t>生产且使用该残疾人福利性单位商号或注册商标（与代理商或投标人无关）；应当严格按上述格式及内容进行填写（应当明确每个标的的生产企业类型及相关数据），否则导致的后果由投标人自行承担；</w:t>
      </w:r>
    </w:p>
    <w:p w14:paraId="2288B711">
      <w:pPr>
        <w:wordWrap w:val="0"/>
        <w:ind w:left="1087" w:hanging="1087" w:hangingChars="453"/>
        <w:rPr>
          <w:rFonts w:cs="Courier New"/>
          <w:color w:val="auto"/>
          <w:szCs w:val="21"/>
          <w:highlight w:val="none"/>
        </w:rPr>
      </w:pPr>
      <w:r>
        <w:rPr>
          <w:rFonts w:hint="eastAsia"/>
          <w:bCs/>
          <w:color w:val="auto"/>
          <w:szCs w:val="21"/>
          <w:highlight w:val="none"/>
          <w:lang w:val="zh-CN"/>
        </w:rPr>
        <w:t xml:space="preserve">      2、</w:t>
      </w:r>
      <w:r>
        <w:rPr>
          <w:rFonts w:hint="eastAsia" w:cs="Courier New"/>
          <w:color w:val="auto"/>
          <w:szCs w:val="21"/>
          <w:highlight w:val="none"/>
        </w:rPr>
        <w:t>以联合体形式参加的，应</w:t>
      </w:r>
      <w:r>
        <w:rPr>
          <w:rFonts w:hint="eastAsia"/>
          <w:bCs/>
          <w:color w:val="auto"/>
          <w:szCs w:val="21"/>
          <w:highlight w:val="none"/>
          <w:lang w:val="zh-CN"/>
        </w:rPr>
        <w:t>当</w:t>
      </w:r>
      <w:r>
        <w:rPr>
          <w:rFonts w:hint="eastAsia" w:cs="Courier New"/>
          <w:color w:val="auto"/>
          <w:szCs w:val="21"/>
          <w:highlight w:val="none"/>
        </w:rPr>
        <w:t>由联合体各方盖章。</w:t>
      </w:r>
    </w:p>
    <w:p w14:paraId="71983F83">
      <w:pPr>
        <w:wordWrap w:val="0"/>
        <w:spacing w:before="100" w:beforeAutospacing="1" w:after="100" w:afterAutospacing="1"/>
        <w:ind w:firstLine="3316" w:firstLineChars="1382"/>
        <w:rPr>
          <w:bCs/>
          <w:color w:val="auto"/>
          <w:szCs w:val="21"/>
          <w:highlight w:val="none"/>
          <w:lang w:val="zh-CN"/>
        </w:rPr>
      </w:pPr>
      <w:r>
        <w:rPr>
          <w:rFonts w:hint="eastAsia"/>
          <w:bCs/>
          <w:color w:val="auto"/>
          <w:szCs w:val="21"/>
          <w:highlight w:val="none"/>
          <w:lang w:val="zh-CN"/>
        </w:rPr>
        <w:t>投标人</w:t>
      </w:r>
      <w:r>
        <w:rPr>
          <w:rFonts w:hint="eastAsia"/>
          <w:bCs/>
          <w:color w:val="auto"/>
          <w:szCs w:val="21"/>
          <w:highlight w:val="none"/>
          <w:lang w:val="en-US" w:eastAsia="zh-CN"/>
        </w:rPr>
        <w:t>名称</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r>
        <w:rPr>
          <w:rFonts w:hint="eastAsia"/>
          <w:bCs/>
          <w:color w:val="auto"/>
          <w:szCs w:val="21"/>
          <w:highlight w:val="none"/>
          <w:lang w:val="zh-CN"/>
        </w:rPr>
        <w:t>：</w:t>
      </w:r>
      <w:r>
        <w:rPr>
          <w:rFonts w:hint="eastAsia"/>
          <w:bCs/>
          <w:color w:val="auto"/>
          <w:szCs w:val="21"/>
          <w:highlight w:val="none"/>
          <w:u w:val="single"/>
          <w:lang w:val="zh-CN"/>
        </w:rPr>
        <w:t xml:space="preserve">              </w:t>
      </w:r>
    </w:p>
    <w:p w14:paraId="3A972AC9">
      <w:pPr>
        <w:wordWrap w:val="0"/>
        <w:spacing w:before="100" w:beforeAutospacing="1" w:after="100" w:afterAutospacing="1"/>
        <w:ind w:firstLine="3316" w:firstLineChars="1382"/>
        <w:rPr>
          <w:color w:val="auto"/>
          <w:highlight w:val="none"/>
        </w:rPr>
      </w:pPr>
      <w:r>
        <w:rPr>
          <w:rFonts w:hint="eastAsia"/>
          <w:color w:val="auto"/>
          <w:szCs w:val="24"/>
          <w:highlight w:val="none"/>
        </w:rPr>
        <w:t>日</w:t>
      </w:r>
      <w:r>
        <w:rPr>
          <w:color w:val="auto"/>
          <w:szCs w:val="24"/>
          <w:highlight w:val="none"/>
        </w:rPr>
        <w:t xml:space="preserve">  </w:t>
      </w:r>
      <w:r>
        <w:rPr>
          <w:rFonts w:hint="eastAsia"/>
          <w:color w:val="auto"/>
          <w:szCs w:val="24"/>
          <w:highlight w:val="none"/>
        </w:rPr>
        <w:t>期：</w:t>
      </w:r>
      <w:r>
        <w:rPr>
          <w:bCs/>
          <w:color w:val="auto"/>
          <w:szCs w:val="24"/>
          <w:highlight w:val="none"/>
          <w:u w:val="single"/>
        </w:rPr>
        <w:t xml:space="preserve">                         </w:t>
      </w:r>
    </w:p>
    <w:p w14:paraId="6F5F8DCA">
      <w:pPr>
        <w:ind w:left="4620" w:firstLine="281" w:firstLineChars="100"/>
        <w:rPr>
          <w:rFonts w:cs="仿宋_GB2312"/>
          <w:b/>
          <w:color w:val="auto"/>
          <w:sz w:val="28"/>
          <w:szCs w:val="28"/>
          <w:highlight w:val="none"/>
        </w:rPr>
      </w:pPr>
    </w:p>
    <w:p w14:paraId="7BDD1A80">
      <w:pPr>
        <w:rPr>
          <w:color w:val="auto"/>
          <w:highlight w:val="none"/>
        </w:rPr>
      </w:pPr>
      <w:r>
        <w:rPr>
          <w:color w:val="auto"/>
          <w:highlight w:val="none"/>
        </w:rPr>
        <w:br w:type="page"/>
      </w:r>
    </w:p>
    <w:p w14:paraId="66079641">
      <w:pPr>
        <w:pStyle w:val="2"/>
        <w:keepNext/>
        <w:keepLines/>
        <w:pageBreakBefore w:val="0"/>
        <w:widowControl w:val="0"/>
        <w:numPr>
          <w:ilvl w:val="0"/>
          <w:numId w:val="0"/>
        </w:numPr>
        <w:kinsoku/>
        <w:wordWrap/>
        <w:overflowPunct/>
        <w:topLinePunct w:val="0"/>
        <w:autoSpaceDE/>
        <w:autoSpaceDN/>
        <w:bidi w:val="0"/>
        <w:adjustRightInd/>
        <w:snapToGrid/>
        <w:spacing w:before="100" w:after="100" w:line="240" w:lineRule="auto"/>
        <w:ind w:left="420" w:leftChars="0" w:hanging="420" w:firstLineChars="0"/>
        <w:textAlignment w:val="auto"/>
        <w:rPr>
          <w:rFonts w:hint="eastAsia" w:eastAsia="宋体" w:asciiTheme="majorHAnsi" w:hAnsiTheme="majorHAnsi" w:cstheme="majorBidi"/>
          <w:b/>
          <w:bCs/>
          <w:color w:val="auto"/>
          <w:kern w:val="2"/>
          <w:sz w:val="32"/>
          <w:szCs w:val="32"/>
          <w:highlight w:val="none"/>
          <w:lang w:val="en-US" w:eastAsia="zh-CN" w:bidi="ar-SA"/>
        </w:rPr>
      </w:pPr>
    </w:p>
    <w:p w14:paraId="4B9EE2D8">
      <w:pPr>
        <w:pStyle w:val="2"/>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textAlignment w:val="auto"/>
        <w:rPr>
          <w:rFonts w:hint="eastAsia" w:cstheme="majorBidi"/>
          <w:b/>
          <w:bCs/>
          <w:color w:val="auto"/>
          <w:kern w:val="2"/>
          <w:sz w:val="28"/>
          <w:szCs w:val="28"/>
          <w:highlight w:val="none"/>
          <w:lang w:val="en-US" w:eastAsia="zh-CN" w:bidi="ar-SA"/>
        </w:rPr>
      </w:pPr>
      <w:bookmarkStart w:id="768" w:name="_Toc24696"/>
      <w:r>
        <w:rPr>
          <w:rFonts w:hint="eastAsia" w:cstheme="majorBidi"/>
          <w:b/>
          <w:bCs/>
          <w:color w:val="auto"/>
          <w:kern w:val="2"/>
          <w:sz w:val="28"/>
          <w:szCs w:val="28"/>
          <w:highlight w:val="none"/>
          <w:lang w:val="en-US" w:eastAsia="zh-CN" w:bidi="ar-SA"/>
        </w:rPr>
        <w:t>五、不参与围标串标承诺书</w:t>
      </w:r>
      <w:bookmarkEnd w:id="768"/>
    </w:p>
    <w:p w14:paraId="70D7F20B">
      <w:pPr>
        <w:pStyle w:val="2"/>
        <w:keepNext/>
        <w:keepLines/>
        <w:pageBreakBefore w:val="0"/>
        <w:widowControl w:val="0"/>
        <w:numPr>
          <w:ilvl w:val="0"/>
          <w:numId w:val="0"/>
        </w:numPr>
        <w:kinsoku/>
        <w:wordWrap/>
        <w:overflowPunct/>
        <w:topLinePunct w:val="0"/>
        <w:autoSpaceDE/>
        <w:autoSpaceDN/>
        <w:bidi w:val="0"/>
        <w:adjustRightInd/>
        <w:snapToGrid/>
        <w:spacing w:before="100" w:after="100" w:line="240" w:lineRule="auto"/>
        <w:ind w:left="420" w:leftChars="0" w:hanging="420" w:firstLineChars="0"/>
        <w:textAlignment w:val="auto"/>
        <w:rPr>
          <w:rFonts w:hint="eastAsia" w:eastAsia="宋体" w:asciiTheme="majorHAnsi" w:hAnsiTheme="majorHAnsi" w:cstheme="majorBidi"/>
          <w:b/>
          <w:bCs/>
          <w:color w:val="auto"/>
          <w:kern w:val="2"/>
          <w:sz w:val="32"/>
          <w:szCs w:val="32"/>
          <w:highlight w:val="none"/>
          <w:lang w:val="en-US" w:eastAsia="zh-CN" w:bidi="ar-SA"/>
        </w:rPr>
      </w:pPr>
    </w:p>
    <w:p w14:paraId="75FF23AC">
      <w:pPr>
        <w:jc w:val="center"/>
        <w:rPr>
          <w:rFonts w:hint="eastAsia"/>
          <w:color w:val="auto"/>
          <w:highlight w:val="none"/>
          <w:lang w:val="en-US" w:eastAsia="zh-CN"/>
        </w:rPr>
      </w:pPr>
      <w:r>
        <w:rPr>
          <w:rFonts w:hint="eastAsia" w:cstheme="majorBidi"/>
          <w:b/>
          <w:bCs/>
          <w:color w:val="auto"/>
          <w:kern w:val="2"/>
          <w:sz w:val="32"/>
          <w:szCs w:val="32"/>
          <w:highlight w:val="none"/>
          <w:lang w:val="en-US" w:eastAsia="zh-CN" w:bidi="ar-SA"/>
        </w:rPr>
        <w:t>不参与围标串标承诺书</w:t>
      </w:r>
    </w:p>
    <w:p w14:paraId="6B233C07">
      <w:pPr>
        <w:rPr>
          <w:rFonts w:hint="eastAsia"/>
          <w:color w:val="auto"/>
          <w:highlight w:val="none"/>
          <w:lang w:val="en-US" w:eastAsia="zh-CN"/>
        </w:rPr>
      </w:pPr>
      <w:r>
        <w:rPr>
          <w:rFonts w:hint="eastAsia"/>
          <w:color w:val="auto"/>
          <w:highlight w:val="none"/>
          <w:lang w:val="en-US" w:eastAsia="zh-CN"/>
        </w:rPr>
        <w:t>  </w:t>
      </w:r>
    </w:p>
    <w:p w14:paraId="1ACC5C30">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highlight w:val="none"/>
          <w:lang w:val="en-US" w:eastAsia="zh-CN"/>
        </w:rPr>
      </w:pPr>
      <w:r>
        <w:rPr>
          <w:rFonts w:hint="eastAsia"/>
          <w:color w:val="auto"/>
          <w:highlight w:val="none"/>
          <w:lang w:val="en-US" w:eastAsia="zh-CN"/>
        </w:rPr>
        <w:t>本人作为经授权的投标人代表,清楚知晓我单位本项目投标活动,对以下事项作出承诺：</w:t>
      </w:r>
    </w:p>
    <w:p w14:paraId="398E608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highlight w:val="none"/>
          <w:lang w:val="en-US" w:eastAsia="zh-CN"/>
        </w:rPr>
      </w:pPr>
    </w:p>
    <w:p w14:paraId="26BB11E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highlight w:val="none"/>
          <w:lang w:val="en-US" w:eastAsia="zh-CN"/>
        </w:rPr>
      </w:pPr>
      <w:r>
        <w:rPr>
          <w:rFonts w:hint="eastAsia"/>
          <w:color w:val="auto"/>
          <w:highlight w:val="none"/>
          <w:lang w:val="en-US" w:eastAsia="zh-CN"/>
        </w:rPr>
        <w:t>一、我单位和我本人遵循公开透明、公平竞争、公正和诚实信用的原则,依法依规参与本项目竞标。</w:t>
      </w:r>
    </w:p>
    <w:p w14:paraId="10BBFC5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highlight w:val="none"/>
          <w:lang w:val="en-US" w:eastAsia="zh-CN"/>
        </w:rPr>
      </w:pPr>
      <w:r>
        <w:rPr>
          <w:rFonts w:hint="eastAsia"/>
          <w:color w:val="auto"/>
          <w:highlight w:val="none"/>
          <w:lang w:val="en-US" w:eastAsia="zh-CN"/>
        </w:rPr>
        <w:t>二、我单位和我本人在本项目政府采购投标活动中,未参与围标串标。</w:t>
      </w:r>
    </w:p>
    <w:p w14:paraId="1A7E347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highlight w:val="none"/>
          <w:lang w:val="en-US" w:eastAsia="zh-CN"/>
        </w:rPr>
      </w:pPr>
      <w:r>
        <w:rPr>
          <w:rFonts w:hint="eastAsia"/>
          <w:color w:val="auto"/>
          <w:highlight w:val="none"/>
          <w:lang w:val="en-US" w:eastAsia="zh-CN"/>
        </w:rPr>
        <w:t>三、我单位如被查实在本项目政府采购投标活动中存在围标串标的，递交投标文件行为作为实施串通投标违法行为的关键环节,由我单位及法定代表人承担相应的法律责任，接受相应行政处罚和失信惩戒。</w:t>
      </w:r>
    </w:p>
    <w:p w14:paraId="29E3C848">
      <w:pPr>
        <w:pStyle w:val="10"/>
        <w:rPr>
          <w:rFonts w:hint="eastAsia"/>
          <w:color w:val="auto"/>
          <w:highlight w:val="none"/>
          <w:lang w:val="en-US" w:eastAsia="zh-CN"/>
        </w:rPr>
      </w:pPr>
    </w:p>
    <w:p w14:paraId="39CB3E48">
      <w:pPr>
        <w:spacing w:line="560" w:lineRule="exact"/>
        <w:rPr>
          <w:rFonts w:hint="eastAsia" w:ascii="宋体" w:hAnsi="宋体" w:eastAsia="宋体" w:cs="宋体"/>
          <w:color w:val="auto"/>
          <w:kern w:val="0"/>
          <w:sz w:val="24"/>
          <w:szCs w:val="24"/>
          <w:highlight w:val="none"/>
        </w:rPr>
      </w:pPr>
    </w:p>
    <w:p w14:paraId="19648C53">
      <w:pPr>
        <w:spacing w:line="560" w:lineRule="exact"/>
        <w:rPr>
          <w:rFonts w:hint="eastAsia" w:ascii="宋体" w:hAnsi="宋体" w:eastAsia="宋体" w:cs="宋体"/>
          <w:color w:val="auto"/>
          <w:kern w:val="0"/>
          <w:sz w:val="24"/>
          <w:szCs w:val="24"/>
          <w:highlight w:val="none"/>
        </w:rPr>
      </w:pPr>
      <w:r>
        <w:rPr>
          <w:rFonts w:hint="eastAsia" w:cs="宋体"/>
          <w:color w:val="auto"/>
          <w:kern w:val="0"/>
          <w:sz w:val="24"/>
          <w:szCs w:val="24"/>
          <w:highlight w:val="none"/>
          <w:lang w:val="en-US" w:eastAsia="zh-CN"/>
        </w:rPr>
        <w:t>投标人</w:t>
      </w:r>
      <w:r>
        <w:rPr>
          <w:rFonts w:hint="eastAsia"/>
          <w:bCs/>
          <w:color w:val="auto"/>
          <w:szCs w:val="21"/>
          <w:highlight w:val="none"/>
          <w:lang w:val="en-US" w:eastAsia="zh-CN"/>
        </w:rPr>
        <w:t>名称</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szCs w:val="24"/>
          <w:highlight w:val="none"/>
        </w:rPr>
        <w:t>：</w:t>
      </w:r>
    </w:p>
    <w:p w14:paraId="2CCE383A">
      <w:pPr>
        <w:spacing w:line="56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法定代表人、负责人、本人、或授权代表</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签字或</w:t>
      </w:r>
      <w:r>
        <w:rPr>
          <w:rFonts w:hint="eastAsia" w:cs="宋体"/>
          <w:color w:val="auto"/>
          <w:kern w:val="0"/>
          <w:sz w:val="24"/>
          <w:szCs w:val="24"/>
          <w:highlight w:val="none"/>
          <w:lang w:eastAsia="zh-CN"/>
        </w:rPr>
        <w:t>盖</w:t>
      </w:r>
      <w:r>
        <w:rPr>
          <w:rFonts w:hint="eastAsia" w:ascii="宋体" w:hAnsi="宋体" w:eastAsia="宋体" w:cs="宋体"/>
          <w:color w:val="auto"/>
          <w:kern w:val="0"/>
          <w:sz w:val="24"/>
          <w:szCs w:val="24"/>
          <w:highlight w:val="none"/>
          <w:lang w:eastAsia="zh-CN"/>
        </w:rPr>
        <w:t>章）</w:t>
      </w:r>
      <w:r>
        <w:rPr>
          <w:rFonts w:hint="eastAsia" w:ascii="宋体" w:hAnsi="宋体" w:eastAsia="宋体" w:cs="宋体"/>
          <w:color w:val="auto"/>
          <w:kern w:val="0"/>
          <w:sz w:val="24"/>
          <w:szCs w:val="24"/>
          <w:highlight w:val="none"/>
        </w:rPr>
        <w:t>：</w:t>
      </w:r>
    </w:p>
    <w:p w14:paraId="692B3277">
      <w:pPr>
        <w:spacing w:line="56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 年 月 日</w:t>
      </w:r>
    </w:p>
    <w:p w14:paraId="13DA43E0">
      <w:pPr>
        <w:widowControl/>
        <w:spacing w:line="560" w:lineRule="exact"/>
        <w:ind w:firstLine="630"/>
        <w:jc w:val="left"/>
        <w:rPr>
          <w:rFonts w:hint="eastAsia" w:ascii="宋体" w:hAnsi="宋体" w:eastAsia="宋体" w:cs="宋体"/>
          <w:color w:val="auto"/>
          <w:kern w:val="0"/>
          <w:sz w:val="24"/>
          <w:szCs w:val="24"/>
          <w:highlight w:val="none"/>
        </w:rPr>
      </w:pPr>
    </w:p>
    <w:p w14:paraId="7CD72A88">
      <w:pPr>
        <w:pStyle w:val="10"/>
        <w:rPr>
          <w:rFonts w:hint="eastAsia"/>
          <w:color w:val="auto"/>
          <w:highlight w:val="none"/>
          <w:lang w:val="en-US" w:eastAsia="zh-CN"/>
        </w:rPr>
      </w:pPr>
    </w:p>
    <w:p w14:paraId="6FC519D1">
      <w:pPr>
        <w:pStyle w:val="10"/>
        <w:rPr>
          <w:rFonts w:hint="eastAsia"/>
          <w:color w:val="auto"/>
          <w:highlight w:val="none"/>
          <w:lang w:val="en-US" w:eastAsia="zh-CN"/>
        </w:rPr>
      </w:pPr>
    </w:p>
    <w:p w14:paraId="7500053D">
      <w:pPr>
        <w:pStyle w:val="10"/>
        <w:rPr>
          <w:rFonts w:hint="eastAsia"/>
          <w:color w:val="auto"/>
          <w:highlight w:val="none"/>
          <w:lang w:val="en-US" w:eastAsia="zh-CN"/>
        </w:rPr>
      </w:pPr>
    </w:p>
    <w:p w14:paraId="5BF64493">
      <w:pPr>
        <w:pStyle w:val="10"/>
        <w:rPr>
          <w:rFonts w:hint="eastAsia"/>
          <w:color w:val="auto"/>
          <w:highlight w:val="none"/>
          <w:lang w:val="en-US" w:eastAsia="zh-CN"/>
        </w:rPr>
      </w:pPr>
    </w:p>
    <w:p w14:paraId="5CA01A8B">
      <w:pPr>
        <w:pStyle w:val="10"/>
        <w:rPr>
          <w:rFonts w:hint="eastAsia"/>
          <w:color w:val="auto"/>
          <w:highlight w:val="none"/>
          <w:lang w:val="en-US" w:eastAsia="zh-CN"/>
        </w:rPr>
      </w:pPr>
    </w:p>
    <w:p w14:paraId="029F743D">
      <w:pPr>
        <w:pStyle w:val="10"/>
        <w:rPr>
          <w:rFonts w:hint="eastAsia"/>
          <w:color w:val="auto"/>
          <w:highlight w:val="none"/>
          <w:lang w:val="en-US" w:eastAsia="zh-CN"/>
        </w:rPr>
      </w:pPr>
    </w:p>
    <w:p w14:paraId="41587146">
      <w:pPr>
        <w:pStyle w:val="10"/>
        <w:rPr>
          <w:rFonts w:hint="eastAsia"/>
          <w:color w:val="auto"/>
          <w:highlight w:val="none"/>
          <w:lang w:val="en-US" w:eastAsia="zh-CN"/>
        </w:rPr>
      </w:pPr>
    </w:p>
    <w:p w14:paraId="7CD2757F">
      <w:pPr>
        <w:pStyle w:val="10"/>
        <w:rPr>
          <w:rFonts w:hint="eastAsia"/>
          <w:color w:val="auto"/>
          <w:highlight w:val="none"/>
          <w:lang w:val="en-US" w:eastAsia="zh-CN"/>
        </w:rPr>
      </w:pPr>
    </w:p>
    <w:p w14:paraId="7EE0D7C2">
      <w:pPr>
        <w:pStyle w:val="10"/>
        <w:rPr>
          <w:rFonts w:hint="eastAsia"/>
          <w:color w:val="auto"/>
          <w:highlight w:val="none"/>
          <w:lang w:val="en-US" w:eastAsia="zh-CN"/>
        </w:rPr>
      </w:pPr>
    </w:p>
    <w:p w14:paraId="34406338">
      <w:pPr>
        <w:pStyle w:val="10"/>
        <w:rPr>
          <w:rFonts w:hint="eastAsia"/>
          <w:color w:val="auto"/>
          <w:highlight w:val="none"/>
          <w:lang w:val="en-US" w:eastAsia="zh-CN"/>
        </w:rPr>
      </w:pPr>
    </w:p>
    <w:p w14:paraId="30C8D33E">
      <w:pPr>
        <w:pStyle w:val="2"/>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textAlignment w:val="auto"/>
        <w:rPr>
          <w:rFonts w:hint="eastAsia" w:eastAsia="宋体" w:asciiTheme="majorHAnsi" w:hAnsiTheme="majorHAnsi" w:cstheme="majorBidi"/>
          <w:b/>
          <w:bCs/>
          <w:color w:val="auto"/>
          <w:kern w:val="2"/>
          <w:sz w:val="28"/>
          <w:szCs w:val="28"/>
          <w:highlight w:val="none"/>
          <w:lang w:val="zh-CN" w:eastAsia="zh-CN" w:bidi="ar-SA"/>
        </w:rPr>
      </w:pPr>
      <w:bookmarkStart w:id="769" w:name="_Toc2869"/>
      <w:r>
        <w:rPr>
          <w:rFonts w:hint="eastAsia" w:cstheme="majorBidi"/>
          <w:b/>
          <w:bCs/>
          <w:color w:val="auto"/>
          <w:kern w:val="2"/>
          <w:sz w:val="28"/>
          <w:szCs w:val="28"/>
          <w:highlight w:val="none"/>
          <w:lang w:val="en-US" w:eastAsia="zh-CN" w:bidi="ar-SA"/>
        </w:rPr>
        <w:t>六</w:t>
      </w:r>
      <w:r>
        <w:rPr>
          <w:rFonts w:hint="eastAsia" w:eastAsia="宋体" w:asciiTheme="majorHAnsi" w:hAnsiTheme="majorHAnsi" w:cstheme="majorBidi"/>
          <w:b/>
          <w:bCs/>
          <w:color w:val="auto"/>
          <w:kern w:val="2"/>
          <w:sz w:val="28"/>
          <w:szCs w:val="28"/>
          <w:highlight w:val="none"/>
          <w:lang w:val="en-US" w:eastAsia="zh-CN" w:bidi="ar-SA"/>
        </w:rPr>
        <w:t>、</w:t>
      </w:r>
      <w:r>
        <w:rPr>
          <w:rFonts w:hint="eastAsia" w:eastAsia="宋体" w:asciiTheme="majorHAnsi" w:hAnsiTheme="majorHAnsi" w:cstheme="majorBidi"/>
          <w:b/>
          <w:bCs/>
          <w:color w:val="auto"/>
          <w:kern w:val="2"/>
          <w:sz w:val="28"/>
          <w:szCs w:val="28"/>
          <w:highlight w:val="none"/>
          <w:lang w:val="zh-CN" w:eastAsia="zh-CN" w:bidi="ar-SA"/>
        </w:rPr>
        <w:t>其他资格证明文件</w:t>
      </w:r>
      <w:bookmarkEnd w:id="769"/>
    </w:p>
    <w:p w14:paraId="0C24F0AE">
      <w:pPr>
        <w:pStyle w:val="38"/>
        <w:rPr>
          <w:rFonts w:hint="eastAsia"/>
          <w:color w:val="auto"/>
          <w:highlight w:val="none"/>
        </w:rPr>
      </w:pPr>
      <w:r>
        <w:rPr>
          <w:rFonts w:hint="eastAsia" w:cs="Courier New"/>
          <w:color w:val="auto"/>
          <w:szCs w:val="24"/>
          <w:highlight w:val="none"/>
        </w:rPr>
        <w:t>投标人认为需提供的其它相关资格证明材料</w:t>
      </w:r>
    </w:p>
    <w:p w14:paraId="7C2C3E83">
      <w:pPr>
        <w:pStyle w:val="38"/>
        <w:rPr>
          <w:rFonts w:hint="eastAsia"/>
          <w:color w:val="auto"/>
          <w:highlight w:val="none"/>
        </w:rPr>
      </w:pPr>
    </w:p>
    <w:p w14:paraId="58A36194">
      <w:pPr>
        <w:pStyle w:val="38"/>
        <w:rPr>
          <w:rFonts w:hint="eastAsia"/>
          <w:color w:val="auto"/>
          <w:highlight w:val="none"/>
        </w:rPr>
      </w:pPr>
    </w:p>
    <w:p w14:paraId="3553B395">
      <w:pPr>
        <w:pStyle w:val="38"/>
        <w:rPr>
          <w:rFonts w:hint="eastAsia"/>
          <w:color w:val="auto"/>
          <w:highlight w:val="none"/>
        </w:rPr>
      </w:pPr>
    </w:p>
    <w:p w14:paraId="49D404FC">
      <w:pPr>
        <w:pStyle w:val="38"/>
        <w:rPr>
          <w:rFonts w:hint="eastAsia"/>
          <w:color w:val="auto"/>
          <w:highlight w:val="none"/>
        </w:rPr>
      </w:pPr>
    </w:p>
    <w:p w14:paraId="4B98E4B6">
      <w:pPr>
        <w:pStyle w:val="38"/>
        <w:rPr>
          <w:rFonts w:hint="eastAsia"/>
          <w:color w:val="auto"/>
          <w:highlight w:val="none"/>
        </w:rPr>
      </w:pPr>
    </w:p>
    <w:p w14:paraId="737FEDD3">
      <w:pPr>
        <w:pStyle w:val="38"/>
        <w:rPr>
          <w:rFonts w:hint="eastAsia"/>
          <w:color w:val="auto"/>
          <w:highlight w:val="none"/>
        </w:rPr>
      </w:pPr>
    </w:p>
    <w:p w14:paraId="1C876135">
      <w:pPr>
        <w:pStyle w:val="38"/>
        <w:rPr>
          <w:rFonts w:hint="eastAsia"/>
          <w:color w:val="auto"/>
          <w:highlight w:val="none"/>
        </w:rPr>
      </w:pPr>
    </w:p>
    <w:p w14:paraId="7E85C842">
      <w:pPr>
        <w:pStyle w:val="38"/>
        <w:rPr>
          <w:rFonts w:hint="eastAsia"/>
          <w:color w:val="auto"/>
          <w:highlight w:val="none"/>
        </w:rPr>
      </w:pPr>
    </w:p>
    <w:p w14:paraId="4CBE3B0D">
      <w:pPr>
        <w:pStyle w:val="38"/>
        <w:rPr>
          <w:rFonts w:hint="eastAsia"/>
          <w:color w:val="auto"/>
          <w:highlight w:val="none"/>
        </w:rPr>
      </w:pPr>
    </w:p>
    <w:p w14:paraId="2E6E451F">
      <w:pPr>
        <w:pStyle w:val="38"/>
        <w:rPr>
          <w:rFonts w:hint="eastAsia"/>
          <w:color w:val="auto"/>
          <w:highlight w:val="none"/>
        </w:rPr>
      </w:pPr>
    </w:p>
    <w:p w14:paraId="38DC2C55">
      <w:pPr>
        <w:pStyle w:val="38"/>
        <w:rPr>
          <w:rFonts w:hint="eastAsia"/>
          <w:color w:val="auto"/>
          <w:highlight w:val="none"/>
        </w:rPr>
      </w:pPr>
    </w:p>
    <w:p w14:paraId="04DAFD3C">
      <w:pPr>
        <w:pStyle w:val="38"/>
        <w:rPr>
          <w:rFonts w:hint="eastAsia"/>
          <w:color w:val="auto"/>
          <w:highlight w:val="none"/>
        </w:rPr>
      </w:pPr>
    </w:p>
    <w:p w14:paraId="51E24CDC">
      <w:pPr>
        <w:pStyle w:val="38"/>
        <w:rPr>
          <w:rFonts w:hint="eastAsia"/>
          <w:color w:val="auto"/>
          <w:highlight w:val="none"/>
        </w:rPr>
      </w:pPr>
    </w:p>
    <w:p w14:paraId="1AC1942E">
      <w:pPr>
        <w:pStyle w:val="38"/>
        <w:rPr>
          <w:rFonts w:hint="eastAsia"/>
          <w:color w:val="auto"/>
          <w:highlight w:val="none"/>
        </w:rPr>
      </w:pPr>
    </w:p>
    <w:p w14:paraId="4722E259">
      <w:pPr>
        <w:pStyle w:val="38"/>
        <w:rPr>
          <w:rFonts w:hint="eastAsia"/>
          <w:color w:val="auto"/>
          <w:highlight w:val="none"/>
        </w:rPr>
      </w:pPr>
    </w:p>
    <w:p w14:paraId="07033BD3">
      <w:pPr>
        <w:pStyle w:val="38"/>
        <w:rPr>
          <w:rFonts w:hint="eastAsia"/>
          <w:color w:val="auto"/>
          <w:highlight w:val="none"/>
        </w:rPr>
      </w:pPr>
    </w:p>
    <w:p w14:paraId="6E1D094D">
      <w:pPr>
        <w:pStyle w:val="38"/>
        <w:rPr>
          <w:rFonts w:hint="eastAsia"/>
          <w:color w:val="auto"/>
          <w:highlight w:val="none"/>
        </w:rPr>
      </w:pPr>
    </w:p>
    <w:p w14:paraId="23B0DB54">
      <w:pPr>
        <w:pStyle w:val="38"/>
        <w:rPr>
          <w:rFonts w:hint="eastAsia"/>
          <w:color w:val="auto"/>
          <w:highlight w:val="none"/>
        </w:rPr>
      </w:pPr>
    </w:p>
    <w:p w14:paraId="07159DF6">
      <w:pPr>
        <w:pStyle w:val="38"/>
        <w:rPr>
          <w:rFonts w:hint="eastAsia"/>
          <w:color w:val="auto"/>
          <w:highlight w:val="none"/>
        </w:rPr>
      </w:pPr>
    </w:p>
    <w:p w14:paraId="44B3A5AA">
      <w:pPr>
        <w:pStyle w:val="38"/>
        <w:rPr>
          <w:rFonts w:hint="eastAsia"/>
          <w:color w:val="auto"/>
          <w:highlight w:val="none"/>
        </w:rPr>
      </w:pPr>
    </w:p>
    <w:p w14:paraId="05BB178A">
      <w:pPr>
        <w:pStyle w:val="38"/>
        <w:rPr>
          <w:rFonts w:hint="eastAsia"/>
          <w:color w:val="auto"/>
          <w:highlight w:val="none"/>
        </w:rPr>
      </w:pPr>
    </w:p>
    <w:p w14:paraId="0E7980AB">
      <w:pPr>
        <w:pStyle w:val="38"/>
        <w:rPr>
          <w:rFonts w:hint="eastAsia"/>
          <w:color w:val="auto"/>
          <w:highlight w:val="none"/>
        </w:rPr>
      </w:pPr>
    </w:p>
    <w:p w14:paraId="5A09B930">
      <w:pPr>
        <w:pStyle w:val="38"/>
        <w:rPr>
          <w:rFonts w:hint="eastAsia"/>
          <w:color w:val="auto"/>
          <w:highlight w:val="none"/>
        </w:rPr>
      </w:pPr>
    </w:p>
    <w:p w14:paraId="3FB1F62E">
      <w:pPr>
        <w:pStyle w:val="38"/>
        <w:rPr>
          <w:rFonts w:hint="eastAsia"/>
          <w:color w:val="auto"/>
          <w:highlight w:val="none"/>
        </w:rPr>
      </w:pPr>
    </w:p>
    <w:p w14:paraId="69D25AC1">
      <w:pPr>
        <w:pStyle w:val="38"/>
        <w:rPr>
          <w:rFonts w:hint="eastAsia"/>
          <w:color w:val="auto"/>
          <w:highlight w:val="none"/>
        </w:rPr>
      </w:pPr>
    </w:p>
    <w:p w14:paraId="3E9AC4C9">
      <w:pPr>
        <w:pStyle w:val="38"/>
        <w:rPr>
          <w:rFonts w:hint="eastAsia"/>
          <w:color w:val="auto"/>
          <w:highlight w:val="none"/>
        </w:rPr>
      </w:pPr>
    </w:p>
    <w:p w14:paraId="7FB9AF51">
      <w:pPr>
        <w:pStyle w:val="60"/>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202CB8C4">
      <w:pPr>
        <w:ind w:firstLine="480" w:firstLineChars="200"/>
        <w:rPr>
          <w:rFonts w:cs="仿宋_GB2312"/>
          <w:color w:val="auto"/>
          <w:szCs w:val="24"/>
          <w:highlight w:val="none"/>
          <w:lang w:val="zh-CN"/>
        </w:rPr>
      </w:pPr>
      <w:r>
        <w:rPr>
          <w:rFonts w:hint="eastAsia" w:cs="仿宋_GB2312"/>
          <w:color w:val="auto"/>
          <w:szCs w:val="24"/>
          <w:highlight w:val="none"/>
          <w:lang w:val="zh-CN"/>
        </w:rPr>
        <w:t>封面：</w:t>
      </w:r>
    </w:p>
    <w:p w14:paraId="73A003D2">
      <w:pPr>
        <w:autoSpaceDE w:val="0"/>
        <w:autoSpaceDN w:val="0"/>
        <w:adjustRightInd w:val="0"/>
        <w:rPr>
          <w:color w:val="auto"/>
          <w:sz w:val="21"/>
          <w:szCs w:val="24"/>
          <w:highlight w:val="none"/>
        </w:rPr>
      </w:pPr>
    </w:p>
    <w:p w14:paraId="7773B439">
      <w:pPr>
        <w:autoSpaceDE w:val="0"/>
        <w:autoSpaceDN w:val="0"/>
        <w:adjustRightInd w:val="0"/>
        <w:rPr>
          <w:color w:val="auto"/>
          <w:sz w:val="21"/>
          <w:szCs w:val="24"/>
          <w:highlight w:val="none"/>
        </w:rPr>
      </w:pPr>
    </w:p>
    <w:p w14:paraId="2E04646F">
      <w:pPr>
        <w:autoSpaceDE w:val="0"/>
        <w:autoSpaceDN w:val="0"/>
        <w:adjustRightInd w:val="0"/>
        <w:jc w:val="center"/>
        <w:rPr>
          <w:color w:val="auto"/>
          <w:sz w:val="21"/>
          <w:szCs w:val="24"/>
          <w:highlight w:val="none"/>
        </w:rPr>
      </w:pPr>
    </w:p>
    <w:p w14:paraId="71180696">
      <w:pPr>
        <w:pStyle w:val="2"/>
        <w:bidi w:val="0"/>
        <w:jc w:val="center"/>
        <w:rPr>
          <w:sz w:val="84"/>
          <w:szCs w:val="84"/>
        </w:rPr>
      </w:pPr>
      <w:bookmarkStart w:id="770" w:name="_Toc19075"/>
      <w:r>
        <w:rPr>
          <w:rFonts w:hint="eastAsia"/>
          <w:sz w:val="84"/>
          <w:szCs w:val="84"/>
        </w:rPr>
        <w:t>投 标 文 件</w:t>
      </w:r>
      <w:bookmarkEnd w:id="770"/>
    </w:p>
    <w:p w14:paraId="31C74C30">
      <w:pPr>
        <w:pStyle w:val="2"/>
        <w:bidi w:val="0"/>
        <w:spacing w:before="0" w:after="0" w:line="240" w:lineRule="auto"/>
        <w:jc w:val="center"/>
        <w:rPr>
          <w:rFonts w:hint="eastAsia"/>
          <w:sz w:val="56"/>
          <w:szCs w:val="56"/>
          <w:lang w:val="en-US" w:eastAsia="zh-CN"/>
        </w:rPr>
      </w:pPr>
      <w:bookmarkStart w:id="771" w:name="_Toc11387"/>
      <w:r>
        <w:rPr>
          <w:rFonts w:hint="eastAsia"/>
          <w:sz w:val="56"/>
          <w:szCs w:val="56"/>
          <w:lang w:val="en-US" w:eastAsia="zh-CN"/>
        </w:rPr>
        <w:t>报价文件</w:t>
      </w:r>
      <w:bookmarkEnd w:id="771"/>
    </w:p>
    <w:p w14:paraId="2C10D330">
      <w:pPr>
        <w:autoSpaceDE w:val="0"/>
        <w:autoSpaceDN w:val="0"/>
        <w:adjustRightInd w:val="0"/>
        <w:jc w:val="center"/>
        <w:rPr>
          <w:rFonts w:hint="eastAsia" w:eastAsia="宋体"/>
          <w:color w:val="auto"/>
          <w:sz w:val="36"/>
          <w:szCs w:val="36"/>
          <w:highlight w:val="none"/>
          <w:lang w:eastAsia="zh-CN"/>
        </w:rPr>
      </w:pPr>
      <w:r>
        <w:rPr>
          <w:rFonts w:hint="eastAsia"/>
          <w:color w:val="auto"/>
          <w:sz w:val="36"/>
          <w:szCs w:val="36"/>
          <w:highlight w:val="none"/>
          <w:lang w:val="en-US" w:eastAsia="zh-CN"/>
        </w:rPr>
        <w:t>（第XX包</w:t>
      </w:r>
      <w:r>
        <w:rPr>
          <w:rFonts w:hint="eastAsia"/>
          <w:color w:val="auto"/>
          <w:sz w:val="36"/>
          <w:szCs w:val="36"/>
          <w:highlight w:val="none"/>
          <w:lang w:eastAsia="zh-CN"/>
        </w:rPr>
        <w:t>）</w:t>
      </w:r>
    </w:p>
    <w:p w14:paraId="001ADA03">
      <w:pPr>
        <w:pStyle w:val="2"/>
        <w:rPr>
          <w:color w:val="auto"/>
          <w:sz w:val="21"/>
          <w:szCs w:val="21"/>
          <w:highlight w:val="none"/>
        </w:rPr>
      </w:pPr>
    </w:p>
    <w:p w14:paraId="4800F1E7">
      <w:pPr>
        <w:rPr>
          <w:color w:val="auto"/>
          <w:sz w:val="21"/>
          <w:szCs w:val="21"/>
          <w:highlight w:val="none"/>
        </w:rPr>
      </w:pPr>
    </w:p>
    <w:p w14:paraId="4053884F">
      <w:pPr>
        <w:rPr>
          <w:color w:val="auto"/>
          <w:highlight w:val="none"/>
        </w:rPr>
      </w:pPr>
    </w:p>
    <w:p w14:paraId="5EABB570">
      <w:pPr>
        <w:autoSpaceDE w:val="0"/>
        <w:autoSpaceDN w:val="0"/>
        <w:adjustRightInd w:val="0"/>
        <w:rPr>
          <w:color w:val="auto"/>
          <w:sz w:val="21"/>
          <w:szCs w:val="21"/>
          <w:highlight w:val="none"/>
        </w:rPr>
      </w:pPr>
    </w:p>
    <w:p w14:paraId="4C687ECE">
      <w:pPr>
        <w:autoSpaceDE w:val="0"/>
        <w:autoSpaceDN w:val="0"/>
        <w:adjustRightInd w:val="0"/>
        <w:rPr>
          <w:color w:val="auto"/>
          <w:sz w:val="21"/>
          <w:szCs w:val="21"/>
          <w:highlight w:val="none"/>
        </w:rPr>
      </w:pPr>
    </w:p>
    <w:p w14:paraId="6F475132">
      <w:pPr>
        <w:ind w:left="420" w:leftChars="175"/>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lang w:val="en-US" w:eastAsia="zh-CN"/>
        </w:rPr>
        <w:t>/包号</w:t>
      </w:r>
      <w:r>
        <w:rPr>
          <w:rFonts w:hint="eastAsia" w:ascii="宋体" w:hAnsi="宋体" w:eastAsia="宋体" w:cs="宋体"/>
          <w:color w:val="auto"/>
          <w:sz w:val="36"/>
          <w:szCs w:val="36"/>
          <w:highlight w:val="none"/>
        </w:rPr>
        <w:t>：</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p>
    <w:p w14:paraId="0173F70E">
      <w:pPr>
        <w:ind w:left="420" w:leftChars="175"/>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项目名称：</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p>
    <w:p w14:paraId="101680F9">
      <w:pPr>
        <w:ind w:left="420" w:leftChars="175"/>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投</w:t>
      </w:r>
      <w:r>
        <w:rPr>
          <w:rFonts w:hint="eastAsia" w:ascii="宋体" w:hAnsi="宋体" w:eastAsia="宋体" w:cs="宋体"/>
          <w:color w:val="auto"/>
          <w:sz w:val="36"/>
          <w:szCs w:val="36"/>
          <w:highlight w:val="none"/>
          <w:lang w:val="en-US" w:eastAsia="zh-CN"/>
        </w:rPr>
        <w:t xml:space="preserve"> </w:t>
      </w:r>
      <w:r>
        <w:rPr>
          <w:rFonts w:hint="eastAsia" w:ascii="宋体" w:hAnsi="宋体" w:eastAsia="宋体" w:cs="宋体"/>
          <w:color w:val="auto"/>
          <w:sz w:val="36"/>
          <w:szCs w:val="36"/>
          <w:highlight w:val="none"/>
        </w:rPr>
        <w:t>标</w:t>
      </w:r>
      <w:r>
        <w:rPr>
          <w:rFonts w:hint="eastAsia" w:ascii="宋体" w:hAnsi="宋体" w:eastAsia="宋体" w:cs="宋体"/>
          <w:color w:val="auto"/>
          <w:sz w:val="36"/>
          <w:szCs w:val="36"/>
          <w:highlight w:val="none"/>
          <w:lang w:val="en-US" w:eastAsia="zh-CN"/>
        </w:rPr>
        <w:t xml:space="preserve"> </w:t>
      </w:r>
      <w:r>
        <w:rPr>
          <w:rFonts w:hint="eastAsia" w:ascii="宋体" w:hAnsi="宋体" w:eastAsia="宋体" w:cs="宋体"/>
          <w:color w:val="auto"/>
          <w:sz w:val="36"/>
          <w:szCs w:val="36"/>
          <w:highlight w:val="none"/>
        </w:rPr>
        <w:t>人：</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p>
    <w:p w14:paraId="13B6644C">
      <w:pPr>
        <w:ind w:left="840" w:firstLine="420"/>
        <w:rPr>
          <w:b/>
          <w:bCs/>
          <w:color w:val="auto"/>
          <w:sz w:val="28"/>
          <w:szCs w:val="28"/>
          <w:highlight w:val="none"/>
        </w:rPr>
      </w:pPr>
    </w:p>
    <w:p w14:paraId="01F64B59">
      <w:pPr>
        <w:ind w:left="840" w:firstLine="420"/>
        <w:rPr>
          <w:b/>
          <w:bCs/>
          <w:color w:val="auto"/>
          <w:sz w:val="28"/>
          <w:szCs w:val="28"/>
          <w:highlight w:val="none"/>
        </w:rPr>
      </w:pPr>
    </w:p>
    <w:p w14:paraId="1DC21250">
      <w:pPr>
        <w:jc w:val="center"/>
        <w:rPr>
          <w:rFonts w:ascii="黑体" w:hAnsi="黑体" w:eastAsia="黑体"/>
          <w:color w:val="auto"/>
          <w:sz w:val="32"/>
          <w:szCs w:val="32"/>
          <w:highlight w:val="none"/>
        </w:rPr>
      </w:pPr>
      <w:r>
        <w:rPr>
          <w:rFonts w:hint="eastAsia" w:ascii="宋体" w:hAnsi="宋体" w:eastAsia="宋体" w:cs="宋体"/>
          <w:color w:val="auto"/>
          <w:sz w:val="32"/>
          <w:szCs w:val="32"/>
          <w:highlight w:val="none"/>
        </w:rPr>
        <w:t>年   月    日</w:t>
      </w:r>
    </w:p>
    <w:p w14:paraId="2B025C97">
      <w:pPr>
        <w:rPr>
          <w:color w:val="auto"/>
          <w:highlight w:val="none"/>
          <w:lang w:val="zh-CN"/>
        </w:rPr>
      </w:pPr>
      <w:r>
        <w:rPr>
          <w:color w:val="auto"/>
          <w:highlight w:val="none"/>
          <w:lang w:val="zh-CN"/>
        </w:rPr>
        <w:br w:type="page"/>
      </w:r>
    </w:p>
    <w:p w14:paraId="5A6B7717">
      <w:pPr>
        <w:pStyle w:val="2"/>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cstheme="majorBidi"/>
          <w:b/>
          <w:bCs/>
          <w:color w:val="auto"/>
          <w:kern w:val="2"/>
          <w:sz w:val="32"/>
          <w:szCs w:val="32"/>
          <w:highlight w:val="none"/>
          <w:lang w:val="en-US" w:eastAsia="zh-CN" w:bidi="ar-SA"/>
        </w:rPr>
      </w:pPr>
    </w:p>
    <w:p w14:paraId="730DA0BC">
      <w:pPr>
        <w:pStyle w:val="2"/>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cstheme="majorBidi"/>
          <w:b/>
          <w:bCs/>
          <w:color w:val="auto"/>
          <w:kern w:val="2"/>
          <w:sz w:val="32"/>
          <w:szCs w:val="32"/>
          <w:highlight w:val="none"/>
          <w:lang w:val="en-US" w:eastAsia="zh-CN" w:bidi="ar-SA"/>
        </w:rPr>
      </w:pPr>
      <w:bookmarkStart w:id="772" w:name="_Toc28928"/>
      <w:r>
        <w:rPr>
          <w:rFonts w:hint="eastAsia" w:cstheme="majorBidi"/>
          <w:b/>
          <w:bCs/>
          <w:color w:val="auto"/>
          <w:kern w:val="2"/>
          <w:sz w:val="32"/>
          <w:szCs w:val="32"/>
          <w:highlight w:val="none"/>
          <w:lang w:val="en-US" w:eastAsia="zh-CN" w:bidi="ar-SA"/>
        </w:rPr>
        <w:t>一、开标一览表</w:t>
      </w:r>
      <w:bookmarkEnd w:id="772"/>
    </w:p>
    <w:p w14:paraId="2AB3D72A">
      <w:pPr>
        <w:spacing w:line="300" w:lineRule="auto"/>
        <w:rPr>
          <w:rFonts w:cs="仿宋_GB2312"/>
          <w:color w:val="auto"/>
          <w:szCs w:val="24"/>
          <w:highlight w:val="none"/>
        </w:rPr>
      </w:pPr>
    </w:p>
    <w:p w14:paraId="33486E36">
      <w:pPr>
        <w:rPr>
          <w:b w:val="0"/>
          <w:bCs/>
          <w:color w:val="auto"/>
          <w:szCs w:val="21"/>
          <w:highlight w:val="none"/>
          <w:lang w:val="zh-CN"/>
        </w:rPr>
      </w:pPr>
      <w:r>
        <w:rPr>
          <w:rFonts w:hint="eastAsia"/>
          <w:b w:val="0"/>
          <w:bCs/>
          <w:color w:val="auto"/>
          <w:szCs w:val="21"/>
          <w:highlight w:val="none"/>
          <w:lang w:val="zh-CN"/>
        </w:rPr>
        <w:t>项目名称：</w:t>
      </w:r>
      <w:r>
        <w:rPr>
          <w:rFonts w:hint="eastAsia"/>
          <w:b w:val="0"/>
          <w:bCs/>
          <w:color w:val="auto"/>
          <w:szCs w:val="21"/>
          <w:highlight w:val="none"/>
          <w:u w:val="single"/>
          <w:lang w:val="zh-CN"/>
        </w:rPr>
        <w:t xml:space="preserve">                     </w:t>
      </w:r>
    </w:p>
    <w:p w14:paraId="5940ECBC">
      <w:pPr>
        <w:rPr>
          <w:b w:val="0"/>
          <w:bCs/>
          <w:color w:val="auto"/>
          <w:szCs w:val="21"/>
          <w:highlight w:val="none"/>
          <w:u w:val="single"/>
          <w:lang w:val="zh-CN"/>
        </w:rPr>
      </w:pPr>
      <w:r>
        <w:rPr>
          <w:rFonts w:hint="eastAsia"/>
          <w:b w:val="0"/>
          <w:bCs/>
          <w:color w:val="auto"/>
          <w:szCs w:val="21"/>
          <w:highlight w:val="none"/>
          <w:lang w:val="zh-CN"/>
        </w:rPr>
        <w:t>项目编号</w:t>
      </w:r>
      <w:r>
        <w:rPr>
          <w:rFonts w:hint="eastAsia"/>
          <w:b w:val="0"/>
          <w:bCs/>
          <w:color w:val="auto"/>
          <w:szCs w:val="21"/>
          <w:highlight w:val="none"/>
          <w:lang w:val="en-US" w:eastAsia="zh-CN"/>
        </w:rPr>
        <w:t>/</w:t>
      </w:r>
      <w:r>
        <w:rPr>
          <w:rFonts w:hint="eastAsia"/>
          <w:b w:val="0"/>
          <w:bCs/>
          <w:color w:val="auto"/>
          <w:szCs w:val="21"/>
          <w:highlight w:val="none"/>
          <w:lang w:val="zh-CN"/>
        </w:rPr>
        <w:t>包号：</w:t>
      </w:r>
      <w:r>
        <w:rPr>
          <w:rFonts w:hint="eastAsia"/>
          <w:b w:val="0"/>
          <w:bCs/>
          <w:color w:val="auto"/>
          <w:szCs w:val="21"/>
          <w:highlight w:val="none"/>
          <w:u w:val="single"/>
          <w:lang w:val="zh-CN"/>
        </w:rPr>
        <w:t xml:space="preserve">                </w:t>
      </w:r>
    </w:p>
    <w:tbl>
      <w:tblPr>
        <w:tblStyle w:val="31"/>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2352"/>
        <w:gridCol w:w="2161"/>
        <w:gridCol w:w="2611"/>
      </w:tblGrid>
      <w:tr w14:paraId="5F27D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403" w:type="dxa"/>
            <w:vAlign w:val="center"/>
          </w:tcPr>
          <w:p w14:paraId="68B46E6E">
            <w:pPr>
              <w:widowControl/>
              <w:autoSpaceDE w:val="0"/>
              <w:autoSpaceDN w:val="0"/>
              <w:jc w:val="center"/>
              <w:textAlignment w:val="bottom"/>
              <w:rPr>
                <w:color w:val="auto"/>
                <w:sz w:val="24"/>
                <w:szCs w:val="24"/>
                <w:highlight w:val="none"/>
              </w:rPr>
            </w:pPr>
            <w:r>
              <w:rPr>
                <w:rFonts w:hint="eastAsia"/>
                <w:color w:val="auto"/>
                <w:sz w:val="24"/>
                <w:szCs w:val="24"/>
                <w:highlight w:val="none"/>
              </w:rPr>
              <w:t>序号</w:t>
            </w:r>
          </w:p>
        </w:tc>
        <w:tc>
          <w:tcPr>
            <w:tcW w:w="2352" w:type="dxa"/>
            <w:vAlign w:val="center"/>
          </w:tcPr>
          <w:p w14:paraId="5D10FF2E">
            <w:pPr>
              <w:widowControl/>
              <w:autoSpaceDE w:val="0"/>
              <w:autoSpaceDN w:val="0"/>
              <w:ind w:left="851" w:hanging="851"/>
              <w:jc w:val="center"/>
              <w:textAlignment w:val="bottom"/>
              <w:rPr>
                <w:color w:val="auto"/>
                <w:sz w:val="24"/>
                <w:szCs w:val="24"/>
                <w:highlight w:val="none"/>
              </w:rPr>
            </w:pPr>
            <w:r>
              <w:rPr>
                <w:rFonts w:hint="eastAsia"/>
                <w:color w:val="auto"/>
                <w:sz w:val="24"/>
                <w:szCs w:val="24"/>
                <w:highlight w:val="none"/>
              </w:rPr>
              <w:t>投标报价</w:t>
            </w:r>
          </w:p>
        </w:tc>
        <w:tc>
          <w:tcPr>
            <w:tcW w:w="2161" w:type="dxa"/>
            <w:vAlign w:val="center"/>
          </w:tcPr>
          <w:p w14:paraId="48CC1886">
            <w:pPr>
              <w:widowControl/>
              <w:autoSpaceDE w:val="0"/>
              <w:autoSpaceDN w:val="0"/>
              <w:ind w:left="851" w:hanging="851"/>
              <w:jc w:val="center"/>
              <w:textAlignment w:val="bottom"/>
              <w:rPr>
                <w:color w:val="auto"/>
                <w:sz w:val="24"/>
                <w:szCs w:val="24"/>
                <w:highlight w:val="none"/>
              </w:rPr>
            </w:pPr>
            <w:r>
              <w:rPr>
                <w:rFonts w:hint="eastAsia"/>
                <w:color w:val="auto"/>
                <w:sz w:val="24"/>
                <w:szCs w:val="24"/>
                <w:highlight w:val="none"/>
                <w:lang w:val="en-US" w:eastAsia="zh-CN"/>
              </w:rPr>
              <w:t>服务</w:t>
            </w:r>
            <w:r>
              <w:rPr>
                <w:rFonts w:hint="eastAsia"/>
                <w:color w:val="auto"/>
                <w:sz w:val="24"/>
                <w:szCs w:val="24"/>
                <w:highlight w:val="none"/>
              </w:rPr>
              <w:t>期限</w:t>
            </w:r>
          </w:p>
        </w:tc>
        <w:tc>
          <w:tcPr>
            <w:tcW w:w="2611" w:type="dxa"/>
            <w:vAlign w:val="center"/>
          </w:tcPr>
          <w:p w14:paraId="620875ED">
            <w:pPr>
              <w:widowControl/>
              <w:autoSpaceDE w:val="0"/>
              <w:autoSpaceDN w:val="0"/>
              <w:jc w:val="center"/>
              <w:textAlignment w:val="bottom"/>
              <w:rPr>
                <w:color w:val="auto"/>
                <w:sz w:val="24"/>
                <w:szCs w:val="24"/>
                <w:highlight w:val="none"/>
              </w:rPr>
            </w:pPr>
            <w:r>
              <w:rPr>
                <w:rFonts w:hint="eastAsia"/>
                <w:color w:val="auto"/>
                <w:sz w:val="24"/>
                <w:szCs w:val="24"/>
                <w:highlight w:val="none"/>
              </w:rPr>
              <w:t>备注（如有）</w:t>
            </w:r>
          </w:p>
        </w:tc>
      </w:tr>
      <w:tr w14:paraId="1B090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1403" w:type="dxa"/>
            <w:vAlign w:val="center"/>
          </w:tcPr>
          <w:p w14:paraId="73431128">
            <w:pPr>
              <w:jc w:val="center"/>
              <w:rPr>
                <w:color w:val="auto"/>
                <w:sz w:val="24"/>
                <w:szCs w:val="24"/>
                <w:highlight w:val="none"/>
              </w:rPr>
            </w:pPr>
          </w:p>
        </w:tc>
        <w:tc>
          <w:tcPr>
            <w:tcW w:w="2352" w:type="dxa"/>
            <w:vAlign w:val="center"/>
          </w:tcPr>
          <w:p w14:paraId="45A40F19">
            <w:pPr>
              <w:widowControl/>
              <w:autoSpaceDE w:val="0"/>
              <w:autoSpaceDN w:val="0"/>
              <w:spacing w:line="240" w:lineRule="auto"/>
              <w:ind w:left="851" w:hanging="851"/>
              <w:jc w:val="both"/>
              <w:textAlignment w:val="bottom"/>
              <w:rPr>
                <w:rFonts w:hint="eastAsia"/>
                <w:color w:val="auto"/>
                <w:sz w:val="24"/>
                <w:szCs w:val="24"/>
                <w:highlight w:val="none"/>
                <w:lang w:val="en-US" w:eastAsia="zh-CN"/>
              </w:rPr>
            </w:pPr>
            <w:r>
              <w:rPr>
                <w:rFonts w:hint="eastAsia"/>
                <w:color w:val="auto"/>
                <w:sz w:val="24"/>
                <w:szCs w:val="24"/>
                <w:highlight w:val="none"/>
                <w:lang w:val="en-US" w:eastAsia="zh-CN"/>
              </w:rPr>
              <w:t>小写：</w:t>
            </w:r>
          </w:p>
          <w:p w14:paraId="52F86517">
            <w:pPr>
              <w:jc w:val="both"/>
              <w:rPr>
                <w:color w:val="auto"/>
                <w:sz w:val="24"/>
                <w:szCs w:val="24"/>
                <w:highlight w:val="none"/>
              </w:rPr>
            </w:pPr>
            <w:r>
              <w:rPr>
                <w:rFonts w:hint="eastAsia"/>
                <w:color w:val="auto"/>
                <w:sz w:val="24"/>
                <w:szCs w:val="24"/>
                <w:highlight w:val="none"/>
                <w:lang w:val="en-US" w:eastAsia="zh-CN"/>
              </w:rPr>
              <w:t>大写：</w:t>
            </w:r>
          </w:p>
        </w:tc>
        <w:tc>
          <w:tcPr>
            <w:tcW w:w="2161" w:type="dxa"/>
            <w:vAlign w:val="center"/>
          </w:tcPr>
          <w:p w14:paraId="3409D243">
            <w:pPr>
              <w:jc w:val="center"/>
              <w:rPr>
                <w:color w:val="auto"/>
                <w:sz w:val="24"/>
                <w:szCs w:val="24"/>
                <w:highlight w:val="none"/>
              </w:rPr>
            </w:pPr>
          </w:p>
        </w:tc>
        <w:tc>
          <w:tcPr>
            <w:tcW w:w="2611" w:type="dxa"/>
            <w:vAlign w:val="center"/>
          </w:tcPr>
          <w:p w14:paraId="35602B49">
            <w:pPr>
              <w:jc w:val="center"/>
              <w:rPr>
                <w:color w:val="auto"/>
                <w:sz w:val="24"/>
                <w:szCs w:val="24"/>
                <w:highlight w:val="none"/>
              </w:rPr>
            </w:pPr>
          </w:p>
        </w:tc>
      </w:tr>
    </w:tbl>
    <w:p w14:paraId="486E37D7">
      <w:pPr>
        <w:spacing w:line="300" w:lineRule="auto"/>
        <w:rPr>
          <w:rFonts w:ascii="Arial" w:hAnsi="Arial" w:cs="Arial"/>
          <w:color w:val="auto"/>
          <w:szCs w:val="21"/>
          <w:highlight w:val="none"/>
          <w:u w:val="single"/>
        </w:rPr>
      </w:pPr>
    </w:p>
    <w:p w14:paraId="0270EFB4">
      <w:pPr>
        <w:spacing w:line="300" w:lineRule="auto"/>
        <w:rPr>
          <w:rFonts w:ascii="Arial" w:hAnsi="Arial" w:cs="Arial"/>
          <w:color w:val="auto"/>
          <w:szCs w:val="21"/>
          <w:highlight w:val="none"/>
        </w:rPr>
      </w:pPr>
      <w:r>
        <w:rPr>
          <w:rFonts w:ascii="Arial" w:hAnsi="Arial" w:cs="Arial"/>
          <w:color w:val="auto"/>
          <w:szCs w:val="21"/>
          <w:highlight w:val="none"/>
        </w:rPr>
        <w:t>投标人名称</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r>
        <w:rPr>
          <w:rFonts w:ascii="Arial" w:hAnsi="Arial" w:cs="Arial"/>
          <w:color w:val="auto"/>
          <w:szCs w:val="21"/>
          <w:highlight w:val="none"/>
        </w:rPr>
        <w:t>：</w:t>
      </w:r>
    </w:p>
    <w:p w14:paraId="6302F8A6">
      <w:pPr>
        <w:spacing w:line="300" w:lineRule="auto"/>
        <w:rPr>
          <w:rFonts w:ascii="Arial" w:hAnsi="Arial" w:cs="Arial"/>
          <w:color w:val="auto"/>
          <w:szCs w:val="21"/>
          <w:highlight w:val="none"/>
          <w:u w:val="single"/>
        </w:rPr>
      </w:pPr>
      <w:r>
        <w:rPr>
          <w:rFonts w:ascii="Arial" w:hAnsi="Arial" w:cs="Arial"/>
          <w:color w:val="auto"/>
          <w:szCs w:val="21"/>
          <w:highlight w:val="none"/>
        </w:rPr>
        <w:t>日期：</w:t>
      </w:r>
    </w:p>
    <w:p w14:paraId="722CC087">
      <w:pPr>
        <w:rPr>
          <w:rFonts w:cs="Arial"/>
          <w:color w:val="auto"/>
          <w:szCs w:val="24"/>
          <w:highlight w:val="none"/>
        </w:rPr>
      </w:pPr>
    </w:p>
    <w:p w14:paraId="21BB3A26">
      <w:pPr>
        <w:pStyle w:val="10"/>
        <w:rPr>
          <w:rFonts w:cs="Arial"/>
          <w:color w:val="auto"/>
          <w:szCs w:val="24"/>
          <w:highlight w:val="none"/>
        </w:rPr>
      </w:pPr>
    </w:p>
    <w:p w14:paraId="4C551945">
      <w:pPr>
        <w:pStyle w:val="10"/>
        <w:rPr>
          <w:rFonts w:cs="Arial"/>
          <w:color w:val="auto"/>
          <w:szCs w:val="24"/>
          <w:highlight w:val="none"/>
        </w:rPr>
      </w:pPr>
    </w:p>
    <w:p w14:paraId="09ACCEBB">
      <w:pPr>
        <w:pStyle w:val="10"/>
        <w:rPr>
          <w:rFonts w:cs="Arial"/>
          <w:color w:val="auto"/>
          <w:szCs w:val="24"/>
          <w:highlight w:val="none"/>
        </w:rPr>
      </w:pPr>
    </w:p>
    <w:p w14:paraId="54CAC625">
      <w:pPr>
        <w:pStyle w:val="10"/>
        <w:rPr>
          <w:rFonts w:cs="Arial"/>
          <w:color w:val="auto"/>
          <w:szCs w:val="24"/>
          <w:highlight w:val="none"/>
        </w:rPr>
      </w:pPr>
    </w:p>
    <w:p w14:paraId="5D119674">
      <w:pPr>
        <w:spacing w:line="360" w:lineRule="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注：</w:t>
      </w:r>
    </w:p>
    <w:p w14:paraId="7BF32ACE">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1.此表用于开标唱标之用。</w:t>
      </w:r>
    </w:p>
    <w:p w14:paraId="7C885789">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2.表中投标报价即为优惠后报价，并作为评审及定标依据。任何有选择或有条件的投标报价，或者表中某一包填写多个报价，均为无效报价。</w:t>
      </w:r>
    </w:p>
    <w:p w14:paraId="3B3B887F">
      <w:pPr>
        <w:pStyle w:val="10"/>
        <w:ind w:firstLine="420" w:firstLineChars="200"/>
        <w:rPr>
          <w:rFonts w:hint="eastAsia" w:ascii="宋体" w:hAnsi="宋体" w:eastAsia="宋体" w:cs="宋体"/>
          <w:color w:val="auto"/>
          <w:sz w:val="24"/>
          <w:szCs w:val="24"/>
          <w:highlight w:val="none"/>
        </w:rPr>
        <w:sectPr>
          <w:headerReference r:id="rId9" w:type="default"/>
          <w:footerReference r:id="rId10" w:type="default"/>
          <w:pgSz w:w="11905" w:h="16840"/>
          <w:pgMar w:top="1440" w:right="1797" w:bottom="1440" w:left="1797" w:header="851" w:footer="850" w:gutter="0"/>
          <w:pgBorders>
            <w:top w:val="none" w:sz="0" w:space="0"/>
            <w:left w:val="none" w:sz="0" w:space="0"/>
            <w:bottom w:val="none" w:sz="0" w:space="0"/>
            <w:right w:val="none" w:sz="0" w:space="0"/>
          </w:pgBorders>
          <w:pgNumType w:fmt="numberInDash"/>
          <w:cols w:space="720" w:num="1"/>
        </w:sect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.表中大写与小写不一致的，以大写为准。</w:t>
      </w:r>
    </w:p>
    <w:p w14:paraId="7B2B178E">
      <w:pPr>
        <w:pStyle w:val="2"/>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cstheme="majorBidi"/>
          <w:b/>
          <w:bCs/>
          <w:color w:val="auto"/>
          <w:kern w:val="2"/>
          <w:sz w:val="32"/>
          <w:szCs w:val="32"/>
          <w:highlight w:val="none"/>
          <w:lang w:val="en-US" w:eastAsia="zh-CN" w:bidi="ar-SA"/>
        </w:rPr>
      </w:pPr>
      <w:bookmarkStart w:id="773" w:name="_Toc17062"/>
      <w:r>
        <w:rPr>
          <w:rFonts w:hint="eastAsia" w:cstheme="majorBidi"/>
          <w:b/>
          <w:bCs/>
          <w:color w:val="auto"/>
          <w:kern w:val="2"/>
          <w:sz w:val="32"/>
          <w:szCs w:val="32"/>
          <w:highlight w:val="none"/>
          <w:lang w:val="en-US" w:eastAsia="zh-CN" w:bidi="ar-SA"/>
        </w:rPr>
        <w:t>二、分项报价表</w:t>
      </w:r>
      <w:bookmarkEnd w:id="773"/>
    </w:p>
    <w:p w14:paraId="25D833CC">
      <w:pPr>
        <w:rPr>
          <w:b w:val="0"/>
          <w:bCs/>
          <w:color w:val="auto"/>
          <w:szCs w:val="21"/>
          <w:highlight w:val="none"/>
          <w:lang w:val="zh-CN"/>
        </w:rPr>
      </w:pPr>
      <w:r>
        <w:rPr>
          <w:rFonts w:hint="eastAsia"/>
          <w:b w:val="0"/>
          <w:bCs/>
          <w:color w:val="auto"/>
          <w:szCs w:val="21"/>
          <w:highlight w:val="none"/>
          <w:lang w:val="zh-CN"/>
        </w:rPr>
        <w:t>项目名称：</w:t>
      </w:r>
      <w:r>
        <w:rPr>
          <w:rFonts w:hint="eastAsia"/>
          <w:b w:val="0"/>
          <w:bCs/>
          <w:color w:val="auto"/>
          <w:szCs w:val="21"/>
          <w:highlight w:val="none"/>
          <w:u w:val="single"/>
          <w:lang w:val="zh-CN"/>
        </w:rPr>
        <w:t xml:space="preserve">                  </w:t>
      </w:r>
      <w:r>
        <w:rPr>
          <w:rFonts w:hint="eastAsia"/>
          <w:b w:val="0"/>
          <w:bCs/>
          <w:color w:val="auto"/>
          <w:szCs w:val="21"/>
          <w:highlight w:val="none"/>
          <w:u w:val="single"/>
          <w:lang w:val="en-US" w:eastAsia="zh-CN"/>
        </w:rPr>
        <w:t xml:space="preserve">     </w:t>
      </w:r>
      <w:r>
        <w:rPr>
          <w:rFonts w:hint="eastAsia"/>
          <w:b w:val="0"/>
          <w:bCs/>
          <w:color w:val="auto"/>
          <w:szCs w:val="21"/>
          <w:highlight w:val="none"/>
          <w:u w:val="single"/>
          <w:lang w:val="zh-CN"/>
        </w:rPr>
        <w:t xml:space="preserve">   </w:t>
      </w:r>
    </w:p>
    <w:p w14:paraId="6FFFD51E">
      <w:pPr>
        <w:rPr>
          <w:rFonts w:hint="eastAsia"/>
          <w:b w:val="0"/>
          <w:bCs/>
          <w:color w:val="auto"/>
          <w:szCs w:val="21"/>
          <w:highlight w:val="none"/>
          <w:u w:val="single"/>
          <w:lang w:val="zh-CN"/>
        </w:rPr>
      </w:pPr>
      <w:r>
        <w:rPr>
          <w:rFonts w:hint="eastAsia"/>
          <w:b w:val="0"/>
          <w:bCs/>
          <w:color w:val="auto"/>
          <w:szCs w:val="21"/>
          <w:highlight w:val="none"/>
          <w:lang w:val="zh-CN"/>
        </w:rPr>
        <w:t>项目编号</w:t>
      </w:r>
      <w:r>
        <w:rPr>
          <w:rFonts w:hint="eastAsia"/>
          <w:b w:val="0"/>
          <w:bCs/>
          <w:color w:val="auto"/>
          <w:szCs w:val="21"/>
          <w:highlight w:val="none"/>
          <w:lang w:val="en-US" w:eastAsia="zh-CN"/>
        </w:rPr>
        <w:t>/</w:t>
      </w:r>
      <w:r>
        <w:rPr>
          <w:rFonts w:hint="eastAsia"/>
          <w:b w:val="0"/>
          <w:bCs/>
          <w:color w:val="auto"/>
          <w:szCs w:val="21"/>
          <w:highlight w:val="none"/>
          <w:lang w:val="zh-CN"/>
        </w:rPr>
        <w:t>包号：</w:t>
      </w:r>
      <w:r>
        <w:rPr>
          <w:rFonts w:hint="eastAsia"/>
          <w:b w:val="0"/>
          <w:bCs/>
          <w:color w:val="auto"/>
          <w:szCs w:val="21"/>
          <w:highlight w:val="none"/>
          <w:u w:val="single"/>
          <w:lang w:val="zh-CN"/>
        </w:rPr>
        <w:t xml:space="preserve">                     </w:t>
      </w:r>
    </w:p>
    <w:tbl>
      <w:tblPr>
        <w:tblStyle w:val="31"/>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3720"/>
        <w:gridCol w:w="1065"/>
        <w:gridCol w:w="1065"/>
        <w:gridCol w:w="1066"/>
        <w:gridCol w:w="947"/>
      </w:tblGrid>
      <w:tr w14:paraId="64BB0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0359B3E0">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3720" w:type="dxa"/>
            <w:vAlign w:val="center"/>
          </w:tcPr>
          <w:p w14:paraId="088C5C15">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p>
        </w:tc>
        <w:tc>
          <w:tcPr>
            <w:tcW w:w="1065" w:type="dxa"/>
            <w:vAlign w:val="center"/>
          </w:tcPr>
          <w:p w14:paraId="73E95872">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1065" w:type="dxa"/>
            <w:vAlign w:val="center"/>
          </w:tcPr>
          <w:p w14:paraId="46AE39CD">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单价（元）</w:t>
            </w:r>
          </w:p>
        </w:tc>
        <w:tc>
          <w:tcPr>
            <w:tcW w:w="1066" w:type="dxa"/>
            <w:vAlign w:val="center"/>
          </w:tcPr>
          <w:p w14:paraId="39D56880">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w:t>
            </w:r>
            <w:r>
              <w:rPr>
                <w:rFonts w:hint="eastAsia" w:ascii="宋体" w:hAnsi="宋体" w:eastAsia="宋体" w:cs="宋体"/>
                <w:color w:val="auto"/>
                <w:sz w:val="21"/>
                <w:szCs w:val="21"/>
                <w:highlight w:val="none"/>
              </w:rPr>
              <w:t>价</w:t>
            </w:r>
          </w:p>
        </w:tc>
        <w:tc>
          <w:tcPr>
            <w:tcW w:w="947" w:type="dxa"/>
            <w:vAlign w:val="center"/>
          </w:tcPr>
          <w:p w14:paraId="7A267799">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467AA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2A5FF6D0">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720" w:type="dxa"/>
            <w:vAlign w:val="center"/>
          </w:tcPr>
          <w:p w14:paraId="07A38CC0">
            <w:pPr>
              <w:adjustRightInd w:val="0"/>
              <w:snapToGrid w:val="0"/>
              <w:spacing w:line="240" w:lineRule="auto"/>
              <w:jc w:val="center"/>
              <w:rPr>
                <w:rFonts w:hint="eastAsia" w:ascii="宋体" w:hAnsi="宋体" w:eastAsia="宋体" w:cs="宋体"/>
                <w:color w:val="auto"/>
                <w:sz w:val="21"/>
                <w:szCs w:val="21"/>
                <w:highlight w:val="none"/>
              </w:rPr>
            </w:pPr>
          </w:p>
        </w:tc>
        <w:tc>
          <w:tcPr>
            <w:tcW w:w="1065" w:type="dxa"/>
            <w:vAlign w:val="center"/>
          </w:tcPr>
          <w:p w14:paraId="0D2CE283">
            <w:pPr>
              <w:adjustRightInd w:val="0"/>
              <w:snapToGrid w:val="0"/>
              <w:spacing w:line="240" w:lineRule="auto"/>
              <w:jc w:val="center"/>
              <w:rPr>
                <w:rFonts w:hint="eastAsia" w:ascii="宋体" w:hAnsi="宋体" w:eastAsia="宋体" w:cs="宋体"/>
                <w:color w:val="auto"/>
                <w:sz w:val="21"/>
                <w:szCs w:val="21"/>
                <w:highlight w:val="none"/>
              </w:rPr>
            </w:pPr>
          </w:p>
        </w:tc>
        <w:tc>
          <w:tcPr>
            <w:tcW w:w="1065" w:type="dxa"/>
            <w:vAlign w:val="center"/>
          </w:tcPr>
          <w:p w14:paraId="347A98B0">
            <w:pPr>
              <w:adjustRightInd w:val="0"/>
              <w:snapToGrid w:val="0"/>
              <w:spacing w:line="240" w:lineRule="auto"/>
              <w:jc w:val="center"/>
              <w:rPr>
                <w:rFonts w:hint="eastAsia" w:ascii="宋体" w:hAnsi="宋体" w:eastAsia="宋体" w:cs="宋体"/>
                <w:color w:val="auto"/>
                <w:sz w:val="21"/>
                <w:szCs w:val="21"/>
                <w:highlight w:val="none"/>
              </w:rPr>
            </w:pPr>
          </w:p>
        </w:tc>
        <w:tc>
          <w:tcPr>
            <w:tcW w:w="1066" w:type="dxa"/>
            <w:vAlign w:val="center"/>
          </w:tcPr>
          <w:p w14:paraId="439055D0">
            <w:pPr>
              <w:adjustRightInd w:val="0"/>
              <w:snapToGrid w:val="0"/>
              <w:spacing w:line="240" w:lineRule="auto"/>
              <w:jc w:val="center"/>
              <w:rPr>
                <w:rFonts w:hint="eastAsia" w:ascii="宋体" w:hAnsi="宋体" w:eastAsia="宋体" w:cs="宋体"/>
                <w:color w:val="auto"/>
                <w:sz w:val="21"/>
                <w:szCs w:val="21"/>
                <w:highlight w:val="none"/>
              </w:rPr>
            </w:pPr>
          </w:p>
        </w:tc>
        <w:tc>
          <w:tcPr>
            <w:tcW w:w="947" w:type="dxa"/>
            <w:vAlign w:val="center"/>
          </w:tcPr>
          <w:p w14:paraId="53350EE9">
            <w:pPr>
              <w:adjustRightInd w:val="0"/>
              <w:snapToGrid w:val="0"/>
              <w:spacing w:line="240" w:lineRule="auto"/>
              <w:jc w:val="center"/>
              <w:rPr>
                <w:rFonts w:hint="eastAsia" w:ascii="宋体" w:hAnsi="宋体" w:eastAsia="宋体" w:cs="宋体"/>
                <w:color w:val="auto"/>
                <w:sz w:val="21"/>
                <w:szCs w:val="21"/>
                <w:highlight w:val="none"/>
              </w:rPr>
            </w:pPr>
          </w:p>
        </w:tc>
      </w:tr>
      <w:tr w14:paraId="510BB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70E786EF">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720" w:type="dxa"/>
            <w:vAlign w:val="center"/>
          </w:tcPr>
          <w:p w14:paraId="19F17531">
            <w:pPr>
              <w:adjustRightInd w:val="0"/>
              <w:snapToGrid w:val="0"/>
              <w:spacing w:line="240" w:lineRule="auto"/>
              <w:jc w:val="center"/>
              <w:rPr>
                <w:rFonts w:hint="eastAsia" w:ascii="宋体" w:hAnsi="宋体" w:eastAsia="宋体" w:cs="宋体"/>
                <w:color w:val="auto"/>
                <w:sz w:val="21"/>
                <w:szCs w:val="21"/>
                <w:highlight w:val="none"/>
              </w:rPr>
            </w:pPr>
          </w:p>
        </w:tc>
        <w:tc>
          <w:tcPr>
            <w:tcW w:w="1065" w:type="dxa"/>
            <w:vAlign w:val="center"/>
          </w:tcPr>
          <w:p w14:paraId="5FA2A257">
            <w:pPr>
              <w:adjustRightInd w:val="0"/>
              <w:snapToGrid w:val="0"/>
              <w:spacing w:line="240" w:lineRule="auto"/>
              <w:jc w:val="center"/>
              <w:rPr>
                <w:rFonts w:hint="eastAsia" w:ascii="宋体" w:hAnsi="宋体" w:eastAsia="宋体" w:cs="宋体"/>
                <w:color w:val="auto"/>
                <w:sz w:val="21"/>
                <w:szCs w:val="21"/>
                <w:highlight w:val="none"/>
              </w:rPr>
            </w:pPr>
          </w:p>
        </w:tc>
        <w:tc>
          <w:tcPr>
            <w:tcW w:w="1065" w:type="dxa"/>
            <w:vAlign w:val="center"/>
          </w:tcPr>
          <w:p w14:paraId="634862ED">
            <w:pPr>
              <w:adjustRightInd w:val="0"/>
              <w:snapToGrid w:val="0"/>
              <w:spacing w:line="240" w:lineRule="auto"/>
              <w:jc w:val="center"/>
              <w:rPr>
                <w:rFonts w:hint="eastAsia" w:ascii="宋体" w:hAnsi="宋体" w:eastAsia="宋体" w:cs="宋体"/>
                <w:color w:val="auto"/>
                <w:sz w:val="21"/>
                <w:szCs w:val="21"/>
                <w:highlight w:val="none"/>
              </w:rPr>
            </w:pPr>
          </w:p>
        </w:tc>
        <w:tc>
          <w:tcPr>
            <w:tcW w:w="1066" w:type="dxa"/>
            <w:vAlign w:val="center"/>
          </w:tcPr>
          <w:p w14:paraId="604070DF">
            <w:pPr>
              <w:adjustRightInd w:val="0"/>
              <w:snapToGrid w:val="0"/>
              <w:spacing w:line="240" w:lineRule="auto"/>
              <w:jc w:val="center"/>
              <w:rPr>
                <w:rFonts w:hint="eastAsia" w:ascii="宋体" w:hAnsi="宋体" w:eastAsia="宋体" w:cs="宋体"/>
                <w:color w:val="auto"/>
                <w:sz w:val="21"/>
                <w:szCs w:val="21"/>
                <w:highlight w:val="none"/>
              </w:rPr>
            </w:pPr>
          </w:p>
        </w:tc>
        <w:tc>
          <w:tcPr>
            <w:tcW w:w="947" w:type="dxa"/>
            <w:vAlign w:val="center"/>
          </w:tcPr>
          <w:p w14:paraId="45B52869">
            <w:pPr>
              <w:adjustRightInd w:val="0"/>
              <w:snapToGrid w:val="0"/>
              <w:spacing w:line="240" w:lineRule="auto"/>
              <w:jc w:val="center"/>
              <w:rPr>
                <w:rFonts w:hint="eastAsia" w:ascii="宋体" w:hAnsi="宋体" w:eastAsia="宋体" w:cs="宋体"/>
                <w:color w:val="auto"/>
                <w:sz w:val="21"/>
                <w:szCs w:val="21"/>
                <w:highlight w:val="none"/>
              </w:rPr>
            </w:pPr>
          </w:p>
        </w:tc>
      </w:tr>
      <w:tr w14:paraId="10220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447A33D5">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3720" w:type="dxa"/>
            <w:vAlign w:val="center"/>
          </w:tcPr>
          <w:p w14:paraId="7605B56B">
            <w:pPr>
              <w:adjustRightInd w:val="0"/>
              <w:snapToGrid w:val="0"/>
              <w:spacing w:line="240" w:lineRule="auto"/>
              <w:jc w:val="center"/>
              <w:rPr>
                <w:rFonts w:hint="eastAsia" w:ascii="宋体" w:hAnsi="宋体" w:eastAsia="宋体" w:cs="宋体"/>
                <w:color w:val="auto"/>
                <w:sz w:val="21"/>
                <w:szCs w:val="21"/>
                <w:highlight w:val="none"/>
              </w:rPr>
            </w:pPr>
          </w:p>
        </w:tc>
        <w:tc>
          <w:tcPr>
            <w:tcW w:w="1065" w:type="dxa"/>
            <w:vAlign w:val="center"/>
          </w:tcPr>
          <w:p w14:paraId="2DB12A28">
            <w:pPr>
              <w:adjustRightInd w:val="0"/>
              <w:snapToGrid w:val="0"/>
              <w:spacing w:line="240" w:lineRule="auto"/>
              <w:jc w:val="center"/>
              <w:rPr>
                <w:rFonts w:hint="eastAsia" w:ascii="宋体" w:hAnsi="宋体" w:eastAsia="宋体" w:cs="宋体"/>
                <w:color w:val="auto"/>
                <w:sz w:val="21"/>
                <w:szCs w:val="21"/>
                <w:highlight w:val="none"/>
              </w:rPr>
            </w:pPr>
          </w:p>
        </w:tc>
        <w:tc>
          <w:tcPr>
            <w:tcW w:w="1065" w:type="dxa"/>
            <w:vAlign w:val="center"/>
          </w:tcPr>
          <w:p w14:paraId="317BFF74">
            <w:pPr>
              <w:adjustRightInd w:val="0"/>
              <w:snapToGrid w:val="0"/>
              <w:spacing w:line="240" w:lineRule="auto"/>
              <w:jc w:val="center"/>
              <w:rPr>
                <w:rFonts w:hint="eastAsia" w:ascii="宋体" w:hAnsi="宋体" w:eastAsia="宋体" w:cs="宋体"/>
                <w:color w:val="auto"/>
                <w:sz w:val="21"/>
                <w:szCs w:val="21"/>
                <w:highlight w:val="none"/>
              </w:rPr>
            </w:pPr>
          </w:p>
        </w:tc>
        <w:tc>
          <w:tcPr>
            <w:tcW w:w="1066" w:type="dxa"/>
            <w:vAlign w:val="center"/>
          </w:tcPr>
          <w:p w14:paraId="4B6F17D3">
            <w:pPr>
              <w:adjustRightInd w:val="0"/>
              <w:snapToGrid w:val="0"/>
              <w:spacing w:line="240" w:lineRule="auto"/>
              <w:jc w:val="center"/>
              <w:rPr>
                <w:rFonts w:hint="eastAsia" w:ascii="宋体" w:hAnsi="宋体" w:eastAsia="宋体" w:cs="宋体"/>
                <w:color w:val="auto"/>
                <w:sz w:val="21"/>
                <w:szCs w:val="21"/>
                <w:highlight w:val="none"/>
              </w:rPr>
            </w:pPr>
          </w:p>
        </w:tc>
        <w:tc>
          <w:tcPr>
            <w:tcW w:w="947" w:type="dxa"/>
            <w:vAlign w:val="center"/>
          </w:tcPr>
          <w:p w14:paraId="1E8ED10E">
            <w:pPr>
              <w:adjustRightInd w:val="0"/>
              <w:snapToGrid w:val="0"/>
              <w:spacing w:line="240" w:lineRule="auto"/>
              <w:jc w:val="center"/>
              <w:rPr>
                <w:rFonts w:hint="eastAsia" w:ascii="宋体" w:hAnsi="宋体" w:eastAsia="宋体" w:cs="宋体"/>
                <w:color w:val="auto"/>
                <w:sz w:val="21"/>
                <w:szCs w:val="21"/>
                <w:highlight w:val="none"/>
              </w:rPr>
            </w:pPr>
          </w:p>
        </w:tc>
      </w:tr>
      <w:tr w14:paraId="353CE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4BB358B2">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3720" w:type="dxa"/>
            <w:vAlign w:val="center"/>
          </w:tcPr>
          <w:p w14:paraId="0B0031F2">
            <w:pPr>
              <w:adjustRightInd w:val="0"/>
              <w:snapToGrid w:val="0"/>
              <w:spacing w:line="240" w:lineRule="auto"/>
              <w:jc w:val="center"/>
              <w:rPr>
                <w:rFonts w:hint="eastAsia" w:ascii="宋体" w:hAnsi="宋体" w:eastAsia="宋体" w:cs="宋体"/>
                <w:color w:val="auto"/>
                <w:sz w:val="21"/>
                <w:szCs w:val="21"/>
                <w:highlight w:val="none"/>
              </w:rPr>
            </w:pPr>
          </w:p>
        </w:tc>
        <w:tc>
          <w:tcPr>
            <w:tcW w:w="1065" w:type="dxa"/>
            <w:vAlign w:val="center"/>
          </w:tcPr>
          <w:p w14:paraId="1A9AB905">
            <w:pPr>
              <w:adjustRightInd w:val="0"/>
              <w:snapToGrid w:val="0"/>
              <w:spacing w:line="240" w:lineRule="auto"/>
              <w:jc w:val="center"/>
              <w:rPr>
                <w:rFonts w:hint="eastAsia" w:ascii="宋体" w:hAnsi="宋体" w:eastAsia="宋体" w:cs="宋体"/>
                <w:color w:val="auto"/>
                <w:sz w:val="21"/>
                <w:szCs w:val="21"/>
                <w:highlight w:val="none"/>
              </w:rPr>
            </w:pPr>
          </w:p>
        </w:tc>
        <w:tc>
          <w:tcPr>
            <w:tcW w:w="1065" w:type="dxa"/>
            <w:vAlign w:val="center"/>
          </w:tcPr>
          <w:p w14:paraId="20C40B8C">
            <w:pPr>
              <w:adjustRightInd w:val="0"/>
              <w:snapToGrid w:val="0"/>
              <w:spacing w:line="240" w:lineRule="auto"/>
              <w:jc w:val="center"/>
              <w:rPr>
                <w:rFonts w:hint="eastAsia" w:ascii="宋体" w:hAnsi="宋体" w:eastAsia="宋体" w:cs="宋体"/>
                <w:color w:val="auto"/>
                <w:sz w:val="21"/>
                <w:szCs w:val="21"/>
                <w:highlight w:val="none"/>
              </w:rPr>
            </w:pPr>
          </w:p>
        </w:tc>
        <w:tc>
          <w:tcPr>
            <w:tcW w:w="1066" w:type="dxa"/>
            <w:vAlign w:val="center"/>
          </w:tcPr>
          <w:p w14:paraId="7FDFD679">
            <w:pPr>
              <w:adjustRightInd w:val="0"/>
              <w:snapToGrid w:val="0"/>
              <w:spacing w:line="240" w:lineRule="auto"/>
              <w:jc w:val="center"/>
              <w:rPr>
                <w:rFonts w:hint="eastAsia" w:ascii="宋体" w:hAnsi="宋体" w:eastAsia="宋体" w:cs="宋体"/>
                <w:color w:val="auto"/>
                <w:sz w:val="21"/>
                <w:szCs w:val="21"/>
                <w:highlight w:val="none"/>
              </w:rPr>
            </w:pPr>
          </w:p>
        </w:tc>
        <w:tc>
          <w:tcPr>
            <w:tcW w:w="947" w:type="dxa"/>
            <w:vAlign w:val="center"/>
          </w:tcPr>
          <w:p w14:paraId="3C259360">
            <w:pPr>
              <w:adjustRightInd w:val="0"/>
              <w:snapToGrid w:val="0"/>
              <w:spacing w:line="240" w:lineRule="auto"/>
              <w:jc w:val="center"/>
              <w:rPr>
                <w:rFonts w:hint="eastAsia" w:ascii="宋体" w:hAnsi="宋体" w:eastAsia="宋体" w:cs="宋体"/>
                <w:color w:val="auto"/>
                <w:sz w:val="21"/>
                <w:szCs w:val="21"/>
                <w:highlight w:val="none"/>
              </w:rPr>
            </w:pPr>
          </w:p>
        </w:tc>
      </w:tr>
      <w:tr w14:paraId="51C61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0ED2AC16">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3720" w:type="dxa"/>
            <w:vAlign w:val="center"/>
          </w:tcPr>
          <w:p w14:paraId="2B6E9910">
            <w:pPr>
              <w:adjustRightInd w:val="0"/>
              <w:snapToGrid w:val="0"/>
              <w:spacing w:line="240" w:lineRule="auto"/>
              <w:jc w:val="center"/>
              <w:rPr>
                <w:rFonts w:hint="eastAsia" w:ascii="宋体" w:hAnsi="宋体" w:eastAsia="宋体" w:cs="宋体"/>
                <w:color w:val="auto"/>
                <w:sz w:val="21"/>
                <w:szCs w:val="21"/>
                <w:highlight w:val="none"/>
              </w:rPr>
            </w:pPr>
          </w:p>
        </w:tc>
        <w:tc>
          <w:tcPr>
            <w:tcW w:w="1065" w:type="dxa"/>
            <w:vAlign w:val="center"/>
          </w:tcPr>
          <w:p w14:paraId="34E951A1">
            <w:pPr>
              <w:adjustRightInd w:val="0"/>
              <w:snapToGrid w:val="0"/>
              <w:spacing w:line="240" w:lineRule="auto"/>
              <w:jc w:val="center"/>
              <w:rPr>
                <w:rFonts w:hint="eastAsia" w:ascii="宋体" w:hAnsi="宋体" w:eastAsia="宋体" w:cs="宋体"/>
                <w:color w:val="auto"/>
                <w:sz w:val="21"/>
                <w:szCs w:val="21"/>
                <w:highlight w:val="none"/>
              </w:rPr>
            </w:pPr>
          </w:p>
        </w:tc>
        <w:tc>
          <w:tcPr>
            <w:tcW w:w="1065" w:type="dxa"/>
            <w:vAlign w:val="center"/>
          </w:tcPr>
          <w:p w14:paraId="5D9FC8D6">
            <w:pPr>
              <w:adjustRightInd w:val="0"/>
              <w:snapToGrid w:val="0"/>
              <w:spacing w:line="240" w:lineRule="auto"/>
              <w:jc w:val="center"/>
              <w:rPr>
                <w:rFonts w:hint="eastAsia" w:ascii="宋体" w:hAnsi="宋体" w:eastAsia="宋体" w:cs="宋体"/>
                <w:color w:val="auto"/>
                <w:sz w:val="21"/>
                <w:szCs w:val="21"/>
                <w:highlight w:val="none"/>
              </w:rPr>
            </w:pPr>
          </w:p>
        </w:tc>
        <w:tc>
          <w:tcPr>
            <w:tcW w:w="1066" w:type="dxa"/>
            <w:vAlign w:val="center"/>
          </w:tcPr>
          <w:p w14:paraId="7745BDE0">
            <w:pPr>
              <w:adjustRightInd w:val="0"/>
              <w:snapToGrid w:val="0"/>
              <w:spacing w:line="240" w:lineRule="auto"/>
              <w:jc w:val="center"/>
              <w:rPr>
                <w:rFonts w:hint="eastAsia" w:ascii="宋体" w:hAnsi="宋体" w:eastAsia="宋体" w:cs="宋体"/>
                <w:color w:val="auto"/>
                <w:sz w:val="21"/>
                <w:szCs w:val="21"/>
                <w:highlight w:val="none"/>
              </w:rPr>
            </w:pPr>
          </w:p>
        </w:tc>
        <w:tc>
          <w:tcPr>
            <w:tcW w:w="947" w:type="dxa"/>
            <w:vAlign w:val="center"/>
          </w:tcPr>
          <w:p w14:paraId="2F20BA25">
            <w:pPr>
              <w:adjustRightInd w:val="0"/>
              <w:snapToGrid w:val="0"/>
              <w:spacing w:line="240" w:lineRule="auto"/>
              <w:jc w:val="center"/>
              <w:rPr>
                <w:rFonts w:hint="eastAsia" w:ascii="宋体" w:hAnsi="宋体" w:eastAsia="宋体" w:cs="宋体"/>
                <w:color w:val="auto"/>
                <w:sz w:val="21"/>
                <w:szCs w:val="21"/>
                <w:highlight w:val="none"/>
              </w:rPr>
            </w:pPr>
          </w:p>
        </w:tc>
      </w:tr>
      <w:tr w14:paraId="054C0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469BF075">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3720" w:type="dxa"/>
            <w:vAlign w:val="center"/>
          </w:tcPr>
          <w:p w14:paraId="63E7761B">
            <w:pPr>
              <w:adjustRightInd w:val="0"/>
              <w:snapToGrid w:val="0"/>
              <w:spacing w:line="240" w:lineRule="auto"/>
              <w:jc w:val="center"/>
              <w:rPr>
                <w:rFonts w:hint="eastAsia" w:ascii="宋体" w:hAnsi="宋体" w:eastAsia="宋体" w:cs="宋体"/>
                <w:color w:val="auto"/>
                <w:sz w:val="21"/>
                <w:szCs w:val="21"/>
                <w:highlight w:val="none"/>
              </w:rPr>
            </w:pPr>
          </w:p>
        </w:tc>
        <w:tc>
          <w:tcPr>
            <w:tcW w:w="1065" w:type="dxa"/>
            <w:vAlign w:val="center"/>
          </w:tcPr>
          <w:p w14:paraId="3BA61A9A">
            <w:pPr>
              <w:adjustRightInd w:val="0"/>
              <w:snapToGrid w:val="0"/>
              <w:spacing w:line="240" w:lineRule="auto"/>
              <w:jc w:val="center"/>
              <w:rPr>
                <w:rFonts w:hint="eastAsia" w:ascii="宋体" w:hAnsi="宋体" w:eastAsia="宋体" w:cs="宋体"/>
                <w:color w:val="auto"/>
                <w:sz w:val="21"/>
                <w:szCs w:val="21"/>
                <w:highlight w:val="none"/>
              </w:rPr>
            </w:pPr>
          </w:p>
        </w:tc>
        <w:tc>
          <w:tcPr>
            <w:tcW w:w="1065" w:type="dxa"/>
            <w:vAlign w:val="center"/>
          </w:tcPr>
          <w:p w14:paraId="7DCA522F">
            <w:pPr>
              <w:adjustRightInd w:val="0"/>
              <w:snapToGrid w:val="0"/>
              <w:spacing w:line="240" w:lineRule="auto"/>
              <w:jc w:val="center"/>
              <w:rPr>
                <w:rFonts w:hint="eastAsia" w:ascii="宋体" w:hAnsi="宋体" w:eastAsia="宋体" w:cs="宋体"/>
                <w:color w:val="auto"/>
                <w:sz w:val="21"/>
                <w:szCs w:val="21"/>
                <w:highlight w:val="none"/>
              </w:rPr>
            </w:pPr>
          </w:p>
        </w:tc>
        <w:tc>
          <w:tcPr>
            <w:tcW w:w="1066" w:type="dxa"/>
            <w:vAlign w:val="center"/>
          </w:tcPr>
          <w:p w14:paraId="68A27993">
            <w:pPr>
              <w:adjustRightInd w:val="0"/>
              <w:snapToGrid w:val="0"/>
              <w:spacing w:line="240" w:lineRule="auto"/>
              <w:jc w:val="center"/>
              <w:rPr>
                <w:rFonts w:hint="eastAsia" w:ascii="宋体" w:hAnsi="宋体" w:eastAsia="宋体" w:cs="宋体"/>
                <w:color w:val="auto"/>
                <w:sz w:val="21"/>
                <w:szCs w:val="21"/>
                <w:highlight w:val="none"/>
              </w:rPr>
            </w:pPr>
          </w:p>
        </w:tc>
        <w:tc>
          <w:tcPr>
            <w:tcW w:w="947" w:type="dxa"/>
            <w:vAlign w:val="center"/>
          </w:tcPr>
          <w:p w14:paraId="33A904F9">
            <w:pPr>
              <w:adjustRightInd w:val="0"/>
              <w:snapToGrid w:val="0"/>
              <w:spacing w:line="240" w:lineRule="auto"/>
              <w:jc w:val="center"/>
              <w:rPr>
                <w:rFonts w:hint="eastAsia" w:ascii="宋体" w:hAnsi="宋体" w:eastAsia="宋体" w:cs="宋体"/>
                <w:color w:val="auto"/>
                <w:sz w:val="21"/>
                <w:szCs w:val="21"/>
                <w:highlight w:val="none"/>
              </w:rPr>
            </w:pPr>
          </w:p>
        </w:tc>
      </w:tr>
      <w:tr w14:paraId="57BAB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68C27991">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3720" w:type="dxa"/>
            <w:vAlign w:val="center"/>
          </w:tcPr>
          <w:p w14:paraId="7864625B">
            <w:pPr>
              <w:adjustRightInd w:val="0"/>
              <w:snapToGrid w:val="0"/>
              <w:spacing w:line="240" w:lineRule="auto"/>
              <w:jc w:val="center"/>
              <w:rPr>
                <w:rFonts w:hint="eastAsia" w:ascii="宋体" w:hAnsi="宋体" w:eastAsia="宋体" w:cs="宋体"/>
                <w:color w:val="auto"/>
                <w:sz w:val="21"/>
                <w:szCs w:val="21"/>
                <w:highlight w:val="none"/>
              </w:rPr>
            </w:pPr>
          </w:p>
        </w:tc>
        <w:tc>
          <w:tcPr>
            <w:tcW w:w="1065" w:type="dxa"/>
            <w:vAlign w:val="center"/>
          </w:tcPr>
          <w:p w14:paraId="2B4D906C">
            <w:pPr>
              <w:adjustRightInd w:val="0"/>
              <w:snapToGrid w:val="0"/>
              <w:spacing w:line="240" w:lineRule="auto"/>
              <w:jc w:val="center"/>
              <w:rPr>
                <w:rFonts w:hint="eastAsia" w:ascii="宋体" w:hAnsi="宋体" w:eastAsia="宋体" w:cs="宋体"/>
                <w:color w:val="auto"/>
                <w:sz w:val="21"/>
                <w:szCs w:val="21"/>
                <w:highlight w:val="none"/>
              </w:rPr>
            </w:pPr>
          </w:p>
        </w:tc>
        <w:tc>
          <w:tcPr>
            <w:tcW w:w="1065" w:type="dxa"/>
            <w:vAlign w:val="center"/>
          </w:tcPr>
          <w:p w14:paraId="6A8DF27F">
            <w:pPr>
              <w:adjustRightInd w:val="0"/>
              <w:snapToGrid w:val="0"/>
              <w:spacing w:line="240" w:lineRule="auto"/>
              <w:jc w:val="center"/>
              <w:rPr>
                <w:rFonts w:hint="eastAsia" w:ascii="宋体" w:hAnsi="宋体" w:eastAsia="宋体" w:cs="宋体"/>
                <w:color w:val="auto"/>
                <w:sz w:val="21"/>
                <w:szCs w:val="21"/>
                <w:highlight w:val="none"/>
              </w:rPr>
            </w:pPr>
          </w:p>
        </w:tc>
        <w:tc>
          <w:tcPr>
            <w:tcW w:w="1066" w:type="dxa"/>
            <w:vAlign w:val="center"/>
          </w:tcPr>
          <w:p w14:paraId="54C5FBF7">
            <w:pPr>
              <w:adjustRightInd w:val="0"/>
              <w:snapToGrid w:val="0"/>
              <w:spacing w:line="240" w:lineRule="auto"/>
              <w:jc w:val="center"/>
              <w:rPr>
                <w:rFonts w:hint="eastAsia" w:ascii="宋体" w:hAnsi="宋体" w:eastAsia="宋体" w:cs="宋体"/>
                <w:color w:val="auto"/>
                <w:sz w:val="21"/>
                <w:szCs w:val="21"/>
                <w:highlight w:val="none"/>
              </w:rPr>
            </w:pPr>
          </w:p>
        </w:tc>
        <w:tc>
          <w:tcPr>
            <w:tcW w:w="947" w:type="dxa"/>
            <w:vAlign w:val="center"/>
          </w:tcPr>
          <w:p w14:paraId="2690F475">
            <w:pPr>
              <w:adjustRightInd w:val="0"/>
              <w:snapToGrid w:val="0"/>
              <w:spacing w:line="240" w:lineRule="auto"/>
              <w:jc w:val="center"/>
              <w:rPr>
                <w:rFonts w:hint="eastAsia" w:ascii="宋体" w:hAnsi="宋体" w:eastAsia="宋体" w:cs="宋体"/>
                <w:color w:val="auto"/>
                <w:sz w:val="21"/>
                <w:szCs w:val="21"/>
                <w:highlight w:val="none"/>
              </w:rPr>
            </w:pPr>
          </w:p>
        </w:tc>
      </w:tr>
      <w:tr w14:paraId="27FCB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3F063049">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3720" w:type="dxa"/>
            <w:vAlign w:val="center"/>
          </w:tcPr>
          <w:p w14:paraId="7C3908AC">
            <w:pPr>
              <w:adjustRightInd w:val="0"/>
              <w:snapToGrid w:val="0"/>
              <w:spacing w:line="240" w:lineRule="auto"/>
              <w:jc w:val="center"/>
              <w:rPr>
                <w:rFonts w:hint="eastAsia" w:ascii="宋体" w:hAnsi="宋体" w:eastAsia="宋体" w:cs="宋体"/>
                <w:color w:val="auto"/>
                <w:sz w:val="21"/>
                <w:szCs w:val="21"/>
                <w:highlight w:val="none"/>
              </w:rPr>
            </w:pPr>
          </w:p>
        </w:tc>
        <w:tc>
          <w:tcPr>
            <w:tcW w:w="1065" w:type="dxa"/>
            <w:vAlign w:val="center"/>
          </w:tcPr>
          <w:p w14:paraId="362E8E82">
            <w:pPr>
              <w:adjustRightInd w:val="0"/>
              <w:snapToGrid w:val="0"/>
              <w:spacing w:line="240" w:lineRule="auto"/>
              <w:jc w:val="center"/>
              <w:rPr>
                <w:rFonts w:hint="eastAsia" w:ascii="宋体" w:hAnsi="宋体" w:eastAsia="宋体" w:cs="宋体"/>
                <w:color w:val="auto"/>
                <w:sz w:val="21"/>
                <w:szCs w:val="21"/>
                <w:highlight w:val="none"/>
              </w:rPr>
            </w:pPr>
          </w:p>
        </w:tc>
        <w:tc>
          <w:tcPr>
            <w:tcW w:w="1065" w:type="dxa"/>
            <w:vAlign w:val="center"/>
          </w:tcPr>
          <w:p w14:paraId="6F2704AB">
            <w:pPr>
              <w:adjustRightInd w:val="0"/>
              <w:snapToGrid w:val="0"/>
              <w:spacing w:line="240" w:lineRule="auto"/>
              <w:jc w:val="center"/>
              <w:rPr>
                <w:rFonts w:hint="eastAsia" w:ascii="宋体" w:hAnsi="宋体" w:eastAsia="宋体" w:cs="宋体"/>
                <w:color w:val="auto"/>
                <w:sz w:val="21"/>
                <w:szCs w:val="21"/>
                <w:highlight w:val="none"/>
              </w:rPr>
            </w:pPr>
          </w:p>
        </w:tc>
        <w:tc>
          <w:tcPr>
            <w:tcW w:w="1066" w:type="dxa"/>
            <w:vAlign w:val="center"/>
          </w:tcPr>
          <w:p w14:paraId="79394E0B">
            <w:pPr>
              <w:adjustRightInd w:val="0"/>
              <w:snapToGrid w:val="0"/>
              <w:spacing w:line="240" w:lineRule="auto"/>
              <w:jc w:val="center"/>
              <w:rPr>
                <w:rFonts w:hint="eastAsia" w:ascii="宋体" w:hAnsi="宋体" w:eastAsia="宋体" w:cs="宋体"/>
                <w:color w:val="auto"/>
                <w:sz w:val="21"/>
                <w:szCs w:val="21"/>
                <w:highlight w:val="none"/>
              </w:rPr>
            </w:pPr>
          </w:p>
        </w:tc>
        <w:tc>
          <w:tcPr>
            <w:tcW w:w="947" w:type="dxa"/>
            <w:vAlign w:val="center"/>
          </w:tcPr>
          <w:p w14:paraId="5A8DCEE1">
            <w:pPr>
              <w:adjustRightInd w:val="0"/>
              <w:snapToGrid w:val="0"/>
              <w:spacing w:line="240" w:lineRule="auto"/>
              <w:jc w:val="center"/>
              <w:rPr>
                <w:rFonts w:hint="eastAsia" w:ascii="宋体" w:hAnsi="宋体" w:eastAsia="宋体" w:cs="宋体"/>
                <w:color w:val="auto"/>
                <w:sz w:val="21"/>
                <w:szCs w:val="21"/>
                <w:highlight w:val="none"/>
              </w:rPr>
            </w:pPr>
          </w:p>
        </w:tc>
      </w:tr>
      <w:tr w14:paraId="2D0BD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shd w:val="clear" w:color="auto" w:fill="auto"/>
            <w:vAlign w:val="center"/>
          </w:tcPr>
          <w:p w14:paraId="36B30C90">
            <w:pPr>
              <w:adjustRightInd w:val="0"/>
              <w:snapToGrid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w:t>
            </w:r>
          </w:p>
        </w:tc>
        <w:tc>
          <w:tcPr>
            <w:tcW w:w="3720" w:type="dxa"/>
            <w:shd w:val="clear" w:color="auto" w:fill="auto"/>
            <w:vAlign w:val="center"/>
          </w:tcPr>
          <w:p w14:paraId="547CA859">
            <w:pPr>
              <w:adjustRightInd w:val="0"/>
              <w:snapToGrid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w:t>
            </w:r>
          </w:p>
        </w:tc>
        <w:tc>
          <w:tcPr>
            <w:tcW w:w="1065" w:type="dxa"/>
            <w:vAlign w:val="center"/>
          </w:tcPr>
          <w:p w14:paraId="7B9DBE1E">
            <w:pPr>
              <w:adjustRightInd w:val="0"/>
              <w:snapToGrid w:val="0"/>
              <w:spacing w:line="240" w:lineRule="auto"/>
              <w:jc w:val="center"/>
              <w:rPr>
                <w:rFonts w:hint="eastAsia" w:ascii="宋体" w:hAnsi="宋体" w:eastAsia="宋体" w:cs="宋体"/>
                <w:color w:val="auto"/>
                <w:sz w:val="21"/>
                <w:szCs w:val="21"/>
                <w:highlight w:val="none"/>
              </w:rPr>
            </w:pPr>
          </w:p>
        </w:tc>
        <w:tc>
          <w:tcPr>
            <w:tcW w:w="1065" w:type="dxa"/>
            <w:vAlign w:val="center"/>
          </w:tcPr>
          <w:p w14:paraId="6851C226">
            <w:pPr>
              <w:adjustRightInd w:val="0"/>
              <w:snapToGrid w:val="0"/>
              <w:spacing w:line="240" w:lineRule="auto"/>
              <w:jc w:val="center"/>
              <w:rPr>
                <w:rFonts w:hint="eastAsia" w:ascii="宋体" w:hAnsi="宋体" w:eastAsia="宋体" w:cs="宋体"/>
                <w:color w:val="auto"/>
                <w:sz w:val="21"/>
                <w:szCs w:val="21"/>
                <w:highlight w:val="none"/>
              </w:rPr>
            </w:pPr>
          </w:p>
        </w:tc>
        <w:tc>
          <w:tcPr>
            <w:tcW w:w="1066" w:type="dxa"/>
            <w:vAlign w:val="center"/>
          </w:tcPr>
          <w:p w14:paraId="39505459">
            <w:pPr>
              <w:adjustRightInd w:val="0"/>
              <w:snapToGrid w:val="0"/>
              <w:spacing w:line="240" w:lineRule="auto"/>
              <w:jc w:val="center"/>
              <w:rPr>
                <w:rFonts w:hint="eastAsia" w:ascii="宋体" w:hAnsi="宋体" w:eastAsia="宋体" w:cs="宋体"/>
                <w:color w:val="auto"/>
                <w:sz w:val="21"/>
                <w:szCs w:val="21"/>
                <w:highlight w:val="none"/>
              </w:rPr>
            </w:pPr>
          </w:p>
        </w:tc>
        <w:tc>
          <w:tcPr>
            <w:tcW w:w="947" w:type="dxa"/>
            <w:vAlign w:val="center"/>
          </w:tcPr>
          <w:p w14:paraId="14D910E3">
            <w:pPr>
              <w:adjustRightInd w:val="0"/>
              <w:snapToGrid w:val="0"/>
              <w:spacing w:line="240" w:lineRule="auto"/>
              <w:jc w:val="center"/>
              <w:rPr>
                <w:rFonts w:hint="eastAsia" w:ascii="宋体" w:hAnsi="宋体" w:eastAsia="宋体" w:cs="宋体"/>
                <w:color w:val="auto"/>
                <w:sz w:val="21"/>
                <w:szCs w:val="21"/>
                <w:highlight w:val="none"/>
              </w:rPr>
            </w:pPr>
          </w:p>
        </w:tc>
      </w:tr>
      <w:tr w14:paraId="0CABB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39727E85">
            <w:pPr>
              <w:adjustRightInd w:val="0"/>
              <w:snapToGrid w:val="0"/>
              <w:spacing w:line="240" w:lineRule="auto"/>
              <w:jc w:val="center"/>
              <w:rPr>
                <w:rFonts w:hint="eastAsia" w:ascii="宋体" w:hAnsi="宋体" w:eastAsia="宋体" w:cs="宋体"/>
                <w:color w:val="auto"/>
                <w:sz w:val="21"/>
                <w:szCs w:val="21"/>
                <w:highlight w:val="none"/>
              </w:rPr>
            </w:pPr>
          </w:p>
        </w:tc>
        <w:tc>
          <w:tcPr>
            <w:tcW w:w="3720" w:type="dxa"/>
            <w:vAlign w:val="center"/>
          </w:tcPr>
          <w:p w14:paraId="6E3D4C24">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其他费用</w:t>
            </w:r>
          </w:p>
        </w:tc>
        <w:tc>
          <w:tcPr>
            <w:tcW w:w="1065" w:type="dxa"/>
            <w:vAlign w:val="center"/>
          </w:tcPr>
          <w:p w14:paraId="34269FA2">
            <w:pPr>
              <w:adjustRightInd w:val="0"/>
              <w:snapToGrid w:val="0"/>
              <w:spacing w:line="240" w:lineRule="auto"/>
              <w:jc w:val="center"/>
              <w:rPr>
                <w:rFonts w:hint="eastAsia" w:ascii="宋体" w:hAnsi="宋体" w:eastAsia="宋体" w:cs="宋体"/>
                <w:color w:val="auto"/>
                <w:sz w:val="21"/>
                <w:szCs w:val="21"/>
                <w:highlight w:val="none"/>
              </w:rPr>
            </w:pPr>
          </w:p>
        </w:tc>
        <w:tc>
          <w:tcPr>
            <w:tcW w:w="1065" w:type="dxa"/>
            <w:vAlign w:val="center"/>
          </w:tcPr>
          <w:p w14:paraId="646717F9">
            <w:pPr>
              <w:adjustRightInd w:val="0"/>
              <w:snapToGrid w:val="0"/>
              <w:spacing w:line="240" w:lineRule="auto"/>
              <w:jc w:val="center"/>
              <w:rPr>
                <w:rFonts w:hint="eastAsia" w:ascii="宋体" w:hAnsi="宋体" w:eastAsia="宋体" w:cs="宋体"/>
                <w:color w:val="auto"/>
                <w:sz w:val="21"/>
                <w:szCs w:val="21"/>
                <w:highlight w:val="none"/>
              </w:rPr>
            </w:pPr>
          </w:p>
        </w:tc>
        <w:tc>
          <w:tcPr>
            <w:tcW w:w="1066" w:type="dxa"/>
            <w:vAlign w:val="center"/>
          </w:tcPr>
          <w:p w14:paraId="61629B6A">
            <w:pPr>
              <w:adjustRightInd w:val="0"/>
              <w:snapToGrid w:val="0"/>
              <w:spacing w:line="240" w:lineRule="auto"/>
              <w:jc w:val="center"/>
              <w:rPr>
                <w:rFonts w:hint="eastAsia" w:ascii="宋体" w:hAnsi="宋体" w:eastAsia="宋体" w:cs="宋体"/>
                <w:color w:val="auto"/>
                <w:sz w:val="21"/>
                <w:szCs w:val="21"/>
                <w:highlight w:val="none"/>
              </w:rPr>
            </w:pPr>
          </w:p>
        </w:tc>
        <w:tc>
          <w:tcPr>
            <w:tcW w:w="947" w:type="dxa"/>
            <w:vAlign w:val="center"/>
          </w:tcPr>
          <w:p w14:paraId="7F337C52">
            <w:pPr>
              <w:adjustRightInd w:val="0"/>
              <w:snapToGrid w:val="0"/>
              <w:spacing w:line="240" w:lineRule="auto"/>
              <w:jc w:val="center"/>
              <w:rPr>
                <w:rFonts w:hint="eastAsia" w:ascii="宋体" w:hAnsi="宋体" w:eastAsia="宋体" w:cs="宋体"/>
                <w:color w:val="auto"/>
                <w:sz w:val="21"/>
                <w:szCs w:val="21"/>
                <w:highlight w:val="none"/>
              </w:rPr>
            </w:pPr>
          </w:p>
        </w:tc>
      </w:tr>
      <w:tr w14:paraId="209E8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2C355F28">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3720" w:type="dxa"/>
            <w:vAlign w:val="center"/>
          </w:tcPr>
          <w:p w14:paraId="5D4BF5AE">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65" w:type="dxa"/>
            <w:vAlign w:val="center"/>
          </w:tcPr>
          <w:p w14:paraId="3E6B6F32">
            <w:pPr>
              <w:adjustRightInd w:val="0"/>
              <w:snapToGrid w:val="0"/>
              <w:spacing w:line="240" w:lineRule="auto"/>
              <w:jc w:val="center"/>
              <w:rPr>
                <w:rFonts w:hint="eastAsia" w:ascii="宋体" w:hAnsi="宋体" w:eastAsia="宋体" w:cs="宋体"/>
                <w:color w:val="auto"/>
                <w:sz w:val="21"/>
                <w:szCs w:val="21"/>
                <w:highlight w:val="none"/>
              </w:rPr>
            </w:pPr>
          </w:p>
        </w:tc>
        <w:tc>
          <w:tcPr>
            <w:tcW w:w="1065" w:type="dxa"/>
            <w:vAlign w:val="center"/>
          </w:tcPr>
          <w:p w14:paraId="02B6CE3C">
            <w:pPr>
              <w:adjustRightInd w:val="0"/>
              <w:snapToGrid w:val="0"/>
              <w:spacing w:line="240" w:lineRule="auto"/>
              <w:jc w:val="center"/>
              <w:rPr>
                <w:rFonts w:hint="eastAsia" w:ascii="宋体" w:hAnsi="宋体" w:eastAsia="宋体" w:cs="宋体"/>
                <w:color w:val="auto"/>
                <w:sz w:val="21"/>
                <w:szCs w:val="21"/>
                <w:highlight w:val="none"/>
              </w:rPr>
            </w:pPr>
          </w:p>
        </w:tc>
        <w:tc>
          <w:tcPr>
            <w:tcW w:w="1066" w:type="dxa"/>
            <w:vAlign w:val="center"/>
          </w:tcPr>
          <w:p w14:paraId="15025601">
            <w:pPr>
              <w:adjustRightInd w:val="0"/>
              <w:snapToGrid w:val="0"/>
              <w:spacing w:line="240" w:lineRule="auto"/>
              <w:jc w:val="center"/>
              <w:rPr>
                <w:rFonts w:hint="eastAsia" w:ascii="宋体" w:hAnsi="宋体" w:eastAsia="宋体" w:cs="宋体"/>
                <w:color w:val="auto"/>
                <w:sz w:val="21"/>
                <w:szCs w:val="21"/>
                <w:highlight w:val="none"/>
              </w:rPr>
            </w:pPr>
          </w:p>
        </w:tc>
        <w:tc>
          <w:tcPr>
            <w:tcW w:w="947" w:type="dxa"/>
            <w:vAlign w:val="center"/>
          </w:tcPr>
          <w:p w14:paraId="39116035">
            <w:pPr>
              <w:adjustRightInd w:val="0"/>
              <w:snapToGrid w:val="0"/>
              <w:spacing w:line="240" w:lineRule="auto"/>
              <w:jc w:val="center"/>
              <w:rPr>
                <w:rFonts w:hint="eastAsia" w:ascii="宋体" w:hAnsi="宋体" w:eastAsia="宋体" w:cs="宋体"/>
                <w:color w:val="auto"/>
                <w:sz w:val="21"/>
                <w:szCs w:val="21"/>
                <w:highlight w:val="none"/>
              </w:rPr>
            </w:pPr>
          </w:p>
        </w:tc>
      </w:tr>
      <w:tr w14:paraId="16F60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15" w:type="dxa"/>
            <w:gridSpan w:val="4"/>
            <w:vAlign w:val="center"/>
          </w:tcPr>
          <w:p w14:paraId="0EDD5DA9">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投标报价合计（元）</w:t>
            </w:r>
          </w:p>
        </w:tc>
        <w:tc>
          <w:tcPr>
            <w:tcW w:w="2013" w:type="dxa"/>
            <w:gridSpan w:val="2"/>
            <w:vAlign w:val="center"/>
          </w:tcPr>
          <w:p w14:paraId="0609C717">
            <w:pPr>
              <w:adjustRightInd w:val="0"/>
              <w:snapToGrid w:val="0"/>
              <w:spacing w:line="240" w:lineRule="auto"/>
              <w:jc w:val="center"/>
              <w:rPr>
                <w:rFonts w:hint="eastAsia" w:ascii="宋体" w:hAnsi="宋体" w:eastAsia="宋体" w:cs="宋体"/>
                <w:color w:val="auto"/>
                <w:sz w:val="21"/>
                <w:szCs w:val="21"/>
                <w:highlight w:val="none"/>
              </w:rPr>
            </w:pPr>
          </w:p>
        </w:tc>
      </w:tr>
    </w:tbl>
    <w:p w14:paraId="62480CF8">
      <w:pPr>
        <w:spacing w:line="300" w:lineRule="auto"/>
        <w:rPr>
          <w:rFonts w:ascii="Arial" w:hAnsi="Arial" w:cs="Arial"/>
          <w:color w:val="auto"/>
          <w:szCs w:val="21"/>
          <w:highlight w:val="none"/>
        </w:rPr>
      </w:pPr>
    </w:p>
    <w:p w14:paraId="51101AF7">
      <w:pPr>
        <w:spacing w:line="300" w:lineRule="auto"/>
        <w:rPr>
          <w:rFonts w:ascii="Arial" w:hAnsi="Arial" w:cs="Arial"/>
          <w:color w:val="auto"/>
          <w:szCs w:val="21"/>
          <w:highlight w:val="none"/>
        </w:rPr>
      </w:pPr>
      <w:r>
        <w:rPr>
          <w:rFonts w:ascii="Arial" w:hAnsi="Arial" w:cs="Arial"/>
          <w:color w:val="auto"/>
          <w:szCs w:val="21"/>
          <w:highlight w:val="none"/>
        </w:rPr>
        <w:t>投标人名称</w:t>
      </w:r>
      <w:r>
        <w:rPr>
          <w:rFonts w:hint="eastAsia" w:ascii="宋体" w:hAnsi="宋体" w:cs="宋体"/>
          <w:color w:val="auto"/>
          <w:kern w:val="0"/>
          <w:sz w:val="24"/>
          <w:highlight w:val="none"/>
          <w:lang w:val="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r>
        <w:rPr>
          <w:rFonts w:ascii="Arial" w:hAnsi="Arial" w:cs="Arial"/>
          <w:color w:val="auto"/>
          <w:szCs w:val="21"/>
          <w:highlight w:val="none"/>
        </w:rPr>
        <w:t>：</w:t>
      </w:r>
    </w:p>
    <w:p w14:paraId="2F327AC4">
      <w:pPr>
        <w:spacing w:line="300" w:lineRule="auto"/>
        <w:rPr>
          <w:rFonts w:ascii="Arial" w:hAnsi="Arial" w:cs="Arial"/>
          <w:color w:val="auto"/>
          <w:szCs w:val="21"/>
          <w:highlight w:val="none"/>
        </w:rPr>
      </w:pPr>
      <w:r>
        <w:rPr>
          <w:rFonts w:ascii="Arial" w:hAnsi="Arial" w:cs="Arial"/>
          <w:color w:val="auto"/>
          <w:szCs w:val="21"/>
          <w:highlight w:val="none"/>
        </w:rPr>
        <w:t>日期：</w:t>
      </w:r>
    </w:p>
    <w:p w14:paraId="28F15BC4">
      <w:pPr>
        <w:spacing w:line="300" w:lineRule="auto"/>
        <w:rPr>
          <w:rFonts w:ascii="Arial" w:hAnsi="Arial" w:cs="Arial"/>
          <w:color w:val="auto"/>
          <w:szCs w:val="21"/>
          <w:highlight w:val="none"/>
        </w:rPr>
      </w:pPr>
    </w:p>
    <w:p w14:paraId="19373AA9">
      <w:pPr>
        <w:spacing w:line="360" w:lineRule="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注：</w:t>
      </w:r>
    </w:p>
    <w:p w14:paraId="4681585F">
      <w:pPr>
        <w:spacing w:line="360" w:lineRule="auto"/>
        <w:ind w:firstLine="435"/>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default" w:ascii="宋体" w:hAnsi="宋体" w:eastAsia="宋体" w:cs="宋体"/>
          <w:color w:val="auto"/>
          <w:sz w:val="21"/>
          <w:szCs w:val="21"/>
          <w:highlight w:val="none"/>
          <w:lang w:val="en-US" w:eastAsia="zh-CN"/>
        </w:rPr>
        <w:t>按照本表填写的各项目的投标报价合计填写到</w:t>
      </w:r>
      <w:r>
        <w:rPr>
          <w:rFonts w:hint="eastAsia" w:ascii="宋体" w:hAnsi="宋体" w:eastAsia="宋体" w:cs="宋体"/>
          <w:color w:val="auto"/>
          <w:sz w:val="21"/>
          <w:szCs w:val="21"/>
          <w:highlight w:val="none"/>
          <w:lang w:val="en-US" w:eastAsia="zh-CN"/>
        </w:rPr>
        <w:t>“开标一览表”</w:t>
      </w:r>
      <w:r>
        <w:rPr>
          <w:rFonts w:hint="default" w:ascii="宋体" w:hAnsi="宋体" w:eastAsia="宋体" w:cs="宋体"/>
          <w:color w:val="auto"/>
          <w:sz w:val="21"/>
          <w:szCs w:val="21"/>
          <w:highlight w:val="none"/>
          <w:lang w:val="en-US" w:eastAsia="zh-CN"/>
        </w:rPr>
        <w:t>中对应的</w:t>
      </w:r>
      <w:r>
        <w:rPr>
          <w:rFonts w:hint="eastAsia" w:cs="宋体"/>
          <w:color w:val="auto"/>
          <w:sz w:val="21"/>
          <w:szCs w:val="21"/>
          <w:highlight w:val="none"/>
          <w:lang w:val="en-US" w:eastAsia="zh-CN"/>
        </w:rPr>
        <w:t>“</w:t>
      </w:r>
      <w:r>
        <w:rPr>
          <w:rFonts w:hint="default" w:ascii="宋体" w:hAnsi="宋体" w:eastAsia="宋体" w:cs="宋体"/>
          <w:color w:val="auto"/>
          <w:sz w:val="21"/>
          <w:szCs w:val="21"/>
          <w:highlight w:val="none"/>
          <w:lang w:val="en-US" w:eastAsia="zh-CN"/>
        </w:rPr>
        <w:t>投标报价</w:t>
      </w:r>
      <w:r>
        <w:rPr>
          <w:rFonts w:hint="eastAsia" w:cs="宋体"/>
          <w:color w:val="auto"/>
          <w:sz w:val="21"/>
          <w:szCs w:val="21"/>
          <w:highlight w:val="none"/>
          <w:lang w:val="en-US" w:eastAsia="zh-CN"/>
        </w:rPr>
        <w:t>”</w:t>
      </w:r>
      <w:r>
        <w:rPr>
          <w:rFonts w:hint="default" w:ascii="宋体" w:hAnsi="宋体" w:eastAsia="宋体" w:cs="宋体"/>
          <w:color w:val="auto"/>
          <w:sz w:val="21"/>
          <w:szCs w:val="21"/>
          <w:highlight w:val="none"/>
          <w:lang w:val="en-US" w:eastAsia="zh-CN"/>
        </w:rPr>
        <w:t>栏中。</w:t>
      </w:r>
    </w:p>
    <w:p w14:paraId="25B9431E">
      <w:pPr>
        <w:spacing w:line="360" w:lineRule="auto"/>
        <w:ind w:firstLine="435"/>
        <w:rPr>
          <w:rFonts w:hint="eastAsia" w:ascii="宋体" w:hAnsi="宋体" w:eastAsia="宋体" w:cs="宋体"/>
          <w:color w:val="auto"/>
          <w:sz w:val="24"/>
          <w:szCs w:val="24"/>
          <w:highlight w:val="none"/>
        </w:rPr>
      </w:pP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rPr>
        <w:t>.所列服务为对应本项目需求的全部服务内容。如有漏项或缺项，投标人承担全部责任。</w:t>
      </w:r>
      <w:r>
        <w:rPr>
          <w:rFonts w:hint="eastAsia" w:ascii="宋体" w:hAnsi="宋体" w:eastAsia="宋体" w:cs="宋体"/>
          <w:color w:val="auto"/>
          <w:sz w:val="24"/>
          <w:szCs w:val="24"/>
          <w:highlight w:val="none"/>
        </w:rPr>
        <w:br w:type="page"/>
      </w:r>
    </w:p>
    <w:p w14:paraId="4A59D451">
      <w:pPr>
        <w:pStyle w:val="60"/>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42253C07">
      <w:pPr>
        <w:ind w:firstLine="480" w:firstLineChars="200"/>
        <w:rPr>
          <w:rFonts w:cs="仿宋_GB2312"/>
          <w:color w:val="auto"/>
          <w:szCs w:val="24"/>
          <w:highlight w:val="none"/>
          <w:lang w:val="zh-CN"/>
        </w:rPr>
      </w:pPr>
      <w:r>
        <w:rPr>
          <w:rFonts w:hint="eastAsia" w:cs="仿宋_GB2312"/>
          <w:color w:val="auto"/>
          <w:szCs w:val="24"/>
          <w:highlight w:val="none"/>
          <w:lang w:val="zh-CN"/>
        </w:rPr>
        <w:t>封面：</w:t>
      </w:r>
    </w:p>
    <w:p w14:paraId="1369E9F7">
      <w:pPr>
        <w:autoSpaceDE w:val="0"/>
        <w:autoSpaceDN w:val="0"/>
        <w:adjustRightInd w:val="0"/>
        <w:rPr>
          <w:color w:val="auto"/>
          <w:sz w:val="21"/>
          <w:szCs w:val="24"/>
          <w:highlight w:val="none"/>
        </w:rPr>
      </w:pPr>
    </w:p>
    <w:p w14:paraId="7545DFD8">
      <w:pPr>
        <w:autoSpaceDE w:val="0"/>
        <w:autoSpaceDN w:val="0"/>
        <w:adjustRightInd w:val="0"/>
        <w:rPr>
          <w:color w:val="auto"/>
          <w:sz w:val="21"/>
          <w:szCs w:val="24"/>
          <w:highlight w:val="none"/>
        </w:rPr>
      </w:pPr>
    </w:p>
    <w:p w14:paraId="6E9DF04D">
      <w:pPr>
        <w:autoSpaceDE w:val="0"/>
        <w:autoSpaceDN w:val="0"/>
        <w:adjustRightInd w:val="0"/>
        <w:jc w:val="center"/>
        <w:rPr>
          <w:color w:val="auto"/>
          <w:sz w:val="21"/>
          <w:szCs w:val="24"/>
          <w:highlight w:val="none"/>
        </w:rPr>
      </w:pPr>
    </w:p>
    <w:p w14:paraId="4A09F0AA">
      <w:pPr>
        <w:pStyle w:val="2"/>
        <w:bidi w:val="0"/>
        <w:jc w:val="center"/>
        <w:rPr>
          <w:sz w:val="84"/>
          <w:szCs w:val="84"/>
        </w:rPr>
      </w:pPr>
      <w:bookmarkStart w:id="774" w:name="_Toc27080"/>
      <w:r>
        <w:rPr>
          <w:rFonts w:hint="eastAsia"/>
          <w:sz w:val="84"/>
          <w:szCs w:val="84"/>
        </w:rPr>
        <w:t>投 标 文 件</w:t>
      </w:r>
      <w:bookmarkEnd w:id="774"/>
    </w:p>
    <w:p w14:paraId="4E8ADE01">
      <w:pPr>
        <w:pStyle w:val="2"/>
        <w:bidi w:val="0"/>
        <w:jc w:val="center"/>
        <w:rPr>
          <w:rFonts w:hint="eastAsia"/>
          <w:sz w:val="56"/>
          <w:szCs w:val="56"/>
          <w:lang w:val="en-US" w:eastAsia="zh-CN"/>
        </w:rPr>
      </w:pPr>
      <w:bookmarkStart w:id="775" w:name="_Toc15320"/>
      <w:r>
        <w:rPr>
          <w:rFonts w:hint="eastAsia"/>
          <w:sz w:val="56"/>
          <w:szCs w:val="56"/>
          <w:lang w:val="en-US" w:eastAsia="zh-CN"/>
        </w:rPr>
        <w:t>商务技术文件</w:t>
      </w:r>
      <w:bookmarkEnd w:id="775"/>
    </w:p>
    <w:p w14:paraId="570FB9DD">
      <w:pPr>
        <w:autoSpaceDE w:val="0"/>
        <w:autoSpaceDN w:val="0"/>
        <w:adjustRightInd w:val="0"/>
        <w:jc w:val="center"/>
        <w:rPr>
          <w:rFonts w:hint="eastAsia" w:eastAsia="宋体"/>
          <w:color w:val="auto"/>
          <w:sz w:val="36"/>
          <w:szCs w:val="36"/>
          <w:highlight w:val="none"/>
          <w:lang w:eastAsia="zh-CN"/>
        </w:rPr>
      </w:pPr>
      <w:r>
        <w:rPr>
          <w:rFonts w:hint="eastAsia"/>
          <w:color w:val="auto"/>
          <w:sz w:val="36"/>
          <w:szCs w:val="36"/>
          <w:highlight w:val="none"/>
          <w:lang w:val="en-US" w:eastAsia="zh-CN"/>
        </w:rPr>
        <w:t>（第XX包</w:t>
      </w:r>
      <w:r>
        <w:rPr>
          <w:rFonts w:hint="eastAsia"/>
          <w:color w:val="auto"/>
          <w:sz w:val="36"/>
          <w:szCs w:val="36"/>
          <w:highlight w:val="none"/>
          <w:lang w:eastAsia="zh-CN"/>
        </w:rPr>
        <w:t>）</w:t>
      </w:r>
    </w:p>
    <w:p w14:paraId="3BFF9900">
      <w:pPr>
        <w:pStyle w:val="2"/>
        <w:rPr>
          <w:color w:val="auto"/>
          <w:sz w:val="21"/>
          <w:szCs w:val="21"/>
          <w:highlight w:val="none"/>
        </w:rPr>
      </w:pPr>
    </w:p>
    <w:p w14:paraId="3304790D">
      <w:pPr>
        <w:rPr>
          <w:color w:val="auto"/>
          <w:sz w:val="21"/>
          <w:szCs w:val="21"/>
          <w:highlight w:val="none"/>
        </w:rPr>
      </w:pPr>
    </w:p>
    <w:p w14:paraId="414CC1ED">
      <w:pPr>
        <w:rPr>
          <w:color w:val="auto"/>
          <w:highlight w:val="none"/>
        </w:rPr>
      </w:pPr>
    </w:p>
    <w:p w14:paraId="789512AB">
      <w:pPr>
        <w:autoSpaceDE w:val="0"/>
        <w:autoSpaceDN w:val="0"/>
        <w:adjustRightInd w:val="0"/>
        <w:rPr>
          <w:color w:val="auto"/>
          <w:sz w:val="21"/>
          <w:szCs w:val="21"/>
          <w:highlight w:val="none"/>
        </w:rPr>
      </w:pPr>
    </w:p>
    <w:p w14:paraId="4BE21783">
      <w:pPr>
        <w:autoSpaceDE w:val="0"/>
        <w:autoSpaceDN w:val="0"/>
        <w:adjustRightInd w:val="0"/>
        <w:rPr>
          <w:color w:val="auto"/>
          <w:sz w:val="21"/>
          <w:szCs w:val="21"/>
          <w:highlight w:val="none"/>
        </w:rPr>
      </w:pPr>
    </w:p>
    <w:p w14:paraId="037029E5">
      <w:pPr>
        <w:ind w:left="420" w:leftChars="175"/>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lang w:val="en-US" w:eastAsia="zh-CN"/>
        </w:rPr>
        <w:t>/包号</w:t>
      </w:r>
      <w:r>
        <w:rPr>
          <w:rFonts w:hint="eastAsia" w:ascii="宋体" w:hAnsi="宋体" w:eastAsia="宋体" w:cs="宋体"/>
          <w:color w:val="auto"/>
          <w:sz w:val="36"/>
          <w:szCs w:val="36"/>
          <w:highlight w:val="none"/>
        </w:rPr>
        <w:t>：</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p>
    <w:p w14:paraId="0538909E">
      <w:pPr>
        <w:ind w:left="420" w:leftChars="175"/>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项目名称：</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p>
    <w:p w14:paraId="6D86FB53">
      <w:pPr>
        <w:ind w:left="420" w:leftChars="175"/>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投</w:t>
      </w:r>
      <w:r>
        <w:rPr>
          <w:rFonts w:hint="eastAsia" w:ascii="宋体" w:hAnsi="宋体" w:eastAsia="宋体" w:cs="宋体"/>
          <w:color w:val="auto"/>
          <w:sz w:val="36"/>
          <w:szCs w:val="36"/>
          <w:highlight w:val="none"/>
          <w:lang w:val="en-US" w:eastAsia="zh-CN"/>
        </w:rPr>
        <w:t xml:space="preserve"> </w:t>
      </w:r>
      <w:r>
        <w:rPr>
          <w:rFonts w:hint="eastAsia" w:ascii="宋体" w:hAnsi="宋体" w:eastAsia="宋体" w:cs="宋体"/>
          <w:color w:val="auto"/>
          <w:sz w:val="36"/>
          <w:szCs w:val="36"/>
          <w:highlight w:val="none"/>
        </w:rPr>
        <w:t>标</w:t>
      </w:r>
      <w:r>
        <w:rPr>
          <w:rFonts w:hint="eastAsia" w:ascii="宋体" w:hAnsi="宋体" w:eastAsia="宋体" w:cs="宋体"/>
          <w:color w:val="auto"/>
          <w:sz w:val="36"/>
          <w:szCs w:val="36"/>
          <w:highlight w:val="none"/>
          <w:lang w:val="en-US" w:eastAsia="zh-CN"/>
        </w:rPr>
        <w:t xml:space="preserve"> </w:t>
      </w:r>
      <w:r>
        <w:rPr>
          <w:rFonts w:hint="eastAsia" w:ascii="宋体" w:hAnsi="宋体" w:eastAsia="宋体" w:cs="宋体"/>
          <w:color w:val="auto"/>
          <w:sz w:val="36"/>
          <w:szCs w:val="36"/>
          <w:highlight w:val="none"/>
        </w:rPr>
        <w:t>人：</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p>
    <w:p w14:paraId="02BCF110">
      <w:pPr>
        <w:ind w:left="420" w:leftChars="175"/>
        <w:rPr>
          <w:rFonts w:ascii="黑体" w:hAnsi="黑体" w:eastAsia="黑体"/>
          <w:color w:val="auto"/>
          <w:sz w:val="32"/>
          <w:szCs w:val="32"/>
          <w:highlight w:val="none"/>
        </w:rPr>
      </w:pPr>
    </w:p>
    <w:p w14:paraId="70A32CAD">
      <w:pPr>
        <w:ind w:left="840" w:firstLine="420"/>
        <w:rPr>
          <w:b/>
          <w:bCs/>
          <w:color w:val="auto"/>
          <w:sz w:val="28"/>
          <w:szCs w:val="28"/>
          <w:highlight w:val="none"/>
        </w:rPr>
      </w:pPr>
    </w:p>
    <w:p w14:paraId="25D3DD60">
      <w:pPr>
        <w:ind w:left="840" w:firstLine="420"/>
        <w:rPr>
          <w:b/>
          <w:bCs/>
          <w:color w:val="auto"/>
          <w:sz w:val="28"/>
          <w:szCs w:val="28"/>
          <w:highlight w:val="none"/>
        </w:rPr>
      </w:pPr>
    </w:p>
    <w:p w14:paraId="2F9296DD">
      <w:pPr>
        <w:jc w:val="center"/>
        <w:rPr>
          <w:rFonts w:ascii="黑体" w:hAnsi="黑体" w:eastAsia="黑体"/>
          <w:color w:val="auto"/>
          <w:sz w:val="32"/>
          <w:szCs w:val="32"/>
          <w:highlight w:val="none"/>
        </w:rPr>
      </w:pPr>
      <w:r>
        <w:rPr>
          <w:rFonts w:hint="eastAsia" w:ascii="宋体" w:hAnsi="宋体" w:eastAsia="宋体" w:cs="宋体"/>
          <w:color w:val="auto"/>
          <w:sz w:val="32"/>
          <w:szCs w:val="32"/>
          <w:highlight w:val="none"/>
        </w:rPr>
        <w:t>年   月    日</w:t>
      </w:r>
    </w:p>
    <w:p w14:paraId="5C2AEB63">
      <w:pPr>
        <w:rPr>
          <w:color w:val="auto"/>
          <w:highlight w:val="none"/>
          <w:lang w:val="zh-CN"/>
        </w:rPr>
      </w:pPr>
      <w:r>
        <w:rPr>
          <w:color w:val="auto"/>
          <w:highlight w:val="none"/>
          <w:lang w:val="zh-CN"/>
        </w:rPr>
        <w:br w:type="page"/>
      </w:r>
    </w:p>
    <w:p w14:paraId="374BEE88">
      <w:pPr>
        <w:pStyle w:val="2"/>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eastAsia="宋体" w:asciiTheme="majorHAnsi" w:hAnsiTheme="majorHAnsi" w:cstheme="majorBidi"/>
          <w:b/>
          <w:bCs/>
          <w:color w:val="auto"/>
          <w:kern w:val="2"/>
          <w:sz w:val="32"/>
          <w:szCs w:val="32"/>
          <w:highlight w:val="none"/>
          <w:lang w:val="en-US" w:eastAsia="zh-CN" w:bidi="ar-SA"/>
        </w:rPr>
      </w:pPr>
      <w:bookmarkStart w:id="776" w:name="_Toc25402"/>
      <w:bookmarkStart w:id="777" w:name="_Toc109899908"/>
      <w:bookmarkStart w:id="778" w:name="_Toc109899489"/>
      <w:bookmarkStart w:id="779" w:name="_Toc109900327"/>
      <w:bookmarkStart w:id="780" w:name="_Toc140132831"/>
      <w:bookmarkStart w:id="781" w:name="_Toc23604"/>
      <w:bookmarkStart w:id="782" w:name="_Toc3577"/>
      <w:bookmarkStart w:id="783" w:name="_Toc155185921"/>
      <w:r>
        <w:rPr>
          <w:rFonts w:hint="eastAsia" w:eastAsia="宋体" w:asciiTheme="majorHAnsi" w:hAnsiTheme="majorHAnsi" w:cstheme="majorBidi"/>
          <w:b/>
          <w:bCs/>
          <w:color w:val="auto"/>
          <w:kern w:val="2"/>
          <w:sz w:val="32"/>
          <w:szCs w:val="32"/>
          <w:highlight w:val="none"/>
          <w:lang w:val="en-US" w:eastAsia="zh-CN" w:bidi="ar-SA"/>
        </w:rPr>
        <w:t>一、投标函</w:t>
      </w:r>
      <w:bookmarkEnd w:id="776"/>
      <w:bookmarkEnd w:id="777"/>
      <w:bookmarkEnd w:id="778"/>
      <w:bookmarkEnd w:id="779"/>
      <w:bookmarkEnd w:id="780"/>
      <w:bookmarkEnd w:id="781"/>
      <w:bookmarkEnd w:id="782"/>
      <w:bookmarkEnd w:id="783"/>
    </w:p>
    <w:p w14:paraId="0ABD9EA3">
      <w:pPr>
        <w:rPr>
          <w:color w:val="auto"/>
          <w:highlight w:val="none"/>
        </w:rPr>
      </w:pPr>
      <w:r>
        <w:rPr>
          <w:rFonts w:hint="eastAsia"/>
          <w:color w:val="auto"/>
          <w:highlight w:val="none"/>
        </w:rPr>
        <w:t>致：（采购人）</w:t>
      </w:r>
    </w:p>
    <w:p w14:paraId="35C4266A">
      <w:pPr>
        <w:ind w:firstLine="480" w:firstLineChars="200"/>
        <w:rPr>
          <w:rFonts w:cs="仿宋_GB2312"/>
          <w:b/>
          <w:bCs/>
          <w:color w:val="auto"/>
          <w:szCs w:val="24"/>
          <w:highlight w:val="none"/>
        </w:rPr>
      </w:pPr>
      <w:r>
        <w:rPr>
          <w:rFonts w:hint="eastAsia" w:cs="仿宋_GB2312"/>
          <w:color w:val="auto"/>
          <w:szCs w:val="24"/>
          <w:highlight w:val="none"/>
        </w:rPr>
        <w:t>根据贵方</w:t>
      </w:r>
      <w:r>
        <w:rPr>
          <w:rFonts w:hint="eastAsia" w:cs="仿宋_GB2312"/>
          <w:color w:val="auto"/>
          <w:szCs w:val="24"/>
          <w:highlight w:val="none"/>
          <w:u w:val="single"/>
        </w:rPr>
        <w:t>（项目名称）（项目编号</w:t>
      </w:r>
      <w:r>
        <w:rPr>
          <w:rFonts w:hint="eastAsia" w:cs="仿宋_GB2312"/>
          <w:color w:val="auto"/>
          <w:szCs w:val="24"/>
          <w:highlight w:val="none"/>
          <w:u w:val="single"/>
          <w:lang w:val="en-US" w:eastAsia="zh-CN"/>
        </w:rPr>
        <w:t>/包号</w:t>
      </w:r>
      <w:r>
        <w:rPr>
          <w:rFonts w:hint="eastAsia" w:cs="仿宋_GB2312"/>
          <w:color w:val="auto"/>
          <w:szCs w:val="24"/>
          <w:highlight w:val="none"/>
          <w:u w:val="single"/>
        </w:rPr>
        <w:t>）</w:t>
      </w:r>
      <w:r>
        <w:rPr>
          <w:rFonts w:hint="eastAsia" w:cs="仿宋_GB2312"/>
          <w:color w:val="auto"/>
          <w:szCs w:val="24"/>
          <w:highlight w:val="none"/>
          <w:lang w:val="en-US" w:eastAsia="zh-CN"/>
        </w:rPr>
        <w:t>项目</w:t>
      </w:r>
      <w:r>
        <w:rPr>
          <w:rFonts w:hint="eastAsia" w:cs="仿宋_GB2312"/>
          <w:color w:val="auto"/>
          <w:szCs w:val="24"/>
          <w:highlight w:val="none"/>
        </w:rPr>
        <w:t>的</w:t>
      </w:r>
      <w:r>
        <w:rPr>
          <w:rFonts w:hint="eastAsia" w:cs="仿宋_GB2312"/>
          <w:color w:val="auto"/>
          <w:szCs w:val="24"/>
          <w:highlight w:val="none"/>
          <w:lang w:val="en-US" w:eastAsia="zh-CN"/>
        </w:rPr>
        <w:t>招标公告</w:t>
      </w:r>
      <w:r>
        <w:rPr>
          <w:rFonts w:hint="eastAsia" w:cs="仿宋_GB2312"/>
          <w:color w:val="auto"/>
          <w:szCs w:val="24"/>
          <w:highlight w:val="none"/>
        </w:rPr>
        <w:t>，签字代表</w:t>
      </w:r>
      <w:r>
        <w:rPr>
          <w:rFonts w:hint="eastAsia" w:cs="仿宋_GB2312"/>
          <w:color w:val="auto"/>
          <w:szCs w:val="24"/>
          <w:highlight w:val="none"/>
          <w:u w:val="single"/>
        </w:rPr>
        <w:t>（姓名、职务）</w:t>
      </w:r>
      <w:r>
        <w:rPr>
          <w:rFonts w:hint="eastAsia" w:cs="仿宋_GB2312"/>
          <w:color w:val="auto"/>
          <w:szCs w:val="24"/>
          <w:highlight w:val="none"/>
        </w:rPr>
        <w:t>经正式授权并代表投标人</w:t>
      </w:r>
      <w:r>
        <w:rPr>
          <w:rFonts w:hint="eastAsia" w:cs="仿宋_GB2312"/>
          <w:color w:val="auto"/>
          <w:szCs w:val="24"/>
          <w:highlight w:val="none"/>
          <w:u w:val="single"/>
        </w:rPr>
        <w:t>（投标人名称、地址）</w:t>
      </w:r>
      <w:r>
        <w:rPr>
          <w:rFonts w:hint="eastAsia" w:cs="仿宋_GB2312"/>
          <w:color w:val="auto"/>
          <w:szCs w:val="24"/>
          <w:highlight w:val="none"/>
        </w:rPr>
        <w:t>提交下述文件</w:t>
      </w:r>
      <w:r>
        <w:rPr>
          <w:rFonts w:hint="eastAsia" w:cs="仿宋_GB2312"/>
          <w:b/>
          <w:bCs/>
          <w:color w:val="auto"/>
          <w:szCs w:val="24"/>
          <w:highlight w:val="none"/>
        </w:rPr>
        <w:t>：</w:t>
      </w:r>
    </w:p>
    <w:p w14:paraId="21BBF032">
      <w:pPr>
        <w:numPr>
          <w:ilvl w:val="0"/>
          <w:numId w:val="0"/>
        </w:numPr>
        <w:spacing w:line="324" w:lineRule="auto"/>
        <w:ind w:firstLine="480" w:firstLineChars="200"/>
        <w:jc w:val="both"/>
        <w:rPr>
          <w:rFonts w:cs="Arial"/>
          <w:color w:val="auto"/>
          <w:szCs w:val="24"/>
          <w:highlight w:val="none"/>
        </w:rPr>
      </w:pPr>
      <w:r>
        <w:rPr>
          <w:rFonts w:hint="eastAsia" w:ascii="宋体" w:hAnsi="宋体" w:eastAsia="宋体" w:cs="Arial"/>
          <w:color w:val="auto"/>
          <w:kern w:val="2"/>
          <w:sz w:val="24"/>
          <w:szCs w:val="24"/>
          <w:highlight w:val="none"/>
          <w:lang w:val="en-US" w:eastAsia="zh-CN" w:bidi="ar-SA"/>
        </w:rPr>
        <w:t>1.</w:t>
      </w:r>
      <w:r>
        <w:rPr>
          <w:rFonts w:hint="eastAsia" w:cs="Arial"/>
          <w:color w:val="auto"/>
          <w:szCs w:val="24"/>
          <w:highlight w:val="none"/>
        </w:rPr>
        <w:t>资格</w:t>
      </w:r>
      <w:r>
        <w:rPr>
          <w:rFonts w:hint="eastAsia" w:cs="Arial"/>
          <w:color w:val="auto"/>
          <w:szCs w:val="24"/>
          <w:highlight w:val="none"/>
          <w:lang w:val="en-US" w:eastAsia="zh-CN"/>
        </w:rPr>
        <w:t>证明</w:t>
      </w:r>
      <w:r>
        <w:rPr>
          <w:rFonts w:hint="eastAsia" w:cs="Arial"/>
          <w:color w:val="auto"/>
          <w:szCs w:val="24"/>
          <w:highlight w:val="none"/>
        </w:rPr>
        <w:t>文件</w:t>
      </w:r>
      <w:r>
        <w:rPr>
          <w:rFonts w:cs="Arial"/>
          <w:color w:val="auto"/>
          <w:szCs w:val="24"/>
          <w:highlight w:val="none"/>
        </w:rPr>
        <w:t>；</w:t>
      </w:r>
    </w:p>
    <w:p w14:paraId="0A0EA079">
      <w:pPr>
        <w:numPr>
          <w:ilvl w:val="0"/>
          <w:numId w:val="0"/>
        </w:numPr>
        <w:spacing w:line="324" w:lineRule="auto"/>
        <w:ind w:firstLine="480" w:firstLineChars="200"/>
        <w:jc w:val="both"/>
        <w:rPr>
          <w:rFonts w:cs="Arial"/>
          <w:color w:val="auto"/>
          <w:szCs w:val="24"/>
          <w:highlight w:val="none"/>
        </w:rPr>
      </w:pPr>
      <w:r>
        <w:rPr>
          <w:rFonts w:hint="eastAsia" w:ascii="宋体" w:hAnsi="宋体" w:eastAsia="宋体" w:cs="Arial"/>
          <w:color w:val="auto"/>
          <w:kern w:val="2"/>
          <w:sz w:val="24"/>
          <w:szCs w:val="24"/>
          <w:highlight w:val="none"/>
          <w:lang w:val="en-US" w:eastAsia="zh-CN" w:bidi="ar-SA"/>
        </w:rPr>
        <w:t>2.</w:t>
      </w:r>
      <w:r>
        <w:rPr>
          <w:rFonts w:hint="eastAsia" w:cs="Arial"/>
          <w:color w:val="auto"/>
          <w:szCs w:val="24"/>
          <w:highlight w:val="none"/>
        </w:rPr>
        <w:t>投标报价</w:t>
      </w:r>
      <w:r>
        <w:rPr>
          <w:rFonts w:cs="Arial"/>
          <w:color w:val="auto"/>
          <w:szCs w:val="24"/>
          <w:highlight w:val="none"/>
        </w:rPr>
        <w:t>文件</w:t>
      </w:r>
      <w:r>
        <w:rPr>
          <w:rFonts w:hint="eastAsia" w:cs="Arial"/>
          <w:color w:val="auto"/>
          <w:szCs w:val="24"/>
          <w:highlight w:val="none"/>
        </w:rPr>
        <w:t>；</w:t>
      </w:r>
    </w:p>
    <w:p w14:paraId="7C008F28">
      <w:pPr>
        <w:numPr>
          <w:ilvl w:val="0"/>
          <w:numId w:val="0"/>
        </w:numPr>
        <w:spacing w:line="324" w:lineRule="auto"/>
        <w:ind w:firstLine="480" w:firstLineChars="200"/>
        <w:jc w:val="both"/>
        <w:rPr>
          <w:rFonts w:cs="Arial"/>
          <w:color w:val="auto"/>
          <w:szCs w:val="24"/>
          <w:highlight w:val="none"/>
        </w:rPr>
      </w:pPr>
      <w:r>
        <w:rPr>
          <w:rFonts w:hint="eastAsia" w:ascii="宋体" w:hAnsi="宋体" w:eastAsia="宋体" w:cs="Arial"/>
          <w:color w:val="auto"/>
          <w:kern w:val="2"/>
          <w:sz w:val="24"/>
          <w:szCs w:val="24"/>
          <w:highlight w:val="none"/>
          <w:lang w:val="en-US" w:eastAsia="zh-CN" w:bidi="ar-SA"/>
        </w:rPr>
        <w:t>3.</w:t>
      </w:r>
      <w:r>
        <w:rPr>
          <w:rFonts w:hint="eastAsia" w:cs="Arial"/>
          <w:color w:val="auto"/>
          <w:szCs w:val="24"/>
          <w:highlight w:val="none"/>
          <w:lang w:val="en-US" w:eastAsia="zh-CN"/>
        </w:rPr>
        <w:t>商务技术</w:t>
      </w:r>
      <w:r>
        <w:rPr>
          <w:rFonts w:hint="eastAsia" w:cs="Arial"/>
          <w:color w:val="auto"/>
          <w:szCs w:val="24"/>
          <w:highlight w:val="none"/>
        </w:rPr>
        <w:t>文件</w:t>
      </w:r>
      <w:r>
        <w:rPr>
          <w:rFonts w:cs="Arial"/>
          <w:color w:val="auto"/>
          <w:szCs w:val="24"/>
          <w:highlight w:val="none"/>
        </w:rPr>
        <w:t>。</w:t>
      </w:r>
    </w:p>
    <w:p w14:paraId="2038C573">
      <w:pPr>
        <w:spacing w:line="324" w:lineRule="auto"/>
        <w:ind w:firstLine="480" w:firstLineChars="200"/>
        <w:rPr>
          <w:rFonts w:cs="Arial"/>
          <w:color w:val="auto"/>
          <w:szCs w:val="24"/>
          <w:highlight w:val="none"/>
        </w:rPr>
      </w:pPr>
      <w:r>
        <w:rPr>
          <w:rFonts w:cs="Arial"/>
          <w:color w:val="auto"/>
          <w:szCs w:val="24"/>
          <w:highlight w:val="none"/>
        </w:rPr>
        <w:t>根据此函，签字代表宣布同意如下：</w:t>
      </w:r>
    </w:p>
    <w:p w14:paraId="7021F257">
      <w:pPr>
        <w:numPr>
          <w:ilvl w:val="0"/>
          <w:numId w:val="0"/>
        </w:numPr>
        <w:spacing w:line="324" w:lineRule="auto"/>
        <w:ind w:firstLine="480" w:firstLineChars="200"/>
        <w:jc w:val="both"/>
        <w:rPr>
          <w:rFonts w:cs="Arial"/>
          <w:color w:val="auto"/>
          <w:szCs w:val="24"/>
          <w:highlight w:val="none"/>
        </w:rPr>
      </w:pPr>
      <w:r>
        <w:rPr>
          <w:rFonts w:hint="eastAsia" w:ascii="宋体" w:hAnsi="宋体" w:eastAsia="宋体" w:cs="Arial"/>
          <w:color w:val="auto"/>
          <w:kern w:val="2"/>
          <w:sz w:val="24"/>
          <w:szCs w:val="24"/>
          <w:highlight w:val="none"/>
          <w:lang w:val="en-US" w:eastAsia="zh-CN" w:bidi="ar-SA"/>
        </w:rPr>
        <w:t>1.</w:t>
      </w:r>
      <w:r>
        <w:rPr>
          <w:rFonts w:cs="Arial"/>
          <w:color w:val="auto"/>
          <w:szCs w:val="24"/>
          <w:highlight w:val="none"/>
        </w:rPr>
        <w:t>所附投标价格表中规定的应提交和交付的服务和</w:t>
      </w:r>
      <w:r>
        <w:rPr>
          <w:rFonts w:hint="eastAsia" w:cs="Arial"/>
          <w:color w:val="auto"/>
          <w:szCs w:val="24"/>
          <w:highlight w:val="none"/>
          <w:lang w:val="en-US" w:eastAsia="zh-CN"/>
        </w:rPr>
        <w:t>相关</w:t>
      </w:r>
      <w:r>
        <w:rPr>
          <w:rFonts w:hint="eastAsia" w:cs="Arial"/>
          <w:color w:val="auto"/>
          <w:szCs w:val="24"/>
          <w:highlight w:val="none"/>
        </w:rPr>
        <w:t>货物（如有）</w:t>
      </w:r>
      <w:r>
        <w:rPr>
          <w:rFonts w:cs="Arial"/>
          <w:color w:val="auto"/>
          <w:szCs w:val="24"/>
          <w:highlight w:val="none"/>
        </w:rPr>
        <w:t>的</w:t>
      </w:r>
      <w:r>
        <w:rPr>
          <w:rFonts w:hint="eastAsia" w:cs="Arial"/>
          <w:color w:val="auto"/>
          <w:szCs w:val="24"/>
          <w:highlight w:val="none"/>
        </w:rPr>
        <w:t>投标报价</w:t>
      </w:r>
      <w:r>
        <w:rPr>
          <w:rFonts w:cs="Arial"/>
          <w:color w:val="auto"/>
          <w:szCs w:val="24"/>
          <w:highlight w:val="none"/>
        </w:rPr>
        <w:t>为</w:t>
      </w:r>
      <w:r>
        <w:rPr>
          <w:rFonts w:hint="eastAsia" w:cs="Arial"/>
          <w:color w:val="auto"/>
          <w:szCs w:val="24"/>
          <w:highlight w:val="none"/>
        </w:rPr>
        <w:t xml:space="preserve"> </w:t>
      </w:r>
      <w:r>
        <w:rPr>
          <w:rFonts w:hint="eastAsia" w:cs="Arial"/>
          <w:color w:val="auto"/>
          <w:szCs w:val="24"/>
          <w:highlight w:val="none"/>
          <w:u w:val="single"/>
        </w:rPr>
        <w:t xml:space="preserve">                  </w:t>
      </w:r>
      <w:r>
        <w:rPr>
          <w:rFonts w:cs="Arial"/>
          <w:color w:val="auto"/>
          <w:szCs w:val="24"/>
          <w:highlight w:val="none"/>
        </w:rPr>
        <w:t>。</w:t>
      </w:r>
    </w:p>
    <w:p w14:paraId="3FF1B405">
      <w:pPr>
        <w:numPr>
          <w:ilvl w:val="0"/>
          <w:numId w:val="0"/>
        </w:numPr>
        <w:spacing w:line="324" w:lineRule="auto"/>
        <w:ind w:firstLine="480" w:firstLineChars="200"/>
        <w:jc w:val="both"/>
        <w:rPr>
          <w:rFonts w:cs="Arial"/>
          <w:color w:val="auto"/>
          <w:szCs w:val="24"/>
          <w:highlight w:val="none"/>
        </w:rPr>
      </w:pPr>
      <w:r>
        <w:rPr>
          <w:rFonts w:hint="eastAsia" w:ascii="宋体" w:hAnsi="宋体" w:eastAsia="宋体" w:cs="Arial"/>
          <w:color w:val="auto"/>
          <w:kern w:val="2"/>
          <w:sz w:val="24"/>
          <w:szCs w:val="24"/>
          <w:highlight w:val="none"/>
          <w:lang w:val="en-US" w:eastAsia="zh-CN" w:bidi="ar-SA"/>
        </w:rPr>
        <w:t>2.</w:t>
      </w:r>
      <w:r>
        <w:rPr>
          <w:rFonts w:hint="eastAsia" w:cs="Arial"/>
          <w:color w:val="auto"/>
          <w:szCs w:val="24"/>
          <w:highlight w:val="none"/>
        </w:rPr>
        <w:t>我方</w:t>
      </w:r>
      <w:r>
        <w:rPr>
          <w:rFonts w:cs="Arial"/>
          <w:color w:val="auto"/>
          <w:szCs w:val="24"/>
          <w:highlight w:val="none"/>
        </w:rPr>
        <w:t>将按招标文件的规定履行合同责任和义务。</w:t>
      </w:r>
    </w:p>
    <w:p w14:paraId="464D767C">
      <w:pPr>
        <w:numPr>
          <w:ilvl w:val="0"/>
          <w:numId w:val="0"/>
        </w:numPr>
        <w:spacing w:line="324" w:lineRule="auto"/>
        <w:ind w:firstLine="480" w:firstLineChars="200"/>
        <w:jc w:val="both"/>
        <w:rPr>
          <w:rFonts w:cs="Arial"/>
          <w:i w:val="0"/>
          <w:iCs w:val="0"/>
          <w:color w:val="auto"/>
          <w:szCs w:val="24"/>
          <w:highlight w:val="none"/>
        </w:rPr>
      </w:pPr>
      <w:r>
        <w:rPr>
          <w:rFonts w:hint="eastAsia" w:ascii="宋体" w:hAnsi="宋体" w:eastAsia="宋体" w:cs="Arial"/>
          <w:color w:val="auto"/>
          <w:kern w:val="2"/>
          <w:sz w:val="24"/>
          <w:szCs w:val="24"/>
          <w:highlight w:val="none"/>
          <w:lang w:val="en-US" w:eastAsia="zh-CN" w:bidi="ar-SA"/>
        </w:rPr>
        <w:t>3.</w:t>
      </w:r>
      <w:r>
        <w:rPr>
          <w:rFonts w:hint="eastAsia" w:cs="Arial"/>
          <w:color w:val="auto"/>
          <w:szCs w:val="24"/>
          <w:highlight w:val="none"/>
        </w:rPr>
        <w:t>我方</w:t>
      </w:r>
      <w:r>
        <w:rPr>
          <w:rFonts w:cs="Arial"/>
          <w:color w:val="auto"/>
          <w:szCs w:val="24"/>
          <w:highlight w:val="none"/>
        </w:rPr>
        <w:t>已详细审查全部招标文件，包括</w:t>
      </w:r>
      <w:r>
        <w:rPr>
          <w:rFonts w:cs="Arial"/>
          <w:i w:val="0"/>
          <w:iCs w:val="0"/>
          <w:color w:val="auto"/>
          <w:szCs w:val="24"/>
          <w:highlight w:val="none"/>
        </w:rPr>
        <w:t>第</w:t>
      </w:r>
      <w:r>
        <w:rPr>
          <w:rFonts w:cs="Arial"/>
          <w:i w:val="0"/>
          <w:iCs w:val="0"/>
          <w:color w:val="auto"/>
          <w:szCs w:val="24"/>
          <w:highlight w:val="none"/>
          <w:u w:val="single"/>
        </w:rPr>
        <w:t>（编号、补遗书）（如果有的话）</w:t>
      </w:r>
      <w:r>
        <w:rPr>
          <w:rFonts w:cs="Arial"/>
          <w:i w:val="0"/>
          <w:iCs w:val="0"/>
          <w:color w:val="auto"/>
          <w:szCs w:val="24"/>
          <w:highlight w:val="none"/>
        </w:rPr>
        <w:t>。我</w:t>
      </w:r>
      <w:r>
        <w:rPr>
          <w:rFonts w:hint="eastAsia" w:cs="Arial"/>
          <w:i w:val="0"/>
          <w:iCs w:val="0"/>
          <w:color w:val="auto"/>
          <w:szCs w:val="24"/>
          <w:highlight w:val="none"/>
        </w:rPr>
        <w:t>方</w:t>
      </w:r>
      <w:r>
        <w:rPr>
          <w:rFonts w:cs="Arial"/>
          <w:i w:val="0"/>
          <w:iCs w:val="0"/>
          <w:color w:val="auto"/>
          <w:szCs w:val="24"/>
          <w:highlight w:val="none"/>
        </w:rPr>
        <w:t>完全理解并同意放弃对这方面有不明及误解的权力。</w:t>
      </w:r>
    </w:p>
    <w:p w14:paraId="70CAE828">
      <w:pPr>
        <w:numPr>
          <w:ilvl w:val="0"/>
          <w:numId w:val="0"/>
        </w:numPr>
        <w:spacing w:line="324" w:lineRule="auto"/>
        <w:ind w:firstLine="480" w:firstLineChars="200"/>
        <w:jc w:val="both"/>
        <w:rPr>
          <w:rFonts w:cs="Arial"/>
          <w:i w:val="0"/>
          <w:iCs w:val="0"/>
          <w:color w:val="auto"/>
          <w:szCs w:val="24"/>
          <w:highlight w:val="none"/>
        </w:rPr>
      </w:pPr>
      <w:r>
        <w:rPr>
          <w:rFonts w:hint="eastAsia" w:ascii="宋体" w:hAnsi="宋体" w:eastAsia="宋体" w:cs="Arial"/>
          <w:i w:val="0"/>
          <w:iCs w:val="0"/>
          <w:color w:val="auto"/>
          <w:kern w:val="2"/>
          <w:sz w:val="24"/>
          <w:szCs w:val="24"/>
          <w:highlight w:val="none"/>
          <w:lang w:val="en-US" w:eastAsia="zh-CN" w:bidi="ar-SA"/>
        </w:rPr>
        <w:t>4.</w:t>
      </w:r>
      <w:r>
        <w:rPr>
          <w:rFonts w:hint="eastAsia" w:cs="Arial"/>
          <w:i w:val="0"/>
          <w:iCs w:val="0"/>
          <w:color w:val="auto"/>
          <w:szCs w:val="24"/>
          <w:highlight w:val="none"/>
        </w:rPr>
        <w:t>投标有效期为自提交投标文件的截止之日起</w:t>
      </w:r>
      <w:r>
        <w:rPr>
          <w:rFonts w:hint="eastAsia" w:cs="Arial"/>
          <w:i w:val="0"/>
          <w:iCs w:val="0"/>
          <w:color w:val="auto"/>
          <w:szCs w:val="24"/>
          <w:highlight w:val="none"/>
          <w:u w:val="single"/>
        </w:rPr>
        <w:t xml:space="preserve"> （由投标人填写）</w:t>
      </w:r>
      <w:r>
        <w:rPr>
          <w:rFonts w:cs="Arial"/>
          <w:i w:val="0"/>
          <w:iCs w:val="0"/>
          <w:color w:val="auto"/>
          <w:szCs w:val="24"/>
          <w:highlight w:val="none"/>
        </w:rPr>
        <w:t>个日历天。</w:t>
      </w:r>
    </w:p>
    <w:p w14:paraId="52EDF2A7">
      <w:pPr>
        <w:numPr>
          <w:ilvl w:val="0"/>
          <w:numId w:val="0"/>
        </w:numPr>
        <w:spacing w:line="324" w:lineRule="auto"/>
        <w:ind w:firstLine="480" w:firstLineChars="200"/>
        <w:jc w:val="both"/>
        <w:rPr>
          <w:rFonts w:cs="Arial"/>
          <w:i w:val="0"/>
          <w:iCs w:val="0"/>
          <w:color w:val="auto"/>
          <w:szCs w:val="24"/>
          <w:highlight w:val="none"/>
        </w:rPr>
      </w:pPr>
      <w:r>
        <w:rPr>
          <w:rFonts w:hint="eastAsia" w:ascii="宋体" w:hAnsi="宋体" w:eastAsia="宋体" w:cs="Arial"/>
          <w:i w:val="0"/>
          <w:iCs w:val="0"/>
          <w:color w:val="auto"/>
          <w:kern w:val="2"/>
          <w:sz w:val="24"/>
          <w:szCs w:val="24"/>
          <w:highlight w:val="none"/>
          <w:lang w:val="en-US" w:eastAsia="zh-CN" w:bidi="ar-SA"/>
        </w:rPr>
        <w:t>5.</w:t>
      </w:r>
      <w:r>
        <w:rPr>
          <w:rFonts w:hint="eastAsia" w:cs="Arial"/>
          <w:i w:val="0"/>
          <w:iCs w:val="0"/>
          <w:color w:val="auto"/>
          <w:szCs w:val="24"/>
          <w:highlight w:val="none"/>
        </w:rPr>
        <w:t>我方</w:t>
      </w:r>
      <w:r>
        <w:rPr>
          <w:rFonts w:cs="Arial"/>
          <w:i w:val="0"/>
          <w:iCs w:val="0"/>
          <w:color w:val="auto"/>
          <w:szCs w:val="24"/>
          <w:highlight w:val="none"/>
        </w:rPr>
        <w:t>同意提供按照贵方</w:t>
      </w:r>
      <w:r>
        <w:rPr>
          <w:rFonts w:hint="eastAsia" w:cs="Arial"/>
          <w:i w:val="0"/>
          <w:iCs w:val="0"/>
          <w:color w:val="auto"/>
          <w:szCs w:val="24"/>
          <w:highlight w:val="none"/>
          <w:lang w:val="en-US" w:eastAsia="zh-CN"/>
        </w:rPr>
        <w:t>招标</w:t>
      </w:r>
      <w:r>
        <w:rPr>
          <w:rFonts w:hint="eastAsia" w:cs="Arial"/>
          <w:i w:val="0"/>
          <w:iCs w:val="0"/>
          <w:color w:val="auto"/>
          <w:szCs w:val="24"/>
          <w:highlight w:val="none"/>
        </w:rPr>
        <w:t>文件</w:t>
      </w:r>
      <w:r>
        <w:rPr>
          <w:rFonts w:cs="Arial"/>
          <w:i w:val="0"/>
          <w:iCs w:val="0"/>
          <w:color w:val="auto"/>
          <w:szCs w:val="24"/>
          <w:highlight w:val="none"/>
        </w:rPr>
        <w:t>要求的与投标有关的一切数据或资料，</w:t>
      </w:r>
      <w:r>
        <w:rPr>
          <w:rFonts w:hint="eastAsia" w:cs="Arial"/>
          <w:i w:val="0"/>
          <w:iCs w:val="0"/>
          <w:color w:val="auto"/>
          <w:szCs w:val="24"/>
          <w:highlight w:val="none"/>
        </w:rPr>
        <w:t>采用综合评分法时，我方</w:t>
      </w:r>
      <w:r>
        <w:rPr>
          <w:rFonts w:cs="Arial"/>
          <w:i w:val="0"/>
          <w:iCs w:val="0"/>
          <w:color w:val="auto"/>
          <w:szCs w:val="24"/>
          <w:highlight w:val="none"/>
        </w:rPr>
        <w:t>完全理解贵方不一定接受最低价的投标。</w:t>
      </w:r>
    </w:p>
    <w:p w14:paraId="3CF5A666">
      <w:pPr>
        <w:numPr>
          <w:ilvl w:val="0"/>
          <w:numId w:val="0"/>
        </w:numPr>
        <w:spacing w:line="324" w:lineRule="auto"/>
        <w:ind w:firstLine="480" w:firstLineChars="200"/>
        <w:jc w:val="both"/>
        <w:rPr>
          <w:rFonts w:cs="Arial"/>
          <w:i w:val="0"/>
          <w:iCs w:val="0"/>
          <w:color w:val="auto"/>
          <w:szCs w:val="24"/>
          <w:highlight w:val="none"/>
        </w:rPr>
      </w:pPr>
      <w:r>
        <w:rPr>
          <w:rFonts w:hint="eastAsia" w:ascii="宋体" w:hAnsi="宋体" w:eastAsia="宋体" w:cs="Arial"/>
          <w:i w:val="0"/>
          <w:iCs w:val="0"/>
          <w:color w:val="auto"/>
          <w:kern w:val="2"/>
          <w:sz w:val="24"/>
          <w:szCs w:val="24"/>
          <w:highlight w:val="none"/>
          <w:lang w:val="en-US" w:eastAsia="zh-CN" w:bidi="ar-SA"/>
        </w:rPr>
        <w:t>6.</w:t>
      </w:r>
      <w:r>
        <w:rPr>
          <w:rFonts w:hint="eastAsia" w:cs="Arial"/>
          <w:i w:val="0"/>
          <w:iCs w:val="0"/>
          <w:color w:val="auto"/>
          <w:szCs w:val="24"/>
          <w:highlight w:val="none"/>
        </w:rPr>
        <w:t>本项目如由中标人支付采购代理服务费，我方同意按投标人须知前附表中规定向采购代理机构支付采购代理服务费。</w:t>
      </w:r>
    </w:p>
    <w:p w14:paraId="6A150207">
      <w:pPr>
        <w:numPr>
          <w:ilvl w:val="0"/>
          <w:numId w:val="0"/>
        </w:numPr>
        <w:snapToGrid w:val="0"/>
        <w:spacing w:line="324" w:lineRule="auto"/>
        <w:ind w:firstLine="480" w:firstLineChars="200"/>
        <w:jc w:val="both"/>
        <w:rPr>
          <w:rFonts w:cs="Arial"/>
          <w:i w:val="0"/>
          <w:iCs w:val="0"/>
          <w:color w:val="auto"/>
          <w:szCs w:val="24"/>
          <w:highlight w:val="none"/>
        </w:rPr>
      </w:pPr>
      <w:r>
        <w:rPr>
          <w:rFonts w:hint="eastAsia" w:ascii="宋体" w:hAnsi="宋体" w:eastAsia="宋体" w:cs="Arial"/>
          <w:i w:val="0"/>
          <w:iCs w:val="0"/>
          <w:color w:val="auto"/>
          <w:kern w:val="2"/>
          <w:sz w:val="24"/>
          <w:szCs w:val="24"/>
          <w:highlight w:val="none"/>
          <w:lang w:val="en-US" w:eastAsia="zh-CN" w:bidi="ar-SA"/>
        </w:rPr>
        <w:t>7.</w:t>
      </w:r>
      <w:r>
        <w:rPr>
          <w:rFonts w:hint="eastAsia" w:cs="Arial"/>
          <w:i w:val="0"/>
          <w:iCs w:val="0"/>
          <w:color w:val="auto"/>
          <w:szCs w:val="24"/>
          <w:highlight w:val="none"/>
        </w:rPr>
        <w:t>重要声明：</w:t>
      </w:r>
    </w:p>
    <w:p w14:paraId="40AFB77A">
      <w:pPr>
        <w:snapToGrid w:val="0"/>
        <w:spacing w:line="324" w:lineRule="auto"/>
        <w:ind w:firstLine="480" w:firstLineChars="200"/>
        <w:rPr>
          <w:i w:val="0"/>
          <w:iCs w:val="0"/>
          <w:color w:val="auto"/>
          <w:szCs w:val="24"/>
          <w:highlight w:val="none"/>
        </w:rPr>
      </w:pPr>
      <w:r>
        <w:rPr>
          <w:rFonts w:hint="eastAsia"/>
          <w:i w:val="0"/>
          <w:iCs w:val="0"/>
          <w:color w:val="auto"/>
          <w:szCs w:val="24"/>
          <w:highlight w:val="none"/>
        </w:rPr>
        <w:t>1）与我方单位负责人为同一人的其他单位名称：</w:t>
      </w:r>
    </w:p>
    <w:p w14:paraId="409D2F71">
      <w:pPr>
        <w:snapToGrid w:val="0"/>
        <w:spacing w:line="324" w:lineRule="auto"/>
        <w:ind w:left="456" w:leftChars="190" w:firstLine="355" w:firstLineChars="148"/>
        <w:rPr>
          <w:i w:val="0"/>
          <w:iCs w:val="0"/>
          <w:color w:val="auto"/>
          <w:szCs w:val="24"/>
          <w:highlight w:val="none"/>
        </w:rPr>
      </w:pPr>
      <w:r>
        <w:rPr>
          <w:rFonts w:hint="eastAsia"/>
          <w:i w:val="0"/>
          <w:iCs w:val="0"/>
          <w:color w:val="auto"/>
          <w:szCs w:val="24"/>
          <w:highlight w:val="none"/>
          <w:lang w:eastAsia="zh-CN"/>
        </w:rPr>
        <w:t>□</w:t>
      </w:r>
      <w:r>
        <w:rPr>
          <w:rFonts w:hint="eastAsia"/>
          <w:i w:val="0"/>
          <w:iCs w:val="0"/>
          <w:color w:val="auto"/>
          <w:szCs w:val="24"/>
          <w:highlight w:val="none"/>
        </w:rPr>
        <w:t>无；</w:t>
      </w:r>
      <w:r>
        <w:rPr>
          <w:rFonts w:hint="eastAsia"/>
          <w:i w:val="0"/>
          <w:iCs w:val="0"/>
          <w:color w:val="auto"/>
          <w:szCs w:val="24"/>
          <w:highlight w:val="none"/>
          <w:lang w:eastAsia="zh-CN"/>
        </w:rPr>
        <w:t>□</w:t>
      </w:r>
      <w:r>
        <w:rPr>
          <w:rFonts w:hint="eastAsia"/>
          <w:i w:val="0"/>
          <w:iCs w:val="0"/>
          <w:color w:val="auto"/>
          <w:szCs w:val="24"/>
          <w:highlight w:val="none"/>
        </w:rPr>
        <w:t>有，具体单位名称为：</w:t>
      </w:r>
      <w:r>
        <w:rPr>
          <w:rFonts w:hint="eastAsia" w:cs="Arial"/>
          <w:i w:val="0"/>
          <w:iCs w:val="0"/>
          <w:color w:val="auto"/>
          <w:szCs w:val="24"/>
          <w:highlight w:val="none"/>
          <w:u w:val="single"/>
        </w:rPr>
        <w:t>（由投标人如实填写）</w:t>
      </w:r>
      <w:r>
        <w:rPr>
          <w:rFonts w:hint="eastAsia"/>
          <w:i w:val="0"/>
          <w:iCs w:val="0"/>
          <w:color w:val="auto"/>
          <w:szCs w:val="24"/>
          <w:highlight w:val="none"/>
        </w:rPr>
        <w:t>。</w:t>
      </w:r>
    </w:p>
    <w:p w14:paraId="0B2F52C6">
      <w:pPr>
        <w:snapToGrid w:val="0"/>
        <w:spacing w:line="324" w:lineRule="auto"/>
        <w:ind w:firstLine="480" w:firstLineChars="200"/>
        <w:rPr>
          <w:i w:val="0"/>
          <w:iCs w:val="0"/>
          <w:color w:val="auto"/>
          <w:szCs w:val="24"/>
          <w:highlight w:val="none"/>
        </w:rPr>
      </w:pPr>
      <w:r>
        <w:rPr>
          <w:rFonts w:hint="eastAsia"/>
          <w:i w:val="0"/>
          <w:iCs w:val="0"/>
          <w:color w:val="auto"/>
          <w:szCs w:val="24"/>
          <w:highlight w:val="none"/>
        </w:rPr>
        <w:t>2）与我方存在控股、管理关系的其他单位的名称：</w:t>
      </w:r>
    </w:p>
    <w:p w14:paraId="3BE8BBB8">
      <w:pPr>
        <w:snapToGrid w:val="0"/>
        <w:spacing w:line="324" w:lineRule="auto"/>
        <w:ind w:left="456" w:leftChars="190" w:firstLine="355" w:firstLineChars="148"/>
        <w:rPr>
          <w:i w:val="0"/>
          <w:iCs w:val="0"/>
          <w:color w:val="auto"/>
          <w:szCs w:val="24"/>
          <w:highlight w:val="none"/>
        </w:rPr>
      </w:pPr>
      <w:r>
        <w:rPr>
          <w:rFonts w:hint="eastAsia"/>
          <w:i w:val="0"/>
          <w:iCs w:val="0"/>
          <w:color w:val="auto"/>
          <w:szCs w:val="24"/>
          <w:highlight w:val="none"/>
          <w:lang w:eastAsia="zh-CN"/>
        </w:rPr>
        <w:t>□</w:t>
      </w:r>
      <w:r>
        <w:rPr>
          <w:rFonts w:hint="eastAsia"/>
          <w:i w:val="0"/>
          <w:iCs w:val="0"/>
          <w:color w:val="auto"/>
          <w:szCs w:val="24"/>
          <w:highlight w:val="none"/>
        </w:rPr>
        <w:t xml:space="preserve">无；□有，具体单位名称为： </w:t>
      </w:r>
      <w:r>
        <w:rPr>
          <w:rFonts w:hint="eastAsia" w:cs="Arial"/>
          <w:i w:val="0"/>
          <w:iCs w:val="0"/>
          <w:color w:val="auto"/>
          <w:szCs w:val="24"/>
          <w:highlight w:val="none"/>
          <w:u w:val="single"/>
        </w:rPr>
        <w:t>（由投标人如实填写）</w:t>
      </w:r>
      <w:r>
        <w:rPr>
          <w:rFonts w:hint="eastAsia"/>
          <w:i w:val="0"/>
          <w:iCs w:val="0"/>
          <w:color w:val="auto"/>
          <w:szCs w:val="24"/>
          <w:highlight w:val="none"/>
        </w:rPr>
        <w:t>。</w:t>
      </w:r>
    </w:p>
    <w:p w14:paraId="1103F8A2">
      <w:pPr>
        <w:snapToGrid w:val="0"/>
        <w:spacing w:line="324" w:lineRule="auto"/>
        <w:ind w:firstLine="480" w:firstLineChars="200"/>
        <w:rPr>
          <w:i w:val="0"/>
          <w:iCs w:val="0"/>
          <w:color w:val="auto"/>
          <w:szCs w:val="24"/>
          <w:highlight w:val="none"/>
        </w:rPr>
      </w:pPr>
      <w:r>
        <w:rPr>
          <w:rFonts w:hint="eastAsia"/>
          <w:i w:val="0"/>
          <w:iCs w:val="0"/>
          <w:color w:val="auto"/>
          <w:szCs w:val="24"/>
          <w:highlight w:val="none"/>
        </w:rPr>
        <w:t>3）参与本项目采购活动前，是否为本项目前期准备提供过整体设计、规范编制或者项目管理、监理、检测等服务：</w:t>
      </w:r>
    </w:p>
    <w:p w14:paraId="73BE978C">
      <w:pPr>
        <w:snapToGrid w:val="0"/>
        <w:spacing w:line="324" w:lineRule="auto"/>
        <w:ind w:left="456" w:leftChars="190" w:firstLine="355" w:firstLineChars="148"/>
        <w:rPr>
          <w:i w:val="0"/>
          <w:iCs w:val="0"/>
          <w:color w:val="auto"/>
          <w:szCs w:val="24"/>
          <w:highlight w:val="none"/>
        </w:rPr>
      </w:pPr>
      <w:r>
        <w:rPr>
          <w:rFonts w:hint="eastAsia"/>
          <w:i w:val="0"/>
          <w:iCs w:val="0"/>
          <w:color w:val="auto"/>
          <w:szCs w:val="24"/>
          <w:highlight w:val="none"/>
          <w:lang w:eastAsia="zh-CN"/>
        </w:rPr>
        <w:t>□</w:t>
      </w:r>
      <w:r>
        <w:rPr>
          <w:rFonts w:hint="eastAsia"/>
          <w:i w:val="0"/>
          <w:iCs w:val="0"/>
          <w:color w:val="auto"/>
          <w:szCs w:val="24"/>
          <w:highlight w:val="none"/>
        </w:rPr>
        <w:t xml:space="preserve">无；□有，已提供的具体服务内容为： </w:t>
      </w:r>
      <w:r>
        <w:rPr>
          <w:rFonts w:hint="eastAsia" w:cs="Arial"/>
          <w:i w:val="0"/>
          <w:iCs w:val="0"/>
          <w:color w:val="auto"/>
          <w:szCs w:val="24"/>
          <w:highlight w:val="none"/>
          <w:u w:val="single"/>
        </w:rPr>
        <w:t>（由投标人如实填写）</w:t>
      </w:r>
      <w:r>
        <w:rPr>
          <w:rFonts w:hint="eastAsia"/>
          <w:i w:val="0"/>
          <w:iCs w:val="0"/>
          <w:color w:val="auto"/>
          <w:szCs w:val="24"/>
          <w:highlight w:val="none"/>
        </w:rPr>
        <w:t>。</w:t>
      </w:r>
    </w:p>
    <w:p w14:paraId="4FC84088">
      <w:pPr>
        <w:spacing w:line="324" w:lineRule="auto"/>
        <w:ind w:firstLine="480" w:firstLineChars="200"/>
        <w:rPr>
          <w:color w:val="auto"/>
          <w:szCs w:val="24"/>
          <w:highlight w:val="none"/>
        </w:rPr>
      </w:pPr>
      <w:r>
        <w:rPr>
          <w:rFonts w:hint="eastAsia"/>
          <w:color w:val="auto"/>
          <w:szCs w:val="24"/>
          <w:highlight w:val="none"/>
        </w:rPr>
        <w:t>（备注：以上</w:t>
      </w:r>
      <w:r>
        <w:rPr>
          <w:color w:val="auto"/>
          <w:szCs w:val="24"/>
          <w:highlight w:val="none"/>
        </w:rPr>
        <w:t>3</w:t>
      </w:r>
      <w:r>
        <w:rPr>
          <w:rFonts w:hint="eastAsia"/>
          <w:color w:val="auto"/>
          <w:szCs w:val="24"/>
          <w:highlight w:val="none"/>
        </w:rPr>
        <w:t>项声明，必须如实选择，选中项用</w:t>
      </w:r>
      <w:r>
        <w:rPr>
          <w:rFonts w:hint="eastAsia"/>
          <w:color w:val="auto"/>
          <w:szCs w:val="24"/>
          <w:highlight w:val="none"/>
          <w:lang w:eastAsia="zh-CN"/>
        </w:rPr>
        <w:t>☑</w:t>
      </w:r>
      <w:r>
        <w:rPr>
          <w:rFonts w:hint="eastAsia"/>
          <w:color w:val="auto"/>
          <w:szCs w:val="24"/>
          <w:highlight w:val="none"/>
        </w:rPr>
        <w:t>表示，未选中项用□表示。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中标，应承担相应法律责任。）</w:t>
      </w:r>
    </w:p>
    <w:p w14:paraId="19A44DC4">
      <w:pPr>
        <w:snapToGrid w:val="0"/>
        <w:spacing w:line="324" w:lineRule="auto"/>
        <w:ind w:firstLine="480" w:firstLineChars="200"/>
        <w:rPr>
          <w:color w:val="auto"/>
          <w:szCs w:val="24"/>
          <w:highlight w:val="none"/>
        </w:rPr>
      </w:pPr>
      <w:r>
        <w:rPr>
          <w:rFonts w:hint="eastAsia"/>
          <w:color w:val="auto"/>
          <w:szCs w:val="24"/>
          <w:highlight w:val="none"/>
        </w:rPr>
        <w:t>4）我方在本投标文件中所提供的全部资料均真实有效，我方承诺对其真实性负责并承担相应后果。</w:t>
      </w:r>
    </w:p>
    <w:p w14:paraId="5FB2607B">
      <w:pPr>
        <w:snapToGrid w:val="0"/>
        <w:spacing w:line="324" w:lineRule="auto"/>
        <w:ind w:firstLine="480" w:firstLineChars="200"/>
        <w:rPr>
          <w:color w:val="auto"/>
          <w:szCs w:val="24"/>
          <w:highlight w:val="none"/>
        </w:rPr>
      </w:pPr>
      <w:r>
        <w:rPr>
          <w:rFonts w:hint="eastAsia"/>
          <w:color w:val="auto"/>
          <w:szCs w:val="24"/>
          <w:highlight w:val="none"/>
        </w:rPr>
        <w:t>5）</w:t>
      </w:r>
      <w:bookmarkStart w:id="784" w:name="_Hlk161604053"/>
      <w:r>
        <w:rPr>
          <w:rFonts w:hint="eastAsia"/>
          <w:color w:val="auto"/>
          <w:szCs w:val="24"/>
          <w:highlight w:val="none"/>
        </w:rPr>
        <w:t>我方承诺本《投标函》的签章对本投标文件全部内容具有约束力并承担法律责任。</w:t>
      </w:r>
      <w:bookmarkEnd w:id="784"/>
    </w:p>
    <w:p w14:paraId="2A195747">
      <w:pPr>
        <w:spacing w:line="300" w:lineRule="auto"/>
        <w:rPr>
          <w:rFonts w:cs="Arial"/>
          <w:color w:val="auto"/>
          <w:szCs w:val="24"/>
          <w:highlight w:val="none"/>
        </w:rPr>
      </w:pPr>
    </w:p>
    <w:p w14:paraId="3F664789">
      <w:pPr>
        <w:spacing w:line="300" w:lineRule="auto"/>
        <w:rPr>
          <w:rFonts w:cs="Arial"/>
          <w:color w:val="auto"/>
          <w:szCs w:val="24"/>
          <w:highlight w:val="none"/>
        </w:rPr>
      </w:pPr>
    </w:p>
    <w:p w14:paraId="6C365FF0">
      <w:pPr>
        <w:spacing w:line="300" w:lineRule="auto"/>
        <w:rPr>
          <w:rFonts w:cs="Arial"/>
          <w:color w:val="auto"/>
          <w:szCs w:val="24"/>
          <w:highlight w:val="none"/>
        </w:rPr>
      </w:pPr>
    </w:p>
    <w:p w14:paraId="2DB608AC">
      <w:pPr>
        <w:autoSpaceDE w:val="0"/>
        <w:autoSpaceDN w:val="0"/>
        <w:adjustRightInd w:val="0"/>
        <w:snapToGrid w:val="0"/>
        <w:ind w:firstLine="480" w:firstLineChars="200"/>
        <w:rPr>
          <w:rFonts w:cs="宋体"/>
          <w:color w:val="auto"/>
          <w:highlight w:val="none"/>
        </w:rPr>
      </w:pPr>
      <w:r>
        <w:rPr>
          <w:rFonts w:hint="eastAsia" w:cs="宋体"/>
          <w:color w:val="auto"/>
          <w:highlight w:val="none"/>
        </w:rPr>
        <w:t xml:space="preserve">投 </w:t>
      </w:r>
      <w:r>
        <w:rPr>
          <w:rFonts w:cs="宋体"/>
          <w:color w:val="auto"/>
          <w:highlight w:val="none"/>
        </w:rPr>
        <w:t xml:space="preserve">   </w:t>
      </w:r>
      <w:r>
        <w:rPr>
          <w:rFonts w:hint="eastAsia" w:cs="宋体"/>
          <w:color w:val="auto"/>
          <w:highlight w:val="none"/>
        </w:rPr>
        <w:t xml:space="preserve">标 </w:t>
      </w:r>
      <w:r>
        <w:rPr>
          <w:rFonts w:cs="宋体"/>
          <w:color w:val="auto"/>
          <w:highlight w:val="none"/>
        </w:rPr>
        <w:t xml:space="preserve">   </w:t>
      </w:r>
      <w:r>
        <w:rPr>
          <w:rFonts w:hint="eastAsia" w:cs="宋体"/>
          <w:color w:val="auto"/>
          <w:highlight w:val="none"/>
        </w:rPr>
        <w:t>人</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p>
    <w:p w14:paraId="4CCC9D16">
      <w:pPr>
        <w:autoSpaceDE w:val="0"/>
        <w:autoSpaceDN w:val="0"/>
        <w:adjustRightInd w:val="0"/>
        <w:snapToGrid w:val="0"/>
        <w:ind w:firstLine="480" w:firstLineChars="200"/>
        <w:rPr>
          <w:rFonts w:cs="宋体"/>
          <w:color w:val="auto"/>
          <w:highlight w:val="none"/>
        </w:rPr>
      </w:pPr>
      <w:r>
        <w:rPr>
          <w:rFonts w:hint="eastAsia" w:cs="宋体"/>
          <w:color w:val="auto"/>
          <w:highlight w:val="none"/>
        </w:rPr>
        <w:t>通  讯  地  址：</w:t>
      </w:r>
    </w:p>
    <w:p w14:paraId="268281DA">
      <w:pPr>
        <w:autoSpaceDE w:val="0"/>
        <w:autoSpaceDN w:val="0"/>
        <w:adjustRightInd w:val="0"/>
        <w:snapToGrid w:val="0"/>
        <w:ind w:firstLine="480" w:firstLineChars="200"/>
        <w:rPr>
          <w:rFonts w:cs="宋体"/>
          <w:color w:val="auto"/>
          <w:highlight w:val="none"/>
        </w:rPr>
      </w:pPr>
      <w:r>
        <w:rPr>
          <w:rFonts w:hint="eastAsia" w:cs="宋体"/>
          <w:color w:val="auto"/>
          <w:highlight w:val="none"/>
        </w:rPr>
        <w:t xml:space="preserve">传       </w:t>
      </w:r>
      <w:r>
        <w:rPr>
          <w:rFonts w:cs="宋体"/>
          <w:color w:val="auto"/>
          <w:highlight w:val="none"/>
        </w:rPr>
        <w:t xml:space="preserve">   </w:t>
      </w:r>
      <w:r>
        <w:rPr>
          <w:rFonts w:hint="eastAsia" w:cs="宋体"/>
          <w:color w:val="auto"/>
          <w:highlight w:val="none"/>
        </w:rPr>
        <w:t>真：</w:t>
      </w:r>
    </w:p>
    <w:p w14:paraId="0A396883">
      <w:pPr>
        <w:autoSpaceDE w:val="0"/>
        <w:autoSpaceDN w:val="0"/>
        <w:adjustRightInd w:val="0"/>
        <w:snapToGrid w:val="0"/>
        <w:ind w:firstLine="480" w:firstLineChars="200"/>
        <w:rPr>
          <w:rFonts w:cs="宋体"/>
          <w:color w:val="auto"/>
          <w:highlight w:val="none"/>
        </w:rPr>
      </w:pPr>
      <w:r>
        <w:rPr>
          <w:rFonts w:hint="eastAsia" w:cs="宋体"/>
          <w:color w:val="auto"/>
          <w:highlight w:val="none"/>
        </w:rPr>
        <w:t>电          话：</w:t>
      </w:r>
    </w:p>
    <w:p w14:paraId="21203E4D">
      <w:pPr>
        <w:autoSpaceDE w:val="0"/>
        <w:autoSpaceDN w:val="0"/>
        <w:adjustRightInd w:val="0"/>
        <w:snapToGrid w:val="0"/>
        <w:ind w:firstLine="480" w:firstLineChars="200"/>
        <w:rPr>
          <w:rFonts w:cs="宋体"/>
          <w:color w:val="auto"/>
          <w:highlight w:val="none"/>
        </w:rPr>
      </w:pPr>
      <w:r>
        <w:rPr>
          <w:rFonts w:hint="eastAsia" w:cs="宋体"/>
          <w:color w:val="auto"/>
          <w:highlight w:val="none"/>
        </w:rPr>
        <w:t xml:space="preserve">授 </w:t>
      </w:r>
      <w:r>
        <w:rPr>
          <w:rFonts w:cs="宋体"/>
          <w:color w:val="auto"/>
          <w:highlight w:val="none"/>
        </w:rPr>
        <w:t xml:space="preserve"> </w:t>
      </w:r>
      <w:r>
        <w:rPr>
          <w:rFonts w:hint="eastAsia" w:cs="宋体"/>
          <w:color w:val="auto"/>
          <w:highlight w:val="none"/>
        </w:rPr>
        <w:t xml:space="preserve">权 </w:t>
      </w:r>
      <w:r>
        <w:rPr>
          <w:rFonts w:cs="宋体"/>
          <w:color w:val="auto"/>
          <w:highlight w:val="none"/>
        </w:rPr>
        <w:t xml:space="preserve"> </w:t>
      </w:r>
      <w:r>
        <w:rPr>
          <w:rFonts w:hint="eastAsia" w:cs="宋体"/>
          <w:color w:val="auto"/>
          <w:highlight w:val="none"/>
        </w:rPr>
        <w:t xml:space="preserve">代 </w:t>
      </w:r>
      <w:r>
        <w:rPr>
          <w:rFonts w:cs="宋体"/>
          <w:color w:val="auto"/>
          <w:highlight w:val="none"/>
        </w:rPr>
        <w:t xml:space="preserve"> </w:t>
      </w:r>
      <w:r>
        <w:rPr>
          <w:rFonts w:hint="eastAsia" w:cs="宋体"/>
          <w:color w:val="auto"/>
          <w:highlight w:val="none"/>
        </w:rPr>
        <w:t>表：</w:t>
      </w:r>
    </w:p>
    <w:p w14:paraId="63C92097">
      <w:pPr>
        <w:ind w:firstLine="480" w:firstLineChars="200"/>
        <w:rPr>
          <w:rFonts w:cs="Arial"/>
          <w:color w:val="auto"/>
          <w:szCs w:val="24"/>
          <w:highlight w:val="none"/>
        </w:rPr>
      </w:pPr>
      <w:r>
        <w:rPr>
          <w:rFonts w:hint="eastAsia" w:cs="宋体"/>
          <w:color w:val="auto"/>
          <w:highlight w:val="none"/>
        </w:rPr>
        <w:t xml:space="preserve">日     </w:t>
      </w:r>
      <w:r>
        <w:rPr>
          <w:rFonts w:cs="宋体"/>
          <w:color w:val="auto"/>
          <w:highlight w:val="none"/>
        </w:rPr>
        <w:t xml:space="preserve">  </w:t>
      </w:r>
      <w:r>
        <w:rPr>
          <w:rFonts w:hint="eastAsia" w:cs="宋体"/>
          <w:color w:val="auto"/>
          <w:highlight w:val="none"/>
        </w:rPr>
        <w:t xml:space="preserve">    期：</w:t>
      </w:r>
    </w:p>
    <w:p w14:paraId="6674502E">
      <w:pPr>
        <w:rPr>
          <w:rFonts w:cs="Arial"/>
          <w:color w:val="auto"/>
          <w:szCs w:val="24"/>
          <w:highlight w:val="none"/>
          <w:u w:val="single"/>
        </w:rPr>
      </w:pPr>
    </w:p>
    <w:p w14:paraId="478BFBB8">
      <w:pPr>
        <w:rPr>
          <w:rFonts w:cs="Arial"/>
          <w:color w:val="auto"/>
          <w:szCs w:val="24"/>
          <w:highlight w:val="none"/>
          <w:u w:val="single"/>
        </w:rPr>
      </w:pPr>
      <w:r>
        <w:rPr>
          <w:rFonts w:cs="Arial"/>
          <w:color w:val="auto"/>
          <w:szCs w:val="24"/>
          <w:highlight w:val="none"/>
          <w:u w:val="single"/>
        </w:rPr>
        <w:br w:type="page"/>
      </w:r>
    </w:p>
    <w:p w14:paraId="24B4BD65">
      <w:pPr>
        <w:pStyle w:val="2"/>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eastAsia="宋体" w:asciiTheme="majorHAnsi" w:hAnsiTheme="majorHAnsi" w:cstheme="majorBidi"/>
          <w:b/>
          <w:bCs/>
          <w:color w:val="auto"/>
          <w:kern w:val="2"/>
          <w:sz w:val="32"/>
          <w:szCs w:val="32"/>
          <w:highlight w:val="none"/>
          <w:lang w:val="en-US" w:eastAsia="zh-CN" w:bidi="ar-SA"/>
        </w:rPr>
      </w:pPr>
      <w:bookmarkStart w:id="785" w:name="_Toc12459"/>
      <w:bookmarkStart w:id="786" w:name="_Toc155185924"/>
      <w:r>
        <w:rPr>
          <w:rFonts w:hint="eastAsia" w:cstheme="majorBidi"/>
          <w:b/>
          <w:bCs/>
          <w:color w:val="auto"/>
          <w:kern w:val="2"/>
          <w:sz w:val="32"/>
          <w:szCs w:val="32"/>
          <w:highlight w:val="none"/>
          <w:lang w:val="en-US" w:eastAsia="zh-CN" w:bidi="ar-SA"/>
        </w:rPr>
        <w:t>二</w:t>
      </w:r>
      <w:r>
        <w:rPr>
          <w:rFonts w:hint="eastAsia" w:eastAsia="宋体" w:asciiTheme="majorHAnsi" w:hAnsiTheme="majorHAnsi" w:cstheme="majorBidi"/>
          <w:b/>
          <w:bCs/>
          <w:color w:val="auto"/>
          <w:kern w:val="2"/>
          <w:sz w:val="32"/>
          <w:szCs w:val="32"/>
          <w:highlight w:val="none"/>
          <w:lang w:val="en-US" w:eastAsia="zh-CN" w:bidi="ar-SA"/>
        </w:rPr>
        <w:t>、法定代表人（单位负责人）身份证明</w:t>
      </w:r>
      <w:bookmarkEnd w:id="785"/>
      <w:bookmarkEnd w:id="786"/>
    </w:p>
    <w:p w14:paraId="46CF1AA3">
      <w:pPr>
        <w:spacing w:line="480" w:lineRule="auto"/>
        <w:ind w:firstLine="480" w:firstLineChars="200"/>
        <w:rPr>
          <w:rFonts w:hint="eastAsia" w:cs="仿宋_GB2312"/>
          <w:color w:val="auto"/>
          <w:szCs w:val="24"/>
          <w:highlight w:val="none"/>
        </w:rPr>
      </w:pPr>
      <w:r>
        <w:rPr>
          <w:rFonts w:hint="eastAsia" w:cs="仿宋_GB2312"/>
          <w:color w:val="auto"/>
          <w:szCs w:val="24"/>
          <w:highlight w:val="none"/>
          <w:lang w:val="en-US" w:eastAsia="zh-CN"/>
        </w:rPr>
        <w:t xml:space="preserve">致：（采购人或采购代理机构） </w:t>
      </w:r>
    </w:p>
    <w:p w14:paraId="3DE52D6F">
      <w:pPr>
        <w:spacing w:line="480" w:lineRule="auto"/>
        <w:ind w:firstLine="960" w:firstLineChars="400"/>
        <w:rPr>
          <w:rFonts w:hint="eastAsia" w:cs="仿宋_GB2312"/>
          <w:color w:val="auto"/>
          <w:szCs w:val="24"/>
          <w:highlight w:val="none"/>
        </w:rPr>
      </w:pPr>
      <w:r>
        <w:rPr>
          <w:rFonts w:hint="eastAsia" w:cs="仿宋_GB2312"/>
          <w:color w:val="auto"/>
          <w:szCs w:val="24"/>
          <w:highlight w:val="none"/>
          <w:lang w:val="en-US" w:eastAsia="zh-CN"/>
        </w:rPr>
        <w:t xml:space="preserve">兹证明， </w:t>
      </w:r>
    </w:p>
    <w:p w14:paraId="1D36B9E0">
      <w:pPr>
        <w:spacing w:line="480" w:lineRule="auto"/>
        <w:ind w:firstLine="480" w:firstLineChars="200"/>
        <w:rPr>
          <w:rFonts w:hint="eastAsia" w:cs="仿宋_GB2312"/>
          <w:color w:val="auto"/>
          <w:szCs w:val="24"/>
          <w:highlight w:val="none"/>
        </w:rPr>
      </w:pPr>
      <w:r>
        <w:rPr>
          <w:rFonts w:hint="eastAsia" w:cs="仿宋_GB2312"/>
          <w:color w:val="auto"/>
          <w:szCs w:val="24"/>
          <w:highlight w:val="none"/>
          <w:lang w:val="en-US" w:eastAsia="zh-CN"/>
        </w:rPr>
        <w:t xml:space="preserve">姓名：____性别：____年龄：____职务：____ </w:t>
      </w:r>
    </w:p>
    <w:p w14:paraId="38746EB6">
      <w:pPr>
        <w:spacing w:line="480" w:lineRule="auto"/>
        <w:ind w:firstLine="480" w:firstLineChars="200"/>
        <w:rPr>
          <w:rFonts w:hint="eastAsia" w:cs="仿宋_GB2312"/>
          <w:color w:val="auto"/>
          <w:szCs w:val="24"/>
          <w:highlight w:val="none"/>
        </w:rPr>
      </w:pPr>
      <w:r>
        <w:rPr>
          <w:rFonts w:hint="eastAsia" w:cs="仿宋_GB2312"/>
          <w:color w:val="auto"/>
          <w:szCs w:val="24"/>
          <w:highlight w:val="none"/>
          <w:lang w:val="en-US" w:eastAsia="zh-CN"/>
        </w:rPr>
        <w:t xml:space="preserve">系 </w:t>
      </w:r>
      <w:r>
        <w:rPr>
          <w:rFonts w:hint="eastAsia" w:cs="仿宋_GB2312"/>
          <w:color w:val="auto"/>
          <w:szCs w:val="24"/>
          <w:highlight w:val="none"/>
          <w:u w:val="single"/>
          <w:lang w:val="en-US" w:eastAsia="zh-CN"/>
        </w:rPr>
        <w:t xml:space="preserve">            </w:t>
      </w:r>
      <w:r>
        <w:rPr>
          <w:rFonts w:hint="eastAsia" w:cs="仿宋_GB2312"/>
          <w:color w:val="auto"/>
          <w:szCs w:val="24"/>
          <w:highlight w:val="none"/>
          <w:lang w:val="en-US" w:eastAsia="zh-CN"/>
        </w:rPr>
        <w:t xml:space="preserve">（投标人名称）的法定代表人（单位负责人）。 </w:t>
      </w:r>
    </w:p>
    <w:p w14:paraId="3B002BC6">
      <w:pPr>
        <w:spacing w:line="480" w:lineRule="auto"/>
        <w:ind w:firstLine="480" w:firstLineChars="200"/>
        <w:rPr>
          <w:rFonts w:hint="eastAsia" w:cs="仿宋_GB2312"/>
          <w:color w:val="auto"/>
          <w:szCs w:val="24"/>
          <w:highlight w:val="none"/>
        </w:rPr>
      </w:pPr>
      <w:r>
        <w:rPr>
          <w:rFonts w:hint="eastAsia" w:cs="仿宋_GB2312"/>
          <w:color w:val="auto"/>
          <w:szCs w:val="24"/>
          <w:highlight w:val="none"/>
          <w:lang w:val="en-US" w:eastAsia="zh-CN"/>
        </w:rPr>
        <w:t xml:space="preserve">附：法定代表人（单位负责人）身份证、护照等身份证明文件电子件： </w:t>
      </w:r>
    </w:p>
    <w:p w14:paraId="60A8C36F">
      <w:pPr>
        <w:spacing w:line="480" w:lineRule="auto"/>
        <w:ind w:firstLine="480" w:firstLineChars="200"/>
        <w:rPr>
          <w:rFonts w:cs="仿宋_GB2312"/>
          <w:color w:val="auto"/>
          <w:szCs w:val="24"/>
          <w:highlight w:val="none"/>
        </w:rPr>
      </w:pPr>
    </w:p>
    <w:p w14:paraId="473563CD">
      <w:pPr>
        <w:rPr>
          <w:rFonts w:cs="Arial"/>
          <w:color w:val="auto"/>
          <w:sz w:val="21"/>
          <w:szCs w:val="21"/>
          <w:highlight w:val="none"/>
        </w:rPr>
      </w:pPr>
    </w:p>
    <w:tbl>
      <w:tblPr>
        <w:tblStyle w:val="31"/>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7"/>
      </w:tblGrid>
      <w:tr w14:paraId="2D4F4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527" w:type="dxa"/>
          </w:tcPr>
          <w:p w14:paraId="4B7B7E19">
            <w:pPr>
              <w:rPr>
                <w:rFonts w:cs="Arial"/>
                <w:color w:val="auto"/>
                <w:highlight w:val="none"/>
              </w:rPr>
            </w:pPr>
          </w:p>
        </w:tc>
      </w:tr>
    </w:tbl>
    <w:p w14:paraId="76B5C725">
      <w:pPr>
        <w:ind w:firstLine="840" w:firstLineChars="350"/>
        <w:jc w:val="center"/>
        <w:rPr>
          <w:rFonts w:cs="Arial"/>
          <w:color w:val="auto"/>
          <w:highlight w:val="none"/>
        </w:rPr>
      </w:pPr>
    </w:p>
    <w:p w14:paraId="4AD74708">
      <w:pPr>
        <w:keepNext w:val="0"/>
        <w:keepLines w:val="0"/>
        <w:widowControl/>
        <w:suppressLineNumbers w:val="0"/>
        <w:jc w:val="left"/>
        <w:rPr>
          <w:color w:val="auto"/>
          <w:highlight w:val="none"/>
        </w:rPr>
      </w:pPr>
      <w:r>
        <w:rPr>
          <w:rFonts w:hint="eastAsia" w:ascii="宋体" w:hAnsi="宋体" w:eastAsia="宋体" w:cs="宋体"/>
          <w:color w:val="auto"/>
          <w:kern w:val="0"/>
          <w:sz w:val="24"/>
          <w:szCs w:val="24"/>
          <w:highlight w:val="none"/>
          <w:lang w:val="en-US" w:eastAsia="zh-CN" w:bidi="ar"/>
        </w:rPr>
        <w:t>投标人名称</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r>
        <w:rPr>
          <w:rFonts w:ascii="DejaVuSans" w:hAnsi="DejaVuSans" w:eastAsia="DejaVuSans" w:cs="DejaVuSans"/>
          <w:color w:val="auto"/>
          <w:kern w:val="0"/>
          <w:sz w:val="24"/>
          <w:szCs w:val="24"/>
          <w:highlight w:val="none"/>
          <w:lang w:val="en-US" w:eastAsia="zh-CN" w:bidi="ar"/>
        </w:rPr>
        <w:t xml:space="preserve">________________ </w:t>
      </w:r>
    </w:p>
    <w:p w14:paraId="364A1245">
      <w:pPr>
        <w:keepNext w:val="0"/>
        <w:keepLines w:val="0"/>
        <w:widowControl/>
        <w:suppressLineNumbers w:val="0"/>
        <w:jc w:val="left"/>
        <w:rPr>
          <w:color w:val="auto"/>
          <w:highlight w:val="none"/>
        </w:rPr>
      </w:pPr>
      <w:r>
        <w:rPr>
          <w:rFonts w:hint="eastAsia" w:ascii="宋体" w:hAnsi="宋体" w:eastAsia="宋体" w:cs="宋体"/>
          <w:color w:val="auto"/>
          <w:kern w:val="0"/>
          <w:sz w:val="24"/>
          <w:szCs w:val="24"/>
          <w:highlight w:val="none"/>
          <w:lang w:val="en-US" w:eastAsia="zh-CN" w:bidi="ar"/>
        </w:rPr>
        <w:t>法定代表人（单位负责人）（签字或</w:t>
      </w:r>
      <w:r>
        <w:rPr>
          <w:rFonts w:hint="eastAsia" w:cs="宋体"/>
          <w:color w:val="auto"/>
          <w:kern w:val="0"/>
          <w:sz w:val="24"/>
          <w:szCs w:val="24"/>
          <w:highlight w:val="none"/>
          <w:lang w:eastAsia="zh-CN"/>
        </w:rPr>
        <w:t>盖</w:t>
      </w:r>
      <w:r>
        <w:rPr>
          <w:rFonts w:hint="eastAsia" w:ascii="宋体" w:hAnsi="宋体" w:eastAsia="宋体" w:cs="宋体"/>
          <w:color w:val="auto"/>
          <w:kern w:val="0"/>
          <w:sz w:val="24"/>
          <w:szCs w:val="24"/>
          <w:highlight w:val="none"/>
          <w:lang w:eastAsia="zh-CN"/>
        </w:rPr>
        <w:t>章</w:t>
      </w:r>
      <w:r>
        <w:rPr>
          <w:rFonts w:hint="eastAsia" w:ascii="宋体" w:hAnsi="宋体" w:eastAsia="宋体" w:cs="宋体"/>
          <w:color w:val="auto"/>
          <w:kern w:val="0"/>
          <w:sz w:val="24"/>
          <w:szCs w:val="24"/>
          <w:highlight w:val="none"/>
          <w:lang w:val="en-US" w:eastAsia="zh-CN" w:bidi="ar"/>
        </w:rPr>
        <w:t>）：</w:t>
      </w:r>
      <w:r>
        <w:rPr>
          <w:rFonts w:hint="default" w:ascii="DejaVuSans" w:hAnsi="DejaVuSans" w:eastAsia="DejaVuSans" w:cs="DejaVuSans"/>
          <w:color w:val="auto"/>
          <w:kern w:val="0"/>
          <w:sz w:val="24"/>
          <w:szCs w:val="24"/>
          <w:highlight w:val="none"/>
          <w:lang w:val="en-US" w:eastAsia="zh-CN" w:bidi="ar"/>
        </w:rPr>
        <w:t xml:space="preserve">_______ </w:t>
      </w:r>
    </w:p>
    <w:p w14:paraId="10B3C29F">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7239FE13">
      <w:pPr>
        <w:keepNext w:val="0"/>
        <w:keepLines w:val="0"/>
        <w:widowControl/>
        <w:suppressLineNumbers w:val="0"/>
        <w:jc w:val="left"/>
        <w:rPr>
          <w:color w:val="auto"/>
          <w:highlight w:val="none"/>
        </w:rPr>
      </w:pPr>
      <w:r>
        <w:rPr>
          <w:rFonts w:hint="eastAsia" w:ascii="宋体" w:hAnsi="宋体" w:eastAsia="宋体" w:cs="宋体"/>
          <w:color w:val="auto"/>
          <w:kern w:val="0"/>
          <w:sz w:val="24"/>
          <w:szCs w:val="24"/>
          <w:highlight w:val="none"/>
          <w:lang w:val="en-US" w:eastAsia="zh-CN" w:bidi="ar"/>
        </w:rPr>
        <w:t>日期：</w:t>
      </w:r>
      <w:r>
        <w:rPr>
          <w:rFonts w:hint="default" w:ascii="DejaVuSans" w:hAnsi="DejaVuSans" w:eastAsia="DejaVuSans" w:cs="DejaVuSans"/>
          <w:color w:val="auto"/>
          <w:kern w:val="0"/>
          <w:sz w:val="24"/>
          <w:szCs w:val="24"/>
          <w:highlight w:val="none"/>
          <w:lang w:val="en-US" w:eastAsia="zh-CN" w:bidi="ar"/>
        </w:rPr>
        <w:t>_____</w:t>
      </w:r>
      <w:r>
        <w:rPr>
          <w:rFonts w:hint="eastAsia" w:ascii="宋体" w:hAnsi="宋体" w:eastAsia="宋体" w:cs="宋体"/>
          <w:color w:val="auto"/>
          <w:kern w:val="0"/>
          <w:sz w:val="24"/>
          <w:szCs w:val="24"/>
          <w:highlight w:val="none"/>
          <w:lang w:val="en-US" w:eastAsia="zh-CN" w:bidi="ar"/>
        </w:rPr>
        <w:t>年</w:t>
      </w:r>
      <w:r>
        <w:rPr>
          <w:rFonts w:hint="default" w:ascii="DejaVuSans" w:hAnsi="DejaVuSans" w:eastAsia="DejaVuSans" w:cs="DejaVuSans"/>
          <w:color w:val="auto"/>
          <w:kern w:val="0"/>
          <w:sz w:val="24"/>
          <w:szCs w:val="24"/>
          <w:highlight w:val="none"/>
          <w:lang w:val="en-US" w:eastAsia="zh-CN" w:bidi="ar"/>
        </w:rPr>
        <w:t>______</w:t>
      </w:r>
      <w:r>
        <w:rPr>
          <w:rFonts w:hint="eastAsia" w:ascii="宋体" w:hAnsi="宋体" w:eastAsia="宋体" w:cs="宋体"/>
          <w:color w:val="auto"/>
          <w:kern w:val="0"/>
          <w:sz w:val="24"/>
          <w:szCs w:val="24"/>
          <w:highlight w:val="none"/>
          <w:lang w:val="en-US" w:eastAsia="zh-CN" w:bidi="ar"/>
        </w:rPr>
        <w:t>月</w:t>
      </w:r>
      <w:r>
        <w:rPr>
          <w:rFonts w:hint="default" w:ascii="DejaVuSans" w:hAnsi="DejaVuSans" w:eastAsia="DejaVuSans" w:cs="DejaVuSans"/>
          <w:color w:val="auto"/>
          <w:kern w:val="0"/>
          <w:sz w:val="24"/>
          <w:szCs w:val="24"/>
          <w:highlight w:val="none"/>
          <w:lang w:val="en-US" w:eastAsia="zh-CN" w:bidi="ar"/>
        </w:rPr>
        <w:t>______</w:t>
      </w:r>
      <w:r>
        <w:rPr>
          <w:rFonts w:hint="eastAsia" w:ascii="宋体" w:hAnsi="宋体" w:eastAsia="宋体" w:cs="宋体"/>
          <w:color w:val="auto"/>
          <w:kern w:val="0"/>
          <w:sz w:val="24"/>
          <w:szCs w:val="24"/>
          <w:highlight w:val="none"/>
          <w:lang w:val="en-US" w:eastAsia="zh-CN" w:bidi="ar"/>
        </w:rPr>
        <w:t>日</w:t>
      </w:r>
    </w:p>
    <w:p w14:paraId="6948CD78">
      <w:pPr>
        <w:rPr>
          <w:b/>
          <w:color w:val="auto"/>
          <w:sz w:val="28"/>
          <w:szCs w:val="28"/>
          <w:highlight w:val="none"/>
        </w:rPr>
      </w:pPr>
    </w:p>
    <w:p w14:paraId="04FDD702">
      <w:pPr>
        <w:rPr>
          <w:b/>
          <w:color w:val="auto"/>
          <w:sz w:val="28"/>
          <w:szCs w:val="28"/>
          <w:highlight w:val="none"/>
        </w:rPr>
      </w:pPr>
      <w:r>
        <w:rPr>
          <w:b/>
          <w:color w:val="auto"/>
          <w:sz w:val="28"/>
          <w:szCs w:val="28"/>
          <w:highlight w:val="none"/>
        </w:rPr>
        <w:br w:type="page"/>
      </w:r>
    </w:p>
    <w:p w14:paraId="0EEE8A23">
      <w:pPr>
        <w:pStyle w:val="2"/>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eastAsia="宋体" w:asciiTheme="majorHAnsi" w:hAnsiTheme="majorHAnsi" w:cstheme="majorBidi"/>
          <w:b/>
          <w:bCs/>
          <w:color w:val="auto"/>
          <w:kern w:val="2"/>
          <w:sz w:val="32"/>
          <w:szCs w:val="32"/>
          <w:highlight w:val="none"/>
          <w:lang w:val="en-US" w:eastAsia="zh-CN" w:bidi="ar-SA"/>
        </w:rPr>
      </w:pPr>
      <w:bookmarkStart w:id="787" w:name="_Toc26391"/>
      <w:bookmarkStart w:id="788" w:name="_Toc155185925"/>
      <w:r>
        <w:rPr>
          <w:rFonts w:hint="eastAsia" w:cstheme="majorBidi"/>
          <w:b/>
          <w:bCs/>
          <w:color w:val="auto"/>
          <w:kern w:val="2"/>
          <w:sz w:val="32"/>
          <w:szCs w:val="32"/>
          <w:highlight w:val="none"/>
          <w:lang w:val="en-US" w:eastAsia="zh-CN" w:bidi="ar-SA"/>
        </w:rPr>
        <w:t>三</w:t>
      </w:r>
      <w:r>
        <w:rPr>
          <w:rFonts w:hint="eastAsia" w:eastAsia="宋体" w:asciiTheme="majorHAnsi" w:hAnsiTheme="majorHAnsi" w:cstheme="majorBidi"/>
          <w:b/>
          <w:bCs/>
          <w:color w:val="auto"/>
          <w:kern w:val="2"/>
          <w:sz w:val="32"/>
          <w:szCs w:val="32"/>
          <w:highlight w:val="none"/>
          <w:lang w:val="en-US" w:eastAsia="zh-CN" w:bidi="ar-SA"/>
        </w:rPr>
        <w:t>、授权委托书</w:t>
      </w:r>
      <w:bookmarkEnd w:id="787"/>
      <w:bookmarkEnd w:id="788"/>
    </w:p>
    <w:p w14:paraId="593F068D">
      <w:pPr>
        <w:ind w:firstLine="480" w:firstLineChars="200"/>
        <w:rPr>
          <w:rFonts w:cs="仿宋_GB2312"/>
          <w:color w:val="auto"/>
          <w:szCs w:val="24"/>
          <w:highlight w:val="none"/>
        </w:rPr>
      </w:pPr>
      <w:r>
        <w:rPr>
          <w:rFonts w:hint="eastAsia" w:cs="仿宋_GB2312"/>
          <w:color w:val="auto"/>
          <w:szCs w:val="24"/>
          <w:highlight w:val="none"/>
        </w:rPr>
        <w:t>本人</w:t>
      </w:r>
      <w:r>
        <w:rPr>
          <w:rFonts w:cs="仿宋_GB2312"/>
          <w:color w:val="auto"/>
          <w:szCs w:val="24"/>
          <w:highlight w:val="none"/>
          <w:u w:val="single"/>
        </w:rPr>
        <w:t xml:space="preserve">     </w:t>
      </w:r>
      <w:r>
        <w:rPr>
          <w:rFonts w:hint="eastAsia" w:cs="仿宋_GB2312"/>
          <w:color w:val="auto"/>
          <w:szCs w:val="24"/>
          <w:highlight w:val="none"/>
          <w:u w:val="none"/>
        </w:rPr>
        <w:t>（姓名）</w:t>
      </w:r>
      <w:r>
        <w:rPr>
          <w:rFonts w:hint="eastAsia" w:cs="仿宋_GB2312"/>
          <w:color w:val="auto"/>
          <w:szCs w:val="24"/>
          <w:highlight w:val="none"/>
        </w:rPr>
        <w:t>系</w:t>
      </w:r>
      <w:r>
        <w:rPr>
          <w:rFonts w:hint="eastAsia" w:cs="仿宋_GB2312"/>
          <w:color w:val="auto"/>
          <w:szCs w:val="24"/>
          <w:highlight w:val="none"/>
          <w:u w:val="single"/>
        </w:rPr>
        <w:t xml:space="preserve">   </w:t>
      </w:r>
      <w:r>
        <w:rPr>
          <w:rFonts w:hint="eastAsia" w:cs="仿宋_GB2312"/>
          <w:color w:val="auto"/>
          <w:szCs w:val="24"/>
          <w:highlight w:val="none"/>
          <w:u w:val="single"/>
          <w:lang w:val="en-US" w:eastAsia="zh-CN"/>
        </w:rPr>
        <w:t xml:space="preserve">     </w:t>
      </w:r>
      <w:r>
        <w:rPr>
          <w:rFonts w:hint="eastAsia" w:cs="仿宋_GB2312"/>
          <w:color w:val="auto"/>
          <w:szCs w:val="24"/>
          <w:highlight w:val="none"/>
          <w:u w:val="single"/>
        </w:rPr>
        <w:t xml:space="preserve">  </w:t>
      </w:r>
      <w:r>
        <w:rPr>
          <w:rFonts w:hint="eastAsia" w:cs="仿宋_GB2312"/>
          <w:color w:val="auto"/>
          <w:szCs w:val="24"/>
          <w:highlight w:val="none"/>
          <w:u w:val="none"/>
        </w:rPr>
        <w:t>（投标人名称）</w:t>
      </w:r>
      <w:r>
        <w:rPr>
          <w:rFonts w:hint="eastAsia" w:cs="仿宋_GB2312"/>
          <w:color w:val="auto"/>
          <w:szCs w:val="24"/>
          <w:highlight w:val="none"/>
        </w:rPr>
        <w:t>的法定代表人</w:t>
      </w:r>
      <w:r>
        <w:rPr>
          <w:rFonts w:hint="eastAsia"/>
          <w:color w:val="auto"/>
          <w:highlight w:val="none"/>
        </w:rPr>
        <w:t>（</w:t>
      </w:r>
      <w:r>
        <w:rPr>
          <w:rFonts w:hint="eastAsia"/>
          <w:color w:val="auto"/>
          <w:highlight w:val="none"/>
          <w:lang w:val="en-US" w:eastAsia="zh-CN"/>
        </w:rPr>
        <w:t>单位</w:t>
      </w:r>
      <w:r>
        <w:rPr>
          <w:rFonts w:hint="eastAsia"/>
          <w:color w:val="auto"/>
          <w:highlight w:val="none"/>
        </w:rPr>
        <w:t>负责人）</w:t>
      </w:r>
      <w:r>
        <w:rPr>
          <w:rFonts w:hint="eastAsia" w:cs="仿宋_GB2312"/>
          <w:color w:val="auto"/>
          <w:szCs w:val="24"/>
          <w:highlight w:val="none"/>
        </w:rPr>
        <w:t>，现委托</w:t>
      </w:r>
      <w:r>
        <w:rPr>
          <w:rFonts w:hint="eastAsia" w:cs="仿宋_GB2312"/>
          <w:color w:val="auto"/>
          <w:szCs w:val="24"/>
          <w:highlight w:val="none"/>
          <w:u w:val="single"/>
        </w:rPr>
        <w:t xml:space="preserve">     </w:t>
      </w:r>
      <w:r>
        <w:rPr>
          <w:rFonts w:hint="eastAsia" w:cs="仿宋_GB2312"/>
          <w:color w:val="auto"/>
          <w:szCs w:val="24"/>
          <w:highlight w:val="none"/>
        </w:rPr>
        <w:t>（姓名）为我方代理人。代理人根据授权，以我方名义签署、澄清</w:t>
      </w:r>
      <w:r>
        <w:rPr>
          <w:rFonts w:hint="eastAsia" w:cs="仿宋_GB2312"/>
          <w:color w:val="auto"/>
          <w:szCs w:val="24"/>
          <w:highlight w:val="none"/>
          <w:lang w:val="en-US" w:eastAsia="zh-CN"/>
        </w:rPr>
        <w:t>确认</w:t>
      </w:r>
      <w:r>
        <w:rPr>
          <w:rFonts w:hint="eastAsia" w:cs="仿宋_GB2312"/>
          <w:color w:val="auto"/>
          <w:szCs w:val="24"/>
          <w:highlight w:val="none"/>
        </w:rPr>
        <w:t>、说明、补正、递交、撤回、修改</w:t>
      </w:r>
      <w:r>
        <w:rPr>
          <w:rFonts w:hint="eastAsia" w:cs="仿宋_GB2312"/>
          <w:color w:val="auto"/>
          <w:szCs w:val="24"/>
          <w:highlight w:val="none"/>
          <w:u w:val="single"/>
        </w:rPr>
        <w:t xml:space="preserve">   </w:t>
      </w:r>
      <w:r>
        <w:rPr>
          <w:rFonts w:hint="eastAsia" w:cs="仿宋_GB2312"/>
          <w:color w:val="auto"/>
          <w:szCs w:val="24"/>
          <w:highlight w:val="none"/>
          <w:u w:val="single"/>
          <w:lang w:val="en-US" w:eastAsia="zh-CN"/>
        </w:rPr>
        <w:t xml:space="preserve">      </w:t>
      </w:r>
      <w:r>
        <w:rPr>
          <w:rFonts w:hint="eastAsia" w:cs="仿宋_GB2312"/>
          <w:color w:val="auto"/>
          <w:szCs w:val="24"/>
          <w:highlight w:val="none"/>
          <w:u w:val="single"/>
        </w:rPr>
        <w:t xml:space="preserve">  </w:t>
      </w:r>
      <w:r>
        <w:rPr>
          <w:rFonts w:hint="eastAsia" w:cs="仿宋_GB2312"/>
          <w:color w:val="auto"/>
          <w:szCs w:val="24"/>
          <w:highlight w:val="none"/>
        </w:rPr>
        <w:t>（项目名称）投标文件、签订合同和处理有关事宜，其法律后果由我方承担。</w:t>
      </w:r>
    </w:p>
    <w:p w14:paraId="56B80D1C">
      <w:pPr>
        <w:ind w:firstLine="480" w:firstLineChars="200"/>
        <w:rPr>
          <w:rFonts w:hint="eastAsia" w:cs="仿宋_GB2312"/>
          <w:color w:val="auto"/>
          <w:szCs w:val="24"/>
          <w:highlight w:val="none"/>
        </w:rPr>
      </w:pPr>
      <w:r>
        <w:rPr>
          <w:rFonts w:hint="eastAsia" w:cs="仿宋_GB2312"/>
          <w:color w:val="auto"/>
          <w:szCs w:val="24"/>
          <w:highlight w:val="none"/>
        </w:rPr>
        <w:t>委托期限：</w:t>
      </w:r>
      <w:r>
        <w:rPr>
          <w:rFonts w:hint="eastAsia" w:cs="仿宋_GB2312"/>
          <w:color w:val="auto"/>
          <w:szCs w:val="24"/>
          <w:highlight w:val="none"/>
          <w:lang w:val="en-US" w:eastAsia="zh-CN"/>
        </w:rPr>
        <w:t>自本授权委托书签署之日起至投标有效期届满之日止。</w:t>
      </w:r>
    </w:p>
    <w:p w14:paraId="0A605ABE">
      <w:pPr>
        <w:ind w:firstLine="480" w:firstLineChars="200"/>
        <w:rPr>
          <w:rFonts w:cs="仿宋_GB2312"/>
          <w:color w:val="auto"/>
          <w:szCs w:val="24"/>
          <w:highlight w:val="none"/>
        </w:rPr>
      </w:pPr>
      <w:r>
        <w:rPr>
          <w:rFonts w:hint="eastAsia" w:cs="仿宋_GB2312"/>
          <w:color w:val="auto"/>
          <w:szCs w:val="24"/>
          <w:highlight w:val="none"/>
        </w:rPr>
        <w:t>代理人无转委托权。</w:t>
      </w:r>
    </w:p>
    <w:p w14:paraId="03C5EAD4">
      <w:pPr>
        <w:keepNext w:val="0"/>
        <w:keepLines w:val="0"/>
        <w:pageBreakBefore w:val="0"/>
        <w:widowControl w:val="0"/>
        <w:kinsoku/>
        <w:wordWrap/>
        <w:overflowPunct/>
        <w:topLinePunct w:val="0"/>
        <w:autoSpaceDE/>
        <w:autoSpaceDN/>
        <w:bidi w:val="0"/>
        <w:adjustRightInd/>
        <w:snapToGrid/>
        <w:spacing w:line="240" w:lineRule="exact"/>
        <w:ind w:firstLine="480" w:firstLineChars="200"/>
        <w:textAlignment w:val="auto"/>
        <w:rPr>
          <w:rFonts w:hint="eastAsia" w:cs="仿宋_GB2312"/>
          <w:color w:val="auto"/>
          <w:szCs w:val="24"/>
          <w:highlight w:val="none"/>
        </w:rPr>
      </w:pPr>
    </w:p>
    <w:p w14:paraId="27333291">
      <w:pPr>
        <w:keepNext w:val="0"/>
        <w:keepLines w:val="0"/>
        <w:pageBreakBefore w:val="0"/>
        <w:widowControl/>
        <w:suppressLineNumbers w:val="0"/>
        <w:kinsoku/>
        <w:wordWrap/>
        <w:overflowPunct/>
        <w:topLinePunct w:val="0"/>
        <w:autoSpaceDE/>
        <w:autoSpaceDN/>
        <w:bidi w:val="0"/>
        <w:adjustRightInd/>
        <w:snapToGrid/>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投标人名称</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r>
        <w:rPr>
          <w:rFonts w:ascii="DejaVuSans" w:hAnsi="DejaVuSans" w:eastAsia="DejaVuSans" w:cs="DejaVuSans"/>
          <w:color w:val="auto"/>
          <w:kern w:val="0"/>
          <w:sz w:val="24"/>
          <w:szCs w:val="24"/>
          <w:highlight w:val="none"/>
          <w:lang w:val="en-US" w:eastAsia="zh-CN" w:bidi="ar"/>
        </w:rPr>
        <w:t xml:space="preserve">________________ </w:t>
      </w:r>
    </w:p>
    <w:p w14:paraId="4CD5B2EF">
      <w:pPr>
        <w:keepNext w:val="0"/>
        <w:keepLines w:val="0"/>
        <w:pageBreakBefore w:val="0"/>
        <w:widowControl/>
        <w:suppressLineNumbers w:val="0"/>
        <w:kinsoku/>
        <w:wordWrap/>
        <w:overflowPunct/>
        <w:topLinePunct w:val="0"/>
        <w:autoSpaceDE/>
        <w:autoSpaceDN/>
        <w:bidi w:val="0"/>
        <w:adjustRightInd/>
        <w:snapToGrid/>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法定代表人（单位负责人）（签字或</w:t>
      </w:r>
      <w:r>
        <w:rPr>
          <w:rFonts w:hint="eastAsia" w:cs="宋体"/>
          <w:color w:val="auto"/>
          <w:kern w:val="0"/>
          <w:sz w:val="24"/>
          <w:szCs w:val="24"/>
          <w:highlight w:val="none"/>
          <w:lang w:eastAsia="zh-CN"/>
        </w:rPr>
        <w:t>盖</w:t>
      </w:r>
      <w:r>
        <w:rPr>
          <w:rFonts w:hint="eastAsia" w:ascii="宋体" w:hAnsi="宋体" w:eastAsia="宋体" w:cs="宋体"/>
          <w:color w:val="auto"/>
          <w:kern w:val="0"/>
          <w:sz w:val="24"/>
          <w:szCs w:val="24"/>
          <w:highlight w:val="none"/>
          <w:lang w:eastAsia="zh-CN"/>
        </w:rPr>
        <w:t>章</w:t>
      </w:r>
      <w:r>
        <w:rPr>
          <w:rFonts w:hint="eastAsia" w:ascii="宋体" w:hAnsi="宋体" w:eastAsia="宋体" w:cs="宋体"/>
          <w:color w:val="auto"/>
          <w:kern w:val="0"/>
          <w:sz w:val="24"/>
          <w:szCs w:val="24"/>
          <w:highlight w:val="none"/>
          <w:lang w:val="en-US" w:eastAsia="zh-CN" w:bidi="ar"/>
        </w:rPr>
        <w:t>）：</w:t>
      </w:r>
      <w:r>
        <w:rPr>
          <w:rFonts w:hint="default" w:ascii="DejaVuSans" w:hAnsi="DejaVuSans" w:eastAsia="DejaVuSans" w:cs="DejaVuSans"/>
          <w:color w:val="auto"/>
          <w:kern w:val="0"/>
          <w:sz w:val="24"/>
          <w:szCs w:val="24"/>
          <w:highlight w:val="none"/>
          <w:lang w:val="en-US" w:eastAsia="zh-CN" w:bidi="ar"/>
        </w:rPr>
        <w:t xml:space="preserve">________________ </w:t>
      </w:r>
    </w:p>
    <w:p w14:paraId="77AA3C36">
      <w:pPr>
        <w:keepNext w:val="0"/>
        <w:keepLines w:val="0"/>
        <w:pageBreakBefore w:val="0"/>
        <w:widowControl/>
        <w:suppressLineNumbers w:val="0"/>
        <w:kinsoku/>
        <w:wordWrap/>
        <w:overflowPunct/>
        <w:topLinePunct w:val="0"/>
        <w:autoSpaceDE/>
        <w:autoSpaceDN/>
        <w:bidi w:val="0"/>
        <w:adjustRightInd/>
        <w:snapToGrid/>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委托代理人（签字或</w:t>
      </w:r>
      <w:r>
        <w:rPr>
          <w:rFonts w:hint="eastAsia" w:cs="宋体"/>
          <w:color w:val="auto"/>
          <w:kern w:val="0"/>
          <w:sz w:val="24"/>
          <w:szCs w:val="24"/>
          <w:highlight w:val="none"/>
          <w:lang w:eastAsia="zh-CN"/>
        </w:rPr>
        <w:t>盖</w:t>
      </w:r>
      <w:r>
        <w:rPr>
          <w:rFonts w:hint="eastAsia" w:ascii="宋体" w:hAnsi="宋体" w:eastAsia="宋体" w:cs="宋体"/>
          <w:color w:val="auto"/>
          <w:kern w:val="0"/>
          <w:sz w:val="24"/>
          <w:szCs w:val="24"/>
          <w:highlight w:val="none"/>
          <w:lang w:eastAsia="zh-CN"/>
        </w:rPr>
        <w:t>章</w:t>
      </w:r>
      <w:r>
        <w:rPr>
          <w:rFonts w:hint="eastAsia" w:ascii="宋体" w:hAnsi="宋体" w:eastAsia="宋体" w:cs="宋体"/>
          <w:color w:val="auto"/>
          <w:kern w:val="0"/>
          <w:sz w:val="24"/>
          <w:szCs w:val="24"/>
          <w:highlight w:val="none"/>
          <w:lang w:val="en-US" w:eastAsia="zh-CN" w:bidi="ar"/>
        </w:rPr>
        <w:t>）：</w:t>
      </w:r>
      <w:r>
        <w:rPr>
          <w:rFonts w:hint="default" w:ascii="DejaVuSans" w:hAnsi="DejaVuSans" w:eastAsia="DejaVuSans" w:cs="DejaVuSans"/>
          <w:color w:val="auto"/>
          <w:kern w:val="0"/>
          <w:sz w:val="24"/>
          <w:szCs w:val="24"/>
          <w:highlight w:val="none"/>
          <w:lang w:val="en-US" w:eastAsia="zh-CN" w:bidi="ar"/>
        </w:rPr>
        <w:t xml:space="preserve">________________ </w:t>
      </w:r>
      <w:r>
        <w:rPr>
          <w:rFonts w:hint="eastAsia" w:ascii="DejaVuSans" w:hAnsi="DejaVuSans" w:eastAsia="DejaVuSans" w:cs="DejaVuSans"/>
          <w:color w:val="auto"/>
          <w:kern w:val="0"/>
          <w:sz w:val="24"/>
          <w:szCs w:val="24"/>
          <w:highlight w:val="none"/>
          <w:lang w:val="en-US" w:eastAsia="zh-CN" w:bidi="ar"/>
        </w:rPr>
        <w:t xml:space="preserve">   联系电话：</w:t>
      </w:r>
      <w:r>
        <w:rPr>
          <w:rFonts w:hint="eastAsia" w:ascii="DejaVuSans" w:hAnsi="DejaVuSans" w:eastAsia="DejaVuSans" w:cs="DejaVuSans"/>
          <w:color w:val="auto"/>
          <w:kern w:val="0"/>
          <w:sz w:val="24"/>
          <w:szCs w:val="24"/>
          <w:highlight w:val="none"/>
          <w:u w:val="single"/>
          <w:lang w:val="en-US" w:eastAsia="zh-CN" w:bidi="ar"/>
        </w:rPr>
        <w:t xml:space="preserve">               </w:t>
      </w:r>
      <w:r>
        <w:rPr>
          <w:rFonts w:hint="default" w:ascii="DejaVuSans" w:hAnsi="DejaVuSans" w:eastAsia="DejaVuSans" w:cs="DejaVuSans"/>
          <w:color w:val="auto"/>
          <w:kern w:val="0"/>
          <w:sz w:val="24"/>
          <w:szCs w:val="24"/>
          <w:highlight w:val="none"/>
          <w:lang w:val="en-US" w:eastAsia="zh-CN" w:bidi="ar"/>
        </w:rPr>
        <w:t xml:space="preserve"> </w:t>
      </w:r>
    </w:p>
    <w:p w14:paraId="4FD66B47">
      <w:pPr>
        <w:keepNext w:val="0"/>
        <w:keepLines w:val="0"/>
        <w:pageBreakBefore w:val="0"/>
        <w:widowControl/>
        <w:suppressLineNumbers w:val="0"/>
        <w:kinsoku/>
        <w:wordWrap/>
        <w:overflowPunct/>
        <w:topLinePunct w:val="0"/>
        <w:autoSpaceDE/>
        <w:autoSpaceDN/>
        <w:bidi w:val="0"/>
        <w:adjustRightInd/>
        <w:snapToGrid/>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日期：</w:t>
      </w:r>
      <w:r>
        <w:rPr>
          <w:rFonts w:hint="default" w:ascii="DejaVuSans" w:hAnsi="DejaVuSans" w:eastAsia="DejaVuSans" w:cs="DejaVuSans"/>
          <w:color w:val="auto"/>
          <w:kern w:val="0"/>
          <w:sz w:val="24"/>
          <w:szCs w:val="24"/>
          <w:highlight w:val="none"/>
          <w:lang w:val="en-US" w:eastAsia="zh-CN" w:bidi="ar"/>
        </w:rPr>
        <w:t>_____</w:t>
      </w:r>
      <w:r>
        <w:rPr>
          <w:rFonts w:hint="eastAsia" w:ascii="宋体" w:hAnsi="宋体" w:eastAsia="宋体" w:cs="宋体"/>
          <w:color w:val="auto"/>
          <w:kern w:val="0"/>
          <w:sz w:val="24"/>
          <w:szCs w:val="24"/>
          <w:highlight w:val="none"/>
          <w:lang w:val="en-US" w:eastAsia="zh-CN" w:bidi="ar"/>
        </w:rPr>
        <w:t>年</w:t>
      </w:r>
      <w:r>
        <w:rPr>
          <w:rFonts w:hint="default" w:ascii="DejaVuSans" w:hAnsi="DejaVuSans" w:eastAsia="DejaVuSans" w:cs="DejaVuSans"/>
          <w:color w:val="auto"/>
          <w:kern w:val="0"/>
          <w:sz w:val="24"/>
          <w:szCs w:val="24"/>
          <w:highlight w:val="none"/>
          <w:lang w:val="en-US" w:eastAsia="zh-CN" w:bidi="ar"/>
        </w:rPr>
        <w:t>______</w:t>
      </w:r>
      <w:r>
        <w:rPr>
          <w:rFonts w:hint="eastAsia" w:ascii="宋体" w:hAnsi="宋体" w:eastAsia="宋体" w:cs="宋体"/>
          <w:color w:val="auto"/>
          <w:kern w:val="0"/>
          <w:sz w:val="24"/>
          <w:szCs w:val="24"/>
          <w:highlight w:val="none"/>
          <w:lang w:val="en-US" w:eastAsia="zh-CN" w:bidi="ar"/>
        </w:rPr>
        <w:t>月</w:t>
      </w:r>
      <w:r>
        <w:rPr>
          <w:rFonts w:hint="default" w:ascii="DejaVuSans" w:hAnsi="DejaVuSans" w:eastAsia="DejaVuSans" w:cs="DejaVuSans"/>
          <w:color w:val="auto"/>
          <w:kern w:val="0"/>
          <w:sz w:val="24"/>
          <w:szCs w:val="24"/>
          <w:highlight w:val="none"/>
          <w:lang w:val="en-US" w:eastAsia="zh-CN" w:bidi="ar"/>
        </w:rPr>
        <w:t>______</w:t>
      </w:r>
      <w:r>
        <w:rPr>
          <w:rFonts w:hint="eastAsia" w:ascii="宋体" w:hAnsi="宋体" w:eastAsia="宋体" w:cs="宋体"/>
          <w:color w:val="auto"/>
          <w:kern w:val="0"/>
          <w:sz w:val="24"/>
          <w:szCs w:val="24"/>
          <w:highlight w:val="none"/>
          <w:lang w:val="en-US" w:eastAsia="zh-CN" w:bidi="ar"/>
        </w:rPr>
        <w:t xml:space="preserve">日 </w:t>
      </w:r>
    </w:p>
    <w:p w14:paraId="0D7E210D">
      <w:pPr>
        <w:keepNext w:val="0"/>
        <w:keepLines w:val="0"/>
        <w:pageBreakBefore w:val="0"/>
        <w:widowControl w:val="0"/>
        <w:kinsoku/>
        <w:wordWrap/>
        <w:overflowPunct/>
        <w:topLinePunct w:val="0"/>
        <w:autoSpaceDE/>
        <w:autoSpaceDN/>
        <w:bidi w:val="0"/>
        <w:adjustRightInd/>
        <w:snapToGrid/>
        <w:spacing w:line="240" w:lineRule="exact"/>
        <w:ind w:firstLine="480" w:firstLineChars="200"/>
        <w:textAlignment w:val="auto"/>
        <w:rPr>
          <w:rFonts w:hint="eastAsia" w:cs="仿宋_GB2312"/>
          <w:color w:val="auto"/>
          <w:szCs w:val="24"/>
          <w:highlight w:val="none"/>
          <w:lang w:val="en-US" w:eastAsia="zh-CN"/>
        </w:rPr>
      </w:pPr>
    </w:p>
    <w:p w14:paraId="7CE346A7">
      <w:pPr>
        <w:keepNext w:val="0"/>
        <w:keepLines w:val="0"/>
        <w:pageBreakBefore w:val="0"/>
        <w:widowControl/>
        <w:suppressLineNumbers w:val="0"/>
        <w:kinsoku/>
        <w:wordWrap/>
        <w:overflowPunct/>
        <w:topLinePunct w:val="0"/>
        <w:autoSpaceDE/>
        <w:autoSpaceDN/>
        <w:bidi w:val="0"/>
        <w:adjustRightInd/>
        <w:snapToGrid/>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 xml:space="preserve">附：法定代表人及委托代理人身份证明文件电子件： </w:t>
      </w:r>
    </w:p>
    <w:tbl>
      <w:tblPr>
        <w:tblStyle w:val="31"/>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7"/>
      </w:tblGrid>
      <w:tr w14:paraId="6A575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1" w:hRule="atLeast"/>
        </w:trPr>
        <w:tc>
          <w:tcPr>
            <w:tcW w:w="8527" w:type="dxa"/>
          </w:tcPr>
          <w:p w14:paraId="66EBC6FA">
            <w:pPr>
              <w:rPr>
                <w:rFonts w:cs="Arial"/>
                <w:color w:val="auto"/>
                <w:highlight w:val="none"/>
              </w:rPr>
            </w:pPr>
          </w:p>
        </w:tc>
      </w:tr>
    </w:tbl>
    <w:p w14:paraId="003FC2D7">
      <w:pPr>
        <w:ind w:firstLine="480" w:firstLineChars="200"/>
        <w:rPr>
          <w:rFonts w:hint="eastAsia" w:cs="仿宋_GB2312"/>
          <w:color w:val="auto"/>
          <w:szCs w:val="24"/>
          <w:highlight w:val="none"/>
        </w:rPr>
      </w:pPr>
      <w:r>
        <w:rPr>
          <w:rFonts w:hint="eastAsia" w:cs="仿宋_GB2312"/>
          <w:color w:val="auto"/>
          <w:szCs w:val="24"/>
          <w:highlight w:val="none"/>
          <w:lang w:val="en-US" w:eastAsia="zh-CN"/>
        </w:rPr>
        <w:t xml:space="preserve">说明： </w:t>
      </w:r>
    </w:p>
    <w:p w14:paraId="6A6FAC65">
      <w:pPr>
        <w:ind w:firstLine="480" w:firstLineChars="200"/>
        <w:rPr>
          <w:rFonts w:hint="eastAsia" w:cs="仿宋_GB2312"/>
          <w:color w:val="auto"/>
          <w:szCs w:val="24"/>
          <w:highlight w:val="none"/>
        </w:rPr>
      </w:pPr>
      <w:r>
        <w:rPr>
          <w:rFonts w:hint="eastAsia" w:cs="仿宋_GB2312"/>
          <w:color w:val="auto"/>
          <w:szCs w:val="24"/>
          <w:highlight w:val="none"/>
          <w:lang w:val="en-US" w:eastAsia="zh-CN"/>
        </w:rPr>
        <w:t xml:space="preserve">1.若投标人为事业单位或其他组织或分支机构，则法定代表人（单位负责人）处的签署人可为单位负责人。 </w:t>
      </w:r>
    </w:p>
    <w:p w14:paraId="7579C425">
      <w:pPr>
        <w:ind w:firstLine="480" w:firstLineChars="200"/>
        <w:rPr>
          <w:rFonts w:hint="eastAsia" w:cs="仿宋_GB2312"/>
          <w:color w:val="auto"/>
          <w:szCs w:val="24"/>
          <w:highlight w:val="none"/>
        </w:rPr>
      </w:pPr>
      <w:r>
        <w:rPr>
          <w:rFonts w:hint="default" w:cs="仿宋_GB2312"/>
          <w:color w:val="auto"/>
          <w:szCs w:val="24"/>
          <w:highlight w:val="none"/>
          <w:lang w:val="en-US" w:eastAsia="zh-CN"/>
        </w:rPr>
        <w:t>2.</w:t>
      </w:r>
      <w:r>
        <w:rPr>
          <w:rFonts w:hint="eastAsia" w:cs="仿宋_GB2312"/>
          <w:color w:val="auto"/>
          <w:szCs w:val="24"/>
          <w:highlight w:val="none"/>
          <w:lang w:val="en-US" w:eastAsia="zh-CN"/>
        </w:rPr>
        <w:t xml:space="preserve">若投标文件中签字之处均为法定代表人（单位负责人）本人签署，则可不提供本《授权委托书》，但须提供《法定代表人（单位负责人）身份证明》。 </w:t>
      </w:r>
    </w:p>
    <w:p w14:paraId="7D81952A">
      <w:pPr>
        <w:ind w:firstLine="480" w:firstLineChars="200"/>
        <w:rPr>
          <w:rFonts w:hint="eastAsia" w:cs="仿宋_GB2312"/>
          <w:color w:val="auto"/>
          <w:szCs w:val="24"/>
          <w:highlight w:val="none"/>
        </w:rPr>
      </w:pPr>
      <w:r>
        <w:rPr>
          <w:rFonts w:hint="default" w:cs="仿宋_GB2312"/>
          <w:color w:val="auto"/>
          <w:szCs w:val="24"/>
          <w:highlight w:val="none"/>
          <w:lang w:val="en-US" w:eastAsia="zh-CN"/>
        </w:rPr>
        <w:t>3.</w:t>
      </w:r>
      <w:r>
        <w:rPr>
          <w:rFonts w:hint="eastAsia" w:cs="仿宋_GB2312"/>
          <w:color w:val="auto"/>
          <w:szCs w:val="24"/>
          <w:highlight w:val="none"/>
          <w:lang w:val="en-US" w:eastAsia="zh-CN"/>
        </w:rPr>
        <w:t xml:space="preserve">投标人为自然人的情形，可不提供本《授权委托书》。 </w:t>
      </w:r>
    </w:p>
    <w:p w14:paraId="16E91B57">
      <w:pPr>
        <w:ind w:firstLine="480" w:firstLineChars="200"/>
        <w:rPr>
          <w:rFonts w:hint="eastAsia" w:cs="仿宋_GB2312"/>
          <w:color w:val="auto"/>
          <w:szCs w:val="24"/>
          <w:highlight w:val="none"/>
        </w:rPr>
      </w:pPr>
      <w:r>
        <w:rPr>
          <w:rFonts w:hint="default" w:cs="仿宋_GB2312"/>
          <w:color w:val="auto"/>
          <w:szCs w:val="24"/>
          <w:highlight w:val="none"/>
          <w:lang w:val="en-US" w:eastAsia="zh-CN"/>
        </w:rPr>
        <w:t>4.</w:t>
      </w:r>
      <w:r>
        <w:rPr>
          <w:rFonts w:hint="eastAsia" w:cs="仿宋_GB2312"/>
          <w:color w:val="auto"/>
          <w:szCs w:val="24"/>
          <w:highlight w:val="none"/>
          <w:lang w:val="en-US" w:eastAsia="zh-CN"/>
        </w:rPr>
        <w:t>投标人应随本《授权委托书》同时提供法定代表人（单位负责人）及委托代理人的有效的身份证、护照等身份证明文件电子件。提供身份证的，应同时提供身份证</w:t>
      </w:r>
      <w:r>
        <w:rPr>
          <w:rFonts w:hint="eastAsia" w:cs="仿宋_GB2312"/>
          <w:b/>
          <w:bCs/>
          <w:color w:val="auto"/>
          <w:szCs w:val="24"/>
          <w:highlight w:val="none"/>
          <w:lang w:val="en-US" w:eastAsia="zh-CN"/>
        </w:rPr>
        <w:t>双面</w:t>
      </w:r>
      <w:r>
        <w:rPr>
          <w:rFonts w:hint="eastAsia" w:cs="仿宋_GB2312"/>
          <w:color w:val="auto"/>
          <w:szCs w:val="24"/>
          <w:highlight w:val="none"/>
          <w:lang w:val="en-US" w:eastAsia="zh-CN"/>
        </w:rPr>
        <w:t>电子件。</w:t>
      </w:r>
    </w:p>
    <w:p w14:paraId="0B2EBA16">
      <w:pPr>
        <w:rPr>
          <w:color w:val="auto"/>
          <w:highlight w:val="none"/>
        </w:rPr>
      </w:pPr>
      <w:r>
        <w:rPr>
          <w:color w:val="auto"/>
          <w:highlight w:val="none"/>
        </w:rPr>
        <w:br w:type="page"/>
      </w:r>
    </w:p>
    <w:p w14:paraId="117D25C9">
      <w:pPr>
        <w:pStyle w:val="2"/>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eastAsia="宋体" w:asciiTheme="majorHAnsi" w:hAnsiTheme="majorHAnsi" w:cstheme="majorBidi"/>
          <w:b/>
          <w:bCs/>
          <w:color w:val="auto"/>
          <w:kern w:val="2"/>
          <w:sz w:val="32"/>
          <w:szCs w:val="32"/>
          <w:highlight w:val="none"/>
          <w:lang w:val="en-US" w:eastAsia="zh-CN" w:bidi="ar-SA"/>
        </w:rPr>
      </w:pPr>
      <w:bookmarkStart w:id="789" w:name="_Toc163492928"/>
      <w:bookmarkStart w:id="790" w:name="_Toc155185934"/>
      <w:bookmarkStart w:id="791" w:name="_Toc27408"/>
      <w:r>
        <w:rPr>
          <w:rFonts w:hint="eastAsia" w:cstheme="majorBidi"/>
          <w:b/>
          <w:bCs/>
          <w:color w:val="auto"/>
          <w:kern w:val="2"/>
          <w:sz w:val="32"/>
          <w:szCs w:val="32"/>
          <w:highlight w:val="none"/>
          <w:lang w:val="en-US" w:eastAsia="zh-CN" w:bidi="ar-SA"/>
        </w:rPr>
        <w:t>四</w:t>
      </w:r>
      <w:r>
        <w:rPr>
          <w:rFonts w:hint="eastAsia" w:eastAsia="宋体" w:asciiTheme="majorHAnsi" w:hAnsiTheme="majorHAnsi" w:cstheme="majorBidi"/>
          <w:b/>
          <w:bCs/>
          <w:color w:val="auto"/>
          <w:kern w:val="2"/>
          <w:sz w:val="32"/>
          <w:szCs w:val="32"/>
          <w:highlight w:val="none"/>
          <w:lang w:val="en-US" w:eastAsia="zh-CN" w:bidi="ar-SA"/>
        </w:rPr>
        <w:t>、</w:t>
      </w:r>
      <w:bookmarkEnd w:id="789"/>
      <w:bookmarkEnd w:id="790"/>
      <w:r>
        <w:rPr>
          <w:rFonts w:hint="eastAsia" w:eastAsia="宋体" w:asciiTheme="majorHAnsi" w:hAnsiTheme="majorHAnsi" w:cstheme="majorBidi"/>
          <w:b/>
          <w:bCs/>
          <w:color w:val="auto"/>
          <w:kern w:val="2"/>
          <w:sz w:val="32"/>
          <w:szCs w:val="32"/>
          <w:highlight w:val="none"/>
          <w:lang w:val="zh-CN" w:eastAsia="zh-CN" w:bidi="ar-SA"/>
        </w:rPr>
        <w:t>政府采购</w:t>
      </w:r>
      <w:r>
        <w:rPr>
          <w:rFonts w:hint="eastAsia" w:cstheme="majorBidi"/>
          <w:b/>
          <w:bCs/>
          <w:color w:val="auto"/>
          <w:kern w:val="2"/>
          <w:sz w:val="32"/>
          <w:szCs w:val="32"/>
          <w:highlight w:val="none"/>
          <w:lang w:val="en-US" w:eastAsia="zh-CN" w:bidi="ar-SA"/>
        </w:rPr>
        <w:t>投标人</w:t>
      </w:r>
      <w:r>
        <w:rPr>
          <w:rFonts w:hint="eastAsia" w:eastAsia="宋体" w:asciiTheme="majorHAnsi" w:hAnsiTheme="majorHAnsi" w:cstheme="majorBidi"/>
          <w:b/>
          <w:bCs/>
          <w:color w:val="auto"/>
          <w:kern w:val="2"/>
          <w:sz w:val="32"/>
          <w:szCs w:val="32"/>
          <w:highlight w:val="none"/>
          <w:lang w:val="zh-CN" w:eastAsia="zh-CN" w:bidi="ar-SA"/>
        </w:rPr>
        <w:t>廉洁自律承诺书</w:t>
      </w:r>
      <w:bookmarkEnd w:id="791"/>
    </w:p>
    <w:p w14:paraId="2AB445CF">
      <w:pPr>
        <w:pStyle w:val="10"/>
        <w:rPr>
          <w:color w:val="auto"/>
          <w:highlight w:val="none"/>
        </w:rPr>
      </w:pPr>
    </w:p>
    <w:p w14:paraId="2CE177B4">
      <w:pPr>
        <w:snapToGrid w:val="0"/>
        <w:spacing w:line="360" w:lineRule="auto"/>
        <w:rPr>
          <w:rFonts w:ascii="宋体" w:hAnsi="宋体" w:cs="宋体"/>
          <w:color w:val="auto"/>
          <w:kern w:val="0"/>
          <w:sz w:val="24"/>
          <w:szCs w:val="24"/>
          <w:highlight w:val="none"/>
        </w:rPr>
      </w:pPr>
      <w:r>
        <w:rPr>
          <w:rFonts w:hint="eastAsia" w:ascii="宋体" w:hAnsi="宋体" w:cs="宋体"/>
          <w:color w:val="auto"/>
          <w:sz w:val="24"/>
          <w:szCs w:val="24"/>
          <w:highlight w:val="none"/>
        </w:rPr>
        <w:t>（采购人）、（采购代理机构）</w:t>
      </w:r>
      <w:r>
        <w:rPr>
          <w:rFonts w:hint="eastAsia" w:ascii="宋体" w:hAnsi="宋体" w:cs="宋体"/>
          <w:color w:val="auto"/>
          <w:kern w:val="0"/>
          <w:sz w:val="24"/>
          <w:szCs w:val="24"/>
          <w:highlight w:val="none"/>
          <w:lang w:val="zh-CN"/>
        </w:rPr>
        <w:t>：</w:t>
      </w:r>
    </w:p>
    <w:p w14:paraId="2139BFB4">
      <w:pPr>
        <w:autoSpaceDE w:val="0"/>
        <w:autoSpaceDN w:val="0"/>
        <w:spacing w:line="360" w:lineRule="auto"/>
        <w:ind w:left="2" w:leftChars="1" w:firstLine="480" w:firstLineChars="200"/>
        <w:jc w:val="left"/>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我单位响应你</w:t>
      </w:r>
      <w:r>
        <w:rPr>
          <w:rFonts w:hint="eastAsia" w:ascii="宋体" w:hAnsi="宋体" w:cs="宋体"/>
          <w:color w:val="auto"/>
          <w:sz w:val="24"/>
          <w:szCs w:val="24"/>
          <w:highlight w:val="none"/>
        </w:rPr>
        <w:t>单位</w:t>
      </w:r>
      <w:r>
        <w:rPr>
          <w:rFonts w:hint="eastAsia" w:ascii="宋体" w:hAnsi="宋体" w:cs="宋体"/>
          <w:color w:val="auto"/>
          <w:kern w:val="0"/>
          <w:sz w:val="24"/>
          <w:szCs w:val="24"/>
          <w:highlight w:val="none"/>
          <w:lang w:val="zh-CN"/>
        </w:rPr>
        <w:t>项目招标要求参加投标。在这次投标过程中和中标后，我们将严格遵守国家法律法规要求，并郑重承诺：</w:t>
      </w:r>
    </w:p>
    <w:p w14:paraId="2B87D13C">
      <w:pPr>
        <w:autoSpaceDE w:val="0"/>
        <w:autoSpaceDN w:val="0"/>
        <w:spacing w:line="360" w:lineRule="auto"/>
        <w:ind w:left="2" w:leftChars="1" w:firstLine="480" w:firstLineChars="20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 xml:space="preserve">一、不向项目有关人员及部门赠送礼金礼物、有价证券、回扣以及中介费、介绍费、咨询费等好处费； </w:t>
      </w:r>
    </w:p>
    <w:p w14:paraId="063D62B4">
      <w:pPr>
        <w:autoSpaceDE w:val="0"/>
        <w:autoSpaceDN w:val="0"/>
        <w:spacing w:line="360" w:lineRule="auto"/>
        <w:ind w:left="2" w:leftChars="1" w:firstLine="480" w:firstLineChars="20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 xml:space="preserve">二、不为项目有关人员及部门报销应由你方单位或个人支付的费用； </w:t>
      </w:r>
    </w:p>
    <w:p w14:paraId="5ADDE615">
      <w:pPr>
        <w:autoSpaceDE w:val="0"/>
        <w:autoSpaceDN w:val="0"/>
        <w:spacing w:line="360" w:lineRule="auto"/>
        <w:ind w:left="2" w:leftChars="1" w:firstLine="480" w:firstLineChars="20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三、不向项目有关人员及部门提供有可能影响公正的宴请和健身娱乐等活动；</w:t>
      </w:r>
    </w:p>
    <w:p w14:paraId="6B70337F">
      <w:pPr>
        <w:autoSpaceDE w:val="0"/>
        <w:autoSpaceDN w:val="0"/>
        <w:spacing w:line="360" w:lineRule="auto"/>
        <w:ind w:left="2" w:leftChars="1" w:firstLine="480" w:firstLineChars="20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四、不为项目有关人员及部门出国（境）、旅游等提供方便；</w:t>
      </w:r>
    </w:p>
    <w:p w14:paraId="6421E616">
      <w:pPr>
        <w:autoSpaceDE w:val="0"/>
        <w:autoSpaceDN w:val="0"/>
        <w:spacing w:line="360" w:lineRule="auto"/>
        <w:ind w:left="2" w:leftChars="1" w:firstLine="480" w:firstLineChars="20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五、不为项目有关人员个人装修住房、婚丧嫁娶、配偶子女工作安排等提供好处；</w:t>
      </w:r>
    </w:p>
    <w:p w14:paraId="663761CE">
      <w:pPr>
        <w:autoSpaceDE w:val="0"/>
        <w:autoSpaceDN w:val="0"/>
        <w:spacing w:line="360" w:lineRule="auto"/>
        <w:ind w:left="2" w:leftChars="1" w:firstLine="480" w:firstLineChars="20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六、严格遵守《中华人民共和国政府采购法》</w:t>
      </w:r>
      <w:r>
        <w:rPr>
          <w:rFonts w:hint="eastAsia"/>
          <w:color w:val="auto"/>
          <w:highlight w:val="none"/>
        </w:rPr>
        <w:t>《中华人民共和国政府采购法</w:t>
      </w:r>
      <w:r>
        <w:rPr>
          <w:rFonts w:hint="eastAsia"/>
          <w:color w:val="auto"/>
          <w:highlight w:val="none"/>
          <w:lang w:val="en-US" w:eastAsia="zh-CN"/>
        </w:rPr>
        <w:t>实施条例</w:t>
      </w:r>
      <w:r>
        <w:rPr>
          <w:rFonts w:hint="eastAsia"/>
          <w:color w:val="auto"/>
          <w:highlight w:val="none"/>
        </w:rPr>
        <w:t>》</w:t>
      </w:r>
      <w:r>
        <w:rPr>
          <w:rFonts w:hint="eastAsia" w:ascii="宋体" w:hAnsi="宋体" w:cs="宋体"/>
          <w:color w:val="auto"/>
          <w:kern w:val="0"/>
          <w:sz w:val="24"/>
          <w:szCs w:val="24"/>
          <w:highlight w:val="none"/>
          <w:lang w:val="zh-CN"/>
        </w:rPr>
        <w:t xml:space="preserve">《中华人民共和国民法典》等法律法规，诚实守信，合法经营，坚决抵制各种违法违纪行为。 </w:t>
      </w:r>
    </w:p>
    <w:p w14:paraId="5C8FD2B8">
      <w:pPr>
        <w:autoSpaceDE w:val="0"/>
        <w:autoSpaceDN w:val="0"/>
        <w:spacing w:line="360" w:lineRule="auto"/>
        <w:ind w:left="2" w:leftChars="1" w:firstLine="480" w:firstLineChars="20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如违反上述承诺，你单位有权立即取消我单位投标、中标或在建项目的建设资格，有权拒绝我单位在一定时期内进入你单位进行项目建设或其他经营活动，并通报</w:t>
      </w:r>
      <w:r>
        <w:rPr>
          <w:rFonts w:hint="eastAsia" w:cs="宋体"/>
          <w:color w:val="auto"/>
          <w:kern w:val="0"/>
          <w:sz w:val="24"/>
          <w:szCs w:val="24"/>
          <w:highlight w:val="none"/>
          <w:lang w:val="en-US" w:eastAsia="zh-CN"/>
        </w:rPr>
        <w:t>兵团</w:t>
      </w:r>
      <w:r>
        <w:rPr>
          <w:rFonts w:hint="eastAsia" w:ascii="宋体" w:hAnsi="宋体" w:cs="宋体"/>
          <w:color w:val="auto"/>
          <w:kern w:val="0"/>
          <w:sz w:val="24"/>
          <w:szCs w:val="24"/>
          <w:highlight w:val="none"/>
          <w:lang w:val="zh-CN"/>
        </w:rPr>
        <w:t>财政局。由此引起的相应损失均由我单位承担。</w:t>
      </w:r>
    </w:p>
    <w:p w14:paraId="5E22ECB4">
      <w:pPr>
        <w:autoSpaceDE w:val="0"/>
        <w:autoSpaceDN w:val="0"/>
        <w:spacing w:line="360" w:lineRule="auto"/>
        <w:ind w:left="2"/>
        <w:jc w:val="left"/>
        <w:rPr>
          <w:rFonts w:ascii="宋体" w:hAnsi="宋体" w:cs="宋体"/>
          <w:color w:val="auto"/>
          <w:kern w:val="0"/>
          <w:sz w:val="24"/>
          <w:szCs w:val="24"/>
          <w:highlight w:val="none"/>
          <w:lang w:val="zh-CN"/>
        </w:rPr>
      </w:pPr>
    </w:p>
    <w:p w14:paraId="0914ACDE">
      <w:pPr>
        <w:autoSpaceDE w:val="0"/>
        <w:autoSpaceDN w:val="0"/>
        <w:spacing w:line="360" w:lineRule="auto"/>
        <w:ind w:left="2"/>
        <w:jc w:val="left"/>
        <w:rPr>
          <w:rFonts w:ascii="宋体" w:hAnsi="宋体" w:cs="宋体"/>
          <w:color w:val="auto"/>
          <w:kern w:val="0"/>
          <w:sz w:val="24"/>
          <w:szCs w:val="24"/>
          <w:highlight w:val="none"/>
          <w:lang w:val="zh-CN"/>
        </w:rPr>
      </w:pPr>
    </w:p>
    <w:p w14:paraId="02E01AF0">
      <w:pPr>
        <w:autoSpaceDE w:val="0"/>
        <w:autoSpaceDN w:val="0"/>
        <w:spacing w:line="360" w:lineRule="auto"/>
        <w:ind w:left="2"/>
        <w:jc w:val="left"/>
        <w:rPr>
          <w:rFonts w:ascii="宋体" w:hAnsi="宋体" w:cs="宋体"/>
          <w:color w:val="auto"/>
          <w:kern w:val="0"/>
          <w:sz w:val="24"/>
          <w:szCs w:val="24"/>
          <w:highlight w:val="none"/>
          <w:lang w:val="zh-CN"/>
        </w:rPr>
      </w:pPr>
    </w:p>
    <w:p w14:paraId="3EA46769">
      <w:pPr>
        <w:autoSpaceDE w:val="0"/>
        <w:autoSpaceDN w:val="0"/>
        <w:spacing w:line="360" w:lineRule="auto"/>
        <w:ind w:left="2" w:leftChars="1" w:right="1120" w:firstLine="4560" w:firstLineChars="1900"/>
        <w:jc w:val="left"/>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投标人名称</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r>
        <w:rPr>
          <w:rFonts w:hint="eastAsia" w:ascii="宋体" w:hAnsi="宋体" w:cs="宋体"/>
          <w:color w:val="auto"/>
          <w:kern w:val="0"/>
          <w:sz w:val="24"/>
          <w:szCs w:val="24"/>
          <w:highlight w:val="none"/>
          <w:lang w:val="zh-CN"/>
        </w:rPr>
        <w:t xml:space="preserve">：                                                                                                                                                                                                               </w:t>
      </w:r>
    </w:p>
    <w:p w14:paraId="0FD8A2DC">
      <w:pPr>
        <w:ind w:firstLine="4560" w:firstLineChars="1900"/>
        <w:rPr>
          <w:rFonts w:hint="eastAsia" w:eastAsia="宋体" w:asciiTheme="majorHAnsi" w:hAnsiTheme="majorHAnsi" w:cstheme="majorBidi"/>
          <w:b/>
          <w:bCs/>
          <w:color w:val="auto"/>
          <w:kern w:val="2"/>
          <w:sz w:val="24"/>
          <w:szCs w:val="24"/>
          <w:highlight w:val="none"/>
          <w:lang w:val="en-US" w:eastAsia="zh-CN" w:bidi="ar-SA"/>
        </w:rPr>
      </w:pPr>
      <w:r>
        <w:rPr>
          <w:rFonts w:hint="eastAsia" w:ascii="宋体" w:hAnsi="宋体" w:cs="宋体"/>
          <w:color w:val="auto"/>
          <w:kern w:val="0"/>
          <w:sz w:val="24"/>
          <w:szCs w:val="24"/>
          <w:highlight w:val="none"/>
          <w:lang w:val="zh-CN"/>
        </w:rPr>
        <w:t>日期</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zh-CN"/>
        </w:rPr>
        <w:t xml:space="preserve">   年   月   日</w:t>
      </w:r>
    </w:p>
    <w:p w14:paraId="5AA40BF9">
      <w:pPr>
        <w:rPr>
          <w:rFonts w:hint="eastAsia" w:eastAsia="宋体" w:asciiTheme="majorHAnsi" w:hAnsiTheme="majorHAnsi" w:cstheme="majorBidi"/>
          <w:b/>
          <w:bCs/>
          <w:color w:val="auto"/>
          <w:kern w:val="2"/>
          <w:sz w:val="24"/>
          <w:szCs w:val="24"/>
          <w:highlight w:val="none"/>
          <w:lang w:val="en-US" w:eastAsia="zh-CN" w:bidi="ar-SA"/>
        </w:rPr>
      </w:pPr>
    </w:p>
    <w:p w14:paraId="2917743B">
      <w:pPr>
        <w:pStyle w:val="10"/>
        <w:rPr>
          <w:rFonts w:hint="eastAsia" w:eastAsia="宋体" w:asciiTheme="majorHAnsi" w:hAnsiTheme="majorHAnsi" w:cstheme="majorBidi"/>
          <w:b/>
          <w:bCs/>
          <w:color w:val="auto"/>
          <w:kern w:val="2"/>
          <w:sz w:val="24"/>
          <w:szCs w:val="24"/>
          <w:highlight w:val="none"/>
          <w:lang w:val="en-US" w:eastAsia="zh-CN" w:bidi="ar-SA"/>
        </w:rPr>
      </w:pPr>
    </w:p>
    <w:p w14:paraId="2CC927CA">
      <w:pPr>
        <w:pStyle w:val="10"/>
        <w:rPr>
          <w:rFonts w:hint="eastAsia" w:eastAsia="宋体" w:asciiTheme="majorHAnsi" w:hAnsiTheme="majorHAnsi" w:cstheme="majorBidi"/>
          <w:b/>
          <w:bCs/>
          <w:color w:val="auto"/>
          <w:kern w:val="2"/>
          <w:sz w:val="24"/>
          <w:szCs w:val="24"/>
          <w:highlight w:val="none"/>
          <w:lang w:val="en-US" w:eastAsia="zh-CN" w:bidi="ar-SA"/>
        </w:rPr>
      </w:pPr>
    </w:p>
    <w:p w14:paraId="18FDCDE0">
      <w:pPr>
        <w:pStyle w:val="10"/>
        <w:rPr>
          <w:rFonts w:hint="eastAsia" w:eastAsia="宋体" w:asciiTheme="majorHAnsi" w:hAnsiTheme="majorHAnsi" w:cstheme="majorBidi"/>
          <w:b/>
          <w:bCs/>
          <w:color w:val="auto"/>
          <w:kern w:val="2"/>
          <w:sz w:val="24"/>
          <w:szCs w:val="24"/>
          <w:highlight w:val="none"/>
          <w:lang w:val="en-US" w:eastAsia="zh-CN" w:bidi="ar-SA"/>
        </w:rPr>
      </w:pPr>
    </w:p>
    <w:p w14:paraId="74E8B7C7">
      <w:pPr>
        <w:pStyle w:val="2"/>
        <w:bidi w:val="0"/>
        <w:jc w:val="center"/>
        <w:rPr>
          <w:rFonts w:hint="default"/>
          <w:lang w:val="en-US" w:eastAsia="zh-CN"/>
        </w:rPr>
      </w:pPr>
      <w:bookmarkStart w:id="792" w:name="_Toc24923"/>
      <w:r>
        <w:rPr>
          <w:rFonts w:hint="eastAsia"/>
          <w:lang w:val="en-US" w:eastAsia="zh-CN"/>
        </w:rPr>
        <w:t>五、</w:t>
      </w:r>
      <w:r>
        <w:rPr>
          <w:rFonts w:hint="eastAsia"/>
          <w:lang w:val="zh-CN" w:eastAsia="zh-CN"/>
        </w:rPr>
        <w:t>实质性响应一览表【</w:t>
      </w:r>
      <w:r>
        <w:rPr>
          <w:rFonts w:hint="eastAsia"/>
          <w:lang w:val="en-US" w:eastAsia="zh-CN"/>
        </w:rPr>
        <w:t>本表须与第五章的一致】</w:t>
      </w:r>
      <w:bookmarkEnd w:id="792"/>
    </w:p>
    <w:p w14:paraId="3FC7E450">
      <w:pPr>
        <w:shd w:val="clear" w:color="auto" w:fill="FFFFFF"/>
        <w:tabs>
          <w:tab w:val="left" w:pos="3045"/>
        </w:tabs>
        <w:autoSpaceDE w:val="0"/>
        <w:autoSpaceDN w:val="0"/>
        <w:adjustRightInd w:val="0"/>
        <w:snapToGrid w:val="0"/>
        <w:spacing w:line="360" w:lineRule="exact"/>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w:t>
      </w:r>
      <w:r>
        <w:rPr>
          <w:rFonts w:hint="eastAsia" w:cs="宋体"/>
          <w:b w:val="0"/>
          <w:bCs/>
          <w:color w:val="auto"/>
          <w:sz w:val="24"/>
          <w:highlight w:val="none"/>
          <w:lang w:val="en-US" w:eastAsia="zh-CN"/>
        </w:rPr>
        <w:t>投标人</w:t>
      </w:r>
      <w:r>
        <w:rPr>
          <w:rFonts w:hint="eastAsia" w:ascii="宋体" w:hAnsi="宋体" w:cs="宋体"/>
          <w:b w:val="0"/>
          <w:bCs/>
          <w:color w:val="auto"/>
          <w:sz w:val="24"/>
          <w:highlight w:val="none"/>
        </w:rPr>
        <w:t>须对本附表所有内容逐条响应且无负偏离，否则</w:t>
      </w:r>
      <w:r>
        <w:rPr>
          <w:rFonts w:hint="eastAsia" w:cs="宋体"/>
          <w:b w:val="0"/>
          <w:bCs/>
          <w:color w:val="auto"/>
          <w:sz w:val="24"/>
          <w:highlight w:val="none"/>
          <w:lang w:val="en-US" w:eastAsia="zh-CN"/>
        </w:rPr>
        <w:t>其</w:t>
      </w:r>
      <w:r>
        <w:rPr>
          <w:rFonts w:hint="eastAsia" w:ascii="宋体" w:hAnsi="宋体" w:cs="宋体"/>
          <w:b/>
          <w:bCs w:val="0"/>
          <w:color w:val="auto"/>
          <w:sz w:val="24"/>
          <w:highlight w:val="none"/>
        </w:rPr>
        <w:t>投标无效</w:t>
      </w:r>
      <w:r>
        <w:rPr>
          <w:rFonts w:hint="eastAsia" w:ascii="宋体" w:hAnsi="宋体" w:cs="宋体"/>
          <w:b w:val="0"/>
          <w:bCs/>
          <w:color w:val="auto"/>
          <w:sz w:val="24"/>
          <w:highlight w:val="none"/>
        </w:rPr>
        <w:t>）</w:t>
      </w:r>
    </w:p>
    <w:p w14:paraId="3B3C031E">
      <w:pPr>
        <w:pStyle w:val="26"/>
        <w:rPr>
          <w:rFonts w:hint="eastAsia" w:ascii="宋体" w:hAnsi="宋体" w:cs="宋体"/>
          <w:color w:val="auto"/>
          <w:highlight w:val="none"/>
        </w:rPr>
      </w:pPr>
    </w:p>
    <w:tbl>
      <w:tblPr>
        <w:tblStyle w:val="31"/>
        <w:tblW w:w="5396" w:type="pct"/>
        <w:tblInd w:w="-2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5"/>
        <w:gridCol w:w="1978"/>
        <w:gridCol w:w="4229"/>
        <w:gridCol w:w="1860"/>
        <w:gridCol w:w="726"/>
      </w:tblGrid>
      <w:tr w14:paraId="2EF50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20" w:type="pct"/>
            <w:vMerge w:val="restart"/>
            <w:noWrap w:val="0"/>
            <w:vAlign w:val="center"/>
          </w:tcPr>
          <w:p w14:paraId="101C805A">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374" w:type="pct"/>
            <w:gridSpan w:val="2"/>
            <w:noWrap w:val="0"/>
            <w:vAlign w:val="center"/>
          </w:tcPr>
          <w:p w14:paraId="02D60536">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highlight w:val="none"/>
                <w:lang w:val="en-US" w:eastAsia="zh-CN"/>
              </w:rPr>
              <w:t>招标</w:t>
            </w:r>
            <w:r>
              <w:rPr>
                <w:rFonts w:hint="eastAsia" w:ascii="宋体" w:hAnsi="宋体" w:cs="宋体"/>
                <w:color w:val="auto"/>
                <w:sz w:val="24"/>
                <w:highlight w:val="none"/>
              </w:rPr>
              <w:t>文件要求的实质性响应内容</w:t>
            </w:r>
          </w:p>
        </w:tc>
        <w:tc>
          <w:tcPr>
            <w:tcW w:w="1011" w:type="pct"/>
            <w:vMerge w:val="restart"/>
            <w:noWrap w:val="0"/>
            <w:vAlign w:val="center"/>
          </w:tcPr>
          <w:p w14:paraId="56144F2B">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投标文件响应</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具体内容</w:t>
            </w:r>
          </w:p>
        </w:tc>
        <w:tc>
          <w:tcPr>
            <w:tcW w:w="394" w:type="pct"/>
            <w:vMerge w:val="restart"/>
            <w:noWrap w:val="0"/>
            <w:vAlign w:val="center"/>
          </w:tcPr>
          <w:p w14:paraId="3D4BAC2B">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48FB1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20" w:type="pct"/>
            <w:vMerge w:val="continue"/>
            <w:noWrap w:val="0"/>
            <w:vAlign w:val="center"/>
          </w:tcPr>
          <w:p w14:paraId="61353542">
            <w:pPr>
              <w:keepNext w:val="0"/>
              <w:keepLines w:val="0"/>
              <w:pageBreakBefore w:val="0"/>
              <w:widowControl w:val="0"/>
              <w:kinsoku/>
              <w:wordWrap/>
              <w:overflowPunct/>
              <w:topLinePunct w:val="0"/>
              <w:bidi w:val="0"/>
              <w:adjustRightInd/>
              <w:snapToGrid/>
              <w:spacing w:line="360" w:lineRule="exact"/>
              <w:jc w:val="center"/>
              <w:textAlignment w:val="auto"/>
              <w:rPr>
                <w:color w:val="auto"/>
                <w:highlight w:val="none"/>
              </w:rPr>
            </w:pPr>
          </w:p>
        </w:tc>
        <w:tc>
          <w:tcPr>
            <w:tcW w:w="1075" w:type="pct"/>
            <w:noWrap w:val="0"/>
            <w:vAlign w:val="center"/>
          </w:tcPr>
          <w:p w14:paraId="6B0E1646">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cs="宋体"/>
                <w:color w:val="auto"/>
                <w:sz w:val="24"/>
                <w:highlight w:val="none"/>
                <w:lang w:val="en-US" w:eastAsia="zh-CN"/>
              </w:rPr>
              <w:t>实质性要求</w:t>
            </w:r>
          </w:p>
        </w:tc>
        <w:tc>
          <w:tcPr>
            <w:tcW w:w="2298" w:type="pct"/>
            <w:noWrap w:val="0"/>
            <w:vAlign w:val="center"/>
          </w:tcPr>
          <w:p w14:paraId="3466A6AA">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cs="宋体"/>
                <w:color w:val="auto"/>
                <w:sz w:val="24"/>
                <w:highlight w:val="none"/>
                <w:lang w:val="en-US" w:eastAsia="zh-CN"/>
              </w:rPr>
              <w:t>招标文件中的规定</w:t>
            </w:r>
          </w:p>
        </w:tc>
        <w:tc>
          <w:tcPr>
            <w:tcW w:w="1011" w:type="pct"/>
            <w:vMerge w:val="continue"/>
            <w:noWrap w:val="0"/>
            <w:vAlign w:val="center"/>
          </w:tcPr>
          <w:p w14:paraId="230A57B0">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4"/>
                <w:szCs w:val="24"/>
                <w:highlight w:val="none"/>
              </w:rPr>
            </w:pPr>
          </w:p>
        </w:tc>
        <w:tc>
          <w:tcPr>
            <w:tcW w:w="394" w:type="pct"/>
            <w:vMerge w:val="continue"/>
            <w:noWrap w:val="0"/>
            <w:vAlign w:val="center"/>
          </w:tcPr>
          <w:p w14:paraId="1401563E">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4"/>
                <w:szCs w:val="24"/>
                <w:highlight w:val="none"/>
              </w:rPr>
            </w:pPr>
          </w:p>
        </w:tc>
      </w:tr>
      <w:tr w14:paraId="0FCF1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220" w:type="pct"/>
            <w:noWrap w:val="0"/>
            <w:vAlign w:val="center"/>
          </w:tcPr>
          <w:p w14:paraId="5D4136A9">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075" w:type="pct"/>
            <w:shd w:val="clear" w:color="auto" w:fill="auto"/>
            <w:noWrap w:val="0"/>
            <w:vAlign w:val="center"/>
          </w:tcPr>
          <w:p w14:paraId="11E3D909">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kern w:val="2"/>
                <w:sz w:val="24"/>
                <w:szCs w:val="24"/>
                <w:highlight w:val="none"/>
                <w:lang w:val="en-US" w:eastAsia="zh-CN" w:bidi="ar-SA"/>
              </w:rPr>
            </w:pPr>
          </w:p>
        </w:tc>
        <w:tc>
          <w:tcPr>
            <w:tcW w:w="2298" w:type="pct"/>
            <w:shd w:val="clear" w:color="auto" w:fill="auto"/>
            <w:noWrap w:val="0"/>
            <w:vAlign w:val="center"/>
          </w:tcPr>
          <w:p w14:paraId="2D62742B">
            <w:pPr>
              <w:keepNext w:val="0"/>
              <w:keepLines w:val="0"/>
              <w:pageBreakBefore w:val="0"/>
              <w:widowControl w:val="0"/>
              <w:shd w:val="clear" w:color="auto" w:fill="FFFFFF"/>
              <w:kinsoku/>
              <w:wordWrap/>
              <w:overflowPunct/>
              <w:topLinePunct w:val="0"/>
              <w:autoSpaceDE w:val="0"/>
              <w:autoSpaceDN w:val="0"/>
              <w:bidi w:val="0"/>
              <w:adjustRightInd/>
              <w:snapToGrid/>
              <w:spacing w:line="360" w:lineRule="exact"/>
              <w:textAlignment w:val="auto"/>
              <w:rPr>
                <w:rFonts w:hint="eastAsia" w:ascii="宋体" w:hAnsi="宋体" w:eastAsia="宋体" w:cs="宋体"/>
                <w:color w:val="auto"/>
                <w:kern w:val="2"/>
                <w:sz w:val="24"/>
                <w:szCs w:val="24"/>
                <w:highlight w:val="none"/>
                <w:lang w:val="en-US" w:eastAsia="zh-CN" w:bidi="ar-SA"/>
              </w:rPr>
            </w:pPr>
          </w:p>
        </w:tc>
        <w:tc>
          <w:tcPr>
            <w:tcW w:w="1011" w:type="pct"/>
            <w:noWrap w:val="0"/>
            <w:vAlign w:val="center"/>
          </w:tcPr>
          <w:p w14:paraId="1E4B729D">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c>
          <w:tcPr>
            <w:tcW w:w="394" w:type="pct"/>
            <w:noWrap w:val="0"/>
            <w:vAlign w:val="center"/>
          </w:tcPr>
          <w:p w14:paraId="2ED2EBD7">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r>
      <w:tr w14:paraId="29B14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220" w:type="pct"/>
            <w:noWrap w:val="0"/>
            <w:vAlign w:val="center"/>
          </w:tcPr>
          <w:p w14:paraId="708A3B90">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075" w:type="pct"/>
            <w:shd w:val="clear" w:color="auto" w:fill="auto"/>
            <w:noWrap w:val="0"/>
            <w:vAlign w:val="center"/>
          </w:tcPr>
          <w:p w14:paraId="7DC773BD">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kern w:val="2"/>
                <w:sz w:val="24"/>
                <w:szCs w:val="24"/>
                <w:highlight w:val="none"/>
                <w:lang w:val="en-US" w:eastAsia="zh-CN" w:bidi="ar-SA"/>
              </w:rPr>
            </w:pPr>
          </w:p>
        </w:tc>
        <w:tc>
          <w:tcPr>
            <w:tcW w:w="2298" w:type="pct"/>
            <w:shd w:val="clear" w:color="auto" w:fill="auto"/>
            <w:noWrap w:val="0"/>
            <w:vAlign w:val="center"/>
          </w:tcPr>
          <w:p w14:paraId="011D967C">
            <w:pPr>
              <w:keepNext w:val="0"/>
              <w:keepLines w:val="0"/>
              <w:pageBreakBefore w:val="0"/>
              <w:widowControl w:val="0"/>
              <w:shd w:val="clear" w:color="auto" w:fill="FFFFFF"/>
              <w:kinsoku/>
              <w:wordWrap/>
              <w:overflowPunct/>
              <w:topLinePunct w:val="0"/>
              <w:autoSpaceDE w:val="0"/>
              <w:autoSpaceDN w:val="0"/>
              <w:bidi w:val="0"/>
              <w:adjustRightInd/>
              <w:snapToGrid/>
              <w:spacing w:line="360" w:lineRule="exact"/>
              <w:textAlignment w:val="auto"/>
              <w:rPr>
                <w:rFonts w:hint="eastAsia" w:ascii="宋体" w:hAnsi="宋体" w:eastAsia="宋体" w:cs="宋体"/>
                <w:color w:val="auto"/>
                <w:kern w:val="2"/>
                <w:sz w:val="24"/>
                <w:szCs w:val="24"/>
                <w:highlight w:val="none"/>
                <w:lang w:val="en-US" w:eastAsia="zh-CN" w:bidi="ar-SA"/>
              </w:rPr>
            </w:pPr>
          </w:p>
        </w:tc>
        <w:tc>
          <w:tcPr>
            <w:tcW w:w="1011" w:type="pct"/>
            <w:noWrap w:val="0"/>
            <w:vAlign w:val="center"/>
          </w:tcPr>
          <w:p w14:paraId="58F62CE4">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c>
          <w:tcPr>
            <w:tcW w:w="394" w:type="pct"/>
            <w:noWrap w:val="0"/>
            <w:vAlign w:val="center"/>
          </w:tcPr>
          <w:p w14:paraId="194CC2D3">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r>
      <w:tr w14:paraId="547BF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220" w:type="pct"/>
            <w:shd w:val="clear" w:color="auto" w:fill="auto"/>
            <w:noWrap w:val="0"/>
            <w:vAlign w:val="center"/>
          </w:tcPr>
          <w:p w14:paraId="6A2DB15C">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p>
        </w:tc>
        <w:tc>
          <w:tcPr>
            <w:tcW w:w="1075" w:type="pct"/>
            <w:shd w:val="clear" w:color="auto" w:fill="auto"/>
            <w:noWrap w:val="0"/>
            <w:vAlign w:val="center"/>
          </w:tcPr>
          <w:p w14:paraId="46BFE239">
            <w:pPr>
              <w:pStyle w:val="50"/>
              <w:rPr>
                <w:rFonts w:hint="eastAsia" w:ascii="宋体" w:hAnsi="宋体" w:eastAsia="宋体" w:cstheme="minorBidi"/>
                <w:color w:val="auto"/>
                <w:kern w:val="2"/>
                <w:sz w:val="24"/>
                <w:szCs w:val="22"/>
                <w:highlight w:val="none"/>
                <w:lang w:val="en-US" w:eastAsia="zh-CN" w:bidi="ar-SA"/>
              </w:rPr>
            </w:pPr>
          </w:p>
        </w:tc>
        <w:tc>
          <w:tcPr>
            <w:tcW w:w="2298" w:type="pct"/>
            <w:shd w:val="clear" w:color="auto" w:fill="auto"/>
            <w:noWrap w:val="0"/>
            <w:vAlign w:val="center"/>
          </w:tcPr>
          <w:p w14:paraId="486ABA85">
            <w:pPr>
              <w:pStyle w:val="50"/>
              <w:rPr>
                <w:rFonts w:hint="eastAsia" w:ascii="宋体" w:hAnsi="宋体" w:eastAsia="宋体" w:cstheme="minorBidi"/>
                <w:color w:val="auto"/>
                <w:kern w:val="2"/>
                <w:sz w:val="24"/>
                <w:szCs w:val="22"/>
                <w:highlight w:val="none"/>
                <w:lang w:val="en-US" w:eastAsia="zh-CN" w:bidi="ar-SA"/>
              </w:rPr>
            </w:pPr>
          </w:p>
        </w:tc>
        <w:tc>
          <w:tcPr>
            <w:tcW w:w="1011" w:type="pct"/>
            <w:noWrap w:val="0"/>
            <w:vAlign w:val="center"/>
          </w:tcPr>
          <w:p w14:paraId="59491DC1">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c>
          <w:tcPr>
            <w:tcW w:w="394" w:type="pct"/>
            <w:noWrap w:val="0"/>
            <w:vAlign w:val="center"/>
          </w:tcPr>
          <w:p w14:paraId="1511A2DD">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r>
      <w:tr w14:paraId="5B874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220" w:type="pct"/>
            <w:shd w:val="clear" w:color="auto" w:fill="auto"/>
            <w:noWrap w:val="0"/>
            <w:vAlign w:val="center"/>
          </w:tcPr>
          <w:p w14:paraId="12289F6C">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w:t>
            </w:r>
          </w:p>
        </w:tc>
        <w:tc>
          <w:tcPr>
            <w:tcW w:w="1075" w:type="pct"/>
            <w:shd w:val="clear" w:color="auto" w:fill="auto"/>
            <w:noWrap w:val="0"/>
            <w:vAlign w:val="center"/>
          </w:tcPr>
          <w:p w14:paraId="1D3E0310">
            <w:pPr>
              <w:pStyle w:val="50"/>
              <w:rPr>
                <w:rFonts w:hint="eastAsia" w:ascii="宋体" w:hAnsi="宋体" w:eastAsia="宋体" w:cstheme="minorBidi"/>
                <w:color w:val="auto"/>
                <w:kern w:val="2"/>
                <w:sz w:val="24"/>
                <w:szCs w:val="22"/>
                <w:highlight w:val="none"/>
                <w:lang w:val="en-US" w:eastAsia="zh-CN" w:bidi="ar-SA"/>
              </w:rPr>
            </w:pPr>
          </w:p>
        </w:tc>
        <w:tc>
          <w:tcPr>
            <w:tcW w:w="2298" w:type="pct"/>
            <w:shd w:val="clear" w:color="auto" w:fill="auto"/>
            <w:noWrap w:val="0"/>
            <w:vAlign w:val="center"/>
          </w:tcPr>
          <w:p w14:paraId="281089E1">
            <w:pPr>
              <w:pStyle w:val="50"/>
              <w:rPr>
                <w:rFonts w:hint="eastAsia" w:ascii="宋体" w:hAnsi="宋体" w:eastAsia="宋体" w:cstheme="minorBidi"/>
                <w:color w:val="auto"/>
                <w:kern w:val="2"/>
                <w:sz w:val="24"/>
                <w:szCs w:val="22"/>
                <w:highlight w:val="none"/>
                <w:lang w:val="en-US" w:eastAsia="zh-CN" w:bidi="ar-SA"/>
              </w:rPr>
            </w:pPr>
          </w:p>
        </w:tc>
        <w:tc>
          <w:tcPr>
            <w:tcW w:w="1011" w:type="pct"/>
            <w:noWrap w:val="0"/>
            <w:vAlign w:val="center"/>
          </w:tcPr>
          <w:p w14:paraId="6CCA3E71">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c>
          <w:tcPr>
            <w:tcW w:w="394" w:type="pct"/>
            <w:noWrap w:val="0"/>
            <w:vAlign w:val="center"/>
          </w:tcPr>
          <w:p w14:paraId="0A8FC1EC">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r>
      <w:tr w14:paraId="70A77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1" w:hRule="atLeast"/>
        </w:trPr>
        <w:tc>
          <w:tcPr>
            <w:tcW w:w="220" w:type="pct"/>
            <w:shd w:val="clear" w:color="auto" w:fill="auto"/>
            <w:noWrap w:val="0"/>
            <w:vAlign w:val="center"/>
          </w:tcPr>
          <w:p w14:paraId="36B59CD3">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1075" w:type="pct"/>
            <w:noWrap w:val="0"/>
            <w:vAlign w:val="center"/>
          </w:tcPr>
          <w:p w14:paraId="43A0BEF0">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w:t>
            </w:r>
          </w:p>
        </w:tc>
        <w:tc>
          <w:tcPr>
            <w:tcW w:w="2298" w:type="pct"/>
            <w:noWrap w:val="0"/>
            <w:vAlign w:val="center"/>
          </w:tcPr>
          <w:p w14:paraId="310F1D1A">
            <w:pPr>
              <w:pStyle w:val="73"/>
              <w:keepNext w:val="0"/>
              <w:keepLines w:val="0"/>
              <w:pageBreakBefore w:val="0"/>
              <w:widowControl w:val="0"/>
              <w:shd w:val="clear" w:color="auto" w:fill="FFFFFF"/>
              <w:kinsoku/>
              <w:wordWrap/>
              <w:overflowPunct/>
              <w:topLinePunct w:val="0"/>
              <w:bidi w:val="0"/>
              <w:adjustRightInd/>
              <w:snapToGrid/>
              <w:spacing w:line="360" w:lineRule="exact"/>
              <w:ind w:firstLine="0" w:firstLineChars="0"/>
              <w:textAlignment w:val="auto"/>
              <w:rPr>
                <w:rFonts w:hint="eastAsia" w:ascii="宋体" w:hAnsi="宋体" w:eastAsia="宋体" w:cs="宋体"/>
                <w:color w:val="auto"/>
                <w:kern w:val="0"/>
                <w:sz w:val="24"/>
                <w:szCs w:val="24"/>
                <w:highlight w:val="none"/>
                <w:lang w:val="en-US" w:eastAsia="zh-CN" w:bidi="ar-SA"/>
              </w:rPr>
            </w:pPr>
          </w:p>
        </w:tc>
        <w:tc>
          <w:tcPr>
            <w:tcW w:w="1011" w:type="pct"/>
            <w:noWrap w:val="0"/>
            <w:vAlign w:val="center"/>
          </w:tcPr>
          <w:p w14:paraId="492A3FE6">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c>
          <w:tcPr>
            <w:tcW w:w="394" w:type="pct"/>
            <w:noWrap w:val="0"/>
            <w:vAlign w:val="center"/>
          </w:tcPr>
          <w:p w14:paraId="7AFD0B5E">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r>
      <w:tr w14:paraId="366B3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220" w:type="pct"/>
            <w:shd w:val="clear" w:color="auto" w:fill="auto"/>
            <w:noWrap w:val="0"/>
            <w:vAlign w:val="center"/>
          </w:tcPr>
          <w:p w14:paraId="0C145DE9">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6</w:t>
            </w:r>
          </w:p>
        </w:tc>
        <w:tc>
          <w:tcPr>
            <w:tcW w:w="1075" w:type="pct"/>
            <w:noWrap w:val="0"/>
            <w:vAlign w:val="center"/>
          </w:tcPr>
          <w:p w14:paraId="24DF7F3A">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w:t>
            </w:r>
          </w:p>
        </w:tc>
        <w:tc>
          <w:tcPr>
            <w:tcW w:w="2298" w:type="pct"/>
            <w:noWrap w:val="0"/>
            <w:vAlign w:val="center"/>
          </w:tcPr>
          <w:p w14:paraId="5482D5FB">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kern w:val="2"/>
                <w:sz w:val="24"/>
                <w:szCs w:val="24"/>
                <w:highlight w:val="none"/>
                <w:lang w:val="en-US" w:eastAsia="zh-CN" w:bidi="ar-SA"/>
              </w:rPr>
            </w:pPr>
          </w:p>
        </w:tc>
        <w:tc>
          <w:tcPr>
            <w:tcW w:w="1011" w:type="pct"/>
            <w:noWrap w:val="0"/>
            <w:vAlign w:val="center"/>
          </w:tcPr>
          <w:p w14:paraId="24D82CE2">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c>
          <w:tcPr>
            <w:tcW w:w="394" w:type="pct"/>
            <w:noWrap w:val="0"/>
            <w:vAlign w:val="center"/>
          </w:tcPr>
          <w:p w14:paraId="190A3A2D">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r>
      <w:tr w14:paraId="2E09A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220" w:type="pct"/>
            <w:shd w:val="clear" w:color="auto" w:fill="auto"/>
            <w:noWrap w:val="0"/>
            <w:vAlign w:val="center"/>
          </w:tcPr>
          <w:p w14:paraId="2F26FC6B">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7</w:t>
            </w:r>
          </w:p>
        </w:tc>
        <w:tc>
          <w:tcPr>
            <w:tcW w:w="1075" w:type="pct"/>
            <w:noWrap w:val="0"/>
            <w:vAlign w:val="center"/>
          </w:tcPr>
          <w:p w14:paraId="7BD1DFF1">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w:t>
            </w:r>
          </w:p>
        </w:tc>
        <w:tc>
          <w:tcPr>
            <w:tcW w:w="2298" w:type="pct"/>
            <w:noWrap w:val="0"/>
            <w:vAlign w:val="center"/>
          </w:tcPr>
          <w:p w14:paraId="0998D7BE">
            <w:pPr>
              <w:keepNext w:val="0"/>
              <w:keepLines w:val="0"/>
              <w:pageBreakBefore w:val="0"/>
              <w:widowControl w:val="0"/>
              <w:shd w:val="clear" w:color="auto" w:fill="FFFFFF"/>
              <w:kinsoku/>
              <w:wordWrap/>
              <w:overflowPunct/>
              <w:topLinePunct w:val="0"/>
              <w:autoSpaceDE/>
              <w:autoSpaceDN/>
              <w:bidi w:val="0"/>
              <w:adjustRightInd/>
              <w:snapToGrid/>
              <w:spacing w:line="400" w:lineRule="atLeast"/>
              <w:textAlignment w:val="auto"/>
              <w:rPr>
                <w:rFonts w:hint="eastAsia" w:ascii="宋体" w:hAnsi="宋体" w:eastAsia="宋体" w:cs="宋体"/>
                <w:color w:val="auto"/>
                <w:sz w:val="24"/>
                <w:szCs w:val="24"/>
                <w:highlight w:val="none"/>
                <w:lang w:val="en-US" w:eastAsia="zh-CN"/>
              </w:rPr>
            </w:pPr>
          </w:p>
        </w:tc>
        <w:tc>
          <w:tcPr>
            <w:tcW w:w="1011" w:type="pct"/>
            <w:noWrap w:val="0"/>
            <w:vAlign w:val="center"/>
          </w:tcPr>
          <w:p w14:paraId="4CB98610">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c>
          <w:tcPr>
            <w:tcW w:w="394" w:type="pct"/>
            <w:noWrap w:val="0"/>
            <w:vAlign w:val="center"/>
          </w:tcPr>
          <w:p w14:paraId="015D30C8">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r>
      <w:tr w14:paraId="5EA1B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220" w:type="pct"/>
            <w:noWrap w:val="0"/>
            <w:vAlign w:val="center"/>
          </w:tcPr>
          <w:p w14:paraId="4ED2BCC7">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4"/>
                <w:szCs w:val="24"/>
                <w:highlight w:val="none"/>
                <w:lang w:val="en-US" w:eastAsia="zh-CN"/>
              </w:rPr>
            </w:pPr>
          </w:p>
        </w:tc>
        <w:tc>
          <w:tcPr>
            <w:tcW w:w="1075" w:type="pct"/>
            <w:shd w:val="clear" w:color="auto" w:fill="auto"/>
            <w:noWrap w:val="0"/>
            <w:vAlign w:val="center"/>
          </w:tcPr>
          <w:p w14:paraId="28BAA9A6">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rPr>
              <w:t>……</w:t>
            </w:r>
          </w:p>
        </w:tc>
        <w:tc>
          <w:tcPr>
            <w:tcW w:w="2298" w:type="pct"/>
            <w:noWrap w:val="0"/>
            <w:vAlign w:val="center"/>
          </w:tcPr>
          <w:p w14:paraId="6246E55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lang w:eastAsia="zh-CN"/>
              </w:rPr>
            </w:pPr>
          </w:p>
        </w:tc>
        <w:tc>
          <w:tcPr>
            <w:tcW w:w="1011" w:type="pct"/>
            <w:noWrap w:val="0"/>
            <w:vAlign w:val="center"/>
          </w:tcPr>
          <w:p w14:paraId="18530101">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c>
          <w:tcPr>
            <w:tcW w:w="394" w:type="pct"/>
            <w:noWrap w:val="0"/>
            <w:vAlign w:val="center"/>
          </w:tcPr>
          <w:p w14:paraId="796ECCFA">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r>
    </w:tbl>
    <w:p w14:paraId="1BAA11FC">
      <w:pPr>
        <w:rPr>
          <w:rFonts w:hint="eastAsia" w:eastAsia="宋体" w:asciiTheme="majorHAnsi" w:hAnsiTheme="majorHAnsi" w:cstheme="majorBidi"/>
          <w:b/>
          <w:bCs/>
          <w:color w:val="auto"/>
          <w:kern w:val="2"/>
          <w:sz w:val="28"/>
          <w:szCs w:val="28"/>
          <w:highlight w:val="none"/>
          <w:lang w:val="en-US" w:eastAsia="zh-CN" w:bidi="ar-SA"/>
        </w:rPr>
      </w:pPr>
      <w:r>
        <w:rPr>
          <w:rFonts w:hint="eastAsia" w:eastAsia="宋体" w:asciiTheme="majorHAnsi" w:hAnsiTheme="majorHAnsi" w:cstheme="majorBidi"/>
          <w:b/>
          <w:bCs/>
          <w:color w:val="auto"/>
          <w:kern w:val="2"/>
          <w:sz w:val="28"/>
          <w:szCs w:val="28"/>
          <w:highlight w:val="none"/>
          <w:lang w:val="en-US" w:eastAsia="zh-CN" w:bidi="ar-SA"/>
        </w:rPr>
        <w:br w:type="page"/>
      </w:r>
    </w:p>
    <w:p w14:paraId="626EF50E">
      <w:pPr>
        <w:pStyle w:val="2"/>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eastAsia="宋体" w:asciiTheme="majorHAnsi" w:hAnsiTheme="majorHAnsi" w:cstheme="majorBidi"/>
          <w:b/>
          <w:bCs/>
          <w:color w:val="auto"/>
          <w:kern w:val="2"/>
          <w:sz w:val="32"/>
          <w:szCs w:val="32"/>
          <w:highlight w:val="none"/>
          <w:lang w:val="en-US" w:eastAsia="zh-CN" w:bidi="ar-SA"/>
        </w:rPr>
      </w:pPr>
      <w:bookmarkStart w:id="793" w:name="_Toc20481"/>
      <w:r>
        <w:rPr>
          <w:rFonts w:hint="eastAsia" w:cstheme="majorBidi"/>
          <w:b/>
          <w:bCs/>
          <w:color w:val="auto"/>
          <w:kern w:val="2"/>
          <w:sz w:val="32"/>
          <w:szCs w:val="32"/>
          <w:highlight w:val="none"/>
          <w:lang w:val="en-US" w:eastAsia="zh-CN" w:bidi="ar-SA"/>
        </w:rPr>
        <w:t>六</w:t>
      </w:r>
      <w:r>
        <w:rPr>
          <w:rFonts w:hint="eastAsia" w:eastAsia="宋体" w:asciiTheme="majorHAnsi" w:hAnsiTheme="majorHAnsi" w:cstheme="majorBidi"/>
          <w:b/>
          <w:bCs/>
          <w:color w:val="auto"/>
          <w:kern w:val="2"/>
          <w:sz w:val="32"/>
          <w:szCs w:val="32"/>
          <w:highlight w:val="none"/>
          <w:lang w:val="en-US" w:eastAsia="zh-CN" w:bidi="ar-SA"/>
        </w:rPr>
        <w:t>、商务响应偏离表</w:t>
      </w:r>
      <w:bookmarkEnd w:id="793"/>
    </w:p>
    <w:p w14:paraId="1D186498">
      <w:pPr>
        <w:rPr>
          <w:rFonts w:cs="仿宋_GB2312"/>
          <w:color w:val="auto"/>
          <w:szCs w:val="24"/>
          <w:highlight w:val="none"/>
        </w:rPr>
      </w:pPr>
      <w:r>
        <w:rPr>
          <w:rFonts w:hint="eastAsia" w:cs="仿宋_GB2312"/>
          <w:color w:val="auto"/>
          <w:szCs w:val="24"/>
          <w:highlight w:val="none"/>
        </w:rPr>
        <w:t xml:space="preserve">项目名称：                                         </w:t>
      </w:r>
    </w:p>
    <w:p w14:paraId="49D93B14">
      <w:pPr>
        <w:rPr>
          <w:rFonts w:cs="仿宋_GB2312"/>
          <w:color w:val="auto"/>
          <w:szCs w:val="24"/>
          <w:highlight w:val="none"/>
        </w:rPr>
      </w:pPr>
      <w:r>
        <w:rPr>
          <w:rFonts w:hint="eastAsia" w:cs="仿宋_GB2312"/>
          <w:color w:val="auto"/>
          <w:szCs w:val="24"/>
          <w:highlight w:val="none"/>
        </w:rPr>
        <w:t>项目编号</w:t>
      </w:r>
      <w:r>
        <w:rPr>
          <w:rFonts w:hint="eastAsia"/>
          <w:b w:val="0"/>
          <w:bCs/>
          <w:color w:val="auto"/>
          <w:szCs w:val="21"/>
          <w:highlight w:val="none"/>
          <w:lang w:val="en-US" w:eastAsia="zh-CN"/>
        </w:rPr>
        <w:t>/</w:t>
      </w:r>
      <w:r>
        <w:rPr>
          <w:rFonts w:hint="eastAsia"/>
          <w:b w:val="0"/>
          <w:bCs/>
          <w:color w:val="auto"/>
          <w:szCs w:val="21"/>
          <w:highlight w:val="none"/>
          <w:lang w:val="zh-CN"/>
        </w:rPr>
        <w:t>包号</w:t>
      </w:r>
      <w:r>
        <w:rPr>
          <w:rFonts w:hint="eastAsia" w:cs="仿宋_GB2312"/>
          <w:color w:val="auto"/>
          <w:szCs w:val="24"/>
          <w:highlight w:val="none"/>
        </w:rPr>
        <w:t xml:space="preserve">：        </w:t>
      </w:r>
    </w:p>
    <w:tbl>
      <w:tblPr>
        <w:tblStyle w:val="31"/>
        <w:tblW w:w="503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2394"/>
        <w:gridCol w:w="1720"/>
        <w:gridCol w:w="1871"/>
        <w:gridCol w:w="1871"/>
      </w:tblGrid>
      <w:tr w14:paraId="33127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8" w:hRule="atLeast"/>
        </w:trPr>
        <w:tc>
          <w:tcPr>
            <w:tcW w:w="420" w:type="pct"/>
            <w:vAlign w:val="center"/>
          </w:tcPr>
          <w:p w14:paraId="61EA1055">
            <w:pPr>
              <w:pStyle w:val="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395" w:type="pct"/>
            <w:vAlign w:val="center"/>
          </w:tcPr>
          <w:p w14:paraId="49200A2F">
            <w:pPr>
              <w:pStyle w:val="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招标文件的商务条款</w:t>
            </w:r>
          </w:p>
        </w:tc>
        <w:tc>
          <w:tcPr>
            <w:tcW w:w="1002" w:type="pct"/>
            <w:vAlign w:val="center"/>
          </w:tcPr>
          <w:p w14:paraId="2B47A594">
            <w:pPr>
              <w:pStyle w:val="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投标文件的响应内容</w:t>
            </w:r>
          </w:p>
        </w:tc>
        <w:tc>
          <w:tcPr>
            <w:tcW w:w="1090" w:type="pct"/>
            <w:vAlign w:val="center"/>
          </w:tcPr>
          <w:p w14:paraId="0A22DBCC">
            <w:pPr>
              <w:pStyle w:val="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响应情况</w:t>
            </w:r>
          </w:p>
        </w:tc>
        <w:tc>
          <w:tcPr>
            <w:tcW w:w="1090" w:type="pct"/>
            <w:vAlign w:val="center"/>
          </w:tcPr>
          <w:p w14:paraId="030997F0">
            <w:pPr>
              <w:pStyle w:val="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说明及索引</w:t>
            </w:r>
          </w:p>
        </w:tc>
      </w:tr>
      <w:tr w14:paraId="2C90D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6F94D579">
            <w:pPr>
              <w:pStyle w:val="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95" w:type="pct"/>
            <w:vAlign w:val="center"/>
          </w:tcPr>
          <w:p w14:paraId="4BC6C9AE">
            <w:pPr>
              <w:pStyle w:val="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02" w:type="pct"/>
            <w:vAlign w:val="center"/>
          </w:tcPr>
          <w:p w14:paraId="5FBB3652">
            <w:pPr>
              <w:pStyle w:val="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90" w:type="pct"/>
            <w:vAlign w:val="center"/>
          </w:tcPr>
          <w:p w14:paraId="0BE3ED73">
            <w:pPr>
              <w:pStyle w:val="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响应/偏离</w:t>
            </w:r>
          </w:p>
        </w:tc>
        <w:tc>
          <w:tcPr>
            <w:tcW w:w="1090" w:type="pct"/>
            <w:vAlign w:val="center"/>
          </w:tcPr>
          <w:p w14:paraId="38155B65">
            <w:pPr>
              <w:pStyle w:val="50"/>
              <w:jc w:val="center"/>
              <w:rPr>
                <w:rFonts w:hint="eastAsia" w:ascii="宋体" w:hAnsi="宋体" w:eastAsia="宋体" w:cs="宋体"/>
                <w:color w:val="auto"/>
                <w:sz w:val="21"/>
                <w:szCs w:val="21"/>
                <w:highlight w:val="none"/>
              </w:rPr>
            </w:pPr>
          </w:p>
        </w:tc>
      </w:tr>
      <w:tr w14:paraId="2C680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31A99A42">
            <w:pPr>
              <w:pStyle w:val="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95" w:type="pct"/>
            <w:vAlign w:val="center"/>
          </w:tcPr>
          <w:p w14:paraId="45C9EA13">
            <w:pPr>
              <w:pStyle w:val="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02" w:type="pct"/>
            <w:vAlign w:val="center"/>
          </w:tcPr>
          <w:p w14:paraId="78716E39">
            <w:pPr>
              <w:pStyle w:val="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90" w:type="pct"/>
            <w:vAlign w:val="center"/>
          </w:tcPr>
          <w:p w14:paraId="7FF2D014">
            <w:pPr>
              <w:pStyle w:val="50"/>
              <w:jc w:val="center"/>
              <w:rPr>
                <w:rFonts w:hint="eastAsia" w:ascii="宋体" w:hAnsi="宋体" w:eastAsia="宋体" w:cs="宋体"/>
                <w:color w:val="auto"/>
                <w:sz w:val="21"/>
                <w:szCs w:val="21"/>
                <w:highlight w:val="none"/>
              </w:rPr>
            </w:pPr>
          </w:p>
        </w:tc>
        <w:tc>
          <w:tcPr>
            <w:tcW w:w="1090" w:type="pct"/>
            <w:vAlign w:val="center"/>
          </w:tcPr>
          <w:p w14:paraId="4FD2DF22">
            <w:pPr>
              <w:pStyle w:val="50"/>
              <w:jc w:val="center"/>
              <w:rPr>
                <w:rFonts w:hint="eastAsia" w:ascii="宋体" w:hAnsi="宋体" w:eastAsia="宋体" w:cs="宋体"/>
                <w:color w:val="auto"/>
                <w:sz w:val="21"/>
                <w:szCs w:val="21"/>
                <w:highlight w:val="none"/>
              </w:rPr>
            </w:pPr>
          </w:p>
        </w:tc>
      </w:tr>
      <w:tr w14:paraId="3CF1E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21DCD2EC">
            <w:pPr>
              <w:pStyle w:val="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95" w:type="pct"/>
            <w:vAlign w:val="center"/>
          </w:tcPr>
          <w:p w14:paraId="69CD6442">
            <w:pPr>
              <w:pStyle w:val="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02" w:type="pct"/>
            <w:vAlign w:val="center"/>
          </w:tcPr>
          <w:p w14:paraId="0A18A482">
            <w:pPr>
              <w:pStyle w:val="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90" w:type="pct"/>
            <w:vAlign w:val="center"/>
          </w:tcPr>
          <w:p w14:paraId="4CBAA73E">
            <w:pPr>
              <w:pStyle w:val="50"/>
              <w:jc w:val="center"/>
              <w:rPr>
                <w:rFonts w:hint="eastAsia" w:ascii="宋体" w:hAnsi="宋体" w:eastAsia="宋体" w:cs="宋体"/>
                <w:color w:val="auto"/>
                <w:sz w:val="21"/>
                <w:szCs w:val="21"/>
                <w:highlight w:val="none"/>
              </w:rPr>
            </w:pPr>
          </w:p>
        </w:tc>
        <w:tc>
          <w:tcPr>
            <w:tcW w:w="1090" w:type="pct"/>
            <w:vAlign w:val="center"/>
          </w:tcPr>
          <w:p w14:paraId="7E83BCC4">
            <w:pPr>
              <w:pStyle w:val="50"/>
              <w:jc w:val="center"/>
              <w:rPr>
                <w:rFonts w:hint="eastAsia" w:ascii="宋体" w:hAnsi="宋体" w:eastAsia="宋体" w:cs="宋体"/>
                <w:color w:val="auto"/>
                <w:sz w:val="21"/>
                <w:szCs w:val="21"/>
                <w:highlight w:val="none"/>
              </w:rPr>
            </w:pPr>
          </w:p>
        </w:tc>
      </w:tr>
      <w:tr w14:paraId="15C0F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7F30B680">
            <w:pPr>
              <w:pStyle w:val="50"/>
              <w:jc w:val="center"/>
              <w:rPr>
                <w:rFonts w:hint="eastAsia" w:ascii="宋体" w:hAnsi="宋体" w:eastAsia="宋体" w:cs="宋体"/>
                <w:color w:val="auto"/>
                <w:sz w:val="21"/>
                <w:szCs w:val="21"/>
                <w:highlight w:val="none"/>
              </w:rPr>
            </w:pPr>
          </w:p>
        </w:tc>
        <w:tc>
          <w:tcPr>
            <w:tcW w:w="1395" w:type="pct"/>
            <w:vAlign w:val="center"/>
          </w:tcPr>
          <w:p w14:paraId="4AADEA29">
            <w:pPr>
              <w:pStyle w:val="50"/>
              <w:jc w:val="center"/>
              <w:rPr>
                <w:rFonts w:hint="eastAsia" w:ascii="宋体" w:hAnsi="宋体" w:eastAsia="宋体" w:cs="宋体"/>
                <w:color w:val="auto"/>
                <w:sz w:val="21"/>
                <w:szCs w:val="21"/>
                <w:highlight w:val="none"/>
              </w:rPr>
            </w:pPr>
          </w:p>
        </w:tc>
        <w:tc>
          <w:tcPr>
            <w:tcW w:w="1002" w:type="pct"/>
            <w:vAlign w:val="center"/>
          </w:tcPr>
          <w:p w14:paraId="38D5F739">
            <w:pPr>
              <w:pStyle w:val="50"/>
              <w:jc w:val="center"/>
              <w:rPr>
                <w:rFonts w:hint="eastAsia" w:ascii="宋体" w:hAnsi="宋体" w:eastAsia="宋体" w:cs="宋体"/>
                <w:color w:val="auto"/>
                <w:sz w:val="21"/>
                <w:szCs w:val="21"/>
                <w:highlight w:val="none"/>
              </w:rPr>
            </w:pPr>
          </w:p>
        </w:tc>
        <w:tc>
          <w:tcPr>
            <w:tcW w:w="1090" w:type="pct"/>
            <w:vAlign w:val="center"/>
          </w:tcPr>
          <w:p w14:paraId="225853EF">
            <w:pPr>
              <w:pStyle w:val="50"/>
              <w:jc w:val="center"/>
              <w:rPr>
                <w:rFonts w:hint="eastAsia" w:ascii="宋体" w:hAnsi="宋体" w:eastAsia="宋体" w:cs="宋体"/>
                <w:color w:val="auto"/>
                <w:sz w:val="21"/>
                <w:szCs w:val="21"/>
                <w:highlight w:val="none"/>
              </w:rPr>
            </w:pPr>
          </w:p>
        </w:tc>
        <w:tc>
          <w:tcPr>
            <w:tcW w:w="1090" w:type="pct"/>
            <w:vAlign w:val="center"/>
          </w:tcPr>
          <w:p w14:paraId="701964E1">
            <w:pPr>
              <w:pStyle w:val="50"/>
              <w:jc w:val="center"/>
              <w:rPr>
                <w:rFonts w:hint="eastAsia" w:ascii="宋体" w:hAnsi="宋体" w:eastAsia="宋体" w:cs="宋体"/>
                <w:color w:val="auto"/>
                <w:sz w:val="21"/>
                <w:szCs w:val="21"/>
                <w:highlight w:val="none"/>
              </w:rPr>
            </w:pPr>
          </w:p>
        </w:tc>
      </w:tr>
      <w:tr w14:paraId="0D3DF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35F3EE02">
            <w:pPr>
              <w:pStyle w:val="50"/>
              <w:jc w:val="center"/>
              <w:rPr>
                <w:rFonts w:hint="eastAsia" w:ascii="宋体" w:hAnsi="宋体" w:eastAsia="宋体" w:cs="宋体"/>
                <w:color w:val="auto"/>
                <w:sz w:val="21"/>
                <w:szCs w:val="21"/>
                <w:highlight w:val="none"/>
              </w:rPr>
            </w:pPr>
          </w:p>
        </w:tc>
        <w:tc>
          <w:tcPr>
            <w:tcW w:w="1395" w:type="pct"/>
            <w:vAlign w:val="center"/>
          </w:tcPr>
          <w:p w14:paraId="4393079D">
            <w:pPr>
              <w:pStyle w:val="50"/>
              <w:jc w:val="center"/>
              <w:rPr>
                <w:rFonts w:hint="eastAsia" w:ascii="宋体" w:hAnsi="宋体" w:eastAsia="宋体" w:cs="宋体"/>
                <w:color w:val="auto"/>
                <w:sz w:val="21"/>
                <w:szCs w:val="21"/>
                <w:highlight w:val="none"/>
              </w:rPr>
            </w:pPr>
          </w:p>
        </w:tc>
        <w:tc>
          <w:tcPr>
            <w:tcW w:w="1002" w:type="pct"/>
            <w:vAlign w:val="center"/>
          </w:tcPr>
          <w:p w14:paraId="25A3A5BC">
            <w:pPr>
              <w:pStyle w:val="50"/>
              <w:jc w:val="center"/>
              <w:rPr>
                <w:rFonts w:hint="eastAsia" w:ascii="宋体" w:hAnsi="宋体" w:eastAsia="宋体" w:cs="宋体"/>
                <w:color w:val="auto"/>
                <w:sz w:val="21"/>
                <w:szCs w:val="21"/>
                <w:highlight w:val="none"/>
              </w:rPr>
            </w:pPr>
          </w:p>
        </w:tc>
        <w:tc>
          <w:tcPr>
            <w:tcW w:w="1090" w:type="pct"/>
            <w:vAlign w:val="center"/>
          </w:tcPr>
          <w:p w14:paraId="1B49FF8B">
            <w:pPr>
              <w:pStyle w:val="50"/>
              <w:jc w:val="center"/>
              <w:rPr>
                <w:rFonts w:hint="eastAsia" w:ascii="宋体" w:hAnsi="宋体" w:eastAsia="宋体" w:cs="宋体"/>
                <w:color w:val="auto"/>
                <w:sz w:val="21"/>
                <w:szCs w:val="21"/>
                <w:highlight w:val="none"/>
              </w:rPr>
            </w:pPr>
          </w:p>
        </w:tc>
        <w:tc>
          <w:tcPr>
            <w:tcW w:w="1090" w:type="pct"/>
            <w:vAlign w:val="center"/>
          </w:tcPr>
          <w:p w14:paraId="7AD8A67B">
            <w:pPr>
              <w:pStyle w:val="50"/>
              <w:jc w:val="center"/>
              <w:rPr>
                <w:rFonts w:hint="eastAsia" w:ascii="宋体" w:hAnsi="宋体" w:eastAsia="宋体" w:cs="宋体"/>
                <w:color w:val="auto"/>
                <w:sz w:val="21"/>
                <w:szCs w:val="21"/>
                <w:highlight w:val="none"/>
              </w:rPr>
            </w:pPr>
          </w:p>
        </w:tc>
      </w:tr>
      <w:tr w14:paraId="193F5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308504A9">
            <w:pPr>
              <w:pStyle w:val="50"/>
              <w:jc w:val="center"/>
              <w:rPr>
                <w:rFonts w:hint="eastAsia" w:ascii="宋体" w:hAnsi="宋体" w:eastAsia="宋体" w:cs="宋体"/>
                <w:color w:val="auto"/>
                <w:sz w:val="21"/>
                <w:szCs w:val="21"/>
                <w:highlight w:val="none"/>
              </w:rPr>
            </w:pPr>
          </w:p>
        </w:tc>
        <w:tc>
          <w:tcPr>
            <w:tcW w:w="1395" w:type="pct"/>
            <w:vAlign w:val="center"/>
          </w:tcPr>
          <w:p w14:paraId="0B05BA21">
            <w:pPr>
              <w:pStyle w:val="50"/>
              <w:jc w:val="center"/>
              <w:rPr>
                <w:rFonts w:hint="eastAsia" w:ascii="宋体" w:hAnsi="宋体" w:eastAsia="宋体" w:cs="宋体"/>
                <w:color w:val="auto"/>
                <w:sz w:val="21"/>
                <w:szCs w:val="21"/>
                <w:highlight w:val="none"/>
              </w:rPr>
            </w:pPr>
          </w:p>
        </w:tc>
        <w:tc>
          <w:tcPr>
            <w:tcW w:w="1002" w:type="pct"/>
            <w:vAlign w:val="center"/>
          </w:tcPr>
          <w:p w14:paraId="6EE2FD7A">
            <w:pPr>
              <w:pStyle w:val="50"/>
              <w:jc w:val="center"/>
              <w:rPr>
                <w:rFonts w:hint="eastAsia" w:ascii="宋体" w:hAnsi="宋体" w:eastAsia="宋体" w:cs="宋体"/>
                <w:color w:val="auto"/>
                <w:sz w:val="21"/>
                <w:szCs w:val="21"/>
                <w:highlight w:val="none"/>
              </w:rPr>
            </w:pPr>
          </w:p>
        </w:tc>
        <w:tc>
          <w:tcPr>
            <w:tcW w:w="1090" w:type="pct"/>
            <w:vAlign w:val="center"/>
          </w:tcPr>
          <w:p w14:paraId="3C3EE3D6">
            <w:pPr>
              <w:pStyle w:val="50"/>
              <w:jc w:val="center"/>
              <w:rPr>
                <w:rFonts w:hint="eastAsia" w:ascii="宋体" w:hAnsi="宋体" w:eastAsia="宋体" w:cs="宋体"/>
                <w:color w:val="auto"/>
                <w:sz w:val="21"/>
                <w:szCs w:val="21"/>
                <w:highlight w:val="none"/>
              </w:rPr>
            </w:pPr>
          </w:p>
        </w:tc>
        <w:tc>
          <w:tcPr>
            <w:tcW w:w="1090" w:type="pct"/>
            <w:vAlign w:val="center"/>
          </w:tcPr>
          <w:p w14:paraId="0D0213B3">
            <w:pPr>
              <w:pStyle w:val="50"/>
              <w:jc w:val="center"/>
              <w:rPr>
                <w:rFonts w:hint="eastAsia" w:ascii="宋体" w:hAnsi="宋体" w:eastAsia="宋体" w:cs="宋体"/>
                <w:color w:val="auto"/>
                <w:sz w:val="21"/>
                <w:szCs w:val="21"/>
                <w:highlight w:val="none"/>
              </w:rPr>
            </w:pPr>
          </w:p>
        </w:tc>
      </w:tr>
      <w:tr w14:paraId="05BC6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2DE1BBEB">
            <w:pPr>
              <w:pStyle w:val="50"/>
              <w:jc w:val="center"/>
              <w:rPr>
                <w:rFonts w:hint="eastAsia" w:ascii="宋体" w:hAnsi="宋体" w:eastAsia="宋体" w:cs="宋体"/>
                <w:color w:val="auto"/>
                <w:sz w:val="21"/>
                <w:szCs w:val="21"/>
                <w:highlight w:val="none"/>
              </w:rPr>
            </w:pPr>
          </w:p>
        </w:tc>
        <w:tc>
          <w:tcPr>
            <w:tcW w:w="1395" w:type="pct"/>
            <w:vAlign w:val="center"/>
          </w:tcPr>
          <w:p w14:paraId="2369E7CE">
            <w:pPr>
              <w:pStyle w:val="50"/>
              <w:jc w:val="center"/>
              <w:rPr>
                <w:rFonts w:hint="eastAsia" w:ascii="宋体" w:hAnsi="宋体" w:eastAsia="宋体" w:cs="宋体"/>
                <w:color w:val="auto"/>
                <w:sz w:val="21"/>
                <w:szCs w:val="21"/>
                <w:highlight w:val="none"/>
              </w:rPr>
            </w:pPr>
          </w:p>
        </w:tc>
        <w:tc>
          <w:tcPr>
            <w:tcW w:w="1002" w:type="pct"/>
            <w:vAlign w:val="center"/>
          </w:tcPr>
          <w:p w14:paraId="1C290511">
            <w:pPr>
              <w:pStyle w:val="50"/>
              <w:jc w:val="center"/>
              <w:rPr>
                <w:rFonts w:hint="eastAsia" w:ascii="宋体" w:hAnsi="宋体" w:eastAsia="宋体" w:cs="宋体"/>
                <w:color w:val="auto"/>
                <w:sz w:val="21"/>
                <w:szCs w:val="21"/>
                <w:highlight w:val="none"/>
              </w:rPr>
            </w:pPr>
          </w:p>
        </w:tc>
        <w:tc>
          <w:tcPr>
            <w:tcW w:w="1090" w:type="pct"/>
            <w:vAlign w:val="center"/>
          </w:tcPr>
          <w:p w14:paraId="2E4702A6">
            <w:pPr>
              <w:pStyle w:val="50"/>
              <w:jc w:val="center"/>
              <w:rPr>
                <w:rFonts w:hint="eastAsia" w:ascii="宋体" w:hAnsi="宋体" w:eastAsia="宋体" w:cs="宋体"/>
                <w:color w:val="auto"/>
                <w:sz w:val="21"/>
                <w:szCs w:val="21"/>
                <w:highlight w:val="none"/>
              </w:rPr>
            </w:pPr>
          </w:p>
        </w:tc>
        <w:tc>
          <w:tcPr>
            <w:tcW w:w="1090" w:type="pct"/>
            <w:vAlign w:val="center"/>
          </w:tcPr>
          <w:p w14:paraId="65DCC158">
            <w:pPr>
              <w:pStyle w:val="50"/>
              <w:jc w:val="center"/>
              <w:rPr>
                <w:rFonts w:hint="eastAsia" w:ascii="宋体" w:hAnsi="宋体" w:eastAsia="宋体" w:cs="宋体"/>
                <w:color w:val="auto"/>
                <w:sz w:val="21"/>
                <w:szCs w:val="21"/>
                <w:highlight w:val="none"/>
              </w:rPr>
            </w:pPr>
          </w:p>
        </w:tc>
      </w:tr>
      <w:tr w14:paraId="086EA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4A27D4B4">
            <w:pPr>
              <w:pStyle w:val="50"/>
              <w:jc w:val="center"/>
              <w:rPr>
                <w:rFonts w:hint="eastAsia" w:ascii="宋体" w:hAnsi="宋体" w:eastAsia="宋体" w:cs="宋体"/>
                <w:color w:val="auto"/>
                <w:sz w:val="21"/>
                <w:szCs w:val="21"/>
                <w:highlight w:val="none"/>
              </w:rPr>
            </w:pPr>
          </w:p>
        </w:tc>
        <w:tc>
          <w:tcPr>
            <w:tcW w:w="1395" w:type="pct"/>
            <w:vAlign w:val="center"/>
          </w:tcPr>
          <w:p w14:paraId="15CE8362">
            <w:pPr>
              <w:pStyle w:val="50"/>
              <w:jc w:val="center"/>
              <w:rPr>
                <w:rFonts w:hint="eastAsia" w:ascii="宋体" w:hAnsi="宋体" w:eastAsia="宋体" w:cs="宋体"/>
                <w:color w:val="auto"/>
                <w:sz w:val="21"/>
                <w:szCs w:val="21"/>
                <w:highlight w:val="none"/>
              </w:rPr>
            </w:pPr>
          </w:p>
        </w:tc>
        <w:tc>
          <w:tcPr>
            <w:tcW w:w="1002" w:type="pct"/>
            <w:vAlign w:val="center"/>
          </w:tcPr>
          <w:p w14:paraId="78520959">
            <w:pPr>
              <w:pStyle w:val="50"/>
              <w:jc w:val="center"/>
              <w:rPr>
                <w:rFonts w:hint="eastAsia" w:ascii="宋体" w:hAnsi="宋体" w:eastAsia="宋体" w:cs="宋体"/>
                <w:color w:val="auto"/>
                <w:sz w:val="21"/>
                <w:szCs w:val="21"/>
                <w:highlight w:val="none"/>
              </w:rPr>
            </w:pPr>
          </w:p>
        </w:tc>
        <w:tc>
          <w:tcPr>
            <w:tcW w:w="1090" w:type="pct"/>
            <w:vAlign w:val="center"/>
          </w:tcPr>
          <w:p w14:paraId="6B647A83">
            <w:pPr>
              <w:pStyle w:val="50"/>
              <w:jc w:val="center"/>
              <w:rPr>
                <w:rFonts w:hint="eastAsia" w:ascii="宋体" w:hAnsi="宋体" w:eastAsia="宋体" w:cs="宋体"/>
                <w:color w:val="auto"/>
                <w:sz w:val="21"/>
                <w:szCs w:val="21"/>
                <w:highlight w:val="none"/>
              </w:rPr>
            </w:pPr>
          </w:p>
        </w:tc>
        <w:tc>
          <w:tcPr>
            <w:tcW w:w="1090" w:type="pct"/>
            <w:vAlign w:val="center"/>
          </w:tcPr>
          <w:p w14:paraId="53ABE546">
            <w:pPr>
              <w:pStyle w:val="50"/>
              <w:jc w:val="center"/>
              <w:rPr>
                <w:rFonts w:hint="eastAsia" w:ascii="宋体" w:hAnsi="宋体" w:eastAsia="宋体" w:cs="宋体"/>
                <w:color w:val="auto"/>
                <w:sz w:val="21"/>
                <w:szCs w:val="21"/>
                <w:highlight w:val="none"/>
              </w:rPr>
            </w:pPr>
          </w:p>
        </w:tc>
      </w:tr>
      <w:tr w14:paraId="2CD73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3BECA690">
            <w:pPr>
              <w:pStyle w:val="50"/>
              <w:jc w:val="center"/>
              <w:rPr>
                <w:rFonts w:hint="eastAsia" w:ascii="宋体" w:hAnsi="宋体" w:eastAsia="宋体" w:cs="宋体"/>
                <w:color w:val="auto"/>
                <w:sz w:val="21"/>
                <w:szCs w:val="21"/>
                <w:highlight w:val="none"/>
              </w:rPr>
            </w:pPr>
          </w:p>
        </w:tc>
        <w:tc>
          <w:tcPr>
            <w:tcW w:w="1395" w:type="pct"/>
            <w:vAlign w:val="center"/>
          </w:tcPr>
          <w:p w14:paraId="1376A9AF">
            <w:pPr>
              <w:pStyle w:val="50"/>
              <w:jc w:val="center"/>
              <w:rPr>
                <w:rFonts w:hint="eastAsia" w:ascii="宋体" w:hAnsi="宋体" w:eastAsia="宋体" w:cs="宋体"/>
                <w:color w:val="auto"/>
                <w:sz w:val="21"/>
                <w:szCs w:val="21"/>
                <w:highlight w:val="none"/>
              </w:rPr>
            </w:pPr>
          </w:p>
        </w:tc>
        <w:tc>
          <w:tcPr>
            <w:tcW w:w="1002" w:type="pct"/>
            <w:vAlign w:val="center"/>
          </w:tcPr>
          <w:p w14:paraId="021889CB">
            <w:pPr>
              <w:pStyle w:val="50"/>
              <w:jc w:val="center"/>
              <w:rPr>
                <w:rFonts w:hint="eastAsia" w:ascii="宋体" w:hAnsi="宋体" w:eastAsia="宋体" w:cs="宋体"/>
                <w:color w:val="auto"/>
                <w:sz w:val="21"/>
                <w:szCs w:val="21"/>
                <w:highlight w:val="none"/>
              </w:rPr>
            </w:pPr>
          </w:p>
        </w:tc>
        <w:tc>
          <w:tcPr>
            <w:tcW w:w="1090" w:type="pct"/>
            <w:vAlign w:val="center"/>
          </w:tcPr>
          <w:p w14:paraId="1AA6C389">
            <w:pPr>
              <w:pStyle w:val="50"/>
              <w:jc w:val="center"/>
              <w:rPr>
                <w:rFonts w:hint="eastAsia" w:ascii="宋体" w:hAnsi="宋体" w:eastAsia="宋体" w:cs="宋体"/>
                <w:color w:val="auto"/>
                <w:sz w:val="21"/>
                <w:szCs w:val="21"/>
                <w:highlight w:val="none"/>
              </w:rPr>
            </w:pPr>
          </w:p>
        </w:tc>
        <w:tc>
          <w:tcPr>
            <w:tcW w:w="1090" w:type="pct"/>
            <w:vAlign w:val="center"/>
          </w:tcPr>
          <w:p w14:paraId="326386ED">
            <w:pPr>
              <w:pStyle w:val="50"/>
              <w:jc w:val="center"/>
              <w:rPr>
                <w:rFonts w:hint="eastAsia" w:ascii="宋体" w:hAnsi="宋体" w:eastAsia="宋体" w:cs="宋体"/>
                <w:color w:val="auto"/>
                <w:sz w:val="21"/>
                <w:szCs w:val="21"/>
                <w:highlight w:val="none"/>
              </w:rPr>
            </w:pPr>
          </w:p>
        </w:tc>
      </w:tr>
      <w:tr w14:paraId="6463E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2C03EC05">
            <w:pPr>
              <w:pStyle w:val="50"/>
              <w:jc w:val="center"/>
              <w:rPr>
                <w:rFonts w:hint="eastAsia" w:ascii="宋体" w:hAnsi="宋体" w:eastAsia="宋体" w:cs="宋体"/>
                <w:color w:val="auto"/>
                <w:sz w:val="21"/>
                <w:szCs w:val="21"/>
                <w:highlight w:val="none"/>
              </w:rPr>
            </w:pPr>
          </w:p>
        </w:tc>
        <w:tc>
          <w:tcPr>
            <w:tcW w:w="1395" w:type="pct"/>
            <w:vAlign w:val="center"/>
          </w:tcPr>
          <w:p w14:paraId="03E9879F">
            <w:pPr>
              <w:pStyle w:val="50"/>
              <w:jc w:val="center"/>
              <w:rPr>
                <w:rFonts w:hint="eastAsia" w:ascii="宋体" w:hAnsi="宋体" w:eastAsia="宋体" w:cs="宋体"/>
                <w:color w:val="auto"/>
                <w:sz w:val="21"/>
                <w:szCs w:val="21"/>
                <w:highlight w:val="none"/>
              </w:rPr>
            </w:pPr>
          </w:p>
        </w:tc>
        <w:tc>
          <w:tcPr>
            <w:tcW w:w="1002" w:type="pct"/>
            <w:vAlign w:val="center"/>
          </w:tcPr>
          <w:p w14:paraId="602D2FCF">
            <w:pPr>
              <w:pStyle w:val="50"/>
              <w:jc w:val="center"/>
              <w:rPr>
                <w:rFonts w:hint="eastAsia" w:ascii="宋体" w:hAnsi="宋体" w:eastAsia="宋体" w:cs="宋体"/>
                <w:color w:val="auto"/>
                <w:sz w:val="21"/>
                <w:szCs w:val="21"/>
                <w:highlight w:val="none"/>
              </w:rPr>
            </w:pPr>
          </w:p>
        </w:tc>
        <w:tc>
          <w:tcPr>
            <w:tcW w:w="1090" w:type="pct"/>
            <w:vAlign w:val="center"/>
          </w:tcPr>
          <w:p w14:paraId="53E5BFE6">
            <w:pPr>
              <w:pStyle w:val="50"/>
              <w:jc w:val="center"/>
              <w:rPr>
                <w:rFonts w:hint="eastAsia" w:ascii="宋体" w:hAnsi="宋体" w:eastAsia="宋体" w:cs="宋体"/>
                <w:color w:val="auto"/>
                <w:sz w:val="21"/>
                <w:szCs w:val="21"/>
                <w:highlight w:val="none"/>
              </w:rPr>
            </w:pPr>
          </w:p>
        </w:tc>
        <w:tc>
          <w:tcPr>
            <w:tcW w:w="1090" w:type="pct"/>
            <w:vAlign w:val="center"/>
          </w:tcPr>
          <w:p w14:paraId="3AA5DDE3">
            <w:pPr>
              <w:pStyle w:val="50"/>
              <w:jc w:val="center"/>
              <w:rPr>
                <w:rFonts w:hint="eastAsia" w:ascii="宋体" w:hAnsi="宋体" w:eastAsia="宋体" w:cs="宋体"/>
                <w:color w:val="auto"/>
                <w:sz w:val="21"/>
                <w:szCs w:val="21"/>
                <w:highlight w:val="none"/>
              </w:rPr>
            </w:pPr>
          </w:p>
        </w:tc>
      </w:tr>
      <w:tr w14:paraId="1B881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40B43B81">
            <w:pPr>
              <w:pStyle w:val="50"/>
              <w:jc w:val="center"/>
              <w:rPr>
                <w:rFonts w:hint="eastAsia" w:ascii="宋体" w:hAnsi="宋体" w:eastAsia="宋体" w:cs="宋体"/>
                <w:color w:val="auto"/>
                <w:sz w:val="21"/>
                <w:szCs w:val="21"/>
                <w:highlight w:val="none"/>
              </w:rPr>
            </w:pPr>
          </w:p>
        </w:tc>
        <w:tc>
          <w:tcPr>
            <w:tcW w:w="1395" w:type="pct"/>
            <w:vAlign w:val="center"/>
          </w:tcPr>
          <w:p w14:paraId="002C280D">
            <w:pPr>
              <w:pStyle w:val="50"/>
              <w:jc w:val="center"/>
              <w:rPr>
                <w:rFonts w:hint="eastAsia" w:ascii="宋体" w:hAnsi="宋体" w:eastAsia="宋体" w:cs="宋体"/>
                <w:color w:val="auto"/>
                <w:sz w:val="21"/>
                <w:szCs w:val="21"/>
                <w:highlight w:val="none"/>
              </w:rPr>
            </w:pPr>
          </w:p>
        </w:tc>
        <w:tc>
          <w:tcPr>
            <w:tcW w:w="1002" w:type="pct"/>
            <w:vAlign w:val="center"/>
          </w:tcPr>
          <w:p w14:paraId="0042BF48">
            <w:pPr>
              <w:pStyle w:val="50"/>
              <w:jc w:val="center"/>
              <w:rPr>
                <w:rFonts w:hint="eastAsia" w:ascii="宋体" w:hAnsi="宋体" w:eastAsia="宋体" w:cs="宋体"/>
                <w:color w:val="auto"/>
                <w:sz w:val="21"/>
                <w:szCs w:val="21"/>
                <w:highlight w:val="none"/>
              </w:rPr>
            </w:pPr>
          </w:p>
        </w:tc>
        <w:tc>
          <w:tcPr>
            <w:tcW w:w="1090" w:type="pct"/>
            <w:vAlign w:val="center"/>
          </w:tcPr>
          <w:p w14:paraId="101256FD">
            <w:pPr>
              <w:pStyle w:val="50"/>
              <w:jc w:val="center"/>
              <w:rPr>
                <w:rFonts w:hint="eastAsia" w:ascii="宋体" w:hAnsi="宋体" w:eastAsia="宋体" w:cs="宋体"/>
                <w:color w:val="auto"/>
                <w:sz w:val="21"/>
                <w:szCs w:val="21"/>
                <w:highlight w:val="none"/>
              </w:rPr>
            </w:pPr>
          </w:p>
        </w:tc>
        <w:tc>
          <w:tcPr>
            <w:tcW w:w="1090" w:type="pct"/>
            <w:vAlign w:val="center"/>
          </w:tcPr>
          <w:p w14:paraId="1C7FF8A5">
            <w:pPr>
              <w:pStyle w:val="50"/>
              <w:jc w:val="center"/>
              <w:rPr>
                <w:rFonts w:hint="eastAsia" w:ascii="宋体" w:hAnsi="宋体" w:eastAsia="宋体" w:cs="宋体"/>
                <w:color w:val="auto"/>
                <w:sz w:val="21"/>
                <w:szCs w:val="21"/>
                <w:highlight w:val="none"/>
              </w:rPr>
            </w:pPr>
          </w:p>
        </w:tc>
      </w:tr>
      <w:tr w14:paraId="02F1B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3458511A">
            <w:pPr>
              <w:pStyle w:val="50"/>
              <w:jc w:val="center"/>
              <w:rPr>
                <w:rFonts w:hint="eastAsia" w:ascii="宋体" w:hAnsi="宋体" w:eastAsia="宋体" w:cs="宋体"/>
                <w:color w:val="auto"/>
                <w:sz w:val="21"/>
                <w:szCs w:val="21"/>
                <w:highlight w:val="none"/>
              </w:rPr>
            </w:pPr>
          </w:p>
        </w:tc>
        <w:tc>
          <w:tcPr>
            <w:tcW w:w="1395" w:type="pct"/>
            <w:vAlign w:val="center"/>
          </w:tcPr>
          <w:p w14:paraId="5682E2D1">
            <w:pPr>
              <w:pStyle w:val="50"/>
              <w:jc w:val="center"/>
              <w:rPr>
                <w:rFonts w:hint="eastAsia" w:ascii="宋体" w:hAnsi="宋体" w:eastAsia="宋体" w:cs="宋体"/>
                <w:color w:val="auto"/>
                <w:sz w:val="21"/>
                <w:szCs w:val="21"/>
                <w:highlight w:val="none"/>
              </w:rPr>
            </w:pPr>
          </w:p>
        </w:tc>
        <w:tc>
          <w:tcPr>
            <w:tcW w:w="1002" w:type="pct"/>
            <w:vAlign w:val="center"/>
          </w:tcPr>
          <w:p w14:paraId="76E9879E">
            <w:pPr>
              <w:pStyle w:val="50"/>
              <w:jc w:val="center"/>
              <w:rPr>
                <w:rFonts w:hint="eastAsia" w:ascii="宋体" w:hAnsi="宋体" w:eastAsia="宋体" w:cs="宋体"/>
                <w:color w:val="auto"/>
                <w:sz w:val="21"/>
                <w:szCs w:val="21"/>
                <w:highlight w:val="none"/>
              </w:rPr>
            </w:pPr>
          </w:p>
        </w:tc>
        <w:tc>
          <w:tcPr>
            <w:tcW w:w="1090" w:type="pct"/>
            <w:vAlign w:val="center"/>
          </w:tcPr>
          <w:p w14:paraId="63343BAE">
            <w:pPr>
              <w:pStyle w:val="50"/>
              <w:jc w:val="center"/>
              <w:rPr>
                <w:rFonts w:hint="eastAsia" w:ascii="宋体" w:hAnsi="宋体" w:eastAsia="宋体" w:cs="宋体"/>
                <w:color w:val="auto"/>
                <w:sz w:val="21"/>
                <w:szCs w:val="21"/>
                <w:highlight w:val="none"/>
              </w:rPr>
            </w:pPr>
          </w:p>
        </w:tc>
        <w:tc>
          <w:tcPr>
            <w:tcW w:w="1090" w:type="pct"/>
            <w:vAlign w:val="center"/>
          </w:tcPr>
          <w:p w14:paraId="2F4D9BEC">
            <w:pPr>
              <w:pStyle w:val="50"/>
              <w:jc w:val="center"/>
              <w:rPr>
                <w:rFonts w:hint="eastAsia" w:ascii="宋体" w:hAnsi="宋体" w:eastAsia="宋体" w:cs="宋体"/>
                <w:color w:val="auto"/>
                <w:sz w:val="21"/>
                <w:szCs w:val="21"/>
                <w:highlight w:val="none"/>
              </w:rPr>
            </w:pPr>
          </w:p>
        </w:tc>
      </w:tr>
      <w:tr w14:paraId="650A2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5D23FA22">
            <w:pPr>
              <w:pStyle w:val="50"/>
              <w:jc w:val="center"/>
              <w:rPr>
                <w:rFonts w:hint="eastAsia" w:ascii="宋体" w:hAnsi="宋体" w:eastAsia="宋体" w:cs="宋体"/>
                <w:color w:val="auto"/>
                <w:sz w:val="21"/>
                <w:szCs w:val="21"/>
                <w:highlight w:val="none"/>
              </w:rPr>
            </w:pPr>
          </w:p>
        </w:tc>
        <w:tc>
          <w:tcPr>
            <w:tcW w:w="1395" w:type="pct"/>
            <w:vAlign w:val="center"/>
          </w:tcPr>
          <w:p w14:paraId="582C2856">
            <w:pPr>
              <w:pStyle w:val="50"/>
              <w:jc w:val="center"/>
              <w:rPr>
                <w:rFonts w:hint="eastAsia" w:ascii="宋体" w:hAnsi="宋体" w:eastAsia="宋体" w:cs="宋体"/>
                <w:color w:val="auto"/>
                <w:sz w:val="21"/>
                <w:szCs w:val="21"/>
                <w:highlight w:val="none"/>
              </w:rPr>
            </w:pPr>
          </w:p>
        </w:tc>
        <w:tc>
          <w:tcPr>
            <w:tcW w:w="1002" w:type="pct"/>
            <w:vAlign w:val="center"/>
          </w:tcPr>
          <w:p w14:paraId="324F9122">
            <w:pPr>
              <w:pStyle w:val="50"/>
              <w:jc w:val="center"/>
              <w:rPr>
                <w:rFonts w:hint="eastAsia" w:ascii="宋体" w:hAnsi="宋体" w:eastAsia="宋体" w:cs="宋体"/>
                <w:color w:val="auto"/>
                <w:sz w:val="21"/>
                <w:szCs w:val="21"/>
                <w:highlight w:val="none"/>
              </w:rPr>
            </w:pPr>
          </w:p>
        </w:tc>
        <w:tc>
          <w:tcPr>
            <w:tcW w:w="1090" w:type="pct"/>
            <w:vAlign w:val="center"/>
          </w:tcPr>
          <w:p w14:paraId="2C83C7AC">
            <w:pPr>
              <w:pStyle w:val="50"/>
              <w:jc w:val="center"/>
              <w:rPr>
                <w:rFonts w:hint="eastAsia" w:ascii="宋体" w:hAnsi="宋体" w:eastAsia="宋体" w:cs="宋体"/>
                <w:color w:val="auto"/>
                <w:sz w:val="21"/>
                <w:szCs w:val="21"/>
                <w:highlight w:val="none"/>
              </w:rPr>
            </w:pPr>
          </w:p>
        </w:tc>
        <w:tc>
          <w:tcPr>
            <w:tcW w:w="1090" w:type="pct"/>
            <w:vAlign w:val="center"/>
          </w:tcPr>
          <w:p w14:paraId="23B6861A">
            <w:pPr>
              <w:pStyle w:val="50"/>
              <w:jc w:val="center"/>
              <w:rPr>
                <w:rFonts w:hint="eastAsia" w:ascii="宋体" w:hAnsi="宋体" w:eastAsia="宋体" w:cs="宋体"/>
                <w:color w:val="auto"/>
                <w:sz w:val="21"/>
                <w:szCs w:val="21"/>
                <w:highlight w:val="none"/>
              </w:rPr>
            </w:pPr>
          </w:p>
        </w:tc>
      </w:tr>
      <w:tr w14:paraId="53B15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0" w:type="pct"/>
            <w:vAlign w:val="center"/>
          </w:tcPr>
          <w:p w14:paraId="06D2AB52">
            <w:pPr>
              <w:pStyle w:val="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395" w:type="pct"/>
            <w:vAlign w:val="center"/>
          </w:tcPr>
          <w:p w14:paraId="67994701">
            <w:pPr>
              <w:pStyle w:val="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02" w:type="pct"/>
            <w:vAlign w:val="center"/>
          </w:tcPr>
          <w:p w14:paraId="460CD4A3">
            <w:pPr>
              <w:pStyle w:val="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90" w:type="pct"/>
            <w:vAlign w:val="center"/>
          </w:tcPr>
          <w:p w14:paraId="6A230043">
            <w:pPr>
              <w:pStyle w:val="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90" w:type="pct"/>
            <w:vAlign w:val="center"/>
          </w:tcPr>
          <w:p w14:paraId="68EC7DE5">
            <w:pPr>
              <w:pStyle w:val="50"/>
              <w:jc w:val="center"/>
              <w:rPr>
                <w:rFonts w:hint="eastAsia" w:ascii="宋体" w:hAnsi="宋体" w:eastAsia="宋体" w:cs="宋体"/>
                <w:color w:val="auto"/>
                <w:sz w:val="21"/>
                <w:szCs w:val="21"/>
                <w:highlight w:val="none"/>
              </w:rPr>
            </w:pPr>
          </w:p>
        </w:tc>
      </w:tr>
    </w:tbl>
    <w:p w14:paraId="5516D2ED">
      <w:pPr>
        <w:ind w:firstLine="420" w:firstLineChars="200"/>
        <w:rPr>
          <w:rFonts w:hint="eastAsia" w:cs="仿宋_GB2312"/>
          <w:color w:val="auto"/>
          <w:sz w:val="21"/>
          <w:szCs w:val="21"/>
          <w:highlight w:val="none"/>
        </w:rPr>
      </w:pPr>
    </w:p>
    <w:p w14:paraId="307BC303">
      <w:pPr>
        <w:ind w:firstLine="420" w:firstLineChars="200"/>
        <w:rPr>
          <w:rFonts w:cs="仿宋_GB2312"/>
          <w:color w:val="auto"/>
          <w:szCs w:val="24"/>
          <w:highlight w:val="none"/>
        </w:rPr>
      </w:pPr>
      <w:r>
        <w:rPr>
          <w:rFonts w:hint="eastAsia" w:cs="仿宋_GB2312"/>
          <w:color w:val="auto"/>
          <w:sz w:val="21"/>
          <w:szCs w:val="21"/>
          <w:highlight w:val="none"/>
        </w:rPr>
        <w:t>注：投标人应按照招标文件“第三章 采购需求”</w:t>
      </w:r>
      <w:r>
        <w:rPr>
          <w:rFonts w:hint="eastAsia" w:cs="仿宋_GB2312"/>
          <w:color w:val="auto"/>
          <w:sz w:val="21"/>
          <w:szCs w:val="21"/>
          <w:highlight w:val="none"/>
          <w:lang w:val="en-US" w:eastAsia="zh-CN"/>
        </w:rPr>
        <w:t>中的商务要求</w:t>
      </w:r>
      <w:r>
        <w:rPr>
          <w:rFonts w:hint="eastAsia" w:cs="仿宋_GB2312"/>
          <w:color w:val="auto"/>
          <w:sz w:val="21"/>
          <w:szCs w:val="21"/>
          <w:highlight w:val="none"/>
        </w:rPr>
        <w:t>填写</w:t>
      </w:r>
      <w:r>
        <w:rPr>
          <w:rFonts w:hint="eastAsia" w:cs="仿宋_GB2312"/>
          <w:color w:val="auto"/>
          <w:sz w:val="21"/>
          <w:szCs w:val="21"/>
          <w:highlight w:val="none"/>
          <w:lang w:eastAsia="zh-CN"/>
        </w:rPr>
        <w:t>，</w:t>
      </w:r>
      <w:r>
        <w:rPr>
          <w:rFonts w:hint="eastAsia" w:cs="仿宋_GB2312"/>
          <w:color w:val="auto"/>
          <w:sz w:val="21"/>
          <w:szCs w:val="21"/>
          <w:highlight w:val="none"/>
          <w:lang w:val="en-US" w:eastAsia="zh-CN"/>
        </w:rPr>
        <w:t>“响应/偏离”应据实填写“响应”、“正偏离”或“负偏离”</w:t>
      </w:r>
      <w:r>
        <w:rPr>
          <w:rFonts w:hint="eastAsia" w:cs="仿宋_GB2312"/>
          <w:color w:val="auto"/>
          <w:sz w:val="21"/>
          <w:szCs w:val="21"/>
          <w:highlight w:val="none"/>
        </w:rPr>
        <w:t>。</w:t>
      </w:r>
    </w:p>
    <w:p w14:paraId="1A3EAC71">
      <w:pPr>
        <w:rPr>
          <w:rFonts w:cs="仿宋_GB2312"/>
          <w:color w:val="auto"/>
          <w:szCs w:val="24"/>
          <w:highlight w:val="none"/>
        </w:rPr>
      </w:pPr>
    </w:p>
    <w:p w14:paraId="5CB06622">
      <w:pPr>
        <w:ind w:firstLine="480" w:firstLineChars="200"/>
        <w:rPr>
          <w:rFonts w:cs="仿宋_GB2312"/>
          <w:color w:val="auto"/>
          <w:szCs w:val="24"/>
          <w:highlight w:val="none"/>
        </w:rPr>
      </w:pPr>
    </w:p>
    <w:p w14:paraId="2E8083B6">
      <w:pPr>
        <w:ind w:firstLine="480" w:firstLineChars="200"/>
        <w:rPr>
          <w:rFonts w:cs="仿宋_GB2312"/>
          <w:color w:val="auto"/>
          <w:szCs w:val="24"/>
          <w:highlight w:val="none"/>
        </w:rPr>
      </w:pPr>
      <w:r>
        <w:rPr>
          <w:rFonts w:hint="eastAsia" w:cs="仿宋_GB2312"/>
          <w:color w:val="auto"/>
          <w:szCs w:val="24"/>
          <w:highlight w:val="none"/>
        </w:rPr>
        <w:t>投标人名称</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r>
        <w:rPr>
          <w:rFonts w:hint="eastAsia" w:cs="仿宋_GB2312"/>
          <w:color w:val="auto"/>
          <w:szCs w:val="24"/>
          <w:highlight w:val="none"/>
        </w:rPr>
        <w:t>：</w:t>
      </w:r>
      <w:r>
        <w:rPr>
          <w:rFonts w:cs="仿宋_GB2312"/>
          <w:color w:val="auto"/>
          <w:szCs w:val="24"/>
          <w:highlight w:val="none"/>
        </w:rPr>
        <w:t xml:space="preserve"> </w:t>
      </w:r>
    </w:p>
    <w:p w14:paraId="77655944">
      <w:pPr>
        <w:ind w:firstLine="420"/>
        <w:rPr>
          <w:rFonts w:cs="仿宋_GB2312"/>
          <w:color w:val="auto"/>
          <w:szCs w:val="24"/>
          <w:highlight w:val="none"/>
        </w:rPr>
      </w:pPr>
      <w:r>
        <w:rPr>
          <w:rFonts w:hint="eastAsia" w:cs="仿宋_GB2312"/>
          <w:color w:val="auto"/>
          <w:szCs w:val="24"/>
          <w:highlight w:val="none"/>
        </w:rPr>
        <w:t>日      期：</w:t>
      </w:r>
    </w:p>
    <w:p w14:paraId="598C43A6">
      <w:pPr>
        <w:ind w:firstLine="420"/>
        <w:rPr>
          <w:rFonts w:cs="仿宋_GB2312"/>
          <w:color w:val="auto"/>
          <w:szCs w:val="24"/>
          <w:highlight w:val="none"/>
        </w:rPr>
      </w:pPr>
      <w:r>
        <w:rPr>
          <w:rFonts w:cs="仿宋_GB2312"/>
          <w:color w:val="auto"/>
          <w:szCs w:val="24"/>
          <w:highlight w:val="none"/>
        </w:rPr>
        <w:br w:type="page"/>
      </w:r>
    </w:p>
    <w:p w14:paraId="3BEF2EC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eastAsia="宋体" w:asciiTheme="majorHAnsi" w:hAnsiTheme="majorHAnsi" w:cstheme="majorBidi"/>
          <w:b/>
          <w:bCs/>
          <w:color w:val="auto"/>
          <w:kern w:val="2"/>
          <w:sz w:val="28"/>
          <w:szCs w:val="28"/>
          <w:highlight w:val="none"/>
          <w:lang w:val="en-US" w:eastAsia="zh-CN" w:bidi="ar-SA"/>
        </w:rPr>
      </w:pPr>
    </w:p>
    <w:p w14:paraId="287724FC">
      <w:pPr>
        <w:pStyle w:val="2"/>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eastAsia="宋体" w:asciiTheme="majorHAnsi" w:hAnsiTheme="majorHAnsi" w:cstheme="majorBidi"/>
          <w:b/>
          <w:bCs/>
          <w:color w:val="auto"/>
          <w:kern w:val="2"/>
          <w:sz w:val="32"/>
          <w:szCs w:val="32"/>
          <w:highlight w:val="none"/>
          <w:lang w:val="en-US" w:eastAsia="zh-CN" w:bidi="ar-SA"/>
        </w:rPr>
      </w:pPr>
      <w:bookmarkStart w:id="794" w:name="_Toc18155"/>
      <w:r>
        <w:rPr>
          <w:rFonts w:hint="eastAsia" w:cstheme="majorBidi"/>
          <w:b/>
          <w:bCs/>
          <w:color w:val="auto"/>
          <w:kern w:val="2"/>
          <w:sz w:val="32"/>
          <w:szCs w:val="32"/>
          <w:highlight w:val="none"/>
          <w:lang w:val="en-US" w:eastAsia="zh-CN" w:bidi="ar-SA"/>
        </w:rPr>
        <w:t>七</w:t>
      </w:r>
      <w:r>
        <w:rPr>
          <w:rFonts w:hint="eastAsia" w:eastAsia="宋体" w:asciiTheme="majorHAnsi" w:hAnsiTheme="majorHAnsi" w:cstheme="majorBidi"/>
          <w:b/>
          <w:bCs/>
          <w:color w:val="auto"/>
          <w:kern w:val="2"/>
          <w:sz w:val="32"/>
          <w:szCs w:val="32"/>
          <w:highlight w:val="none"/>
          <w:lang w:val="en-US" w:eastAsia="zh-CN" w:bidi="ar-SA"/>
        </w:rPr>
        <w:t>、业绩证明文件</w:t>
      </w:r>
      <w:bookmarkEnd w:id="794"/>
    </w:p>
    <w:p w14:paraId="7DB08DA5">
      <w:pPr>
        <w:rPr>
          <w:rFonts w:cs="仿宋_GB2312"/>
          <w:color w:val="auto"/>
          <w:szCs w:val="24"/>
          <w:highlight w:val="none"/>
        </w:rPr>
      </w:pPr>
      <w:r>
        <w:rPr>
          <w:rFonts w:cs="Arial"/>
          <w:bCs/>
          <w:color w:val="auto"/>
          <w:szCs w:val="21"/>
          <w:highlight w:val="none"/>
        </w:rPr>
        <w:fldChar w:fldCharType="begin"/>
      </w:r>
      <w:r>
        <w:rPr>
          <w:rFonts w:cs="Arial"/>
          <w:bCs/>
          <w:color w:val="auto"/>
          <w:szCs w:val="21"/>
          <w:highlight w:val="none"/>
        </w:rPr>
        <w:instrText xml:space="preserve"> LINK Word.Document.8 "D:\\音乐厅\\4通用设备\\招标文件\\音乐厅空调设备招标文件v1.0.doc" "OLE_LINK8" \r  \* MERGEFORMAT </w:instrText>
      </w:r>
      <w:r>
        <w:rPr>
          <w:rFonts w:cs="Arial"/>
          <w:bCs/>
          <w:color w:val="auto"/>
          <w:szCs w:val="21"/>
          <w:highlight w:val="none"/>
        </w:rPr>
        <w:fldChar w:fldCharType="separate"/>
      </w:r>
      <w:r>
        <w:rPr>
          <w:rFonts w:hint="eastAsia" w:cs="仿宋_GB2312"/>
          <w:color w:val="auto"/>
          <w:szCs w:val="24"/>
          <w:highlight w:val="none"/>
        </w:rPr>
        <w:t xml:space="preserve">项目名称：                                         </w:t>
      </w:r>
    </w:p>
    <w:p w14:paraId="4A687997">
      <w:pPr>
        <w:rPr>
          <w:rFonts w:cs="Arial"/>
          <w:bCs/>
          <w:color w:val="auto"/>
          <w:szCs w:val="21"/>
          <w:highlight w:val="none"/>
        </w:rPr>
      </w:pPr>
      <w:r>
        <w:rPr>
          <w:rFonts w:hint="eastAsia" w:cs="仿宋_GB2312"/>
          <w:color w:val="auto"/>
          <w:szCs w:val="24"/>
          <w:highlight w:val="none"/>
        </w:rPr>
        <w:t>项目编号</w:t>
      </w:r>
      <w:r>
        <w:rPr>
          <w:rFonts w:hint="eastAsia"/>
          <w:b w:val="0"/>
          <w:bCs/>
          <w:color w:val="auto"/>
          <w:szCs w:val="21"/>
          <w:highlight w:val="none"/>
          <w:lang w:val="en-US" w:eastAsia="zh-CN"/>
        </w:rPr>
        <w:t>/</w:t>
      </w:r>
      <w:r>
        <w:rPr>
          <w:rFonts w:hint="eastAsia"/>
          <w:b w:val="0"/>
          <w:bCs/>
          <w:color w:val="auto"/>
          <w:szCs w:val="21"/>
          <w:highlight w:val="none"/>
          <w:lang w:val="zh-CN"/>
        </w:rPr>
        <w:t>包号</w:t>
      </w:r>
      <w:r>
        <w:rPr>
          <w:rFonts w:hint="eastAsia" w:cs="仿宋_GB2312"/>
          <w:color w:val="auto"/>
          <w:szCs w:val="24"/>
          <w:highlight w:val="none"/>
        </w:rPr>
        <w:t xml:space="preserve">：      </w:t>
      </w:r>
      <w:r>
        <w:rPr>
          <w:rFonts w:cs="Arial"/>
          <w:bCs/>
          <w:color w:val="auto"/>
          <w:szCs w:val="21"/>
          <w:highlight w:val="none"/>
        </w:rPr>
        <w:fldChar w:fldCharType="end"/>
      </w:r>
    </w:p>
    <w:tbl>
      <w:tblPr>
        <w:tblStyle w:val="31"/>
        <w:tblW w:w="8988" w:type="dxa"/>
        <w:tblInd w:w="-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080"/>
        <w:gridCol w:w="1248"/>
        <w:gridCol w:w="1129"/>
        <w:gridCol w:w="1283"/>
        <w:gridCol w:w="1368"/>
        <w:gridCol w:w="960"/>
        <w:gridCol w:w="1176"/>
      </w:tblGrid>
      <w:tr w14:paraId="0BB30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44" w:type="dxa"/>
            <w:vAlign w:val="center"/>
          </w:tcPr>
          <w:p w14:paraId="37278D52">
            <w:pPr>
              <w:jc w:val="center"/>
              <w:rPr>
                <w:rFonts w:hint="eastAsia" w:ascii="宋体" w:hAnsi="宋体" w:eastAsia="宋体" w:cs="宋体"/>
                <w:color w:val="auto"/>
                <w:sz w:val="21"/>
                <w:szCs w:val="21"/>
                <w:highlight w:val="none"/>
              </w:rPr>
            </w:pPr>
            <w:bookmarkStart w:id="795" w:name="_Hlk46779239"/>
            <w:r>
              <w:rPr>
                <w:rFonts w:hint="eastAsia" w:ascii="宋体" w:hAnsi="宋体" w:eastAsia="宋体" w:cs="宋体"/>
                <w:color w:val="auto"/>
                <w:sz w:val="21"/>
                <w:szCs w:val="21"/>
                <w:highlight w:val="none"/>
              </w:rPr>
              <w:t>序号</w:t>
            </w:r>
          </w:p>
        </w:tc>
        <w:tc>
          <w:tcPr>
            <w:tcW w:w="1080" w:type="dxa"/>
            <w:vAlign w:val="center"/>
          </w:tcPr>
          <w:p w14:paraId="5EA65C0E">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完成时间</w:t>
            </w:r>
          </w:p>
        </w:tc>
        <w:tc>
          <w:tcPr>
            <w:tcW w:w="1248" w:type="dxa"/>
            <w:vAlign w:val="center"/>
          </w:tcPr>
          <w:p w14:paraId="15F7119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1129" w:type="dxa"/>
            <w:vAlign w:val="center"/>
          </w:tcPr>
          <w:p w14:paraId="7F2B957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标的</w:t>
            </w:r>
            <w:r>
              <w:rPr>
                <w:rFonts w:hint="eastAsia" w:ascii="宋体" w:hAnsi="宋体" w:eastAsia="宋体" w:cs="宋体"/>
                <w:color w:val="auto"/>
                <w:sz w:val="21"/>
                <w:szCs w:val="21"/>
                <w:highlight w:val="none"/>
              </w:rPr>
              <w:t>内容</w:t>
            </w:r>
          </w:p>
        </w:tc>
        <w:tc>
          <w:tcPr>
            <w:tcW w:w="1283" w:type="dxa"/>
            <w:vAlign w:val="center"/>
          </w:tcPr>
          <w:p w14:paraId="56A8775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名称</w:t>
            </w:r>
          </w:p>
        </w:tc>
        <w:tc>
          <w:tcPr>
            <w:tcW w:w="1368" w:type="dxa"/>
            <w:vAlign w:val="center"/>
          </w:tcPr>
          <w:p w14:paraId="55D436A5">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中标（成交）金额</w:t>
            </w:r>
          </w:p>
        </w:tc>
        <w:tc>
          <w:tcPr>
            <w:tcW w:w="960" w:type="dxa"/>
            <w:vAlign w:val="center"/>
          </w:tcPr>
          <w:p w14:paraId="0DD0D2D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p>
        </w:tc>
        <w:tc>
          <w:tcPr>
            <w:tcW w:w="1176" w:type="dxa"/>
            <w:vAlign w:val="center"/>
          </w:tcPr>
          <w:p w14:paraId="607D7E4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tc>
      </w:tr>
      <w:tr w14:paraId="49BD0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44" w:type="dxa"/>
            <w:vAlign w:val="center"/>
          </w:tcPr>
          <w:p w14:paraId="61F1D14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80" w:type="dxa"/>
            <w:vAlign w:val="center"/>
          </w:tcPr>
          <w:p w14:paraId="25A72089">
            <w:pPr>
              <w:rPr>
                <w:rFonts w:hint="eastAsia" w:ascii="宋体" w:hAnsi="宋体" w:eastAsia="宋体" w:cs="宋体"/>
                <w:color w:val="auto"/>
                <w:sz w:val="21"/>
                <w:szCs w:val="21"/>
                <w:highlight w:val="none"/>
              </w:rPr>
            </w:pPr>
          </w:p>
        </w:tc>
        <w:tc>
          <w:tcPr>
            <w:tcW w:w="1248" w:type="dxa"/>
            <w:vAlign w:val="center"/>
          </w:tcPr>
          <w:p w14:paraId="6F3805E3">
            <w:pPr>
              <w:rPr>
                <w:rFonts w:hint="eastAsia" w:ascii="宋体" w:hAnsi="宋体" w:eastAsia="宋体" w:cs="宋体"/>
                <w:color w:val="auto"/>
                <w:sz w:val="21"/>
                <w:szCs w:val="21"/>
                <w:highlight w:val="none"/>
              </w:rPr>
            </w:pPr>
          </w:p>
        </w:tc>
        <w:tc>
          <w:tcPr>
            <w:tcW w:w="1129" w:type="dxa"/>
            <w:vAlign w:val="center"/>
          </w:tcPr>
          <w:p w14:paraId="7CB7C00C">
            <w:pPr>
              <w:rPr>
                <w:rFonts w:hint="eastAsia" w:ascii="宋体" w:hAnsi="宋体" w:eastAsia="宋体" w:cs="宋体"/>
                <w:color w:val="auto"/>
                <w:sz w:val="21"/>
                <w:szCs w:val="21"/>
                <w:highlight w:val="none"/>
              </w:rPr>
            </w:pPr>
          </w:p>
        </w:tc>
        <w:tc>
          <w:tcPr>
            <w:tcW w:w="1283" w:type="dxa"/>
            <w:vAlign w:val="center"/>
          </w:tcPr>
          <w:p w14:paraId="60DAC622">
            <w:pPr>
              <w:rPr>
                <w:rFonts w:hint="eastAsia" w:ascii="宋体" w:hAnsi="宋体" w:eastAsia="宋体" w:cs="宋体"/>
                <w:color w:val="auto"/>
                <w:sz w:val="21"/>
                <w:szCs w:val="21"/>
                <w:highlight w:val="none"/>
              </w:rPr>
            </w:pPr>
          </w:p>
        </w:tc>
        <w:tc>
          <w:tcPr>
            <w:tcW w:w="1368" w:type="dxa"/>
            <w:vAlign w:val="center"/>
          </w:tcPr>
          <w:p w14:paraId="5436BEC1">
            <w:pPr>
              <w:rPr>
                <w:rFonts w:hint="eastAsia" w:ascii="宋体" w:hAnsi="宋体" w:eastAsia="宋体" w:cs="宋体"/>
                <w:color w:val="auto"/>
                <w:sz w:val="21"/>
                <w:szCs w:val="21"/>
                <w:highlight w:val="none"/>
              </w:rPr>
            </w:pPr>
          </w:p>
        </w:tc>
        <w:tc>
          <w:tcPr>
            <w:tcW w:w="960" w:type="dxa"/>
            <w:vAlign w:val="center"/>
          </w:tcPr>
          <w:p w14:paraId="4A8D26BB">
            <w:pPr>
              <w:rPr>
                <w:rFonts w:hint="eastAsia" w:ascii="宋体" w:hAnsi="宋体" w:eastAsia="宋体" w:cs="宋体"/>
                <w:color w:val="auto"/>
                <w:sz w:val="21"/>
                <w:szCs w:val="21"/>
                <w:highlight w:val="none"/>
              </w:rPr>
            </w:pPr>
          </w:p>
        </w:tc>
        <w:tc>
          <w:tcPr>
            <w:tcW w:w="1176" w:type="dxa"/>
            <w:vAlign w:val="center"/>
          </w:tcPr>
          <w:p w14:paraId="6799D8A5">
            <w:pPr>
              <w:rPr>
                <w:rFonts w:hint="eastAsia" w:ascii="宋体" w:hAnsi="宋体" w:eastAsia="宋体" w:cs="宋体"/>
                <w:color w:val="auto"/>
                <w:sz w:val="21"/>
                <w:szCs w:val="21"/>
                <w:highlight w:val="none"/>
              </w:rPr>
            </w:pPr>
          </w:p>
        </w:tc>
      </w:tr>
      <w:tr w14:paraId="43671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744" w:type="dxa"/>
            <w:vAlign w:val="center"/>
          </w:tcPr>
          <w:p w14:paraId="0317484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080" w:type="dxa"/>
            <w:vAlign w:val="center"/>
          </w:tcPr>
          <w:p w14:paraId="3C7437EA">
            <w:pPr>
              <w:rPr>
                <w:rFonts w:hint="eastAsia" w:ascii="宋体" w:hAnsi="宋体" w:eastAsia="宋体" w:cs="宋体"/>
                <w:color w:val="auto"/>
                <w:sz w:val="21"/>
                <w:szCs w:val="21"/>
                <w:highlight w:val="none"/>
              </w:rPr>
            </w:pPr>
          </w:p>
        </w:tc>
        <w:tc>
          <w:tcPr>
            <w:tcW w:w="1248" w:type="dxa"/>
            <w:vAlign w:val="center"/>
          </w:tcPr>
          <w:p w14:paraId="753A8A2D">
            <w:pPr>
              <w:rPr>
                <w:rFonts w:hint="eastAsia" w:ascii="宋体" w:hAnsi="宋体" w:eastAsia="宋体" w:cs="宋体"/>
                <w:color w:val="auto"/>
                <w:sz w:val="21"/>
                <w:szCs w:val="21"/>
                <w:highlight w:val="none"/>
              </w:rPr>
            </w:pPr>
          </w:p>
        </w:tc>
        <w:tc>
          <w:tcPr>
            <w:tcW w:w="1129" w:type="dxa"/>
            <w:vAlign w:val="center"/>
          </w:tcPr>
          <w:p w14:paraId="02634890">
            <w:pPr>
              <w:rPr>
                <w:rFonts w:hint="eastAsia" w:ascii="宋体" w:hAnsi="宋体" w:eastAsia="宋体" w:cs="宋体"/>
                <w:color w:val="auto"/>
                <w:sz w:val="21"/>
                <w:szCs w:val="21"/>
                <w:highlight w:val="none"/>
              </w:rPr>
            </w:pPr>
          </w:p>
        </w:tc>
        <w:tc>
          <w:tcPr>
            <w:tcW w:w="1283" w:type="dxa"/>
            <w:vAlign w:val="center"/>
          </w:tcPr>
          <w:p w14:paraId="3563AED4">
            <w:pPr>
              <w:rPr>
                <w:rFonts w:hint="eastAsia" w:ascii="宋体" w:hAnsi="宋体" w:eastAsia="宋体" w:cs="宋体"/>
                <w:color w:val="auto"/>
                <w:sz w:val="21"/>
                <w:szCs w:val="21"/>
                <w:highlight w:val="none"/>
              </w:rPr>
            </w:pPr>
          </w:p>
        </w:tc>
        <w:tc>
          <w:tcPr>
            <w:tcW w:w="1368" w:type="dxa"/>
            <w:vAlign w:val="center"/>
          </w:tcPr>
          <w:p w14:paraId="4ED6DFCE">
            <w:pPr>
              <w:rPr>
                <w:rFonts w:hint="eastAsia" w:ascii="宋体" w:hAnsi="宋体" w:eastAsia="宋体" w:cs="宋体"/>
                <w:color w:val="auto"/>
                <w:sz w:val="21"/>
                <w:szCs w:val="21"/>
                <w:highlight w:val="none"/>
              </w:rPr>
            </w:pPr>
          </w:p>
        </w:tc>
        <w:tc>
          <w:tcPr>
            <w:tcW w:w="960" w:type="dxa"/>
            <w:vAlign w:val="center"/>
          </w:tcPr>
          <w:p w14:paraId="3DDF15B1">
            <w:pPr>
              <w:rPr>
                <w:rFonts w:hint="eastAsia" w:ascii="宋体" w:hAnsi="宋体" w:eastAsia="宋体" w:cs="宋体"/>
                <w:color w:val="auto"/>
                <w:sz w:val="21"/>
                <w:szCs w:val="21"/>
                <w:highlight w:val="none"/>
              </w:rPr>
            </w:pPr>
          </w:p>
        </w:tc>
        <w:tc>
          <w:tcPr>
            <w:tcW w:w="1176" w:type="dxa"/>
            <w:vAlign w:val="center"/>
          </w:tcPr>
          <w:p w14:paraId="069D1E24">
            <w:pPr>
              <w:rPr>
                <w:rFonts w:hint="eastAsia" w:ascii="宋体" w:hAnsi="宋体" w:eastAsia="宋体" w:cs="宋体"/>
                <w:color w:val="auto"/>
                <w:sz w:val="21"/>
                <w:szCs w:val="21"/>
                <w:highlight w:val="none"/>
              </w:rPr>
            </w:pPr>
          </w:p>
        </w:tc>
      </w:tr>
      <w:tr w14:paraId="026FE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44" w:type="dxa"/>
            <w:vAlign w:val="center"/>
          </w:tcPr>
          <w:p w14:paraId="6CB6EA9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080" w:type="dxa"/>
            <w:vAlign w:val="center"/>
          </w:tcPr>
          <w:p w14:paraId="5AFF132B">
            <w:pPr>
              <w:rPr>
                <w:rFonts w:hint="eastAsia" w:ascii="宋体" w:hAnsi="宋体" w:eastAsia="宋体" w:cs="宋体"/>
                <w:color w:val="auto"/>
                <w:sz w:val="21"/>
                <w:szCs w:val="21"/>
                <w:highlight w:val="none"/>
              </w:rPr>
            </w:pPr>
          </w:p>
        </w:tc>
        <w:tc>
          <w:tcPr>
            <w:tcW w:w="1248" w:type="dxa"/>
            <w:vAlign w:val="center"/>
          </w:tcPr>
          <w:p w14:paraId="40DFA463">
            <w:pPr>
              <w:rPr>
                <w:rFonts w:hint="eastAsia" w:ascii="宋体" w:hAnsi="宋体" w:eastAsia="宋体" w:cs="宋体"/>
                <w:color w:val="auto"/>
                <w:sz w:val="21"/>
                <w:szCs w:val="21"/>
                <w:highlight w:val="none"/>
              </w:rPr>
            </w:pPr>
          </w:p>
        </w:tc>
        <w:tc>
          <w:tcPr>
            <w:tcW w:w="1129" w:type="dxa"/>
            <w:vAlign w:val="center"/>
          </w:tcPr>
          <w:p w14:paraId="192188BA">
            <w:pPr>
              <w:rPr>
                <w:rFonts w:hint="eastAsia" w:ascii="宋体" w:hAnsi="宋体" w:eastAsia="宋体" w:cs="宋体"/>
                <w:color w:val="auto"/>
                <w:sz w:val="21"/>
                <w:szCs w:val="21"/>
                <w:highlight w:val="none"/>
              </w:rPr>
            </w:pPr>
          </w:p>
        </w:tc>
        <w:tc>
          <w:tcPr>
            <w:tcW w:w="1283" w:type="dxa"/>
            <w:vAlign w:val="center"/>
          </w:tcPr>
          <w:p w14:paraId="58044B96">
            <w:pPr>
              <w:rPr>
                <w:rFonts w:hint="eastAsia" w:ascii="宋体" w:hAnsi="宋体" w:eastAsia="宋体" w:cs="宋体"/>
                <w:color w:val="auto"/>
                <w:sz w:val="21"/>
                <w:szCs w:val="21"/>
                <w:highlight w:val="none"/>
              </w:rPr>
            </w:pPr>
          </w:p>
        </w:tc>
        <w:tc>
          <w:tcPr>
            <w:tcW w:w="1368" w:type="dxa"/>
            <w:vAlign w:val="center"/>
          </w:tcPr>
          <w:p w14:paraId="10BAB04D">
            <w:pPr>
              <w:rPr>
                <w:rFonts w:hint="eastAsia" w:ascii="宋体" w:hAnsi="宋体" w:eastAsia="宋体" w:cs="宋体"/>
                <w:color w:val="auto"/>
                <w:sz w:val="21"/>
                <w:szCs w:val="21"/>
                <w:highlight w:val="none"/>
              </w:rPr>
            </w:pPr>
          </w:p>
        </w:tc>
        <w:tc>
          <w:tcPr>
            <w:tcW w:w="960" w:type="dxa"/>
            <w:vAlign w:val="center"/>
          </w:tcPr>
          <w:p w14:paraId="38FE3D5D">
            <w:pPr>
              <w:rPr>
                <w:rFonts w:hint="eastAsia" w:ascii="宋体" w:hAnsi="宋体" w:eastAsia="宋体" w:cs="宋体"/>
                <w:color w:val="auto"/>
                <w:sz w:val="21"/>
                <w:szCs w:val="21"/>
                <w:highlight w:val="none"/>
              </w:rPr>
            </w:pPr>
          </w:p>
        </w:tc>
        <w:tc>
          <w:tcPr>
            <w:tcW w:w="1176" w:type="dxa"/>
            <w:vAlign w:val="center"/>
          </w:tcPr>
          <w:p w14:paraId="048AC4DE">
            <w:pPr>
              <w:rPr>
                <w:rFonts w:hint="eastAsia" w:ascii="宋体" w:hAnsi="宋体" w:eastAsia="宋体" w:cs="宋体"/>
                <w:color w:val="auto"/>
                <w:sz w:val="21"/>
                <w:szCs w:val="21"/>
                <w:highlight w:val="none"/>
              </w:rPr>
            </w:pPr>
          </w:p>
        </w:tc>
      </w:tr>
      <w:tr w14:paraId="45C01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44" w:type="dxa"/>
            <w:vAlign w:val="center"/>
          </w:tcPr>
          <w:p w14:paraId="7D259137">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080" w:type="dxa"/>
            <w:vAlign w:val="center"/>
          </w:tcPr>
          <w:p w14:paraId="12629B54">
            <w:pPr>
              <w:rPr>
                <w:rFonts w:hint="eastAsia" w:ascii="宋体" w:hAnsi="宋体" w:eastAsia="宋体" w:cs="宋体"/>
                <w:color w:val="auto"/>
                <w:sz w:val="21"/>
                <w:szCs w:val="21"/>
                <w:highlight w:val="none"/>
              </w:rPr>
            </w:pPr>
          </w:p>
        </w:tc>
        <w:tc>
          <w:tcPr>
            <w:tcW w:w="1248" w:type="dxa"/>
            <w:vAlign w:val="center"/>
          </w:tcPr>
          <w:p w14:paraId="278EE304">
            <w:pPr>
              <w:rPr>
                <w:rFonts w:hint="eastAsia" w:ascii="宋体" w:hAnsi="宋体" w:eastAsia="宋体" w:cs="宋体"/>
                <w:color w:val="auto"/>
                <w:sz w:val="21"/>
                <w:szCs w:val="21"/>
                <w:highlight w:val="none"/>
              </w:rPr>
            </w:pPr>
          </w:p>
        </w:tc>
        <w:tc>
          <w:tcPr>
            <w:tcW w:w="1129" w:type="dxa"/>
            <w:vAlign w:val="center"/>
          </w:tcPr>
          <w:p w14:paraId="502FE2B6">
            <w:pPr>
              <w:rPr>
                <w:rFonts w:hint="eastAsia" w:ascii="宋体" w:hAnsi="宋体" w:eastAsia="宋体" w:cs="宋体"/>
                <w:color w:val="auto"/>
                <w:sz w:val="21"/>
                <w:szCs w:val="21"/>
                <w:highlight w:val="none"/>
              </w:rPr>
            </w:pPr>
          </w:p>
        </w:tc>
        <w:tc>
          <w:tcPr>
            <w:tcW w:w="1283" w:type="dxa"/>
            <w:vAlign w:val="center"/>
          </w:tcPr>
          <w:p w14:paraId="44F7BE63">
            <w:pPr>
              <w:rPr>
                <w:rFonts w:hint="eastAsia" w:ascii="宋体" w:hAnsi="宋体" w:eastAsia="宋体" w:cs="宋体"/>
                <w:color w:val="auto"/>
                <w:sz w:val="21"/>
                <w:szCs w:val="21"/>
                <w:highlight w:val="none"/>
              </w:rPr>
            </w:pPr>
          </w:p>
        </w:tc>
        <w:tc>
          <w:tcPr>
            <w:tcW w:w="1368" w:type="dxa"/>
            <w:vAlign w:val="center"/>
          </w:tcPr>
          <w:p w14:paraId="463BDC1B">
            <w:pPr>
              <w:rPr>
                <w:rFonts w:hint="eastAsia" w:ascii="宋体" w:hAnsi="宋体" w:eastAsia="宋体" w:cs="宋体"/>
                <w:color w:val="auto"/>
                <w:sz w:val="21"/>
                <w:szCs w:val="21"/>
                <w:highlight w:val="none"/>
              </w:rPr>
            </w:pPr>
          </w:p>
        </w:tc>
        <w:tc>
          <w:tcPr>
            <w:tcW w:w="960" w:type="dxa"/>
            <w:vAlign w:val="center"/>
          </w:tcPr>
          <w:p w14:paraId="5208210B">
            <w:pPr>
              <w:rPr>
                <w:rFonts w:hint="eastAsia" w:ascii="宋体" w:hAnsi="宋体" w:eastAsia="宋体" w:cs="宋体"/>
                <w:color w:val="auto"/>
                <w:sz w:val="21"/>
                <w:szCs w:val="21"/>
                <w:highlight w:val="none"/>
              </w:rPr>
            </w:pPr>
          </w:p>
        </w:tc>
        <w:tc>
          <w:tcPr>
            <w:tcW w:w="1176" w:type="dxa"/>
            <w:vAlign w:val="center"/>
          </w:tcPr>
          <w:p w14:paraId="7EC41624">
            <w:pPr>
              <w:rPr>
                <w:rFonts w:hint="eastAsia" w:ascii="宋体" w:hAnsi="宋体" w:eastAsia="宋体" w:cs="宋体"/>
                <w:color w:val="auto"/>
                <w:sz w:val="21"/>
                <w:szCs w:val="21"/>
                <w:highlight w:val="none"/>
              </w:rPr>
            </w:pPr>
          </w:p>
        </w:tc>
      </w:tr>
      <w:tr w14:paraId="6F118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44" w:type="dxa"/>
            <w:vAlign w:val="center"/>
          </w:tcPr>
          <w:p w14:paraId="1FCCAE38">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080" w:type="dxa"/>
            <w:vAlign w:val="center"/>
          </w:tcPr>
          <w:p w14:paraId="1728B663">
            <w:pPr>
              <w:rPr>
                <w:rFonts w:hint="eastAsia" w:ascii="宋体" w:hAnsi="宋体" w:eastAsia="宋体" w:cs="宋体"/>
                <w:color w:val="auto"/>
                <w:sz w:val="21"/>
                <w:szCs w:val="21"/>
                <w:highlight w:val="none"/>
              </w:rPr>
            </w:pPr>
          </w:p>
        </w:tc>
        <w:tc>
          <w:tcPr>
            <w:tcW w:w="1248" w:type="dxa"/>
            <w:vAlign w:val="center"/>
          </w:tcPr>
          <w:p w14:paraId="5B701B38">
            <w:pPr>
              <w:rPr>
                <w:rFonts w:hint="eastAsia" w:ascii="宋体" w:hAnsi="宋体" w:eastAsia="宋体" w:cs="宋体"/>
                <w:color w:val="auto"/>
                <w:sz w:val="21"/>
                <w:szCs w:val="21"/>
                <w:highlight w:val="none"/>
              </w:rPr>
            </w:pPr>
          </w:p>
        </w:tc>
        <w:tc>
          <w:tcPr>
            <w:tcW w:w="1129" w:type="dxa"/>
            <w:vAlign w:val="center"/>
          </w:tcPr>
          <w:p w14:paraId="0BFD5658">
            <w:pPr>
              <w:rPr>
                <w:rFonts w:hint="eastAsia" w:ascii="宋体" w:hAnsi="宋体" w:eastAsia="宋体" w:cs="宋体"/>
                <w:color w:val="auto"/>
                <w:sz w:val="21"/>
                <w:szCs w:val="21"/>
                <w:highlight w:val="none"/>
              </w:rPr>
            </w:pPr>
          </w:p>
        </w:tc>
        <w:tc>
          <w:tcPr>
            <w:tcW w:w="1283" w:type="dxa"/>
            <w:vAlign w:val="center"/>
          </w:tcPr>
          <w:p w14:paraId="56955758">
            <w:pPr>
              <w:rPr>
                <w:rFonts w:hint="eastAsia" w:ascii="宋体" w:hAnsi="宋体" w:eastAsia="宋体" w:cs="宋体"/>
                <w:color w:val="auto"/>
                <w:sz w:val="21"/>
                <w:szCs w:val="21"/>
                <w:highlight w:val="none"/>
              </w:rPr>
            </w:pPr>
          </w:p>
        </w:tc>
        <w:tc>
          <w:tcPr>
            <w:tcW w:w="1368" w:type="dxa"/>
            <w:vAlign w:val="center"/>
          </w:tcPr>
          <w:p w14:paraId="6AF4F252">
            <w:pPr>
              <w:rPr>
                <w:rFonts w:hint="eastAsia" w:ascii="宋体" w:hAnsi="宋体" w:eastAsia="宋体" w:cs="宋体"/>
                <w:color w:val="auto"/>
                <w:sz w:val="21"/>
                <w:szCs w:val="21"/>
                <w:highlight w:val="none"/>
              </w:rPr>
            </w:pPr>
          </w:p>
        </w:tc>
        <w:tc>
          <w:tcPr>
            <w:tcW w:w="960" w:type="dxa"/>
            <w:vAlign w:val="center"/>
          </w:tcPr>
          <w:p w14:paraId="0E461DD3">
            <w:pPr>
              <w:rPr>
                <w:rFonts w:hint="eastAsia" w:ascii="宋体" w:hAnsi="宋体" w:eastAsia="宋体" w:cs="宋体"/>
                <w:color w:val="auto"/>
                <w:sz w:val="21"/>
                <w:szCs w:val="21"/>
                <w:highlight w:val="none"/>
              </w:rPr>
            </w:pPr>
          </w:p>
        </w:tc>
        <w:tc>
          <w:tcPr>
            <w:tcW w:w="1176" w:type="dxa"/>
            <w:vAlign w:val="center"/>
          </w:tcPr>
          <w:p w14:paraId="5804A0BF">
            <w:pPr>
              <w:rPr>
                <w:rFonts w:hint="eastAsia" w:ascii="宋体" w:hAnsi="宋体" w:eastAsia="宋体" w:cs="宋体"/>
                <w:color w:val="auto"/>
                <w:sz w:val="21"/>
                <w:szCs w:val="21"/>
                <w:highlight w:val="none"/>
              </w:rPr>
            </w:pPr>
          </w:p>
        </w:tc>
      </w:tr>
      <w:tr w14:paraId="68222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5" w:hRule="atLeast"/>
        </w:trPr>
        <w:tc>
          <w:tcPr>
            <w:tcW w:w="744" w:type="dxa"/>
            <w:vAlign w:val="center"/>
          </w:tcPr>
          <w:p w14:paraId="5EB02E4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80" w:type="dxa"/>
            <w:vAlign w:val="center"/>
          </w:tcPr>
          <w:p w14:paraId="30E7C832">
            <w:pPr>
              <w:rPr>
                <w:rFonts w:hint="eastAsia" w:ascii="宋体" w:hAnsi="宋体" w:eastAsia="宋体" w:cs="宋体"/>
                <w:color w:val="auto"/>
                <w:sz w:val="21"/>
                <w:szCs w:val="21"/>
                <w:highlight w:val="none"/>
              </w:rPr>
            </w:pPr>
          </w:p>
        </w:tc>
        <w:tc>
          <w:tcPr>
            <w:tcW w:w="1248" w:type="dxa"/>
            <w:vAlign w:val="center"/>
          </w:tcPr>
          <w:p w14:paraId="147B2F98">
            <w:pPr>
              <w:rPr>
                <w:rFonts w:hint="eastAsia" w:ascii="宋体" w:hAnsi="宋体" w:eastAsia="宋体" w:cs="宋体"/>
                <w:color w:val="auto"/>
                <w:sz w:val="21"/>
                <w:szCs w:val="21"/>
                <w:highlight w:val="none"/>
              </w:rPr>
            </w:pPr>
          </w:p>
        </w:tc>
        <w:tc>
          <w:tcPr>
            <w:tcW w:w="1129" w:type="dxa"/>
            <w:vAlign w:val="center"/>
          </w:tcPr>
          <w:p w14:paraId="61B0E0D4">
            <w:pPr>
              <w:rPr>
                <w:rFonts w:hint="eastAsia" w:ascii="宋体" w:hAnsi="宋体" w:eastAsia="宋体" w:cs="宋体"/>
                <w:color w:val="auto"/>
                <w:sz w:val="21"/>
                <w:szCs w:val="21"/>
                <w:highlight w:val="none"/>
              </w:rPr>
            </w:pPr>
          </w:p>
        </w:tc>
        <w:tc>
          <w:tcPr>
            <w:tcW w:w="1283" w:type="dxa"/>
            <w:vAlign w:val="center"/>
          </w:tcPr>
          <w:p w14:paraId="6B918799">
            <w:pPr>
              <w:rPr>
                <w:rFonts w:hint="eastAsia" w:ascii="宋体" w:hAnsi="宋体" w:eastAsia="宋体" w:cs="宋体"/>
                <w:color w:val="auto"/>
                <w:sz w:val="21"/>
                <w:szCs w:val="21"/>
                <w:highlight w:val="none"/>
              </w:rPr>
            </w:pPr>
          </w:p>
        </w:tc>
        <w:tc>
          <w:tcPr>
            <w:tcW w:w="1368" w:type="dxa"/>
            <w:vAlign w:val="center"/>
          </w:tcPr>
          <w:p w14:paraId="1BCEEA1A">
            <w:pPr>
              <w:rPr>
                <w:rFonts w:hint="eastAsia" w:ascii="宋体" w:hAnsi="宋体" w:eastAsia="宋体" w:cs="宋体"/>
                <w:color w:val="auto"/>
                <w:sz w:val="21"/>
                <w:szCs w:val="21"/>
                <w:highlight w:val="none"/>
              </w:rPr>
            </w:pPr>
          </w:p>
        </w:tc>
        <w:tc>
          <w:tcPr>
            <w:tcW w:w="960" w:type="dxa"/>
            <w:vAlign w:val="center"/>
          </w:tcPr>
          <w:p w14:paraId="4A3F6BEC">
            <w:pPr>
              <w:rPr>
                <w:rFonts w:hint="eastAsia" w:ascii="宋体" w:hAnsi="宋体" w:eastAsia="宋体" w:cs="宋体"/>
                <w:color w:val="auto"/>
                <w:sz w:val="21"/>
                <w:szCs w:val="21"/>
                <w:highlight w:val="none"/>
              </w:rPr>
            </w:pPr>
          </w:p>
        </w:tc>
        <w:tc>
          <w:tcPr>
            <w:tcW w:w="1176" w:type="dxa"/>
            <w:vAlign w:val="center"/>
          </w:tcPr>
          <w:p w14:paraId="459FE74C">
            <w:pPr>
              <w:rPr>
                <w:rFonts w:hint="eastAsia" w:ascii="宋体" w:hAnsi="宋体" w:eastAsia="宋体" w:cs="宋体"/>
                <w:color w:val="auto"/>
                <w:sz w:val="21"/>
                <w:szCs w:val="21"/>
                <w:highlight w:val="none"/>
              </w:rPr>
            </w:pPr>
          </w:p>
        </w:tc>
      </w:tr>
      <w:bookmarkEnd w:id="795"/>
    </w:tbl>
    <w:p w14:paraId="0D2F5038">
      <w:pPr>
        <w:rPr>
          <w:rFonts w:hint="eastAsia" w:cs="仿宋_GB2312"/>
          <w:color w:val="auto"/>
          <w:szCs w:val="24"/>
          <w:highlight w:val="none"/>
        </w:rPr>
      </w:pPr>
    </w:p>
    <w:p w14:paraId="088168D4">
      <w:pPr>
        <w:rPr>
          <w:rFonts w:cs="仿宋_GB2312"/>
          <w:color w:val="auto"/>
          <w:sz w:val="21"/>
          <w:szCs w:val="21"/>
          <w:highlight w:val="none"/>
        </w:rPr>
      </w:pPr>
      <w:r>
        <w:rPr>
          <w:rFonts w:hint="eastAsia" w:cs="仿宋_GB2312"/>
          <w:color w:val="auto"/>
          <w:sz w:val="21"/>
          <w:szCs w:val="21"/>
          <w:highlight w:val="none"/>
        </w:rPr>
        <w:t>注：投标人须按</w:t>
      </w:r>
      <w:r>
        <w:rPr>
          <w:rFonts w:hint="eastAsia" w:cs="仿宋_GB2312"/>
          <w:color w:val="auto"/>
          <w:sz w:val="21"/>
          <w:szCs w:val="21"/>
          <w:highlight w:val="none"/>
          <w:lang w:val="en-US" w:eastAsia="zh-CN"/>
        </w:rPr>
        <w:t>相关要求</w:t>
      </w:r>
      <w:r>
        <w:rPr>
          <w:rFonts w:hint="eastAsia" w:cs="仿宋_GB2312"/>
          <w:color w:val="auto"/>
          <w:sz w:val="21"/>
          <w:szCs w:val="21"/>
          <w:highlight w:val="none"/>
        </w:rPr>
        <w:t>提供相应的</w:t>
      </w:r>
      <w:r>
        <w:rPr>
          <w:rFonts w:hint="eastAsia" w:cs="仿宋_GB2312"/>
          <w:color w:val="auto"/>
          <w:sz w:val="21"/>
          <w:szCs w:val="21"/>
          <w:highlight w:val="none"/>
          <w:lang w:val="en-US" w:eastAsia="zh-CN"/>
        </w:rPr>
        <w:t>中标（成交）通知书、采购合同等</w:t>
      </w:r>
      <w:r>
        <w:rPr>
          <w:rFonts w:hint="eastAsia" w:cs="仿宋_GB2312"/>
          <w:color w:val="auto"/>
          <w:sz w:val="21"/>
          <w:szCs w:val="21"/>
          <w:highlight w:val="none"/>
        </w:rPr>
        <w:t>业绩证明资料。</w:t>
      </w:r>
    </w:p>
    <w:p w14:paraId="57D75AD1">
      <w:pPr>
        <w:rPr>
          <w:rFonts w:cs="仿宋_GB2312"/>
          <w:color w:val="auto"/>
          <w:szCs w:val="24"/>
          <w:highlight w:val="none"/>
        </w:rPr>
      </w:pPr>
    </w:p>
    <w:p w14:paraId="5DB99613">
      <w:pPr>
        <w:widowControl/>
        <w:spacing w:before="100" w:beforeAutospacing="1" w:after="100" w:afterAutospacing="1"/>
        <w:rPr>
          <w:rFonts w:cs="Arial"/>
          <w:color w:val="auto"/>
          <w:szCs w:val="21"/>
          <w:highlight w:val="none"/>
        </w:rPr>
      </w:pPr>
    </w:p>
    <w:p w14:paraId="68FCBA1E">
      <w:pPr>
        <w:ind w:firstLine="480" w:firstLineChars="200"/>
        <w:rPr>
          <w:rFonts w:cs="仿宋_GB2312"/>
          <w:color w:val="auto"/>
          <w:szCs w:val="24"/>
          <w:highlight w:val="none"/>
        </w:rPr>
      </w:pPr>
      <w:r>
        <w:rPr>
          <w:rFonts w:hint="eastAsia" w:cs="仿宋_GB2312"/>
          <w:color w:val="auto"/>
          <w:szCs w:val="24"/>
          <w:highlight w:val="none"/>
        </w:rPr>
        <w:t>投标人名称</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r>
        <w:rPr>
          <w:rFonts w:hint="eastAsia" w:cs="仿宋_GB2312"/>
          <w:color w:val="auto"/>
          <w:szCs w:val="24"/>
          <w:highlight w:val="none"/>
        </w:rPr>
        <w:t>：</w:t>
      </w:r>
      <w:r>
        <w:rPr>
          <w:rFonts w:cs="仿宋_GB2312"/>
          <w:color w:val="auto"/>
          <w:szCs w:val="24"/>
          <w:highlight w:val="none"/>
        </w:rPr>
        <w:t xml:space="preserve"> </w:t>
      </w:r>
    </w:p>
    <w:p w14:paraId="360811C8">
      <w:pPr>
        <w:ind w:firstLine="420"/>
        <w:rPr>
          <w:rFonts w:cs="仿宋_GB2312"/>
          <w:color w:val="auto"/>
          <w:szCs w:val="24"/>
          <w:highlight w:val="none"/>
        </w:rPr>
      </w:pPr>
      <w:r>
        <w:rPr>
          <w:rFonts w:hint="eastAsia" w:cs="仿宋_GB2312"/>
          <w:color w:val="auto"/>
          <w:szCs w:val="24"/>
          <w:highlight w:val="none"/>
        </w:rPr>
        <w:t>日      期：</w:t>
      </w:r>
    </w:p>
    <w:p w14:paraId="095105C8">
      <w:pPr>
        <w:ind w:firstLine="420"/>
        <w:rPr>
          <w:rFonts w:cs="仿宋_GB2312"/>
          <w:color w:val="auto"/>
          <w:szCs w:val="24"/>
          <w:highlight w:val="none"/>
        </w:rPr>
      </w:pPr>
      <w:r>
        <w:rPr>
          <w:rFonts w:cs="仿宋_GB2312"/>
          <w:color w:val="auto"/>
          <w:szCs w:val="24"/>
          <w:highlight w:val="none"/>
        </w:rPr>
        <w:br w:type="page"/>
      </w:r>
    </w:p>
    <w:p w14:paraId="4E924C81">
      <w:pPr>
        <w:pStyle w:val="2"/>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eastAsia="宋体" w:asciiTheme="majorHAnsi" w:hAnsiTheme="majorHAnsi" w:cstheme="majorBidi"/>
          <w:b/>
          <w:bCs/>
          <w:color w:val="auto"/>
          <w:kern w:val="2"/>
          <w:sz w:val="32"/>
          <w:szCs w:val="32"/>
          <w:highlight w:val="none"/>
          <w:lang w:val="en-US" w:eastAsia="zh-CN" w:bidi="ar-SA"/>
        </w:rPr>
      </w:pPr>
      <w:bookmarkStart w:id="796" w:name="_Toc13134"/>
      <w:r>
        <w:rPr>
          <w:rFonts w:hint="eastAsia" w:cstheme="majorBidi"/>
          <w:b/>
          <w:bCs/>
          <w:color w:val="auto"/>
          <w:kern w:val="2"/>
          <w:sz w:val="32"/>
          <w:szCs w:val="32"/>
          <w:highlight w:val="none"/>
          <w:lang w:val="en-US" w:eastAsia="zh-CN" w:bidi="ar-SA"/>
        </w:rPr>
        <w:t>八</w:t>
      </w:r>
      <w:r>
        <w:rPr>
          <w:rFonts w:hint="eastAsia" w:eastAsia="宋体" w:asciiTheme="majorHAnsi" w:hAnsiTheme="majorHAnsi" w:cstheme="majorBidi"/>
          <w:b/>
          <w:bCs/>
          <w:color w:val="auto"/>
          <w:kern w:val="2"/>
          <w:sz w:val="32"/>
          <w:szCs w:val="32"/>
          <w:highlight w:val="none"/>
          <w:lang w:val="en-US" w:eastAsia="zh-CN" w:bidi="ar-SA"/>
        </w:rPr>
        <w:t>、拟派项目团队</w:t>
      </w:r>
      <w:bookmarkEnd w:id="796"/>
    </w:p>
    <w:tbl>
      <w:tblPr>
        <w:tblStyle w:val="31"/>
        <w:tblW w:w="9252" w:type="dxa"/>
        <w:tblInd w:w="-4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3"/>
        <w:gridCol w:w="1267"/>
        <w:gridCol w:w="1296"/>
        <w:gridCol w:w="1080"/>
        <w:gridCol w:w="804"/>
        <w:gridCol w:w="1860"/>
        <w:gridCol w:w="1356"/>
        <w:gridCol w:w="816"/>
      </w:tblGrid>
      <w:tr w14:paraId="377CEB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4" w:hRule="atLeast"/>
        </w:trPr>
        <w:tc>
          <w:tcPr>
            <w:tcW w:w="773" w:type="dxa"/>
            <w:vAlign w:val="center"/>
          </w:tcPr>
          <w:p w14:paraId="6B0F7825">
            <w:pPr>
              <w:pStyle w:val="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267" w:type="dxa"/>
            <w:vAlign w:val="center"/>
          </w:tcPr>
          <w:p w14:paraId="1096055A">
            <w:pPr>
              <w:pStyle w:val="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团队成员</w:t>
            </w:r>
          </w:p>
          <w:p w14:paraId="09FA2F86">
            <w:pPr>
              <w:pStyle w:val="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296" w:type="dxa"/>
            <w:tcBorders>
              <w:right w:val="single" w:color="auto" w:sz="4" w:space="0"/>
            </w:tcBorders>
            <w:vAlign w:val="center"/>
          </w:tcPr>
          <w:p w14:paraId="4D802FFD">
            <w:pPr>
              <w:pStyle w:val="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工作单位</w:t>
            </w:r>
          </w:p>
        </w:tc>
        <w:tc>
          <w:tcPr>
            <w:tcW w:w="1080" w:type="dxa"/>
            <w:tcBorders>
              <w:left w:val="single" w:color="auto" w:sz="4" w:space="0"/>
            </w:tcBorders>
            <w:vAlign w:val="center"/>
          </w:tcPr>
          <w:p w14:paraId="3116E3D2">
            <w:pPr>
              <w:pStyle w:val="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w:t>
            </w:r>
          </w:p>
        </w:tc>
        <w:tc>
          <w:tcPr>
            <w:tcW w:w="804" w:type="dxa"/>
            <w:tcBorders>
              <w:left w:val="single" w:color="auto" w:sz="4" w:space="0"/>
            </w:tcBorders>
            <w:vAlign w:val="center"/>
          </w:tcPr>
          <w:p w14:paraId="1115941F">
            <w:pPr>
              <w:pStyle w:val="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职称</w:t>
            </w:r>
          </w:p>
        </w:tc>
        <w:tc>
          <w:tcPr>
            <w:tcW w:w="1860" w:type="dxa"/>
            <w:vAlign w:val="center"/>
          </w:tcPr>
          <w:p w14:paraId="0940B260">
            <w:pPr>
              <w:pStyle w:val="5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注册证书（岗位证书）名称及编号</w:t>
            </w:r>
          </w:p>
        </w:tc>
        <w:tc>
          <w:tcPr>
            <w:tcW w:w="1356" w:type="dxa"/>
            <w:vAlign w:val="center"/>
          </w:tcPr>
          <w:p w14:paraId="422D7D9F">
            <w:pPr>
              <w:pStyle w:val="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在团队中职务（岗位）</w:t>
            </w:r>
          </w:p>
        </w:tc>
        <w:tc>
          <w:tcPr>
            <w:tcW w:w="816" w:type="dxa"/>
            <w:vAlign w:val="center"/>
          </w:tcPr>
          <w:p w14:paraId="79229F16">
            <w:pPr>
              <w:pStyle w:val="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自有/外聘</w:t>
            </w:r>
          </w:p>
        </w:tc>
      </w:tr>
      <w:tr w14:paraId="34A624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239BDB40">
            <w:pPr>
              <w:pStyle w:val="50"/>
              <w:jc w:val="center"/>
              <w:rPr>
                <w:rFonts w:hint="eastAsia" w:ascii="宋体" w:hAnsi="宋体" w:eastAsia="宋体" w:cs="宋体"/>
                <w:color w:val="auto"/>
                <w:sz w:val="21"/>
                <w:szCs w:val="21"/>
                <w:highlight w:val="none"/>
              </w:rPr>
            </w:pPr>
            <w:bookmarkStart w:id="797" w:name="_Toc99533292"/>
            <w:bookmarkStart w:id="798" w:name="_Toc100090784"/>
            <w:r>
              <w:rPr>
                <w:rFonts w:hint="eastAsia" w:ascii="宋体" w:hAnsi="宋体" w:eastAsia="宋体" w:cs="宋体"/>
                <w:color w:val="auto"/>
                <w:sz w:val="21"/>
                <w:szCs w:val="21"/>
                <w:highlight w:val="none"/>
              </w:rPr>
              <w:t>1</w:t>
            </w:r>
            <w:bookmarkEnd w:id="797"/>
            <w:bookmarkEnd w:id="798"/>
          </w:p>
        </w:tc>
        <w:tc>
          <w:tcPr>
            <w:tcW w:w="1267" w:type="dxa"/>
            <w:vAlign w:val="center"/>
          </w:tcPr>
          <w:p w14:paraId="04D72608">
            <w:pPr>
              <w:pStyle w:val="50"/>
              <w:jc w:val="center"/>
              <w:rPr>
                <w:rFonts w:hint="eastAsia" w:ascii="宋体" w:hAnsi="宋体" w:eastAsia="宋体" w:cs="宋体"/>
                <w:color w:val="auto"/>
                <w:sz w:val="21"/>
                <w:szCs w:val="21"/>
                <w:highlight w:val="none"/>
              </w:rPr>
            </w:pPr>
          </w:p>
        </w:tc>
        <w:tc>
          <w:tcPr>
            <w:tcW w:w="1296" w:type="dxa"/>
            <w:tcBorders>
              <w:right w:val="single" w:color="auto" w:sz="4" w:space="0"/>
            </w:tcBorders>
            <w:vAlign w:val="center"/>
          </w:tcPr>
          <w:p w14:paraId="7C735158">
            <w:pPr>
              <w:pStyle w:val="50"/>
              <w:jc w:val="center"/>
              <w:rPr>
                <w:rFonts w:hint="eastAsia" w:ascii="宋体" w:hAnsi="宋体" w:eastAsia="宋体" w:cs="宋体"/>
                <w:color w:val="auto"/>
                <w:sz w:val="21"/>
                <w:szCs w:val="21"/>
                <w:highlight w:val="none"/>
              </w:rPr>
            </w:pPr>
          </w:p>
        </w:tc>
        <w:tc>
          <w:tcPr>
            <w:tcW w:w="1080" w:type="dxa"/>
            <w:tcBorders>
              <w:left w:val="single" w:color="auto" w:sz="4" w:space="0"/>
            </w:tcBorders>
            <w:vAlign w:val="center"/>
          </w:tcPr>
          <w:p w14:paraId="0EF6F977">
            <w:pPr>
              <w:pStyle w:val="50"/>
              <w:jc w:val="center"/>
              <w:rPr>
                <w:rFonts w:hint="eastAsia" w:ascii="宋体" w:hAnsi="宋体" w:eastAsia="宋体" w:cs="宋体"/>
                <w:color w:val="auto"/>
                <w:sz w:val="21"/>
                <w:szCs w:val="21"/>
                <w:highlight w:val="none"/>
              </w:rPr>
            </w:pPr>
          </w:p>
        </w:tc>
        <w:tc>
          <w:tcPr>
            <w:tcW w:w="804" w:type="dxa"/>
            <w:tcBorders>
              <w:left w:val="single" w:color="auto" w:sz="4" w:space="0"/>
            </w:tcBorders>
            <w:vAlign w:val="center"/>
          </w:tcPr>
          <w:p w14:paraId="3483447B">
            <w:pPr>
              <w:pStyle w:val="50"/>
              <w:jc w:val="center"/>
              <w:rPr>
                <w:rFonts w:hint="eastAsia" w:ascii="宋体" w:hAnsi="宋体" w:eastAsia="宋体" w:cs="宋体"/>
                <w:color w:val="auto"/>
                <w:sz w:val="21"/>
                <w:szCs w:val="21"/>
                <w:highlight w:val="none"/>
              </w:rPr>
            </w:pPr>
          </w:p>
        </w:tc>
        <w:tc>
          <w:tcPr>
            <w:tcW w:w="1860" w:type="dxa"/>
            <w:vAlign w:val="center"/>
          </w:tcPr>
          <w:p w14:paraId="7F355EC3">
            <w:pPr>
              <w:pStyle w:val="50"/>
              <w:jc w:val="center"/>
              <w:rPr>
                <w:rFonts w:hint="eastAsia" w:ascii="宋体" w:hAnsi="宋体" w:eastAsia="宋体" w:cs="宋体"/>
                <w:color w:val="auto"/>
                <w:sz w:val="21"/>
                <w:szCs w:val="21"/>
                <w:highlight w:val="none"/>
              </w:rPr>
            </w:pPr>
          </w:p>
        </w:tc>
        <w:tc>
          <w:tcPr>
            <w:tcW w:w="1356" w:type="dxa"/>
            <w:vAlign w:val="center"/>
          </w:tcPr>
          <w:p w14:paraId="11476DCE">
            <w:pPr>
              <w:pStyle w:val="50"/>
              <w:jc w:val="center"/>
              <w:rPr>
                <w:rFonts w:hint="eastAsia" w:ascii="宋体" w:hAnsi="宋体" w:eastAsia="宋体" w:cs="宋体"/>
                <w:color w:val="auto"/>
                <w:sz w:val="21"/>
                <w:szCs w:val="21"/>
                <w:highlight w:val="none"/>
              </w:rPr>
            </w:pPr>
          </w:p>
        </w:tc>
        <w:tc>
          <w:tcPr>
            <w:tcW w:w="816" w:type="dxa"/>
            <w:vAlign w:val="center"/>
          </w:tcPr>
          <w:p w14:paraId="30F5864D">
            <w:pPr>
              <w:pStyle w:val="50"/>
              <w:jc w:val="center"/>
              <w:rPr>
                <w:rFonts w:hint="eastAsia" w:ascii="宋体" w:hAnsi="宋体" w:eastAsia="宋体" w:cs="宋体"/>
                <w:color w:val="auto"/>
                <w:sz w:val="21"/>
                <w:szCs w:val="21"/>
                <w:highlight w:val="none"/>
              </w:rPr>
            </w:pPr>
          </w:p>
        </w:tc>
      </w:tr>
      <w:tr w14:paraId="19E49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47F12C5C">
            <w:pPr>
              <w:pStyle w:val="50"/>
              <w:jc w:val="center"/>
              <w:rPr>
                <w:rFonts w:hint="eastAsia" w:ascii="宋体" w:hAnsi="宋体" w:eastAsia="宋体" w:cs="宋体"/>
                <w:color w:val="auto"/>
                <w:sz w:val="21"/>
                <w:szCs w:val="21"/>
                <w:highlight w:val="none"/>
              </w:rPr>
            </w:pPr>
            <w:bookmarkStart w:id="799" w:name="_Toc99533293"/>
            <w:bookmarkStart w:id="800" w:name="_Toc100090785"/>
            <w:r>
              <w:rPr>
                <w:rFonts w:hint="eastAsia" w:ascii="宋体" w:hAnsi="宋体" w:eastAsia="宋体" w:cs="宋体"/>
                <w:color w:val="auto"/>
                <w:sz w:val="21"/>
                <w:szCs w:val="21"/>
                <w:highlight w:val="none"/>
              </w:rPr>
              <w:t>2</w:t>
            </w:r>
            <w:bookmarkEnd w:id="799"/>
            <w:bookmarkEnd w:id="800"/>
          </w:p>
        </w:tc>
        <w:tc>
          <w:tcPr>
            <w:tcW w:w="1267" w:type="dxa"/>
            <w:vAlign w:val="center"/>
          </w:tcPr>
          <w:p w14:paraId="3AE14FF6">
            <w:pPr>
              <w:pStyle w:val="50"/>
              <w:jc w:val="center"/>
              <w:rPr>
                <w:rFonts w:hint="eastAsia" w:ascii="宋体" w:hAnsi="宋体" w:eastAsia="宋体" w:cs="宋体"/>
                <w:color w:val="auto"/>
                <w:sz w:val="21"/>
                <w:szCs w:val="21"/>
                <w:highlight w:val="none"/>
              </w:rPr>
            </w:pPr>
          </w:p>
        </w:tc>
        <w:tc>
          <w:tcPr>
            <w:tcW w:w="1296" w:type="dxa"/>
            <w:tcBorders>
              <w:right w:val="single" w:color="auto" w:sz="4" w:space="0"/>
            </w:tcBorders>
            <w:vAlign w:val="center"/>
          </w:tcPr>
          <w:p w14:paraId="06FFE829">
            <w:pPr>
              <w:pStyle w:val="50"/>
              <w:jc w:val="center"/>
              <w:rPr>
                <w:rFonts w:hint="eastAsia" w:ascii="宋体" w:hAnsi="宋体" w:eastAsia="宋体" w:cs="宋体"/>
                <w:color w:val="auto"/>
                <w:sz w:val="21"/>
                <w:szCs w:val="21"/>
                <w:highlight w:val="none"/>
              </w:rPr>
            </w:pPr>
          </w:p>
        </w:tc>
        <w:tc>
          <w:tcPr>
            <w:tcW w:w="1080" w:type="dxa"/>
            <w:tcBorders>
              <w:left w:val="single" w:color="auto" w:sz="4" w:space="0"/>
            </w:tcBorders>
            <w:vAlign w:val="center"/>
          </w:tcPr>
          <w:p w14:paraId="1A33E450">
            <w:pPr>
              <w:pStyle w:val="50"/>
              <w:jc w:val="center"/>
              <w:rPr>
                <w:rFonts w:hint="eastAsia" w:ascii="宋体" w:hAnsi="宋体" w:eastAsia="宋体" w:cs="宋体"/>
                <w:color w:val="auto"/>
                <w:sz w:val="21"/>
                <w:szCs w:val="21"/>
                <w:highlight w:val="none"/>
              </w:rPr>
            </w:pPr>
          </w:p>
        </w:tc>
        <w:tc>
          <w:tcPr>
            <w:tcW w:w="804" w:type="dxa"/>
            <w:tcBorders>
              <w:left w:val="single" w:color="auto" w:sz="4" w:space="0"/>
            </w:tcBorders>
            <w:vAlign w:val="center"/>
          </w:tcPr>
          <w:p w14:paraId="476ECD82">
            <w:pPr>
              <w:pStyle w:val="50"/>
              <w:jc w:val="center"/>
              <w:rPr>
                <w:rFonts w:hint="eastAsia" w:ascii="宋体" w:hAnsi="宋体" w:eastAsia="宋体" w:cs="宋体"/>
                <w:color w:val="auto"/>
                <w:sz w:val="21"/>
                <w:szCs w:val="21"/>
                <w:highlight w:val="none"/>
              </w:rPr>
            </w:pPr>
          </w:p>
        </w:tc>
        <w:tc>
          <w:tcPr>
            <w:tcW w:w="1860" w:type="dxa"/>
            <w:vAlign w:val="center"/>
          </w:tcPr>
          <w:p w14:paraId="390E678F">
            <w:pPr>
              <w:pStyle w:val="50"/>
              <w:jc w:val="center"/>
              <w:rPr>
                <w:rFonts w:hint="eastAsia" w:ascii="宋体" w:hAnsi="宋体" w:eastAsia="宋体" w:cs="宋体"/>
                <w:color w:val="auto"/>
                <w:sz w:val="21"/>
                <w:szCs w:val="21"/>
                <w:highlight w:val="none"/>
              </w:rPr>
            </w:pPr>
          </w:p>
        </w:tc>
        <w:tc>
          <w:tcPr>
            <w:tcW w:w="1356" w:type="dxa"/>
            <w:vAlign w:val="center"/>
          </w:tcPr>
          <w:p w14:paraId="44B4146B">
            <w:pPr>
              <w:pStyle w:val="50"/>
              <w:jc w:val="center"/>
              <w:rPr>
                <w:rFonts w:hint="eastAsia" w:ascii="宋体" w:hAnsi="宋体" w:eastAsia="宋体" w:cs="宋体"/>
                <w:color w:val="auto"/>
                <w:sz w:val="21"/>
                <w:szCs w:val="21"/>
                <w:highlight w:val="none"/>
              </w:rPr>
            </w:pPr>
          </w:p>
        </w:tc>
        <w:tc>
          <w:tcPr>
            <w:tcW w:w="816" w:type="dxa"/>
            <w:vAlign w:val="center"/>
          </w:tcPr>
          <w:p w14:paraId="3D8C0BFB">
            <w:pPr>
              <w:pStyle w:val="50"/>
              <w:jc w:val="center"/>
              <w:rPr>
                <w:rFonts w:hint="eastAsia" w:ascii="宋体" w:hAnsi="宋体" w:eastAsia="宋体" w:cs="宋体"/>
                <w:color w:val="auto"/>
                <w:sz w:val="21"/>
                <w:szCs w:val="21"/>
                <w:highlight w:val="none"/>
              </w:rPr>
            </w:pPr>
          </w:p>
        </w:tc>
      </w:tr>
      <w:tr w14:paraId="5F5E2B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0824241E">
            <w:pPr>
              <w:pStyle w:val="50"/>
              <w:jc w:val="center"/>
              <w:rPr>
                <w:rFonts w:hint="eastAsia" w:ascii="宋体" w:hAnsi="宋体" w:eastAsia="宋体" w:cs="宋体"/>
                <w:color w:val="auto"/>
                <w:sz w:val="21"/>
                <w:szCs w:val="21"/>
                <w:highlight w:val="none"/>
              </w:rPr>
            </w:pPr>
            <w:bookmarkStart w:id="801" w:name="_Toc99533294"/>
            <w:bookmarkStart w:id="802" w:name="_Toc100090786"/>
            <w:r>
              <w:rPr>
                <w:rFonts w:hint="eastAsia" w:ascii="宋体" w:hAnsi="宋体" w:eastAsia="宋体" w:cs="宋体"/>
                <w:color w:val="auto"/>
                <w:sz w:val="21"/>
                <w:szCs w:val="21"/>
                <w:highlight w:val="none"/>
              </w:rPr>
              <w:t>3</w:t>
            </w:r>
            <w:bookmarkEnd w:id="801"/>
            <w:bookmarkEnd w:id="802"/>
          </w:p>
        </w:tc>
        <w:tc>
          <w:tcPr>
            <w:tcW w:w="1267" w:type="dxa"/>
            <w:vAlign w:val="center"/>
          </w:tcPr>
          <w:p w14:paraId="19C12411">
            <w:pPr>
              <w:pStyle w:val="50"/>
              <w:jc w:val="center"/>
              <w:rPr>
                <w:rFonts w:hint="eastAsia" w:ascii="宋体" w:hAnsi="宋体" w:eastAsia="宋体" w:cs="宋体"/>
                <w:color w:val="auto"/>
                <w:sz w:val="21"/>
                <w:szCs w:val="21"/>
                <w:highlight w:val="none"/>
              </w:rPr>
            </w:pPr>
          </w:p>
        </w:tc>
        <w:tc>
          <w:tcPr>
            <w:tcW w:w="1296" w:type="dxa"/>
            <w:tcBorders>
              <w:right w:val="single" w:color="auto" w:sz="4" w:space="0"/>
            </w:tcBorders>
            <w:vAlign w:val="center"/>
          </w:tcPr>
          <w:p w14:paraId="1E33B914">
            <w:pPr>
              <w:pStyle w:val="50"/>
              <w:jc w:val="center"/>
              <w:rPr>
                <w:rFonts w:hint="eastAsia" w:ascii="宋体" w:hAnsi="宋体" w:eastAsia="宋体" w:cs="宋体"/>
                <w:color w:val="auto"/>
                <w:sz w:val="21"/>
                <w:szCs w:val="21"/>
                <w:highlight w:val="none"/>
              </w:rPr>
            </w:pPr>
          </w:p>
        </w:tc>
        <w:tc>
          <w:tcPr>
            <w:tcW w:w="1080" w:type="dxa"/>
            <w:tcBorders>
              <w:left w:val="single" w:color="auto" w:sz="4" w:space="0"/>
            </w:tcBorders>
            <w:vAlign w:val="center"/>
          </w:tcPr>
          <w:p w14:paraId="70C10384">
            <w:pPr>
              <w:pStyle w:val="50"/>
              <w:jc w:val="center"/>
              <w:rPr>
                <w:rFonts w:hint="eastAsia" w:ascii="宋体" w:hAnsi="宋体" w:eastAsia="宋体" w:cs="宋体"/>
                <w:color w:val="auto"/>
                <w:sz w:val="21"/>
                <w:szCs w:val="21"/>
                <w:highlight w:val="none"/>
              </w:rPr>
            </w:pPr>
          </w:p>
        </w:tc>
        <w:tc>
          <w:tcPr>
            <w:tcW w:w="804" w:type="dxa"/>
            <w:tcBorders>
              <w:left w:val="single" w:color="auto" w:sz="4" w:space="0"/>
            </w:tcBorders>
            <w:vAlign w:val="center"/>
          </w:tcPr>
          <w:p w14:paraId="657B47D5">
            <w:pPr>
              <w:pStyle w:val="50"/>
              <w:jc w:val="center"/>
              <w:rPr>
                <w:rFonts w:hint="eastAsia" w:ascii="宋体" w:hAnsi="宋体" w:eastAsia="宋体" w:cs="宋体"/>
                <w:color w:val="auto"/>
                <w:sz w:val="21"/>
                <w:szCs w:val="21"/>
                <w:highlight w:val="none"/>
              </w:rPr>
            </w:pPr>
          </w:p>
        </w:tc>
        <w:tc>
          <w:tcPr>
            <w:tcW w:w="1860" w:type="dxa"/>
            <w:vAlign w:val="center"/>
          </w:tcPr>
          <w:p w14:paraId="3F31D2CD">
            <w:pPr>
              <w:pStyle w:val="50"/>
              <w:jc w:val="center"/>
              <w:rPr>
                <w:rFonts w:hint="eastAsia" w:ascii="宋体" w:hAnsi="宋体" w:eastAsia="宋体" w:cs="宋体"/>
                <w:color w:val="auto"/>
                <w:sz w:val="21"/>
                <w:szCs w:val="21"/>
                <w:highlight w:val="none"/>
              </w:rPr>
            </w:pPr>
          </w:p>
        </w:tc>
        <w:tc>
          <w:tcPr>
            <w:tcW w:w="1356" w:type="dxa"/>
            <w:vAlign w:val="center"/>
          </w:tcPr>
          <w:p w14:paraId="3A9D9DD7">
            <w:pPr>
              <w:pStyle w:val="50"/>
              <w:jc w:val="center"/>
              <w:rPr>
                <w:rFonts w:hint="eastAsia" w:ascii="宋体" w:hAnsi="宋体" w:eastAsia="宋体" w:cs="宋体"/>
                <w:color w:val="auto"/>
                <w:sz w:val="21"/>
                <w:szCs w:val="21"/>
                <w:highlight w:val="none"/>
              </w:rPr>
            </w:pPr>
          </w:p>
        </w:tc>
        <w:tc>
          <w:tcPr>
            <w:tcW w:w="816" w:type="dxa"/>
            <w:vAlign w:val="center"/>
          </w:tcPr>
          <w:p w14:paraId="0ED9D4FB">
            <w:pPr>
              <w:pStyle w:val="50"/>
              <w:jc w:val="center"/>
              <w:rPr>
                <w:rFonts w:hint="eastAsia" w:ascii="宋体" w:hAnsi="宋体" w:eastAsia="宋体" w:cs="宋体"/>
                <w:color w:val="auto"/>
                <w:sz w:val="21"/>
                <w:szCs w:val="21"/>
                <w:highlight w:val="none"/>
              </w:rPr>
            </w:pPr>
          </w:p>
        </w:tc>
      </w:tr>
      <w:tr w14:paraId="72391D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329A399B">
            <w:pPr>
              <w:pStyle w:val="50"/>
              <w:jc w:val="center"/>
              <w:rPr>
                <w:rFonts w:hint="eastAsia" w:ascii="宋体" w:hAnsi="宋体" w:eastAsia="宋体" w:cs="宋体"/>
                <w:color w:val="auto"/>
                <w:sz w:val="21"/>
                <w:szCs w:val="21"/>
                <w:highlight w:val="none"/>
              </w:rPr>
            </w:pPr>
            <w:bookmarkStart w:id="803" w:name="_Toc100090787"/>
            <w:bookmarkStart w:id="804" w:name="_Toc99533295"/>
            <w:r>
              <w:rPr>
                <w:rFonts w:hint="eastAsia" w:ascii="宋体" w:hAnsi="宋体" w:eastAsia="宋体" w:cs="宋体"/>
                <w:color w:val="auto"/>
                <w:sz w:val="21"/>
                <w:szCs w:val="21"/>
                <w:highlight w:val="none"/>
              </w:rPr>
              <w:t>4</w:t>
            </w:r>
            <w:bookmarkEnd w:id="803"/>
            <w:bookmarkEnd w:id="804"/>
          </w:p>
        </w:tc>
        <w:tc>
          <w:tcPr>
            <w:tcW w:w="1267" w:type="dxa"/>
            <w:vAlign w:val="center"/>
          </w:tcPr>
          <w:p w14:paraId="42DE0F63">
            <w:pPr>
              <w:pStyle w:val="50"/>
              <w:jc w:val="center"/>
              <w:rPr>
                <w:rFonts w:hint="eastAsia" w:ascii="宋体" w:hAnsi="宋体" w:eastAsia="宋体" w:cs="宋体"/>
                <w:color w:val="auto"/>
                <w:sz w:val="21"/>
                <w:szCs w:val="21"/>
                <w:highlight w:val="none"/>
              </w:rPr>
            </w:pPr>
          </w:p>
        </w:tc>
        <w:tc>
          <w:tcPr>
            <w:tcW w:w="1296" w:type="dxa"/>
            <w:tcBorders>
              <w:right w:val="single" w:color="auto" w:sz="4" w:space="0"/>
            </w:tcBorders>
            <w:vAlign w:val="center"/>
          </w:tcPr>
          <w:p w14:paraId="3CA0809C">
            <w:pPr>
              <w:pStyle w:val="50"/>
              <w:jc w:val="center"/>
              <w:rPr>
                <w:rFonts w:hint="eastAsia" w:ascii="宋体" w:hAnsi="宋体" w:eastAsia="宋体" w:cs="宋体"/>
                <w:color w:val="auto"/>
                <w:sz w:val="21"/>
                <w:szCs w:val="21"/>
                <w:highlight w:val="none"/>
              </w:rPr>
            </w:pPr>
          </w:p>
        </w:tc>
        <w:tc>
          <w:tcPr>
            <w:tcW w:w="1080" w:type="dxa"/>
            <w:tcBorders>
              <w:left w:val="single" w:color="auto" w:sz="4" w:space="0"/>
            </w:tcBorders>
            <w:vAlign w:val="center"/>
          </w:tcPr>
          <w:p w14:paraId="6D63F4E6">
            <w:pPr>
              <w:pStyle w:val="50"/>
              <w:jc w:val="center"/>
              <w:rPr>
                <w:rFonts w:hint="eastAsia" w:ascii="宋体" w:hAnsi="宋体" w:eastAsia="宋体" w:cs="宋体"/>
                <w:color w:val="auto"/>
                <w:sz w:val="21"/>
                <w:szCs w:val="21"/>
                <w:highlight w:val="none"/>
              </w:rPr>
            </w:pPr>
          </w:p>
        </w:tc>
        <w:tc>
          <w:tcPr>
            <w:tcW w:w="804" w:type="dxa"/>
            <w:tcBorders>
              <w:left w:val="single" w:color="auto" w:sz="4" w:space="0"/>
            </w:tcBorders>
            <w:vAlign w:val="center"/>
          </w:tcPr>
          <w:p w14:paraId="496384D0">
            <w:pPr>
              <w:pStyle w:val="50"/>
              <w:jc w:val="center"/>
              <w:rPr>
                <w:rFonts w:hint="eastAsia" w:ascii="宋体" w:hAnsi="宋体" w:eastAsia="宋体" w:cs="宋体"/>
                <w:color w:val="auto"/>
                <w:sz w:val="21"/>
                <w:szCs w:val="21"/>
                <w:highlight w:val="none"/>
              </w:rPr>
            </w:pPr>
          </w:p>
        </w:tc>
        <w:tc>
          <w:tcPr>
            <w:tcW w:w="1860" w:type="dxa"/>
            <w:vAlign w:val="center"/>
          </w:tcPr>
          <w:p w14:paraId="068007BF">
            <w:pPr>
              <w:pStyle w:val="50"/>
              <w:jc w:val="center"/>
              <w:rPr>
                <w:rFonts w:hint="eastAsia" w:ascii="宋体" w:hAnsi="宋体" w:eastAsia="宋体" w:cs="宋体"/>
                <w:color w:val="auto"/>
                <w:sz w:val="21"/>
                <w:szCs w:val="21"/>
                <w:highlight w:val="none"/>
              </w:rPr>
            </w:pPr>
          </w:p>
        </w:tc>
        <w:tc>
          <w:tcPr>
            <w:tcW w:w="1356" w:type="dxa"/>
            <w:vAlign w:val="center"/>
          </w:tcPr>
          <w:p w14:paraId="5A94DC72">
            <w:pPr>
              <w:pStyle w:val="50"/>
              <w:jc w:val="center"/>
              <w:rPr>
                <w:rFonts w:hint="eastAsia" w:ascii="宋体" w:hAnsi="宋体" w:eastAsia="宋体" w:cs="宋体"/>
                <w:color w:val="auto"/>
                <w:sz w:val="21"/>
                <w:szCs w:val="21"/>
                <w:highlight w:val="none"/>
              </w:rPr>
            </w:pPr>
          </w:p>
        </w:tc>
        <w:tc>
          <w:tcPr>
            <w:tcW w:w="816" w:type="dxa"/>
            <w:vAlign w:val="center"/>
          </w:tcPr>
          <w:p w14:paraId="01F1E6DB">
            <w:pPr>
              <w:pStyle w:val="50"/>
              <w:jc w:val="center"/>
              <w:rPr>
                <w:rFonts w:hint="eastAsia" w:ascii="宋体" w:hAnsi="宋体" w:eastAsia="宋体" w:cs="宋体"/>
                <w:color w:val="auto"/>
                <w:sz w:val="21"/>
                <w:szCs w:val="21"/>
                <w:highlight w:val="none"/>
              </w:rPr>
            </w:pPr>
          </w:p>
        </w:tc>
      </w:tr>
      <w:tr w14:paraId="67CF6A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61FE3797">
            <w:pPr>
              <w:pStyle w:val="50"/>
              <w:jc w:val="center"/>
              <w:rPr>
                <w:rFonts w:hint="eastAsia" w:ascii="宋体" w:hAnsi="宋体" w:eastAsia="宋体" w:cs="宋体"/>
                <w:color w:val="auto"/>
                <w:sz w:val="21"/>
                <w:szCs w:val="21"/>
                <w:highlight w:val="none"/>
              </w:rPr>
            </w:pPr>
            <w:bookmarkStart w:id="805" w:name="_Toc100090788"/>
            <w:bookmarkStart w:id="806" w:name="_Toc99533296"/>
            <w:r>
              <w:rPr>
                <w:rFonts w:hint="eastAsia" w:ascii="宋体" w:hAnsi="宋体" w:eastAsia="宋体" w:cs="宋体"/>
                <w:color w:val="auto"/>
                <w:sz w:val="21"/>
                <w:szCs w:val="21"/>
                <w:highlight w:val="none"/>
              </w:rPr>
              <w:t>5</w:t>
            </w:r>
            <w:bookmarkEnd w:id="805"/>
            <w:bookmarkEnd w:id="806"/>
          </w:p>
        </w:tc>
        <w:tc>
          <w:tcPr>
            <w:tcW w:w="1267" w:type="dxa"/>
            <w:vAlign w:val="center"/>
          </w:tcPr>
          <w:p w14:paraId="3241008C">
            <w:pPr>
              <w:pStyle w:val="50"/>
              <w:jc w:val="center"/>
              <w:rPr>
                <w:rFonts w:hint="eastAsia" w:ascii="宋体" w:hAnsi="宋体" w:eastAsia="宋体" w:cs="宋体"/>
                <w:color w:val="auto"/>
                <w:sz w:val="21"/>
                <w:szCs w:val="21"/>
                <w:highlight w:val="none"/>
              </w:rPr>
            </w:pPr>
          </w:p>
        </w:tc>
        <w:tc>
          <w:tcPr>
            <w:tcW w:w="1296" w:type="dxa"/>
            <w:tcBorders>
              <w:right w:val="single" w:color="auto" w:sz="4" w:space="0"/>
            </w:tcBorders>
            <w:vAlign w:val="center"/>
          </w:tcPr>
          <w:p w14:paraId="3999E45B">
            <w:pPr>
              <w:pStyle w:val="50"/>
              <w:jc w:val="center"/>
              <w:rPr>
                <w:rFonts w:hint="eastAsia" w:ascii="宋体" w:hAnsi="宋体" w:eastAsia="宋体" w:cs="宋体"/>
                <w:color w:val="auto"/>
                <w:sz w:val="21"/>
                <w:szCs w:val="21"/>
                <w:highlight w:val="none"/>
              </w:rPr>
            </w:pPr>
          </w:p>
        </w:tc>
        <w:tc>
          <w:tcPr>
            <w:tcW w:w="1080" w:type="dxa"/>
            <w:tcBorders>
              <w:left w:val="single" w:color="auto" w:sz="4" w:space="0"/>
            </w:tcBorders>
            <w:vAlign w:val="center"/>
          </w:tcPr>
          <w:p w14:paraId="64009478">
            <w:pPr>
              <w:pStyle w:val="50"/>
              <w:jc w:val="center"/>
              <w:rPr>
                <w:rFonts w:hint="eastAsia" w:ascii="宋体" w:hAnsi="宋体" w:eastAsia="宋体" w:cs="宋体"/>
                <w:color w:val="auto"/>
                <w:sz w:val="21"/>
                <w:szCs w:val="21"/>
                <w:highlight w:val="none"/>
              </w:rPr>
            </w:pPr>
          </w:p>
        </w:tc>
        <w:tc>
          <w:tcPr>
            <w:tcW w:w="804" w:type="dxa"/>
            <w:tcBorders>
              <w:left w:val="single" w:color="auto" w:sz="4" w:space="0"/>
            </w:tcBorders>
            <w:vAlign w:val="center"/>
          </w:tcPr>
          <w:p w14:paraId="75153765">
            <w:pPr>
              <w:pStyle w:val="50"/>
              <w:jc w:val="center"/>
              <w:rPr>
                <w:rFonts w:hint="eastAsia" w:ascii="宋体" w:hAnsi="宋体" w:eastAsia="宋体" w:cs="宋体"/>
                <w:color w:val="auto"/>
                <w:sz w:val="21"/>
                <w:szCs w:val="21"/>
                <w:highlight w:val="none"/>
              </w:rPr>
            </w:pPr>
          </w:p>
        </w:tc>
        <w:tc>
          <w:tcPr>
            <w:tcW w:w="1860" w:type="dxa"/>
            <w:vAlign w:val="center"/>
          </w:tcPr>
          <w:p w14:paraId="12AB49C0">
            <w:pPr>
              <w:pStyle w:val="50"/>
              <w:jc w:val="center"/>
              <w:rPr>
                <w:rFonts w:hint="eastAsia" w:ascii="宋体" w:hAnsi="宋体" w:eastAsia="宋体" w:cs="宋体"/>
                <w:color w:val="auto"/>
                <w:sz w:val="21"/>
                <w:szCs w:val="21"/>
                <w:highlight w:val="none"/>
              </w:rPr>
            </w:pPr>
          </w:p>
        </w:tc>
        <w:tc>
          <w:tcPr>
            <w:tcW w:w="1356" w:type="dxa"/>
            <w:vAlign w:val="center"/>
          </w:tcPr>
          <w:p w14:paraId="1659A511">
            <w:pPr>
              <w:pStyle w:val="50"/>
              <w:jc w:val="center"/>
              <w:rPr>
                <w:rFonts w:hint="eastAsia" w:ascii="宋体" w:hAnsi="宋体" w:eastAsia="宋体" w:cs="宋体"/>
                <w:color w:val="auto"/>
                <w:sz w:val="21"/>
                <w:szCs w:val="21"/>
                <w:highlight w:val="none"/>
              </w:rPr>
            </w:pPr>
          </w:p>
        </w:tc>
        <w:tc>
          <w:tcPr>
            <w:tcW w:w="816" w:type="dxa"/>
            <w:vAlign w:val="center"/>
          </w:tcPr>
          <w:p w14:paraId="5FBE7410">
            <w:pPr>
              <w:pStyle w:val="50"/>
              <w:jc w:val="center"/>
              <w:rPr>
                <w:rFonts w:hint="eastAsia" w:ascii="宋体" w:hAnsi="宋体" w:eastAsia="宋体" w:cs="宋体"/>
                <w:color w:val="auto"/>
                <w:sz w:val="21"/>
                <w:szCs w:val="21"/>
                <w:highlight w:val="none"/>
              </w:rPr>
            </w:pPr>
          </w:p>
        </w:tc>
      </w:tr>
      <w:tr w14:paraId="053F8B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07DED61F">
            <w:pPr>
              <w:pStyle w:val="50"/>
              <w:jc w:val="center"/>
              <w:rPr>
                <w:rFonts w:hint="eastAsia" w:ascii="宋体" w:hAnsi="宋体" w:eastAsia="宋体" w:cs="宋体"/>
                <w:color w:val="auto"/>
                <w:sz w:val="21"/>
                <w:szCs w:val="21"/>
                <w:highlight w:val="none"/>
              </w:rPr>
            </w:pPr>
            <w:bookmarkStart w:id="807" w:name="_Toc99533297"/>
            <w:bookmarkStart w:id="808" w:name="_Toc100090789"/>
            <w:r>
              <w:rPr>
                <w:rFonts w:hint="eastAsia" w:ascii="宋体" w:hAnsi="宋体" w:eastAsia="宋体" w:cs="宋体"/>
                <w:color w:val="auto"/>
                <w:sz w:val="21"/>
                <w:szCs w:val="21"/>
                <w:highlight w:val="none"/>
              </w:rPr>
              <w:t>6</w:t>
            </w:r>
            <w:bookmarkEnd w:id="807"/>
            <w:bookmarkEnd w:id="808"/>
          </w:p>
        </w:tc>
        <w:tc>
          <w:tcPr>
            <w:tcW w:w="1267" w:type="dxa"/>
            <w:vAlign w:val="center"/>
          </w:tcPr>
          <w:p w14:paraId="40527E11">
            <w:pPr>
              <w:pStyle w:val="50"/>
              <w:jc w:val="center"/>
              <w:rPr>
                <w:rFonts w:hint="eastAsia" w:ascii="宋体" w:hAnsi="宋体" w:eastAsia="宋体" w:cs="宋体"/>
                <w:color w:val="auto"/>
                <w:sz w:val="21"/>
                <w:szCs w:val="21"/>
                <w:highlight w:val="none"/>
              </w:rPr>
            </w:pPr>
          </w:p>
        </w:tc>
        <w:tc>
          <w:tcPr>
            <w:tcW w:w="1296" w:type="dxa"/>
            <w:tcBorders>
              <w:right w:val="single" w:color="auto" w:sz="4" w:space="0"/>
            </w:tcBorders>
            <w:vAlign w:val="center"/>
          </w:tcPr>
          <w:p w14:paraId="16947C68">
            <w:pPr>
              <w:pStyle w:val="50"/>
              <w:jc w:val="center"/>
              <w:rPr>
                <w:rFonts w:hint="eastAsia" w:ascii="宋体" w:hAnsi="宋体" w:eastAsia="宋体" w:cs="宋体"/>
                <w:color w:val="auto"/>
                <w:sz w:val="21"/>
                <w:szCs w:val="21"/>
                <w:highlight w:val="none"/>
              </w:rPr>
            </w:pPr>
          </w:p>
        </w:tc>
        <w:tc>
          <w:tcPr>
            <w:tcW w:w="1080" w:type="dxa"/>
            <w:tcBorders>
              <w:left w:val="single" w:color="auto" w:sz="4" w:space="0"/>
            </w:tcBorders>
            <w:vAlign w:val="center"/>
          </w:tcPr>
          <w:p w14:paraId="1666B8AD">
            <w:pPr>
              <w:pStyle w:val="50"/>
              <w:jc w:val="center"/>
              <w:rPr>
                <w:rFonts w:hint="eastAsia" w:ascii="宋体" w:hAnsi="宋体" w:eastAsia="宋体" w:cs="宋体"/>
                <w:color w:val="auto"/>
                <w:sz w:val="21"/>
                <w:szCs w:val="21"/>
                <w:highlight w:val="none"/>
              </w:rPr>
            </w:pPr>
          </w:p>
        </w:tc>
        <w:tc>
          <w:tcPr>
            <w:tcW w:w="804" w:type="dxa"/>
            <w:tcBorders>
              <w:left w:val="single" w:color="auto" w:sz="4" w:space="0"/>
            </w:tcBorders>
            <w:vAlign w:val="center"/>
          </w:tcPr>
          <w:p w14:paraId="45256EB9">
            <w:pPr>
              <w:pStyle w:val="50"/>
              <w:jc w:val="center"/>
              <w:rPr>
                <w:rFonts w:hint="eastAsia" w:ascii="宋体" w:hAnsi="宋体" w:eastAsia="宋体" w:cs="宋体"/>
                <w:color w:val="auto"/>
                <w:sz w:val="21"/>
                <w:szCs w:val="21"/>
                <w:highlight w:val="none"/>
              </w:rPr>
            </w:pPr>
          </w:p>
        </w:tc>
        <w:tc>
          <w:tcPr>
            <w:tcW w:w="1860" w:type="dxa"/>
            <w:vAlign w:val="center"/>
          </w:tcPr>
          <w:p w14:paraId="51ADEB68">
            <w:pPr>
              <w:pStyle w:val="50"/>
              <w:jc w:val="center"/>
              <w:rPr>
                <w:rFonts w:hint="eastAsia" w:ascii="宋体" w:hAnsi="宋体" w:eastAsia="宋体" w:cs="宋体"/>
                <w:color w:val="auto"/>
                <w:sz w:val="21"/>
                <w:szCs w:val="21"/>
                <w:highlight w:val="none"/>
              </w:rPr>
            </w:pPr>
          </w:p>
        </w:tc>
        <w:tc>
          <w:tcPr>
            <w:tcW w:w="1356" w:type="dxa"/>
            <w:vAlign w:val="center"/>
          </w:tcPr>
          <w:p w14:paraId="1CED2476">
            <w:pPr>
              <w:pStyle w:val="50"/>
              <w:jc w:val="center"/>
              <w:rPr>
                <w:rFonts w:hint="eastAsia" w:ascii="宋体" w:hAnsi="宋体" w:eastAsia="宋体" w:cs="宋体"/>
                <w:color w:val="auto"/>
                <w:sz w:val="21"/>
                <w:szCs w:val="21"/>
                <w:highlight w:val="none"/>
              </w:rPr>
            </w:pPr>
          </w:p>
        </w:tc>
        <w:tc>
          <w:tcPr>
            <w:tcW w:w="816" w:type="dxa"/>
            <w:vAlign w:val="center"/>
          </w:tcPr>
          <w:p w14:paraId="4EF8AB8A">
            <w:pPr>
              <w:pStyle w:val="50"/>
              <w:jc w:val="center"/>
              <w:rPr>
                <w:rFonts w:hint="eastAsia" w:ascii="宋体" w:hAnsi="宋体" w:eastAsia="宋体" w:cs="宋体"/>
                <w:color w:val="auto"/>
                <w:sz w:val="21"/>
                <w:szCs w:val="21"/>
                <w:highlight w:val="none"/>
              </w:rPr>
            </w:pPr>
          </w:p>
        </w:tc>
      </w:tr>
      <w:tr w14:paraId="661CA4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6AA4734C">
            <w:pPr>
              <w:pStyle w:val="50"/>
              <w:jc w:val="center"/>
              <w:rPr>
                <w:rFonts w:hint="eastAsia" w:ascii="宋体" w:hAnsi="宋体" w:eastAsia="宋体" w:cs="宋体"/>
                <w:color w:val="auto"/>
                <w:sz w:val="21"/>
                <w:szCs w:val="21"/>
                <w:highlight w:val="none"/>
              </w:rPr>
            </w:pPr>
            <w:bookmarkStart w:id="809" w:name="_Toc100090790"/>
            <w:bookmarkStart w:id="810" w:name="_Toc99533298"/>
            <w:r>
              <w:rPr>
                <w:rFonts w:hint="eastAsia" w:ascii="宋体" w:hAnsi="宋体" w:eastAsia="宋体" w:cs="宋体"/>
                <w:color w:val="auto"/>
                <w:sz w:val="21"/>
                <w:szCs w:val="21"/>
                <w:highlight w:val="none"/>
              </w:rPr>
              <w:t>7</w:t>
            </w:r>
            <w:bookmarkEnd w:id="809"/>
            <w:bookmarkEnd w:id="810"/>
          </w:p>
        </w:tc>
        <w:tc>
          <w:tcPr>
            <w:tcW w:w="1267" w:type="dxa"/>
            <w:vAlign w:val="center"/>
          </w:tcPr>
          <w:p w14:paraId="3F3B684D">
            <w:pPr>
              <w:pStyle w:val="50"/>
              <w:jc w:val="center"/>
              <w:rPr>
                <w:rFonts w:hint="eastAsia" w:ascii="宋体" w:hAnsi="宋体" w:eastAsia="宋体" w:cs="宋体"/>
                <w:color w:val="auto"/>
                <w:sz w:val="21"/>
                <w:szCs w:val="21"/>
                <w:highlight w:val="none"/>
              </w:rPr>
            </w:pPr>
          </w:p>
        </w:tc>
        <w:tc>
          <w:tcPr>
            <w:tcW w:w="1296" w:type="dxa"/>
            <w:tcBorders>
              <w:right w:val="single" w:color="auto" w:sz="4" w:space="0"/>
            </w:tcBorders>
            <w:vAlign w:val="center"/>
          </w:tcPr>
          <w:p w14:paraId="78032A99">
            <w:pPr>
              <w:pStyle w:val="50"/>
              <w:jc w:val="center"/>
              <w:rPr>
                <w:rFonts w:hint="eastAsia" w:ascii="宋体" w:hAnsi="宋体" w:eastAsia="宋体" w:cs="宋体"/>
                <w:color w:val="auto"/>
                <w:sz w:val="21"/>
                <w:szCs w:val="21"/>
                <w:highlight w:val="none"/>
              </w:rPr>
            </w:pPr>
          </w:p>
        </w:tc>
        <w:tc>
          <w:tcPr>
            <w:tcW w:w="1080" w:type="dxa"/>
            <w:tcBorders>
              <w:left w:val="single" w:color="auto" w:sz="4" w:space="0"/>
            </w:tcBorders>
            <w:vAlign w:val="center"/>
          </w:tcPr>
          <w:p w14:paraId="601AE572">
            <w:pPr>
              <w:pStyle w:val="50"/>
              <w:jc w:val="center"/>
              <w:rPr>
                <w:rFonts w:hint="eastAsia" w:ascii="宋体" w:hAnsi="宋体" w:eastAsia="宋体" w:cs="宋体"/>
                <w:color w:val="auto"/>
                <w:sz w:val="21"/>
                <w:szCs w:val="21"/>
                <w:highlight w:val="none"/>
              </w:rPr>
            </w:pPr>
          </w:p>
        </w:tc>
        <w:tc>
          <w:tcPr>
            <w:tcW w:w="804" w:type="dxa"/>
            <w:tcBorders>
              <w:left w:val="single" w:color="auto" w:sz="4" w:space="0"/>
            </w:tcBorders>
            <w:vAlign w:val="center"/>
          </w:tcPr>
          <w:p w14:paraId="01172C19">
            <w:pPr>
              <w:pStyle w:val="50"/>
              <w:jc w:val="center"/>
              <w:rPr>
                <w:rFonts w:hint="eastAsia" w:ascii="宋体" w:hAnsi="宋体" w:eastAsia="宋体" w:cs="宋体"/>
                <w:color w:val="auto"/>
                <w:sz w:val="21"/>
                <w:szCs w:val="21"/>
                <w:highlight w:val="none"/>
              </w:rPr>
            </w:pPr>
          </w:p>
        </w:tc>
        <w:tc>
          <w:tcPr>
            <w:tcW w:w="1860" w:type="dxa"/>
            <w:vAlign w:val="center"/>
          </w:tcPr>
          <w:p w14:paraId="7E9B2A2D">
            <w:pPr>
              <w:pStyle w:val="50"/>
              <w:jc w:val="center"/>
              <w:rPr>
                <w:rFonts w:hint="eastAsia" w:ascii="宋体" w:hAnsi="宋体" w:eastAsia="宋体" w:cs="宋体"/>
                <w:color w:val="auto"/>
                <w:sz w:val="21"/>
                <w:szCs w:val="21"/>
                <w:highlight w:val="none"/>
              </w:rPr>
            </w:pPr>
          </w:p>
        </w:tc>
        <w:tc>
          <w:tcPr>
            <w:tcW w:w="1356" w:type="dxa"/>
            <w:vAlign w:val="center"/>
          </w:tcPr>
          <w:p w14:paraId="4A11C356">
            <w:pPr>
              <w:pStyle w:val="50"/>
              <w:jc w:val="center"/>
              <w:rPr>
                <w:rFonts w:hint="eastAsia" w:ascii="宋体" w:hAnsi="宋体" w:eastAsia="宋体" w:cs="宋体"/>
                <w:color w:val="auto"/>
                <w:sz w:val="21"/>
                <w:szCs w:val="21"/>
                <w:highlight w:val="none"/>
              </w:rPr>
            </w:pPr>
          </w:p>
        </w:tc>
        <w:tc>
          <w:tcPr>
            <w:tcW w:w="816" w:type="dxa"/>
            <w:vAlign w:val="center"/>
          </w:tcPr>
          <w:p w14:paraId="718DD530">
            <w:pPr>
              <w:pStyle w:val="50"/>
              <w:jc w:val="center"/>
              <w:rPr>
                <w:rFonts w:hint="eastAsia" w:ascii="宋体" w:hAnsi="宋体" w:eastAsia="宋体" w:cs="宋体"/>
                <w:color w:val="auto"/>
                <w:sz w:val="21"/>
                <w:szCs w:val="21"/>
                <w:highlight w:val="none"/>
              </w:rPr>
            </w:pPr>
          </w:p>
        </w:tc>
      </w:tr>
      <w:tr w14:paraId="5E0A6F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603F7F8C">
            <w:pPr>
              <w:pStyle w:val="50"/>
              <w:jc w:val="center"/>
              <w:rPr>
                <w:rFonts w:hint="eastAsia" w:ascii="宋体" w:hAnsi="宋体" w:eastAsia="宋体" w:cs="宋体"/>
                <w:color w:val="auto"/>
                <w:sz w:val="21"/>
                <w:szCs w:val="21"/>
                <w:highlight w:val="none"/>
              </w:rPr>
            </w:pPr>
            <w:bookmarkStart w:id="811" w:name="_Toc99533299"/>
            <w:bookmarkStart w:id="812" w:name="_Toc100090791"/>
            <w:r>
              <w:rPr>
                <w:rFonts w:hint="eastAsia" w:ascii="宋体" w:hAnsi="宋体" w:eastAsia="宋体" w:cs="宋体"/>
                <w:color w:val="auto"/>
                <w:sz w:val="21"/>
                <w:szCs w:val="21"/>
                <w:highlight w:val="none"/>
              </w:rPr>
              <w:t>8</w:t>
            </w:r>
            <w:bookmarkEnd w:id="811"/>
            <w:bookmarkEnd w:id="812"/>
          </w:p>
        </w:tc>
        <w:tc>
          <w:tcPr>
            <w:tcW w:w="1267" w:type="dxa"/>
            <w:vAlign w:val="center"/>
          </w:tcPr>
          <w:p w14:paraId="20BD29D0">
            <w:pPr>
              <w:pStyle w:val="50"/>
              <w:jc w:val="center"/>
              <w:rPr>
                <w:rFonts w:hint="eastAsia" w:ascii="宋体" w:hAnsi="宋体" w:eastAsia="宋体" w:cs="宋体"/>
                <w:color w:val="auto"/>
                <w:sz w:val="21"/>
                <w:szCs w:val="21"/>
                <w:highlight w:val="none"/>
              </w:rPr>
            </w:pPr>
          </w:p>
        </w:tc>
        <w:tc>
          <w:tcPr>
            <w:tcW w:w="1296" w:type="dxa"/>
            <w:tcBorders>
              <w:right w:val="single" w:color="auto" w:sz="4" w:space="0"/>
            </w:tcBorders>
            <w:vAlign w:val="center"/>
          </w:tcPr>
          <w:p w14:paraId="7C9D455C">
            <w:pPr>
              <w:pStyle w:val="50"/>
              <w:jc w:val="center"/>
              <w:rPr>
                <w:rFonts w:hint="eastAsia" w:ascii="宋体" w:hAnsi="宋体" w:eastAsia="宋体" w:cs="宋体"/>
                <w:color w:val="auto"/>
                <w:sz w:val="21"/>
                <w:szCs w:val="21"/>
                <w:highlight w:val="none"/>
              </w:rPr>
            </w:pPr>
          </w:p>
        </w:tc>
        <w:tc>
          <w:tcPr>
            <w:tcW w:w="1080" w:type="dxa"/>
            <w:tcBorders>
              <w:left w:val="single" w:color="auto" w:sz="4" w:space="0"/>
            </w:tcBorders>
            <w:vAlign w:val="center"/>
          </w:tcPr>
          <w:p w14:paraId="3548599B">
            <w:pPr>
              <w:pStyle w:val="50"/>
              <w:jc w:val="center"/>
              <w:rPr>
                <w:rFonts w:hint="eastAsia" w:ascii="宋体" w:hAnsi="宋体" w:eastAsia="宋体" w:cs="宋体"/>
                <w:color w:val="auto"/>
                <w:sz w:val="21"/>
                <w:szCs w:val="21"/>
                <w:highlight w:val="none"/>
              </w:rPr>
            </w:pPr>
          </w:p>
        </w:tc>
        <w:tc>
          <w:tcPr>
            <w:tcW w:w="804" w:type="dxa"/>
            <w:tcBorders>
              <w:left w:val="single" w:color="auto" w:sz="4" w:space="0"/>
            </w:tcBorders>
            <w:vAlign w:val="center"/>
          </w:tcPr>
          <w:p w14:paraId="2842C962">
            <w:pPr>
              <w:pStyle w:val="50"/>
              <w:jc w:val="center"/>
              <w:rPr>
                <w:rFonts w:hint="eastAsia" w:ascii="宋体" w:hAnsi="宋体" w:eastAsia="宋体" w:cs="宋体"/>
                <w:color w:val="auto"/>
                <w:sz w:val="21"/>
                <w:szCs w:val="21"/>
                <w:highlight w:val="none"/>
              </w:rPr>
            </w:pPr>
          </w:p>
        </w:tc>
        <w:tc>
          <w:tcPr>
            <w:tcW w:w="1860" w:type="dxa"/>
            <w:vAlign w:val="center"/>
          </w:tcPr>
          <w:p w14:paraId="292DF220">
            <w:pPr>
              <w:pStyle w:val="50"/>
              <w:jc w:val="center"/>
              <w:rPr>
                <w:rFonts w:hint="eastAsia" w:ascii="宋体" w:hAnsi="宋体" w:eastAsia="宋体" w:cs="宋体"/>
                <w:color w:val="auto"/>
                <w:sz w:val="21"/>
                <w:szCs w:val="21"/>
                <w:highlight w:val="none"/>
              </w:rPr>
            </w:pPr>
          </w:p>
        </w:tc>
        <w:tc>
          <w:tcPr>
            <w:tcW w:w="1356" w:type="dxa"/>
            <w:vAlign w:val="center"/>
          </w:tcPr>
          <w:p w14:paraId="70F58594">
            <w:pPr>
              <w:pStyle w:val="50"/>
              <w:jc w:val="center"/>
              <w:rPr>
                <w:rFonts w:hint="eastAsia" w:ascii="宋体" w:hAnsi="宋体" w:eastAsia="宋体" w:cs="宋体"/>
                <w:color w:val="auto"/>
                <w:sz w:val="21"/>
                <w:szCs w:val="21"/>
                <w:highlight w:val="none"/>
              </w:rPr>
            </w:pPr>
          </w:p>
        </w:tc>
        <w:tc>
          <w:tcPr>
            <w:tcW w:w="816" w:type="dxa"/>
            <w:vAlign w:val="center"/>
          </w:tcPr>
          <w:p w14:paraId="247AF589">
            <w:pPr>
              <w:pStyle w:val="50"/>
              <w:jc w:val="center"/>
              <w:rPr>
                <w:rFonts w:hint="eastAsia" w:ascii="宋体" w:hAnsi="宋体" w:eastAsia="宋体" w:cs="宋体"/>
                <w:color w:val="auto"/>
                <w:sz w:val="21"/>
                <w:szCs w:val="21"/>
                <w:highlight w:val="none"/>
              </w:rPr>
            </w:pPr>
          </w:p>
        </w:tc>
      </w:tr>
      <w:tr w14:paraId="17D5B0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4F7A90D9">
            <w:pPr>
              <w:pStyle w:val="50"/>
              <w:jc w:val="center"/>
              <w:rPr>
                <w:rFonts w:hint="eastAsia" w:ascii="宋体" w:hAnsi="宋体" w:eastAsia="宋体" w:cs="宋体"/>
                <w:color w:val="auto"/>
                <w:sz w:val="21"/>
                <w:szCs w:val="21"/>
                <w:highlight w:val="none"/>
              </w:rPr>
            </w:pPr>
            <w:bookmarkStart w:id="813" w:name="_Toc99533300"/>
            <w:bookmarkStart w:id="814" w:name="_Toc100090792"/>
            <w:r>
              <w:rPr>
                <w:rFonts w:hint="eastAsia" w:ascii="宋体" w:hAnsi="宋体" w:eastAsia="宋体" w:cs="宋体"/>
                <w:color w:val="auto"/>
                <w:sz w:val="21"/>
                <w:szCs w:val="21"/>
                <w:highlight w:val="none"/>
              </w:rPr>
              <w:t>9</w:t>
            </w:r>
            <w:bookmarkEnd w:id="813"/>
            <w:bookmarkEnd w:id="814"/>
          </w:p>
        </w:tc>
        <w:tc>
          <w:tcPr>
            <w:tcW w:w="1267" w:type="dxa"/>
            <w:vAlign w:val="center"/>
          </w:tcPr>
          <w:p w14:paraId="6C5090EC">
            <w:pPr>
              <w:pStyle w:val="50"/>
              <w:jc w:val="center"/>
              <w:rPr>
                <w:rFonts w:hint="eastAsia" w:ascii="宋体" w:hAnsi="宋体" w:eastAsia="宋体" w:cs="宋体"/>
                <w:color w:val="auto"/>
                <w:sz w:val="21"/>
                <w:szCs w:val="21"/>
                <w:highlight w:val="none"/>
              </w:rPr>
            </w:pPr>
          </w:p>
        </w:tc>
        <w:tc>
          <w:tcPr>
            <w:tcW w:w="1296" w:type="dxa"/>
            <w:tcBorders>
              <w:right w:val="single" w:color="auto" w:sz="4" w:space="0"/>
            </w:tcBorders>
            <w:vAlign w:val="center"/>
          </w:tcPr>
          <w:p w14:paraId="32CD2ADB">
            <w:pPr>
              <w:pStyle w:val="50"/>
              <w:jc w:val="center"/>
              <w:rPr>
                <w:rFonts w:hint="eastAsia" w:ascii="宋体" w:hAnsi="宋体" w:eastAsia="宋体" w:cs="宋体"/>
                <w:color w:val="auto"/>
                <w:sz w:val="21"/>
                <w:szCs w:val="21"/>
                <w:highlight w:val="none"/>
              </w:rPr>
            </w:pPr>
          </w:p>
        </w:tc>
        <w:tc>
          <w:tcPr>
            <w:tcW w:w="1080" w:type="dxa"/>
            <w:tcBorders>
              <w:left w:val="single" w:color="auto" w:sz="4" w:space="0"/>
            </w:tcBorders>
            <w:vAlign w:val="center"/>
          </w:tcPr>
          <w:p w14:paraId="0DD9EDDC">
            <w:pPr>
              <w:pStyle w:val="50"/>
              <w:jc w:val="center"/>
              <w:rPr>
                <w:rFonts w:hint="eastAsia" w:ascii="宋体" w:hAnsi="宋体" w:eastAsia="宋体" w:cs="宋体"/>
                <w:color w:val="auto"/>
                <w:sz w:val="21"/>
                <w:szCs w:val="21"/>
                <w:highlight w:val="none"/>
              </w:rPr>
            </w:pPr>
          </w:p>
        </w:tc>
        <w:tc>
          <w:tcPr>
            <w:tcW w:w="804" w:type="dxa"/>
            <w:tcBorders>
              <w:left w:val="single" w:color="auto" w:sz="4" w:space="0"/>
            </w:tcBorders>
            <w:vAlign w:val="center"/>
          </w:tcPr>
          <w:p w14:paraId="05650614">
            <w:pPr>
              <w:pStyle w:val="50"/>
              <w:jc w:val="center"/>
              <w:rPr>
                <w:rFonts w:hint="eastAsia" w:ascii="宋体" w:hAnsi="宋体" w:eastAsia="宋体" w:cs="宋体"/>
                <w:color w:val="auto"/>
                <w:sz w:val="21"/>
                <w:szCs w:val="21"/>
                <w:highlight w:val="none"/>
              </w:rPr>
            </w:pPr>
          </w:p>
        </w:tc>
        <w:tc>
          <w:tcPr>
            <w:tcW w:w="1860" w:type="dxa"/>
            <w:vAlign w:val="center"/>
          </w:tcPr>
          <w:p w14:paraId="337B4053">
            <w:pPr>
              <w:pStyle w:val="50"/>
              <w:jc w:val="center"/>
              <w:rPr>
                <w:rFonts w:hint="eastAsia" w:ascii="宋体" w:hAnsi="宋体" w:eastAsia="宋体" w:cs="宋体"/>
                <w:color w:val="auto"/>
                <w:sz w:val="21"/>
                <w:szCs w:val="21"/>
                <w:highlight w:val="none"/>
              </w:rPr>
            </w:pPr>
          </w:p>
        </w:tc>
        <w:tc>
          <w:tcPr>
            <w:tcW w:w="1356" w:type="dxa"/>
            <w:vAlign w:val="center"/>
          </w:tcPr>
          <w:p w14:paraId="7D6C0C38">
            <w:pPr>
              <w:pStyle w:val="50"/>
              <w:jc w:val="center"/>
              <w:rPr>
                <w:rFonts w:hint="eastAsia" w:ascii="宋体" w:hAnsi="宋体" w:eastAsia="宋体" w:cs="宋体"/>
                <w:color w:val="auto"/>
                <w:sz w:val="21"/>
                <w:szCs w:val="21"/>
                <w:highlight w:val="none"/>
              </w:rPr>
            </w:pPr>
          </w:p>
        </w:tc>
        <w:tc>
          <w:tcPr>
            <w:tcW w:w="816" w:type="dxa"/>
            <w:vAlign w:val="center"/>
          </w:tcPr>
          <w:p w14:paraId="45D99552">
            <w:pPr>
              <w:pStyle w:val="50"/>
              <w:jc w:val="center"/>
              <w:rPr>
                <w:rFonts w:hint="eastAsia" w:ascii="宋体" w:hAnsi="宋体" w:eastAsia="宋体" w:cs="宋体"/>
                <w:color w:val="auto"/>
                <w:sz w:val="21"/>
                <w:szCs w:val="21"/>
                <w:highlight w:val="none"/>
              </w:rPr>
            </w:pPr>
          </w:p>
        </w:tc>
      </w:tr>
      <w:tr w14:paraId="5F497A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9" w:hRule="atLeast"/>
        </w:trPr>
        <w:tc>
          <w:tcPr>
            <w:tcW w:w="773" w:type="dxa"/>
            <w:vAlign w:val="center"/>
          </w:tcPr>
          <w:p w14:paraId="406250BE">
            <w:pPr>
              <w:pStyle w:val="50"/>
              <w:jc w:val="center"/>
              <w:rPr>
                <w:rFonts w:hint="eastAsia" w:ascii="宋体" w:hAnsi="宋体" w:eastAsia="宋体" w:cs="宋体"/>
                <w:color w:val="auto"/>
                <w:sz w:val="21"/>
                <w:szCs w:val="21"/>
                <w:highlight w:val="none"/>
              </w:rPr>
            </w:pPr>
            <w:bookmarkStart w:id="815" w:name="_Toc100090793"/>
            <w:bookmarkStart w:id="816" w:name="_Toc99533301"/>
            <w:r>
              <w:rPr>
                <w:rFonts w:hint="eastAsia" w:ascii="宋体" w:hAnsi="宋体" w:eastAsia="宋体" w:cs="宋体"/>
                <w:color w:val="auto"/>
                <w:sz w:val="21"/>
                <w:szCs w:val="21"/>
                <w:highlight w:val="none"/>
              </w:rPr>
              <w:t>10</w:t>
            </w:r>
            <w:bookmarkEnd w:id="815"/>
            <w:bookmarkEnd w:id="816"/>
          </w:p>
        </w:tc>
        <w:tc>
          <w:tcPr>
            <w:tcW w:w="1267" w:type="dxa"/>
            <w:vAlign w:val="center"/>
          </w:tcPr>
          <w:p w14:paraId="0D84E205">
            <w:pPr>
              <w:pStyle w:val="50"/>
              <w:jc w:val="center"/>
              <w:rPr>
                <w:rFonts w:hint="eastAsia" w:ascii="宋体" w:hAnsi="宋体" w:eastAsia="宋体" w:cs="宋体"/>
                <w:color w:val="auto"/>
                <w:sz w:val="21"/>
                <w:szCs w:val="21"/>
                <w:highlight w:val="none"/>
              </w:rPr>
            </w:pPr>
          </w:p>
        </w:tc>
        <w:tc>
          <w:tcPr>
            <w:tcW w:w="1296" w:type="dxa"/>
            <w:tcBorders>
              <w:right w:val="single" w:color="auto" w:sz="4" w:space="0"/>
            </w:tcBorders>
            <w:vAlign w:val="center"/>
          </w:tcPr>
          <w:p w14:paraId="79F36313">
            <w:pPr>
              <w:pStyle w:val="50"/>
              <w:jc w:val="center"/>
              <w:rPr>
                <w:rFonts w:hint="eastAsia" w:ascii="宋体" w:hAnsi="宋体" w:eastAsia="宋体" w:cs="宋体"/>
                <w:color w:val="auto"/>
                <w:sz w:val="21"/>
                <w:szCs w:val="21"/>
                <w:highlight w:val="none"/>
              </w:rPr>
            </w:pPr>
          </w:p>
        </w:tc>
        <w:tc>
          <w:tcPr>
            <w:tcW w:w="1080" w:type="dxa"/>
            <w:tcBorders>
              <w:left w:val="single" w:color="auto" w:sz="4" w:space="0"/>
            </w:tcBorders>
            <w:vAlign w:val="center"/>
          </w:tcPr>
          <w:p w14:paraId="193C6909">
            <w:pPr>
              <w:pStyle w:val="50"/>
              <w:jc w:val="center"/>
              <w:rPr>
                <w:rFonts w:hint="eastAsia" w:ascii="宋体" w:hAnsi="宋体" w:eastAsia="宋体" w:cs="宋体"/>
                <w:color w:val="auto"/>
                <w:sz w:val="21"/>
                <w:szCs w:val="21"/>
                <w:highlight w:val="none"/>
              </w:rPr>
            </w:pPr>
          </w:p>
        </w:tc>
        <w:tc>
          <w:tcPr>
            <w:tcW w:w="804" w:type="dxa"/>
            <w:tcBorders>
              <w:left w:val="single" w:color="auto" w:sz="4" w:space="0"/>
            </w:tcBorders>
            <w:vAlign w:val="center"/>
          </w:tcPr>
          <w:p w14:paraId="6C34049E">
            <w:pPr>
              <w:pStyle w:val="50"/>
              <w:jc w:val="center"/>
              <w:rPr>
                <w:rFonts w:hint="eastAsia" w:ascii="宋体" w:hAnsi="宋体" w:eastAsia="宋体" w:cs="宋体"/>
                <w:color w:val="auto"/>
                <w:sz w:val="21"/>
                <w:szCs w:val="21"/>
                <w:highlight w:val="none"/>
              </w:rPr>
            </w:pPr>
          </w:p>
        </w:tc>
        <w:tc>
          <w:tcPr>
            <w:tcW w:w="1860" w:type="dxa"/>
            <w:vAlign w:val="center"/>
          </w:tcPr>
          <w:p w14:paraId="7790D037">
            <w:pPr>
              <w:pStyle w:val="50"/>
              <w:jc w:val="center"/>
              <w:rPr>
                <w:rFonts w:hint="eastAsia" w:ascii="宋体" w:hAnsi="宋体" w:eastAsia="宋体" w:cs="宋体"/>
                <w:color w:val="auto"/>
                <w:sz w:val="21"/>
                <w:szCs w:val="21"/>
                <w:highlight w:val="none"/>
              </w:rPr>
            </w:pPr>
          </w:p>
        </w:tc>
        <w:tc>
          <w:tcPr>
            <w:tcW w:w="1356" w:type="dxa"/>
            <w:vAlign w:val="center"/>
          </w:tcPr>
          <w:p w14:paraId="7B74B27D">
            <w:pPr>
              <w:pStyle w:val="50"/>
              <w:jc w:val="center"/>
              <w:rPr>
                <w:rFonts w:hint="eastAsia" w:ascii="宋体" w:hAnsi="宋体" w:eastAsia="宋体" w:cs="宋体"/>
                <w:color w:val="auto"/>
                <w:sz w:val="21"/>
                <w:szCs w:val="21"/>
                <w:highlight w:val="none"/>
              </w:rPr>
            </w:pPr>
          </w:p>
        </w:tc>
        <w:tc>
          <w:tcPr>
            <w:tcW w:w="816" w:type="dxa"/>
            <w:vAlign w:val="center"/>
          </w:tcPr>
          <w:p w14:paraId="77E1C162">
            <w:pPr>
              <w:pStyle w:val="50"/>
              <w:jc w:val="center"/>
              <w:rPr>
                <w:rFonts w:hint="eastAsia" w:ascii="宋体" w:hAnsi="宋体" w:eastAsia="宋体" w:cs="宋体"/>
                <w:color w:val="auto"/>
                <w:sz w:val="21"/>
                <w:szCs w:val="21"/>
                <w:highlight w:val="none"/>
              </w:rPr>
            </w:pPr>
          </w:p>
        </w:tc>
      </w:tr>
    </w:tbl>
    <w:p w14:paraId="51ED7B0D">
      <w:pPr>
        <w:rPr>
          <w:color w:val="auto"/>
          <w:highlight w:val="none"/>
        </w:rPr>
      </w:pPr>
      <w:r>
        <w:rPr>
          <w:color w:val="auto"/>
          <w:highlight w:val="none"/>
        </w:rPr>
        <w:br w:type="page"/>
      </w:r>
    </w:p>
    <w:p w14:paraId="1358285E">
      <w:pPr>
        <w:pStyle w:val="2"/>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eastAsia="宋体" w:asciiTheme="majorHAnsi" w:hAnsiTheme="majorHAnsi" w:cstheme="majorBidi"/>
          <w:b/>
          <w:bCs/>
          <w:color w:val="auto"/>
          <w:kern w:val="2"/>
          <w:sz w:val="32"/>
          <w:szCs w:val="32"/>
          <w:highlight w:val="none"/>
          <w:lang w:val="en-US" w:eastAsia="zh-CN" w:bidi="ar-SA"/>
        </w:rPr>
      </w:pPr>
      <w:bookmarkStart w:id="817" w:name="_Toc28083"/>
      <w:r>
        <w:rPr>
          <w:rFonts w:hint="eastAsia" w:cstheme="majorBidi"/>
          <w:b/>
          <w:bCs/>
          <w:color w:val="auto"/>
          <w:kern w:val="2"/>
          <w:sz w:val="32"/>
          <w:szCs w:val="32"/>
          <w:highlight w:val="none"/>
          <w:lang w:val="en-US" w:eastAsia="zh-CN" w:bidi="ar-SA"/>
        </w:rPr>
        <w:t>九</w:t>
      </w:r>
      <w:r>
        <w:rPr>
          <w:rFonts w:hint="eastAsia" w:eastAsia="宋体" w:asciiTheme="majorHAnsi" w:hAnsiTheme="majorHAnsi" w:cstheme="majorBidi"/>
          <w:b/>
          <w:bCs/>
          <w:color w:val="auto"/>
          <w:kern w:val="2"/>
          <w:sz w:val="32"/>
          <w:szCs w:val="32"/>
          <w:highlight w:val="none"/>
          <w:lang w:val="en-US" w:eastAsia="zh-CN" w:bidi="ar-SA"/>
        </w:rPr>
        <w:t>、技术响应偏离表</w:t>
      </w:r>
      <w:bookmarkEnd w:id="817"/>
    </w:p>
    <w:p w14:paraId="7EE50E6A">
      <w:pPr>
        <w:rPr>
          <w:rFonts w:cs="仿宋_GB2312"/>
          <w:color w:val="auto"/>
          <w:szCs w:val="24"/>
          <w:highlight w:val="none"/>
        </w:rPr>
      </w:pPr>
      <w:r>
        <w:rPr>
          <w:rFonts w:hint="eastAsia" w:cs="仿宋_GB2312"/>
          <w:color w:val="auto"/>
          <w:szCs w:val="24"/>
          <w:highlight w:val="none"/>
        </w:rPr>
        <w:t xml:space="preserve">项目名称：                                         </w:t>
      </w:r>
    </w:p>
    <w:p w14:paraId="3BECE8B1">
      <w:pPr>
        <w:rPr>
          <w:rFonts w:cs="仿宋_GB2312"/>
          <w:color w:val="auto"/>
          <w:szCs w:val="24"/>
          <w:highlight w:val="none"/>
        </w:rPr>
      </w:pPr>
      <w:r>
        <w:rPr>
          <w:rFonts w:hint="eastAsia" w:cs="仿宋_GB2312"/>
          <w:color w:val="auto"/>
          <w:szCs w:val="24"/>
          <w:highlight w:val="none"/>
        </w:rPr>
        <w:t>项目编号</w:t>
      </w:r>
      <w:r>
        <w:rPr>
          <w:rFonts w:hint="eastAsia"/>
          <w:b w:val="0"/>
          <w:bCs/>
          <w:color w:val="auto"/>
          <w:szCs w:val="21"/>
          <w:highlight w:val="none"/>
          <w:lang w:val="en-US" w:eastAsia="zh-CN"/>
        </w:rPr>
        <w:t>/</w:t>
      </w:r>
      <w:r>
        <w:rPr>
          <w:rFonts w:hint="eastAsia"/>
          <w:b w:val="0"/>
          <w:bCs/>
          <w:color w:val="auto"/>
          <w:szCs w:val="21"/>
          <w:highlight w:val="none"/>
          <w:lang w:val="zh-CN"/>
        </w:rPr>
        <w:t>包号</w:t>
      </w:r>
      <w:r>
        <w:rPr>
          <w:rFonts w:hint="eastAsia" w:cs="仿宋_GB2312"/>
          <w:color w:val="auto"/>
          <w:szCs w:val="24"/>
          <w:highlight w:val="none"/>
        </w:rPr>
        <w:t xml:space="preserve">：         </w:t>
      </w:r>
    </w:p>
    <w:tbl>
      <w:tblPr>
        <w:tblStyle w:val="3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3"/>
        <w:gridCol w:w="1976"/>
        <w:gridCol w:w="1758"/>
        <w:gridCol w:w="2157"/>
        <w:gridCol w:w="1935"/>
      </w:tblGrid>
      <w:tr w14:paraId="76446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407" w:type="pct"/>
            <w:vAlign w:val="center"/>
          </w:tcPr>
          <w:p w14:paraId="0FCCCEAC">
            <w:pPr>
              <w:pStyle w:val="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159" w:type="pct"/>
            <w:vAlign w:val="center"/>
          </w:tcPr>
          <w:p w14:paraId="69669C77">
            <w:pPr>
              <w:pStyle w:val="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招标文件技术</w:t>
            </w:r>
          </w:p>
          <w:p w14:paraId="71DD4B6D">
            <w:pPr>
              <w:pStyle w:val="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要求条款</w:t>
            </w:r>
          </w:p>
        </w:tc>
        <w:tc>
          <w:tcPr>
            <w:tcW w:w="1031" w:type="pct"/>
            <w:vAlign w:val="center"/>
          </w:tcPr>
          <w:p w14:paraId="0AB54F24">
            <w:pPr>
              <w:pStyle w:val="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投标文件内容</w:t>
            </w:r>
          </w:p>
          <w:p w14:paraId="1F49E79F">
            <w:pPr>
              <w:pStyle w:val="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对应简述</w:t>
            </w:r>
          </w:p>
        </w:tc>
        <w:tc>
          <w:tcPr>
            <w:tcW w:w="1265" w:type="pct"/>
            <w:vAlign w:val="center"/>
          </w:tcPr>
          <w:p w14:paraId="3F1EB795">
            <w:pPr>
              <w:pStyle w:val="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响应情况</w:t>
            </w:r>
          </w:p>
        </w:tc>
        <w:tc>
          <w:tcPr>
            <w:tcW w:w="1135" w:type="pct"/>
            <w:vAlign w:val="center"/>
          </w:tcPr>
          <w:p w14:paraId="3E3F1E73">
            <w:pPr>
              <w:pStyle w:val="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证明资料</w:t>
            </w:r>
            <w:r>
              <w:rPr>
                <w:rFonts w:hint="eastAsia" w:ascii="宋体" w:hAnsi="宋体" w:eastAsia="宋体" w:cs="宋体"/>
                <w:color w:val="auto"/>
                <w:sz w:val="21"/>
                <w:szCs w:val="21"/>
                <w:highlight w:val="none"/>
              </w:rPr>
              <w:t>及索引</w:t>
            </w:r>
          </w:p>
        </w:tc>
      </w:tr>
      <w:tr w14:paraId="7F921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407" w:type="pct"/>
            <w:vAlign w:val="center"/>
          </w:tcPr>
          <w:p w14:paraId="1390C611">
            <w:pPr>
              <w:pStyle w:val="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59" w:type="pct"/>
            <w:vAlign w:val="center"/>
          </w:tcPr>
          <w:p w14:paraId="23DD6440">
            <w:pPr>
              <w:pStyle w:val="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31" w:type="pct"/>
            <w:vAlign w:val="center"/>
          </w:tcPr>
          <w:p w14:paraId="24669278">
            <w:pPr>
              <w:pStyle w:val="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265" w:type="pct"/>
            <w:vAlign w:val="center"/>
          </w:tcPr>
          <w:p w14:paraId="5C5A608D">
            <w:pPr>
              <w:pStyle w:val="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响应/正偏离/负偏离</w:t>
            </w:r>
          </w:p>
        </w:tc>
        <w:tc>
          <w:tcPr>
            <w:tcW w:w="1135" w:type="pct"/>
            <w:vAlign w:val="center"/>
          </w:tcPr>
          <w:p w14:paraId="3F3AE223">
            <w:pPr>
              <w:pStyle w:val="50"/>
              <w:jc w:val="center"/>
              <w:rPr>
                <w:rFonts w:hint="eastAsia" w:ascii="宋体" w:hAnsi="宋体" w:eastAsia="宋体" w:cs="宋体"/>
                <w:color w:val="auto"/>
                <w:sz w:val="21"/>
                <w:szCs w:val="21"/>
                <w:highlight w:val="none"/>
              </w:rPr>
            </w:pPr>
          </w:p>
        </w:tc>
      </w:tr>
      <w:tr w14:paraId="16FF8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5" w:hRule="atLeast"/>
        </w:trPr>
        <w:tc>
          <w:tcPr>
            <w:tcW w:w="407" w:type="pct"/>
            <w:vAlign w:val="center"/>
          </w:tcPr>
          <w:p w14:paraId="681E1A24">
            <w:pPr>
              <w:pStyle w:val="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159" w:type="pct"/>
            <w:vAlign w:val="center"/>
          </w:tcPr>
          <w:p w14:paraId="1B1CC670">
            <w:pPr>
              <w:pStyle w:val="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31" w:type="pct"/>
            <w:vAlign w:val="center"/>
          </w:tcPr>
          <w:p w14:paraId="3CDA8454">
            <w:pPr>
              <w:pStyle w:val="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265" w:type="pct"/>
            <w:vAlign w:val="center"/>
          </w:tcPr>
          <w:p w14:paraId="17532297">
            <w:pPr>
              <w:pStyle w:val="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响应/正偏离/负偏离</w:t>
            </w:r>
          </w:p>
        </w:tc>
        <w:tc>
          <w:tcPr>
            <w:tcW w:w="1135" w:type="pct"/>
            <w:vAlign w:val="center"/>
          </w:tcPr>
          <w:p w14:paraId="1786AA8B">
            <w:pPr>
              <w:pStyle w:val="50"/>
              <w:jc w:val="center"/>
              <w:rPr>
                <w:rFonts w:hint="eastAsia" w:ascii="宋体" w:hAnsi="宋体" w:eastAsia="宋体" w:cs="宋体"/>
                <w:color w:val="auto"/>
                <w:sz w:val="21"/>
                <w:szCs w:val="21"/>
                <w:highlight w:val="none"/>
              </w:rPr>
            </w:pPr>
          </w:p>
        </w:tc>
      </w:tr>
      <w:tr w14:paraId="33466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4CADFE13">
            <w:pPr>
              <w:pStyle w:val="50"/>
              <w:jc w:val="center"/>
              <w:rPr>
                <w:rFonts w:hint="eastAsia" w:ascii="宋体" w:hAnsi="宋体" w:eastAsia="宋体" w:cs="宋体"/>
                <w:color w:val="auto"/>
                <w:sz w:val="21"/>
                <w:szCs w:val="21"/>
                <w:highlight w:val="none"/>
              </w:rPr>
            </w:pPr>
          </w:p>
        </w:tc>
        <w:tc>
          <w:tcPr>
            <w:tcW w:w="1159" w:type="pct"/>
            <w:vAlign w:val="center"/>
          </w:tcPr>
          <w:p w14:paraId="7EAC22E8">
            <w:pPr>
              <w:pStyle w:val="50"/>
              <w:jc w:val="center"/>
              <w:rPr>
                <w:rFonts w:hint="eastAsia" w:ascii="宋体" w:hAnsi="宋体" w:eastAsia="宋体" w:cs="宋体"/>
                <w:color w:val="auto"/>
                <w:sz w:val="21"/>
                <w:szCs w:val="21"/>
                <w:highlight w:val="none"/>
              </w:rPr>
            </w:pPr>
          </w:p>
        </w:tc>
        <w:tc>
          <w:tcPr>
            <w:tcW w:w="1031" w:type="pct"/>
            <w:vAlign w:val="center"/>
          </w:tcPr>
          <w:p w14:paraId="1261D841">
            <w:pPr>
              <w:pStyle w:val="50"/>
              <w:jc w:val="center"/>
              <w:rPr>
                <w:rFonts w:hint="eastAsia" w:ascii="宋体" w:hAnsi="宋体" w:eastAsia="宋体" w:cs="宋体"/>
                <w:color w:val="auto"/>
                <w:sz w:val="21"/>
                <w:szCs w:val="21"/>
                <w:highlight w:val="none"/>
              </w:rPr>
            </w:pPr>
          </w:p>
        </w:tc>
        <w:tc>
          <w:tcPr>
            <w:tcW w:w="1265" w:type="pct"/>
            <w:vAlign w:val="center"/>
          </w:tcPr>
          <w:p w14:paraId="21AB0CEA">
            <w:pPr>
              <w:pStyle w:val="50"/>
              <w:jc w:val="center"/>
              <w:rPr>
                <w:rFonts w:hint="eastAsia" w:ascii="宋体" w:hAnsi="宋体" w:eastAsia="宋体" w:cs="宋体"/>
                <w:color w:val="auto"/>
                <w:sz w:val="21"/>
                <w:szCs w:val="21"/>
                <w:highlight w:val="none"/>
              </w:rPr>
            </w:pPr>
          </w:p>
        </w:tc>
        <w:tc>
          <w:tcPr>
            <w:tcW w:w="1135" w:type="pct"/>
            <w:vAlign w:val="center"/>
          </w:tcPr>
          <w:p w14:paraId="02205EF5">
            <w:pPr>
              <w:pStyle w:val="50"/>
              <w:jc w:val="center"/>
              <w:rPr>
                <w:rFonts w:hint="eastAsia" w:ascii="宋体" w:hAnsi="宋体" w:eastAsia="宋体" w:cs="宋体"/>
                <w:color w:val="auto"/>
                <w:sz w:val="21"/>
                <w:szCs w:val="21"/>
                <w:highlight w:val="none"/>
              </w:rPr>
            </w:pPr>
          </w:p>
        </w:tc>
      </w:tr>
      <w:tr w14:paraId="547EF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2615990F">
            <w:pPr>
              <w:pStyle w:val="50"/>
              <w:jc w:val="center"/>
              <w:rPr>
                <w:rFonts w:hint="eastAsia" w:ascii="宋体" w:hAnsi="宋体" w:eastAsia="宋体" w:cs="宋体"/>
                <w:color w:val="auto"/>
                <w:sz w:val="21"/>
                <w:szCs w:val="21"/>
                <w:highlight w:val="none"/>
              </w:rPr>
            </w:pPr>
          </w:p>
        </w:tc>
        <w:tc>
          <w:tcPr>
            <w:tcW w:w="1159" w:type="pct"/>
            <w:vAlign w:val="center"/>
          </w:tcPr>
          <w:p w14:paraId="4EFDD3F7">
            <w:pPr>
              <w:pStyle w:val="50"/>
              <w:jc w:val="center"/>
              <w:rPr>
                <w:rFonts w:hint="eastAsia" w:ascii="宋体" w:hAnsi="宋体" w:eastAsia="宋体" w:cs="宋体"/>
                <w:color w:val="auto"/>
                <w:sz w:val="21"/>
                <w:szCs w:val="21"/>
                <w:highlight w:val="none"/>
              </w:rPr>
            </w:pPr>
          </w:p>
        </w:tc>
        <w:tc>
          <w:tcPr>
            <w:tcW w:w="1031" w:type="pct"/>
            <w:vAlign w:val="center"/>
          </w:tcPr>
          <w:p w14:paraId="6F3FE338">
            <w:pPr>
              <w:pStyle w:val="50"/>
              <w:jc w:val="center"/>
              <w:rPr>
                <w:rFonts w:hint="eastAsia" w:ascii="宋体" w:hAnsi="宋体" w:eastAsia="宋体" w:cs="宋体"/>
                <w:color w:val="auto"/>
                <w:sz w:val="21"/>
                <w:szCs w:val="21"/>
                <w:highlight w:val="none"/>
              </w:rPr>
            </w:pPr>
          </w:p>
        </w:tc>
        <w:tc>
          <w:tcPr>
            <w:tcW w:w="1265" w:type="pct"/>
            <w:vAlign w:val="center"/>
          </w:tcPr>
          <w:p w14:paraId="1DE7F15C">
            <w:pPr>
              <w:pStyle w:val="50"/>
              <w:jc w:val="center"/>
              <w:rPr>
                <w:rFonts w:hint="eastAsia" w:ascii="宋体" w:hAnsi="宋体" w:eastAsia="宋体" w:cs="宋体"/>
                <w:color w:val="auto"/>
                <w:sz w:val="21"/>
                <w:szCs w:val="21"/>
                <w:highlight w:val="none"/>
              </w:rPr>
            </w:pPr>
          </w:p>
        </w:tc>
        <w:tc>
          <w:tcPr>
            <w:tcW w:w="1135" w:type="pct"/>
            <w:vAlign w:val="center"/>
          </w:tcPr>
          <w:p w14:paraId="7E461BBA">
            <w:pPr>
              <w:pStyle w:val="50"/>
              <w:jc w:val="center"/>
              <w:rPr>
                <w:rFonts w:hint="eastAsia" w:ascii="宋体" w:hAnsi="宋体" w:eastAsia="宋体" w:cs="宋体"/>
                <w:color w:val="auto"/>
                <w:sz w:val="21"/>
                <w:szCs w:val="21"/>
                <w:highlight w:val="none"/>
              </w:rPr>
            </w:pPr>
          </w:p>
        </w:tc>
      </w:tr>
      <w:tr w14:paraId="054E5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trPr>
        <w:tc>
          <w:tcPr>
            <w:tcW w:w="407" w:type="pct"/>
            <w:vAlign w:val="center"/>
          </w:tcPr>
          <w:p w14:paraId="21914A14">
            <w:pPr>
              <w:pStyle w:val="50"/>
              <w:jc w:val="center"/>
              <w:rPr>
                <w:rFonts w:hint="eastAsia" w:ascii="宋体" w:hAnsi="宋体" w:eastAsia="宋体" w:cs="宋体"/>
                <w:color w:val="auto"/>
                <w:sz w:val="21"/>
                <w:szCs w:val="21"/>
                <w:highlight w:val="none"/>
              </w:rPr>
            </w:pPr>
          </w:p>
        </w:tc>
        <w:tc>
          <w:tcPr>
            <w:tcW w:w="1159" w:type="pct"/>
            <w:vAlign w:val="center"/>
          </w:tcPr>
          <w:p w14:paraId="01FAF6FF">
            <w:pPr>
              <w:pStyle w:val="50"/>
              <w:jc w:val="center"/>
              <w:rPr>
                <w:rFonts w:hint="eastAsia" w:ascii="宋体" w:hAnsi="宋体" w:eastAsia="宋体" w:cs="宋体"/>
                <w:color w:val="auto"/>
                <w:sz w:val="21"/>
                <w:szCs w:val="21"/>
                <w:highlight w:val="none"/>
              </w:rPr>
            </w:pPr>
          </w:p>
        </w:tc>
        <w:tc>
          <w:tcPr>
            <w:tcW w:w="1031" w:type="pct"/>
            <w:vAlign w:val="center"/>
          </w:tcPr>
          <w:p w14:paraId="7C7F56A7">
            <w:pPr>
              <w:pStyle w:val="50"/>
              <w:jc w:val="center"/>
              <w:rPr>
                <w:rFonts w:hint="eastAsia" w:ascii="宋体" w:hAnsi="宋体" w:eastAsia="宋体" w:cs="宋体"/>
                <w:color w:val="auto"/>
                <w:sz w:val="21"/>
                <w:szCs w:val="21"/>
                <w:highlight w:val="none"/>
              </w:rPr>
            </w:pPr>
          </w:p>
        </w:tc>
        <w:tc>
          <w:tcPr>
            <w:tcW w:w="1265" w:type="pct"/>
            <w:vAlign w:val="center"/>
          </w:tcPr>
          <w:p w14:paraId="611127F1">
            <w:pPr>
              <w:pStyle w:val="50"/>
              <w:jc w:val="center"/>
              <w:rPr>
                <w:rFonts w:hint="eastAsia" w:ascii="宋体" w:hAnsi="宋体" w:eastAsia="宋体" w:cs="宋体"/>
                <w:color w:val="auto"/>
                <w:sz w:val="21"/>
                <w:szCs w:val="21"/>
                <w:highlight w:val="none"/>
              </w:rPr>
            </w:pPr>
          </w:p>
        </w:tc>
        <w:tc>
          <w:tcPr>
            <w:tcW w:w="1135" w:type="pct"/>
            <w:vAlign w:val="center"/>
          </w:tcPr>
          <w:p w14:paraId="0E4A26B6">
            <w:pPr>
              <w:pStyle w:val="50"/>
              <w:jc w:val="center"/>
              <w:rPr>
                <w:rFonts w:hint="eastAsia" w:ascii="宋体" w:hAnsi="宋体" w:eastAsia="宋体" w:cs="宋体"/>
                <w:color w:val="auto"/>
                <w:sz w:val="21"/>
                <w:szCs w:val="21"/>
                <w:highlight w:val="none"/>
              </w:rPr>
            </w:pPr>
          </w:p>
        </w:tc>
      </w:tr>
      <w:tr w14:paraId="6E8D3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30C5ED4E">
            <w:pPr>
              <w:pStyle w:val="50"/>
              <w:jc w:val="center"/>
              <w:rPr>
                <w:rFonts w:hint="eastAsia" w:ascii="宋体" w:hAnsi="宋体" w:eastAsia="宋体" w:cs="宋体"/>
                <w:color w:val="auto"/>
                <w:sz w:val="21"/>
                <w:szCs w:val="21"/>
                <w:highlight w:val="none"/>
              </w:rPr>
            </w:pPr>
          </w:p>
        </w:tc>
        <w:tc>
          <w:tcPr>
            <w:tcW w:w="1159" w:type="pct"/>
            <w:vAlign w:val="center"/>
          </w:tcPr>
          <w:p w14:paraId="5C4DD07B">
            <w:pPr>
              <w:pStyle w:val="50"/>
              <w:jc w:val="center"/>
              <w:rPr>
                <w:rFonts w:hint="eastAsia" w:ascii="宋体" w:hAnsi="宋体" w:eastAsia="宋体" w:cs="宋体"/>
                <w:color w:val="auto"/>
                <w:sz w:val="21"/>
                <w:szCs w:val="21"/>
                <w:highlight w:val="none"/>
              </w:rPr>
            </w:pPr>
          </w:p>
        </w:tc>
        <w:tc>
          <w:tcPr>
            <w:tcW w:w="1031" w:type="pct"/>
            <w:vAlign w:val="center"/>
          </w:tcPr>
          <w:p w14:paraId="26683DD4">
            <w:pPr>
              <w:pStyle w:val="50"/>
              <w:jc w:val="center"/>
              <w:rPr>
                <w:rFonts w:hint="eastAsia" w:ascii="宋体" w:hAnsi="宋体" w:eastAsia="宋体" w:cs="宋体"/>
                <w:color w:val="auto"/>
                <w:sz w:val="21"/>
                <w:szCs w:val="21"/>
                <w:highlight w:val="none"/>
              </w:rPr>
            </w:pPr>
          </w:p>
        </w:tc>
        <w:tc>
          <w:tcPr>
            <w:tcW w:w="1265" w:type="pct"/>
            <w:vAlign w:val="center"/>
          </w:tcPr>
          <w:p w14:paraId="4D8C3BA1">
            <w:pPr>
              <w:pStyle w:val="50"/>
              <w:jc w:val="center"/>
              <w:rPr>
                <w:rFonts w:hint="eastAsia" w:ascii="宋体" w:hAnsi="宋体" w:eastAsia="宋体" w:cs="宋体"/>
                <w:color w:val="auto"/>
                <w:sz w:val="21"/>
                <w:szCs w:val="21"/>
                <w:highlight w:val="none"/>
              </w:rPr>
            </w:pPr>
          </w:p>
        </w:tc>
        <w:tc>
          <w:tcPr>
            <w:tcW w:w="1135" w:type="pct"/>
            <w:vAlign w:val="center"/>
          </w:tcPr>
          <w:p w14:paraId="2E8B5F67">
            <w:pPr>
              <w:pStyle w:val="50"/>
              <w:jc w:val="center"/>
              <w:rPr>
                <w:rFonts w:hint="eastAsia" w:ascii="宋体" w:hAnsi="宋体" w:eastAsia="宋体" w:cs="宋体"/>
                <w:color w:val="auto"/>
                <w:sz w:val="21"/>
                <w:szCs w:val="21"/>
                <w:highlight w:val="none"/>
              </w:rPr>
            </w:pPr>
          </w:p>
        </w:tc>
      </w:tr>
      <w:tr w14:paraId="2B100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0EE038ED">
            <w:pPr>
              <w:pStyle w:val="50"/>
              <w:jc w:val="center"/>
              <w:rPr>
                <w:rFonts w:hint="eastAsia" w:ascii="宋体" w:hAnsi="宋体" w:eastAsia="宋体" w:cs="宋体"/>
                <w:color w:val="auto"/>
                <w:sz w:val="21"/>
                <w:szCs w:val="21"/>
                <w:highlight w:val="none"/>
              </w:rPr>
            </w:pPr>
          </w:p>
        </w:tc>
        <w:tc>
          <w:tcPr>
            <w:tcW w:w="1159" w:type="pct"/>
            <w:vAlign w:val="center"/>
          </w:tcPr>
          <w:p w14:paraId="1568BE63">
            <w:pPr>
              <w:pStyle w:val="50"/>
              <w:jc w:val="center"/>
              <w:rPr>
                <w:rFonts w:hint="eastAsia" w:ascii="宋体" w:hAnsi="宋体" w:eastAsia="宋体" w:cs="宋体"/>
                <w:color w:val="auto"/>
                <w:sz w:val="21"/>
                <w:szCs w:val="21"/>
                <w:highlight w:val="none"/>
              </w:rPr>
            </w:pPr>
          </w:p>
        </w:tc>
        <w:tc>
          <w:tcPr>
            <w:tcW w:w="1031" w:type="pct"/>
            <w:vAlign w:val="center"/>
          </w:tcPr>
          <w:p w14:paraId="73EB38B3">
            <w:pPr>
              <w:pStyle w:val="50"/>
              <w:jc w:val="center"/>
              <w:rPr>
                <w:rFonts w:hint="eastAsia" w:ascii="宋体" w:hAnsi="宋体" w:eastAsia="宋体" w:cs="宋体"/>
                <w:color w:val="auto"/>
                <w:sz w:val="21"/>
                <w:szCs w:val="21"/>
                <w:highlight w:val="none"/>
              </w:rPr>
            </w:pPr>
          </w:p>
        </w:tc>
        <w:tc>
          <w:tcPr>
            <w:tcW w:w="1265" w:type="pct"/>
            <w:vAlign w:val="center"/>
          </w:tcPr>
          <w:p w14:paraId="75F9A705">
            <w:pPr>
              <w:pStyle w:val="50"/>
              <w:jc w:val="center"/>
              <w:rPr>
                <w:rFonts w:hint="eastAsia" w:ascii="宋体" w:hAnsi="宋体" w:eastAsia="宋体" w:cs="宋体"/>
                <w:color w:val="auto"/>
                <w:sz w:val="21"/>
                <w:szCs w:val="21"/>
                <w:highlight w:val="none"/>
              </w:rPr>
            </w:pPr>
          </w:p>
        </w:tc>
        <w:tc>
          <w:tcPr>
            <w:tcW w:w="1135" w:type="pct"/>
            <w:vAlign w:val="center"/>
          </w:tcPr>
          <w:p w14:paraId="7B4E9707">
            <w:pPr>
              <w:pStyle w:val="50"/>
              <w:jc w:val="center"/>
              <w:rPr>
                <w:rFonts w:hint="eastAsia" w:ascii="宋体" w:hAnsi="宋体" w:eastAsia="宋体" w:cs="宋体"/>
                <w:color w:val="auto"/>
                <w:sz w:val="21"/>
                <w:szCs w:val="21"/>
                <w:highlight w:val="none"/>
              </w:rPr>
            </w:pPr>
          </w:p>
        </w:tc>
      </w:tr>
      <w:tr w14:paraId="5B466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trPr>
        <w:tc>
          <w:tcPr>
            <w:tcW w:w="407" w:type="pct"/>
            <w:vAlign w:val="center"/>
          </w:tcPr>
          <w:p w14:paraId="7A9FD9CF">
            <w:pPr>
              <w:pStyle w:val="50"/>
              <w:jc w:val="center"/>
              <w:rPr>
                <w:rFonts w:hint="eastAsia" w:ascii="宋体" w:hAnsi="宋体" w:eastAsia="宋体" w:cs="宋体"/>
                <w:color w:val="auto"/>
                <w:sz w:val="21"/>
                <w:szCs w:val="21"/>
                <w:highlight w:val="none"/>
              </w:rPr>
            </w:pPr>
          </w:p>
        </w:tc>
        <w:tc>
          <w:tcPr>
            <w:tcW w:w="1159" w:type="pct"/>
            <w:vAlign w:val="center"/>
          </w:tcPr>
          <w:p w14:paraId="3873E5B8">
            <w:pPr>
              <w:pStyle w:val="50"/>
              <w:jc w:val="center"/>
              <w:rPr>
                <w:rFonts w:hint="eastAsia" w:ascii="宋体" w:hAnsi="宋体" w:eastAsia="宋体" w:cs="宋体"/>
                <w:color w:val="auto"/>
                <w:sz w:val="21"/>
                <w:szCs w:val="21"/>
                <w:highlight w:val="none"/>
              </w:rPr>
            </w:pPr>
          </w:p>
        </w:tc>
        <w:tc>
          <w:tcPr>
            <w:tcW w:w="1031" w:type="pct"/>
            <w:vAlign w:val="center"/>
          </w:tcPr>
          <w:p w14:paraId="4BFC552A">
            <w:pPr>
              <w:pStyle w:val="50"/>
              <w:jc w:val="center"/>
              <w:rPr>
                <w:rFonts w:hint="eastAsia" w:ascii="宋体" w:hAnsi="宋体" w:eastAsia="宋体" w:cs="宋体"/>
                <w:color w:val="auto"/>
                <w:sz w:val="21"/>
                <w:szCs w:val="21"/>
                <w:highlight w:val="none"/>
              </w:rPr>
            </w:pPr>
          </w:p>
        </w:tc>
        <w:tc>
          <w:tcPr>
            <w:tcW w:w="1265" w:type="pct"/>
            <w:vAlign w:val="center"/>
          </w:tcPr>
          <w:p w14:paraId="6752E62F">
            <w:pPr>
              <w:pStyle w:val="50"/>
              <w:jc w:val="center"/>
              <w:rPr>
                <w:rFonts w:hint="eastAsia" w:ascii="宋体" w:hAnsi="宋体" w:eastAsia="宋体" w:cs="宋体"/>
                <w:color w:val="auto"/>
                <w:sz w:val="21"/>
                <w:szCs w:val="21"/>
                <w:highlight w:val="none"/>
              </w:rPr>
            </w:pPr>
          </w:p>
        </w:tc>
        <w:tc>
          <w:tcPr>
            <w:tcW w:w="1135" w:type="pct"/>
            <w:vAlign w:val="center"/>
          </w:tcPr>
          <w:p w14:paraId="0D508B80">
            <w:pPr>
              <w:pStyle w:val="50"/>
              <w:jc w:val="center"/>
              <w:rPr>
                <w:rFonts w:hint="eastAsia" w:ascii="宋体" w:hAnsi="宋体" w:eastAsia="宋体" w:cs="宋体"/>
                <w:color w:val="auto"/>
                <w:sz w:val="21"/>
                <w:szCs w:val="21"/>
                <w:highlight w:val="none"/>
              </w:rPr>
            </w:pPr>
          </w:p>
        </w:tc>
      </w:tr>
      <w:tr w14:paraId="1A2AA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45F4BFC8">
            <w:pPr>
              <w:pStyle w:val="50"/>
              <w:jc w:val="center"/>
              <w:rPr>
                <w:rFonts w:hint="eastAsia" w:ascii="宋体" w:hAnsi="宋体" w:eastAsia="宋体" w:cs="宋体"/>
                <w:color w:val="auto"/>
                <w:sz w:val="21"/>
                <w:szCs w:val="21"/>
                <w:highlight w:val="none"/>
              </w:rPr>
            </w:pPr>
          </w:p>
        </w:tc>
        <w:tc>
          <w:tcPr>
            <w:tcW w:w="1159" w:type="pct"/>
            <w:vAlign w:val="center"/>
          </w:tcPr>
          <w:p w14:paraId="63890973">
            <w:pPr>
              <w:pStyle w:val="50"/>
              <w:jc w:val="center"/>
              <w:rPr>
                <w:rFonts w:hint="eastAsia" w:ascii="宋体" w:hAnsi="宋体" w:eastAsia="宋体" w:cs="宋体"/>
                <w:color w:val="auto"/>
                <w:sz w:val="21"/>
                <w:szCs w:val="21"/>
                <w:highlight w:val="none"/>
              </w:rPr>
            </w:pPr>
          </w:p>
        </w:tc>
        <w:tc>
          <w:tcPr>
            <w:tcW w:w="1031" w:type="pct"/>
            <w:vAlign w:val="center"/>
          </w:tcPr>
          <w:p w14:paraId="09F5DB10">
            <w:pPr>
              <w:pStyle w:val="50"/>
              <w:jc w:val="center"/>
              <w:rPr>
                <w:rFonts w:hint="eastAsia" w:ascii="宋体" w:hAnsi="宋体" w:eastAsia="宋体" w:cs="宋体"/>
                <w:color w:val="auto"/>
                <w:sz w:val="21"/>
                <w:szCs w:val="21"/>
                <w:highlight w:val="none"/>
              </w:rPr>
            </w:pPr>
          </w:p>
        </w:tc>
        <w:tc>
          <w:tcPr>
            <w:tcW w:w="1265" w:type="pct"/>
            <w:vAlign w:val="center"/>
          </w:tcPr>
          <w:p w14:paraId="59B50D42">
            <w:pPr>
              <w:pStyle w:val="50"/>
              <w:jc w:val="center"/>
              <w:rPr>
                <w:rFonts w:hint="eastAsia" w:ascii="宋体" w:hAnsi="宋体" w:eastAsia="宋体" w:cs="宋体"/>
                <w:color w:val="auto"/>
                <w:sz w:val="21"/>
                <w:szCs w:val="21"/>
                <w:highlight w:val="none"/>
              </w:rPr>
            </w:pPr>
          </w:p>
        </w:tc>
        <w:tc>
          <w:tcPr>
            <w:tcW w:w="1135" w:type="pct"/>
            <w:vAlign w:val="center"/>
          </w:tcPr>
          <w:p w14:paraId="15BCCC48">
            <w:pPr>
              <w:pStyle w:val="50"/>
              <w:jc w:val="center"/>
              <w:rPr>
                <w:rFonts w:hint="eastAsia" w:ascii="宋体" w:hAnsi="宋体" w:eastAsia="宋体" w:cs="宋体"/>
                <w:color w:val="auto"/>
                <w:sz w:val="21"/>
                <w:szCs w:val="21"/>
                <w:highlight w:val="none"/>
              </w:rPr>
            </w:pPr>
          </w:p>
        </w:tc>
      </w:tr>
      <w:tr w14:paraId="361F6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1F51D1EA">
            <w:pPr>
              <w:pStyle w:val="50"/>
              <w:jc w:val="center"/>
              <w:rPr>
                <w:rFonts w:hint="eastAsia" w:ascii="宋体" w:hAnsi="宋体" w:eastAsia="宋体" w:cs="宋体"/>
                <w:color w:val="auto"/>
                <w:sz w:val="21"/>
                <w:szCs w:val="21"/>
                <w:highlight w:val="none"/>
              </w:rPr>
            </w:pPr>
          </w:p>
        </w:tc>
        <w:tc>
          <w:tcPr>
            <w:tcW w:w="1159" w:type="pct"/>
            <w:vAlign w:val="center"/>
          </w:tcPr>
          <w:p w14:paraId="1204324D">
            <w:pPr>
              <w:pStyle w:val="50"/>
              <w:jc w:val="center"/>
              <w:rPr>
                <w:rFonts w:hint="eastAsia" w:ascii="宋体" w:hAnsi="宋体" w:eastAsia="宋体" w:cs="宋体"/>
                <w:color w:val="auto"/>
                <w:sz w:val="21"/>
                <w:szCs w:val="21"/>
                <w:highlight w:val="none"/>
              </w:rPr>
            </w:pPr>
          </w:p>
        </w:tc>
        <w:tc>
          <w:tcPr>
            <w:tcW w:w="1031" w:type="pct"/>
            <w:vAlign w:val="center"/>
          </w:tcPr>
          <w:p w14:paraId="36FD0F55">
            <w:pPr>
              <w:pStyle w:val="50"/>
              <w:jc w:val="center"/>
              <w:rPr>
                <w:rFonts w:hint="eastAsia" w:ascii="宋体" w:hAnsi="宋体" w:eastAsia="宋体" w:cs="宋体"/>
                <w:color w:val="auto"/>
                <w:sz w:val="21"/>
                <w:szCs w:val="21"/>
                <w:highlight w:val="none"/>
              </w:rPr>
            </w:pPr>
          </w:p>
        </w:tc>
        <w:tc>
          <w:tcPr>
            <w:tcW w:w="1265" w:type="pct"/>
            <w:vAlign w:val="center"/>
          </w:tcPr>
          <w:p w14:paraId="6D3AA7E1">
            <w:pPr>
              <w:pStyle w:val="50"/>
              <w:jc w:val="center"/>
              <w:rPr>
                <w:rFonts w:hint="eastAsia" w:ascii="宋体" w:hAnsi="宋体" w:eastAsia="宋体" w:cs="宋体"/>
                <w:color w:val="auto"/>
                <w:sz w:val="21"/>
                <w:szCs w:val="21"/>
                <w:highlight w:val="none"/>
              </w:rPr>
            </w:pPr>
          </w:p>
        </w:tc>
        <w:tc>
          <w:tcPr>
            <w:tcW w:w="1135" w:type="pct"/>
            <w:vAlign w:val="center"/>
          </w:tcPr>
          <w:p w14:paraId="449BE1FC">
            <w:pPr>
              <w:pStyle w:val="50"/>
              <w:jc w:val="center"/>
              <w:rPr>
                <w:rFonts w:hint="eastAsia" w:ascii="宋体" w:hAnsi="宋体" w:eastAsia="宋体" w:cs="宋体"/>
                <w:color w:val="auto"/>
                <w:sz w:val="21"/>
                <w:szCs w:val="21"/>
                <w:highlight w:val="none"/>
              </w:rPr>
            </w:pPr>
          </w:p>
        </w:tc>
      </w:tr>
      <w:tr w14:paraId="7E841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407" w:type="pct"/>
            <w:vAlign w:val="center"/>
          </w:tcPr>
          <w:p w14:paraId="6ECE9C6C">
            <w:pPr>
              <w:pStyle w:val="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159" w:type="pct"/>
            <w:vAlign w:val="center"/>
          </w:tcPr>
          <w:p w14:paraId="69EDFD22">
            <w:pPr>
              <w:pStyle w:val="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31" w:type="pct"/>
            <w:vAlign w:val="center"/>
          </w:tcPr>
          <w:p w14:paraId="0D19C04A">
            <w:pPr>
              <w:pStyle w:val="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265" w:type="pct"/>
            <w:vAlign w:val="center"/>
          </w:tcPr>
          <w:p w14:paraId="16652C7B">
            <w:pPr>
              <w:pStyle w:val="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135" w:type="pct"/>
            <w:vAlign w:val="center"/>
          </w:tcPr>
          <w:p w14:paraId="7E732B44">
            <w:pPr>
              <w:pStyle w:val="50"/>
              <w:jc w:val="center"/>
              <w:rPr>
                <w:rFonts w:hint="eastAsia" w:ascii="宋体" w:hAnsi="宋体" w:eastAsia="宋体" w:cs="宋体"/>
                <w:color w:val="auto"/>
                <w:sz w:val="21"/>
                <w:szCs w:val="21"/>
                <w:highlight w:val="none"/>
              </w:rPr>
            </w:pPr>
          </w:p>
        </w:tc>
      </w:tr>
    </w:tbl>
    <w:p w14:paraId="7A96DC4C">
      <w:pPr>
        <w:ind w:firstLine="420" w:firstLineChars="200"/>
        <w:rPr>
          <w:rFonts w:hint="eastAsia" w:cs="仿宋_GB2312"/>
          <w:color w:val="auto"/>
          <w:sz w:val="21"/>
          <w:szCs w:val="21"/>
          <w:highlight w:val="none"/>
        </w:rPr>
      </w:pPr>
    </w:p>
    <w:p w14:paraId="2F5D40B2">
      <w:pPr>
        <w:ind w:firstLine="420" w:firstLineChars="200"/>
        <w:rPr>
          <w:rFonts w:cs="仿宋_GB2312"/>
          <w:color w:val="auto"/>
          <w:sz w:val="21"/>
          <w:szCs w:val="21"/>
          <w:highlight w:val="none"/>
        </w:rPr>
      </w:pPr>
      <w:r>
        <w:rPr>
          <w:rFonts w:hint="eastAsia" w:cs="仿宋_GB2312"/>
          <w:color w:val="auto"/>
          <w:sz w:val="21"/>
          <w:szCs w:val="21"/>
          <w:highlight w:val="none"/>
        </w:rPr>
        <w:t>说明：投标人应按照招标文件“第三章 采购需求”</w:t>
      </w:r>
      <w:r>
        <w:rPr>
          <w:rFonts w:hint="eastAsia" w:cs="仿宋_GB2312"/>
          <w:color w:val="auto"/>
          <w:sz w:val="21"/>
          <w:szCs w:val="21"/>
          <w:highlight w:val="none"/>
          <w:lang w:val="en-US" w:eastAsia="zh-CN"/>
        </w:rPr>
        <w:t>中的技术要求</w:t>
      </w:r>
      <w:r>
        <w:rPr>
          <w:rFonts w:hint="eastAsia" w:cs="仿宋_GB2312"/>
          <w:color w:val="auto"/>
          <w:sz w:val="21"/>
          <w:szCs w:val="21"/>
          <w:highlight w:val="none"/>
        </w:rPr>
        <w:t>填写</w:t>
      </w:r>
      <w:r>
        <w:rPr>
          <w:rFonts w:hint="eastAsia" w:cs="仿宋_GB2312"/>
          <w:color w:val="auto"/>
          <w:sz w:val="21"/>
          <w:szCs w:val="21"/>
          <w:highlight w:val="none"/>
          <w:lang w:eastAsia="zh-CN"/>
        </w:rPr>
        <w:t>，</w:t>
      </w:r>
      <w:r>
        <w:rPr>
          <w:rFonts w:hint="eastAsia" w:cs="仿宋_GB2312"/>
          <w:color w:val="auto"/>
          <w:sz w:val="21"/>
          <w:szCs w:val="21"/>
          <w:highlight w:val="none"/>
          <w:lang w:val="en-US" w:eastAsia="zh-CN"/>
        </w:rPr>
        <w:t>“响应/正偏离/负偏离”应据实填写“响应”、“正偏离”或“负偏离”</w:t>
      </w:r>
      <w:r>
        <w:rPr>
          <w:rFonts w:hint="eastAsia" w:cs="仿宋_GB2312"/>
          <w:color w:val="auto"/>
          <w:sz w:val="21"/>
          <w:szCs w:val="21"/>
          <w:highlight w:val="none"/>
        </w:rPr>
        <w:t>。</w:t>
      </w:r>
    </w:p>
    <w:p w14:paraId="7D87EEFE">
      <w:pPr>
        <w:ind w:firstLine="480" w:firstLineChars="200"/>
        <w:rPr>
          <w:rFonts w:cs="仿宋_GB2312"/>
          <w:color w:val="auto"/>
          <w:szCs w:val="24"/>
          <w:highlight w:val="none"/>
        </w:rPr>
      </w:pPr>
    </w:p>
    <w:p w14:paraId="53059121">
      <w:pPr>
        <w:ind w:firstLine="480" w:firstLineChars="200"/>
        <w:rPr>
          <w:rFonts w:cs="仿宋_GB2312"/>
          <w:color w:val="auto"/>
          <w:szCs w:val="24"/>
          <w:highlight w:val="none"/>
        </w:rPr>
      </w:pPr>
      <w:r>
        <w:rPr>
          <w:rFonts w:hint="eastAsia" w:cs="仿宋_GB2312"/>
          <w:color w:val="auto"/>
          <w:szCs w:val="24"/>
          <w:highlight w:val="none"/>
        </w:rPr>
        <w:t>投标人名称</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r>
        <w:rPr>
          <w:rFonts w:hint="eastAsia" w:cs="仿宋_GB2312"/>
          <w:color w:val="auto"/>
          <w:szCs w:val="24"/>
          <w:highlight w:val="none"/>
        </w:rPr>
        <w:t>：</w:t>
      </w:r>
    </w:p>
    <w:p w14:paraId="27EF6D84">
      <w:pPr>
        <w:ind w:firstLine="420"/>
        <w:rPr>
          <w:rFonts w:cs="仿宋_GB2312"/>
          <w:color w:val="auto"/>
          <w:szCs w:val="24"/>
          <w:highlight w:val="none"/>
        </w:rPr>
      </w:pPr>
      <w:r>
        <w:rPr>
          <w:rFonts w:hint="eastAsia" w:cs="仿宋_GB2312"/>
          <w:color w:val="auto"/>
          <w:szCs w:val="24"/>
          <w:highlight w:val="none"/>
        </w:rPr>
        <w:t>日      期：</w:t>
      </w:r>
    </w:p>
    <w:p w14:paraId="1685FB85">
      <w:pPr>
        <w:ind w:firstLine="420"/>
        <w:rPr>
          <w:rFonts w:cs="仿宋_GB2312"/>
          <w:color w:val="auto"/>
          <w:szCs w:val="24"/>
          <w:highlight w:val="none"/>
        </w:rPr>
      </w:pPr>
    </w:p>
    <w:p w14:paraId="3095974B">
      <w:pPr>
        <w:ind w:firstLine="420"/>
        <w:rPr>
          <w:rFonts w:cs="仿宋_GB2312"/>
          <w:color w:val="auto"/>
          <w:szCs w:val="24"/>
          <w:highlight w:val="none"/>
        </w:rPr>
      </w:pPr>
    </w:p>
    <w:p w14:paraId="5228E054">
      <w:pPr>
        <w:ind w:firstLine="420"/>
        <w:rPr>
          <w:rFonts w:hint="eastAsia" w:cs="仿宋_GB2312"/>
          <w:color w:val="auto"/>
          <w:szCs w:val="24"/>
          <w:highlight w:val="none"/>
          <w:lang w:val="en-US" w:eastAsia="zh-CN"/>
        </w:rPr>
      </w:pPr>
      <w:r>
        <w:rPr>
          <w:rFonts w:hint="eastAsia" w:cs="仿宋_GB2312"/>
          <w:color w:val="auto"/>
          <w:sz w:val="21"/>
          <w:szCs w:val="21"/>
          <w:highlight w:val="none"/>
          <w:lang w:val="en-US" w:eastAsia="zh-CN"/>
        </w:rPr>
        <w:t>备注：投标人在本表中须标注技术响应的实际数值或内容，照搬照抄采购文件内容、不注明实际响应内容者</w:t>
      </w:r>
      <w:r>
        <w:rPr>
          <w:rFonts w:hint="eastAsia" w:cs="仿宋_GB2312"/>
          <w:b/>
          <w:bCs/>
          <w:color w:val="auto"/>
          <w:sz w:val="21"/>
          <w:szCs w:val="21"/>
          <w:highlight w:val="none"/>
          <w:lang w:val="en-US" w:eastAsia="zh-CN"/>
        </w:rPr>
        <w:t>视为未响应</w:t>
      </w:r>
      <w:r>
        <w:rPr>
          <w:rFonts w:hint="eastAsia" w:cs="仿宋_GB2312"/>
          <w:color w:val="auto"/>
          <w:sz w:val="21"/>
          <w:szCs w:val="21"/>
          <w:highlight w:val="none"/>
          <w:lang w:val="en-US" w:eastAsia="zh-CN"/>
        </w:rPr>
        <w:t>。</w:t>
      </w:r>
    </w:p>
    <w:p w14:paraId="49A1A5E5">
      <w:pPr>
        <w:ind w:firstLine="420"/>
        <w:rPr>
          <w:rFonts w:cs="仿宋_GB2312"/>
          <w:color w:val="auto"/>
          <w:szCs w:val="24"/>
          <w:highlight w:val="none"/>
        </w:rPr>
      </w:pPr>
      <w:r>
        <w:rPr>
          <w:rFonts w:cs="仿宋_GB2312"/>
          <w:color w:val="auto"/>
          <w:szCs w:val="24"/>
          <w:highlight w:val="none"/>
        </w:rPr>
        <w:br w:type="page"/>
      </w:r>
    </w:p>
    <w:p w14:paraId="600EA7EE">
      <w:pPr>
        <w:pStyle w:val="20"/>
        <w:spacing w:line="360" w:lineRule="auto"/>
        <w:jc w:val="center"/>
        <w:rPr>
          <w:rFonts w:hint="eastAsia" w:ascii="方正小标宋_GBK" w:hAnsi="方正小标宋_GBK" w:eastAsia="方正小标宋_GBK" w:cs="方正小标宋_GBK"/>
          <w:bCs/>
          <w:color w:val="auto"/>
          <w:sz w:val="36"/>
          <w:szCs w:val="36"/>
          <w:highlight w:val="none"/>
          <w:lang w:val="en-US" w:eastAsia="zh-CN"/>
        </w:rPr>
      </w:pPr>
    </w:p>
    <w:p w14:paraId="06C98EB9">
      <w:pPr>
        <w:pStyle w:val="2"/>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eastAsia="宋体" w:asciiTheme="majorHAnsi" w:hAnsiTheme="majorHAnsi" w:cstheme="majorBidi"/>
          <w:b/>
          <w:bCs/>
          <w:color w:val="auto"/>
          <w:kern w:val="2"/>
          <w:sz w:val="32"/>
          <w:szCs w:val="32"/>
          <w:highlight w:val="none"/>
          <w:lang w:val="en-US" w:eastAsia="zh-CN" w:bidi="ar-SA"/>
        </w:rPr>
      </w:pPr>
      <w:bookmarkStart w:id="818" w:name="_Toc9988"/>
      <w:r>
        <w:rPr>
          <w:rFonts w:hint="eastAsia" w:cstheme="majorBidi"/>
          <w:b/>
          <w:bCs/>
          <w:color w:val="auto"/>
          <w:kern w:val="2"/>
          <w:sz w:val="32"/>
          <w:szCs w:val="32"/>
          <w:highlight w:val="none"/>
          <w:lang w:val="en-US" w:eastAsia="zh-CN" w:bidi="ar-SA"/>
        </w:rPr>
        <w:t>十</w:t>
      </w:r>
      <w:r>
        <w:rPr>
          <w:rFonts w:hint="eastAsia" w:eastAsia="宋体" w:asciiTheme="majorHAnsi" w:hAnsiTheme="majorHAnsi" w:cstheme="majorBidi"/>
          <w:b/>
          <w:bCs/>
          <w:color w:val="auto"/>
          <w:kern w:val="2"/>
          <w:sz w:val="32"/>
          <w:szCs w:val="32"/>
          <w:highlight w:val="none"/>
          <w:lang w:val="en-US" w:eastAsia="zh-CN" w:bidi="ar-SA"/>
        </w:rPr>
        <w:t>、技术方案</w:t>
      </w:r>
      <w:bookmarkEnd w:id="818"/>
    </w:p>
    <w:p w14:paraId="7078B366">
      <w:pPr>
        <w:pStyle w:val="38"/>
        <w:rPr>
          <w:rFonts w:hint="eastAsia"/>
          <w:color w:val="auto"/>
          <w:highlight w:val="none"/>
        </w:rPr>
      </w:pPr>
      <w:r>
        <w:rPr>
          <w:rFonts w:hint="eastAsia"/>
          <w:color w:val="auto"/>
          <w:highlight w:val="none"/>
        </w:rPr>
        <w:t>投标人应按照招标文件的要求，提供详细的服务方案，包括文字描述或图表显示。格式自拟。</w:t>
      </w:r>
    </w:p>
    <w:p w14:paraId="7EE77353">
      <w:pPr>
        <w:pStyle w:val="38"/>
        <w:rPr>
          <w:color w:val="auto"/>
          <w:highlight w:val="none"/>
        </w:rPr>
      </w:pPr>
      <w:r>
        <w:rPr>
          <w:color w:val="auto"/>
          <w:highlight w:val="none"/>
        </w:rPr>
        <w:br w:type="page"/>
      </w:r>
    </w:p>
    <w:p w14:paraId="01EB5657">
      <w:pPr>
        <w:ind w:firstLine="420"/>
        <w:rPr>
          <w:rFonts w:hint="eastAsia" w:cs="仿宋_GB2312"/>
          <w:color w:val="auto"/>
          <w:sz w:val="21"/>
          <w:szCs w:val="21"/>
          <w:highlight w:val="none"/>
          <w:lang w:val="en-US" w:eastAsia="zh-CN"/>
        </w:rPr>
      </w:pPr>
    </w:p>
    <w:p w14:paraId="3D755871">
      <w:pPr>
        <w:pStyle w:val="2"/>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eastAsia="宋体" w:asciiTheme="majorHAnsi" w:hAnsiTheme="majorHAnsi" w:cstheme="majorBidi"/>
          <w:b/>
          <w:bCs/>
          <w:color w:val="auto"/>
          <w:kern w:val="2"/>
          <w:sz w:val="32"/>
          <w:szCs w:val="32"/>
          <w:highlight w:val="none"/>
          <w:lang w:val="en-US" w:eastAsia="zh-CN" w:bidi="ar-SA"/>
        </w:rPr>
      </w:pPr>
      <w:bookmarkStart w:id="819" w:name="_Toc19458"/>
      <w:r>
        <w:rPr>
          <w:rFonts w:hint="eastAsia" w:eastAsia="宋体" w:asciiTheme="majorHAnsi" w:hAnsiTheme="majorHAnsi" w:cstheme="majorBidi"/>
          <w:b/>
          <w:bCs/>
          <w:color w:val="auto"/>
          <w:kern w:val="2"/>
          <w:sz w:val="32"/>
          <w:szCs w:val="32"/>
          <w:highlight w:val="none"/>
          <w:lang w:val="en-US" w:eastAsia="zh-CN" w:bidi="ar-SA"/>
        </w:rPr>
        <w:t>十</w:t>
      </w:r>
      <w:r>
        <w:rPr>
          <w:rFonts w:hint="eastAsia" w:cstheme="majorBidi"/>
          <w:b/>
          <w:bCs/>
          <w:color w:val="auto"/>
          <w:kern w:val="2"/>
          <w:sz w:val="32"/>
          <w:szCs w:val="32"/>
          <w:highlight w:val="none"/>
          <w:lang w:val="en-US" w:eastAsia="zh-CN" w:bidi="ar-SA"/>
        </w:rPr>
        <w:t>一</w:t>
      </w:r>
      <w:r>
        <w:rPr>
          <w:rFonts w:hint="eastAsia" w:eastAsia="宋体" w:asciiTheme="majorHAnsi" w:hAnsiTheme="majorHAnsi" w:cstheme="majorBidi"/>
          <w:b/>
          <w:bCs/>
          <w:color w:val="auto"/>
          <w:kern w:val="2"/>
          <w:sz w:val="32"/>
          <w:szCs w:val="32"/>
          <w:highlight w:val="none"/>
          <w:lang w:val="en-US" w:eastAsia="zh-CN" w:bidi="ar-SA"/>
        </w:rPr>
        <w:t>、其他文件</w:t>
      </w:r>
      <w:bookmarkEnd w:id="819"/>
    </w:p>
    <w:p w14:paraId="6EF40482">
      <w:pPr>
        <w:pStyle w:val="38"/>
        <w:ind w:left="0" w:leftChars="0" w:firstLine="0" w:firstLineChars="0"/>
        <w:rPr>
          <w:rFonts w:hint="eastAsia"/>
          <w:b/>
          <w:bCs/>
          <w:color w:val="auto"/>
          <w:sz w:val="24"/>
          <w:szCs w:val="24"/>
          <w:highlight w:val="none"/>
        </w:rPr>
      </w:pPr>
      <w:r>
        <w:rPr>
          <w:rFonts w:hint="eastAsia"/>
          <w:b/>
          <w:bCs/>
          <w:color w:val="auto"/>
          <w:sz w:val="24"/>
          <w:szCs w:val="24"/>
          <w:highlight w:val="none"/>
          <w:lang w:eastAsia="zh-CN"/>
        </w:rPr>
        <w:t>（</w:t>
      </w:r>
      <w:r>
        <w:rPr>
          <w:rFonts w:hint="eastAsia"/>
          <w:b/>
          <w:bCs/>
          <w:color w:val="auto"/>
          <w:sz w:val="24"/>
          <w:szCs w:val="24"/>
          <w:highlight w:val="none"/>
          <w:lang w:val="en-US" w:eastAsia="zh-CN"/>
        </w:rPr>
        <w:t>一）</w:t>
      </w:r>
      <w:r>
        <w:rPr>
          <w:rFonts w:hint="eastAsia"/>
          <w:b/>
          <w:bCs/>
          <w:color w:val="auto"/>
          <w:sz w:val="24"/>
          <w:szCs w:val="24"/>
          <w:highlight w:val="none"/>
        </w:rPr>
        <w:t>招标文件要求提供的其它商务</w:t>
      </w:r>
      <w:r>
        <w:rPr>
          <w:rFonts w:hint="eastAsia"/>
          <w:b/>
          <w:bCs/>
          <w:color w:val="auto"/>
          <w:sz w:val="24"/>
          <w:szCs w:val="24"/>
          <w:highlight w:val="none"/>
          <w:lang w:eastAsia="zh-CN"/>
        </w:rPr>
        <w:t>、</w:t>
      </w:r>
      <w:r>
        <w:rPr>
          <w:rFonts w:hint="eastAsia"/>
          <w:b/>
          <w:bCs/>
          <w:color w:val="auto"/>
          <w:sz w:val="24"/>
          <w:szCs w:val="24"/>
          <w:highlight w:val="none"/>
        </w:rPr>
        <w:t>技术资料和证明材料；</w:t>
      </w:r>
    </w:p>
    <w:p w14:paraId="09B7BCDB">
      <w:pPr>
        <w:pStyle w:val="38"/>
        <w:rPr>
          <w:rFonts w:hint="eastAsia"/>
          <w:color w:val="auto"/>
          <w:sz w:val="24"/>
          <w:szCs w:val="24"/>
          <w:highlight w:val="none"/>
          <w:lang w:val="en-US" w:eastAsia="zh-CN"/>
        </w:rPr>
      </w:pPr>
      <w:r>
        <w:rPr>
          <w:rFonts w:hint="eastAsia"/>
          <w:color w:val="auto"/>
          <w:sz w:val="24"/>
          <w:szCs w:val="24"/>
          <w:highlight w:val="none"/>
          <w:lang w:val="en-US" w:eastAsia="zh-CN"/>
        </w:rPr>
        <w:t>1.1供应商信息采集表</w:t>
      </w:r>
    </w:p>
    <w:tbl>
      <w:tblPr>
        <w:tblStyle w:val="32"/>
        <w:tblW w:w="0" w:type="auto"/>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8"/>
        <w:gridCol w:w="2841"/>
        <w:gridCol w:w="2743"/>
      </w:tblGrid>
      <w:tr w14:paraId="23991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2708" w:type="dxa"/>
            <w:vAlign w:val="center"/>
          </w:tcPr>
          <w:p w14:paraId="1DAB5D76">
            <w:pPr>
              <w:keepNext w:val="0"/>
              <w:keepLines w:val="0"/>
              <w:widowControl/>
              <w:suppressLineNumbers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kern w:val="0"/>
                <w:sz w:val="24"/>
                <w:szCs w:val="24"/>
                <w:highlight w:val="none"/>
                <w:lang w:val="en-US" w:eastAsia="zh-CN" w:bidi="ar"/>
              </w:rPr>
              <w:t>供应商名称</w:t>
            </w:r>
          </w:p>
        </w:tc>
        <w:tc>
          <w:tcPr>
            <w:tcW w:w="2841" w:type="dxa"/>
            <w:vAlign w:val="center"/>
          </w:tcPr>
          <w:p w14:paraId="7E8BFF2C">
            <w:pPr>
              <w:keepNext w:val="0"/>
              <w:keepLines w:val="0"/>
              <w:widowControl/>
              <w:suppressLineNumbers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kern w:val="0"/>
                <w:sz w:val="24"/>
                <w:szCs w:val="24"/>
                <w:highlight w:val="none"/>
                <w:lang w:val="en-US" w:eastAsia="zh-CN" w:bidi="ar"/>
              </w:rPr>
              <w:t>供应商实际控制人性别</w:t>
            </w:r>
          </w:p>
        </w:tc>
        <w:tc>
          <w:tcPr>
            <w:tcW w:w="2743" w:type="dxa"/>
            <w:vAlign w:val="center"/>
          </w:tcPr>
          <w:p w14:paraId="27FEC6CB">
            <w:pPr>
              <w:keepNext w:val="0"/>
              <w:keepLines w:val="0"/>
              <w:widowControl/>
              <w:suppressLineNumbers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kern w:val="0"/>
                <w:sz w:val="24"/>
                <w:szCs w:val="24"/>
                <w:highlight w:val="none"/>
                <w:lang w:val="en-US" w:eastAsia="zh-CN" w:bidi="ar"/>
              </w:rPr>
              <w:t>外商投资类型</w:t>
            </w:r>
          </w:p>
        </w:tc>
      </w:tr>
      <w:tr w14:paraId="6C821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8" w:type="dxa"/>
          </w:tcPr>
          <w:p w14:paraId="00EF63A6">
            <w:pPr>
              <w:pStyle w:val="38"/>
              <w:rPr>
                <w:rFonts w:hint="eastAsia" w:ascii="宋体" w:hAnsi="宋体" w:eastAsia="宋体" w:cs="宋体"/>
                <w:color w:val="auto"/>
                <w:sz w:val="24"/>
                <w:szCs w:val="24"/>
                <w:highlight w:val="none"/>
                <w:vertAlign w:val="baseline"/>
                <w:lang w:val="en-US" w:eastAsia="zh-CN"/>
              </w:rPr>
            </w:pPr>
          </w:p>
        </w:tc>
        <w:tc>
          <w:tcPr>
            <w:tcW w:w="2841" w:type="dxa"/>
          </w:tcPr>
          <w:p w14:paraId="2C8A474B">
            <w:pPr>
              <w:pStyle w:val="38"/>
              <w:rPr>
                <w:rFonts w:hint="eastAsia" w:ascii="宋体" w:hAnsi="宋体" w:eastAsia="宋体" w:cs="宋体"/>
                <w:color w:val="auto"/>
                <w:sz w:val="24"/>
                <w:szCs w:val="24"/>
                <w:highlight w:val="none"/>
                <w:vertAlign w:val="baseline"/>
                <w:lang w:val="en-US" w:eastAsia="zh-CN"/>
              </w:rPr>
            </w:pPr>
          </w:p>
        </w:tc>
        <w:tc>
          <w:tcPr>
            <w:tcW w:w="2743" w:type="dxa"/>
          </w:tcPr>
          <w:p w14:paraId="2F4800D6">
            <w:pPr>
              <w:pStyle w:val="38"/>
              <w:rPr>
                <w:rFonts w:hint="eastAsia" w:ascii="宋体" w:hAnsi="宋体" w:eastAsia="宋体" w:cs="宋体"/>
                <w:color w:val="auto"/>
                <w:sz w:val="24"/>
                <w:szCs w:val="24"/>
                <w:highlight w:val="none"/>
                <w:vertAlign w:val="baseline"/>
                <w:lang w:val="en-US" w:eastAsia="zh-CN"/>
              </w:rPr>
            </w:pPr>
          </w:p>
        </w:tc>
      </w:tr>
      <w:tr w14:paraId="2A158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8" w:type="dxa"/>
          </w:tcPr>
          <w:p w14:paraId="38538042">
            <w:pPr>
              <w:pStyle w:val="38"/>
              <w:rPr>
                <w:rFonts w:hint="eastAsia" w:ascii="宋体" w:hAnsi="宋体" w:eastAsia="宋体" w:cs="宋体"/>
                <w:color w:val="auto"/>
                <w:sz w:val="24"/>
                <w:szCs w:val="24"/>
                <w:highlight w:val="none"/>
                <w:vertAlign w:val="baseline"/>
                <w:lang w:val="en-US" w:eastAsia="zh-CN"/>
              </w:rPr>
            </w:pPr>
          </w:p>
        </w:tc>
        <w:tc>
          <w:tcPr>
            <w:tcW w:w="2841" w:type="dxa"/>
          </w:tcPr>
          <w:p w14:paraId="15D28C08">
            <w:pPr>
              <w:pStyle w:val="38"/>
              <w:rPr>
                <w:rFonts w:hint="eastAsia" w:ascii="宋体" w:hAnsi="宋体" w:eastAsia="宋体" w:cs="宋体"/>
                <w:color w:val="auto"/>
                <w:sz w:val="24"/>
                <w:szCs w:val="24"/>
                <w:highlight w:val="none"/>
                <w:vertAlign w:val="baseline"/>
                <w:lang w:val="en-US" w:eastAsia="zh-CN"/>
              </w:rPr>
            </w:pPr>
          </w:p>
        </w:tc>
        <w:tc>
          <w:tcPr>
            <w:tcW w:w="2743" w:type="dxa"/>
          </w:tcPr>
          <w:p w14:paraId="31FE53FE">
            <w:pPr>
              <w:pStyle w:val="38"/>
              <w:rPr>
                <w:rFonts w:hint="eastAsia" w:ascii="宋体" w:hAnsi="宋体" w:eastAsia="宋体" w:cs="宋体"/>
                <w:color w:val="auto"/>
                <w:sz w:val="24"/>
                <w:szCs w:val="24"/>
                <w:highlight w:val="none"/>
                <w:vertAlign w:val="baseline"/>
                <w:lang w:val="en-US" w:eastAsia="zh-CN"/>
              </w:rPr>
            </w:pPr>
          </w:p>
        </w:tc>
      </w:tr>
      <w:tr w14:paraId="74D54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08" w:type="dxa"/>
          </w:tcPr>
          <w:p w14:paraId="0EF0ABBA">
            <w:pPr>
              <w:pStyle w:val="38"/>
              <w:rPr>
                <w:rFonts w:hint="eastAsia" w:ascii="宋体" w:hAnsi="宋体" w:eastAsia="宋体" w:cs="宋体"/>
                <w:color w:val="auto"/>
                <w:sz w:val="24"/>
                <w:szCs w:val="24"/>
                <w:highlight w:val="none"/>
                <w:vertAlign w:val="baseline"/>
                <w:lang w:val="en-US" w:eastAsia="zh-CN"/>
              </w:rPr>
            </w:pPr>
          </w:p>
        </w:tc>
        <w:tc>
          <w:tcPr>
            <w:tcW w:w="2841" w:type="dxa"/>
          </w:tcPr>
          <w:p w14:paraId="15A0EA10">
            <w:pPr>
              <w:pStyle w:val="38"/>
              <w:rPr>
                <w:rFonts w:hint="eastAsia" w:ascii="宋体" w:hAnsi="宋体" w:eastAsia="宋体" w:cs="宋体"/>
                <w:color w:val="auto"/>
                <w:sz w:val="24"/>
                <w:szCs w:val="24"/>
                <w:highlight w:val="none"/>
                <w:vertAlign w:val="baseline"/>
                <w:lang w:val="en-US" w:eastAsia="zh-CN"/>
              </w:rPr>
            </w:pPr>
          </w:p>
        </w:tc>
        <w:tc>
          <w:tcPr>
            <w:tcW w:w="2743" w:type="dxa"/>
          </w:tcPr>
          <w:p w14:paraId="4DD25543">
            <w:pPr>
              <w:pStyle w:val="38"/>
              <w:rPr>
                <w:rFonts w:hint="eastAsia" w:ascii="宋体" w:hAnsi="宋体" w:eastAsia="宋体" w:cs="宋体"/>
                <w:color w:val="auto"/>
                <w:sz w:val="24"/>
                <w:szCs w:val="24"/>
                <w:highlight w:val="none"/>
                <w:vertAlign w:val="baseline"/>
                <w:lang w:val="en-US" w:eastAsia="zh-CN"/>
              </w:rPr>
            </w:pPr>
          </w:p>
        </w:tc>
      </w:tr>
      <w:tr w14:paraId="000F1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8" w:type="dxa"/>
          </w:tcPr>
          <w:p w14:paraId="6B6D0E2F">
            <w:pPr>
              <w:pStyle w:val="38"/>
              <w:rPr>
                <w:rFonts w:hint="eastAsia" w:ascii="宋体" w:hAnsi="宋体" w:eastAsia="宋体" w:cs="宋体"/>
                <w:color w:val="auto"/>
                <w:sz w:val="24"/>
                <w:szCs w:val="24"/>
                <w:highlight w:val="none"/>
                <w:vertAlign w:val="baseline"/>
                <w:lang w:val="en-US" w:eastAsia="zh-CN"/>
              </w:rPr>
            </w:pPr>
          </w:p>
        </w:tc>
        <w:tc>
          <w:tcPr>
            <w:tcW w:w="2841" w:type="dxa"/>
          </w:tcPr>
          <w:p w14:paraId="7437EC56">
            <w:pPr>
              <w:pStyle w:val="38"/>
              <w:rPr>
                <w:rFonts w:hint="eastAsia" w:ascii="宋体" w:hAnsi="宋体" w:eastAsia="宋体" w:cs="宋体"/>
                <w:color w:val="auto"/>
                <w:sz w:val="24"/>
                <w:szCs w:val="24"/>
                <w:highlight w:val="none"/>
                <w:vertAlign w:val="baseline"/>
                <w:lang w:val="en-US" w:eastAsia="zh-CN"/>
              </w:rPr>
            </w:pPr>
          </w:p>
        </w:tc>
        <w:tc>
          <w:tcPr>
            <w:tcW w:w="2743" w:type="dxa"/>
          </w:tcPr>
          <w:p w14:paraId="769E8F28">
            <w:pPr>
              <w:pStyle w:val="38"/>
              <w:rPr>
                <w:rFonts w:hint="eastAsia" w:ascii="宋体" w:hAnsi="宋体" w:eastAsia="宋体" w:cs="宋体"/>
                <w:color w:val="auto"/>
                <w:sz w:val="24"/>
                <w:szCs w:val="24"/>
                <w:highlight w:val="none"/>
                <w:vertAlign w:val="baseline"/>
                <w:lang w:val="en-US" w:eastAsia="zh-CN"/>
              </w:rPr>
            </w:pPr>
          </w:p>
        </w:tc>
      </w:tr>
    </w:tbl>
    <w:p w14:paraId="3318F9F0">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注：1.供应商如为联合体，则应填写联合体各成员信息。 </w:t>
      </w:r>
    </w:p>
    <w:p w14:paraId="53D1AE7E">
      <w:pPr>
        <w:keepNext w:val="0"/>
        <w:keepLines w:val="0"/>
        <w:widowControl/>
        <w:suppressLineNumbers w:val="0"/>
        <w:ind w:firstLine="420" w:firstLineChars="20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r>
        <w:rPr>
          <w:rFonts w:hint="eastAsia" w:cs="宋体"/>
          <w:color w:val="auto"/>
          <w:kern w:val="0"/>
          <w:sz w:val="21"/>
          <w:szCs w:val="21"/>
          <w:highlight w:val="none"/>
          <w:lang w:val="en-US" w:eastAsia="zh-CN" w:bidi="ar"/>
        </w:rPr>
        <w:t>“供应商实际控制人性别”</w:t>
      </w:r>
      <w:r>
        <w:rPr>
          <w:rFonts w:hint="eastAsia" w:ascii="宋体" w:hAnsi="宋体" w:eastAsia="宋体" w:cs="宋体"/>
          <w:color w:val="auto"/>
          <w:kern w:val="0"/>
          <w:sz w:val="21"/>
          <w:szCs w:val="21"/>
          <w:highlight w:val="none"/>
          <w:lang w:val="en-US" w:eastAsia="zh-CN" w:bidi="ar"/>
        </w:rPr>
        <w:t>按供应商实际控制人性别划分请填写“男”或“女”，指拥有供应商 51%以上绝对所有权的性；绝对所有权拥有者可以是一个人，也可以是多人合计计算。</w:t>
      </w:r>
    </w:p>
    <w:p w14:paraId="6C85D95C">
      <w:pPr>
        <w:pStyle w:val="38"/>
        <w:ind w:left="0" w:leftChars="0" w:firstLine="420" w:firstLineChars="200"/>
        <w:rPr>
          <w:rFonts w:hint="eastAsia"/>
          <w:color w:val="auto"/>
          <w:sz w:val="21"/>
          <w:szCs w:val="21"/>
          <w:highlight w:val="none"/>
          <w:lang w:eastAsia="zh-CN"/>
        </w:rPr>
      </w:pPr>
      <w:r>
        <w:rPr>
          <w:rFonts w:hint="eastAsia" w:ascii="宋体" w:hAnsi="宋体" w:eastAsia="宋体" w:cs="宋体"/>
          <w:color w:val="auto"/>
          <w:kern w:val="0"/>
          <w:sz w:val="21"/>
          <w:szCs w:val="21"/>
          <w:highlight w:val="none"/>
          <w:lang w:val="en-US" w:eastAsia="zh-CN" w:bidi="ar"/>
        </w:rPr>
        <w:t>3.</w:t>
      </w:r>
      <w:r>
        <w:rPr>
          <w:rFonts w:hint="eastAsia"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外商投资类型</w:t>
      </w:r>
      <w:r>
        <w:rPr>
          <w:rFonts w:hint="eastAsia"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请填写“外商单独投资”、“外商部分投资”或“内资”。</w:t>
      </w:r>
    </w:p>
    <w:p w14:paraId="74B37C36">
      <w:pPr>
        <w:pStyle w:val="38"/>
        <w:rPr>
          <w:rFonts w:hint="eastAsia"/>
          <w:color w:val="auto"/>
          <w:sz w:val="28"/>
          <w:szCs w:val="28"/>
          <w:highlight w:val="none"/>
          <w:lang w:val="en-US" w:eastAsia="zh-CN"/>
        </w:rPr>
      </w:pPr>
    </w:p>
    <w:p w14:paraId="3CD7B018">
      <w:pPr>
        <w:pStyle w:val="38"/>
        <w:rPr>
          <w:rFonts w:hint="eastAsia"/>
          <w:color w:val="auto"/>
          <w:sz w:val="24"/>
          <w:szCs w:val="24"/>
          <w:highlight w:val="none"/>
          <w:lang w:val="en-US" w:eastAsia="zh-CN"/>
        </w:rPr>
      </w:pPr>
      <w:r>
        <w:rPr>
          <w:rFonts w:hint="eastAsia"/>
          <w:color w:val="auto"/>
          <w:sz w:val="24"/>
          <w:szCs w:val="24"/>
          <w:highlight w:val="none"/>
          <w:lang w:val="en-US" w:eastAsia="zh-CN"/>
        </w:rPr>
        <w:t>1.2其它商务、技术资料和证明材料</w:t>
      </w:r>
    </w:p>
    <w:p w14:paraId="45C8EB48">
      <w:pPr>
        <w:pStyle w:val="38"/>
        <w:ind w:left="0" w:leftChars="0" w:firstLine="0" w:firstLineChars="0"/>
        <w:rPr>
          <w:rFonts w:hint="eastAsia"/>
          <w:b/>
          <w:bCs/>
          <w:color w:val="auto"/>
          <w:sz w:val="24"/>
          <w:szCs w:val="24"/>
          <w:highlight w:val="none"/>
          <w:lang w:eastAsia="zh-CN"/>
        </w:rPr>
      </w:pPr>
    </w:p>
    <w:p w14:paraId="7DF13FE9">
      <w:pPr>
        <w:pStyle w:val="38"/>
        <w:ind w:left="0" w:leftChars="0" w:firstLine="0" w:firstLineChars="0"/>
        <w:rPr>
          <w:rFonts w:hint="eastAsia"/>
          <w:b/>
          <w:bCs/>
          <w:color w:val="auto"/>
          <w:sz w:val="24"/>
          <w:szCs w:val="24"/>
          <w:highlight w:val="none"/>
        </w:rPr>
      </w:pPr>
      <w:r>
        <w:rPr>
          <w:rFonts w:hint="eastAsia"/>
          <w:b/>
          <w:bCs/>
          <w:color w:val="auto"/>
          <w:sz w:val="24"/>
          <w:szCs w:val="24"/>
          <w:highlight w:val="none"/>
          <w:lang w:eastAsia="zh-CN"/>
        </w:rPr>
        <w:t>（</w:t>
      </w:r>
      <w:r>
        <w:rPr>
          <w:rFonts w:hint="eastAsia"/>
          <w:b/>
          <w:bCs/>
          <w:color w:val="auto"/>
          <w:sz w:val="24"/>
          <w:szCs w:val="24"/>
          <w:highlight w:val="none"/>
          <w:lang w:val="en-US" w:eastAsia="zh-CN"/>
        </w:rPr>
        <w:t>二）</w:t>
      </w:r>
      <w:r>
        <w:rPr>
          <w:rFonts w:hint="eastAsia"/>
          <w:b/>
          <w:bCs/>
          <w:color w:val="auto"/>
          <w:sz w:val="24"/>
          <w:szCs w:val="24"/>
          <w:highlight w:val="none"/>
        </w:rPr>
        <w:t>投标人认为需要提供的其它商务</w:t>
      </w:r>
      <w:r>
        <w:rPr>
          <w:rFonts w:hint="eastAsia"/>
          <w:b/>
          <w:bCs/>
          <w:color w:val="auto"/>
          <w:sz w:val="24"/>
          <w:szCs w:val="24"/>
          <w:highlight w:val="none"/>
          <w:lang w:eastAsia="zh-CN"/>
        </w:rPr>
        <w:t>、</w:t>
      </w:r>
      <w:r>
        <w:rPr>
          <w:rFonts w:hint="eastAsia"/>
          <w:b/>
          <w:bCs/>
          <w:color w:val="auto"/>
          <w:sz w:val="24"/>
          <w:szCs w:val="24"/>
          <w:highlight w:val="none"/>
        </w:rPr>
        <w:t>技术资料和说明。</w:t>
      </w:r>
    </w:p>
    <w:p w14:paraId="6DA29BFF">
      <w:pPr>
        <w:pStyle w:val="38"/>
        <w:rPr>
          <w:rFonts w:hint="eastAsia"/>
          <w:color w:val="auto"/>
          <w:highlight w:val="none"/>
        </w:rPr>
      </w:pPr>
    </w:p>
    <w:sectPr>
      <w:footerReference r:id="rId11"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0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华文楷体">
    <w:altName w:val="宋体"/>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Helvetica">
    <w:altName w:val="Arial"/>
    <w:panose1 w:val="020B0504020202020204"/>
    <w:charset w:val="00"/>
    <w:family w:val="swiss"/>
    <w:pitch w:val="default"/>
    <w:sig w:usb0="00000000" w:usb1="00000000" w:usb2="00000000" w:usb3="00000000" w:csb0="00000001" w:csb1="00000000"/>
  </w:font>
  <w:font w:name="方正小标宋_GBK">
    <w:altName w:val="微软雅黑"/>
    <w:panose1 w:val="03000509000000000000"/>
    <w:charset w:val="86"/>
    <w:family w:val="auto"/>
    <w:pitch w:val="default"/>
    <w:sig w:usb0="00000000" w:usb1="00000000" w:usb2="00000000" w:usb3="00000000" w:csb0="00040000" w:csb1="00000000"/>
  </w:font>
  <w:font w:name="DejaVu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FEEBB">
    <w:pPr>
      <w:pStyle w:val="22"/>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92C40C">
                          <w:pPr>
                            <w:pStyle w:val="22"/>
                            <w:keepNext w:val="0"/>
                            <w:keepLines w:val="0"/>
                            <w:pageBreakBefore w:val="0"/>
                            <w:widowControl w:val="0"/>
                            <w:kinsoku/>
                            <w:wordWrap/>
                            <w:overflowPunct/>
                            <w:topLinePunct w:val="0"/>
                            <w:bidi w:val="0"/>
                            <w:adjustRightInd/>
                            <w:snapToGrid w:val="0"/>
                            <w:textAlignment w:val="auto"/>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692C40C">
                    <w:pPr>
                      <w:pStyle w:val="22"/>
                      <w:keepNext w:val="0"/>
                      <w:keepLines w:val="0"/>
                      <w:pageBreakBefore w:val="0"/>
                      <w:widowControl w:val="0"/>
                      <w:kinsoku/>
                      <w:wordWrap/>
                      <w:overflowPunct/>
                      <w:topLinePunct w:val="0"/>
                      <w:bidi w:val="0"/>
                      <w:adjustRightInd/>
                      <w:snapToGrid w:val="0"/>
                      <w:textAlignment w:val="auto"/>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80416"/>
                            <w:showingPlcHdr/>
                          </w:sdtPr>
                          <w:sdtContent>
                            <w:p w14:paraId="5178AC84">
                              <w:pPr>
                                <w:pStyle w:val="22"/>
                                <w:jc w:val="center"/>
                              </w:pPr>
                              <w:r>
                                <w:rPr>
                                  <w:rFonts w:hint="eastAsia"/>
                                  <w:lang w:eastAsia="zh-CN"/>
                                </w:rPr>
                                <w:t xml:space="preserve">     </w:t>
                              </w:r>
                            </w:p>
                          </w:sdtContent>
                        </w:sdt>
                        <w:p w14:paraId="1172ED4B"/>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sdt>
                    <w:sdtPr>
                      <w:id w:val="147480416"/>
                      <w:showingPlcHdr/>
                    </w:sdtPr>
                    <w:sdtContent>
                      <w:p w14:paraId="5178AC84">
                        <w:pPr>
                          <w:pStyle w:val="22"/>
                          <w:jc w:val="center"/>
                        </w:pPr>
                        <w:r>
                          <w:rPr>
                            <w:rFonts w:hint="eastAsia"/>
                            <w:lang w:eastAsia="zh-CN"/>
                          </w:rPr>
                          <w:t xml:space="preserve">     </w:t>
                        </w:r>
                      </w:p>
                    </w:sdtContent>
                  </w:sdt>
                  <w:p w14:paraId="1172ED4B"/>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FFD85">
    <w:pPr>
      <w:pStyle w:val="22"/>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D117A8">
                          <w:pPr>
                            <w:pStyle w:val="22"/>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AD117A8">
                    <w:pPr>
                      <w:pStyle w:val="22"/>
                    </w:pPr>
                    <w:r>
                      <w:fldChar w:fldCharType="begin"/>
                    </w:r>
                    <w:r>
                      <w:instrText xml:space="preserve"> PAGE  \* MERGEFORMAT </w:instrText>
                    </w:r>
                    <w:r>
                      <w:fldChar w:fldCharType="separate"/>
                    </w:r>
                    <w:r>
                      <w:t>6</w:t>
                    </w:r>
                    <w:r>
                      <w:fldChar w:fldCharType="end"/>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E1F8CD">
                          <w:pPr>
                            <w:pStyle w:val="22"/>
                            <w:jc w:val="center"/>
                          </w:pPr>
                        </w:p>
                        <w:p w14:paraId="0EF235DF"/>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AE1F8CD">
                    <w:pPr>
                      <w:pStyle w:val="22"/>
                      <w:jc w:val="center"/>
                    </w:pPr>
                  </w:p>
                  <w:p w14:paraId="0EF235DF"/>
                </w:txbxContent>
              </v:textbox>
            </v:shape>
          </w:pict>
        </mc:Fallback>
      </mc:AlternateContent>
    </w:r>
  </w:p>
  <w:p w14:paraId="23975237">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A2D5C">
    <w:pPr>
      <w:pStyle w:val="22"/>
      <w:keepNext w:val="0"/>
      <w:keepLines w:val="0"/>
      <w:pageBreakBefore w:val="0"/>
      <w:widowControl w:val="0"/>
      <w:kinsoku/>
      <w:wordWrap/>
      <w:overflowPunct/>
      <w:topLinePunct w:val="0"/>
      <w:bidi w:val="0"/>
      <w:adjustRightInd/>
      <w:snapToGrid w:val="0"/>
      <w:textAlignment w:val="auto"/>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3757FD">
                          <w:pPr>
                            <w:pStyle w:val="22"/>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13757FD">
                    <w:pPr>
                      <w:pStyle w:val="22"/>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41052">
    <w:pPr>
      <w:pStyle w:val="2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8428888"/>
                          </w:sdtPr>
                          <w:sdtContent>
                            <w:p w14:paraId="1087FA9B">
                              <w:pPr>
                                <w:pStyle w:val="22"/>
                                <w:jc w:val="cente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sdtContent>
                        </w:sdt>
                        <w:p w14:paraId="448A7938"/>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sdt>
                    <w:sdtPr>
                      <w:id w:val="-178428888"/>
                    </w:sdtPr>
                    <w:sdtContent>
                      <w:p w14:paraId="1087FA9B">
                        <w:pPr>
                          <w:pStyle w:val="22"/>
                          <w:jc w:val="cente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sdtContent>
                  </w:sdt>
                  <w:p w14:paraId="448A7938"/>
                </w:txbxContent>
              </v:textbox>
            </v:shape>
          </w:pict>
        </mc:Fallback>
      </mc:AlternateContent>
    </w:r>
  </w:p>
  <w:p w14:paraId="4005E617">
    <w:pPr>
      <w:pStyle w:val="2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1E85C">
    <w:pPr>
      <w:pStyle w:val="23"/>
      <w:keepNext w:val="0"/>
      <w:keepLines w:val="0"/>
      <w:pageBreakBefore w:val="0"/>
      <w:widowControl w:val="0"/>
      <w:kinsoku/>
      <w:wordWrap/>
      <w:overflowPunct/>
      <w:topLinePunct w:val="0"/>
      <w:bidi w:val="0"/>
      <w:adjustRightInd/>
      <w:snapToGrid w:val="0"/>
      <w:jc w:val="right"/>
      <w:textAlignment w:val="auto"/>
    </w:pPr>
    <w:r>
      <w:rPr>
        <w:rFonts w:hint="eastAsia"/>
        <w:sz w:val="18"/>
        <w:szCs w:val="18"/>
        <w:lang w:val="en-US" w:eastAsia="zh-CN"/>
      </w:rPr>
      <w:t>兵团政府采购项目</w:t>
    </w:r>
    <w:r>
      <w:rPr>
        <w:rFonts w:hint="eastAsia"/>
        <w:sz w:val="18"/>
        <w:szCs w:val="18"/>
      </w:rPr>
      <w:t>公开招标文件</w:t>
    </w:r>
    <w:r>
      <w:rPr>
        <w:rFonts w:hint="eastAsia"/>
        <w:sz w:val="18"/>
        <w:szCs w:val="18"/>
        <w:lang w:val="en-US" w:eastAsia="zh-CN"/>
      </w:rPr>
      <w:t>示范文本（服务）</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57AC4">
    <w:pPr>
      <w:pStyle w:val="23"/>
      <w:jc w:val="right"/>
      <w:rPr>
        <w:sz w:val="24"/>
        <w:szCs w:val="24"/>
      </w:rPr>
    </w:pPr>
    <w:r>
      <w:rPr>
        <w:rFonts w:hint="eastAsia"/>
        <w:sz w:val="18"/>
        <w:szCs w:val="18"/>
        <w:lang w:val="en-US" w:eastAsia="zh-CN"/>
      </w:rPr>
      <w:t>兵团政府采购项目</w:t>
    </w:r>
    <w:r>
      <w:rPr>
        <w:rFonts w:hint="eastAsia"/>
        <w:sz w:val="18"/>
        <w:szCs w:val="18"/>
      </w:rPr>
      <w:t>公开招标文件</w:t>
    </w:r>
    <w:r>
      <w:rPr>
        <w:rFonts w:hint="eastAsia"/>
        <w:sz w:val="18"/>
        <w:szCs w:val="18"/>
        <w:lang w:val="en-US" w:eastAsia="zh-CN"/>
      </w:rPr>
      <w:t>（服务）</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2F3D0">
    <w:pPr>
      <w:pStyle w:val="23"/>
    </w:pPr>
    <w:r>
      <w:rPr>
        <w:rFonts w:hint="eastAsia"/>
        <w:sz w:val="24"/>
        <w:szCs w:val="24"/>
        <w:lang w:val="en-US" w:eastAsia="zh-CN"/>
      </w:rPr>
      <w:t xml:space="preserve">                                    </w:t>
    </w:r>
    <w:r>
      <w:rPr>
        <w:rFonts w:hint="eastAsia"/>
        <w:sz w:val="18"/>
        <w:szCs w:val="18"/>
        <w:lang w:val="en-US" w:eastAsia="zh-CN"/>
      </w:rPr>
      <w:t>兵团政府采购项目</w:t>
    </w:r>
    <w:r>
      <w:rPr>
        <w:rFonts w:hint="eastAsia"/>
        <w:sz w:val="18"/>
        <w:szCs w:val="18"/>
      </w:rPr>
      <w:t>公开招标文件</w:t>
    </w:r>
    <w:r>
      <w:rPr>
        <w:rFonts w:hint="eastAsia"/>
        <w:sz w:val="18"/>
        <w:szCs w:val="18"/>
        <w:lang w:val="en-US" w:eastAsia="zh-CN"/>
      </w:rPr>
      <w:t>示范文本（服务）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070575"/>
    <w:multiLevelType w:val="singleLevel"/>
    <w:tmpl w:val="9C070575"/>
    <w:lvl w:ilvl="0" w:tentative="0">
      <w:start w:val="1"/>
      <w:numFmt w:val="decimal"/>
      <w:pStyle w:val="12"/>
      <w:lvlText w:val="%1."/>
      <w:lvlJc w:val="left"/>
      <w:pPr>
        <w:tabs>
          <w:tab w:val="left" w:pos="780"/>
        </w:tabs>
        <w:ind w:left="780" w:hanging="360"/>
      </w:pPr>
    </w:lvl>
  </w:abstractNum>
  <w:abstractNum w:abstractNumId="1">
    <w:nsid w:val="018F716A"/>
    <w:multiLevelType w:val="singleLevel"/>
    <w:tmpl w:val="018F716A"/>
    <w:lvl w:ilvl="0" w:tentative="0">
      <w:start w:val="4"/>
      <w:numFmt w:val="chineseCounting"/>
      <w:suff w:val="space"/>
      <w:lvlText w:val="第%1章"/>
      <w:lvlJc w:val="left"/>
      <w:rPr>
        <w:rFonts w:hint="eastAsia"/>
      </w:rPr>
    </w:lvl>
  </w:abstractNum>
  <w:abstractNum w:abstractNumId="2">
    <w:nsid w:val="447B6378"/>
    <w:multiLevelType w:val="multilevel"/>
    <w:tmpl w:val="447B6378"/>
    <w:lvl w:ilvl="0" w:tentative="0">
      <w:start w:val="1"/>
      <w:numFmt w:val="decimal"/>
      <w:pStyle w:val="40"/>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JkNTg1OTJkZTA1ZDVhNGYzMmVkNzJiZGI5ZmNhNzAifQ=="/>
  </w:docVars>
  <w:rsids>
    <w:rsidRoot w:val="00172A27"/>
    <w:rsid w:val="0000366A"/>
    <w:rsid w:val="00006F7F"/>
    <w:rsid w:val="00007003"/>
    <w:rsid w:val="000075B7"/>
    <w:rsid w:val="000237EA"/>
    <w:rsid w:val="00027CD2"/>
    <w:rsid w:val="00031E0C"/>
    <w:rsid w:val="00040832"/>
    <w:rsid w:val="00040D23"/>
    <w:rsid w:val="000439DA"/>
    <w:rsid w:val="00063604"/>
    <w:rsid w:val="0006370A"/>
    <w:rsid w:val="00066832"/>
    <w:rsid w:val="00067934"/>
    <w:rsid w:val="000720BF"/>
    <w:rsid w:val="0008641D"/>
    <w:rsid w:val="000B39A0"/>
    <w:rsid w:val="000C3E03"/>
    <w:rsid w:val="000C488D"/>
    <w:rsid w:val="000C52EC"/>
    <w:rsid w:val="000D0230"/>
    <w:rsid w:val="000D0AD3"/>
    <w:rsid w:val="000E45BD"/>
    <w:rsid w:val="000E4E33"/>
    <w:rsid w:val="000E67CF"/>
    <w:rsid w:val="000F20FD"/>
    <w:rsid w:val="000F39B0"/>
    <w:rsid w:val="001008D8"/>
    <w:rsid w:val="001022A4"/>
    <w:rsid w:val="00115EF7"/>
    <w:rsid w:val="0013642D"/>
    <w:rsid w:val="00146410"/>
    <w:rsid w:val="00150D67"/>
    <w:rsid w:val="00156600"/>
    <w:rsid w:val="00160E9C"/>
    <w:rsid w:val="00172190"/>
    <w:rsid w:val="00173480"/>
    <w:rsid w:val="00181988"/>
    <w:rsid w:val="00182557"/>
    <w:rsid w:val="0018304A"/>
    <w:rsid w:val="001904E9"/>
    <w:rsid w:val="001A77DE"/>
    <w:rsid w:val="001B36EC"/>
    <w:rsid w:val="001D7B23"/>
    <w:rsid w:val="001E2F56"/>
    <w:rsid w:val="002062E6"/>
    <w:rsid w:val="00207131"/>
    <w:rsid w:val="0022214D"/>
    <w:rsid w:val="00223585"/>
    <w:rsid w:val="002235CA"/>
    <w:rsid w:val="002317DB"/>
    <w:rsid w:val="00232245"/>
    <w:rsid w:val="0023265E"/>
    <w:rsid w:val="00235B5A"/>
    <w:rsid w:val="00251060"/>
    <w:rsid w:val="002514A3"/>
    <w:rsid w:val="00256B32"/>
    <w:rsid w:val="00256D01"/>
    <w:rsid w:val="002706F2"/>
    <w:rsid w:val="00271135"/>
    <w:rsid w:val="00285E30"/>
    <w:rsid w:val="002A1AEC"/>
    <w:rsid w:val="002A1BCB"/>
    <w:rsid w:val="002A5262"/>
    <w:rsid w:val="002A6484"/>
    <w:rsid w:val="002A79C6"/>
    <w:rsid w:val="002C06B9"/>
    <w:rsid w:val="002C0FDD"/>
    <w:rsid w:val="002C5E37"/>
    <w:rsid w:val="002D11F7"/>
    <w:rsid w:val="002D48C5"/>
    <w:rsid w:val="002E0B52"/>
    <w:rsid w:val="002E1CF4"/>
    <w:rsid w:val="002E5FED"/>
    <w:rsid w:val="002F0DA9"/>
    <w:rsid w:val="003113C1"/>
    <w:rsid w:val="00312C3A"/>
    <w:rsid w:val="0031353D"/>
    <w:rsid w:val="0032200D"/>
    <w:rsid w:val="00333B37"/>
    <w:rsid w:val="0034487B"/>
    <w:rsid w:val="00347CC6"/>
    <w:rsid w:val="00347D88"/>
    <w:rsid w:val="00350BCD"/>
    <w:rsid w:val="0035643C"/>
    <w:rsid w:val="00366226"/>
    <w:rsid w:val="003746B0"/>
    <w:rsid w:val="00374A6B"/>
    <w:rsid w:val="00383E1C"/>
    <w:rsid w:val="0039029A"/>
    <w:rsid w:val="00390D4A"/>
    <w:rsid w:val="0039222E"/>
    <w:rsid w:val="0039288A"/>
    <w:rsid w:val="00393395"/>
    <w:rsid w:val="0039372E"/>
    <w:rsid w:val="00394AF5"/>
    <w:rsid w:val="003A19A4"/>
    <w:rsid w:val="003A1A1B"/>
    <w:rsid w:val="003A4485"/>
    <w:rsid w:val="003A4878"/>
    <w:rsid w:val="003B4310"/>
    <w:rsid w:val="003B60A6"/>
    <w:rsid w:val="003C5883"/>
    <w:rsid w:val="003C7C49"/>
    <w:rsid w:val="003D3327"/>
    <w:rsid w:val="003D6656"/>
    <w:rsid w:val="003E057C"/>
    <w:rsid w:val="003E2B14"/>
    <w:rsid w:val="003E314B"/>
    <w:rsid w:val="003F5655"/>
    <w:rsid w:val="003F5BC6"/>
    <w:rsid w:val="004021C6"/>
    <w:rsid w:val="00406BEF"/>
    <w:rsid w:val="00410595"/>
    <w:rsid w:val="00420F7C"/>
    <w:rsid w:val="0043307A"/>
    <w:rsid w:val="00433514"/>
    <w:rsid w:val="00446BB3"/>
    <w:rsid w:val="0045353D"/>
    <w:rsid w:val="004771C7"/>
    <w:rsid w:val="00481C3A"/>
    <w:rsid w:val="004851CA"/>
    <w:rsid w:val="0048656E"/>
    <w:rsid w:val="00493221"/>
    <w:rsid w:val="004A302C"/>
    <w:rsid w:val="004B539D"/>
    <w:rsid w:val="004C1FA1"/>
    <w:rsid w:val="004C3DCC"/>
    <w:rsid w:val="004E0BF9"/>
    <w:rsid w:val="004E0CF9"/>
    <w:rsid w:val="004F3FDD"/>
    <w:rsid w:val="004F46AB"/>
    <w:rsid w:val="00501A4A"/>
    <w:rsid w:val="00501E05"/>
    <w:rsid w:val="005032B9"/>
    <w:rsid w:val="005100F2"/>
    <w:rsid w:val="00510300"/>
    <w:rsid w:val="00511D7B"/>
    <w:rsid w:val="00513AD5"/>
    <w:rsid w:val="00523D37"/>
    <w:rsid w:val="00524831"/>
    <w:rsid w:val="0052616B"/>
    <w:rsid w:val="00532F25"/>
    <w:rsid w:val="00541D90"/>
    <w:rsid w:val="00542258"/>
    <w:rsid w:val="0054547C"/>
    <w:rsid w:val="0054632A"/>
    <w:rsid w:val="00551EDC"/>
    <w:rsid w:val="005544D1"/>
    <w:rsid w:val="00554509"/>
    <w:rsid w:val="00561523"/>
    <w:rsid w:val="00561527"/>
    <w:rsid w:val="005714C6"/>
    <w:rsid w:val="00594E7A"/>
    <w:rsid w:val="005A146E"/>
    <w:rsid w:val="005A7208"/>
    <w:rsid w:val="005A7987"/>
    <w:rsid w:val="005B5936"/>
    <w:rsid w:val="005C0D20"/>
    <w:rsid w:val="005D050C"/>
    <w:rsid w:val="005F7A46"/>
    <w:rsid w:val="00611383"/>
    <w:rsid w:val="00620B1C"/>
    <w:rsid w:val="00626E33"/>
    <w:rsid w:val="006407ED"/>
    <w:rsid w:val="0064251F"/>
    <w:rsid w:val="00643F74"/>
    <w:rsid w:val="006503AE"/>
    <w:rsid w:val="00651EE4"/>
    <w:rsid w:val="00654524"/>
    <w:rsid w:val="00654BCF"/>
    <w:rsid w:val="0066052B"/>
    <w:rsid w:val="006630EF"/>
    <w:rsid w:val="0066446E"/>
    <w:rsid w:val="0066601A"/>
    <w:rsid w:val="006662AB"/>
    <w:rsid w:val="00674212"/>
    <w:rsid w:val="0067621A"/>
    <w:rsid w:val="006815D1"/>
    <w:rsid w:val="00687DD5"/>
    <w:rsid w:val="006923C3"/>
    <w:rsid w:val="006937E9"/>
    <w:rsid w:val="00693EF9"/>
    <w:rsid w:val="006947A5"/>
    <w:rsid w:val="006A1A11"/>
    <w:rsid w:val="006A2C75"/>
    <w:rsid w:val="006A4105"/>
    <w:rsid w:val="006B0C84"/>
    <w:rsid w:val="006B543B"/>
    <w:rsid w:val="006B7E54"/>
    <w:rsid w:val="006C0BD1"/>
    <w:rsid w:val="006C30C8"/>
    <w:rsid w:val="006C5139"/>
    <w:rsid w:val="006C69FC"/>
    <w:rsid w:val="006D069F"/>
    <w:rsid w:val="006D2C95"/>
    <w:rsid w:val="006D5F8F"/>
    <w:rsid w:val="006D6CEA"/>
    <w:rsid w:val="006E3B5C"/>
    <w:rsid w:val="006E3EB8"/>
    <w:rsid w:val="00707B1D"/>
    <w:rsid w:val="00710909"/>
    <w:rsid w:val="00716369"/>
    <w:rsid w:val="00723649"/>
    <w:rsid w:val="007265C3"/>
    <w:rsid w:val="00735F23"/>
    <w:rsid w:val="00740CEF"/>
    <w:rsid w:val="00742261"/>
    <w:rsid w:val="00752C5E"/>
    <w:rsid w:val="007531F9"/>
    <w:rsid w:val="00764378"/>
    <w:rsid w:val="0076591F"/>
    <w:rsid w:val="00766F0F"/>
    <w:rsid w:val="00773B9A"/>
    <w:rsid w:val="0077582F"/>
    <w:rsid w:val="007862C9"/>
    <w:rsid w:val="0079007B"/>
    <w:rsid w:val="007A0F22"/>
    <w:rsid w:val="007B5C1A"/>
    <w:rsid w:val="007C03A0"/>
    <w:rsid w:val="007C2BEF"/>
    <w:rsid w:val="007D3D77"/>
    <w:rsid w:val="007E157B"/>
    <w:rsid w:val="007E2EF7"/>
    <w:rsid w:val="007E4818"/>
    <w:rsid w:val="007E6A7E"/>
    <w:rsid w:val="007F33F3"/>
    <w:rsid w:val="007F6124"/>
    <w:rsid w:val="00801BDF"/>
    <w:rsid w:val="00802B86"/>
    <w:rsid w:val="0082514B"/>
    <w:rsid w:val="00830599"/>
    <w:rsid w:val="008334B0"/>
    <w:rsid w:val="0083496F"/>
    <w:rsid w:val="0083530F"/>
    <w:rsid w:val="00836468"/>
    <w:rsid w:val="00843492"/>
    <w:rsid w:val="00845F16"/>
    <w:rsid w:val="00852AF3"/>
    <w:rsid w:val="00856D2D"/>
    <w:rsid w:val="00856F2E"/>
    <w:rsid w:val="00867FFD"/>
    <w:rsid w:val="00871560"/>
    <w:rsid w:val="00872D54"/>
    <w:rsid w:val="00872F2D"/>
    <w:rsid w:val="0087585D"/>
    <w:rsid w:val="00880E22"/>
    <w:rsid w:val="00882B6F"/>
    <w:rsid w:val="008834AE"/>
    <w:rsid w:val="00885F4D"/>
    <w:rsid w:val="008962E2"/>
    <w:rsid w:val="008A74EF"/>
    <w:rsid w:val="008B0539"/>
    <w:rsid w:val="008B1C98"/>
    <w:rsid w:val="008B5ADF"/>
    <w:rsid w:val="008D0B3B"/>
    <w:rsid w:val="008D1450"/>
    <w:rsid w:val="008D2E66"/>
    <w:rsid w:val="008D56A5"/>
    <w:rsid w:val="008E1546"/>
    <w:rsid w:val="008E189F"/>
    <w:rsid w:val="008E24ED"/>
    <w:rsid w:val="008E40FE"/>
    <w:rsid w:val="008E57AC"/>
    <w:rsid w:val="008E6D3B"/>
    <w:rsid w:val="00906396"/>
    <w:rsid w:val="0090770A"/>
    <w:rsid w:val="00916E4D"/>
    <w:rsid w:val="00917A63"/>
    <w:rsid w:val="00923C36"/>
    <w:rsid w:val="00924B8E"/>
    <w:rsid w:val="00930024"/>
    <w:rsid w:val="009344DE"/>
    <w:rsid w:val="009357E5"/>
    <w:rsid w:val="00936087"/>
    <w:rsid w:val="00945D17"/>
    <w:rsid w:val="00965FBF"/>
    <w:rsid w:val="00973941"/>
    <w:rsid w:val="0097751F"/>
    <w:rsid w:val="00980255"/>
    <w:rsid w:val="009804FA"/>
    <w:rsid w:val="00985B78"/>
    <w:rsid w:val="0098649F"/>
    <w:rsid w:val="00993AFA"/>
    <w:rsid w:val="0099686E"/>
    <w:rsid w:val="00996DF2"/>
    <w:rsid w:val="009A41B0"/>
    <w:rsid w:val="009A4756"/>
    <w:rsid w:val="009A4C46"/>
    <w:rsid w:val="009A4DBF"/>
    <w:rsid w:val="009B3513"/>
    <w:rsid w:val="009B39EA"/>
    <w:rsid w:val="009D3FC3"/>
    <w:rsid w:val="009D433D"/>
    <w:rsid w:val="009D4484"/>
    <w:rsid w:val="009D5889"/>
    <w:rsid w:val="009D7755"/>
    <w:rsid w:val="009F1D20"/>
    <w:rsid w:val="00A00548"/>
    <w:rsid w:val="00A00713"/>
    <w:rsid w:val="00A00731"/>
    <w:rsid w:val="00A11A5C"/>
    <w:rsid w:val="00A22235"/>
    <w:rsid w:val="00A22F7B"/>
    <w:rsid w:val="00A23801"/>
    <w:rsid w:val="00A2554C"/>
    <w:rsid w:val="00A33652"/>
    <w:rsid w:val="00A3798C"/>
    <w:rsid w:val="00A42866"/>
    <w:rsid w:val="00A461C1"/>
    <w:rsid w:val="00A46B5C"/>
    <w:rsid w:val="00A50D6E"/>
    <w:rsid w:val="00A51DD8"/>
    <w:rsid w:val="00A647EA"/>
    <w:rsid w:val="00A736C6"/>
    <w:rsid w:val="00A82472"/>
    <w:rsid w:val="00A83F1F"/>
    <w:rsid w:val="00A8416F"/>
    <w:rsid w:val="00AA0223"/>
    <w:rsid w:val="00AB28B8"/>
    <w:rsid w:val="00AB3B77"/>
    <w:rsid w:val="00AC57B7"/>
    <w:rsid w:val="00AC73C5"/>
    <w:rsid w:val="00AC755C"/>
    <w:rsid w:val="00AD0E13"/>
    <w:rsid w:val="00AD5ABF"/>
    <w:rsid w:val="00AF45C5"/>
    <w:rsid w:val="00AF5667"/>
    <w:rsid w:val="00B05DD5"/>
    <w:rsid w:val="00B12477"/>
    <w:rsid w:val="00B13343"/>
    <w:rsid w:val="00B1354B"/>
    <w:rsid w:val="00B220B2"/>
    <w:rsid w:val="00B23942"/>
    <w:rsid w:val="00B32474"/>
    <w:rsid w:val="00B4327E"/>
    <w:rsid w:val="00B467A4"/>
    <w:rsid w:val="00B5286D"/>
    <w:rsid w:val="00B545BC"/>
    <w:rsid w:val="00B61032"/>
    <w:rsid w:val="00B61D2E"/>
    <w:rsid w:val="00B71854"/>
    <w:rsid w:val="00B71DA4"/>
    <w:rsid w:val="00B7235B"/>
    <w:rsid w:val="00B76348"/>
    <w:rsid w:val="00B81261"/>
    <w:rsid w:val="00B82556"/>
    <w:rsid w:val="00B87655"/>
    <w:rsid w:val="00B87801"/>
    <w:rsid w:val="00B92871"/>
    <w:rsid w:val="00B928DA"/>
    <w:rsid w:val="00BA5AC3"/>
    <w:rsid w:val="00BA630D"/>
    <w:rsid w:val="00BB06B4"/>
    <w:rsid w:val="00BB2551"/>
    <w:rsid w:val="00BB4892"/>
    <w:rsid w:val="00BB5E9B"/>
    <w:rsid w:val="00BC1A44"/>
    <w:rsid w:val="00BC5C37"/>
    <w:rsid w:val="00BC757B"/>
    <w:rsid w:val="00BC7ED2"/>
    <w:rsid w:val="00BD0190"/>
    <w:rsid w:val="00BE212E"/>
    <w:rsid w:val="00BE4AAB"/>
    <w:rsid w:val="00BE5086"/>
    <w:rsid w:val="00BF4971"/>
    <w:rsid w:val="00C07F40"/>
    <w:rsid w:val="00C12E85"/>
    <w:rsid w:val="00C16A79"/>
    <w:rsid w:val="00C20278"/>
    <w:rsid w:val="00C22791"/>
    <w:rsid w:val="00C236DC"/>
    <w:rsid w:val="00C31B7F"/>
    <w:rsid w:val="00C32F79"/>
    <w:rsid w:val="00C33FD2"/>
    <w:rsid w:val="00C35271"/>
    <w:rsid w:val="00C4036A"/>
    <w:rsid w:val="00C50E28"/>
    <w:rsid w:val="00C62934"/>
    <w:rsid w:val="00C64428"/>
    <w:rsid w:val="00C74D6F"/>
    <w:rsid w:val="00C842DE"/>
    <w:rsid w:val="00C902FB"/>
    <w:rsid w:val="00C965AE"/>
    <w:rsid w:val="00CA0AED"/>
    <w:rsid w:val="00CA66E6"/>
    <w:rsid w:val="00CC29DE"/>
    <w:rsid w:val="00CC3B64"/>
    <w:rsid w:val="00CD37C6"/>
    <w:rsid w:val="00CD3BA4"/>
    <w:rsid w:val="00CD41AA"/>
    <w:rsid w:val="00CD6943"/>
    <w:rsid w:val="00CE6C2F"/>
    <w:rsid w:val="00CE73CC"/>
    <w:rsid w:val="00CE7E9C"/>
    <w:rsid w:val="00CF2EF3"/>
    <w:rsid w:val="00CF3298"/>
    <w:rsid w:val="00D02F3B"/>
    <w:rsid w:val="00D0657B"/>
    <w:rsid w:val="00D129CB"/>
    <w:rsid w:val="00D16A04"/>
    <w:rsid w:val="00D27C17"/>
    <w:rsid w:val="00D41B89"/>
    <w:rsid w:val="00D47F27"/>
    <w:rsid w:val="00D5541F"/>
    <w:rsid w:val="00D57923"/>
    <w:rsid w:val="00D66387"/>
    <w:rsid w:val="00D741B6"/>
    <w:rsid w:val="00D74BD0"/>
    <w:rsid w:val="00D74FED"/>
    <w:rsid w:val="00D75A81"/>
    <w:rsid w:val="00D7761F"/>
    <w:rsid w:val="00D86806"/>
    <w:rsid w:val="00D86C35"/>
    <w:rsid w:val="00DB04FB"/>
    <w:rsid w:val="00DB6DFF"/>
    <w:rsid w:val="00DC003F"/>
    <w:rsid w:val="00DE72B3"/>
    <w:rsid w:val="00DF4668"/>
    <w:rsid w:val="00E00172"/>
    <w:rsid w:val="00E0533A"/>
    <w:rsid w:val="00E0701A"/>
    <w:rsid w:val="00E131D1"/>
    <w:rsid w:val="00E17AA0"/>
    <w:rsid w:val="00E2655B"/>
    <w:rsid w:val="00E311AB"/>
    <w:rsid w:val="00E358BF"/>
    <w:rsid w:val="00E36EC8"/>
    <w:rsid w:val="00E51146"/>
    <w:rsid w:val="00E512A9"/>
    <w:rsid w:val="00E54AF9"/>
    <w:rsid w:val="00E5624E"/>
    <w:rsid w:val="00E601D4"/>
    <w:rsid w:val="00E64C88"/>
    <w:rsid w:val="00E7179D"/>
    <w:rsid w:val="00E74832"/>
    <w:rsid w:val="00E81B04"/>
    <w:rsid w:val="00E820C5"/>
    <w:rsid w:val="00E87550"/>
    <w:rsid w:val="00E9413F"/>
    <w:rsid w:val="00E973D2"/>
    <w:rsid w:val="00EC7C64"/>
    <w:rsid w:val="00ED00D6"/>
    <w:rsid w:val="00EE26DC"/>
    <w:rsid w:val="00EE3FF1"/>
    <w:rsid w:val="00EE5816"/>
    <w:rsid w:val="00EF3D7E"/>
    <w:rsid w:val="00F03292"/>
    <w:rsid w:val="00F0565C"/>
    <w:rsid w:val="00F121AE"/>
    <w:rsid w:val="00F15852"/>
    <w:rsid w:val="00F23F4B"/>
    <w:rsid w:val="00F46C50"/>
    <w:rsid w:val="00F56CD7"/>
    <w:rsid w:val="00F60B61"/>
    <w:rsid w:val="00F66E89"/>
    <w:rsid w:val="00F67822"/>
    <w:rsid w:val="00F70621"/>
    <w:rsid w:val="00F74182"/>
    <w:rsid w:val="00F7607A"/>
    <w:rsid w:val="00F8517B"/>
    <w:rsid w:val="00F90250"/>
    <w:rsid w:val="00F91395"/>
    <w:rsid w:val="00F961D7"/>
    <w:rsid w:val="00F97A2B"/>
    <w:rsid w:val="00FA0CA3"/>
    <w:rsid w:val="00FA3BC5"/>
    <w:rsid w:val="00FA40FE"/>
    <w:rsid w:val="00FB08DC"/>
    <w:rsid w:val="00FB0D30"/>
    <w:rsid w:val="00FB1AE0"/>
    <w:rsid w:val="00FB34C2"/>
    <w:rsid w:val="00FB42F5"/>
    <w:rsid w:val="00FD76E1"/>
    <w:rsid w:val="00FE0970"/>
    <w:rsid w:val="00FF3F3A"/>
    <w:rsid w:val="00FF400F"/>
    <w:rsid w:val="01064C9A"/>
    <w:rsid w:val="013E61E2"/>
    <w:rsid w:val="014F4893"/>
    <w:rsid w:val="01541EA9"/>
    <w:rsid w:val="01580C56"/>
    <w:rsid w:val="01781929"/>
    <w:rsid w:val="01877B89"/>
    <w:rsid w:val="019E3125"/>
    <w:rsid w:val="01D0068D"/>
    <w:rsid w:val="01D775B9"/>
    <w:rsid w:val="02026E30"/>
    <w:rsid w:val="020B6A0C"/>
    <w:rsid w:val="02132174"/>
    <w:rsid w:val="02186A33"/>
    <w:rsid w:val="0224187C"/>
    <w:rsid w:val="023130F5"/>
    <w:rsid w:val="024737BC"/>
    <w:rsid w:val="024C2B81"/>
    <w:rsid w:val="028604AE"/>
    <w:rsid w:val="029D33DC"/>
    <w:rsid w:val="02AD3196"/>
    <w:rsid w:val="02AE1145"/>
    <w:rsid w:val="02C44E0D"/>
    <w:rsid w:val="02DA63DE"/>
    <w:rsid w:val="02ED7EC0"/>
    <w:rsid w:val="03200295"/>
    <w:rsid w:val="035E2B6B"/>
    <w:rsid w:val="0361440A"/>
    <w:rsid w:val="036D7252"/>
    <w:rsid w:val="03773C2D"/>
    <w:rsid w:val="03922815"/>
    <w:rsid w:val="03C350C4"/>
    <w:rsid w:val="03E2554B"/>
    <w:rsid w:val="03EA08A3"/>
    <w:rsid w:val="03F51722"/>
    <w:rsid w:val="03F62DA4"/>
    <w:rsid w:val="04066E90"/>
    <w:rsid w:val="045126D0"/>
    <w:rsid w:val="045D72C7"/>
    <w:rsid w:val="047A5783"/>
    <w:rsid w:val="04820ADC"/>
    <w:rsid w:val="0487418D"/>
    <w:rsid w:val="04893C18"/>
    <w:rsid w:val="04B14F1D"/>
    <w:rsid w:val="04C17856"/>
    <w:rsid w:val="04F01EE9"/>
    <w:rsid w:val="04F574FF"/>
    <w:rsid w:val="04F72882"/>
    <w:rsid w:val="04FF212C"/>
    <w:rsid w:val="05235E1B"/>
    <w:rsid w:val="052D0A47"/>
    <w:rsid w:val="052E656D"/>
    <w:rsid w:val="053E0EA6"/>
    <w:rsid w:val="053F247C"/>
    <w:rsid w:val="05595CE0"/>
    <w:rsid w:val="057C377D"/>
    <w:rsid w:val="05812B41"/>
    <w:rsid w:val="05AA653C"/>
    <w:rsid w:val="05C72C4A"/>
    <w:rsid w:val="05CB2336"/>
    <w:rsid w:val="05D15877"/>
    <w:rsid w:val="05D215EF"/>
    <w:rsid w:val="05D2339D"/>
    <w:rsid w:val="05D37841"/>
    <w:rsid w:val="05DB04A3"/>
    <w:rsid w:val="05E530D0"/>
    <w:rsid w:val="06127C3D"/>
    <w:rsid w:val="061A4B24"/>
    <w:rsid w:val="06231E4A"/>
    <w:rsid w:val="06253E14"/>
    <w:rsid w:val="0633208D"/>
    <w:rsid w:val="06587D46"/>
    <w:rsid w:val="067032E2"/>
    <w:rsid w:val="067E3A29"/>
    <w:rsid w:val="06856661"/>
    <w:rsid w:val="069114AA"/>
    <w:rsid w:val="06AE7966"/>
    <w:rsid w:val="06B07B82"/>
    <w:rsid w:val="06DD649D"/>
    <w:rsid w:val="06EC66E0"/>
    <w:rsid w:val="06F04422"/>
    <w:rsid w:val="07020C1A"/>
    <w:rsid w:val="0709089A"/>
    <w:rsid w:val="07104396"/>
    <w:rsid w:val="071C5217"/>
    <w:rsid w:val="071D4AEC"/>
    <w:rsid w:val="07210A39"/>
    <w:rsid w:val="072242D3"/>
    <w:rsid w:val="072440CC"/>
    <w:rsid w:val="0737795B"/>
    <w:rsid w:val="073F4A62"/>
    <w:rsid w:val="07442078"/>
    <w:rsid w:val="076C53FA"/>
    <w:rsid w:val="076D22AC"/>
    <w:rsid w:val="0784404A"/>
    <w:rsid w:val="078608E3"/>
    <w:rsid w:val="07941252"/>
    <w:rsid w:val="07A25DD3"/>
    <w:rsid w:val="07A64AE1"/>
    <w:rsid w:val="07B55348"/>
    <w:rsid w:val="07EA70C4"/>
    <w:rsid w:val="07F0083A"/>
    <w:rsid w:val="08687FE8"/>
    <w:rsid w:val="08935065"/>
    <w:rsid w:val="08997D8A"/>
    <w:rsid w:val="08A76D63"/>
    <w:rsid w:val="08AD2074"/>
    <w:rsid w:val="08BB45BC"/>
    <w:rsid w:val="08C6368D"/>
    <w:rsid w:val="08D306C7"/>
    <w:rsid w:val="08D538D0"/>
    <w:rsid w:val="08D77648"/>
    <w:rsid w:val="08DD4D56"/>
    <w:rsid w:val="08E04023"/>
    <w:rsid w:val="08EE4992"/>
    <w:rsid w:val="09077801"/>
    <w:rsid w:val="091C32AD"/>
    <w:rsid w:val="09212671"/>
    <w:rsid w:val="0926010A"/>
    <w:rsid w:val="09664528"/>
    <w:rsid w:val="09970B85"/>
    <w:rsid w:val="09975029"/>
    <w:rsid w:val="09AC1C5B"/>
    <w:rsid w:val="09AD03A9"/>
    <w:rsid w:val="09CE174C"/>
    <w:rsid w:val="09E613EC"/>
    <w:rsid w:val="09EA6F07"/>
    <w:rsid w:val="09F23B8C"/>
    <w:rsid w:val="09FE29B2"/>
    <w:rsid w:val="0A1C108A"/>
    <w:rsid w:val="0A2148F3"/>
    <w:rsid w:val="0A391C3C"/>
    <w:rsid w:val="0A3D172D"/>
    <w:rsid w:val="0A3E680D"/>
    <w:rsid w:val="0A831432"/>
    <w:rsid w:val="0A9B6453"/>
    <w:rsid w:val="0AAB338B"/>
    <w:rsid w:val="0AAF1EFF"/>
    <w:rsid w:val="0ABF0394"/>
    <w:rsid w:val="0AD84599"/>
    <w:rsid w:val="0B05734A"/>
    <w:rsid w:val="0B0E131B"/>
    <w:rsid w:val="0B115FB9"/>
    <w:rsid w:val="0B1A381C"/>
    <w:rsid w:val="0B352404"/>
    <w:rsid w:val="0B386398"/>
    <w:rsid w:val="0B536D2E"/>
    <w:rsid w:val="0B5C2086"/>
    <w:rsid w:val="0B6727D9"/>
    <w:rsid w:val="0B674587"/>
    <w:rsid w:val="0B6B4077"/>
    <w:rsid w:val="0B6E5916"/>
    <w:rsid w:val="0B745622"/>
    <w:rsid w:val="0B76679F"/>
    <w:rsid w:val="0B7F5D75"/>
    <w:rsid w:val="0BB24C22"/>
    <w:rsid w:val="0BE45BD8"/>
    <w:rsid w:val="0BF202F5"/>
    <w:rsid w:val="0BFE313E"/>
    <w:rsid w:val="0C02649C"/>
    <w:rsid w:val="0C0A3890"/>
    <w:rsid w:val="0C1E6205"/>
    <w:rsid w:val="0C28640C"/>
    <w:rsid w:val="0C3C5A14"/>
    <w:rsid w:val="0C41302A"/>
    <w:rsid w:val="0C5A4DAC"/>
    <w:rsid w:val="0C874EE1"/>
    <w:rsid w:val="0C88488C"/>
    <w:rsid w:val="0C8A677F"/>
    <w:rsid w:val="0CC04897"/>
    <w:rsid w:val="0CD520F0"/>
    <w:rsid w:val="0CD67C16"/>
    <w:rsid w:val="0CD81BE1"/>
    <w:rsid w:val="0D0C53E6"/>
    <w:rsid w:val="0D1C7D1F"/>
    <w:rsid w:val="0D2210AE"/>
    <w:rsid w:val="0D2766C4"/>
    <w:rsid w:val="0D6B6E82"/>
    <w:rsid w:val="0D9D0734"/>
    <w:rsid w:val="0DA90E87"/>
    <w:rsid w:val="0DAF0B93"/>
    <w:rsid w:val="0DB241E0"/>
    <w:rsid w:val="0DB74AC1"/>
    <w:rsid w:val="0DC14423"/>
    <w:rsid w:val="0DC83A03"/>
    <w:rsid w:val="0DCD1019"/>
    <w:rsid w:val="0DE10B00"/>
    <w:rsid w:val="0DEF71E2"/>
    <w:rsid w:val="0E0D58BA"/>
    <w:rsid w:val="0E0F1632"/>
    <w:rsid w:val="0E342E47"/>
    <w:rsid w:val="0E460DCC"/>
    <w:rsid w:val="0E464928"/>
    <w:rsid w:val="0E651252"/>
    <w:rsid w:val="0E653000"/>
    <w:rsid w:val="0E6D45AA"/>
    <w:rsid w:val="0E72396F"/>
    <w:rsid w:val="0E796AAB"/>
    <w:rsid w:val="0E7C0027"/>
    <w:rsid w:val="0E7F6315"/>
    <w:rsid w:val="0E9543D1"/>
    <w:rsid w:val="0EA33B28"/>
    <w:rsid w:val="0EB208AB"/>
    <w:rsid w:val="0EB36461"/>
    <w:rsid w:val="0EB45D35"/>
    <w:rsid w:val="0EBD75FE"/>
    <w:rsid w:val="0EC817E1"/>
    <w:rsid w:val="0ECA5559"/>
    <w:rsid w:val="0ED53B2A"/>
    <w:rsid w:val="0EF600FC"/>
    <w:rsid w:val="0F096081"/>
    <w:rsid w:val="0F0E1B26"/>
    <w:rsid w:val="0F1B5913"/>
    <w:rsid w:val="0F2442A2"/>
    <w:rsid w:val="0F3D21CF"/>
    <w:rsid w:val="0F4C0664"/>
    <w:rsid w:val="0F5A5835"/>
    <w:rsid w:val="0F9D4A1B"/>
    <w:rsid w:val="0FA638D0"/>
    <w:rsid w:val="0FAB538A"/>
    <w:rsid w:val="0FD33C3D"/>
    <w:rsid w:val="0FE8213B"/>
    <w:rsid w:val="0FF52AA9"/>
    <w:rsid w:val="10047D52"/>
    <w:rsid w:val="10150A56"/>
    <w:rsid w:val="10230A0E"/>
    <w:rsid w:val="10240C99"/>
    <w:rsid w:val="102723E9"/>
    <w:rsid w:val="102B64CB"/>
    <w:rsid w:val="107439CE"/>
    <w:rsid w:val="10804CEA"/>
    <w:rsid w:val="1090632E"/>
    <w:rsid w:val="109220A6"/>
    <w:rsid w:val="109B71AD"/>
    <w:rsid w:val="10A92DD3"/>
    <w:rsid w:val="10AF4A06"/>
    <w:rsid w:val="10BD54A5"/>
    <w:rsid w:val="10C55FD8"/>
    <w:rsid w:val="10C85AC8"/>
    <w:rsid w:val="11036B00"/>
    <w:rsid w:val="11082369"/>
    <w:rsid w:val="11357D2A"/>
    <w:rsid w:val="113849FC"/>
    <w:rsid w:val="113A4C18"/>
    <w:rsid w:val="11457119"/>
    <w:rsid w:val="1147614B"/>
    <w:rsid w:val="116E48C1"/>
    <w:rsid w:val="11785740"/>
    <w:rsid w:val="11845E93"/>
    <w:rsid w:val="11867E5D"/>
    <w:rsid w:val="11A2456B"/>
    <w:rsid w:val="11AE5258"/>
    <w:rsid w:val="11B30526"/>
    <w:rsid w:val="11DA1F57"/>
    <w:rsid w:val="11DF30C9"/>
    <w:rsid w:val="11DF6210"/>
    <w:rsid w:val="11FA6155"/>
    <w:rsid w:val="12130FC5"/>
    <w:rsid w:val="12371157"/>
    <w:rsid w:val="12483364"/>
    <w:rsid w:val="127001C5"/>
    <w:rsid w:val="12771554"/>
    <w:rsid w:val="127759F8"/>
    <w:rsid w:val="127A0C92"/>
    <w:rsid w:val="127F48AC"/>
    <w:rsid w:val="129E4D32"/>
    <w:rsid w:val="12AD766B"/>
    <w:rsid w:val="12B91B6C"/>
    <w:rsid w:val="12BA7692"/>
    <w:rsid w:val="12BC165D"/>
    <w:rsid w:val="12CC5D44"/>
    <w:rsid w:val="12DE7825"/>
    <w:rsid w:val="12E3308D"/>
    <w:rsid w:val="12EF558E"/>
    <w:rsid w:val="13021765"/>
    <w:rsid w:val="13037AFF"/>
    <w:rsid w:val="13453400"/>
    <w:rsid w:val="13456351"/>
    <w:rsid w:val="134C0C32"/>
    <w:rsid w:val="137B79E1"/>
    <w:rsid w:val="137D0DEC"/>
    <w:rsid w:val="13833F28"/>
    <w:rsid w:val="13A03104"/>
    <w:rsid w:val="13E62E35"/>
    <w:rsid w:val="14065285"/>
    <w:rsid w:val="143F42F3"/>
    <w:rsid w:val="144731A8"/>
    <w:rsid w:val="1457788F"/>
    <w:rsid w:val="14717C9A"/>
    <w:rsid w:val="147F2942"/>
    <w:rsid w:val="14AF7789"/>
    <w:rsid w:val="14BF5434"/>
    <w:rsid w:val="14D50D33"/>
    <w:rsid w:val="14EF1875"/>
    <w:rsid w:val="14F50E56"/>
    <w:rsid w:val="151E65FF"/>
    <w:rsid w:val="152030DE"/>
    <w:rsid w:val="1537321C"/>
    <w:rsid w:val="154020D1"/>
    <w:rsid w:val="15A840F3"/>
    <w:rsid w:val="15C9656A"/>
    <w:rsid w:val="15FB249C"/>
    <w:rsid w:val="15FF3D3A"/>
    <w:rsid w:val="1602382A"/>
    <w:rsid w:val="16565924"/>
    <w:rsid w:val="16640041"/>
    <w:rsid w:val="16646293"/>
    <w:rsid w:val="16685D83"/>
    <w:rsid w:val="167C182F"/>
    <w:rsid w:val="167D1103"/>
    <w:rsid w:val="167D2FDD"/>
    <w:rsid w:val="168B406D"/>
    <w:rsid w:val="169052DA"/>
    <w:rsid w:val="16AE5760"/>
    <w:rsid w:val="16AE750E"/>
    <w:rsid w:val="16B40FC8"/>
    <w:rsid w:val="16BE3BF5"/>
    <w:rsid w:val="16C46D32"/>
    <w:rsid w:val="16D84122"/>
    <w:rsid w:val="16E1737A"/>
    <w:rsid w:val="16E3540A"/>
    <w:rsid w:val="16E442B3"/>
    <w:rsid w:val="1711641B"/>
    <w:rsid w:val="1719707D"/>
    <w:rsid w:val="17215F32"/>
    <w:rsid w:val="172872C1"/>
    <w:rsid w:val="17457E73"/>
    <w:rsid w:val="174C1201"/>
    <w:rsid w:val="174F6F43"/>
    <w:rsid w:val="176821F4"/>
    <w:rsid w:val="17710C68"/>
    <w:rsid w:val="177C760C"/>
    <w:rsid w:val="177E1C86"/>
    <w:rsid w:val="179109E7"/>
    <w:rsid w:val="179B7A92"/>
    <w:rsid w:val="17AD77C6"/>
    <w:rsid w:val="17CB7119"/>
    <w:rsid w:val="17D2722C"/>
    <w:rsid w:val="17FB49D5"/>
    <w:rsid w:val="18041ADC"/>
    <w:rsid w:val="182E6B59"/>
    <w:rsid w:val="187C5B16"/>
    <w:rsid w:val="189246B5"/>
    <w:rsid w:val="18A706B9"/>
    <w:rsid w:val="18C272A1"/>
    <w:rsid w:val="18CB43A7"/>
    <w:rsid w:val="18DA283C"/>
    <w:rsid w:val="18F733EE"/>
    <w:rsid w:val="18F90F15"/>
    <w:rsid w:val="19197809"/>
    <w:rsid w:val="192D6E10"/>
    <w:rsid w:val="1934019F"/>
    <w:rsid w:val="19373862"/>
    <w:rsid w:val="19520625"/>
    <w:rsid w:val="19526877"/>
    <w:rsid w:val="195E2798"/>
    <w:rsid w:val="19D2300F"/>
    <w:rsid w:val="1A0214BE"/>
    <w:rsid w:val="1A0E5C74"/>
    <w:rsid w:val="1A197394"/>
    <w:rsid w:val="1A352420"/>
    <w:rsid w:val="1A512FD2"/>
    <w:rsid w:val="1A5D54D3"/>
    <w:rsid w:val="1A5F124B"/>
    <w:rsid w:val="1A6124EF"/>
    <w:rsid w:val="1A710493"/>
    <w:rsid w:val="1AB33908"/>
    <w:rsid w:val="1ADA2FC8"/>
    <w:rsid w:val="1AE259D8"/>
    <w:rsid w:val="1AE35507"/>
    <w:rsid w:val="1AEB2ADF"/>
    <w:rsid w:val="1B3E3557"/>
    <w:rsid w:val="1B636B19"/>
    <w:rsid w:val="1B6805D3"/>
    <w:rsid w:val="1B7E1468"/>
    <w:rsid w:val="1B825739"/>
    <w:rsid w:val="1B83540D"/>
    <w:rsid w:val="1BC17CE4"/>
    <w:rsid w:val="1BCC0B62"/>
    <w:rsid w:val="1BDD4B1E"/>
    <w:rsid w:val="1BE718C7"/>
    <w:rsid w:val="1C146065"/>
    <w:rsid w:val="1C4032FE"/>
    <w:rsid w:val="1C406E5A"/>
    <w:rsid w:val="1C495921"/>
    <w:rsid w:val="1C744D56"/>
    <w:rsid w:val="1C7A6810"/>
    <w:rsid w:val="1C7B7E93"/>
    <w:rsid w:val="1C9C6787"/>
    <w:rsid w:val="1CA05B4B"/>
    <w:rsid w:val="1CA90EA4"/>
    <w:rsid w:val="1CAA6093"/>
    <w:rsid w:val="1CD770EC"/>
    <w:rsid w:val="1CE43C8A"/>
    <w:rsid w:val="1D183933"/>
    <w:rsid w:val="1D1B3B0E"/>
    <w:rsid w:val="1D210A3A"/>
    <w:rsid w:val="1D214EDE"/>
    <w:rsid w:val="1D4A4435"/>
    <w:rsid w:val="1D524C10"/>
    <w:rsid w:val="1D61177E"/>
    <w:rsid w:val="1D7E7C3A"/>
    <w:rsid w:val="1D8D4321"/>
    <w:rsid w:val="1D9C27B6"/>
    <w:rsid w:val="1DAA4ED3"/>
    <w:rsid w:val="1DC53ABB"/>
    <w:rsid w:val="1DC835AB"/>
    <w:rsid w:val="1DE2466D"/>
    <w:rsid w:val="1E206F43"/>
    <w:rsid w:val="1E2F7187"/>
    <w:rsid w:val="1E340C41"/>
    <w:rsid w:val="1E401394"/>
    <w:rsid w:val="1E4E3AB1"/>
    <w:rsid w:val="1E51534F"/>
    <w:rsid w:val="1E5310C7"/>
    <w:rsid w:val="1E6908EA"/>
    <w:rsid w:val="1E766B63"/>
    <w:rsid w:val="1E9B2A6E"/>
    <w:rsid w:val="1EAC07D7"/>
    <w:rsid w:val="1EBA1146"/>
    <w:rsid w:val="1EC45B21"/>
    <w:rsid w:val="1EC73863"/>
    <w:rsid w:val="1ED63AA6"/>
    <w:rsid w:val="1EDF295B"/>
    <w:rsid w:val="1EE143DB"/>
    <w:rsid w:val="1F046865"/>
    <w:rsid w:val="1F0A70F1"/>
    <w:rsid w:val="1F1D16D5"/>
    <w:rsid w:val="1F4536E0"/>
    <w:rsid w:val="1F525822"/>
    <w:rsid w:val="1F58270D"/>
    <w:rsid w:val="1F5D7D23"/>
    <w:rsid w:val="1F5F1CED"/>
    <w:rsid w:val="1F7237CF"/>
    <w:rsid w:val="1F770DE5"/>
    <w:rsid w:val="1F8D0609"/>
    <w:rsid w:val="1FA96FA3"/>
    <w:rsid w:val="1FB82BC8"/>
    <w:rsid w:val="1FE31481"/>
    <w:rsid w:val="1FF468DA"/>
    <w:rsid w:val="200B6E05"/>
    <w:rsid w:val="200F101E"/>
    <w:rsid w:val="200F54C2"/>
    <w:rsid w:val="201B5C14"/>
    <w:rsid w:val="202D1DEC"/>
    <w:rsid w:val="2039253E"/>
    <w:rsid w:val="204607B7"/>
    <w:rsid w:val="204A02A8"/>
    <w:rsid w:val="204D7D98"/>
    <w:rsid w:val="20690166"/>
    <w:rsid w:val="207B2DC6"/>
    <w:rsid w:val="20803CC9"/>
    <w:rsid w:val="209239FD"/>
    <w:rsid w:val="20B47E17"/>
    <w:rsid w:val="20DA3F99"/>
    <w:rsid w:val="20E71F9A"/>
    <w:rsid w:val="20E97AC1"/>
    <w:rsid w:val="20EA2A65"/>
    <w:rsid w:val="20EF2BFD"/>
    <w:rsid w:val="210112AE"/>
    <w:rsid w:val="212F12B7"/>
    <w:rsid w:val="214E2A84"/>
    <w:rsid w:val="21817CF9"/>
    <w:rsid w:val="21884BA0"/>
    <w:rsid w:val="219519F6"/>
    <w:rsid w:val="2197576F"/>
    <w:rsid w:val="21A659B2"/>
    <w:rsid w:val="21B55BF5"/>
    <w:rsid w:val="21DE15EF"/>
    <w:rsid w:val="22105521"/>
    <w:rsid w:val="2217240B"/>
    <w:rsid w:val="222039B6"/>
    <w:rsid w:val="2228094B"/>
    <w:rsid w:val="222B5EB7"/>
    <w:rsid w:val="224A27E1"/>
    <w:rsid w:val="227635D6"/>
    <w:rsid w:val="22794E74"/>
    <w:rsid w:val="22AF6B26"/>
    <w:rsid w:val="22BB723B"/>
    <w:rsid w:val="22C87E24"/>
    <w:rsid w:val="22C95DFC"/>
    <w:rsid w:val="22EE06E2"/>
    <w:rsid w:val="22F84FC6"/>
    <w:rsid w:val="22FD3CF7"/>
    <w:rsid w:val="23250B58"/>
    <w:rsid w:val="23411E36"/>
    <w:rsid w:val="234D0B5D"/>
    <w:rsid w:val="235C6C70"/>
    <w:rsid w:val="23614286"/>
    <w:rsid w:val="23CC5B62"/>
    <w:rsid w:val="23CD510E"/>
    <w:rsid w:val="24170DE9"/>
    <w:rsid w:val="243472A5"/>
    <w:rsid w:val="2440076D"/>
    <w:rsid w:val="24A563F4"/>
    <w:rsid w:val="24B228BF"/>
    <w:rsid w:val="24C15199"/>
    <w:rsid w:val="24CE288D"/>
    <w:rsid w:val="24EF7670"/>
    <w:rsid w:val="24F46A34"/>
    <w:rsid w:val="25034EC9"/>
    <w:rsid w:val="251946ED"/>
    <w:rsid w:val="256961D7"/>
    <w:rsid w:val="25777D91"/>
    <w:rsid w:val="25781413"/>
    <w:rsid w:val="257858B7"/>
    <w:rsid w:val="258506D6"/>
    <w:rsid w:val="258B383C"/>
    <w:rsid w:val="259455FA"/>
    <w:rsid w:val="259719F3"/>
    <w:rsid w:val="25AB17E9"/>
    <w:rsid w:val="25AD5EB4"/>
    <w:rsid w:val="25BF5294"/>
    <w:rsid w:val="25C2759F"/>
    <w:rsid w:val="25C63DCF"/>
    <w:rsid w:val="25C74149"/>
    <w:rsid w:val="25DC7BF4"/>
    <w:rsid w:val="25DE267C"/>
    <w:rsid w:val="25E46AA9"/>
    <w:rsid w:val="25E66CC5"/>
    <w:rsid w:val="25FA62CC"/>
    <w:rsid w:val="26143832"/>
    <w:rsid w:val="262275D1"/>
    <w:rsid w:val="263712CE"/>
    <w:rsid w:val="264B4D7A"/>
    <w:rsid w:val="264D6D44"/>
    <w:rsid w:val="26644EA7"/>
    <w:rsid w:val="266A3452"/>
    <w:rsid w:val="26977FBF"/>
    <w:rsid w:val="26AF355A"/>
    <w:rsid w:val="26B50445"/>
    <w:rsid w:val="26DA55FB"/>
    <w:rsid w:val="26DC11F6"/>
    <w:rsid w:val="26EC191F"/>
    <w:rsid w:val="26F251F5"/>
    <w:rsid w:val="270C62B7"/>
    <w:rsid w:val="271E5FEA"/>
    <w:rsid w:val="272F7095"/>
    <w:rsid w:val="276B56D3"/>
    <w:rsid w:val="276E687B"/>
    <w:rsid w:val="27802801"/>
    <w:rsid w:val="278A123C"/>
    <w:rsid w:val="279F537D"/>
    <w:rsid w:val="27CB7F20"/>
    <w:rsid w:val="27D52B4D"/>
    <w:rsid w:val="27D843EB"/>
    <w:rsid w:val="27EE00B2"/>
    <w:rsid w:val="27FC457D"/>
    <w:rsid w:val="2802590C"/>
    <w:rsid w:val="280451E0"/>
    <w:rsid w:val="280E7BD2"/>
    <w:rsid w:val="28153891"/>
    <w:rsid w:val="28177609"/>
    <w:rsid w:val="281C077C"/>
    <w:rsid w:val="28245427"/>
    <w:rsid w:val="28247630"/>
    <w:rsid w:val="282615FA"/>
    <w:rsid w:val="283E4B96"/>
    <w:rsid w:val="28414686"/>
    <w:rsid w:val="2849353B"/>
    <w:rsid w:val="284D6B87"/>
    <w:rsid w:val="28550131"/>
    <w:rsid w:val="28612632"/>
    <w:rsid w:val="28757E8C"/>
    <w:rsid w:val="287E4F92"/>
    <w:rsid w:val="28887BBF"/>
    <w:rsid w:val="28AB1AFF"/>
    <w:rsid w:val="28CB21A2"/>
    <w:rsid w:val="28E62B38"/>
    <w:rsid w:val="28F96D0F"/>
    <w:rsid w:val="290B7A2E"/>
    <w:rsid w:val="292A6EC8"/>
    <w:rsid w:val="293B10D5"/>
    <w:rsid w:val="2944442E"/>
    <w:rsid w:val="294550C5"/>
    <w:rsid w:val="29493E9D"/>
    <w:rsid w:val="294F2293"/>
    <w:rsid w:val="29606D8E"/>
    <w:rsid w:val="2964062C"/>
    <w:rsid w:val="29787C34"/>
    <w:rsid w:val="29927747"/>
    <w:rsid w:val="29A749BD"/>
    <w:rsid w:val="29C9048F"/>
    <w:rsid w:val="29CB06AB"/>
    <w:rsid w:val="2A0108B7"/>
    <w:rsid w:val="2A04596B"/>
    <w:rsid w:val="2A0E67EA"/>
    <w:rsid w:val="2A133E00"/>
    <w:rsid w:val="2A1536D4"/>
    <w:rsid w:val="2A1A0CEB"/>
    <w:rsid w:val="2A202079"/>
    <w:rsid w:val="2A30050E"/>
    <w:rsid w:val="2A3B6D1B"/>
    <w:rsid w:val="2A411154"/>
    <w:rsid w:val="2A506E02"/>
    <w:rsid w:val="2A526D38"/>
    <w:rsid w:val="2A88659C"/>
    <w:rsid w:val="2A954815"/>
    <w:rsid w:val="2AD0584D"/>
    <w:rsid w:val="2AEE4B12"/>
    <w:rsid w:val="2AFE685E"/>
    <w:rsid w:val="2B027774"/>
    <w:rsid w:val="2B0D0850"/>
    <w:rsid w:val="2B116592"/>
    <w:rsid w:val="2B122D8D"/>
    <w:rsid w:val="2B193698"/>
    <w:rsid w:val="2B1C4F36"/>
    <w:rsid w:val="2B2160A9"/>
    <w:rsid w:val="2B3202B6"/>
    <w:rsid w:val="2B361B54"/>
    <w:rsid w:val="2B367DA6"/>
    <w:rsid w:val="2B400C25"/>
    <w:rsid w:val="2B4714A0"/>
    <w:rsid w:val="2B606BD1"/>
    <w:rsid w:val="2B6C5576"/>
    <w:rsid w:val="2B717030"/>
    <w:rsid w:val="2B74267D"/>
    <w:rsid w:val="2B93739B"/>
    <w:rsid w:val="2B994370"/>
    <w:rsid w:val="2BA50A88"/>
    <w:rsid w:val="2BB53C77"/>
    <w:rsid w:val="2BB60EE7"/>
    <w:rsid w:val="2BC034DB"/>
    <w:rsid w:val="2BEF4305"/>
    <w:rsid w:val="2C077995"/>
    <w:rsid w:val="2C235EB7"/>
    <w:rsid w:val="2C2B5431"/>
    <w:rsid w:val="2C3C763E"/>
    <w:rsid w:val="2C610E53"/>
    <w:rsid w:val="2C646B95"/>
    <w:rsid w:val="2C6646BB"/>
    <w:rsid w:val="2C83526D"/>
    <w:rsid w:val="2C9A0B92"/>
    <w:rsid w:val="2C9F3729"/>
    <w:rsid w:val="2CB73169"/>
    <w:rsid w:val="2CE47D2A"/>
    <w:rsid w:val="2CED0939"/>
    <w:rsid w:val="2CED6B8B"/>
    <w:rsid w:val="2CF27CFD"/>
    <w:rsid w:val="2CFA3055"/>
    <w:rsid w:val="2D012636"/>
    <w:rsid w:val="2D016C6B"/>
    <w:rsid w:val="2D0B5263"/>
    <w:rsid w:val="2D0D2D89"/>
    <w:rsid w:val="2D2B1461"/>
    <w:rsid w:val="2D2D1B91"/>
    <w:rsid w:val="2D404F0C"/>
    <w:rsid w:val="2D5B3AF4"/>
    <w:rsid w:val="2D8D7A26"/>
    <w:rsid w:val="2DA2135E"/>
    <w:rsid w:val="2DB9081B"/>
    <w:rsid w:val="2DCB70CE"/>
    <w:rsid w:val="2DCE2518"/>
    <w:rsid w:val="2DD218DC"/>
    <w:rsid w:val="2DDB69E3"/>
    <w:rsid w:val="2DEF7457"/>
    <w:rsid w:val="2E045F3A"/>
    <w:rsid w:val="2E093AD9"/>
    <w:rsid w:val="2E2A34C6"/>
    <w:rsid w:val="2E426A62"/>
    <w:rsid w:val="2E6C48D9"/>
    <w:rsid w:val="2E786928"/>
    <w:rsid w:val="2E8F4F19"/>
    <w:rsid w:val="2EA63495"/>
    <w:rsid w:val="2EB57234"/>
    <w:rsid w:val="2ED7364E"/>
    <w:rsid w:val="2EF35FAE"/>
    <w:rsid w:val="2EFA6A37"/>
    <w:rsid w:val="2F167CA6"/>
    <w:rsid w:val="2F1A353B"/>
    <w:rsid w:val="2F452CAE"/>
    <w:rsid w:val="2F5D70AC"/>
    <w:rsid w:val="2F8B61E7"/>
    <w:rsid w:val="2FA36C75"/>
    <w:rsid w:val="2FBE036A"/>
    <w:rsid w:val="302428C3"/>
    <w:rsid w:val="30297EDA"/>
    <w:rsid w:val="302C5C1C"/>
    <w:rsid w:val="303074BA"/>
    <w:rsid w:val="30405223"/>
    <w:rsid w:val="306929CC"/>
    <w:rsid w:val="306B405E"/>
    <w:rsid w:val="30832D34"/>
    <w:rsid w:val="30872E52"/>
    <w:rsid w:val="308C4B30"/>
    <w:rsid w:val="30A75681"/>
    <w:rsid w:val="30C714A1"/>
    <w:rsid w:val="30F41419"/>
    <w:rsid w:val="30FC114A"/>
    <w:rsid w:val="310D77FB"/>
    <w:rsid w:val="310E0E7D"/>
    <w:rsid w:val="314A68DF"/>
    <w:rsid w:val="315620B8"/>
    <w:rsid w:val="317F1D7B"/>
    <w:rsid w:val="31841AC8"/>
    <w:rsid w:val="31A737AC"/>
    <w:rsid w:val="31A87524"/>
    <w:rsid w:val="31B00187"/>
    <w:rsid w:val="31CB6D6E"/>
    <w:rsid w:val="31D200FD"/>
    <w:rsid w:val="31E64732"/>
    <w:rsid w:val="31EA5447"/>
    <w:rsid w:val="32140715"/>
    <w:rsid w:val="32230959"/>
    <w:rsid w:val="324059AE"/>
    <w:rsid w:val="326351F9"/>
    <w:rsid w:val="327D078A"/>
    <w:rsid w:val="3284589B"/>
    <w:rsid w:val="32933D30"/>
    <w:rsid w:val="32B31CDC"/>
    <w:rsid w:val="32C75788"/>
    <w:rsid w:val="32CC7242"/>
    <w:rsid w:val="32E165BD"/>
    <w:rsid w:val="32FA3DAF"/>
    <w:rsid w:val="334F40FB"/>
    <w:rsid w:val="33641229"/>
    <w:rsid w:val="337B243F"/>
    <w:rsid w:val="338673F1"/>
    <w:rsid w:val="339D48A3"/>
    <w:rsid w:val="33BF2903"/>
    <w:rsid w:val="33CF6FEA"/>
    <w:rsid w:val="33EA3E24"/>
    <w:rsid w:val="33F64577"/>
    <w:rsid w:val="33FB1B8D"/>
    <w:rsid w:val="34056568"/>
    <w:rsid w:val="34525525"/>
    <w:rsid w:val="346040E6"/>
    <w:rsid w:val="34945B3E"/>
    <w:rsid w:val="34A0589E"/>
    <w:rsid w:val="34A67F96"/>
    <w:rsid w:val="34B0508B"/>
    <w:rsid w:val="34B1049E"/>
    <w:rsid w:val="34DF440A"/>
    <w:rsid w:val="34E502E4"/>
    <w:rsid w:val="34F605A6"/>
    <w:rsid w:val="350031D3"/>
    <w:rsid w:val="350A581B"/>
    <w:rsid w:val="352275ED"/>
    <w:rsid w:val="352E7D40"/>
    <w:rsid w:val="35426A60"/>
    <w:rsid w:val="35571045"/>
    <w:rsid w:val="35586B6B"/>
    <w:rsid w:val="355A1520"/>
    <w:rsid w:val="355E7319"/>
    <w:rsid w:val="35690D78"/>
    <w:rsid w:val="3571798D"/>
    <w:rsid w:val="35CE6E2D"/>
    <w:rsid w:val="35DB7EC8"/>
    <w:rsid w:val="35EE2046"/>
    <w:rsid w:val="35F41640"/>
    <w:rsid w:val="362A0508"/>
    <w:rsid w:val="364652E8"/>
    <w:rsid w:val="36603F29"/>
    <w:rsid w:val="36653C36"/>
    <w:rsid w:val="366A4DA8"/>
    <w:rsid w:val="36897924"/>
    <w:rsid w:val="369116D0"/>
    <w:rsid w:val="36941E25"/>
    <w:rsid w:val="3699568D"/>
    <w:rsid w:val="369F7E9A"/>
    <w:rsid w:val="36B67FED"/>
    <w:rsid w:val="36C46BAE"/>
    <w:rsid w:val="36CC15BF"/>
    <w:rsid w:val="370E607B"/>
    <w:rsid w:val="37112969"/>
    <w:rsid w:val="37180CA8"/>
    <w:rsid w:val="372907BF"/>
    <w:rsid w:val="37294C63"/>
    <w:rsid w:val="373830F8"/>
    <w:rsid w:val="374D6BA3"/>
    <w:rsid w:val="375647D6"/>
    <w:rsid w:val="377A726D"/>
    <w:rsid w:val="377E4FAF"/>
    <w:rsid w:val="37893954"/>
    <w:rsid w:val="37971BCD"/>
    <w:rsid w:val="37A75B88"/>
    <w:rsid w:val="37D921E5"/>
    <w:rsid w:val="37F92887"/>
    <w:rsid w:val="37FC2378"/>
    <w:rsid w:val="380C2A2C"/>
    <w:rsid w:val="384B3FA8"/>
    <w:rsid w:val="3854528C"/>
    <w:rsid w:val="38565141"/>
    <w:rsid w:val="38602906"/>
    <w:rsid w:val="389F176C"/>
    <w:rsid w:val="38A00F55"/>
    <w:rsid w:val="38B95B73"/>
    <w:rsid w:val="38C509BB"/>
    <w:rsid w:val="38CF183A"/>
    <w:rsid w:val="38E30E42"/>
    <w:rsid w:val="38EF5A38"/>
    <w:rsid w:val="39036257"/>
    <w:rsid w:val="390F1199"/>
    <w:rsid w:val="39367F12"/>
    <w:rsid w:val="394538AA"/>
    <w:rsid w:val="39495149"/>
    <w:rsid w:val="394D5E49"/>
    <w:rsid w:val="39553AED"/>
    <w:rsid w:val="3986014B"/>
    <w:rsid w:val="39993E51"/>
    <w:rsid w:val="39AD02F7"/>
    <w:rsid w:val="39B5458C"/>
    <w:rsid w:val="39B60304"/>
    <w:rsid w:val="39DA2245"/>
    <w:rsid w:val="39DA3FF3"/>
    <w:rsid w:val="39DF3CFF"/>
    <w:rsid w:val="39E81075"/>
    <w:rsid w:val="39F71049"/>
    <w:rsid w:val="3A013C75"/>
    <w:rsid w:val="3A12378C"/>
    <w:rsid w:val="3A2B6F44"/>
    <w:rsid w:val="3A322081"/>
    <w:rsid w:val="3A331955"/>
    <w:rsid w:val="3A361B71"/>
    <w:rsid w:val="3A456E52"/>
    <w:rsid w:val="3A463AB7"/>
    <w:rsid w:val="3A4B6C9E"/>
    <w:rsid w:val="3A631110"/>
    <w:rsid w:val="3A7C32FC"/>
    <w:rsid w:val="3AC70A1B"/>
    <w:rsid w:val="3AD66EB0"/>
    <w:rsid w:val="3AEA64B7"/>
    <w:rsid w:val="3AF92B9E"/>
    <w:rsid w:val="3AFA0DF0"/>
    <w:rsid w:val="3B236ECD"/>
    <w:rsid w:val="3B337E5E"/>
    <w:rsid w:val="3B343BD6"/>
    <w:rsid w:val="3B3C653D"/>
    <w:rsid w:val="3B497682"/>
    <w:rsid w:val="3B49769C"/>
    <w:rsid w:val="3B53405D"/>
    <w:rsid w:val="3B691AD2"/>
    <w:rsid w:val="3B6E533A"/>
    <w:rsid w:val="3B7F30A4"/>
    <w:rsid w:val="3B8561E0"/>
    <w:rsid w:val="3B8B1A48"/>
    <w:rsid w:val="3B9A415A"/>
    <w:rsid w:val="3BA2244B"/>
    <w:rsid w:val="3BB07701"/>
    <w:rsid w:val="3BB2349B"/>
    <w:rsid w:val="3BB865B6"/>
    <w:rsid w:val="3BBF7944"/>
    <w:rsid w:val="3BC82C9D"/>
    <w:rsid w:val="3BEE1F9C"/>
    <w:rsid w:val="3C0D4B53"/>
    <w:rsid w:val="3C2105FF"/>
    <w:rsid w:val="3C372D23"/>
    <w:rsid w:val="3C447E49"/>
    <w:rsid w:val="3C4B380F"/>
    <w:rsid w:val="3C4F6F1A"/>
    <w:rsid w:val="3C511E12"/>
    <w:rsid w:val="3C5F2ED5"/>
    <w:rsid w:val="3C8134D6"/>
    <w:rsid w:val="3C97441D"/>
    <w:rsid w:val="3CA408E8"/>
    <w:rsid w:val="3CA64660"/>
    <w:rsid w:val="3CBD0327"/>
    <w:rsid w:val="3CC14C1F"/>
    <w:rsid w:val="3CD0758C"/>
    <w:rsid w:val="3CDE6FFD"/>
    <w:rsid w:val="3CE55188"/>
    <w:rsid w:val="3CF56BC9"/>
    <w:rsid w:val="3D0A4BEF"/>
    <w:rsid w:val="3D1F37E4"/>
    <w:rsid w:val="3D211F38"/>
    <w:rsid w:val="3D235CB1"/>
    <w:rsid w:val="3D31113A"/>
    <w:rsid w:val="3D37175C"/>
    <w:rsid w:val="3D695DB9"/>
    <w:rsid w:val="3D762284"/>
    <w:rsid w:val="3D864BBD"/>
    <w:rsid w:val="3DDD67A7"/>
    <w:rsid w:val="3DE23DBE"/>
    <w:rsid w:val="3E1A70B4"/>
    <w:rsid w:val="3E330175"/>
    <w:rsid w:val="3E655E3A"/>
    <w:rsid w:val="3E667746"/>
    <w:rsid w:val="3E885B96"/>
    <w:rsid w:val="3E8E35FE"/>
    <w:rsid w:val="3EB43064"/>
    <w:rsid w:val="3EB92D70"/>
    <w:rsid w:val="3ECD4126"/>
    <w:rsid w:val="3EF1250A"/>
    <w:rsid w:val="3F0C66A8"/>
    <w:rsid w:val="3F163D1F"/>
    <w:rsid w:val="3F281CA4"/>
    <w:rsid w:val="3F2B709E"/>
    <w:rsid w:val="3F4500E9"/>
    <w:rsid w:val="3F450160"/>
    <w:rsid w:val="3F4C14EF"/>
    <w:rsid w:val="3F692622"/>
    <w:rsid w:val="3F7153F9"/>
    <w:rsid w:val="3F720A50"/>
    <w:rsid w:val="3F917849"/>
    <w:rsid w:val="3F9B0612"/>
    <w:rsid w:val="3F9D1D4A"/>
    <w:rsid w:val="3FA241A2"/>
    <w:rsid w:val="3FAA4467"/>
    <w:rsid w:val="3FAC01DF"/>
    <w:rsid w:val="3FB4343D"/>
    <w:rsid w:val="3FD85478"/>
    <w:rsid w:val="40155D85"/>
    <w:rsid w:val="403A57EB"/>
    <w:rsid w:val="404B3E9C"/>
    <w:rsid w:val="4061546E"/>
    <w:rsid w:val="4079067E"/>
    <w:rsid w:val="4093139F"/>
    <w:rsid w:val="409343AF"/>
    <w:rsid w:val="409A0980"/>
    <w:rsid w:val="40AC655D"/>
    <w:rsid w:val="40D75730"/>
    <w:rsid w:val="40E63BC5"/>
    <w:rsid w:val="40FA4F7A"/>
    <w:rsid w:val="40FD28FA"/>
    <w:rsid w:val="41362456"/>
    <w:rsid w:val="413C37E5"/>
    <w:rsid w:val="41487F61"/>
    <w:rsid w:val="414A5F02"/>
    <w:rsid w:val="415648A7"/>
    <w:rsid w:val="415A71E1"/>
    <w:rsid w:val="41630D72"/>
    <w:rsid w:val="419B675D"/>
    <w:rsid w:val="419F484B"/>
    <w:rsid w:val="41AA69A0"/>
    <w:rsid w:val="41B15F81"/>
    <w:rsid w:val="41C31810"/>
    <w:rsid w:val="41E225DE"/>
    <w:rsid w:val="41F8595E"/>
    <w:rsid w:val="420C600C"/>
    <w:rsid w:val="42100EF9"/>
    <w:rsid w:val="4214206C"/>
    <w:rsid w:val="421B164C"/>
    <w:rsid w:val="422246E7"/>
    <w:rsid w:val="422B5D33"/>
    <w:rsid w:val="42312D26"/>
    <w:rsid w:val="42454372"/>
    <w:rsid w:val="42573796"/>
    <w:rsid w:val="426E5C20"/>
    <w:rsid w:val="42786A9F"/>
    <w:rsid w:val="428B67D2"/>
    <w:rsid w:val="428E0070"/>
    <w:rsid w:val="42943344"/>
    <w:rsid w:val="42975177"/>
    <w:rsid w:val="42C615B8"/>
    <w:rsid w:val="42D77C69"/>
    <w:rsid w:val="42EB2B81"/>
    <w:rsid w:val="42FC322C"/>
    <w:rsid w:val="43046BE3"/>
    <w:rsid w:val="43171E14"/>
    <w:rsid w:val="4329542D"/>
    <w:rsid w:val="43484F88"/>
    <w:rsid w:val="435C1F1C"/>
    <w:rsid w:val="437216C9"/>
    <w:rsid w:val="4385588B"/>
    <w:rsid w:val="4387343D"/>
    <w:rsid w:val="43882D11"/>
    <w:rsid w:val="43884ABF"/>
    <w:rsid w:val="43911BC6"/>
    <w:rsid w:val="43972F54"/>
    <w:rsid w:val="439E42E3"/>
    <w:rsid w:val="43A124B3"/>
    <w:rsid w:val="43A538C3"/>
    <w:rsid w:val="43BB4E95"/>
    <w:rsid w:val="43C55D14"/>
    <w:rsid w:val="43D85A47"/>
    <w:rsid w:val="43DE0B83"/>
    <w:rsid w:val="43E97C54"/>
    <w:rsid w:val="43F839F3"/>
    <w:rsid w:val="44022AC4"/>
    <w:rsid w:val="44044A8E"/>
    <w:rsid w:val="44236B1E"/>
    <w:rsid w:val="44244662"/>
    <w:rsid w:val="444158E6"/>
    <w:rsid w:val="44564BBE"/>
    <w:rsid w:val="44641089"/>
    <w:rsid w:val="446948F1"/>
    <w:rsid w:val="44C11AA6"/>
    <w:rsid w:val="44D04970"/>
    <w:rsid w:val="44D426B2"/>
    <w:rsid w:val="44E346A3"/>
    <w:rsid w:val="44E67CEF"/>
    <w:rsid w:val="44F3240C"/>
    <w:rsid w:val="45110AAC"/>
    <w:rsid w:val="45123CB8"/>
    <w:rsid w:val="451A208F"/>
    <w:rsid w:val="45350C77"/>
    <w:rsid w:val="45415D40"/>
    <w:rsid w:val="45435142"/>
    <w:rsid w:val="45451DF1"/>
    <w:rsid w:val="45490111"/>
    <w:rsid w:val="45570447"/>
    <w:rsid w:val="4565330A"/>
    <w:rsid w:val="45682DFA"/>
    <w:rsid w:val="45723C79"/>
    <w:rsid w:val="457378F7"/>
    <w:rsid w:val="45DB537A"/>
    <w:rsid w:val="45DE130F"/>
    <w:rsid w:val="45E00BE3"/>
    <w:rsid w:val="45EF3280"/>
    <w:rsid w:val="45F43872"/>
    <w:rsid w:val="460D5750"/>
    <w:rsid w:val="46113492"/>
    <w:rsid w:val="461B3AA5"/>
    <w:rsid w:val="462C5BD6"/>
    <w:rsid w:val="462E5DF2"/>
    <w:rsid w:val="46362EF9"/>
    <w:rsid w:val="464C0026"/>
    <w:rsid w:val="46590D6C"/>
    <w:rsid w:val="465E4A23"/>
    <w:rsid w:val="4672304E"/>
    <w:rsid w:val="46843C64"/>
    <w:rsid w:val="469F45FA"/>
    <w:rsid w:val="46A460B4"/>
    <w:rsid w:val="46AF05B5"/>
    <w:rsid w:val="46D30747"/>
    <w:rsid w:val="46E14C12"/>
    <w:rsid w:val="470D3C59"/>
    <w:rsid w:val="472B1462"/>
    <w:rsid w:val="473B0E1B"/>
    <w:rsid w:val="473F27FF"/>
    <w:rsid w:val="476017C6"/>
    <w:rsid w:val="476B0980"/>
    <w:rsid w:val="47745A86"/>
    <w:rsid w:val="477A0BC3"/>
    <w:rsid w:val="47811F51"/>
    <w:rsid w:val="47833F1C"/>
    <w:rsid w:val="478E2D76"/>
    <w:rsid w:val="47A65E5C"/>
    <w:rsid w:val="47AB6FCE"/>
    <w:rsid w:val="47B71E17"/>
    <w:rsid w:val="47E67FE2"/>
    <w:rsid w:val="47F0014A"/>
    <w:rsid w:val="481903DC"/>
    <w:rsid w:val="486C0E54"/>
    <w:rsid w:val="48740AF8"/>
    <w:rsid w:val="487B247F"/>
    <w:rsid w:val="48907EB9"/>
    <w:rsid w:val="48B56357"/>
    <w:rsid w:val="48B955C2"/>
    <w:rsid w:val="48B9571B"/>
    <w:rsid w:val="48BA396D"/>
    <w:rsid w:val="48F30C2D"/>
    <w:rsid w:val="48F86243"/>
    <w:rsid w:val="490177EE"/>
    <w:rsid w:val="49025314"/>
    <w:rsid w:val="490270C2"/>
    <w:rsid w:val="490D6193"/>
    <w:rsid w:val="490E1F0B"/>
    <w:rsid w:val="492B090F"/>
    <w:rsid w:val="4932003B"/>
    <w:rsid w:val="49382AE4"/>
    <w:rsid w:val="49417BEA"/>
    <w:rsid w:val="4968786D"/>
    <w:rsid w:val="496F0BFB"/>
    <w:rsid w:val="49734B65"/>
    <w:rsid w:val="49843F7B"/>
    <w:rsid w:val="498E0956"/>
    <w:rsid w:val="49911DC2"/>
    <w:rsid w:val="499A718B"/>
    <w:rsid w:val="49B52386"/>
    <w:rsid w:val="49DF11B1"/>
    <w:rsid w:val="49EC3FFA"/>
    <w:rsid w:val="49F72751"/>
    <w:rsid w:val="4A1B668D"/>
    <w:rsid w:val="4A1E3C56"/>
    <w:rsid w:val="4A1E617D"/>
    <w:rsid w:val="4A280647"/>
    <w:rsid w:val="4A3B69AF"/>
    <w:rsid w:val="4A421E6C"/>
    <w:rsid w:val="4A730023"/>
    <w:rsid w:val="4A8833F8"/>
    <w:rsid w:val="4A8A619F"/>
    <w:rsid w:val="4AA2290B"/>
    <w:rsid w:val="4AD46AF0"/>
    <w:rsid w:val="4ADF76BB"/>
    <w:rsid w:val="4AE1272C"/>
    <w:rsid w:val="4B125FF6"/>
    <w:rsid w:val="4B2B2900"/>
    <w:rsid w:val="4B3F45FD"/>
    <w:rsid w:val="4B4614E8"/>
    <w:rsid w:val="4B6C4CC7"/>
    <w:rsid w:val="4B7D0C82"/>
    <w:rsid w:val="4B8057E5"/>
    <w:rsid w:val="4B8B339F"/>
    <w:rsid w:val="4B92472D"/>
    <w:rsid w:val="4BA97CC9"/>
    <w:rsid w:val="4BD016F9"/>
    <w:rsid w:val="4BF47196"/>
    <w:rsid w:val="4C0575F5"/>
    <w:rsid w:val="4C0D46FC"/>
    <w:rsid w:val="4C2B503E"/>
    <w:rsid w:val="4C312198"/>
    <w:rsid w:val="4C3253A4"/>
    <w:rsid w:val="4C481290"/>
    <w:rsid w:val="4C5C4D3B"/>
    <w:rsid w:val="4C63273B"/>
    <w:rsid w:val="4C787DC7"/>
    <w:rsid w:val="4C8449BE"/>
    <w:rsid w:val="4C987D10"/>
    <w:rsid w:val="4CA94424"/>
    <w:rsid w:val="4CAA3CF8"/>
    <w:rsid w:val="4CBE77A4"/>
    <w:rsid w:val="4CD62D3F"/>
    <w:rsid w:val="4CE0771A"/>
    <w:rsid w:val="4CF051AC"/>
    <w:rsid w:val="4D0C050F"/>
    <w:rsid w:val="4D275349"/>
    <w:rsid w:val="4D331F40"/>
    <w:rsid w:val="4D3B0DF4"/>
    <w:rsid w:val="4D7F6F33"/>
    <w:rsid w:val="4D8409ED"/>
    <w:rsid w:val="4D9549A9"/>
    <w:rsid w:val="4D9D16E6"/>
    <w:rsid w:val="4DB017E2"/>
    <w:rsid w:val="4DB82445"/>
    <w:rsid w:val="4DC25072"/>
    <w:rsid w:val="4DC96400"/>
    <w:rsid w:val="4DE106CB"/>
    <w:rsid w:val="4DEB281B"/>
    <w:rsid w:val="4E10402F"/>
    <w:rsid w:val="4E121B55"/>
    <w:rsid w:val="4E2B2C17"/>
    <w:rsid w:val="4E505C68"/>
    <w:rsid w:val="4E573A0C"/>
    <w:rsid w:val="4E5C1022"/>
    <w:rsid w:val="4E760336"/>
    <w:rsid w:val="4E7C16C5"/>
    <w:rsid w:val="4EAC6FD6"/>
    <w:rsid w:val="4EB250E6"/>
    <w:rsid w:val="4EBE1CDD"/>
    <w:rsid w:val="4EC05A55"/>
    <w:rsid w:val="4ECA0682"/>
    <w:rsid w:val="4ECD0674"/>
    <w:rsid w:val="4EE47996"/>
    <w:rsid w:val="4EE74D90"/>
    <w:rsid w:val="4EEF633A"/>
    <w:rsid w:val="4EFB083B"/>
    <w:rsid w:val="4F1D6A04"/>
    <w:rsid w:val="4F2935FA"/>
    <w:rsid w:val="4F495A4B"/>
    <w:rsid w:val="4F587A3C"/>
    <w:rsid w:val="4F6C6BDA"/>
    <w:rsid w:val="4F7E394E"/>
    <w:rsid w:val="4F7F2029"/>
    <w:rsid w:val="4F870321"/>
    <w:rsid w:val="4F9071D6"/>
    <w:rsid w:val="4F9547EC"/>
    <w:rsid w:val="4FE6773D"/>
    <w:rsid w:val="4FF43AC5"/>
    <w:rsid w:val="4FF77255"/>
    <w:rsid w:val="4FFE4A87"/>
    <w:rsid w:val="50106568"/>
    <w:rsid w:val="501222E0"/>
    <w:rsid w:val="501F0559"/>
    <w:rsid w:val="5023629C"/>
    <w:rsid w:val="503A5393"/>
    <w:rsid w:val="503F29AA"/>
    <w:rsid w:val="5043249A"/>
    <w:rsid w:val="505521CD"/>
    <w:rsid w:val="50827466"/>
    <w:rsid w:val="50A078EC"/>
    <w:rsid w:val="50B679A2"/>
    <w:rsid w:val="50D21A70"/>
    <w:rsid w:val="50D457E8"/>
    <w:rsid w:val="50D75B0C"/>
    <w:rsid w:val="50FB4B23"/>
    <w:rsid w:val="510A55DB"/>
    <w:rsid w:val="51163F32"/>
    <w:rsid w:val="51183927"/>
    <w:rsid w:val="51226553"/>
    <w:rsid w:val="514E7348"/>
    <w:rsid w:val="51516E38"/>
    <w:rsid w:val="519A433C"/>
    <w:rsid w:val="51AE366B"/>
    <w:rsid w:val="51D823BF"/>
    <w:rsid w:val="51DF0427"/>
    <w:rsid w:val="51E67581"/>
    <w:rsid w:val="51F83758"/>
    <w:rsid w:val="520B3E30"/>
    <w:rsid w:val="521A547C"/>
    <w:rsid w:val="521F6F37"/>
    <w:rsid w:val="5246001F"/>
    <w:rsid w:val="52972F71"/>
    <w:rsid w:val="52B0193D"/>
    <w:rsid w:val="52BC29D7"/>
    <w:rsid w:val="52C8312A"/>
    <w:rsid w:val="52DB5A27"/>
    <w:rsid w:val="52DD4E28"/>
    <w:rsid w:val="52DE4AD3"/>
    <w:rsid w:val="52E70521"/>
    <w:rsid w:val="52FB52AE"/>
    <w:rsid w:val="52FE08FA"/>
    <w:rsid w:val="531F04EC"/>
    <w:rsid w:val="532145E9"/>
    <w:rsid w:val="53220A8C"/>
    <w:rsid w:val="532E2213"/>
    <w:rsid w:val="533026AA"/>
    <w:rsid w:val="53487DC7"/>
    <w:rsid w:val="534C78B7"/>
    <w:rsid w:val="534D3630"/>
    <w:rsid w:val="53807561"/>
    <w:rsid w:val="5382152B"/>
    <w:rsid w:val="538708F0"/>
    <w:rsid w:val="538E7D0E"/>
    <w:rsid w:val="53A56FC8"/>
    <w:rsid w:val="53B4545D"/>
    <w:rsid w:val="53B8319F"/>
    <w:rsid w:val="53DF24DA"/>
    <w:rsid w:val="53F65A75"/>
    <w:rsid w:val="53FB308C"/>
    <w:rsid w:val="5416466D"/>
    <w:rsid w:val="541A1764"/>
    <w:rsid w:val="542F214A"/>
    <w:rsid w:val="54302D35"/>
    <w:rsid w:val="54316AAD"/>
    <w:rsid w:val="543640C4"/>
    <w:rsid w:val="543A3BB4"/>
    <w:rsid w:val="54640C31"/>
    <w:rsid w:val="54661645"/>
    <w:rsid w:val="547F3CBD"/>
    <w:rsid w:val="54AA0D3A"/>
    <w:rsid w:val="54AB6860"/>
    <w:rsid w:val="54BB2F47"/>
    <w:rsid w:val="54BE216E"/>
    <w:rsid w:val="54BF40B9"/>
    <w:rsid w:val="54D73AF9"/>
    <w:rsid w:val="54D933CD"/>
    <w:rsid w:val="54DF37FA"/>
    <w:rsid w:val="550D2661"/>
    <w:rsid w:val="550F3292"/>
    <w:rsid w:val="552A3C28"/>
    <w:rsid w:val="55563AD1"/>
    <w:rsid w:val="555D2250"/>
    <w:rsid w:val="558722C8"/>
    <w:rsid w:val="55AC6D33"/>
    <w:rsid w:val="55AD03B6"/>
    <w:rsid w:val="55BD221A"/>
    <w:rsid w:val="55C027DF"/>
    <w:rsid w:val="55CE2806"/>
    <w:rsid w:val="55D63DB0"/>
    <w:rsid w:val="55DB3175"/>
    <w:rsid w:val="55EE4C56"/>
    <w:rsid w:val="55F61D5C"/>
    <w:rsid w:val="56051FA0"/>
    <w:rsid w:val="56222B52"/>
    <w:rsid w:val="562A1B91"/>
    <w:rsid w:val="562B40FC"/>
    <w:rsid w:val="562B5B9A"/>
    <w:rsid w:val="56331D5B"/>
    <w:rsid w:val="5637484F"/>
    <w:rsid w:val="5640122A"/>
    <w:rsid w:val="56570A4D"/>
    <w:rsid w:val="565E627F"/>
    <w:rsid w:val="568A7075"/>
    <w:rsid w:val="56AB7BA5"/>
    <w:rsid w:val="56AF3861"/>
    <w:rsid w:val="56B85264"/>
    <w:rsid w:val="56CA56C3"/>
    <w:rsid w:val="56CF0F2B"/>
    <w:rsid w:val="56DC53F6"/>
    <w:rsid w:val="571406EC"/>
    <w:rsid w:val="5714693E"/>
    <w:rsid w:val="573F67D1"/>
    <w:rsid w:val="575C2093"/>
    <w:rsid w:val="576D604E"/>
    <w:rsid w:val="57706229"/>
    <w:rsid w:val="578C2978"/>
    <w:rsid w:val="57BE4AFC"/>
    <w:rsid w:val="57C2639A"/>
    <w:rsid w:val="57CE11E3"/>
    <w:rsid w:val="57CF2865"/>
    <w:rsid w:val="57E07028"/>
    <w:rsid w:val="57E207EA"/>
    <w:rsid w:val="57EC78BB"/>
    <w:rsid w:val="57F549C2"/>
    <w:rsid w:val="580764A3"/>
    <w:rsid w:val="58260F8E"/>
    <w:rsid w:val="582C5F09"/>
    <w:rsid w:val="584C2108"/>
    <w:rsid w:val="586C6306"/>
    <w:rsid w:val="58737694"/>
    <w:rsid w:val="587F072F"/>
    <w:rsid w:val="58BA1767"/>
    <w:rsid w:val="59215342"/>
    <w:rsid w:val="5928001D"/>
    <w:rsid w:val="592941F7"/>
    <w:rsid w:val="592A3C50"/>
    <w:rsid w:val="594026BD"/>
    <w:rsid w:val="59460076"/>
    <w:rsid w:val="59515D8A"/>
    <w:rsid w:val="595C637A"/>
    <w:rsid w:val="5960477C"/>
    <w:rsid w:val="596B66F6"/>
    <w:rsid w:val="596C2A61"/>
    <w:rsid w:val="596F6178"/>
    <w:rsid w:val="597E2795"/>
    <w:rsid w:val="59A5674B"/>
    <w:rsid w:val="59AD4E28"/>
    <w:rsid w:val="59BD150F"/>
    <w:rsid w:val="59BE0DE3"/>
    <w:rsid w:val="59C53F20"/>
    <w:rsid w:val="59D535F0"/>
    <w:rsid w:val="5A0228E9"/>
    <w:rsid w:val="5A146C55"/>
    <w:rsid w:val="5A151F73"/>
    <w:rsid w:val="5A582FE6"/>
    <w:rsid w:val="5A78158C"/>
    <w:rsid w:val="5AA77AC9"/>
    <w:rsid w:val="5AA91A93"/>
    <w:rsid w:val="5ABE4B07"/>
    <w:rsid w:val="5AC266B1"/>
    <w:rsid w:val="5AEE74A6"/>
    <w:rsid w:val="5AFA409D"/>
    <w:rsid w:val="5AFA5E4B"/>
    <w:rsid w:val="5B307ABF"/>
    <w:rsid w:val="5B321A89"/>
    <w:rsid w:val="5B32273E"/>
    <w:rsid w:val="5B353327"/>
    <w:rsid w:val="5B386973"/>
    <w:rsid w:val="5B4602DF"/>
    <w:rsid w:val="5B4A6DD2"/>
    <w:rsid w:val="5B57329D"/>
    <w:rsid w:val="5B6F6839"/>
    <w:rsid w:val="5B751975"/>
    <w:rsid w:val="5B765E19"/>
    <w:rsid w:val="5B8147BE"/>
    <w:rsid w:val="5B920779"/>
    <w:rsid w:val="5B977B3E"/>
    <w:rsid w:val="5BB74B2C"/>
    <w:rsid w:val="5BBB382C"/>
    <w:rsid w:val="5BCC1E57"/>
    <w:rsid w:val="5BD41E6E"/>
    <w:rsid w:val="5BEA2363"/>
    <w:rsid w:val="5BEA5EBF"/>
    <w:rsid w:val="5BF64864"/>
    <w:rsid w:val="5C2C64D8"/>
    <w:rsid w:val="5C3A6E47"/>
    <w:rsid w:val="5C3B1922"/>
    <w:rsid w:val="5C537F09"/>
    <w:rsid w:val="5C5477DD"/>
    <w:rsid w:val="5C5E2B95"/>
    <w:rsid w:val="5C9A5B38"/>
    <w:rsid w:val="5C9C18B0"/>
    <w:rsid w:val="5CA17B70"/>
    <w:rsid w:val="5CA40764"/>
    <w:rsid w:val="5CAB5170"/>
    <w:rsid w:val="5CBD5382"/>
    <w:rsid w:val="5CD32DF8"/>
    <w:rsid w:val="5CE62B2B"/>
    <w:rsid w:val="5D0C07A2"/>
    <w:rsid w:val="5D290C69"/>
    <w:rsid w:val="5DA0717E"/>
    <w:rsid w:val="5DB42C29"/>
    <w:rsid w:val="5DBD1FCA"/>
    <w:rsid w:val="5DD15589"/>
    <w:rsid w:val="5DEF65CC"/>
    <w:rsid w:val="5E192A8C"/>
    <w:rsid w:val="5E1C432A"/>
    <w:rsid w:val="5E257683"/>
    <w:rsid w:val="5E282CCF"/>
    <w:rsid w:val="5E4D0988"/>
    <w:rsid w:val="5E510478"/>
    <w:rsid w:val="5E714676"/>
    <w:rsid w:val="5E8425FB"/>
    <w:rsid w:val="5E8C6F99"/>
    <w:rsid w:val="5E8E347A"/>
    <w:rsid w:val="5ECF75EF"/>
    <w:rsid w:val="5ED54C05"/>
    <w:rsid w:val="5EF2352E"/>
    <w:rsid w:val="5EF57055"/>
    <w:rsid w:val="5EF763C6"/>
    <w:rsid w:val="5F08322C"/>
    <w:rsid w:val="5F4E6765"/>
    <w:rsid w:val="5F5D7160"/>
    <w:rsid w:val="5F7206A6"/>
    <w:rsid w:val="5F7408C2"/>
    <w:rsid w:val="5F887EC9"/>
    <w:rsid w:val="5F893C41"/>
    <w:rsid w:val="5F8B79B9"/>
    <w:rsid w:val="5FB23198"/>
    <w:rsid w:val="5FD70E51"/>
    <w:rsid w:val="5FEF7F48"/>
    <w:rsid w:val="5FF217E7"/>
    <w:rsid w:val="5FF27A39"/>
    <w:rsid w:val="5FF76DFD"/>
    <w:rsid w:val="5FFE1F39"/>
    <w:rsid w:val="5FFF5CB2"/>
    <w:rsid w:val="60060FEE"/>
    <w:rsid w:val="602A0F80"/>
    <w:rsid w:val="60462E90"/>
    <w:rsid w:val="60536729"/>
    <w:rsid w:val="608368E3"/>
    <w:rsid w:val="608F7035"/>
    <w:rsid w:val="60A30D33"/>
    <w:rsid w:val="60A96349"/>
    <w:rsid w:val="60C2740B"/>
    <w:rsid w:val="60D94755"/>
    <w:rsid w:val="60F021CA"/>
    <w:rsid w:val="611834CF"/>
    <w:rsid w:val="61530A39"/>
    <w:rsid w:val="6183303E"/>
    <w:rsid w:val="61923281"/>
    <w:rsid w:val="61AC3CD1"/>
    <w:rsid w:val="61B054B5"/>
    <w:rsid w:val="61FA4982"/>
    <w:rsid w:val="61FE695C"/>
    <w:rsid w:val="621912AD"/>
    <w:rsid w:val="621C6FEF"/>
    <w:rsid w:val="623076A4"/>
    <w:rsid w:val="62326812"/>
    <w:rsid w:val="62392C11"/>
    <w:rsid w:val="62571DD5"/>
    <w:rsid w:val="625B7377"/>
    <w:rsid w:val="6278019C"/>
    <w:rsid w:val="6285420B"/>
    <w:rsid w:val="628C1A7E"/>
    <w:rsid w:val="629B7F14"/>
    <w:rsid w:val="62A96AD4"/>
    <w:rsid w:val="62B2525D"/>
    <w:rsid w:val="62B66AFB"/>
    <w:rsid w:val="62C0797A"/>
    <w:rsid w:val="62FB09B2"/>
    <w:rsid w:val="62FE04A2"/>
    <w:rsid w:val="631D29EB"/>
    <w:rsid w:val="633C6169"/>
    <w:rsid w:val="63500CFE"/>
    <w:rsid w:val="637A3FCD"/>
    <w:rsid w:val="63822EAD"/>
    <w:rsid w:val="63B70D7D"/>
    <w:rsid w:val="63D23E09"/>
    <w:rsid w:val="63E234B7"/>
    <w:rsid w:val="63F773CC"/>
    <w:rsid w:val="64047D3A"/>
    <w:rsid w:val="64300F47"/>
    <w:rsid w:val="64483336"/>
    <w:rsid w:val="644F0FB6"/>
    <w:rsid w:val="645E38EF"/>
    <w:rsid w:val="646C600B"/>
    <w:rsid w:val="64942E6C"/>
    <w:rsid w:val="64AC6408"/>
    <w:rsid w:val="64AE53F9"/>
    <w:rsid w:val="64D63485"/>
    <w:rsid w:val="6500647B"/>
    <w:rsid w:val="65085608"/>
    <w:rsid w:val="65091AAC"/>
    <w:rsid w:val="65110961"/>
    <w:rsid w:val="6518767F"/>
    <w:rsid w:val="65237AC1"/>
    <w:rsid w:val="653603C7"/>
    <w:rsid w:val="65362175"/>
    <w:rsid w:val="656767D3"/>
    <w:rsid w:val="65801643"/>
    <w:rsid w:val="6598698C"/>
    <w:rsid w:val="65A13CC9"/>
    <w:rsid w:val="65E120E1"/>
    <w:rsid w:val="660D737A"/>
    <w:rsid w:val="661A38C3"/>
    <w:rsid w:val="661E2CB4"/>
    <w:rsid w:val="6632293D"/>
    <w:rsid w:val="664E603D"/>
    <w:rsid w:val="666F1DE3"/>
    <w:rsid w:val="66A870A3"/>
    <w:rsid w:val="66AD46B9"/>
    <w:rsid w:val="66C1550E"/>
    <w:rsid w:val="66C739CD"/>
    <w:rsid w:val="66CD4D5B"/>
    <w:rsid w:val="66DD6797"/>
    <w:rsid w:val="66F66060"/>
    <w:rsid w:val="66F67E0E"/>
    <w:rsid w:val="670818F0"/>
    <w:rsid w:val="67145C03"/>
    <w:rsid w:val="671D183F"/>
    <w:rsid w:val="67293782"/>
    <w:rsid w:val="673646AF"/>
    <w:rsid w:val="675114E9"/>
    <w:rsid w:val="675863D3"/>
    <w:rsid w:val="679703E1"/>
    <w:rsid w:val="67A17496"/>
    <w:rsid w:val="67A965FC"/>
    <w:rsid w:val="67D839B8"/>
    <w:rsid w:val="68182006"/>
    <w:rsid w:val="681C1AF7"/>
    <w:rsid w:val="683926A8"/>
    <w:rsid w:val="685272C6"/>
    <w:rsid w:val="68537CAF"/>
    <w:rsid w:val="685F3791"/>
    <w:rsid w:val="68684A4F"/>
    <w:rsid w:val="68725BBA"/>
    <w:rsid w:val="68757459"/>
    <w:rsid w:val="687A4A6F"/>
    <w:rsid w:val="688C5099"/>
    <w:rsid w:val="68953657"/>
    <w:rsid w:val="68B735CD"/>
    <w:rsid w:val="68C1444C"/>
    <w:rsid w:val="68E51EE8"/>
    <w:rsid w:val="68EA5751"/>
    <w:rsid w:val="68F570FB"/>
    <w:rsid w:val="69227DA0"/>
    <w:rsid w:val="69231F5F"/>
    <w:rsid w:val="69456E2B"/>
    <w:rsid w:val="69531548"/>
    <w:rsid w:val="696F3EA8"/>
    <w:rsid w:val="69731BEA"/>
    <w:rsid w:val="69765236"/>
    <w:rsid w:val="69790883"/>
    <w:rsid w:val="697A2F79"/>
    <w:rsid w:val="69935DE8"/>
    <w:rsid w:val="699E76FA"/>
    <w:rsid w:val="69A47FF6"/>
    <w:rsid w:val="69A87C65"/>
    <w:rsid w:val="69EE301F"/>
    <w:rsid w:val="69FB1963"/>
    <w:rsid w:val="6A3F35DF"/>
    <w:rsid w:val="6A5D1F52"/>
    <w:rsid w:val="6A7C062B"/>
    <w:rsid w:val="6AA25BA0"/>
    <w:rsid w:val="6AA3205B"/>
    <w:rsid w:val="6AAB0F10"/>
    <w:rsid w:val="6AAD2EDA"/>
    <w:rsid w:val="6AB8548E"/>
    <w:rsid w:val="6ABC577D"/>
    <w:rsid w:val="6ACD70D8"/>
    <w:rsid w:val="6AE12B83"/>
    <w:rsid w:val="6AE42367"/>
    <w:rsid w:val="6AFE7291"/>
    <w:rsid w:val="6B054AC4"/>
    <w:rsid w:val="6B106FC5"/>
    <w:rsid w:val="6B225676"/>
    <w:rsid w:val="6B3A462E"/>
    <w:rsid w:val="6B422808"/>
    <w:rsid w:val="6B476E8A"/>
    <w:rsid w:val="6B4B5217"/>
    <w:rsid w:val="6B680BAF"/>
    <w:rsid w:val="6B8A1717"/>
    <w:rsid w:val="6B8C6F93"/>
    <w:rsid w:val="6BC56001"/>
    <w:rsid w:val="6BCC7390"/>
    <w:rsid w:val="6BD36970"/>
    <w:rsid w:val="6BD526E8"/>
    <w:rsid w:val="6C092392"/>
    <w:rsid w:val="6C17069E"/>
    <w:rsid w:val="6C2225DD"/>
    <w:rsid w:val="6C2830FF"/>
    <w:rsid w:val="6C5850C7"/>
    <w:rsid w:val="6C6B0957"/>
    <w:rsid w:val="6C832144"/>
    <w:rsid w:val="6C89702F"/>
    <w:rsid w:val="6C9C18EB"/>
    <w:rsid w:val="6CCD7863"/>
    <w:rsid w:val="6CD504C6"/>
    <w:rsid w:val="6CD52274"/>
    <w:rsid w:val="6CDD364E"/>
    <w:rsid w:val="6CF46B9E"/>
    <w:rsid w:val="6CF92406"/>
    <w:rsid w:val="6CFC3CA5"/>
    <w:rsid w:val="6D147240"/>
    <w:rsid w:val="6D196605"/>
    <w:rsid w:val="6D21370B"/>
    <w:rsid w:val="6D3B18E0"/>
    <w:rsid w:val="6D3B18E9"/>
    <w:rsid w:val="6D57537F"/>
    <w:rsid w:val="6D6C42DF"/>
    <w:rsid w:val="6D77332B"/>
    <w:rsid w:val="6D800432"/>
    <w:rsid w:val="6D940381"/>
    <w:rsid w:val="6D9C3AFC"/>
    <w:rsid w:val="6DAC1227"/>
    <w:rsid w:val="6DBB76BC"/>
    <w:rsid w:val="6DD469CF"/>
    <w:rsid w:val="6E22773B"/>
    <w:rsid w:val="6E2A4841"/>
    <w:rsid w:val="6E443B55"/>
    <w:rsid w:val="6E4E0530"/>
    <w:rsid w:val="6E5B2C4D"/>
    <w:rsid w:val="6E5F44EB"/>
    <w:rsid w:val="6E6164B5"/>
    <w:rsid w:val="6E6236E7"/>
    <w:rsid w:val="6E6935BC"/>
    <w:rsid w:val="6E91041D"/>
    <w:rsid w:val="6E9F4B86"/>
    <w:rsid w:val="6EB02F99"/>
    <w:rsid w:val="6EB8556A"/>
    <w:rsid w:val="6EBC36EB"/>
    <w:rsid w:val="6EDC5B3C"/>
    <w:rsid w:val="6EDE1649"/>
    <w:rsid w:val="6EEE586F"/>
    <w:rsid w:val="6F064E06"/>
    <w:rsid w:val="6F094457"/>
    <w:rsid w:val="6F155FCF"/>
    <w:rsid w:val="6F176B74"/>
    <w:rsid w:val="6F360C58"/>
    <w:rsid w:val="6F636421"/>
    <w:rsid w:val="6F6B5112"/>
    <w:rsid w:val="6F6E6EC3"/>
    <w:rsid w:val="6F7264A0"/>
    <w:rsid w:val="6F765F90"/>
    <w:rsid w:val="6F9401C4"/>
    <w:rsid w:val="6FB915A7"/>
    <w:rsid w:val="6FC14D32"/>
    <w:rsid w:val="6FC44FDB"/>
    <w:rsid w:val="6FCD1928"/>
    <w:rsid w:val="6FD902CD"/>
    <w:rsid w:val="6FDE58E3"/>
    <w:rsid w:val="6FE61F3E"/>
    <w:rsid w:val="6FF9428D"/>
    <w:rsid w:val="70161521"/>
    <w:rsid w:val="702F613F"/>
    <w:rsid w:val="703244E4"/>
    <w:rsid w:val="705636CC"/>
    <w:rsid w:val="70A07B56"/>
    <w:rsid w:val="70D31B19"/>
    <w:rsid w:val="70FD0CB3"/>
    <w:rsid w:val="711E0B5E"/>
    <w:rsid w:val="712A5284"/>
    <w:rsid w:val="7130216F"/>
    <w:rsid w:val="713C4FB8"/>
    <w:rsid w:val="71687AE4"/>
    <w:rsid w:val="718F158B"/>
    <w:rsid w:val="71A004FF"/>
    <w:rsid w:val="71C50B09"/>
    <w:rsid w:val="71C8684B"/>
    <w:rsid w:val="71DC40A5"/>
    <w:rsid w:val="71E03B95"/>
    <w:rsid w:val="71E116BB"/>
    <w:rsid w:val="71F615DC"/>
    <w:rsid w:val="71FE04BF"/>
    <w:rsid w:val="720F7FD6"/>
    <w:rsid w:val="72121874"/>
    <w:rsid w:val="7229553C"/>
    <w:rsid w:val="72323CC5"/>
    <w:rsid w:val="724B2077"/>
    <w:rsid w:val="72691DDC"/>
    <w:rsid w:val="726F4F19"/>
    <w:rsid w:val="726F7FB0"/>
    <w:rsid w:val="72A46970"/>
    <w:rsid w:val="72B50B7E"/>
    <w:rsid w:val="72C139C6"/>
    <w:rsid w:val="72C62D8B"/>
    <w:rsid w:val="72D57833"/>
    <w:rsid w:val="72DC25AE"/>
    <w:rsid w:val="72FC49FE"/>
    <w:rsid w:val="732E0930"/>
    <w:rsid w:val="73335F46"/>
    <w:rsid w:val="73373C88"/>
    <w:rsid w:val="733E4E7F"/>
    <w:rsid w:val="7358775B"/>
    <w:rsid w:val="735C7C30"/>
    <w:rsid w:val="73634FBB"/>
    <w:rsid w:val="73661E78"/>
    <w:rsid w:val="73697BBA"/>
    <w:rsid w:val="73775E2C"/>
    <w:rsid w:val="738A025C"/>
    <w:rsid w:val="73B61051"/>
    <w:rsid w:val="73BB6668"/>
    <w:rsid w:val="73C365CB"/>
    <w:rsid w:val="73E95EE8"/>
    <w:rsid w:val="73EA4857"/>
    <w:rsid w:val="73F6144E"/>
    <w:rsid w:val="73F97190"/>
    <w:rsid w:val="74085625"/>
    <w:rsid w:val="74185868"/>
    <w:rsid w:val="742023C5"/>
    <w:rsid w:val="744C3764"/>
    <w:rsid w:val="74534AF2"/>
    <w:rsid w:val="74766D79"/>
    <w:rsid w:val="747E57F8"/>
    <w:rsid w:val="748D1686"/>
    <w:rsid w:val="74F040EF"/>
    <w:rsid w:val="751122B7"/>
    <w:rsid w:val="75157FF9"/>
    <w:rsid w:val="75360DBC"/>
    <w:rsid w:val="75387844"/>
    <w:rsid w:val="756920F3"/>
    <w:rsid w:val="756B5E6B"/>
    <w:rsid w:val="756D0E75"/>
    <w:rsid w:val="756D573F"/>
    <w:rsid w:val="75866801"/>
    <w:rsid w:val="758807CB"/>
    <w:rsid w:val="759F78C3"/>
    <w:rsid w:val="75BA64AB"/>
    <w:rsid w:val="75E35A02"/>
    <w:rsid w:val="75EA3234"/>
    <w:rsid w:val="762027B2"/>
    <w:rsid w:val="7630676D"/>
    <w:rsid w:val="76312C11"/>
    <w:rsid w:val="763224E5"/>
    <w:rsid w:val="76361FD5"/>
    <w:rsid w:val="76505878"/>
    <w:rsid w:val="767945B8"/>
    <w:rsid w:val="76794AF8"/>
    <w:rsid w:val="76850C08"/>
    <w:rsid w:val="76BB24DB"/>
    <w:rsid w:val="76C84BF7"/>
    <w:rsid w:val="76D11CFE"/>
    <w:rsid w:val="76D67314"/>
    <w:rsid w:val="76FC6DDC"/>
    <w:rsid w:val="772E2227"/>
    <w:rsid w:val="77302EC9"/>
    <w:rsid w:val="7731279D"/>
    <w:rsid w:val="77533CC6"/>
    <w:rsid w:val="775748F9"/>
    <w:rsid w:val="7760252B"/>
    <w:rsid w:val="776058DA"/>
    <w:rsid w:val="77626DFA"/>
    <w:rsid w:val="777032C5"/>
    <w:rsid w:val="777803CC"/>
    <w:rsid w:val="777D1E86"/>
    <w:rsid w:val="779276DF"/>
    <w:rsid w:val="77B70517"/>
    <w:rsid w:val="77E043E3"/>
    <w:rsid w:val="77F40160"/>
    <w:rsid w:val="78342545"/>
    <w:rsid w:val="78412EB3"/>
    <w:rsid w:val="785030F6"/>
    <w:rsid w:val="78550E5C"/>
    <w:rsid w:val="78632E2A"/>
    <w:rsid w:val="78654DF4"/>
    <w:rsid w:val="787B0173"/>
    <w:rsid w:val="787D0429"/>
    <w:rsid w:val="78B24F5D"/>
    <w:rsid w:val="78EF46BD"/>
    <w:rsid w:val="790740FD"/>
    <w:rsid w:val="791660EE"/>
    <w:rsid w:val="791D122B"/>
    <w:rsid w:val="791F31F5"/>
    <w:rsid w:val="79265756"/>
    <w:rsid w:val="793F5645"/>
    <w:rsid w:val="794511BD"/>
    <w:rsid w:val="794A5D98"/>
    <w:rsid w:val="794C38BE"/>
    <w:rsid w:val="794E7636"/>
    <w:rsid w:val="79892D64"/>
    <w:rsid w:val="798E037A"/>
    <w:rsid w:val="798E18C9"/>
    <w:rsid w:val="79960FDD"/>
    <w:rsid w:val="79997202"/>
    <w:rsid w:val="799E680F"/>
    <w:rsid w:val="7A1B3962"/>
    <w:rsid w:val="7A2111EE"/>
    <w:rsid w:val="7A2F56B9"/>
    <w:rsid w:val="7A6D48C0"/>
    <w:rsid w:val="7A7268AA"/>
    <w:rsid w:val="7A765096"/>
    <w:rsid w:val="7A974046"/>
    <w:rsid w:val="7AAD65DE"/>
    <w:rsid w:val="7AC53928"/>
    <w:rsid w:val="7AC878BC"/>
    <w:rsid w:val="7ACA7190"/>
    <w:rsid w:val="7AEF309B"/>
    <w:rsid w:val="7AFD2AA0"/>
    <w:rsid w:val="7AFD57B8"/>
    <w:rsid w:val="7AFF1FD8"/>
    <w:rsid w:val="7B007056"/>
    <w:rsid w:val="7B02692A"/>
    <w:rsid w:val="7B2368A0"/>
    <w:rsid w:val="7B627C76"/>
    <w:rsid w:val="7B705F89"/>
    <w:rsid w:val="7B735A7A"/>
    <w:rsid w:val="7B887EC5"/>
    <w:rsid w:val="7B914152"/>
    <w:rsid w:val="7BAE0860"/>
    <w:rsid w:val="7BB17EFC"/>
    <w:rsid w:val="7BB86133"/>
    <w:rsid w:val="7BC60184"/>
    <w:rsid w:val="7BD5403F"/>
    <w:rsid w:val="7BE349AD"/>
    <w:rsid w:val="7BE73A8B"/>
    <w:rsid w:val="7BEC3136"/>
    <w:rsid w:val="7BF471EA"/>
    <w:rsid w:val="7C011556"/>
    <w:rsid w:val="7C18217D"/>
    <w:rsid w:val="7C3C40BE"/>
    <w:rsid w:val="7C507B69"/>
    <w:rsid w:val="7C596A1E"/>
    <w:rsid w:val="7C5E2286"/>
    <w:rsid w:val="7C701FB9"/>
    <w:rsid w:val="7C817D22"/>
    <w:rsid w:val="7CD24A22"/>
    <w:rsid w:val="7CEA1D6C"/>
    <w:rsid w:val="7CF95D03"/>
    <w:rsid w:val="7D0C3A90"/>
    <w:rsid w:val="7D0E5A5A"/>
    <w:rsid w:val="7D360B0D"/>
    <w:rsid w:val="7D406A1E"/>
    <w:rsid w:val="7D494CE4"/>
    <w:rsid w:val="7D637428"/>
    <w:rsid w:val="7D717D97"/>
    <w:rsid w:val="7D7653AD"/>
    <w:rsid w:val="7D823D52"/>
    <w:rsid w:val="7D851A94"/>
    <w:rsid w:val="7D8E1E41"/>
    <w:rsid w:val="7D9121E7"/>
    <w:rsid w:val="7D965A4F"/>
    <w:rsid w:val="7DC73E5B"/>
    <w:rsid w:val="7DCB56F9"/>
    <w:rsid w:val="7DF34C50"/>
    <w:rsid w:val="7E0D00F2"/>
    <w:rsid w:val="7E105802"/>
    <w:rsid w:val="7E1A21DD"/>
    <w:rsid w:val="7E486D4A"/>
    <w:rsid w:val="7E5F22E5"/>
    <w:rsid w:val="7E7C7B82"/>
    <w:rsid w:val="7E960CC1"/>
    <w:rsid w:val="7EA36676"/>
    <w:rsid w:val="7EAD12A3"/>
    <w:rsid w:val="7EB702F4"/>
    <w:rsid w:val="7ED625A7"/>
    <w:rsid w:val="7EDA196C"/>
    <w:rsid w:val="7EE56707"/>
    <w:rsid w:val="7EED715E"/>
    <w:rsid w:val="7EF42A2E"/>
    <w:rsid w:val="7EF46ED2"/>
    <w:rsid w:val="7EFD7F37"/>
    <w:rsid w:val="7F2271E4"/>
    <w:rsid w:val="7F2D7CEE"/>
    <w:rsid w:val="7F313C82"/>
    <w:rsid w:val="7F4A61E1"/>
    <w:rsid w:val="7F596D35"/>
    <w:rsid w:val="7F967F89"/>
    <w:rsid w:val="7F9935D5"/>
    <w:rsid w:val="7FA51F7A"/>
    <w:rsid w:val="7FB073FA"/>
    <w:rsid w:val="7FB328E9"/>
    <w:rsid w:val="7FD30895"/>
    <w:rsid w:val="7FDD1714"/>
    <w:rsid w:val="7FE231CE"/>
    <w:rsid w:val="7FFA2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nhideWhenUsed="0"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pPr>
    <w:rPr>
      <w:rFonts w:ascii="宋体" w:hAnsi="宋体" w:eastAsia="宋体" w:cstheme="minorBidi"/>
      <w:kern w:val="2"/>
      <w:sz w:val="24"/>
      <w:szCs w:val="22"/>
      <w:lang w:val="en-US" w:eastAsia="zh-CN" w:bidi="ar-SA"/>
    </w:rPr>
  </w:style>
  <w:style w:type="paragraph" w:styleId="3">
    <w:name w:val="heading 1"/>
    <w:basedOn w:val="1"/>
    <w:next w:val="1"/>
    <w:link w:val="39"/>
    <w:autoRedefine/>
    <w:qFormat/>
    <w:uiPriority w:val="9"/>
    <w:pPr>
      <w:keepNext/>
      <w:keepLines/>
      <w:spacing w:before="340" w:after="330" w:line="578" w:lineRule="auto"/>
      <w:jc w:val="center"/>
      <w:outlineLvl w:val="0"/>
    </w:pPr>
    <w:rPr>
      <w:rFonts w:eastAsia="黑体"/>
      <w:b/>
      <w:bCs/>
      <w:kern w:val="44"/>
      <w:sz w:val="44"/>
      <w:szCs w:val="44"/>
    </w:rPr>
  </w:style>
  <w:style w:type="paragraph" w:styleId="2">
    <w:name w:val="heading 2"/>
    <w:basedOn w:val="1"/>
    <w:next w:val="1"/>
    <w:link w:val="43"/>
    <w:unhideWhenUsed/>
    <w:qFormat/>
    <w:uiPriority w:val="9"/>
    <w:pPr>
      <w:keepNext/>
      <w:keepLines/>
      <w:spacing w:before="260" w:after="260" w:line="416" w:lineRule="auto"/>
      <w:outlineLvl w:val="1"/>
    </w:pPr>
    <w:rPr>
      <w:rFonts w:asciiTheme="majorHAnsi" w:hAnsiTheme="majorHAnsi" w:cstheme="majorBidi"/>
      <w:b/>
      <w:bCs/>
      <w:sz w:val="32"/>
      <w:szCs w:val="32"/>
    </w:rPr>
  </w:style>
  <w:style w:type="paragraph" w:styleId="4">
    <w:name w:val="heading 3"/>
    <w:basedOn w:val="1"/>
    <w:next w:val="1"/>
    <w:link w:val="46"/>
    <w:autoRedefine/>
    <w:unhideWhenUsed/>
    <w:qFormat/>
    <w:uiPriority w:val="9"/>
    <w:pPr>
      <w:keepNext/>
      <w:keepLines/>
      <w:spacing w:before="260" w:after="260" w:line="416" w:lineRule="auto"/>
      <w:outlineLvl w:val="2"/>
    </w:pPr>
    <w:rPr>
      <w:b/>
      <w:bCs/>
      <w:sz w:val="30"/>
      <w:szCs w:val="32"/>
    </w:rPr>
  </w:style>
  <w:style w:type="paragraph" w:styleId="5">
    <w:name w:val="heading 4"/>
    <w:basedOn w:val="6"/>
    <w:next w:val="6"/>
    <w:link w:val="47"/>
    <w:autoRedefine/>
    <w:unhideWhenUsed/>
    <w:qFormat/>
    <w:uiPriority w:val="9"/>
    <w:pPr>
      <w:keepNext/>
      <w:keepLines/>
      <w:spacing w:before="280" w:after="290" w:line="376" w:lineRule="auto"/>
      <w:outlineLvl w:val="3"/>
    </w:pPr>
    <w:rPr>
      <w:rFonts w:asciiTheme="majorHAnsi" w:hAnsiTheme="majorHAnsi" w:cstheme="majorBidi"/>
      <w:b/>
      <w:bCs/>
      <w:sz w:val="28"/>
      <w:szCs w:val="28"/>
    </w:rPr>
  </w:style>
  <w:style w:type="paragraph" w:styleId="11">
    <w:name w:val="heading 5"/>
    <w:basedOn w:val="12"/>
    <w:next w:val="13"/>
    <w:autoRedefine/>
    <w:qFormat/>
    <w:uiPriority w:val="1"/>
    <w:pPr>
      <w:tabs>
        <w:tab w:val="left" w:pos="780"/>
      </w:tabs>
      <w:ind w:left="638" w:firstLine="561"/>
      <w:outlineLvl w:val="4"/>
    </w:pPr>
    <w:rPr>
      <w:rFonts w:ascii="仿宋" w:hAnsi="仿宋" w:eastAsia="仿宋" w:cs="仿宋"/>
      <w:b/>
      <w:bCs/>
      <w:kern w:val="0"/>
      <w:sz w:val="28"/>
      <w:szCs w:val="28"/>
      <w:lang w:val="zh-CN" w:bidi="zh-CN"/>
    </w:rPr>
  </w:style>
  <w:style w:type="character" w:default="1" w:styleId="33">
    <w:name w:val="Default Paragraph Font"/>
    <w:autoRedefine/>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customStyle="1" w:styleId="6">
    <w:name w:val="正文_2"/>
    <w:next w:val="7"/>
    <w:autoRedefine/>
    <w:qFormat/>
    <w:uiPriority w:val="0"/>
    <w:pPr>
      <w:widowControl w:val="0"/>
      <w:jc w:val="both"/>
    </w:pPr>
    <w:rPr>
      <w:rFonts w:ascii="Calibri" w:hAnsi="Calibri" w:eastAsia="宋体" w:cs="Times New Roman"/>
      <w:lang w:val="en-US" w:eastAsia="zh-CN" w:bidi="ar-SA"/>
    </w:rPr>
  </w:style>
  <w:style w:type="paragraph" w:styleId="7">
    <w:name w:val="Body Text First Indent 2"/>
    <w:basedOn w:val="8"/>
    <w:next w:val="9"/>
    <w:autoRedefine/>
    <w:qFormat/>
    <w:uiPriority w:val="0"/>
    <w:pPr>
      <w:snapToGrid/>
      <w:spacing w:after="120" w:line="240" w:lineRule="auto"/>
      <w:ind w:left="420" w:leftChars="200" w:right="0" w:firstLine="420" w:firstLineChars="200"/>
    </w:pPr>
    <w:rPr>
      <w:rFonts w:ascii="Times New Roman" w:eastAsia="宋体"/>
      <w:spacing w:val="0"/>
      <w:sz w:val="21"/>
      <w:szCs w:val="24"/>
    </w:rPr>
  </w:style>
  <w:style w:type="paragraph" w:styleId="8">
    <w:name w:val="Body Text Indent"/>
    <w:basedOn w:val="1"/>
    <w:next w:val="5"/>
    <w:autoRedefine/>
    <w:unhideWhenUsed/>
    <w:qFormat/>
    <w:uiPriority w:val="0"/>
    <w:pPr>
      <w:ind w:firstLine="630"/>
    </w:pPr>
    <w:rPr>
      <w:rFonts w:eastAsia="仿宋_GB2312"/>
      <w:kern w:val="0"/>
      <w:sz w:val="32"/>
      <w:szCs w:val="20"/>
    </w:rPr>
  </w:style>
  <w:style w:type="paragraph" w:styleId="9">
    <w:name w:val="Body Text First Indent"/>
    <w:basedOn w:val="10"/>
    <w:unhideWhenUsed/>
    <w:qFormat/>
    <w:uiPriority w:val="99"/>
    <w:pPr>
      <w:ind w:firstLine="420" w:firstLineChars="100"/>
    </w:pPr>
  </w:style>
  <w:style w:type="paragraph" w:styleId="10">
    <w:name w:val="Body Text"/>
    <w:basedOn w:val="1"/>
    <w:link w:val="48"/>
    <w:autoRedefine/>
    <w:qFormat/>
    <w:uiPriority w:val="99"/>
    <w:pPr>
      <w:spacing w:after="120" w:line="240" w:lineRule="auto"/>
      <w:jc w:val="both"/>
    </w:pPr>
    <w:rPr>
      <w:rFonts w:eastAsiaTheme="minorEastAsia"/>
      <w:sz w:val="21"/>
      <w:szCs w:val="24"/>
    </w:rPr>
  </w:style>
  <w:style w:type="paragraph" w:styleId="12">
    <w:name w:val="List Number 2"/>
    <w:basedOn w:val="1"/>
    <w:autoRedefine/>
    <w:semiHidden/>
    <w:unhideWhenUsed/>
    <w:qFormat/>
    <w:uiPriority w:val="99"/>
    <w:pPr>
      <w:numPr>
        <w:ilvl w:val="0"/>
        <w:numId w:val="1"/>
      </w:numPr>
    </w:pPr>
  </w:style>
  <w:style w:type="paragraph" w:styleId="13">
    <w:name w:val="Normal (Web)"/>
    <w:basedOn w:val="1"/>
    <w:autoRedefine/>
    <w:qFormat/>
    <w:uiPriority w:val="99"/>
    <w:pPr>
      <w:widowControl/>
      <w:spacing w:before="100" w:beforeAutospacing="1" w:after="100" w:afterAutospacing="1"/>
    </w:pPr>
    <w:rPr>
      <w:rFonts w:cs="宋体"/>
      <w:color w:val="000000"/>
      <w:kern w:val="0"/>
      <w:szCs w:val="24"/>
    </w:rPr>
  </w:style>
  <w:style w:type="paragraph" w:styleId="14">
    <w:name w:val="toc 7"/>
    <w:basedOn w:val="1"/>
    <w:next w:val="1"/>
    <w:autoRedefine/>
    <w:unhideWhenUsed/>
    <w:qFormat/>
    <w:uiPriority w:val="39"/>
    <w:pPr>
      <w:ind w:left="1440"/>
    </w:pPr>
    <w:rPr>
      <w:rFonts w:asciiTheme="minorHAnsi" w:eastAsiaTheme="minorHAnsi"/>
      <w:sz w:val="18"/>
      <w:szCs w:val="18"/>
    </w:rPr>
  </w:style>
  <w:style w:type="paragraph" w:styleId="15">
    <w:name w:val="Normal Indent"/>
    <w:basedOn w:val="1"/>
    <w:next w:val="1"/>
    <w:autoRedefine/>
    <w:unhideWhenUsed/>
    <w:qFormat/>
    <w:uiPriority w:val="0"/>
    <w:pPr>
      <w:ind w:firstLine="420" w:firstLineChars="200"/>
    </w:pPr>
    <w:rPr>
      <w:rFonts w:ascii="Calibri" w:hAnsi="Calibri"/>
      <w:szCs w:val="22"/>
    </w:rPr>
  </w:style>
  <w:style w:type="paragraph" w:styleId="16">
    <w:name w:val="List Bullet"/>
    <w:basedOn w:val="1"/>
    <w:autoRedefine/>
    <w:unhideWhenUsed/>
    <w:qFormat/>
    <w:uiPriority w:val="99"/>
    <w:pPr>
      <w:tabs>
        <w:tab w:val="left" w:pos="360"/>
        <w:tab w:val="left" w:pos="1134"/>
      </w:tabs>
      <w:spacing w:line="240" w:lineRule="auto"/>
      <w:ind w:left="1134" w:hanging="1134"/>
      <w:contextualSpacing/>
      <w:jc w:val="both"/>
    </w:pPr>
    <w:rPr>
      <w:rFonts w:ascii="Times New Roman" w:hAnsi="Times New Roman" w:cs="Times New Roman"/>
      <w:kern w:val="0"/>
      <w:sz w:val="20"/>
      <w:szCs w:val="20"/>
    </w:rPr>
  </w:style>
  <w:style w:type="paragraph" w:styleId="17">
    <w:name w:val="annotation text"/>
    <w:basedOn w:val="1"/>
    <w:link w:val="44"/>
    <w:autoRedefine/>
    <w:qFormat/>
    <w:uiPriority w:val="0"/>
    <w:pPr>
      <w:spacing w:line="240" w:lineRule="auto"/>
    </w:pPr>
    <w:rPr>
      <w:rFonts w:eastAsiaTheme="minorEastAsia"/>
      <w:sz w:val="21"/>
      <w:szCs w:val="24"/>
    </w:rPr>
  </w:style>
  <w:style w:type="paragraph" w:styleId="18">
    <w:name w:val="toc 5"/>
    <w:basedOn w:val="1"/>
    <w:next w:val="1"/>
    <w:autoRedefine/>
    <w:unhideWhenUsed/>
    <w:qFormat/>
    <w:uiPriority w:val="39"/>
    <w:pPr>
      <w:ind w:left="960"/>
    </w:pPr>
    <w:rPr>
      <w:rFonts w:asciiTheme="minorHAnsi" w:eastAsiaTheme="minorHAnsi"/>
      <w:sz w:val="18"/>
      <w:szCs w:val="18"/>
    </w:rPr>
  </w:style>
  <w:style w:type="paragraph" w:styleId="19">
    <w:name w:val="toc 3"/>
    <w:basedOn w:val="1"/>
    <w:next w:val="1"/>
    <w:autoRedefine/>
    <w:unhideWhenUsed/>
    <w:qFormat/>
    <w:uiPriority w:val="39"/>
    <w:pPr>
      <w:ind w:left="480"/>
    </w:pPr>
    <w:rPr>
      <w:rFonts w:asciiTheme="minorHAnsi" w:eastAsiaTheme="minorHAnsi"/>
      <w:i/>
      <w:iCs/>
      <w:sz w:val="20"/>
      <w:szCs w:val="20"/>
    </w:rPr>
  </w:style>
  <w:style w:type="paragraph" w:styleId="20">
    <w:name w:val="Plain Text"/>
    <w:basedOn w:val="1"/>
    <w:autoRedefine/>
    <w:unhideWhenUsed/>
    <w:qFormat/>
    <w:uiPriority w:val="0"/>
    <w:rPr>
      <w:rFonts w:ascii="宋体" w:hAnsi="Courier New"/>
      <w:kern w:val="0"/>
      <w:sz w:val="20"/>
      <w:szCs w:val="20"/>
    </w:rPr>
  </w:style>
  <w:style w:type="paragraph" w:styleId="21">
    <w:name w:val="toc 8"/>
    <w:basedOn w:val="1"/>
    <w:next w:val="1"/>
    <w:autoRedefine/>
    <w:unhideWhenUsed/>
    <w:qFormat/>
    <w:uiPriority w:val="39"/>
    <w:pPr>
      <w:ind w:left="1680"/>
    </w:pPr>
    <w:rPr>
      <w:rFonts w:asciiTheme="minorHAnsi" w:eastAsiaTheme="minorHAnsi"/>
      <w:sz w:val="18"/>
      <w:szCs w:val="18"/>
    </w:rPr>
  </w:style>
  <w:style w:type="paragraph" w:styleId="22">
    <w:name w:val="footer"/>
    <w:basedOn w:val="1"/>
    <w:link w:val="42"/>
    <w:autoRedefine/>
    <w:unhideWhenUsed/>
    <w:qFormat/>
    <w:uiPriority w:val="99"/>
    <w:pPr>
      <w:tabs>
        <w:tab w:val="center" w:pos="4153"/>
        <w:tab w:val="right" w:pos="8306"/>
      </w:tabs>
      <w:snapToGrid w:val="0"/>
      <w:spacing w:line="240" w:lineRule="auto"/>
    </w:pPr>
    <w:rPr>
      <w:sz w:val="18"/>
      <w:szCs w:val="18"/>
    </w:rPr>
  </w:style>
  <w:style w:type="paragraph" w:styleId="23">
    <w:name w:val="header"/>
    <w:basedOn w:val="1"/>
    <w:link w:val="41"/>
    <w:autoRedefine/>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24">
    <w:name w:val="toc 1"/>
    <w:basedOn w:val="1"/>
    <w:next w:val="1"/>
    <w:autoRedefine/>
    <w:unhideWhenUsed/>
    <w:qFormat/>
    <w:uiPriority w:val="39"/>
    <w:pPr>
      <w:spacing w:before="120" w:after="120"/>
    </w:pPr>
    <w:rPr>
      <w:rFonts w:asciiTheme="minorHAnsi" w:eastAsiaTheme="minorHAnsi"/>
      <w:b/>
      <w:bCs/>
      <w:caps/>
      <w:sz w:val="20"/>
      <w:szCs w:val="20"/>
    </w:rPr>
  </w:style>
  <w:style w:type="paragraph" w:styleId="25">
    <w:name w:val="toc 4"/>
    <w:basedOn w:val="1"/>
    <w:next w:val="1"/>
    <w:autoRedefine/>
    <w:unhideWhenUsed/>
    <w:qFormat/>
    <w:uiPriority w:val="39"/>
    <w:pPr>
      <w:ind w:left="720"/>
    </w:pPr>
    <w:rPr>
      <w:rFonts w:asciiTheme="minorHAnsi" w:eastAsiaTheme="minorHAnsi"/>
      <w:sz w:val="18"/>
      <w:szCs w:val="18"/>
    </w:rPr>
  </w:style>
  <w:style w:type="paragraph" w:styleId="26">
    <w:name w:val="footnote text"/>
    <w:basedOn w:val="1"/>
    <w:qFormat/>
    <w:uiPriority w:val="0"/>
    <w:pPr>
      <w:widowControl/>
      <w:jc w:val="left"/>
    </w:pPr>
    <w:rPr>
      <w:kern w:val="0"/>
      <w:sz w:val="20"/>
      <w:szCs w:val="20"/>
      <w:lang w:val="de-DE"/>
    </w:rPr>
  </w:style>
  <w:style w:type="paragraph" w:styleId="27">
    <w:name w:val="toc 6"/>
    <w:basedOn w:val="1"/>
    <w:next w:val="1"/>
    <w:autoRedefine/>
    <w:unhideWhenUsed/>
    <w:qFormat/>
    <w:uiPriority w:val="39"/>
    <w:pPr>
      <w:ind w:left="1200"/>
    </w:pPr>
    <w:rPr>
      <w:rFonts w:asciiTheme="minorHAnsi" w:eastAsiaTheme="minorHAnsi"/>
      <w:sz w:val="18"/>
      <w:szCs w:val="18"/>
    </w:rPr>
  </w:style>
  <w:style w:type="paragraph" w:styleId="28">
    <w:name w:val="toc 2"/>
    <w:basedOn w:val="1"/>
    <w:next w:val="1"/>
    <w:autoRedefine/>
    <w:unhideWhenUsed/>
    <w:qFormat/>
    <w:uiPriority w:val="39"/>
    <w:pPr>
      <w:ind w:left="240"/>
    </w:pPr>
    <w:rPr>
      <w:rFonts w:asciiTheme="minorHAnsi" w:eastAsiaTheme="minorHAnsi"/>
      <w:smallCaps/>
      <w:sz w:val="20"/>
      <w:szCs w:val="20"/>
    </w:rPr>
  </w:style>
  <w:style w:type="paragraph" w:styleId="29">
    <w:name w:val="toc 9"/>
    <w:basedOn w:val="1"/>
    <w:next w:val="1"/>
    <w:autoRedefine/>
    <w:unhideWhenUsed/>
    <w:qFormat/>
    <w:uiPriority w:val="39"/>
    <w:pPr>
      <w:ind w:left="1920"/>
    </w:pPr>
    <w:rPr>
      <w:rFonts w:asciiTheme="minorHAnsi" w:eastAsiaTheme="minorHAnsi"/>
      <w:sz w:val="18"/>
      <w:szCs w:val="18"/>
    </w:rPr>
  </w:style>
  <w:style w:type="paragraph" w:styleId="30">
    <w:name w:val="annotation subject"/>
    <w:basedOn w:val="17"/>
    <w:next w:val="17"/>
    <w:link w:val="52"/>
    <w:autoRedefine/>
    <w:semiHidden/>
    <w:unhideWhenUsed/>
    <w:qFormat/>
    <w:uiPriority w:val="99"/>
    <w:pPr>
      <w:spacing w:line="360" w:lineRule="auto"/>
    </w:pPr>
    <w:rPr>
      <w:rFonts w:eastAsia="宋体"/>
      <w:b/>
      <w:bCs/>
      <w:sz w:val="24"/>
      <w:szCs w:val="22"/>
    </w:rPr>
  </w:style>
  <w:style w:type="table" w:styleId="32">
    <w:name w:val="Table Grid"/>
    <w:basedOn w:val="3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autoRedefine/>
    <w:qFormat/>
    <w:uiPriority w:val="0"/>
    <w:rPr>
      <w:b/>
      <w:bCs/>
    </w:rPr>
  </w:style>
  <w:style w:type="character" w:styleId="35">
    <w:name w:val="Hyperlink"/>
    <w:basedOn w:val="33"/>
    <w:autoRedefine/>
    <w:unhideWhenUsed/>
    <w:qFormat/>
    <w:uiPriority w:val="99"/>
    <w:rPr>
      <w:color w:val="0563C1" w:themeColor="hyperlink"/>
      <w:u w:val="single"/>
      <w14:textFill>
        <w14:solidFill>
          <w14:schemeClr w14:val="hlink"/>
        </w14:solidFill>
      </w14:textFill>
    </w:rPr>
  </w:style>
  <w:style w:type="character" w:styleId="36">
    <w:name w:val="annotation reference"/>
    <w:basedOn w:val="33"/>
    <w:autoRedefine/>
    <w:qFormat/>
    <w:uiPriority w:val="0"/>
    <w:rPr>
      <w:sz w:val="21"/>
      <w:szCs w:val="21"/>
    </w:rPr>
  </w:style>
  <w:style w:type="paragraph" w:customStyle="1" w:styleId="37">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8">
    <w:name w:val="正文缩进2"/>
    <w:basedOn w:val="1"/>
    <w:autoRedefine/>
    <w:qFormat/>
    <w:uiPriority w:val="0"/>
    <w:pPr>
      <w:wordWrap w:val="0"/>
      <w:ind w:firstLine="480"/>
    </w:pPr>
    <w:rPr>
      <w:iCs/>
      <w:shd w:val="clear" w:color="auto" w:fill="FFFFFF" w:themeFill="background1"/>
      <w:lang w:val="zh-CN"/>
    </w:rPr>
  </w:style>
  <w:style w:type="character" w:customStyle="1" w:styleId="39">
    <w:name w:val="标题 1 字符"/>
    <w:basedOn w:val="33"/>
    <w:link w:val="3"/>
    <w:autoRedefine/>
    <w:qFormat/>
    <w:uiPriority w:val="9"/>
    <w:rPr>
      <w:rFonts w:eastAsia="黑体"/>
      <w:b/>
      <w:bCs/>
      <w:kern w:val="44"/>
      <w:sz w:val="44"/>
      <w:szCs w:val="44"/>
    </w:rPr>
  </w:style>
  <w:style w:type="paragraph" w:styleId="40">
    <w:name w:val="List Paragraph"/>
    <w:basedOn w:val="1"/>
    <w:autoRedefine/>
    <w:qFormat/>
    <w:uiPriority w:val="34"/>
    <w:pPr>
      <w:numPr>
        <w:ilvl w:val="0"/>
        <w:numId w:val="2"/>
      </w:numPr>
    </w:pPr>
  </w:style>
  <w:style w:type="character" w:customStyle="1" w:styleId="41">
    <w:name w:val="页眉 字符"/>
    <w:basedOn w:val="33"/>
    <w:link w:val="23"/>
    <w:autoRedefine/>
    <w:qFormat/>
    <w:uiPriority w:val="99"/>
    <w:rPr>
      <w:rFonts w:eastAsia="宋体"/>
      <w:sz w:val="18"/>
      <w:szCs w:val="18"/>
    </w:rPr>
  </w:style>
  <w:style w:type="character" w:customStyle="1" w:styleId="42">
    <w:name w:val="页脚 字符"/>
    <w:basedOn w:val="33"/>
    <w:link w:val="22"/>
    <w:autoRedefine/>
    <w:qFormat/>
    <w:uiPriority w:val="99"/>
    <w:rPr>
      <w:rFonts w:eastAsia="宋体"/>
      <w:sz w:val="18"/>
      <w:szCs w:val="18"/>
    </w:rPr>
  </w:style>
  <w:style w:type="character" w:customStyle="1" w:styleId="43">
    <w:name w:val="标题 2 字符"/>
    <w:basedOn w:val="33"/>
    <w:link w:val="2"/>
    <w:autoRedefine/>
    <w:qFormat/>
    <w:uiPriority w:val="0"/>
    <w:rPr>
      <w:rFonts w:eastAsia="宋体" w:asciiTheme="majorHAnsi" w:hAnsiTheme="majorHAnsi" w:cstheme="majorBidi"/>
      <w:b/>
      <w:bCs/>
      <w:sz w:val="32"/>
      <w:szCs w:val="32"/>
    </w:rPr>
  </w:style>
  <w:style w:type="character" w:customStyle="1" w:styleId="44">
    <w:name w:val="批注文字 字符"/>
    <w:basedOn w:val="33"/>
    <w:link w:val="17"/>
    <w:autoRedefine/>
    <w:qFormat/>
    <w:uiPriority w:val="0"/>
    <w:rPr>
      <w:szCs w:val="24"/>
    </w:rPr>
  </w:style>
  <w:style w:type="paragraph" w:customStyle="1" w:styleId="45">
    <w:name w:val="Char1 Char Char Char"/>
    <w:basedOn w:val="1"/>
    <w:autoRedefine/>
    <w:qFormat/>
    <w:uiPriority w:val="0"/>
    <w:pPr>
      <w:adjustRightInd w:val="0"/>
      <w:jc w:val="both"/>
    </w:pPr>
    <w:rPr>
      <w:rFonts w:ascii="Times New Roman" w:hAnsi="Times New Roman" w:cs="Times New Roman"/>
      <w:kern w:val="0"/>
      <w:szCs w:val="20"/>
    </w:rPr>
  </w:style>
  <w:style w:type="character" w:customStyle="1" w:styleId="46">
    <w:name w:val="标题 3 字符"/>
    <w:basedOn w:val="33"/>
    <w:link w:val="4"/>
    <w:autoRedefine/>
    <w:qFormat/>
    <w:uiPriority w:val="9"/>
    <w:rPr>
      <w:rFonts w:eastAsia="宋体"/>
      <w:b/>
      <w:bCs/>
      <w:sz w:val="30"/>
      <w:szCs w:val="32"/>
    </w:rPr>
  </w:style>
  <w:style w:type="character" w:customStyle="1" w:styleId="47">
    <w:name w:val="标题 4 字符"/>
    <w:basedOn w:val="33"/>
    <w:link w:val="5"/>
    <w:autoRedefine/>
    <w:qFormat/>
    <w:uiPriority w:val="9"/>
    <w:rPr>
      <w:rFonts w:eastAsia="宋体" w:asciiTheme="majorHAnsi" w:hAnsiTheme="majorHAnsi" w:cstheme="majorBidi"/>
      <w:b/>
      <w:bCs/>
      <w:sz w:val="28"/>
      <w:szCs w:val="28"/>
    </w:rPr>
  </w:style>
  <w:style w:type="character" w:customStyle="1" w:styleId="48">
    <w:name w:val="正文文本 字符"/>
    <w:basedOn w:val="33"/>
    <w:link w:val="10"/>
    <w:autoRedefine/>
    <w:qFormat/>
    <w:uiPriority w:val="99"/>
    <w:rPr>
      <w:szCs w:val="24"/>
    </w:rPr>
  </w:style>
  <w:style w:type="paragraph" w:customStyle="1" w:styleId="49">
    <w:name w:val="样式"/>
    <w:basedOn w:val="1"/>
    <w:autoRedefine/>
    <w:qFormat/>
    <w:uiPriority w:val="0"/>
    <w:pPr>
      <w:autoSpaceDE w:val="0"/>
      <w:autoSpaceDN w:val="0"/>
      <w:snapToGrid w:val="0"/>
      <w:spacing w:before="120" w:after="120"/>
      <w:jc w:val="both"/>
    </w:pPr>
    <w:rPr>
      <w:rFonts w:hAnsi="Times New Roman" w:cs="Times New Roman"/>
      <w:kern w:val="0"/>
      <w:szCs w:val="20"/>
    </w:rPr>
  </w:style>
  <w:style w:type="paragraph" w:styleId="50">
    <w:name w:val="No Spacing"/>
    <w:autoRedefine/>
    <w:qFormat/>
    <w:uiPriority w:val="1"/>
    <w:pPr>
      <w:widowControl w:val="0"/>
    </w:pPr>
    <w:rPr>
      <w:rFonts w:ascii="宋体" w:hAnsi="宋体" w:eastAsia="宋体" w:cstheme="minorBidi"/>
      <w:kern w:val="2"/>
      <w:sz w:val="24"/>
      <w:szCs w:val="22"/>
      <w:lang w:val="en-US" w:eastAsia="zh-CN" w:bidi="ar-SA"/>
    </w:rPr>
  </w:style>
  <w:style w:type="character" w:customStyle="1" w:styleId="51">
    <w:name w:val="未处理的提及1"/>
    <w:basedOn w:val="33"/>
    <w:autoRedefine/>
    <w:semiHidden/>
    <w:unhideWhenUsed/>
    <w:qFormat/>
    <w:uiPriority w:val="99"/>
    <w:rPr>
      <w:color w:val="605E5C"/>
      <w:shd w:val="clear" w:color="auto" w:fill="E1DFDD"/>
    </w:rPr>
  </w:style>
  <w:style w:type="character" w:customStyle="1" w:styleId="52">
    <w:name w:val="批注主题 字符"/>
    <w:basedOn w:val="44"/>
    <w:link w:val="30"/>
    <w:autoRedefine/>
    <w:semiHidden/>
    <w:qFormat/>
    <w:uiPriority w:val="99"/>
    <w:rPr>
      <w:rFonts w:ascii="宋体" w:hAnsi="宋体" w:cstheme="minorBidi"/>
      <w:b/>
      <w:bCs/>
      <w:kern w:val="2"/>
      <w:sz w:val="24"/>
      <w:szCs w:val="22"/>
    </w:rPr>
  </w:style>
  <w:style w:type="character" w:customStyle="1" w:styleId="53">
    <w:name w:val="未处理的提及2"/>
    <w:basedOn w:val="33"/>
    <w:autoRedefine/>
    <w:semiHidden/>
    <w:unhideWhenUsed/>
    <w:qFormat/>
    <w:uiPriority w:val="99"/>
    <w:rPr>
      <w:color w:val="605E5C"/>
      <w:shd w:val="clear" w:color="auto" w:fill="E1DFDD"/>
    </w:rPr>
  </w:style>
  <w:style w:type="paragraph" w:customStyle="1" w:styleId="54">
    <w:name w:val="Normal"/>
    <w:autoRedefine/>
    <w:qFormat/>
    <w:uiPriority w:val="0"/>
    <w:pPr>
      <w:widowControl w:val="0"/>
      <w:jc w:val="both"/>
    </w:pPr>
    <w:rPr>
      <w:rFonts w:ascii="Times New Roman" w:hAnsi="Times New Roman" w:eastAsia="Times New Roman" w:cs="Times New Roman"/>
      <w:lang w:val="en-US" w:eastAsia="zh-CN" w:bidi="ar-SA"/>
    </w:rPr>
  </w:style>
  <w:style w:type="paragraph" w:customStyle="1" w:styleId="55">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正文_2_0_0"/>
    <w:autoRedefine/>
    <w:qFormat/>
    <w:uiPriority w:val="99"/>
    <w:pPr>
      <w:widowControl w:val="0"/>
      <w:jc w:val="both"/>
    </w:pPr>
    <w:rPr>
      <w:rFonts w:ascii="Calibri" w:hAnsi="Calibri" w:eastAsia="宋体" w:cs="Times New Roman"/>
      <w:lang w:val="en-US" w:eastAsia="zh-CN" w:bidi="ar-SA"/>
    </w:rPr>
  </w:style>
  <w:style w:type="paragraph" w:customStyle="1" w:styleId="57">
    <w:name w:val="正文_1_1"/>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58">
    <w:name w:val="Normal Indent1"/>
    <w:basedOn w:val="1"/>
    <w:autoRedefine/>
    <w:qFormat/>
    <w:uiPriority w:val="0"/>
    <w:pPr>
      <w:ind w:firstLine="420" w:firstLineChars="200"/>
    </w:pPr>
  </w:style>
  <w:style w:type="paragraph" w:customStyle="1" w:styleId="59">
    <w:name w:val="LO-Normal"/>
    <w:autoRedefine/>
    <w:qFormat/>
    <w:uiPriority w:val="0"/>
    <w:pPr>
      <w:suppressAutoHyphens/>
    </w:pPr>
    <w:rPr>
      <w:rFonts w:ascii="Times New Roman" w:hAnsi="Times New Roman" w:eastAsia="宋体" w:cs="Times New Roman"/>
      <w:sz w:val="24"/>
      <w:szCs w:val="24"/>
      <w:lang w:val="en-US" w:eastAsia="zh-CN" w:bidi="ar-SA"/>
    </w:rPr>
  </w:style>
  <w:style w:type="paragraph" w:customStyle="1" w:styleId="60">
    <w:name w:val="Normal_22"/>
    <w:autoRedefine/>
    <w:qFormat/>
    <w:uiPriority w:val="0"/>
    <w:rPr>
      <w:rFonts w:ascii="Times New Roman" w:hAnsi="Times New Roman" w:eastAsia="Times New Roman" w:cs="Times New Roman"/>
      <w:sz w:val="24"/>
      <w:szCs w:val="24"/>
      <w:lang w:bidi="ar-SA"/>
    </w:rPr>
  </w:style>
  <w:style w:type="paragraph" w:customStyle="1" w:styleId="61">
    <w:name w:val="正文_6_0"/>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62">
    <w:name w:val="正文_0_0_0 Char"/>
    <w:link w:val="63"/>
    <w:autoRedefine/>
    <w:qFormat/>
    <w:locked/>
    <w:uiPriority w:val="0"/>
    <w:rPr>
      <w:rFonts w:ascii="Calibri" w:hAnsi="Calibri" w:cs="Calibri"/>
      <w:kern w:val="2"/>
      <w:sz w:val="28"/>
      <w:szCs w:val="22"/>
      <w:lang w:val="en-US" w:eastAsia="zh-CN" w:bidi="ar-SA"/>
    </w:rPr>
  </w:style>
  <w:style w:type="paragraph" w:customStyle="1" w:styleId="63">
    <w:name w:val="正文_0_0_0_0_0"/>
    <w:link w:val="62"/>
    <w:autoRedefine/>
    <w:qFormat/>
    <w:uiPriority w:val="0"/>
    <w:pPr>
      <w:spacing w:before="120" w:after="120" w:line="360" w:lineRule="auto"/>
      <w:ind w:left="1072" w:hanging="1072"/>
      <w:jc w:val="both"/>
    </w:pPr>
    <w:rPr>
      <w:rFonts w:ascii="Calibri" w:hAnsi="Calibri" w:eastAsia="宋体" w:cs="Calibri"/>
      <w:kern w:val="2"/>
      <w:sz w:val="28"/>
      <w:szCs w:val="22"/>
      <w:lang w:val="en-US" w:eastAsia="zh-CN" w:bidi="ar-SA"/>
    </w:rPr>
  </w:style>
  <w:style w:type="paragraph" w:customStyle="1" w:styleId="64">
    <w:name w:val="正文文本_0_1"/>
    <w:basedOn w:val="65"/>
    <w:autoRedefine/>
    <w:qFormat/>
    <w:uiPriority w:val="99"/>
    <w:pPr>
      <w:spacing w:after="120"/>
    </w:pPr>
    <w:rPr>
      <w:rFonts w:ascii="Calibri" w:hAnsi="Calibri" w:eastAsia="宋体"/>
      <w:kern w:val="0"/>
      <w:sz w:val="24"/>
      <w:szCs w:val="20"/>
    </w:rPr>
  </w:style>
  <w:style w:type="paragraph" w:customStyle="1" w:styleId="65">
    <w:name w:val="正文_6_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6">
    <w:name w:val="Table Paragraph_1"/>
    <w:basedOn w:val="65"/>
    <w:autoRedefine/>
    <w:qFormat/>
    <w:uiPriority w:val="0"/>
    <w:pPr>
      <w:jc w:val="left"/>
    </w:pPr>
    <w:rPr>
      <w:rFonts w:ascii="Calibri" w:hAnsi="Calibri" w:eastAsia="宋体"/>
      <w:kern w:val="0"/>
      <w:sz w:val="22"/>
      <w:lang w:eastAsia="en-US"/>
    </w:rPr>
  </w:style>
  <w:style w:type="paragraph" w:customStyle="1" w:styleId="67">
    <w:name w:val="正文_6"/>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8">
    <w:name w:val="正文1"/>
    <w:autoRedefine/>
    <w:qFormat/>
    <w:uiPriority w:val="0"/>
    <w:pPr>
      <w:widowControl w:val="0"/>
      <w:jc w:val="both"/>
    </w:pPr>
    <w:rPr>
      <w:rFonts w:ascii="Calibri" w:hAnsi="Calibri" w:eastAsia="宋体" w:cs="Times New Roman"/>
      <w:lang w:val="en-US" w:eastAsia="zh-CN" w:bidi="ar-SA"/>
    </w:rPr>
  </w:style>
  <w:style w:type="paragraph" w:customStyle="1" w:styleId="69">
    <w:name w:val="列出段落1"/>
    <w:basedOn w:val="1"/>
    <w:autoRedefine/>
    <w:qFormat/>
    <w:uiPriority w:val="0"/>
    <w:pPr>
      <w:ind w:firstLine="420" w:firstLineChars="200"/>
    </w:pPr>
    <w:rPr>
      <w:szCs w:val="21"/>
    </w:rPr>
  </w:style>
  <w:style w:type="paragraph" w:customStyle="1" w:styleId="70">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71">
    <w:name w:val="正文2"/>
    <w:basedOn w:val="1"/>
    <w:qFormat/>
    <w:uiPriority w:val="0"/>
    <w:pPr>
      <w:spacing w:before="156" w:line="360" w:lineRule="auto"/>
      <w:ind w:firstLine="510" w:firstLineChars="200"/>
    </w:pPr>
    <w:rPr>
      <w:sz w:val="24"/>
      <w:szCs w:val="20"/>
    </w:rPr>
  </w:style>
  <w:style w:type="paragraph" w:customStyle="1" w:styleId="72">
    <w:name w:val="Char Char Char Char Char Char Char1 Char"/>
    <w:basedOn w:val="1"/>
    <w:autoRedefine/>
    <w:qFormat/>
    <w:uiPriority w:val="0"/>
    <w:rPr>
      <w:rFonts w:ascii="Arial" w:hAnsi="Arial" w:eastAsia="宋体" w:cs="Arial"/>
      <w:sz w:val="24"/>
    </w:rPr>
  </w:style>
  <w:style w:type="paragraph" w:customStyle="1" w:styleId="73">
    <w:name w:val="正文缩进2格"/>
    <w:basedOn w:val="1"/>
    <w:qFormat/>
    <w:uiPriority w:val="0"/>
    <w:pPr>
      <w:spacing w:line="600" w:lineRule="exact"/>
      <w:ind w:firstLine="639" w:firstLineChars="206"/>
    </w:pPr>
    <w:rPr>
      <w:rFonts w:ascii="仿宋_GB2312" w:hAnsi="宋体" w:eastAsia="仿宋_GB2312"/>
      <w:kern w:val="0"/>
      <w:sz w:val="31"/>
      <w:szCs w:val="20"/>
    </w:rPr>
  </w:style>
  <w:style w:type="paragraph" w:customStyle="1" w:styleId="74">
    <w:name w:val="Normal_0"/>
    <w:qFormat/>
    <w:uiPriority w:val="0"/>
    <w:rPr>
      <w:rFonts w:ascii="Times New Roman" w:hAnsi="Times New Roman" w:eastAsia="Times New Roman" w:cs="Times New Roman"/>
      <w:sz w:val="24"/>
      <w:szCs w:val="24"/>
      <w:lang w:bidi="ar-SA"/>
    </w:rPr>
  </w:style>
  <w:style w:type="character" w:customStyle="1" w:styleId="75">
    <w:name w:val="NormalCharacter"/>
    <w:autoRedefine/>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133</Pages>
  <Words>8089</Words>
  <Characters>8893</Characters>
  <Lines>328</Lines>
  <Paragraphs>92</Paragraphs>
  <TotalTime>13</TotalTime>
  <ScaleCrop>false</ScaleCrop>
  <LinksUpToDate>false</LinksUpToDate>
  <CharactersWithSpaces>9191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2024-01-02T05:57:00Z</dcterms:created>
  <dc:creator>admin</dc:creator>
  <cp:lastModifiedBy>问天问心</cp:lastModifiedBy>
  <cp:lastPrinted>2025-06-18T11:53:00Z</cp:lastPrinted>
  <dcterms:modified xsi:type="dcterms:W3CDTF">2025-07-02T09:36:43Z</dcterms:modified>
  <cp:revision>425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567D064B5D54495C82D4C0326422CF3B_13</vt:lpwstr>
  </property>
  <property fmtid="{D5CDD505-2E9C-101B-9397-08002B2CF9AE}" pid="4" name="KSOTemplateDocerSaveRecord">
    <vt:lpwstr>eyJoZGlkIjoiMjlkM2FkY2VjN2ZiNzU5MDliNzQ1ODFlNjZlOGU0Y2UiLCJ1c2VySWQiOiIzMzExNzU4MzUifQ==</vt:lpwstr>
  </property>
</Properties>
</file>