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7A52B">
      <w:pPr>
        <w:rPr>
          <w:rFonts w:hint="eastAsia" w:ascii="黑体" w:hAnsi="黑体" w:eastAsia="黑体"/>
          <w:color w:val="auto"/>
          <w:sz w:val="32"/>
          <w:szCs w:val="32"/>
          <w:highlight w:val="none"/>
          <w:lang w:eastAsia="zh-CN"/>
        </w:rPr>
      </w:pPr>
    </w:p>
    <w:p w14:paraId="06C72DAE">
      <w:pPr>
        <w:jc w:val="center"/>
        <w:rPr>
          <w:rFonts w:hint="eastAsia" w:ascii="黑体" w:hAnsi="黑体" w:eastAsia="黑体"/>
          <w:color w:val="auto"/>
          <w:spacing w:val="5760"/>
          <w:w w:val="100"/>
          <w:kern w:val="0"/>
          <w:sz w:val="36"/>
          <w:szCs w:val="36"/>
          <w:highlight w:val="none"/>
          <w:fitText w:val="6120" w:id="-1002138880"/>
          <w:lang w:val="en-US" w:eastAsia="zh-CN"/>
        </w:rPr>
      </w:pPr>
    </w:p>
    <w:p w14:paraId="0B001271">
      <w:pPr>
        <w:jc w:val="center"/>
        <w:rPr>
          <w:rFonts w:hint="eastAsia" w:ascii="宋体" w:hAnsi="宋体" w:eastAsia="宋体" w:cs="宋体"/>
          <w:b/>
          <w:bCs/>
          <w:color w:val="auto"/>
          <w:kern w:val="0"/>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兵团政府采购项目</w:t>
      </w:r>
    </w:p>
    <w:p w14:paraId="01CD27AD">
      <w:pPr>
        <w:jc w:val="center"/>
        <w:rPr>
          <w:rFonts w:hint="eastAsia" w:ascii="宋体" w:hAnsi="宋体" w:eastAsia="宋体" w:cs="宋体"/>
          <w:b/>
          <w:bCs/>
          <w:color w:val="auto"/>
          <w:kern w:val="0"/>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公开招标文件示范文本</w:t>
      </w:r>
    </w:p>
    <w:p w14:paraId="2348539C">
      <w:pPr>
        <w:jc w:val="center"/>
        <w:rPr>
          <w:rFonts w:hint="eastAsia" w:ascii="宋体" w:hAnsi="宋体" w:eastAsia="宋体" w:cs="宋体"/>
          <w:b/>
          <w:bCs/>
          <w:color w:val="auto"/>
          <w:kern w:val="0"/>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（服务）</w:t>
      </w:r>
    </w:p>
    <w:p w14:paraId="5DC44D9A">
      <w:pPr>
        <w:jc w:val="center"/>
        <w:rPr>
          <w:rFonts w:hint="eastAsia" w:ascii="宋体" w:hAnsi="宋体" w:eastAsia="宋体" w:cs="宋体"/>
          <w:b/>
          <w:bCs/>
          <w:color w:val="auto"/>
          <w:kern w:val="0"/>
          <w:sz w:val="60"/>
          <w:szCs w:val="60"/>
          <w:highlight w:val="none"/>
          <w:lang w:val="en-US" w:eastAsia="zh-CN"/>
        </w:rPr>
      </w:pPr>
      <w:bookmarkStart w:id="0" w:name="_Hlk164181180"/>
      <w:r>
        <w:rPr>
          <w:rFonts w:hint="eastAsia" w:ascii="宋体" w:hAnsi="宋体" w:eastAsia="宋体" w:cs="宋体"/>
          <w:b/>
          <w:bCs/>
          <w:color w:val="auto"/>
          <w:kern w:val="0"/>
          <w:sz w:val="60"/>
          <w:szCs w:val="60"/>
          <w:highlight w:val="none"/>
          <w:lang w:val="en-US" w:eastAsia="zh-CN"/>
        </w:rPr>
        <w:t>（2025年版）</w:t>
      </w:r>
    </w:p>
    <w:bookmarkEnd w:id="0"/>
    <w:p w14:paraId="7757DFAA">
      <w:pPr>
        <w:spacing w:line="240" w:lineRule="auto"/>
        <w:jc w:val="center"/>
        <w:rPr>
          <w:rFonts w:ascii="黑体" w:hAnsi="黑体" w:eastAsia="黑体"/>
          <w:color w:val="auto"/>
          <w:sz w:val="52"/>
          <w:szCs w:val="52"/>
          <w:highlight w:val="none"/>
        </w:rPr>
      </w:pPr>
    </w:p>
    <w:p w14:paraId="67E856E7">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5B5CFFCE">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项目编号/包号：</w:t>
      </w:r>
      <w:r>
        <w:rPr>
          <w:rFonts w:hint="eastAsia" w:ascii="宋体" w:hAnsi="宋体" w:eastAsia="宋体" w:cs="宋体"/>
          <w:color w:val="auto"/>
          <w:sz w:val="36"/>
          <w:szCs w:val="36"/>
          <w:highlight w:val="none"/>
          <w:u w:val="single"/>
        </w:rPr>
        <w:t>B3S53T[2025]17号</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F7FEE2E">
      <w:pPr>
        <w:ind w:left="420" w:leftChars="175"/>
        <w:rPr>
          <w:rFonts w:hint="eastAsia" w:ascii="宋体" w:hAnsi="宋体" w:eastAsia="宋体" w:cs="宋体"/>
          <w:color w:val="auto"/>
          <w:sz w:val="36"/>
          <w:szCs w:val="36"/>
          <w:highlight w:val="none"/>
          <w:u w:val="single"/>
        </w:rPr>
      </w:pPr>
      <w:r>
        <w:rPr>
          <w:rFonts w:hint="eastAsia" w:cs="宋体"/>
          <w:color w:val="auto"/>
          <w:sz w:val="36"/>
          <w:szCs w:val="36"/>
          <w:highlight w:val="none"/>
          <w:lang w:eastAsia="zh-CN"/>
        </w:rPr>
        <w:t>项目名称：</w:t>
      </w:r>
      <w:r>
        <w:rPr>
          <w:rFonts w:hint="eastAsia" w:ascii="宋体" w:hAnsi="宋体" w:eastAsia="宋体" w:cs="宋体"/>
          <w:color w:val="auto"/>
          <w:sz w:val="36"/>
          <w:szCs w:val="36"/>
          <w:highlight w:val="none"/>
          <w:u w:val="single"/>
        </w:rPr>
        <w:t>五十三团城镇建设和生态保护中心采购</w:t>
      </w:r>
    </w:p>
    <w:p w14:paraId="099C4CDE">
      <w:pPr>
        <w:ind w:left="420" w:leftChars="175" w:firstLine="1800" w:firstLineChars="500"/>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u w:val="single"/>
        </w:rPr>
        <w:t>集中供热运营服务</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5024ED6">
      <w:pPr>
        <w:ind w:left="420" w:leftChars="175"/>
        <w:rPr>
          <w:rFonts w:hint="eastAsia" w:ascii="宋体" w:hAnsi="宋体" w:eastAsia="宋体" w:cs="宋体"/>
          <w:color w:val="auto"/>
          <w:sz w:val="36"/>
          <w:szCs w:val="36"/>
          <w:highlight w:val="none"/>
          <w:u w:val="singl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新疆生产建设兵团第三师五十三团城镇</w:t>
      </w:r>
    </w:p>
    <w:p w14:paraId="316ED0D4">
      <w:pPr>
        <w:ind w:left="420" w:leftChars="175" w:firstLine="1800" w:firstLineChars="500"/>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u w:val="single"/>
        </w:rPr>
        <w:t>建设和生态保护中心</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5B2AE1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w:t>
      </w:r>
      <w:r>
        <w:rPr>
          <w:rFonts w:hint="eastAsia" w:cs="宋体"/>
          <w:color w:val="auto"/>
          <w:sz w:val="36"/>
          <w:szCs w:val="36"/>
          <w:highlight w:val="none"/>
          <w:u w:val="single"/>
          <w:lang w:val="en-US" w:eastAsia="zh-CN"/>
        </w:rPr>
        <w:t xml:space="preserve">图木舒克佳禾工程咨询有限公司 </w:t>
      </w:r>
      <w:r>
        <w:rPr>
          <w:rFonts w:hint="eastAsia" w:ascii="宋体" w:hAnsi="宋体" w:eastAsia="宋体" w:cs="宋体"/>
          <w:color w:val="auto"/>
          <w:sz w:val="36"/>
          <w:szCs w:val="36"/>
          <w:highlight w:val="none"/>
          <w:u w:val="single"/>
        </w:rPr>
        <w:t xml:space="preserve"> </w:t>
      </w:r>
    </w:p>
    <w:p w14:paraId="351C4D59">
      <w:pPr>
        <w:rPr>
          <w:rFonts w:ascii="黑体" w:hAnsi="黑体" w:eastAsia="黑体"/>
          <w:color w:val="auto"/>
          <w:highlight w:val="none"/>
        </w:rPr>
      </w:pPr>
    </w:p>
    <w:p w14:paraId="320C1BF6">
      <w:pPr>
        <w:ind w:left="42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3B2CDAF9">
      <w:pPr>
        <w:jc w:val="center"/>
        <w:rPr>
          <w:rFonts w:hint="eastAsia" w:ascii="黑体" w:hAnsi="黑体" w:eastAsia="黑体"/>
          <w:color w:val="auto"/>
          <w:sz w:val="48"/>
          <w:szCs w:val="48"/>
          <w:highlight w:val="none"/>
        </w:rPr>
      </w:pPr>
    </w:p>
    <w:p w14:paraId="309B13BD">
      <w:pPr>
        <w:jc w:val="center"/>
        <w:rPr>
          <w:rFonts w:hint="eastAsia" w:ascii="黑体" w:hAnsi="黑体" w:eastAsia="黑体"/>
          <w:color w:val="auto"/>
          <w:sz w:val="48"/>
          <w:szCs w:val="48"/>
          <w:highlight w:val="none"/>
        </w:rPr>
      </w:pPr>
    </w:p>
    <w:p w14:paraId="67540CEC">
      <w:pPr>
        <w:jc w:val="center"/>
        <w:rPr>
          <w:rFonts w:hint="eastAsia" w:ascii="黑体" w:hAnsi="黑体" w:eastAsia="黑体"/>
          <w:color w:val="auto"/>
          <w:sz w:val="48"/>
          <w:szCs w:val="48"/>
          <w:highlight w:val="none"/>
        </w:rPr>
      </w:pPr>
    </w:p>
    <w:p w14:paraId="0BD23774">
      <w:pPr>
        <w:jc w:val="center"/>
        <w:rPr>
          <w:rFonts w:hint="eastAsia" w:ascii="黑体" w:hAnsi="黑体" w:eastAsia="黑体"/>
          <w:color w:val="auto"/>
          <w:sz w:val="48"/>
          <w:szCs w:val="48"/>
          <w:highlight w:val="none"/>
        </w:rPr>
      </w:pPr>
    </w:p>
    <w:p w14:paraId="67C7136D">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使用说明</w:t>
      </w:r>
    </w:p>
    <w:p w14:paraId="7756ACDC">
      <w:pPr>
        <w:pStyle w:val="38"/>
        <w:rPr>
          <w:rFonts w:hint="eastAsia" w:ascii="黑体" w:hAnsi="黑体" w:eastAsia="黑体"/>
          <w:color w:val="auto"/>
          <w:sz w:val="72"/>
          <w:szCs w:val="72"/>
          <w:highlight w:val="none"/>
        </w:rPr>
      </w:pPr>
    </w:p>
    <w:p w14:paraId="1560DCC4">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zh-CN"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为促进政府采购活动的公开、公平和公正进行，进一步优化新疆生产建设兵团政府采购营商环境，提高招标文件编制质量和采购工作效率，根据政府采购有关法律法规及政策要求，会同有关单位研究制定了《兵团政府采购项目公开招标文件示范文本（试行）（2025年版）》（以下简称《示范文本》），并在兵团政府采购项目中推广使用，</w:t>
      </w:r>
      <w:r>
        <w:rPr>
          <w:rFonts w:hint="eastAsia" w:ascii="仿宋" w:hAnsi="仿宋" w:eastAsia="宋体" w:cs="仿宋"/>
          <w:iCs/>
          <w:color w:val="auto"/>
          <w:kern w:val="2"/>
          <w:sz w:val="32"/>
          <w:szCs w:val="24"/>
          <w:highlight w:val="none"/>
          <w:shd w:val="clear" w:color="auto" w:fill="FFFFFF" w:themeFill="background1"/>
          <w:lang w:val="zh-CN" w:eastAsia="zh-CN" w:bidi="ar-SA"/>
        </w:rPr>
        <w:t>特此说明如下：</w:t>
      </w:r>
    </w:p>
    <w:p w14:paraId="762D3896">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一、适用范围</w:t>
      </w:r>
    </w:p>
    <w:p w14:paraId="28837969">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zh-CN" w:eastAsia="zh-CN" w:bidi="ar-SA"/>
        </w:rPr>
      </w:pPr>
      <w:r>
        <w:rPr>
          <w:rFonts w:hint="eastAsia" w:ascii="仿宋" w:hAnsi="仿宋" w:eastAsia="宋体" w:cs="仿宋"/>
          <w:iCs/>
          <w:color w:val="auto"/>
          <w:kern w:val="2"/>
          <w:sz w:val="32"/>
          <w:szCs w:val="24"/>
          <w:highlight w:val="none"/>
          <w:shd w:val="clear" w:color="auto" w:fill="FFFFFF" w:themeFill="background1"/>
          <w:lang w:val="zh-CN" w:eastAsia="zh-CN" w:bidi="ar-SA"/>
        </w:rPr>
        <w:t>《示范文本》适用于</w:t>
      </w:r>
      <w:r>
        <w:rPr>
          <w:rFonts w:hint="eastAsia" w:ascii="仿宋" w:hAnsi="仿宋" w:eastAsia="宋体" w:cs="仿宋"/>
          <w:iCs/>
          <w:color w:val="auto"/>
          <w:kern w:val="2"/>
          <w:sz w:val="32"/>
          <w:szCs w:val="24"/>
          <w:highlight w:val="none"/>
          <w:shd w:val="clear" w:color="auto" w:fill="FFFFFF" w:themeFill="background1"/>
          <w:lang w:val="en-US" w:eastAsia="zh-CN" w:bidi="ar-SA"/>
        </w:rPr>
        <w:t>兵团</w:t>
      </w:r>
      <w:r>
        <w:rPr>
          <w:rFonts w:hint="eastAsia" w:ascii="仿宋" w:hAnsi="仿宋" w:eastAsia="宋体" w:cs="仿宋"/>
          <w:iCs/>
          <w:color w:val="auto"/>
          <w:kern w:val="2"/>
          <w:sz w:val="32"/>
          <w:szCs w:val="24"/>
          <w:highlight w:val="none"/>
          <w:shd w:val="clear" w:color="auto" w:fill="FFFFFF" w:themeFill="background1"/>
          <w:lang w:val="zh-CN" w:eastAsia="zh-CN" w:bidi="ar-SA"/>
        </w:rPr>
        <w:t>政府采购项目。</w:t>
      </w:r>
    </w:p>
    <w:p w14:paraId="42BB8292">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二、使用规则</w:t>
      </w:r>
    </w:p>
    <w:p w14:paraId="7FBD95E1">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1.条款中以空格和下划横线“   ”形式标记的部分，为采购人或采购代理机构需要填写的内容。采购人或采购代理机构应根据</w:t>
      </w:r>
      <w:r>
        <w:rPr>
          <w:rFonts w:hint="eastAsia" w:ascii="仿宋" w:hAnsi="仿宋" w:eastAsia="宋体" w:cs="仿宋"/>
          <w:iCs/>
          <w:color w:val="auto"/>
          <w:kern w:val="2"/>
          <w:sz w:val="32"/>
          <w:szCs w:val="24"/>
          <w:highlight w:val="none"/>
          <w:shd w:val="clear" w:color="auto" w:fill="FFFFFF" w:themeFill="background1"/>
          <w:lang w:val="zh-CN" w:eastAsia="zh-CN" w:bidi="ar-SA"/>
        </w:rPr>
        <w:t>国家和</w:t>
      </w:r>
      <w:r>
        <w:rPr>
          <w:rFonts w:hint="eastAsia" w:ascii="仿宋" w:hAnsi="仿宋" w:eastAsia="宋体" w:cs="仿宋"/>
          <w:iCs/>
          <w:color w:val="auto"/>
          <w:kern w:val="2"/>
          <w:sz w:val="32"/>
          <w:szCs w:val="24"/>
          <w:highlight w:val="none"/>
          <w:shd w:val="clear" w:color="auto" w:fill="FFFFFF" w:themeFill="background1"/>
          <w:lang w:val="en-US" w:eastAsia="zh-CN" w:bidi="ar-SA"/>
        </w:rPr>
        <w:t>兵团</w:t>
      </w:r>
      <w:r>
        <w:rPr>
          <w:rFonts w:hint="eastAsia" w:ascii="仿宋" w:hAnsi="仿宋" w:eastAsia="宋体" w:cs="仿宋"/>
          <w:iCs/>
          <w:color w:val="auto"/>
          <w:kern w:val="2"/>
          <w:sz w:val="32"/>
          <w:szCs w:val="24"/>
          <w:highlight w:val="none"/>
          <w:shd w:val="clear" w:color="auto" w:fill="FFFFFF" w:themeFill="background1"/>
          <w:lang w:val="zh-CN" w:eastAsia="zh-CN" w:bidi="ar-SA"/>
        </w:rPr>
        <w:t>有关法律法规的规定、</w:t>
      </w:r>
      <w:r>
        <w:rPr>
          <w:rFonts w:hint="eastAsia" w:ascii="仿宋" w:hAnsi="仿宋" w:eastAsia="宋体" w:cs="仿宋"/>
          <w:iCs/>
          <w:color w:val="auto"/>
          <w:kern w:val="2"/>
          <w:sz w:val="32"/>
          <w:szCs w:val="24"/>
          <w:highlight w:val="none"/>
          <w:shd w:val="clear" w:color="auto" w:fill="FFFFFF" w:themeFill="background1"/>
          <w:lang w:val="en-US" w:eastAsia="zh-CN" w:bidi="ar-SA"/>
        </w:rPr>
        <w:t>采购项目具体特点和实际需要进行具体化填写，确实没有需要填写的，在空格或下划横线“   ”中用“/”标记。</w:t>
      </w:r>
    </w:p>
    <w:p w14:paraId="4E121B87">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zh-CN"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2.条款中以“□”形式标记的内容，为采购人或采购代理机构需要确定的选项。编制招标文件时，适用于本项目的选项标记为“</w:t>
      </w:r>
      <w:r>
        <w:rPr>
          <w:rFonts w:hint="eastAsia" w:ascii="仿宋" w:hAnsi="仿宋" w:eastAsia="宋体" w:cs="仿宋"/>
          <w:iCs/>
          <w:color w:val="auto"/>
          <w:kern w:val="2"/>
          <w:sz w:val="32"/>
          <w:szCs w:val="24"/>
          <w:highlight w:val="none"/>
          <w:shd w:val="clear" w:color="auto" w:fill="FFFFFF" w:themeFill="background1"/>
          <w:lang w:val="en-US" w:eastAsia="zh-CN" w:bidi="ar-SA"/>
        </w:rPr>
        <w:sym w:font="Wingdings 2" w:char="0052"/>
      </w:r>
      <w:r>
        <w:rPr>
          <w:rFonts w:hint="eastAsia" w:ascii="仿宋" w:hAnsi="仿宋" w:eastAsia="宋体" w:cs="仿宋"/>
          <w:iCs/>
          <w:color w:val="auto"/>
          <w:kern w:val="2"/>
          <w:sz w:val="32"/>
          <w:szCs w:val="24"/>
          <w:highlight w:val="none"/>
          <w:shd w:val="clear" w:color="auto" w:fill="FFFFFF" w:themeFill="background1"/>
          <w:lang w:val="en-US" w:eastAsia="zh-CN" w:bidi="ar-SA"/>
        </w:rPr>
        <w:t>”，不适用于本项目的选项标记为“□”。</w:t>
      </w:r>
    </w:p>
    <w:p w14:paraId="562A1BFC">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三、提示说明</w:t>
      </w:r>
    </w:p>
    <w:p w14:paraId="72AB7316">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1.《示范文本》中“【】”形式标记的内容，属于提示编制采购文件的注意事项，在交易系统中制作采购文件模板时，有关“【】”内的提示内容应予以删除。</w:t>
      </w:r>
    </w:p>
    <w:p w14:paraId="03D37BD1">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default"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2.不适用的内容及相关章节应予以删除。</w:t>
      </w:r>
    </w:p>
    <w:p w14:paraId="3A26A745">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四、投标人须知前附表说明</w:t>
      </w:r>
    </w:p>
    <w:p w14:paraId="7942F6BE">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1.为了便于投标人高效阅览、避免遗漏重点内容，《示范文本》对第二章“投标人须知”设置了表格形式。“投标人须知前附表”用于进一步明确“投标人须知”正文中的未尽事宜，采购人或采购代理机构在编制采购文件时，应根据采购项目实际需要，对于需要修改和补充的内容在前附表中选择和补充列明。“投标人须知前附表”与“投标人须知”正文内容不一致的，以“投标人须知前附表”为准。</w:t>
      </w:r>
    </w:p>
    <w:p w14:paraId="27B779F7">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2.为避免采购文件编制过程中出现的相同内容在文件中前后不一致等错误，采购文件尽量做到相同内容只出现一次，其他章节涉及有关内容的，以标明条款号引用的方式体现。</w:t>
      </w:r>
    </w:p>
    <w:p w14:paraId="59BBA1CA">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 xml:space="preserve">3.《示范文本》第二章中“投标人须知前附表”所列条款号与“投标人须知正文”的序号一一对应。  </w:t>
      </w:r>
    </w:p>
    <w:p w14:paraId="6C447BDE">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五、采购需求</w:t>
      </w:r>
    </w:p>
    <w:p w14:paraId="2F77B775">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示范文本》在第三章“采购需求”部分列出了需求大纲供采购人或采购代理机构参考。采购清单部分格式应按照采购文件的要求进行编制，以保证结构化数据的统一。同一个采购包中的采购清单，应采用统一的价款形式。</w:t>
      </w:r>
    </w:p>
    <w:p w14:paraId="7DCB88FF">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六、合同文本</w:t>
      </w:r>
    </w:p>
    <w:p w14:paraId="7F46068E">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示范文本》中的合同仅用于参考。采购人或采购代理机构应当依据《中华人民共和国民法典》等有关法律法规和政策要求，结合采购项目合同类型和特点，规范拟定和签署项目采购合同。在拟定合同文本时，应优先选择国家或行业制定推荐的有关标准或示范合同文本。</w:t>
      </w:r>
    </w:p>
    <w:p w14:paraId="655754F7">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七、投标文件格式使用</w:t>
      </w:r>
    </w:p>
    <w:p w14:paraId="785E2B4F">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1.为便于投标人制作投标文件，便于评标委员会评审时统一标准，《示范文本》对适宜的内容提供了统一的投标文件参考格式。</w:t>
      </w:r>
    </w:p>
    <w:p w14:paraId="52FCF538">
      <w:pPr>
        <w:keepNext w:val="0"/>
        <w:keepLines w:val="0"/>
        <w:pageBreakBefore w:val="0"/>
        <w:widowControl w:val="0"/>
        <w:kinsoku/>
        <w:overflowPunct/>
        <w:topLinePunct w:val="0"/>
        <w:autoSpaceDE/>
        <w:autoSpaceDN/>
        <w:bidi w:val="0"/>
        <w:adjustRightInd/>
        <w:snapToGrid/>
        <w:ind w:firstLine="643" w:firstLineChars="200"/>
        <w:textAlignment w:val="auto"/>
        <w:rPr>
          <w:rFonts w:hint="eastAsia" w:ascii="黑体" w:hAnsi="黑体" w:eastAsia="黑体" w:cs="黑体"/>
          <w:b/>
          <w:bCs/>
          <w:color w:val="auto"/>
          <w:sz w:val="32"/>
          <w:szCs w:val="24"/>
          <w:highlight w:val="none"/>
          <w:lang w:val="en-US" w:eastAsia="zh-CN"/>
        </w:rPr>
      </w:pPr>
      <w:r>
        <w:rPr>
          <w:rFonts w:hint="eastAsia" w:ascii="黑体" w:hAnsi="黑体" w:eastAsia="黑体" w:cs="黑体"/>
          <w:b/>
          <w:bCs/>
          <w:color w:val="auto"/>
          <w:sz w:val="32"/>
          <w:szCs w:val="24"/>
          <w:highlight w:val="none"/>
          <w:lang w:val="en-US" w:eastAsia="zh-CN"/>
        </w:rPr>
        <w:t>八、实施及修改</w:t>
      </w:r>
    </w:p>
    <w:p w14:paraId="511C742F">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各级预算单位、采购代理机构认真组织好《示范文本》的推广使用。兵团财政局根据《中华人民共和国政府采购法》修法及相关法律法规修订情况及时对《示范文本》进行调整、完善。</w:t>
      </w:r>
    </w:p>
    <w:p w14:paraId="34DEE96E">
      <w:pPr>
        <w:pStyle w:val="13"/>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宋体" w:cs="仿宋"/>
          <w:iCs/>
          <w:color w:val="auto"/>
          <w:kern w:val="2"/>
          <w:sz w:val="32"/>
          <w:szCs w:val="24"/>
          <w:highlight w:val="none"/>
          <w:shd w:val="clear" w:color="auto" w:fill="FFFFFF" w:themeFill="background1"/>
          <w:lang w:val="en-US" w:eastAsia="zh-CN" w:bidi="ar-SA"/>
        </w:rPr>
      </w:pPr>
      <w:r>
        <w:rPr>
          <w:rFonts w:hint="eastAsia" w:ascii="仿宋" w:hAnsi="仿宋" w:eastAsia="宋体" w:cs="仿宋"/>
          <w:iCs/>
          <w:color w:val="auto"/>
          <w:kern w:val="2"/>
          <w:sz w:val="32"/>
          <w:szCs w:val="24"/>
          <w:highlight w:val="none"/>
          <w:shd w:val="clear" w:color="auto" w:fill="FFFFFF" w:themeFill="background1"/>
          <w:lang w:val="en-US" w:eastAsia="zh-CN" w:bidi="ar-SA"/>
        </w:rPr>
        <w:t>采购人或代理机构可结合具体项目特点，依法对采购文件进行适当合理调整。</w:t>
      </w:r>
    </w:p>
    <w:p w14:paraId="12A9B852">
      <w:pPr>
        <w:pStyle w:val="39"/>
        <w:ind w:firstLine="640"/>
        <w:rPr>
          <w:color w:val="auto"/>
          <w:highlight w:val="none"/>
        </w:rPr>
      </w:pPr>
    </w:p>
    <w:p w14:paraId="741B0E28">
      <w:pPr>
        <w:pStyle w:val="38"/>
        <w:rPr>
          <w:rFonts w:hint="eastAsia" w:ascii="黑体" w:hAnsi="黑体" w:eastAsia="黑体"/>
          <w:color w:val="auto"/>
          <w:sz w:val="72"/>
          <w:szCs w:val="72"/>
          <w:highlight w:val="none"/>
        </w:rPr>
        <w:sectPr>
          <w:headerReference r:id="rId5" w:type="default"/>
          <w:pgSz w:w="11906" w:h="16838"/>
          <w:pgMar w:top="1440" w:right="1800" w:bottom="1440" w:left="1800" w:header="851" w:footer="879" w:gutter="0"/>
          <w:pgBorders>
            <w:top w:val="none" w:sz="0" w:space="0"/>
            <w:left w:val="none" w:sz="0" w:space="0"/>
            <w:bottom w:val="none" w:sz="0" w:space="0"/>
            <w:right w:val="none" w:sz="0" w:space="0"/>
          </w:pgBorders>
          <w:cols w:space="0" w:num="1"/>
          <w:rtlGutter w:val="0"/>
          <w:docGrid w:type="lines" w:linePitch="312" w:charSpace="0"/>
        </w:sect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14:paraId="1454D4D3">
      <w:pPr>
        <w:pStyle w:val="23"/>
        <w:keepNext w:val="0"/>
        <w:keepLines w:val="0"/>
        <w:pageBreakBefore w:val="0"/>
        <w:widowControl w:val="0"/>
        <w:tabs>
          <w:tab w:val="left" w:pos="960"/>
          <w:tab w:val="right" w:leader="dot" w:pos="8296"/>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E6B32F0">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 TOC \o "1-4" \h \z \u </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_Toc7253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 xml:space="preserve">第一章 </w:t>
      </w:r>
      <w:r>
        <w:rPr>
          <w:rFonts w:hint="eastAsia" w:ascii="宋体" w:hAnsi="宋体" w:eastAsia="宋体" w:cs="宋体"/>
          <w:i w:val="0"/>
          <w:iCs w:val="0"/>
          <w:sz w:val="21"/>
          <w:szCs w:val="21"/>
          <w:highlight w:val="none"/>
          <w:lang w:val="en-US" w:eastAsia="zh-CN"/>
        </w:rPr>
        <w:t>招标公告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_Toc7253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D3BBD31">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_Toc17451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项目概况：</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_Toc17451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E4B0B5">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_Toc4584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hr-HR" w:eastAsia="zh-CN" w:bidi="ar-SA"/>
        </w:rPr>
        <w:t>一、项目基本情况</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_Toc4584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6A7A449">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_Toc6051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二、申请</w:t>
      </w:r>
      <w:r>
        <w:rPr>
          <w:rFonts w:hint="eastAsia" w:ascii="宋体" w:hAnsi="宋体" w:eastAsia="宋体" w:cs="宋体"/>
          <w:bCs/>
          <w:i w:val="0"/>
          <w:iCs w:val="0"/>
          <w:kern w:val="2"/>
          <w:sz w:val="21"/>
          <w:szCs w:val="21"/>
          <w:highlight w:val="none"/>
          <w:lang w:val="hr-HR" w:eastAsia="zh-CN" w:bidi="ar-SA"/>
        </w:rPr>
        <w:t>人</w:t>
      </w:r>
      <w:r>
        <w:rPr>
          <w:rFonts w:hint="eastAsia" w:ascii="宋体" w:hAnsi="宋体" w:eastAsia="宋体" w:cs="宋体"/>
          <w:bCs/>
          <w:i w:val="0"/>
          <w:iCs w:val="0"/>
          <w:kern w:val="2"/>
          <w:sz w:val="21"/>
          <w:szCs w:val="21"/>
          <w:highlight w:val="none"/>
          <w:lang w:val="en-US" w:eastAsia="zh-CN" w:bidi="ar-SA"/>
        </w:rPr>
        <w:t>的</w:t>
      </w:r>
      <w:r>
        <w:rPr>
          <w:rFonts w:hint="eastAsia" w:ascii="宋体" w:hAnsi="宋体" w:eastAsia="宋体" w:cs="宋体"/>
          <w:bCs/>
          <w:i w:val="0"/>
          <w:iCs w:val="0"/>
          <w:kern w:val="2"/>
          <w:sz w:val="21"/>
          <w:szCs w:val="21"/>
          <w:highlight w:val="none"/>
          <w:lang w:val="hr-HR" w:eastAsia="zh-CN" w:bidi="ar-SA"/>
        </w:rPr>
        <w:t>资格要求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_Toc6051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DD07482">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_Toc15759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w:t>
      </w:r>
      <w:r>
        <w:rPr>
          <w:rFonts w:hint="eastAsia" w:ascii="宋体" w:hAnsi="宋体" w:eastAsia="宋体" w:cs="宋体"/>
          <w:bCs/>
          <w:i w:val="0"/>
          <w:iCs w:val="0"/>
          <w:kern w:val="2"/>
          <w:sz w:val="21"/>
          <w:szCs w:val="21"/>
          <w:highlight w:val="none"/>
          <w:lang w:val="hr-HR" w:eastAsia="zh-CN" w:bidi="ar-SA"/>
        </w:rPr>
        <w:t>获取招标文件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_Toc15759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4B9AD56">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_Toc23198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w:t>
      </w:r>
      <w:r>
        <w:rPr>
          <w:rFonts w:hint="eastAsia" w:ascii="宋体" w:hAnsi="宋体" w:eastAsia="宋体" w:cs="宋体"/>
          <w:bCs/>
          <w:i w:val="0"/>
          <w:iCs w:val="0"/>
          <w:kern w:val="2"/>
          <w:sz w:val="21"/>
          <w:szCs w:val="21"/>
          <w:highlight w:val="none"/>
          <w:lang w:val="hr-HR" w:eastAsia="zh-CN" w:bidi="ar-SA"/>
        </w:rPr>
        <w:t>提交投标文件截止时间</w:t>
      </w:r>
      <w:r>
        <w:rPr>
          <w:rFonts w:hint="eastAsia" w:ascii="宋体" w:hAnsi="宋体" w:eastAsia="宋体" w:cs="宋体"/>
          <w:bCs/>
          <w:i w:val="0"/>
          <w:iCs w:val="0"/>
          <w:kern w:val="2"/>
          <w:sz w:val="21"/>
          <w:szCs w:val="21"/>
          <w:highlight w:val="none"/>
          <w:lang w:val="en-US" w:eastAsia="zh-CN" w:bidi="ar-SA"/>
        </w:rPr>
        <w:t>/</w:t>
      </w:r>
      <w:r>
        <w:rPr>
          <w:rFonts w:hint="eastAsia" w:ascii="宋体" w:hAnsi="宋体" w:eastAsia="宋体" w:cs="宋体"/>
          <w:bCs/>
          <w:i w:val="0"/>
          <w:iCs w:val="0"/>
          <w:kern w:val="2"/>
          <w:sz w:val="21"/>
          <w:szCs w:val="21"/>
          <w:highlight w:val="none"/>
          <w:lang w:val="hr-HR" w:eastAsia="zh-CN" w:bidi="ar-SA"/>
        </w:rPr>
        <w:t>开标时间、递交方式和</w:t>
      </w:r>
      <w:r>
        <w:rPr>
          <w:rFonts w:hint="eastAsia" w:ascii="宋体" w:hAnsi="宋体" w:eastAsia="宋体" w:cs="宋体"/>
          <w:bCs/>
          <w:i w:val="0"/>
          <w:iCs w:val="0"/>
          <w:kern w:val="2"/>
          <w:sz w:val="21"/>
          <w:szCs w:val="21"/>
          <w:highlight w:val="none"/>
          <w:lang w:val="en-US" w:eastAsia="zh-CN" w:bidi="ar-SA"/>
        </w:rPr>
        <w:t>开标</w:t>
      </w:r>
      <w:r>
        <w:rPr>
          <w:rFonts w:hint="eastAsia" w:ascii="宋体" w:hAnsi="宋体" w:eastAsia="宋体" w:cs="宋体"/>
          <w:bCs/>
          <w:i w:val="0"/>
          <w:iCs w:val="0"/>
          <w:kern w:val="2"/>
          <w:sz w:val="21"/>
          <w:szCs w:val="21"/>
          <w:highlight w:val="none"/>
          <w:lang w:val="hr-HR" w:eastAsia="zh-CN" w:bidi="ar-SA"/>
        </w:rPr>
        <w:t>地点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_Toc23198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71DAC85">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_Toc31341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五、</w:t>
      </w:r>
      <w:r>
        <w:rPr>
          <w:rFonts w:hint="eastAsia" w:ascii="宋体" w:hAnsi="宋体" w:eastAsia="宋体" w:cs="宋体"/>
          <w:bCs/>
          <w:i w:val="0"/>
          <w:iCs w:val="0"/>
          <w:kern w:val="2"/>
          <w:sz w:val="21"/>
          <w:szCs w:val="21"/>
          <w:highlight w:val="none"/>
          <w:lang w:val="hr-HR" w:eastAsia="zh-CN" w:bidi="ar-SA"/>
        </w:rPr>
        <w:t>公告期限</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_Toc31341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5AEA543">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_Toc3011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六、</w:t>
      </w:r>
      <w:r>
        <w:rPr>
          <w:rFonts w:hint="eastAsia" w:ascii="宋体" w:hAnsi="宋体" w:eastAsia="宋体" w:cs="宋体"/>
          <w:bCs/>
          <w:i w:val="0"/>
          <w:iCs w:val="0"/>
          <w:kern w:val="2"/>
          <w:sz w:val="21"/>
          <w:szCs w:val="21"/>
          <w:highlight w:val="none"/>
          <w:lang w:val="hr-HR" w:eastAsia="zh-CN" w:bidi="ar-SA"/>
        </w:rPr>
        <w:t>其他补充事宜</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_Toc3011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AE24099">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_Toc17512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七、</w:t>
      </w:r>
      <w:r>
        <w:rPr>
          <w:rFonts w:hint="eastAsia" w:ascii="宋体" w:hAnsi="宋体" w:eastAsia="宋体" w:cs="宋体"/>
          <w:bCs/>
          <w:i w:val="0"/>
          <w:iCs w:val="0"/>
          <w:kern w:val="2"/>
          <w:sz w:val="21"/>
          <w:szCs w:val="21"/>
          <w:highlight w:val="none"/>
          <w:lang w:val="hr-HR" w:eastAsia="zh-CN" w:bidi="ar-SA"/>
        </w:rPr>
        <w:t>对本次</w:t>
      </w:r>
      <w:r>
        <w:rPr>
          <w:rFonts w:hint="eastAsia" w:ascii="宋体" w:hAnsi="宋体" w:eastAsia="宋体" w:cs="宋体"/>
          <w:bCs/>
          <w:i w:val="0"/>
          <w:iCs w:val="0"/>
          <w:kern w:val="2"/>
          <w:sz w:val="21"/>
          <w:szCs w:val="21"/>
          <w:highlight w:val="none"/>
          <w:lang w:val="en-US" w:eastAsia="zh-CN" w:bidi="ar-SA"/>
        </w:rPr>
        <w:t>招标</w:t>
      </w:r>
      <w:r>
        <w:rPr>
          <w:rFonts w:hint="eastAsia" w:ascii="宋体" w:hAnsi="宋体" w:eastAsia="宋体" w:cs="宋体"/>
          <w:bCs/>
          <w:i w:val="0"/>
          <w:iCs w:val="0"/>
          <w:kern w:val="2"/>
          <w:sz w:val="21"/>
          <w:szCs w:val="21"/>
          <w:highlight w:val="none"/>
          <w:lang w:val="hr-HR" w:eastAsia="zh-CN" w:bidi="ar-SA"/>
        </w:rPr>
        <w:t>提出询问，请按以下方式联系</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_Toc17512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2F27E4C">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_Toc22451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第二章 投标人须知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_Toc22451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592DD89">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_Toc7311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一、投标人须知前附表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_Toc7311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1928788">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_Toc28270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二、投标人须知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_Toc28270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3E7B799">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_Toc364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（一）总则</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_Toc364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907121C">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_Toc12498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1.适用范围</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_Toc12498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CB842E7">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_Toc8946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2.基本定义</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_Toc8946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5E327EA">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_Toc24398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3.资金来源</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_Toc24398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229C35C">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_Toc30452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4.投标人资格要求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_Toc30452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572CD62">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_Toc31489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5.费用承担</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_Toc31489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D49A2A2">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_Toc14923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6.保密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_Toc14923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9411715">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_Toc21712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7.语言文字</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_Toc21712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B3B87F6">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_Toc3078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8.计量单位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_Toc3078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1A632CD">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_Toc25154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9.现场考察和答疑会</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_Toc25154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0A6165A">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_Toc31591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10.电子投标说明</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_Toc31591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11</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F24FE9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_Toc28190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（二）招标文件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_Toc28190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12</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DAE3FF3">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_Toc26231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11.招标文件的组成</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_Toc26231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12</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F3FD793">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_Toc11042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12.招标文件的询问、澄清或者修改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_Toc11042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12</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0E3C1E1">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_Toc13935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（三）投标文件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_Toc13935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CC25CD4">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_Toc8526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13.投标文件的组成</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_Toc8526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44A7399">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_Toc12370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14.投标报价</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_Toc12370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8AE6CCA">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_Toc29327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15.投标有效期</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_Toc29327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14</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D60B137">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_Toc874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16.投标文件的编制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_Toc874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15</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F5A7790">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_Toc6616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（四）投标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_Toc6616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EC101EC">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_Toc19582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17.投标保证金</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_Toc19582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8813B98">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_Toc8170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18.投标文件的加密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_Toc8170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216A4F3">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_Toc15363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19.投标文件的递交（上传）</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_Toc15363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E27EC9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_Toc23374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20.拒收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_Toc23374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18</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E015EA4">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_Toc16026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21.投标文件的修改与撤回</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_Toc16026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8D23932">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_Toc15709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22.实物样品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_Toc15709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096F68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_Toc17036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23.演示</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_Toc17036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678D0C3">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_Toc31815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（五）开标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_Toc31815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F1E4EB2">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_Toc18988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24.开标会议</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_Toc18988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D48C5D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_Toc10863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25.开标程序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_Toc10863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7A32229">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_Toc14916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26.开标疑义及回避情形</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_Toc14916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87B3338">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_Toc3485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（六）资格审查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_Toc3485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3757175">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_Toc3323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27.资格审查及审查主体</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_Toc3323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0991366">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_Toc23765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（七）评标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_Toc23765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DF1765E">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_Toc5333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28.评标委员会</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_Toc5333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109E93E">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_Toc472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29.评标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_Toc472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21</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3B85B06">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_Toc6329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（八）中标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_Toc6329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22</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89C027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_Toc9099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30.确定中标人</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_Toc9099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22</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8E8BA9E">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_Toc6433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31.中标结果公告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_Toc6433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84CA11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_Toc10473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32.中标通知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_Toc10473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1CF8BC6">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_Toc20453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（九）签订合同</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_Toc20453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BDFA27C">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_Toc8228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33.履约保证金</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_Toc8228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6788064">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_Toc18238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34.签订合同</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_Toc18238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4AE3C4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_Toc5148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（十）质疑和投诉</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_Toc5148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24</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A3B9C3B">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_Toc2544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35.质疑</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_Toc2544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24</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04DAA8E">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_Toc27231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36.质疑答复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_Toc27231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25</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52C7F08">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_Toc15807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37.投诉</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_Toc15807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25</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816E281">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_Toc30280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（十一）采购代理服务费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_Toc30280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4F9F527">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_Toc17055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38.收取方式和标准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_Toc17055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4BD9300">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_Toc4602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（十二）无效投标和废标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_Toc4602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04DD056">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_Toc1078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39.无效投标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_Toc1078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D3A791E">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_Toc21576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40.废标</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_Toc21576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D703BBC">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_Toc22704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（十三）落实政府采购政策（包括但不限于下列具体政策要求）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_Toc22704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27</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4CE615F">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_Toc29387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41.支持国产和进口产品审批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_Toc29387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27</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A6851E5">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_Toc24311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42.中小企业、监狱企业及残疾人福利性单位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_Toc24311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27</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AB57A44">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_Toc6575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43.政府采购节能产品、环境标志产品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_Toc6575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29</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0476B62">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_Toc8128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44.正版软件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_Toc8128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B8F204C">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_Toc3852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45.网络安全专用产品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_Toc3852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30</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BC8EEF0">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_Toc4126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46.采购需求标准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_Toc4126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31</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A49F65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_Toc26040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（十四）政府采购合同融资政策</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_Toc26040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8DB137A">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_Toc18796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47.政府采购合同融资政策</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_Toc18796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7E9FAC9">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_Toc25591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（十五）其他</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_Toc25591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3A09091">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_Toc10707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48.需要补充的其他内容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_Toc10707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4907755">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_Toc9340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49.适用法律</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_Toc9340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35AD5A8">
      <w:pPr>
        <w:pStyle w:val="24"/>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_Toc27063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50.解释权</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_Toc27063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33</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365BDB0">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_Toc27795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第三章 采购需求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_Toc27795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34</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2053380">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_Toc21964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第四章 资格审查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_Toc21964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3A2C9F5">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_Toc18536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一、资格审查程序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_Toc18536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064C134">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_Toc6827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二、资格审查要求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_Toc6827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461DAF0">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_Toc18125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第五章 评标方法及标准(综合评分法)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_Toc18125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BF6B2F5">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_Toc13844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zh-CN" w:eastAsia="zh-CN"/>
        </w:rPr>
        <w:t>一、评标</w:t>
      </w:r>
      <w:r>
        <w:rPr>
          <w:rFonts w:hint="eastAsia" w:ascii="宋体" w:hAnsi="宋体" w:eastAsia="宋体" w:cs="宋体"/>
          <w:i w:val="0"/>
          <w:iCs w:val="0"/>
          <w:sz w:val="21"/>
          <w:szCs w:val="21"/>
          <w:highlight w:val="none"/>
          <w:lang w:val="en-US" w:eastAsia="zh-CN"/>
        </w:rPr>
        <w:t>方</w:t>
      </w:r>
      <w:r>
        <w:rPr>
          <w:rFonts w:hint="eastAsia" w:ascii="宋体" w:hAnsi="宋体" w:eastAsia="宋体" w:cs="宋体"/>
          <w:i w:val="0"/>
          <w:iCs w:val="0"/>
          <w:sz w:val="21"/>
          <w:szCs w:val="21"/>
          <w:highlight w:val="none"/>
          <w:lang w:val="zh-CN" w:eastAsia="zh-CN"/>
        </w:rPr>
        <w:t>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_Toc13844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8A24308">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_Toc14317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二</w:t>
      </w:r>
      <w:r>
        <w:rPr>
          <w:rFonts w:hint="eastAsia" w:ascii="宋体" w:hAnsi="宋体" w:eastAsia="宋体" w:cs="宋体"/>
          <w:i w:val="0"/>
          <w:iCs w:val="0"/>
          <w:sz w:val="21"/>
          <w:szCs w:val="21"/>
          <w:highlight w:val="none"/>
          <w:lang w:val="zh-CN" w:eastAsia="zh-CN"/>
        </w:rPr>
        <w:t>、评标程序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_Toc14317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1EF133A">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_Toc836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（一）符合性审查</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A8546A5">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_Toc11978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二</w:t>
      </w:r>
      <w:r>
        <w:rPr>
          <w:rFonts w:hint="eastAsia" w:ascii="宋体" w:hAnsi="宋体" w:eastAsia="宋体" w:cs="宋体"/>
          <w:bCs/>
          <w:i w:val="0"/>
          <w:iCs w:val="0"/>
          <w:kern w:val="2"/>
          <w:sz w:val="21"/>
          <w:szCs w:val="21"/>
          <w:highlight w:val="none"/>
          <w:lang w:val="zh-CN" w:eastAsia="zh-CN" w:bidi="ar-SA"/>
        </w:rPr>
        <w:t>）投标文件澄清及修正</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_Toc11978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E6BFDC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_Toc17163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三</w:t>
      </w:r>
      <w:r>
        <w:rPr>
          <w:rFonts w:hint="eastAsia" w:ascii="宋体" w:hAnsi="宋体" w:eastAsia="宋体" w:cs="宋体"/>
          <w:bCs/>
          <w:i w:val="0"/>
          <w:iCs w:val="0"/>
          <w:kern w:val="2"/>
          <w:sz w:val="21"/>
          <w:szCs w:val="21"/>
          <w:highlight w:val="none"/>
          <w:lang w:val="zh-CN" w:eastAsia="zh-CN" w:bidi="ar-SA"/>
        </w:rPr>
        <w:t>）比较与评价</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_Toc17163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D898097">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_Toc17273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四</w:t>
      </w:r>
      <w:r>
        <w:rPr>
          <w:rFonts w:hint="eastAsia" w:ascii="宋体" w:hAnsi="宋体" w:eastAsia="宋体" w:cs="宋体"/>
          <w:bCs/>
          <w:i w:val="0"/>
          <w:iCs w:val="0"/>
          <w:kern w:val="2"/>
          <w:sz w:val="21"/>
          <w:szCs w:val="21"/>
          <w:highlight w:val="none"/>
          <w:lang w:val="zh-CN" w:eastAsia="zh-CN" w:bidi="ar-SA"/>
        </w:rPr>
        <w:t>）报价评审</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_Toc17273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74D86A0">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_Toc17801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五</w:t>
      </w:r>
      <w:r>
        <w:rPr>
          <w:rFonts w:hint="eastAsia" w:ascii="宋体" w:hAnsi="宋体" w:eastAsia="宋体" w:cs="宋体"/>
          <w:bCs/>
          <w:i w:val="0"/>
          <w:iCs w:val="0"/>
          <w:kern w:val="2"/>
          <w:sz w:val="21"/>
          <w:szCs w:val="21"/>
          <w:highlight w:val="none"/>
          <w:lang w:val="zh-CN" w:eastAsia="zh-CN" w:bidi="ar-SA"/>
        </w:rPr>
        <w:t>）评标得分及复核</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_Toc17801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1289F4E">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_Toc17532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六</w:t>
      </w:r>
      <w:r>
        <w:rPr>
          <w:rFonts w:hint="eastAsia" w:ascii="宋体" w:hAnsi="宋体" w:eastAsia="宋体" w:cs="宋体"/>
          <w:bCs/>
          <w:i w:val="0"/>
          <w:iCs w:val="0"/>
          <w:kern w:val="2"/>
          <w:sz w:val="21"/>
          <w:szCs w:val="21"/>
          <w:highlight w:val="none"/>
          <w:lang w:val="zh-CN" w:eastAsia="zh-CN" w:bidi="ar-SA"/>
        </w:rPr>
        <w:t>）排序与推荐</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_Toc17532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829B2CC">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_Toc19119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七</w:t>
      </w:r>
      <w:r>
        <w:rPr>
          <w:rFonts w:hint="eastAsia" w:ascii="宋体" w:hAnsi="宋体" w:eastAsia="宋体" w:cs="宋体"/>
          <w:bCs/>
          <w:i w:val="0"/>
          <w:iCs w:val="0"/>
          <w:kern w:val="2"/>
          <w:sz w:val="21"/>
          <w:szCs w:val="21"/>
          <w:highlight w:val="none"/>
          <w:lang w:val="zh-CN" w:eastAsia="zh-CN" w:bidi="ar-SA"/>
        </w:rPr>
        <w:t>）编写评标报告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_Toc19119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- 49 -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15CDD4A">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_Toc14247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八</w:t>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投标无效及</w:t>
      </w:r>
      <w:r>
        <w:rPr>
          <w:rFonts w:hint="eastAsia" w:ascii="宋体" w:hAnsi="宋体" w:eastAsia="宋体" w:cs="宋体"/>
          <w:bCs/>
          <w:i w:val="0"/>
          <w:iCs w:val="0"/>
          <w:kern w:val="2"/>
          <w:sz w:val="21"/>
          <w:szCs w:val="21"/>
          <w:highlight w:val="none"/>
          <w:lang w:val="zh-CN" w:eastAsia="zh-CN" w:bidi="ar-SA"/>
        </w:rPr>
        <w:t>应予废标的情形</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_Toc14247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FC5EF74">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_Toc6140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九</w:t>
      </w:r>
      <w:r>
        <w:rPr>
          <w:rFonts w:hint="eastAsia" w:ascii="宋体" w:hAnsi="宋体" w:eastAsia="宋体" w:cs="宋体"/>
          <w:bCs/>
          <w:i w:val="0"/>
          <w:iCs w:val="0"/>
          <w:kern w:val="2"/>
          <w:sz w:val="21"/>
          <w:szCs w:val="21"/>
          <w:highlight w:val="none"/>
          <w:lang w:val="zh-CN" w:eastAsia="zh-CN" w:bidi="ar-SA"/>
        </w:rPr>
        <w:t>）停止评标的情形</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_Toc6140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30DE2B4">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_Toc20339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w:t>
      </w:r>
      <w:r>
        <w:rPr>
          <w:rFonts w:hint="eastAsia" w:ascii="宋体" w:hAnsi="宋体" w:eastAsia="宋体" w:cs="宋体"/>
          <w:bCs/>
          <w:i w:val="0"/>
          <w:iCs w:val="0"/>
          <w:kern w:val="2"/>
          <w:sz w:val="21"/>
          <w:szCs w:val="21"/>
          <w:highlight w:val="none"/>
          <w:lang w:val="en-US" w:eastAsia="zh-CN" w:bidi="ar-SA"/>
        </w:rPr>
        <w:t>十</w:t>
      </w:r>
      <w:r>
        <w:rPr>
          <w:rFonts w:hint="eastAsia" w:ascii="宋体" w:hAnsi="宋体" w:eastAsia="宋体" w:cs="宋体"/>
          <w:bCs/>
          <w:i w:val="0"/>
          <w:iCs w:val="0"/>
          <w:kern w:val="2"/>
          <w:sz w:val="21"/>
          <w:szCs w:val="21"/>
          <w:highlight w:val="none"/>
          <w:lang w:val="zh-CN" w:eastAsia="zh-CN" w:bidi="ar-SA"/>
        </w:rPr>
        <w:t>）重新开展采购</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_Toc20339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D265F34">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_Toc29977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zh-CN" w:eastAsia="zh-CN"/>
        </w:rPr>
        <w:t>三、评标</w:t>
      </w:r>
      <w:r>
        <w:rPr>
          <w:rFonts w:hint="eastAsia" w:ascii="宋体" w:hAnsi="宋体" w:eastAsia="宋体" w:cs="宋体"/>
          <w:i w:val="0"/>
          <w:iCs w:val="0"/>
          <w:sz w:val="21"/>
          <w:szCs w:val="21"/>
          <w:highlight w:val="none"/>
          <w:lang w:val="en-US" w:eastAsia="zh-CN"/>
        </w:rPr>
        <w:t>其他要求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_Toc29977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F66010E">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_Toc24499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四</w:t>
      </w:r>
      <w:r>
        <w:rPr>
          <w:rFonts w:hint="eastAsia" w:ascii="宋体" w:hAnsi="宋体" w:eastAsia="宋体" w:cs="宋体"/>
          <w:i w:val="0"/>
          <w:iCs w:val="0"/>
          <w:sz w:val="21"/>
          <w:szCs w:val="21"/>
          <w:highlight w:val="none"/>
          <w:lang w:val="zh-CN" w:eastAsia="zh-CN"/>
        </w:rPr>
        <w:t>、评标标准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_Toc24499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4C2F060">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_Toc3636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（一）符合性审查表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_Toc3636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E8787BE">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_Toc29942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实质性响应一览表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_Toc29942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7E74B7A">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_Toc29258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zh-CN" w:eastAsia="zh-CN" w:bidi="ar-SA"/>
        </w:rPr>
        <w:t>（二）评分标准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_Toc29258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- 55 -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C936E65">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_Toc3120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zh-CN" w:eastAsia="zh-CN" w:bidi="ar-SA"/>
        </w:rPr>
        <w:t>第六章 合同草案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_Toc3120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3617CD6">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_Toc21705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第一部分 合同书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_Toc21705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0D8CF8F">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_Toc5203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1.1 合同组成部分</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_Toc5203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F9DAD2">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_Toc13608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1.2 服务</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_Toc13608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407E7D1">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_Toc29181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1.3 价款</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_Toc29181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F9C6C59">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_Toc25712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1.4 付款方式和发票开具方式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_Toc25712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7ED610F">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_Toc15731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1.5 服务期限、地点和方式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_Toc15731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A9B071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_Toc24516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1.6 违约责任</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_Toc24516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- 59 -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5F9B61">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_Toc30069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1.7 合同争议的解决</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_Toc30069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C0ACD35">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_Toc28775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1.8 合同生效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_Toc28775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9164F2A">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_Toc30129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第二部分 合同一般条款</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_Toc30129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E2AC9E2">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_Toc17630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 定义</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_Toc17630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E2ED93F">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_Toc13798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2.2 技术规范</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_Toc13798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83BD2A5">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_Toc5140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2.3 知识产权</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_Toc5140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555004C">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_Toc16108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2.4 履约检查和问题反馈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_Toc16108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8F83BC8">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_Toc8875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2.5 结算方式和付款条件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_Toc8875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7EAF03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_Toc27972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2.6 技术资料和保密义务</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_Toc27972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602DF43">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_Toc1001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2.7 质量保证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_Toc1001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A409593">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_Toc5339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2.8 延迟履行</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_Toc5339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546B9F">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_Toc31446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2.9 合同变更</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_Toc31446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A51AEB8">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_Toc30751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2.10 合同转让和分包</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_Toc30751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1085FD5E">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_Toc17802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2.11 不可抗力</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_Toc17802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AF2A514">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_Toc21665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2.12 税费</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_Toc21665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13CD79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_Toc11204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2.13 乙方破产</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_Toc11204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27B907B">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_Toc6611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2.14 合同中止、终止</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_Toc6611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07557DA">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_Toc13106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2.15 检验和验收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_Toc13106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74F24B3">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_Toc17058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rPr>
        <w:t xml:space="preserve">2.16 </w:t>
      </w:r>
      <w:r>
        <w:rPr>
          <w:rFonts w:hint="eastAsia" w:ascii="宋体" w:hAnsi="宋体" w:eastAsia="宋体" w:cs="宋体"/>
          <w:bCs/>
          <w:i w:val="0"/>
          <w:iCs w:val="0"/>
          <w:sz w:val="21"/>
          <w:szCs w:val="21"/>
          <w:highlight w:val="none"/>
          <w:lang w:val="zh-CN"/>
        </w:rPr>
        <w:t>合同使用的文字和适用的法律</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_Toc17058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319FEC3">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_Toc12060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2.17 履约保证金</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_Toc12060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93D2626">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_Toc20735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sz w:val="21"/>
          <w:szCs w:val="21"/>
          <w:highlight w:val="none"/>
          <w:lang w:val="zh-CN"/>
        </w:rPr>
        <w:t>2.18 合同份数</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_Toc20735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F655CF5">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_Toc20051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第三部分 合同专用条款</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_Toc20051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- 65 -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2CA2035">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_Toc8852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44"/>
          <w:sz w:val="21"/>
          <w:szCs w:val="21"/>
          <w:highlight w:val="none"/>
          <w:lang w:val="en-US" w:eastAsia="zh-CN" w:bidi="ar-SA"/>
        </w:rPr>
        <w:t>第七章 投标文件格式</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_Toc8852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0874C3F">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_Toc8583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投 标 文 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_Toc8583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160BD0B">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_Toc20536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资格证明文件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_Toc20536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C323534">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_Toc9596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一、满足《中华人民共和国政府采购法》第二十二条规定</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_Toc9596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D2F5F2D">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_Toc5593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（二）兵团政府采购供应商信用承诺函</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_Toc5593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- 69 -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13423EB">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_Toc30644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w:t>
      </w:r>
      <w:r>
        <w:rPr>
          <w:rFonts w:hint="eastAsia" w:ascii="宋体" w:hAnsi="宋体" w:eastAsia="宋体" w:cs="宋体"/>
          <w:bCs/>
          <w:i w:val="0"/>
          <w:iCs w:val="0"/>
          <w:kern w:val="2"/>
          <w:sz w:val="21"/>
          <w:szCs w:val="21"/>
          <w:highlight w:val="none"/>
          <w:lang w:val="zh-CN" w:eastAsia="zh-CN" w:bidi="ar-SA"/>
        </w:rPr>
        <w:t>联合体协议书</w:t>
      </w:r>
      <w:r>
        <w:rPr>
          <w:rFonts w:hint="eastAsia" w:ascii="宋体" w:hAnsi="宋体" w:eastAsia="宋体" w:cs="宋体"/>
          <w:bCs w:val="0"/>
          <w:i w:val="0"/>
          <w:iCs w:val="0"/>
          <w:kern w:val="2"/>
          <w:sz w:val="21"/>
          <w:szCs w:val="21"/>
          <w:highlight w:val="none"/>
          <w:lang w:val="zh-CN" w:eastAsia="zh-CN" w:bidi="ar-SA"/>
        </w:rPr>
        <w:t>【如适用】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_Toc30644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BEE7508">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_Toc28414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kern w:val="0"/>
          <w:sz w:val="21"/>
          <w:szCs w:val="21"/>
          <w:highlight w:val="none"/>
        </w:rPr>
        <w:t>联合体协议书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_Toc28414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1A105A">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_Toc13324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w:t>
      </w:r>
      <w:r>
        <w:rPr>
          <w:rFonts w:hint="eastAsia" w:ascii="宋体" w:hAnsi="宋体" w:eastAsia="宋体" w:cs="宋体"/>
          <w:bCs/>
          <w:i w:val="0"/>
          <w:iCs w:val="0"/>
          <w:kern w:val="2"/>
          <w:sz w:val="21"/>
          <w:szCs w:val="21"/>
          <w:highlight w:val="none"/>
          <w:lang w:val="zh-CN" w:eastAsia="zh-CN" w:bidi="ar-SA"/>
        </w:rPr>
        <w:t>分包意向协议书</w:t>
      </w:r>
      <w:r>
        <w:rPr>
          <w:rFonts w:hint="eastAsia" w:ascii="宋体" w:hAnsi="宋体" w:eastAsia="宋体" w:cs="宋体"/>
          <w:bCs w:val="0"/>
          <w:i w:val="0"/>
          <w:iCs w:val="0"/>
          <w:kern w:val="2"/>
          <w:sz w:val="21"/>
          <w:szCs w:val="21"/>
          <w:highlight w:val="none"/>
          <w:lang w:val="zh-CN" w:eastAsia="zh-CN" w:bidi="ar-SA"/>
        </w:rPr>
        <w:t>【如适用】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_Toc13324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EEFD043">
      <w:pPr>
        <w:pStyle w:val="23"/>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_Toc1184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kern w:val="0"/>
          <w:sz w:val="21"/>
          <w:szCs w:val="21"/>
          <w:highlight w:val="none"/>
        </w:rPr>
        <w:t>分包意向协议</w:t>
      </w:r>
      <w:r>
        <w:rPr>
          <w:rFonts w:hint="eastAsia" w:ascii="宋体" w:hAnsi="宋体" w:eastAsia="宋体" w:cs="宋体"/>
          <w:i w:val="0"/>
          <w:iCs w:val="0"/>
          <w:kern w:val="0"/>
          <w:sz w:val="21"/>
          <w:szCs w:val="21"/>
          <w:highlight w:val="none"/>
          <w:lang w:val="en-US" w:eastAsia="zh-CN"/>
        </w:rPr>
        <w:t>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_Toc1184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58EED2B">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_Toc9966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四、落实政府采购政策相关证明文件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_Toc9966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- 75 -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964B24C">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_Toc19925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（一）节能环保产品清单及证明材料</w:t>
      </w:r>
      <w:r>
        <w:rPr>
          <w:rFonts w:hint="eastAsia" w:ascii="宋体" w:hAnsi="宋体" w:eastAsia="宋体" w:cs="宋体"/>
          <w:bCs w:val="0"/>
          <w:i w:val="0"/>
          <w:iCs w:val="0"/>
          <w:kern w:val="2"/>
          <w:sz w:val="21"/>
          <w:szCs w:val="21"/>
          <w:highlight w:val="none"/>
          <w:lang w:val="en-US" w:eastAsia="zh-CN" w:bidi="ar-SA"/>
        </w:rPr>
        <w:t>【如适用】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_Toc19925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- 75 -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18F728F">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_Toc4570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（二）中小企业声明函</w:t>
      </w:r>
      <w:r>
        <w:rPr>
          <w:rFonts w:hint="eastAsia" w:ascii="宋体" w:hAnsi="宋体" w:eastAsia="宋体" w:cs="宋体"/>
          <w:bCs w:val="0"/>
          <w:i w:val="0"/>
          <w:iCs w:val="0"/>
          <w:kern w:val="2"/>
          <w:sz w:val="21"/>
          <w:szCs w:val="21"/>
          <w:highlight w:val="none"/>
          <w:lang w:val="en-US" w:eastAsia="zh-CN" w:bidi="ar-SA"/>
        </w:rPr>
        <w:t>【如专门面向中小企业采购的项目，此函可放于此处，否则，应后置于“其他资格证明文件”】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_Toc4570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- 76 -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56E0437">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_Toc13588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（三）监狱企业证明文件</w:t>
      </w:r>
      <w:r>
        <w:rPr>
          <w:rFonts w:hint="eastAsia" w:ascii="宋体" w:hAnsi="宋体" w:eastAsia="宋体" w:cs="宋体"/>
          <w:bCs w:val="0"/>
          <w:i w:val="0"/>
          <w:iCs w:val="0"/>
          <w:kern w:val="2"/>
          <w:sz w:val="21"/>
          <w:szCs w:val="21"/>
          <w:highlight w:val="none"/>
          <w:lang w:val="en-US" w:eastAsia="zh-CN" w:bidi="ar-SA"/>
        </w:rPr>
        <w:t>【如适用】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_Toc13588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- 86 -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A90EF21">
      <w:pPr>
        <w:pStyle w:val="18"/>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_Toc28986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（四）残疾人福利性单位声明函</w:t>
      </w:r>
      <w:r>
        <w:rPr>
          <w:rFonts w:hint="eastAsia" w:ascii="宋体" w:hAnsi="宋体" w:eastAsia="宋体" w:cs="宋体"/>
          <w:bCs w:val="0"/>
          <w:i w:val="0"/>
          <w:iCs w:val="0"/>
          <w:kern w:val="2"/>
          <w:sz w:val="21"/>
          <w:szCs w:val="21"/>
          <w:highlight w:val="none"/>
          <w:lang w:val="en-US" w:eastAsia="zh-CN" w:bidi="ar-SA"/>
        </w:rPr>
        <w:t>【如适用】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_Toc28986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- 87 -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3DFE3D">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_Toc12346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五、不参与围标串标承诺书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_Toc12346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- 88 -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735E6A7">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_Toc10771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六、</w:t>
      </w:r>
      <w:r>
        <w:rPr>
          <w:rFonts w:hint="eastAsia" w:ascii="宋体" w:hAnsi="宋体" w:eastAsia="宋体" w:cs="宋体"/>
          <w:bCs/>
          <w:i w:val="0"/>
          <w:iCs w:val="0"/>
          <w:kern w:val="2"/>
          <w:sz w:val="21"/>
          <w:szCs w:val="21"/>
          <w:highlight w:val="none"/>
          <w:lang w:val="zh-CN" w:eastAsia="zh-CN" w:bidi="ar-SA"/>
        </w:rPr>
        <w:t>其他资格证明文件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_Toc10771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- 89 -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7CD348E">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_Toc9327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投 标 文 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_Toc9327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A341F7B">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_Toc6231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报价文件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_Toc6231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2BA9BAB">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_Toc924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一、开标一览表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_Toc924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6A5B124">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_Toc23808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二、分项报价表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_Toc23808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8C8E4E1">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_Toc28325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rPr>
        <w:t>投 标 文 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_Toc28325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298C27E">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_Toc20981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商务技术文件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_Toc20981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6113918">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_Toc19003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一、投标函</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_Toc19003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02661EC">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_Toc31224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二、法定代表人（单位负责人）身份证明</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_Toc31224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- 96 -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5A3D7FD7">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_Toc25480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三、授权委托书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_Toc25480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- 97 -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39F876E">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_Toc13620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四、</w:t>
      </w:r>
      <w:r>
        <w:rPr>
          <w:rFonts w:hint="eastAsia" w:ascii="宋体" w:hAnsi="宋体" w:eastAsia="宋体" w:cs="宋体"/>
          <w:bCs/>
          <w:i w:val="0"/>
          <w:iCs w:val="0"/>
          <w:kern w:val="2"/>
          <w:sz w:val="21"/>
          <w:szCs w:val="21"/>
          <w:highlight w:val="none"/>
          <w:lang w:val="zh-CN" w:eastAsia="zh-CN" w:bidi="ar-SA"/>
        </w:rPr>
        <w:t>政府采购</w:t>
      </w:r>
      <w:r>
        <w:rPr>
          <w:rFonts w:hint="eastAsia" w:ascii="宋体" w:hAnsi="宋体" w:eastAsia="宋体" w:cs="宋体"/>
          <w:bCs/>
          <w:i w:val="0"/>
          <w:iCs w:val="0"/>
          <w:kern w:val="2"/>
          <w:sz w:val="21"/>
          <w:szCs w:val="21"/>
          <w:highlight w:val="none"/>
          <w:lang w:val="en-US" w:eastAsia="zh-CN" w:bidi="ar-SA"/>
        </w:rPr>
        <w:t>投标人</w:t>
      </w:r>
      <w:r>
        <w:rPr>
          <w:rFonts w:hint="eastAsia" w:ascii="宋体" w:hAnsi="宋体" w:eastAsia="宋体" w:cs="宋体"/>
          <w:bCs/>
          <w:i w:val="0"/>
          <w:iCs w:val="0"/>
          <w:kern w:val="2"/>
          <w:sz w:val="21"/>
          <w:szCs w:val="21"/>
          <w:highlight w:val="none"/>
          <w:lang w:val="zh-CN" w:eastAsia="zh-CN" w:bidi="ar-SA"/>
        </w:rPr>
        <w:t>廉洁自律承诺书</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_Toc13620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- 98 -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39764840">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_Toc27401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i w:val="0"/>
          <w:iCs w:val="0"/>
          <w:sz w:val="21"/>
          <w:szCs w:val="21"/>
          <w:highlight w:val="none"/>
          <w:lang w:val="en-US" w:eastAsia="zh-CN"/>
        </w:rPr>
        <w:t>五、</w:t>
      </w:r>
      <w:r>
        <w:rPr>
          <w:rFonts w:hint="eastAsia" w:ascii="宋体" w:hAnsi="宋体" w:eastAsia="宋体" w:cs="宋体"/>
          <w:i w:val="0"/>
          <w:iCs w:val="0"/>
          <w:sz w:val="21"/>
          <w:szCs w:val="21"/>
          <w:highlight w:val="none"/>
          <w:lang w:val="zh-CN" w:eastAsia="zh-CN"/>
        </w:rPr>
        <w:t>实质性响应一览表【</w:t>
      </w:r>
      <w:r>
        <w:rPr>
          <w:rFonts w:hint="eastAsia" w:ascii="宋体" w:hAnsi="宋体" w:eastAsia="宋体" w:cs="宋体"/>
          <w:i w:val="0"/>
          <w:iCs w:val="0"/>
          <w:sz w:val="21"/>
          <w:szCs w:val="21"/>
          <w:highlight w:val="none"/>
          <w:lang w:val="en-US" w:eastAsia="zh-CN"/>
        </w:rPr>
        <w:t>本表须与第五章的一致】</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_Toc27401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- 99 -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6D961C1">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_Toc1838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六、商务响应偏离表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_Toc1838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- 100 -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702CCD2">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_Toc32582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七、业绩证明文件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_Toc32582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- 101 -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49119EEC">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_Toc24853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八、拟派项目团队</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_Toc24853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- 102 -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0C58EF76">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_Toc3666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九、技术响应偏离表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_Toc3666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- 103 -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631D4862">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_Toc15309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十、技术方案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_Toc15309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- 104 -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70F395FC">
      <w:pPr>
        <w:pStyle w:val="27"/>
        <w:tabs>
          <w:tab w:val="right" w:leader="dot" w:pos="8306"/>
        </w:tabs>
        <w:rPr>
          <w:rFonts w:hint="eastAsia" w:ascii="宋体" w:hAnsi="宋体" w:eastAsia="宋体" w:cs="宋体"/>
          <w:i w:val="0"/>
          <w:iCs w:val="0"/>
          <w:sz w:val="21"/>
          <w:szCs w:val="21"/>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sz w:val="21"/>
          <w:szCs w:val="21"/>
          <w:highlight w:val="none"/>
        </w:rPr>
        <w:instrText xml:space="preserve"> HYPERLINK \l _Toc19507 </w:instrText>
      </w:r>
      <w:r>
        <w:rPr>
          <w:rFonts w:hint="eastAsia" w:ascii="宋体" w:hAnsi="宋体" w:eastAsia="宋体" w:cs="宋体"/>
          <w:i w:val="0"/>
          <w:iCs w:val="0"/>
          <w:sz w:val="21"/>
          <w:szCs w:val="21"/>
          <w:highlight w:val="none"/>
        </w:rPr>
        <w:fldChar w:fldCharType="separate"/>
      </w:r>
      <w:r>
        <w:rPr>
          <w:rFonts w:hint="eastAsia" w:ascii="宋体" w:hAnsi="宋体" w:eastAsia="宋体" w:cs="宋体"/>
          <w:bCs/>
          <w:i w:val="0"/>
          <w:iCs w:val="0"/>
          <w:kern w:val="2"/>
          <w:sz w:val="21"/>
          <w:szCs w:val="21"/>
          <w:highlight w:val="none"/>
          <w:lang w:val="en-US" w:eastAsia="zh-CN" w:bidi="ar-SA"/>
        </w:rPr>
        <w:t>十一、其他文件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_Toc19507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- 105 -</w:t>
      </w:r>
      <w:r>
        <w:rPr>
          <w:rFonts w:hint="eastAsia" w:ascii="宋体" w:hAnsi="宋体" w:eastAsia="宋体" w:cs="宋体"/>
          <w:i w:val="0"/>
          <w:iCs w:val="0"/>
          <w:sz w:val="21"/>
          <w:szCs w:val="21"/>
        </w:rPr>
        <w:fldChar w:fldCharType="end"/>
      </w:r>
      <w:r>
        <w:rPr>
          <w:rFonts w:hint="eastAsia" w:ascii="宋体" w:hAnsi="宋体" w:eastAsia="宋体" w:cs="宋体"/>
          <w:i w:val="0"/>
          <w:iCs w:val="0"/>
          <w:color w:val="auto"/>
          <w:sz w:val="21"/>
          <w:szCs w:val="21"/>
          <w:highlight w:val="none"/>
        </w:rPr>
        <w:fldChar w:fldCharType="end"/>
      </w:r>
    </w:p>
    <w:p w14:paraId="29DD1FCB">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r>
        <w:rPr>
          <w:rFonts w:hint="eastAsia" w:ascii="宋体" w:hAnsi="宋体" w:eastAsia="宋体" w:cs="宋体"/>
          <w:i w:val="0"/>
          <w:iCs w:val="0"/>
          <w:color w:val="auto"/>
          <w:sz w:val="21"/>
          <w:szCs w:val="21"/>
          <w:highlight w:val="none"/>
        </w:rPr>
        <w:fldChar w:fldCharType="end"/>
      </w:r>
      <w:bookmarkStart w:id="1" w:name="_Toc155185859"/>
      <w:bookmarkStart w:id="2" w:name="_Toc7253"/>
      <w:bookmarkStart w:id="3" w:name="_Hlk130458318"/>
      <w:r>
        <w:rPr>
          <w:rFonts w:hint="eastAsia" w:ascii="宋体" w:hAnsi="宋体" w:eastAsia="宋体" w:cs="宋体"/>
          <w:b/>
          <w:bCs/>
          <w:color w:val="auto"/>
          <w:kern w:val="44"/>
          <w:sz w:val="36"/>
          <w:szCs w:val="36"/>
          <w:highlight w:val="none"/>
          <w:lang w:val="en-US" w:eastAsia="zh-CN" w:bidi="ar-SA"/>
        </w:rPr>
        <w:t xml:space="preserve">第一章 </w:t>
      </w:r>
      <w:bookmarkEnd w:id="1"/>
      <w:r>
        <w:rPr>
          <w:rFonts w:hint="eastAsia" w:ascii="宋体" w:hAnsi="宋体" w:eastAsia="宋体" w:cs="宋体"/>
          <w:color w:val="auto"/>
          <w:sz w:val="36"/>
          <w:szCs w:val="36"/>
          <w:highlight w:val="none"/>
          <w:lang w:val="en-US" w:eastAsia="zh-CN"/>
        </w:rPr>
        <w:t>招标公告</w:t>
      </w:r>
      <w:bookmarkEnd w:id="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12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576"/>
            <w:bookmarkStart w:id="5" w:name="_Toc32473"/>
            <w:bookmarkStart w:id="6" w:name="_Toc17451"/>
            <w:bookmarkStart w:id="7" w:name="_Toc26706"/>
            <w:bookmarkStart w:id="8" w:name="_Toc140132745"/>
            <w:bookmarkStart w:id="9" w:name="_Toc28359089"/>
            <w:bookmarkStart w:id="10" w:name="_Toc155185860"/>
            <w:bookmarkStart w:id="11" w:name="_Toc28359012"/>
            <w:bookmarkStart w:id="12" w:name="_Toc44583628"/>
            <w:bookmarkStart w:id="13" w:name="_Toc109899410"/>
            <w:bookmarkStart w:id="14" w:name="_Toc35393629"/>
            <w:bookmarkStart w:id="15" w:name="_Toc109899829"/>
            <w:bookmarkStart w:id="16" w:name="_Toc35393798"/>
            <w:bookmarkStart w:id="17" w:name="_Toc109900248"/>
            <w:r>
              <w:rPr>
                <w:rFonts w:hint="eastAsia"/>
                <w:color w:val="auto"/>
                <w:sz w:val="24"/>
                <w:szCs w:val="24"/>
                <w:highlight w:val="none"/>
                <w:lang w:val="en-US" w:eastAsia="zh-CN"/>
              </w:rPr>
              <w:t>项目概况：</w:t>
            </w:r>
            <w:bookmarkEnd w:id="4"/>
            <w:bookmarkEnd w:id="5"/>
            <w:bookmarkEnd w:id="6"/>
            <w:bookmarkEnd w:id="7"/>
          </w:p>
          <w:p w14:paraId="42E3A809">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五十三团城镇建设和生态保护中心采购集中供热运营服务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招标项目的潜在投标人应在政采云平台http://www.zcygov.cn/获取招标文件，并于</w:t>
            </w:r>
            <w:r>
              <w:rPr>
                <w:rFonts w:hint="eastAsia" w:cstheme="minorBidi"/>
                <w:iCs/>
                <w:color w:val="auto"/>
                <w:kern w:val="2"/>
                <w:sz w:val="24"/>
                <w:szCs w:val="24"/>
                <w:highlight w:val="none"/>
                <w:u w:val="none"/>
                <w:shd w:val="clear" w:color="auto" w:fill="FFFFFF" w:themeFill="background1"/>
                <w:lang w:val="en-US" w:eastAsia="zh-CN" w:bidi="ar-SA"/>
              </w:rPr>
              <w:t>2025</w:t>
            </w:r>
            <w:r>
              <w:rPr>
                <w:rFonts w:hint="eastAsia" w:ascii="宋体" w:hAnsi="宋体" w:eastAsia="宋体" w:cstheme="minorBidi"/>
                <w:iCs/>
                <w:color w:val="auto"/>
                <w:kern w:val="2"/>
                <w:sz w:val="24"/>
                <w:szCs w:val="24"/>
                <w:highlight w:val="none"/>
                <w:u w:val="none"/>
                <w:shd w:val="clear" w:color="auto" w:fill="FFFFFF" w:themeFill="background1"/>
                <w:lang w:val="hr-HR" w:eastAsia="zh-CN" w:bidi="ar-SA"/>
              </w:rPr>
              <w:t>年</w:t>
            </w:r>
            <w:r>
              <w:rPr>
                <w:rFonts w:hint="eastAsia" w:cstheme="minorBidi"/>
                <w:iCs/>
                <w:color w:val="auto"/>
                <w:kern w:val="2"/>
                <w:sz w:val="24"/>
                <w:szCs w:val="24"/>
                <w:highlight w:val="none"/>
                <w:u w:val="none"/>
                <w:shd w:val="clear" w:color="auto" w:fill="FFFFFF" w:themeFill="background1"/>
                <w:lang w:val="en-US" w:eastAsia="zh-CN" w:bidi="ar-SA"/>
              </w:rPr>
              <w:t>7</w:t>
            </w:r>
            <w:r>
              <w:rPr>
                <w:rFonts w:hint="eastAsia" w:ascii="宋体" w:hAnsi="宋体" w:eastAsia="宋体" w:cstheme="minorBidi"/>
                <w:iCs/>
                <w:color w:val="auto"/>
                <w:kern w:val="2"/>
                <w:sz w:val="24"/>
                <w:szCs w:val="24"/>
                <w:highlight w:val="none"/>
                <w:u w:val="none"/>
                <w:shd w:val="clear" w:color="auto" w:fill="FFFFFF" w:themeFill="background1"/>
                <w:lang w:val="hr-HR" w:eastAsia="zh-CN" w:bidi="ar-SA"/>
              </w:rPr>
              <w:t xml:space="preserve"> 月</w:t>
            </w:r>
            <w:r>
              <w:rPr>
                <w:rFonts w:hint="eastAsia" w:cstheme="minorBidi"/>
                <w:iCs/>
                <w:color w:val="auto"/>
                <w:kern w:val="2"/>
                <w:sz w:val="24"/>
                <w:szCs w:val="24"/>
                <w:highlight w:val="none"/>
                <w:u w:val="none"/>
                <w:shd w:val="clear" w:color="auto" w:fill="FFFFFF" w:themeFill="background1"/>
                <w:lang w:val="en-US" w:eastAsia="zh-CN" w:bidi="ar-SA"/>
              </w:rPr>
              <w:t>15</w:t>
            </w:r>
            <w:r>
              <w:rPr>
                <w:rFonts w:hint="eastAsia" w:ascii="宋体" w:hAnsi="宋体" w:eastAsia="宋体" w:cstheme="minorBidi"/>
                <w:iCs/>
                <w:color w:val="auto"/>
                <w:kern w:val="2"/>
                <w:sz w:val="24"/>
                <w:szCs w:val="24"/>
                <w:highlight w:val="none"/>
                <w:u w:val="none"/>
                <w:shd w:val="clear" w:color="auto" w:fill="FFFFFF" w:themeFill="background1"/>
                <w:lang w:val="hr-HR" w:eastAsia="zh-CN" w:bidi="ar-SA"/>
              </w:rPr>
              <w:t>日</w:t>
            </w:r>
            <w:r>
              <w:rPr>
                <w:rFonts w:hint="eastAsia" w:cstheme="minorBidi"/>
                <w:iCs/>
                <w:color w:val="auto"/>
                <w:kern w:val="2"/>
                <w:sz w:val="24"/>
                <w:szCs w:val="24"/>
                <w:highlight w:val="none"/>
                <w:u w:val="none"/>
                <w:shd w:val="clear" w:color="auto" w:fill="FFFFFF" w:themeFill="background1"/>
                <w:lang w:val="en-US" w:eastAsia="zh-CN" w:bidi="ar-SA"/>
              </w:rPr>
              <w:t>11时00</w:t>
            </w:r>
            <w:r>
              <w:rPr>
                <w:rFonts w:hint="eastAsia" w:ascii="宋体" w:hAnsi="宋体" w:eastAsia="宋体" w:cstheme="minorBidi"/>
                <w:iCs/>
                <w:color w:val="auto"/>
                <w:kern w:val="2"/>
                <w:sz w:val="24"/>
                <w:szCs w:val="24"/>
                <w:highlight w:val="none"/>
                <w:u w:val="non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18" w:name="_Toc4584"/>
      <w:r>
        <w:rPr>
          <w:rFonts w:hint="eastAsia" w:ascii="宋体" w:hAnsi="宋体" w:eastAsia="宋体" w:cs="宋体"/>
          <w:b/>
          <w:bCs/>
          <w:color w:val="auto"/>
          <w:kern w:val="2"/>
          <w:sz w:val="24"/>
          <w:szCs w:val="24"/>
          <w:highlight w:val="none"/>
          <w:lang w:val="hr-HR" w:eastAsia="zh-CN" w:bidi="ar-SA"/>
        </w:rPr>
        <w:t>一、项目基本情况</w:t>
      </w:r>
      <w:bookmarkEnd w:id="8"/>
      <w:bookmarkEnd w:id="9"/>
      <w:bookmarkEnd w:id="10"/>
      <w:bookmarkEnd w:id="11"/>
      <w:bookmarkEnd w:id="12"/>
      <w:bookmarkEnd w:id="13"/>
      <w:bookmarkEnd w:id="14"/>
      <w:bookmarkEnd w:id="15"/>
      <w:bookmarkEnd w:id="16"/>
      <w:bookmarkEnd w:id="17"/>
      <w:bookmarkEnd w:id="18"/>
    </w:p>
    <w:p w14:paraId="590E39A6">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hr-HR"/>
        </w:rPr>
        <w:t>1.</w:t>
      </w:r>
      <w:r>
        <w:rPr>
          <w:rFonts w:hint="eastAsia" w:cs="宋体"/>
          <w:color w:val="auto"/>
          <w:sz w:val="24"/>
          <w:szCs w:val="24"/>
          <w:highlight w:val="none"/>
          <w:lang w:val="hr-HR" w:eastAsia="zh-CN"/>
        </w:rPr>
        <w:t>项目编号/包号：</w:t>
      </w:r>
      <w:r>
        <w:rPr>
          <w:rFonts w:hint="eastAsia" w:cs="宋体"/>
          <w:color w:val="auto"/>
          <w:sz w:val="24"/>
          <w:szCs w:val="24"/>
          <w:highlight w:val="none"/>
          <w:u w:val="single"/>
          <w:lang w:val="hr-HR" w:eastAsia="zh-CN"/>
        </w:rPr>
        <w:t>B3S53T[2025]17号</w:t>
      </w:r>
    </w:p>
    <w:p w14:paraId="5025698F">
      <w:pPr>
        <w:pStyle w:val="39"/>
        <w:spacing w:line="360" w:lineRule="auto"/>
        <w:rPr>
          <w:rFonts w:hint="eastAsia"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w:t>
      </w:r>
      <w:r>
        <w:rPr>
          <w:rFonts w:hint="eastAsia" w:cs="宋体"/>
          <w:color w:val="auto"/>
          <w:sz w:val="24"/>
          <w:szCs w:val="24"/>
          <w:highlight w:val="none"/>
          <w:lang w:val="hr-HR" w:eastAsia="zh-CN"/>
        </w:rPr>
        <w:t>项目名称：五十三团城镇建设和生态保护中心采购集中供热运营服务</w:t>
      </w:r>
    </w:p>
    <w:p w14:paraId="3CE35A7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.采购方式：公开招标</w:t>
      </w:r>
    </w:p>
    <w:p w14:paraId="78A90596">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hr-HR"/>
        </w:rPr>
        <w:t>预算金额：</w:t>
      </w:r>
      <w:r>
        <w:rPr>
          <w:rFonts w:hint="eastAsia" w:ascii="宋体" w:hAnsi="宋体" w:eastAsia="宋体" w:cs="宋体"/>
          <w:color w:val="auto"/>
          <w:sz w:val="24"/>
          <w:szCs w:val="24"/>
          <w:highlight w:val="none"/>
          <w:u w:val="single"/>
        </w:rPr>
        <w:t>2526</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0</w:t>
      </w:r>
      <w:r>
        <w:rPr>
          <w:rFonts w:hint="eastAsia" w:cs="宋体"/>
          <w:color w:val="auto"/>
          <w:sz w:val="24"/>
          <w:szCs w:val="24"/>
          <w:highlight w:val="none"/>
          <w:u w:val="single"/>
          <w:lang w:val="en-US" w:eastAsia="zh-CN"/>
        </w:rPr>
        <w:t>0</w:t>
      </w:r>
      <w:r>
        <w:rPr>
          <w:rFonts w:hint="eastAsia" w:ascii="宋体" w:hAnsi="宋体" w:eastAsia="宋体" w:cs="宋体"/>
          <w:color w:val="auto"/>
          <w:sz w:val="24"/>
          <w:szCs w:val="24"/>
          <w:highlight w:val="none"/>
          <w:lang w:val="hr-HR"/>
        </w:rPr>
        <w:t>万元</w:t>
      </w:r>
    </w:p>
    <w:p w14:paraId="7851BE2C">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single"/>
        </w:rPr>
        <w:t>2526</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0</w:t>
      </w:r>
      <w:r>
        <w:rPr>
          <w:rFonts w:hint="eastAsia" w:cs="宋体"/>
          <w:color w:val="auto"/>
          <w:sz w:val="24"/>
          <w:szCs w:val="24"/>
          <w:highlight w:val="none"/>
          <w:u w:val="single"/>
          <w:lang w:val="en-US" w:eastAsia="zh-CN"/>
        </w:rPr>
        <w:t>0</w:t>
      </w:r>
      <w:r>
        <w:rPr>
          <w:rFonts w:hint="eastAsia" w:ascii="宋体" w:hAnsi="宋体" w:eastAsia="宋体" w:cs="宋体"/>
          <w:color w:val="auto"/>
          <w:sz w:val="24"/>
          <w:szCs w:val="24"/>
          <w:highlight w:val="none"/>
        </w:rPr>
        <w:t>万元</w:t>
      </w:r>
    </w:p>
    <w:p w14:paraId="242750DC">
      <w:pPr>
        <w:pStyle w:val="39"/>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hr-HR"/>
        </w:rPr>
        <w:t>.采购需求：</w:t>
      </w:r>
      <w:r>
        <w:rPr>
          <w:rFonts w:hint="eastAsia" w:ascii="宋体" w:hAnsi="宋体" w:eastAsia="宋体" w:cs="宋体"/>
          <w:color w:val="auto"/>
          <w:sz w:val="24"/>
          <w:szCs w:val="24"/>
          <w:highlight w:val="none"/>
          <w:u w:val="single"/>
        </w:rPr>
        <w:t>五十三团城镇现有锅炉房40T燃煤锅炉两台、配套环保设施设备、换热站、供热管网及其他配套设施。中标企业承保范围包括供热运行前、运行期间及停运后锅炉、一网、二网、换热站、辅机的维修、维护、保养；环保设备的正常运行维护及支付环保税费等。</w:t>
      </w:r>
    </w:p>
    <w:p w14:paraId="56FBF6DA">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履行期限：</w:t>
      </w:r>
      <w:r>
        <w:rPr>
          <w:rFonts w:hint="eastAsia" w:ascii="宋体" w:hAnsi="宋体" w:eastAsia="宋体" w:cs="宋体"/>
          <w:color w:val="auto"/>
          <w:sz w:val="24"/>
          <w:szCs w:val="24"/>
          <w:highlight w:val="none"/>
          <w:u w:val="single"/>
        </w:rPr>
        <w:t>共3年</w:t>
      </w:r>
      <w:r>
        <w:rPr>
          <w:rFonts w:hint="eastAsia"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至2028年4月15日</w:t>
      </w:r>
    </w:p>
    <w:p w14:paraId="4B098642">
      <w:pPr>
        <w:pStyle w:val="39"/>
        <w:spacing w:line="360" w:lineRule="auto"/>
        <w:rPr>
          <w:rFonts w:hint="eastAsia" w:ascii="宋体" w:hAnsi="宋体" w:eastAsia="宋体" w:cs="宋体"/>
          <w:color w:val="auto"/>
          <w:sz w:val="24"/>
          <w:szCs w:val="24"/>
          <w:highlight w:val="none"/>
          <w:lang w:val="en-US" w:eastAsia="zh-CN"/>
        </w:rPr>
      </w:pPr>
      <w:bookmarkStart w:id="19" w:name="_Toc28359090"/>
      <w:bookmarkStart w:id="20" w:name="_Toc35393630"/>
      <w:bookmarkStart w:id="21" w:name="_Toc35393799"/>
      <w:bookmarkStart w:id="22" w:name="_Toc28359013"/>
      <w:bookmarkStart w:id="23" w:name="_Toc44583629"/>
      <w:r>
        <w:rPr>
          <w:rFonts w:hint="eastAsia" w:ascii="宋体" w:hAnsi="宋体" w:eastAsia="宋体" w:cs="宋体"/>
          <w:color w:val="auto"/>
          <w:sz w:val="24"/>
          <w:szCs w:val="24"/>
          <w:highlight w:val="none"/>
          <w:lang w:val="en-US" w:eastAsia="zh-CN"/>
        </w:rPr>
        <w:t>8.</w:t>
      </w:r>
      <w:bookmarkStart w:id="24" w:name="_Hlk162011358"/>
      <w:r>
        <w:rPr>
          <w:rFonts w:hint="eastAsia" w:ascii="宋体" w:hAnsi="宋体" w:eastAsia="宋体" w:cs="宋体"/>
          <w:color w:val="auto"/>
          <w:sz w:val="24"/>
          <w:szCs w:val="24"/>
          <w:highlight w:val="none"/>
          <w:lang w:val="en-US" w:eastAsia="zh-CN"/>
        </w:rPr>
        <w:t>本项目是否接受联合体投标：□是</w:t>
      </w:r>
      <w:bookmarkEnd w:id="24"/>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否</w:t>
      </w:r>
    </w:p>
    <w:p w14:paraId="1EEB162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09899830"/>
      <w:bookmarkStart w:id="26" w:name="_Toc109900249"/>
      <w:bookmarkStart w:id="27" w:name="_Toc140132746"/>
      <w:bookmarkStart w:id="28" w:name="_Toc109899411"/>
      <w:bookmarkStart w:id="29" w:name="_Toc6051"/>
      <w:bookmarkStart w:id="30" w:name="_Toc15518586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p>
    <w:p w14:paraId="1E98959A">
      <w:pPr>
        <w:spacing w:line="360" w:lineRule="auto"/>
        <w:ind w:firstLine="480" w:firstLineChars="200"/>
        <w:rPr>
          <w:rFonts w:hint="eastAsia" w:ascii="宋体" w:hAnsi="宋体" w:eastAsia="宋体" w:cs="宋体"/>
          <w:color w:val="auto"/>
          <w:sz w:val="24"/>
          <w:szCs w:val="24"/>
          <w:highlight w:val="none"/>
          <w:lang w:val="en-US" w:eastAsia="zh-CN"/>
        </w:rPr>
      </w:pPr>
      <w:bookmarkStart w:id="31" w:name="_Hlk89807755"/>
      <w:bookmarkStart w:id="32" w:name="_Toc35393631"/>
      <w:bookmarkStart w:id="33" w:name="_Toc28359091"/>
      <w:bookmarkStart w:id="34" w:name="_Toc28359014"/>
      <w:bookmarkStart w:id="35" w:name="_Toc35393800"/>
      <w:bookmarkStart w:id="36" w:name="_Toc44583630"/>
      <w:r>
        <w:rPr>
          <w:rFonts w:hint="eastAsia" w:ascii="宋体" w:hAnsi="宋体" w:eastAsia="宋体" w:cs="宋体"/>
          <w:color w:val="auto"/>
          <w:sz w:val="24"/>
          <w:szCs w:val="24"/>
          <w:highlight w:val="none"/>
          <w:lang w:val="en-US" w:eastAsia="zh-CN"/>
        </w:rPr>
        <w:t>1.满足《中华人民共和国政府采购法》第二十二条规定；供应商须在响应文件中提供完整、准确、真实的兵团政府采购供应商信用承诺函。</w:t>
      </w:r>
    </w:p>
    <w:p w14:paraId="6506B33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法人营业执照（副本）或事业单位法人证书（副本）或个体工商户营业执照或有效的自然人身份证明、组织机构代码证扫描件（供应商按“三证合一”登记制度办理营业执照的,组织机构代码证和税务登记证（副本）以供应商所提供的营业执照（副本）扫描件为准。）供应商法定代表人身份证明和法定代表人授权代表委托书。</w:t>
      </w:r>
    </w:p>
    <w:p w14:paraId="0CF19E3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（2）供应商必须为前三年内（202</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年6月1日至投标截止时间(开标时间)）前未被列入“信用中国”网站(www.creditchina.gov.cn)失信被执行人、重大税收违法失信主体，不能是被列入“中国政府采购网”网站（www.ccgp.gov.cn）政府采购严重违法失信行为记录名单中仍在处罚期被禁止参加政府采购活动的供应商。</w:t>
      </w:r>
    </w:p>
    <w:p w14:paraId="6573D1B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2.落实政府采购政策需满足的资格要求：本项目专门面向中小企业采购，供应商须为中小企业（含微型企业），不再执行价格评审优惠政策，请根据要求单独上传《中小企业声明函》，格式以采购文件“</w:t>
      </w:r>
      <w:r>
        <w:rPr>
          <w:rFonts w:hint="eastAsia" w:cs="宋体"/>
          <w:color w:val="auto"/>
          <w:sz w:val="24"/>
          <w:szCs w:val="24"/>
          <w:highlight w:val="none"/>
          <w:lang w:val="en-US" w:eastAsia="zh-CN"/>
        </w:rPr>
        <w:t>第七章</w:t>
      </w:r>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文件格式”中要求为准。残疾人福利性单位和监狱企业视同小微企业，可以参加本项目竞争性磋商，请按采购文件“</w:t>
      </w:r>
      <w:r>
        <w:rPr>
          <w:rFonts w:hint="eastAsia" w:cs="宋体"/>
          <w:color w:val="auto"/>
          <w:sz w:val="24"/>
          <w:szCs w:val="24"/>
          <w:highlight w:val="none"/>
          <w:lang w:val="en-US" w:eastAsia="zh-CN"/>
        </w:rPr>
        <w:t>第七章</w:t>
      </w:r>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 xml:space="preserve">文件格式”中的规定格式上传证明文件 。          </w:t>
      </w:r>
    </w:p>
    <w:p w14:paraId="29952A03">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3.本项目的特定资格要求：无</w:t>
      </w:r>
    </w:p>
    <w:p w14:paraId="3B93CFA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 其他资格要求：</w:t>
      </w:r>
    </w:p>
    <w:p w14:paraId="0692662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（1）法定代表人或单位负责人为同一人或者存在直接控股、管理关系的不同供应商，不得参加同一合同项下的政府采购活动。</w:t>
      </w:r>
    </w:p>
    <w:p w14:paraId="4F22E59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（2）除单一来源采购项目外，为采购项目提供整体设计、规范编制或者项目管理、监理、检测等服务的供应商，不得再参加该采购项目的其他采购活动。</w:t>
      </w:r>
    </w:p>
    <w:p w14:paraId="1F555688">
      <w:pPr>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（3）供应商的信用行为：在资格审查阶段经查询，未被列入“失信被执行人”、“重大税收违法失信主体”、“政府采购严重违法失信行为记录名单”其中之一。如有以上不良信用记录之一的，其响应无效</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none"/>
          <w:lang w:val="en-US" w:eastAsia="zh-CN"/>
        </w:rPr>
        <w:t xml:space="preserve">              </w:t>
      </w:r>
    </w:p>
    <w:bookmarkEnd w:id="31"/>
    <w:p w14:paraId="17F1ED4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7" w:name="_Toc109899412"/>
      <w:bookmarkStart w:id="38" w:name="_Toc140132747"/>
      <w:bookmarkStart w:id="39" w:name="_Toc15759"/>
      <w:bookmarkStart w:id="40" w:name="_Toc109899831"/>
      <w:bookmarkStart w:id="41" w:name="_Toc155185862"/>
      <w:bookmarkStart w:id="42" w:name="_Toc10990025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2"/>
      <w:bookmarkEnd w:id="33"/>
      <w:bookmarkEnd w:id="34"/>
      <w:bookmarkEnd w:id="35"/>
      <w:bookmarkEnd w:id="36"/>
      <w:bookmarkEnd w:id="37"/>
      <w:bookmarkEnd w:id="38"/>
      <w:bookmarkEnd w:id="39"/>
      <w:bookmarkEnd w:id="40"/>
      <w:bookmarkEnd w:id="41"/>
      <w:bookmarkEnd w:id="42"/>
      <w:r>
        <w:rPr>
          <w:rFonts w:hint="eastAsia" w:ascii="宋体" w:hAnsi="宋体" w:eastAsia="宋体" w:cs="宋体"/>
          <w:b/>
          <w:bCs/>
          <w:color w:val="auto"/>
          <w:kern w:val="2"/>
          <w:sz w:val="24"/>
          <w:szCs w:val="24"/>
          <w:highlight w:val="none"/>
          <w:lang w:val="hr-HR" w:eastAsia="zh-CN" w:bidi="ar-SA"/>
        </w:rPr>
        <w:t xml:space="preserve"> </w:t>
      </w:r>
    </w:p>
    <w:p w14:paraId="7F0135DE">
      <w:pPr>
        <w:pStyle w:val="39"/>
        <w:spacing w:line="360" w:lineRule="auto"/>
        <w:rPr>
          <w:rFonts w:hint="eastAsia" w:ascii="宋体" w:hAnsi="宋体" w:eastAsia="宋体" w:cs="宋体"/>
          <w:color w:val="auto"/>
          <w:sz w:val="24"/>
          <w:szCs w:val="24"/>
          <w:highlight w:val="none"/>
          <w:lang w:val="hr-HR"/>
        </w:rPr>
      </w:pPr>
      <w:bookmarkStart w:id="43" w:name="_Hlk130457234"/>
      <w:bookmarkStart w:id="44" w:name="_Toc35393632"/>
      <w:bookmarkStart w:id="45" w:name="_Toc28359015"/>
      <w:bookmarkStart w:id="46" w:name="_Hlk130457327"/>
      <w:bookmarkStart w:id="47" w:name="_Toc35393801"/>
      <w:bookmarkStart w:id="48" w:name="_Hlk130457261"/>
      <w:bookmarkStart w:id="49" w:name="_Toc28359092"/>
      <w:r>
        <w:rPr>
          <w:rFonts w:hint="eastAsia" w:ascii="宋体" w:hAnsi="宋体" w:eastAsia="宋体" w:cs="宋体"/>
          <w:color w:val="auto"/>
          <w:sz w:val="24"/>
          <w:szCs w:val="24"/>
          <w:highlight w:val="none"/>
          <w:lang w:val="hr-HR"/>
        </w:rPr>
        <w:t>1.时间：2025年6月</w:t>
      </w:r>
      <w:r>
        <w:rPr>
          <w:rFonts w:hint="eastAsia" w:cs="宋体"/>
          <w:color w:val="auto"/>
          <w:sz w:val="24"/>
          <w:szCs w:val="24"/>
          <w:highlight w:val="none"/>
          <w:lang w:val="en-US" w:eastAsia="zh-CN"/>
        </w:rPr>
        <w:t>18</w:t>
      </w:r>
      <w:r>
        <w:rPr>
          <w:rFonts w:hint="eastAsia" w:ascii="宋体" w:hAnsi="宋体" w:eastAsia="宋体" w:cs="宋体"/>
          <w:color w:val="auto"/>
          <w:sz w:val="24"/>
          <w:szCs w:val="24"/>
          <w:highlight w:val="none"/>
          <w:lang w:val="hr-HR"/>
        </w:rPr>
        <w:t>日至2025年6月</w:t>
      </w:r>
      <w:r>
        <w:rPr>
          <w:rFonts w:hint="eastAsia" w:cs="宋体"/>
          <w:color w:val="auto"/>
          <w:sz w:val="24"/>
          <w:szCs w:val="24"/>
          <w:highlight w:val="none"/>
          <w:lang w:val="en-US" w:eastAsia="zh-CN"/>
        </w:rPr>
        <w:t>25</w:t>
      </w:r>
      <w:r>
        <w:rPr>
          <w:rFonts w:hint="eastAsia" w:ascii="宋体" w:hAnsi="宋体" w:eastAsia="宋体" w:cs="宋体"/>
          <w:color w:val="auto"/>
          <w:sz w:val="24"/>
          <w:szCs w:val="24"/>
          <w:highlight w:val="none"/>
          <w:lang w:val="hr-HR"/>
        </w:rPr>
        <w:t>日，每天上午00:00至12:00，下午12：00至23:59（北京时间，法定节假日除外）。</w:t>
      </w:r>
    </w:p>
    <w:bookmarkEnd w:id="43"/>
    <w:p w14:paraId="34FD69C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hr-HR"/>
        </w:rPr>
        <w:t>2.</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hr-HR"/>
        </w:rPr>
        <w:t>：</w:t>
      </w:r>
      <w:bookmarkStart w:id="50" w:name="_Hlk89807779"/>
      <w:r>
        <w:rPr>
          <w:rFonts w:hint="eastAsia" w:ascii="宋体" w:hAnsi="宋体" w:eastAsia="宋体" w:cs="宋体"/>
          <w:color w:val="auto"/>
          <w:sz w:val="24"/>
          <w:szCs w:val="24"/>
          <w:highlight w:val="none"/>
          <w:lang w:val="en-US"/>
        </w:rPr>
        <w:t>兵团</w:t>
      </w:r>
      <w:r>
        <w:rPr>
          <w:rFonts w:hint="eastAsia" w:ascii="宋体" w:hAnsi="宋体" w:eastAsia="宋体" w:cs="宋体"/>
          <w:color w:val="auto"/>
          <w:sz w:val="24"/>
          <w:szCs w:val="24"/>
          <w:highlight w:val="none"/>
        </w:rPr>
        <w:t>政府采购</w:t>
      </w:r>
      <w:r>
        <w:rPr>
          <w:rFonts w:hint="eastAsia" w:ascii="宋体" w:hAnsi="宋体" w:eastAsia="宋体" w:cs="宋体"/>
          <w:color w:val="auto"/>
          <w:sz w:val="24"/>
          <w:szCs w:val="24"/>
          <w:highlight w:val="none"/>
          <w:lang w:val="en-US"/>
        </w:rPr>
        <w:t>电子交易云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网址</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rPr>
        <w:t>。</w:t>
      </w:r>
      <w:bookmarkEnd w:id="50"/>
    </w:p>
    <w:p w14:paraId="5DDD414F">
      <w:pPr>
        <w:pStyle w:val="39"/>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hr-HR"/>
        </w:rPr>
        <w:t>3.</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投标供应商登录政采云平台</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lang w:val="en-US"/>
        </w:rPr>
        <w:t>在线申请</w:t>
      </w:r>
      <w:r>
        <w:rPr>
          <w:rFonts w:hint="eastAsia" w:ascii="宋体" w:hAnsi="宋体" w:eastAsia="宋体" w:cs="宋体"/>
          <w:color w:val="auto"/>
          <w:sz w:val="24"/>
          <w:szCs w:val="24"/>
          <w:highlight w:val="none"/>
          <w:lang w:val="en-US" w:eastAsia="zh-CN"/>
        </w:rPr>
        <w:t>，免费</w:t>
      </w:r>
      <w:r>
        <w:rPr>
          <w:rFonts w:hint="eastAsia" w:ascii="宋体" w:hAnsi="宋体" w:eastAsia="宋体" w:cs="宋体"/>
          <w:color w:val="auto"/>
          <w:sz w:val="24"/>
          <w:szCs w:val="24"/>
          <w:highlight w:val="none"/>
          <w:lang w:val="en-US"/>
        </w:rPr>
        <w:t>获取</w:t>
      </w:r>
      <w:r>
        <w:rPr>
          <w:rFonts w:hint="eastAsia" w:ascii="宋体" w:hAnsi="宋体" w:eastAsia="宋体" w:cs="宋体"/>
          <w:color w:val="auto"/>
          <w:sz w:val="24"/>
          <w:szCs w:val="24"/>
          <w:highlight w:val="none"/>
          <w:lang w:val="en-US" w:eastAsia="zh-CN"/>
        </w:rPr>
        <w:t>电子</w:t>
      </w:r>
      <w:r>
        <w:rPr>
          <w:rFonts w:hint="eastAsia" w:ascii="宋体" w:hAnsi="宋体" w:eastAsia="宋体" w:cs="宋体"/>
          <w:color w:val="auto"/>
          <w:sz w:val="24"/>
          <w:szCs w:val="24"/>
          <w:highlight w:val="none"/>
          <w:lang w:val="en-US"/>
        </w:rPr>
        <w:t>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进入</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项目采购</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应用</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在获取采购文件菜单中选择项目</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申请获取采购文件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w:t>
      </w:r>
    </w:p>
    <w:p w14:paraId="42A40251">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4.售价：0元。</w:t>
      </w:r>
      <w:r>
        <w:rPr>
          <w:rFonts w:hint="eastAsia" w:ascii="宋体" w:hAnsi="宋体" w:eastAsia="宋体" w:cs="宋体"/>
          <w:color w:val="auto"/>
          <w:sz w:val="24"/>
          <w:szCs w:val="24"/>
          <w:highlight w:val="none"/>
          <w:lang w:val="hr-HR"/>
        </w:rPr>
        <w:t xml:space="preserve"> </w:t>
      </w:r>
    </w:p>
    <w:bookmarkEnd w:id="44"/>
    <w:bookmarkEnd w:id="45"/>
    <w:bookmarkEnd w:id="46"/>
    <w:bookmarkEnd w:id="47"/>
    <w:bookmarkEnd w:id="48"/>
    <w:bookmarkEnd w:id="49"/>
    <w:p w14:paraId="62F5362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1" w:name="_Toc109900251"/>
      <w:bookmarkStart w:id="52" w:name="_Toc140132748"/>
      <w:bookmarkStart w:id="53" w:name="_Toc109899832"/>
      <w:bookmarkStart w:id="54" w:name="_Toc109899413"/>
      <w:bookmarkStart w:id="55" w:name="_Toc155185863"/>
      <w:bookmarkStart w:id="56" w:name="_Toc23198"/>
      <w:bookmarkStart w:id="57" w:name="_Hlk130457395"/>
      <w:bookmarkStart w:id="58" w:name="_Toc35393803"/>
      <w:bookmarkStart w:id="59" w:name="_Toc28359017"/>
      <w:bookmarkStart w:id="60" w:name="_Toc28359094"/>
      <w:bookmarkStart w:id="61" w:name="_Toc35393634"/>
      <w:bookmarkStart w:id="62" w:name="_Toc44583633"/>
      <w:r>
        <w:rPr>
          <w:rFonts w:hint="eastAsia" w:ascii="宋体" w:hAnsi="宋体" w:eastAsia="宋体" w:cs="宋体"/>
          <w:b/>
          <w:bCs/>
          <w:color w:val="auto"/>
          <w:kern w:val="2"/>
          <w:sz w:val="24"/>
          <w:szCs w:val="24"/>
          <w:highlight w:val="none"/>
          <w:lang w:val="en-US" w:eastAsia="zh-CN" w:bidi="ar-SA"/>
        </w:rPr>
        <w:t>四、</w:t>
      </w:r>
      <w:bookmarkEnd w:id="51"/>
      <w:bookmarkEnd w:id="52"/>
      <w:bookmarkEnd w:id="53"/>
      <w:bookmarkEnd w:id="54"/>
      <w:bookmarkEnd w:id="55"/>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6"/>
    </w:p>
    <w:p w14:paraId="2D110B47">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1.截止时间</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2025年7月15日11</w:t>
      </w:r>
      <w:r>
        <w:rPr>
          <w:rFonts w:hint="eastAsia" w:ascii="宋体" w:hAnsi="宋体" w:eastAsia="宋体" w:cs="宋体"/>
          <w:color w:val="auto"/>
          <w:sz w:val="24"/>
          <w:szCs w:val="24"/>
          <w:highlight w:val="none"/>
          <w:u w:val="single"/>
        </w:rPr>
        <w:t>时</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p w14:paraId="51B173F3">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2.递交方式：</w:t>
      </w:r>
      <w:bookmarkStart w:id="63" w:name="_Hlk89807823"/>
      <w:r>
        <w:rPr>
          <w:rFonts w:hint="eastAsia" w:ascii="宋体" w:hAnsi="宋体" w:eastAsia="宋体" w:cs="宋体"/>
          <w:color w:val="auto"/>
          <w:sz w:val="24"/>
          <w:szCs w:val="24"/>
          <w:highlight w:val="none"/>
        </w:rPr>
        <w:t>在兵团政府采购电子交易云平台（网址：https://www.zcygov.cn/）进入“项目采购”应用，在投标文件上传菜单中选择项目进行上传。</w:t>
      </w:r>
      <w:bookmarkEnd w:id="63"/>
    </w:p>
    <w:p w14:paraId="276D3E17">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3.开标</w:t>
      </w:r>
      <w:r>
        <w:rPr>
          <w:rFonts w:hint="eastAsia" w:ascii="宋体" w:hAnsi="宋体" w:eastAsia="宋体" w:cs="宋体"/>
          <w:color w:val="auto"/>
          <w:sz w:val="24"/>
          <w:szCs w:val="24"/>
          <w:highlight w:val="none"/>
          <w:lang w:val="en-US"/>
        </w:rPr>
        <w:t>地点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lang w:val="en-US"/>
        </w:rPr>
        <w:t>登录政采云平台https</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//www.zcygov.cn/，进入项目采购</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开</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rPr>
        <w:t>评标</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右边选择对应项目点击“进入项目”进入开标大厅</w:t>
      </w:r>
      <w:r>
        <w:rPr>
          <w:rFonts w:hint="eastAsia" w:ascii="宋体" w:hAnsi="宋体" w:eastAsia="宋体" w:cs="宋体"/>
          <w:color w:val="auto"/>
          <w:sz w:val="24"/>
          <w:szCs w:val="24"/>
          <w:highlight w:val="none"/>
        </w:rPr>
        <w:t>。</w:t>
      </w:r>
    </w:p>
    <w:bookmarkEnd w:id="57"/>
    <w:p w14:paraId="679A69E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4" w:name="_Toc109899833"/>
      <w:bookmarkStart w:id="65" w:name="_Toc140132749"/>
      <w:bookmarkStart w:id="66" w:name="_Toc109900252"/>
      <w:bookmarkStart w:id="67" w:name="_Toc109899414"/>
      <w:bookmarkStart w:id="68" w:name="_Toc31341"/>
      <w:bookmarkStart w:id="69" w:name="_Toc155185864"/>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8"/>
      <w:bookmarkEnd w:id="59"/>
      <w:bookmarkEnd w:id="60"/>
      <w:bookmarkEnd w:id="61"/>
      <w:bookmarkEnd w:id="62"/>
      <w:bookmarkEnd w:id="64"/>
      <w:bookmarkEnd w:id="65"/>
      <w:bookmarkEnd w:id="66"/>
      <w:bookmarkEnd w:id="67"/>
      <w:bookmarkEnd w:id="68"/>
      <w:bookmarkEnd w:id="69"/>
    </w:p>
    <w:p w14:paraId="32028F42">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自招标公告发布之日起5个工作日。</w:t>
      </w:r>
    </w:p>
    <w:p w14:paraId="20DD1AA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0" w:name="_Toc35393635"/>
      <w:bookmarkStart w:id="71" w:name="_Toc35393804"/>
      <w:bookmarkStart w:id="72" w:name="_Toc109900253"/>
      <w:bookmarkStart w:id="73" w:name="_Toc140132750"/>
      <w:bookmarkStart w:id="74" w:name="_Toc44583634"/>
      <w:bookmarkStart w:id="75" w:name="_Toc3011"/>
      <w:bookmarkStart w:id="76" w:name="_Toc109899834"/>
      <w:bookmarkStart w:id="77" w:name="_Toc155185865"/>
      <w:bookmarkStart w:id="78" w:name="_Toc109899415"/>
      <w:bookmarkStart w:id="79" w:name="_Toc28359019"/>
      <w:bookmarkStart w:id="80" w:name="_Toc28359096"/>
      <w:bookmarkStart w:id="81" w:name="_Toc35393637"/>
      <w:bookmarkStart w:id="82" w:name="_Toc35393806"/>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0"/>
      <w:bookmarkEnd w:id="71"/>
      <w:bookmarkEnd w:id="72"/>
      <w:bookmarkEnd w:id="73"/>
      <w:bookmarkEnd w:id="74"/>
      <w:bookmarkEnd w:id="75"/>
      <w:bookmarkEnd w:id="76"/>
      <w:bookmarkEnd w:id="77"/>
      <w:bookmarkEnd w:id="78"/>
    </w:p>
    <w:p w14:paraId="743BCBD0">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1、本项目实行网上投标，采用电子投标文件；</w:t>
      </w:r>
    </w:p>
    <w:p w14:paraId="1175B44A">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各投标人应在开标前应确保成为政采云平台供应商，并完成CA数字证书（符合国密标准）申领。因未注册入库、未办理CA数字证书等原因造成无法投标或投标失败等后果由投标人自行承担。有意向参与兵团区域电子开评标的投标人，可访问兵团政府采购网-办事指南-操作指南-CA证书办理操作指南或点击链接：http://ccgp-bingtuan.gov.cn/site/detail?parentId=189171&amp;articleId=CZ0bD526ZE+CHX5isJvt0w==&amp;utm=site.site-PC-4840.633-pc-websitegroup-secondlevelpage-front.1.2e96d52081d811eebbd67dd2372c0b9a自行进行申领。</w:t>
      </w:r>
    </w:p>
    <w:p w14:paraId="34AAF104">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兵团政府采购网（http://ccgp-bingtuan.gov.cn/）下载专区查看，如有问题可拨打政采云客户服务热线95763进行咨询。如因投标人自身原因导致在规定时间内无法正常解密的（如：浏览器故障、未安装相关驱动、网络故障、加密CA与解密CA不一致等），视为投标人自动弃标。</w:t>
      </w:r>
    </w:p>
    <w:bookmarkEnd w:id="3"/>
    <w:bookmarkEnd w:id="79"/>
    <w:bookmarkEnd w:id="80"/>
    <w:bookmarkEnd w:id="81"/>
    <w:bookmarkEnd w:id="82"/>
    <w:p w14:paraId="723251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3" w:name="_Toc109899835"/>
      <w:bookmarkStart w:id="84" w:name="_Toc140132751"/>
      <w:bookmarkStart w:id="85" w:name="_Toc109899416"/>
      <w:bookmarkStart w:id="86" w:name="_Toc155185866"/>
      <w:bookmarkStart w:id="87" w:name="_Toc109900254"/>
      <w:bookmarkStart w:id="88" w:name="_Toc35393636"/>
      <w:bookmarkStart w:id="89" w:name="_Toc28359018"/>
      <w:bookmarkStart w:id="90" w:name="_Toc35393805"/>
      <w:bookmarkStart w:id="91" w:name="_Toc44583635"/>
      <w:bookmarkStart w:id="92" w:name="_Toc28359095"/>
      <w:bookmarkStart w:id="93" w:name="_Toc17512"/>
      <w:r>
        <w:rPr>
          <w:rFonts w:hint="eastAsia" w:ascii="宋体" w:hAnsi="宋体" w:eastAsia="宋体" w:cs="宋体"/>
          <w:b/>
          <w:bCs/>
          <w:color w:val="auto"/>
          <w:kern w:val="2"/>
          <w:sz w:val="24"/>
          <w:szCs w:val="24"/>
          <w:highlight w:val="none"/>
          <w:lang w:val="en-US" w:eastAsia="zh-CN" w:bidi="ar-SA"/>
        </w:rPr>
        <w:t>七、</w:t>
      </w:r>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74D4D291">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1.采购人信息</w:t>
      </w:r>
    </w:p>
    <w:p w14:paraId="699333D4">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名称：</w:t>
      </w:r>
      <w:r>
        <w:rPr>
          <w:rFonts w:hint="eastAsia" w:ascii="宋体" w:hAnsi="宋体" w:eastAsia="宋体" w:cs="宋体"/>
          <w:i w:val="0"/>
          <w:iCs w:val="0"/>
          <w:color w:val="auto"/>
          <w:sz w:val="24"/>
          <w:szCs w:val="24"/>
          <w:highlight w:val="none"/>
          <w:u w:val="single"/>
        </w:rPr>
        <w:t xml:space="preserve">新疆生产建设兵团第三师五十三团城镇建设和生态保护中心 </w:t>
      </w:r>
    </w:p>
    <w:p w14:paraId="04F1E9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地址：</w:t>
      </w:r>
      <w:r>
        <w:rPr>
          <w:rFonts w:hint="eastAsia" w:cs="宋体"/>
          <w:i w:val="0"/>
          <w:iCs w:val="0"/>
          <w:color w:val="auto"/>
          <w:sz w:val="24"/>
          <w:szCs w:val="24"/>
          <w:highlight w:val="none"/>
          <w:u w:val="single"/>
          <w:lang w:eastAsia="zh-CN"/>
        </w:rPr>
        <w:t>第三师图木舒克市五十三团光明路2号</w:t>
      </w:r>
    </w:p>
    <w:p w14:paraId="58886B34">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bookmarkStart w:id="94" w:name="_Hlk46775675"/>
      <w:r>
        <w:rPr>
          <w:rFonts w:hint="eastAsia" w:cs="宋体"/>
          <w:i w:val="0"/>
          <w:iCs w:val="0"/>
          <w:color w:val="auto"/>
          <w:sz w:val="24"/>
          <w:szCs w:val="24"/>
          <w:highlight w:val="none"/>
          <w:u w:val="single"/>
          <w:lang w:eastAsia="zh-CN"/>
        </w:rPr>
        <w:t>王庆玉</w:t>
      </w:r>
      <w:r>
        <w:rPr>
          <w:rFonts w:hint="eastAsia" w:cs="宋体"/>
          <w:i w:val="0"/>
          <w:iCs w:val="0"/>
          <w:color w:val="auto"/>
          <w:sz w:val="24"/>
          <w:szCs w:val="24"/>
          <w:highlight w:val="none"/>
          <w:u w:val="single"/>
          <w:lang w:val="en-US" w:eastAsia="zh-CN"/>
        </w:rPr>
        <w:t xml:space="preserve">  13579323018</w:t>
      </w:r>
    </w:p>
    <w:bookmarkEnd w:id="94"/>
    <w:p w14:paraId="7B446FC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95" w:name="_Toc28359097"/>
      <w:bookmarkStart w:id="96" w:name="_Toc35393638"/>
      <w:bookmarkStart w:id="97" w:name="_Toc35393807"/>
      <w:bookmarkStart w:id="98" w:name="_Toc28359020"/>
      <w:r>
        <w:rPr>
          <w:rFonts w:hint="eastAsia" w:ascii="宋体" w:hAnsi="宋体" w:eastAsia="宋体" w:cs="宋体"/>
          <w:i w:val="0"/>
          <w:iCs w:val="0"/>
          <w:color w:val="auto"/>
          <w:sz w:val="24"/>
          <w:szCs w:val="24"/>
          <w:highlight w:val="none"/>
        </w:rPr>
        <w:t>2.采购代理机构信息</w:t>
      </w:r>
      <w:bookmarkEnd w:id="95"/>
      <w:bookmarkEnd w:id="96"/>
      <w:bookmarkEnd w:id="97"/>
      <w:bookmarkEnd w:id="98"/>
    </w:p>
    <w:p w14:paraId="2CE0AA7D">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名称：</w:t>
      </w:r>
      <w:r>
        <w:rPr>
          <w:rFonts w:hint="eastAsia" w:cs="宋体"/>
          <w:i w:val="0"/>
          <w:iCs w:val="0"/>
          <w:color w:val="auto"/>
          <w:sz w:val="24"/>
          <w:szCs w:val="24"/>
          <w:highlight w:val="none"/>
          <w:u w:val="single"/>
          <w:lang w:val="en-US" w:eastAsia="zh-CN"/>
        </w:rPr>
        <w:t>图木舒克佳禾工程咨询有限公司</w:t>
      </w:r>
    </w:p>
    <w:p w14:paraId="20EB1CBA">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地址：</w:t>
      </w:r>
      <w:r>
        <w:rPr>
          <w:rFonts w:hint="eastAsia" w:cs="宋体"/>
          <w:i w:val="0"/>
          <w:iCs w:val="0"/>
          <w:color w:val="auto"/>
          <w:sz w:val="24"/>
          <w:szCs w:val="24"/>
          <w:highlight w:val="none"/>
          <w:u w:val="single"/>
          <w:lang w:val="en-US" w:eastAsia="zh-CN"/>
        </w:rPr>
        <w:t>新疆图木舒克市锦绣西街靓景明居门面48-49</w:t>
      </w:r>
    </w:p>
    <w:p w14:paraId="2EA1B0E7">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r>
        <w:rPr>
          <w:rFonts w:hint="eastAsia" w:cs="宋体"/>
          <w:i w:val="0"/>
          <w:iCs w:val="0"/>
          <w:color w:val="auto"/>
          <w:sz w:val="24"/>
          <w:szCs w:val="24"/>
          <w:highlight w:val="none"/>
          <w:u w:val="single"/>
          <w:lang w:val="en-US" w:eastAsia="zh-CN"/>
        </w:rPr>
        <w:t>梁兴源  18167884580</w:t>
      </w:r>
    </w:p>
    <w:p w14:paraId="24D30547">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lang w:val="en-US" w:eastAsia="zh-CN"/>
        </w:rPr>
      </w:pPr>
      <w:bookmarkStart w:id="99" w:name="_Toc28359098"/>
      <w:bookmarkStart w:id="100" w:name="_Toc35393808"/>
      <w:bookmarkStart w:id="101" w:name="_Toc28359021"/>
      <w:bookmarkStart w:id="102" w:name="_Toc35393639"/>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项目联系方式</w:t>
      </w:r>
    </w:p>
    <w:p w14:paraId="10ECB00F">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联系人：</w:t>
      </w:r>
      <w:r>
        <w:rPr>
          <w:rFonts w:hint="eastAsia" w:cs="宋体"/>
          <w:i w:val="0"/>
          <w:iCs w:val="0"/>
          <w:color w:val="auto"/>
          <w:sz w:val="24"/>
          <w:szCs w:val="24"/>
          <w:highlight w:val="none"/>
          <w:u w:val="single"/>
          <w:lang w:val="en-US" w:eastAsia="zh-CN"/>
        </w:rPr>
        <w:t>梁兴源</w:t>
      </w:r>
    </w:p>
    <w:bookmarkEnd w:id="99"/>
    <w:bookmarkEnd w:id="100"/>
    <w:bookmarkEnd w:id="101"/>
    <w:bookmarkEnd w:id="102"/>
    <w:p w14:paraId="2FDD4820">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i w:val="0"/>
          <w:iCs w:val="0"/>
          <w:color w:val="auto"/>
          <w:sz w:val="24"/>
          <w:szCs w:val="24"/>
          <w:highlight w:val="none"/>
          <w:lang w:val="en-US" w:eastAsia="zh-CN"/>
        </w:rPr>
        <w:t>电话：</w:t>
      </w:r>
      <w:r>
        <w:rPr>
          <w:rFonts w:hint="eastAsia" w:cs="宋体"/>
          <w:i w:val="0"/>
          <w:iCs w:val="0"/>
          <w:color w:val="auto"/>
          <w:sz w:val="24"/>
          <w:szCs w:val="24"/>
          <w:highlight w:val="none"/>
          <w:u w:val="single"/>
          <w:lang w:val="en-US" w:eastAsia="zh-CN"/>
        </w:rPr>
        <w:t>18167884580</w:t>
      </w:r>
    </w:p>
    <w:p w14:paraId="3EF17BC4">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53479CE">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6A56ADB8">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3" w:name="_Toc22451"/>
      <w:bookmarkStart w:id="104" w:name="_Toc155185867"/>
      <w:r>
        <w:rPr>
          <w:rFonts w:hint="eastAsia" w:ascii="宋体" w:hAnsi="宋体" w:eastAsia="宋体" w:cs="宋体"/>
          <w:b/>
          <w:bCs/>
          <w:color w:val="auto"/>
          <w:kern w:val="44"/>
          <w:sz w:val="36"/>
          <w:szCs w:val="36"/>
          <w:highlight w:val="none"/>
          <w:lang w:val="en-US" w:eastAsia="zh-CN" w:bidi="ar-SA"/>
        </w:rPr>
        <w:t>第二章 投标人须知</w:t>
      </w:r>
      <w:bookmarkEnd w:id="103"/>
      <w:bookmarkEnd w:id="104"/>
    </w:p>
    <w:p w14:paraId="75B79534">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5" w:name="_Toc7311"/>
      <w:bookmarkStart w:id="106"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5"/>
      <w:bookmarkEnd w:id="106"/>
    </w:p>
    <w:p w14:paraId="7F3ACB7A">
      <w:pPr>
        <w:pStyle w:val="39"/>
        <w:keepNext w:val="0"/>
        <w:keepLines w:val="0"/>
        <w:pageBreakBefore w:val="0"/>
        <w:widowControl w:val="0"/>
        <w:kinsoku/>
        <w:overflowPunct/>
        <w:topLinePunct w:val="0"/>
        <w:autoSpaceDE/>
        <w:autoSpaceDN/>
        <w:bidi w:val="0"/>
        <w:adjustRightInd/>
        <w:snapToGrid/>
        <w:textAlignment w:val="auto"/>
        <w:rPr>
          <w:rFonts w:hint="default" w:eastAsia="宋体"/>
          <w:color w:val="auto"/>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r>
        <w:rPr>
          <w:rFonts w:hint="eastAsia" w:ascii="宋体" w:hAnsi="宋体" w:eastAsia="宋体"/>
          <w:color w:val="auto"/>
          <w:highlight w:val="none"/>
          <w:lang w:val="en-US" w:eastAsia="zh-CN"/>
        </w:rPr>
        <w:t>。</w:t>
      </w:r>
    </w:p>
    <w:tbl>
      <w:tblPr>
        <w:tblStyle w:val="31"/>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top"/>
          </w:tcPr>
          <w:p w14:paraId="1EF70A76">
            <w:pPr>
              <w:spacing w:line="240" w:lineRule="auto"/>
              <w:rPr>
                <w:rFonts w:hint="eastAsia" w:ascii="宋体" w:hAnsi="宋体" w:eastAsia="宋体" w:cs="宋体"/>
                <w:sz w:val="24"/>
                <w:szCs w:val="24"/>
                <w:highlight w:val="none"/>
              </w:rPr>
            </w:pPr>
          </w:p>
          <w:p w14:paraId="1DA78D07">
            <w:pPr>
              <w:spacing w:line="240" w:lineRule="auto"/>
              <w:rPr>
                <w:rFonts w:hint="eastAsia" w:ascii="宋体" w:hAnsi="宋体" w:eastAsia="宋体" w:cs="宋体"/>
                <w:sz w:val="24"/>
                <w:szCs w:val="24"/>
                <w:highlight w:val="none"/>
              </w:rPr>
            </w:pPr>
          </w:p>
          <w:p w14:paraId="5A910C8D">
            <w:pPr>
              <w:pStyle w:val="83"/>
              <w:spacing w:before="78" w:line="240" w:lineRule="auto"/>
              <w:ind w:left="232" w:leftChars="0"/>
              <w:rPr>
                <w:rFonts w:hint="eastAsia" w:ascii="宋体" w:hAnsi="宋体" w:eastAsia="宋体" w:cs="宋体"/>
                <w:color w:val="auto"/>
                <w:sz w:val="24"/>
                <w:szCs w:val="24"/>
                <w:highlight w:val="none"/>
                <w:lang w:val="en-US" w:eastAsia="zh-CN"/>
              </w:rPr>
            </w:pPr>
            <w:r>
              <w:rPr>
                <w:rFonts w:hint="eastAsia" w:ascii="宋体" w:hAnsi="宋体" w:eastAsia="宋体" w:cs="宋体"/>
                <w:spacing w:val="-5"/>
                <w:sz w:val="24"/>
                <w:szCs w:val="24"/>
                <w:highlight w:val="none"/>
              </w:rPr>
              <w:t>2.4</w:t>
            </w:r>
          </w:p>
        </w:tc>
        <w:tc>
          <w:tcPr>
            <w:tcW w:w="1738" w:type="dxa"/>
            <w:shd w:val="clear" w:color="auto" w:fill="auto"/>
            <w:vAlign w:val="center"/>
          </w:tcPr>
          <w:p w14:paraId="2E1DB926">
            <w:pPr>
              <w:pStyle w:val="51"/>
              <w:rPr>
                <w:rFonts w:hint="eastAsia" w:ascii="宋体" w:hAnsi="宋体" w:eastAsia="宋体" w:cs="宋体"/>
                <w:color w:val="auto"/>
                <w:sz w:val="24"/>
                <w:szCs w:val="24"/>
                <w:highlight w:val="none"/>
                <w:lang w:val="en-US" w:eastAsia="zh-CN"/>
              </w:rPr>
            </w:pPr>
          </w:p>
          <w:p w14:paraId="1183D7F2">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政府采购监督管理部门</w:t>
            </w:r>
          </w:p>
        </w:tc>
        <w:tc>
          <w:tcPr>
            <w:tcW w:w="6700" w:type="dxa"/>
            <w:shd w:val="clear" w:color="auto" w:fill="auto"/>
            <w:vAlign w:val="top"/>
          </w:tcPr>
          <w:p w14:paraId="50A7A1D9">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称：第三师图木舒克市财政局</w:t>
            </w:r>
          </w:p>
          <w:p w14:paraId="0FD6CA72">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址：第三师图木舒克市</w:t>
            </w:r>
          </w:p>
          <w:p w14:paraId="58690099">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人：郑明蛟、龚静</w:t>
            </w:r>
          </w:p>
          <w:p w14:paraId="2868409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联系电话：0998-5701168</w:t>
            </w:r>
          </w:p>
        </w:tc>
      </w:tr>
      <w:tr w14:paraId="13594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662623BB">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shd w:val="clear" w:color="auto" w:fill="auto"/>
            <w:vAlign w:val="center"/>
          </w:tcPr>
          <w:p w14:paraId="115136F4">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服务包含的内容</w:t>
            </w:r>
          </w:p>
        </w:tc>
        <w:tc>
          <w:tcPr>
            <w:tcW w:w="6700" w:type="dxa"/>
            <w:shd w:val="clear" w:color="auto" w:fill="auto"/>
            <w:vAlign w:val="center"/>
          </w:tcPr>
          <w:p w14:paraId="0B61D095">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主要内容：五十三团城镇现有锅炉房40T燃煤锅炉两台、配套环保设施设备、换热站、供热管网及其他配套设施。中标企业承保范围包括供热运行前、运行期间及停运后锅炉、一网、二网、换热站、辅机的维修、维护、保养；环保设备的正常运行维护及支付环保税费等。 </w:t>
            </w:r>
          </w:p>
          <w:p w14:paraId="5586B75E">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其他内容：</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88" w:hRule="atLeast"/>
        </w:trPr>
        <w:tc>
          <w:tcPr>
            <w:tcW w:w="970" w:type="dxa"/>
            <w:vAlign w:val="center"/>
          </w:tcPr>
          <w:p w14:paraId="3A136892">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1"/>
              <w:rPr>
                <w:rFonts w:hint="eastAsia" w:ascii="宋体" w:hAnsi="宋体" w:eastAsia="宋体" w:cs="宋体"/>
                <w:color w:val="auto"/>
                <w:sz w:val="24"/>
                <w:szCs w:val="24"/>
                <w:highlight w:val="none"/>
              </w:rPr>
            </w:pPr>
            <w:bookmarkStart w:id="107" w:name="_Hlk143529175"/>
            <w:r>
              <w:rPr>
                <w:rFonts w:hint="eastAsia" w:ascii="宋体" w:hAnsi="宋体" w:eastAsia="宋体" w:cs="宋体"/>
                <w:color w:val="auto"/>
                <w:sz w:val="24"/>
                <w:szCs w:val="24"/>
                <w:highlight w:val="none"/>
              </w:rPr>
              <w:t>现场考察</w:t>
            </w:r>
            <w:bookmarkEnd w:id="107"/>
          </w:p>
        </w:tc>
        <w:tc>
          <w:tcPr>
            <w:tcW w:w="6700" w:type="dxa"/>
            <w:vAlign w:val="center"/>
          </w:tcPr>
          <w:p w14:paraId="36549596">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938D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24" w:hRule="atLeast"/>
        </w:trPr>
        <w:tc>
          <w:tcPr>
            <w:tcW w:w="970" w:type="dxa"/>
            <w:shd w:val="clear" w:color="auto" w:fill="auto"/>
            <w:vAlign w:val="center"/>
          </w:tcPr>
          <w:p w14:paraId="72B7B10E">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9.5</w:t>
            </w:r>
          </w:p>
        </w:tc>
        <w:tc>
          <w:tcPr>
            <w:tcW w:w="1738" w:type="dxa"/>
            <w:shd w:val="clear" w:color="auto" w:fill="auto"/>
            <w:vAlign w:val="center"/>
          </w:tcPr>
          <w:p w14:paraId="5202195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答疑会</w:t>
            </w:r>
          </w:p>
        </w:tc>
        <w:tc>
          <w:tcPr>
            <w:tcW w:w="6700" w:type="dxa"/>
            <w:shd w:val="clear" w:color="auto" w:fill="auto"/>
            <w:vAlign w:val="center"/>
          </w:tcPr>
          <w:p w14:paraId="632E2EEB">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6646290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7A836479">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8CC81D0">
            <w:pPr>
              <w:pStyle w:val="51"/>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0DDDE2CD">
            <w:pPr>
              <w:pStyle w:val="51"/>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1.方式：在供应商客户端中按照格式填写询问函，并在生成询问函 后加盖电子印章提交；其他询问方式：通过电话或者电子 邮箱联系（</w:t>
            </w:r>
            <w:r>
              <w:rPr>
                <w:rFonts w:hint="eastAsia" w:ascii="宋体" w:hAnsi="宋体" w:eastAsia="宋体" w:cs="宋体"/>
                <w:i w:val="0"/>
                <w:iCs w:val="0"/>
                <w:color w:val="auto"/>
                <w:sz w:val="24"/>
                <w:szCs w:val="24"/>
                <w:highlight w:val="none"/>
                <w:lang w:val="en-US" w:eastAsia="zh-CN"/>
              </w:rPr>
              <w:t>18167884580</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37193412</w:t>
            </w:r>
            <w:r>
              <w:rPr>
                <w:rFonts w:hint="eastAsia" w:ascii="宋体" w:hAnsi="宋体" w:eastAsia="宋体" w:cs="宋体"/>
                <w:i w:val="0"/>
                <w:iCs w:val="0"/>
                <w:color w:val="auto"/>
                <w:sz w:val="24"/>
                <w:szCs w:val="24"/>
                <w:highlight w:val="none"/>
              </w:rPr>
              <w:t>@qq.com）。</w:t>
            </w:r>
          </w:p>
          <w:p w14:paraId="34298C6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rPr>
              <w:t>2.时间要求：投标截止时间。</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DB59B05">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3C88417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BD0D88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5559D2C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34F4AD6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200000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0E21BE7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采购人指定的开户银行及账号如下：</w:t>
            </w:r>
          </w:p>
          <w:p w14:paraId="75B88C23">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开户名称：图木舒克佳禾工程咨询有限公司</w:t>
            </w:r>
          </w:p>
          <w:p w14:paraId="7E030593">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银行名称：中国农业银行股份有限公司图木舒克唐王城南路支行</w:t>
            </w:r>
          </w:p>
          <w:p w14:paraId="69C7437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银行账号：30785801040002000</w:t>
            </w:r>
          </w:p>
          <w:p w14:paraId="48EB6F4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行号：103903278588</w:t>
            </w:r>
          </w:p>
          <w:p w14:paraId="6E39FE8B">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磋商保证金应当以支票、汇票、本票或者金融机构、担保机构出具的保函等非现金形式提交，注意事项如下：</w:t>
            </w:r>
          </w:p>
          <w:p w14:paraId="1EADD64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（1）投标保证金单位名称必须与供应商登记的单位名称一致,不得以分公司、办事处或其他机构名义交纳,否则其投标将被拒绝。</w:t>
            </w:r>
          </w:p>
          <w:p w14:paraId="54B35133">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须在投标截止时间前由投标单位账户一次性汇入招标文件指定帐号（以图木舒克佳禾工程咨询有限公司保证金账户到账时间为准）,供应商须自行评估因异地、跨行、公休日等因素造成的投标保证金到账延迟风险,并承担相应责任。</w:t>
            </w:r>
          </w:p>
          <w:p w14:paraId="0AEB230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请自行查询保证金是否到账,供应商缴纳投标保证金须从供应商基本账户转出,同时备注项目名称或项目编号。保证金缴纳回执凭证及供应商基本账户开户许可证或基本存款账户信息作为电子投标文件组成部分在投标时一并提交。</w:t>
            </w:r>
          </w:p>
          <w:p w14:paraId="3DB736F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采用保函缴纳的，出具的保函承保范围必须包含项目所在地，保函的有效期不低于投标有效期，购买电子投标保函所支付的费用应从供应商企业基本账户转出，同时将电子投标保单作为电子投标文件组成部分在投标时一并提交。 </w:t>
            </w:r>
          </w:p>
          <w:p w14:paraId="6489820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（5）如采用电子保函方式缴纳可按照兵团政府采购网—政策法规模块[关于开展政府采购电子保函业务的通知关于开展政府采购电子保函业务的通知(ccgp-bingtuan.gov.cn)]方式执行。</w:t>
            </w:r>
          </w:p>
          <w:p w14:paraId="08DE2941">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注:供应商未按照招标文件上述要求提交投标保证金的,投标将被否决。</w:t>
            </w:r>
          </w:p>
          <w:p w14:paraId="796794EA">
            <w:pPr>
              <w:pStyle w:val="62"/>
              <w:rPr>
                <w:rFonts w:hint="eastAsia"/>
                <w:highlight w:val="none"/>
              </w:rPr>
            </w:pPr>
            <w:r>
              <w:rPr>
                <w:rFonts w:hint="eastAsia" w:ascii="仿宋" w:hAnsi="仿宋" w:eastAsia="仿宋" w:cs="仿宋"/>
                <w:b/>
                <w:bCs/>
                <w:color w:val="auto"/>
                <w:kern w:val="0"/>
                <w:sz w:val="24"/>
                <w:szCs w:val="24"/>
                <w:highlight w:val="none"/>
                <w:lang w:val="en-US" w:eastAsia="zh-CN"/>
              </w:rPr>
              <w:t>保证金的退还</w:t>
            </w:r>
          </w:p>
          <w:p w14:paraId="7F663411">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（1）未中标单位在中标（成交）通知书发出后5个工作日内退还；</w:t>
            </w:r>
          </w:p>
          <w:p w14:paraId="65E78419">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（2）中标单位在采购合同签订后5个工作日内退还；</w:t>
            </w:r>
          </w:p>
          <w:p w14:paraId="74AFE24D">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（3）为保证各方的权益不受损害，投标单位在退还投标保证金时须填写退还投标保证金申请函，格式详见投标文件</w:t>
            </w:r>
            <w:r>
              <w:rPr>
                <w:rFonts w:hint="eastAsia" w:ascii="宋体" w:hAnsi="宋体" w:cs="宋体"/>
                <w:color w:val="auto"/>
                <w:sz w:val="24"/>
                <w:szCs w:val="24"/>
                <w:highlight w:val="none"/>
                <w:lang w:val="en-US" w:eastAsia="zh-CN"/>
              </w:rPr>
              <w:t>第七章</w:t>
            </w:r>
            <w:r>
              <w:rPr>
                <w:rFonts w:hint="eastAsia" w:ascii="宋体" w:hAnsi="宋体" w:eastAsia="宋体" w:cs="宋体"/>
                <w:color w:val="auto"/>
                <w:sz w:val="24"/>
                <w:szCs w:val="24"/>
                <w:highlight w:val="none"/>
              </w:rPr>
              <w:t>“投标文件格式”。</w:t>
            </w:r>
          </w:p>
          <w:p w14:paraId="57A2DB61">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如有下列情形之一的，投标保证金不予退还：</w:t>
            </w:r>
          </w:p>
          <w:p w14:paraId="1DAF4F16">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①供应商在提交投标文件截止时间后撤销投标文件的；</w:t>
            </w:r>
          </w:p>
          <w:p w14:paraId="34108F15">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②供应商在投标文件中提供虚假材料的；</w:t>
            </w:r>
          </w:p>
          <w:p w14:paraId="735377D1">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③除因不可抗力或招标文件认可的情形以外，成交供应商不与采购人签订合同的；</w:t>
            </w:r>
          </w:p>
          <w:p w14:paraId="328DEE4F">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④供应商与采购人、其他供应商或者采购代理机构恶意串通的；</w:t>
            </w:r>
          </w:p>
          <w:p w14:paraId="17DF33CB">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⑤招标文件规定的其他情形。               </w:t>
            </w:r>
          </w:p>
          <w:p w14:paraId="327EF0E4">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61AE35B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3FCC627E">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27" w:hRule="atLeast"/>
        </w:trPr>
        <w:tc>
          <w:tcPr>
            <w:tcW w:w="970" w:type="dxa"/>
            <w:vAlign w:val="center"/>
          </w:tcPr>
          <w:p w14:paraId="0FAEE6C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5F60BBB0">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本项目不适用</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CE72DC4">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20</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4C7DC32D">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r>
              <w:rPr>
                <w:rFonts w:hint="eastAsia" w:ascii="宋体" w:hAnsi="宋体" w:eastAsia="宋体" w:cs="宋体"/>
                <w:color w:val="auto"/>
                <w:sz w:val="24"/>
                <w:szCs w:val="24"/>
                <w:highlight w:val="none"/>
              </w:rPr>
              <w:t>。</w:t>
            </w:r>
          </w:p>
        </w:tc>
      </w:tr>
      <w:tr w14:paraId="77F3B2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top"/>
          </w:tcPr>
          <w:p w14:paraId="6DAD0732">
            <w:pPr>
              <w:spacing w:line="240" w:lineRule="auto"/>
              <w:rPr>
                <w:rFonts w:hint="eastAsia" w:ascii="宋体" w:hAnsi="宋体" w:eastAsia="宋体" w:cs="宋体"/>
                <w:sz w:val="24"/>
                <w:szCs w:val="24"/>
                <w:highlight w:val="none"/>
              </w:rPr>
            </w:pPr>
          </w:p>
          <w:p w14:paraId="60190DA3">
            <w:pPr>
              <w:spacing w:line="240" w:lineRule="auto"/>
              <w:rPr>
                <w:rFonts w:hint="eastAsia" w:ascii="宋体" w:hAnsi="宋体" w:eastAsia="宋体" w:cs="宋体"/>
                <w:sz w:val="24"/>
                <w:szCs w:val="24"/>
                <w:highlight w:val="none"/>
              </w:rPr>
            </w:pPr>
          </w:p>
          <w:p w14:paraId="23C683DB">
            <w:pPr>
              <w:spacing w:line="240" w:lineRule="auto"/>
              <w:rPr>
                <w:rFonts w:hint="eastAsia" w:ascii="宋体" w:hAnsi="宋体" w:eastAsia="宋体" w:cs="宋体"/>
                <w:sz w:val="24"/>
                <w:szCs w:val="24"/>
                <w:highlight w:val="none"/>
              </w:rPr>
            </w:pPr>
          </w:p>
          <w:p w14:paraId="7D5FB0F8">
            <w:pPr>
              <w:pStyle w:val="83"/>
              <w:spacing w:before="78" w:line="240" w:lineRule="auto"/>
              <w:ind w:left="292" w:leftChars="0"/>
              <w:rPr>
                <w:rFonts w:hint="eastAsia" w:ascii="宋体" w:hAnsi="宋体" w:eastAsia="宋体" w:cs="宋体"/>
                <w:i w:val="0"/>
                <w:iCs w:val="0"/>
                <w:color w:val="auto"/>
                <w:kern w:val="2"/>
                <w:sz w:val="24"/>
                <w:szCs w:val="24"/>
                <w:highlight w:val="none"/>
                <w:lang w:val="en-US" w:eastAsia="en-US" w:bidi="ar-SA"/>
              </w:rPr>
            </w:pPr>
            <w:r>
              <w:rPr>
                <w:rFonts w:hint="eastAsia" w:ascii="宋体" w:hAnsi="宋体" w:eastAsia="宋体" w:cs="宋体"/>
                <w:spacing w:val="-7"/>
                <w:sz w:val="24"/>
                <w:szCs w:val="24"/>
                <w:highlight w:val="none"/>
              </w:rPr>
              <w:t>28</w:t>
            </w:r>
          </w:p>
        </w:tc>
        <w:tc>
          <w:tcPr>
            <w:tcW w:w="1738" w:type="dxa"/>
            <w:shd w:val="clear" w:color="auto" w:fill="auto"/>
            <w:vAlign w:val="center"/>
          </w:tcPr>
          <w:p w14:paraId="41095196">
            <w:pPr>
              <w:spacing w:line="240" w:lineRule="auto"/>
              <w:rPr>
                <w:rFonts w:hint="eastAsia" w:ascii="宋体" w:hAnsi="宋体" w:eastAsia="宋体" w:cs="宋体"/>
                <w:sz w:val="24"/>
                <w:szCs w:val="24"/>
                <w:highlight w:val="none"/>
              </w:rPr>
            </w:pPr>
          </w:p>
          <w:p w14:paraId="07832B2B">
            <w:pPr>
              <w:spacing w:line="240" w:lineRule="auto"/>
              <w:rPr>
                <w:rFonts w:hint="eastAsia" w:ascii="宋体" w:hAnsi="宋体" w:eastAsia="宋体" w:cs="宋体"/>
                <w:sz w:val="24"/>
                <w:szCs w:val="24"/>
                <w:highlight w:val="none"/>
              </w:rPr>
            </w:pPr>
          </w:p>
          <w:p w14:paraId="3DC76705">
            <w:pPr>
              <w:spacing w:line="240" w:lineRule="auto"/>
              <w:rPr>
                <w:rFonts w:hint="eastAsia" w:ascii="宋体" w:hAnsi="宋体" w:eastAsia="宋体" w:cs="宋体"/>
                <w:sz w:val="24"/>
                <w:szCs w:val="24"/>
                <w:highlight w:val="none"/>
              </w:rPr>
            </w:pPr>
          </w:p>
          <w:p w14:paraId="40114116">
            <w:pPr>
              <w:pStyle w:val="83"/>
              <w:spacing w:before="78" w:line="240" w:lineRule="auto"/>
              <w:ind w:left="261" w:leftChars="0"/>
              <w:rPr>
                <w:rFonts w:hint="eastAsia" w:ascii="宋体" w:hAnsi="宋体" w:eastAsia="宋体" w:cs="宋体"/>
                <w:i w:val="0"/>
                <w:iCs w:val="0"/>
                <w:color w:val="auto"/>
                <w:kern w:val="2"/>
                <w:sz w:val="24"/>
                <w:szCs w:val="24"/>
                <w:highlight w:val="none"/>
                <w:lang w:val="en-US" w:eastAsia="en-US" w:bidi="ar-SA"/>
              </w:rPr>
            </w:pPr>
            <w:r>
              <w:rPr>
                <w:rFonts w:hint="eastAsia" w:ascii="宋体" w:hAnsi="宋体" w:eastAsia="宋体" w:cs="宋体"/>
                <w:spacing w:val="-2"/>
                <w:sz w:val="24"/>
                <w:szCs w:val="24"/>
                <w:highlight w:val="none"/>
              </w:rPr>
              <w:t>评标委员会</w:t>
            </w:r>
          </w:p>
        </w:tc>
        <w:tc>
          <w:tcPr>
            <w:tcW w:w="6700" w:type="dxa"/>
            <w:shd w:val="clear" w:color="auto" w:fill="auto"/>
            <w:vAlign w:val="top"/>
          </w:tcPr>
          <w:p w14:paraId="3A690D0A">
            <w:pPr>
              <w:pStyle w:val="83"/>
              <w:spacing w:before="36" w:line="240" w:lineRule="auto"/>
              <w:ind w:left="6" w:hanging="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评标委员会构成</w:t>
            </w:r>
            <w:r>
              <w:rPr>
                <w:rFonts w:hint="eastAsia" w:ascii="宋体" w:hAnsi="宋体" w:eastAsia="宋体" w:cs="宋体"/>
                <w:b/>
                <w:bCs/>
                <w:spacing w:val="3"/>
                <w:sz w:val="24"/>
                <w:szCs w:val="24"/>
                <w:highlight w:val="none"/>
              </w:rPr>
              <w:t>：</w:t>
            </w:r>
            <w:r>
              <w:rPr>
                <w:rFonts w:hint="eastAsia" w:ascii="宋体" w:hAnsi="宋体" w:eastAsia="宋体" w:cs="宋体"/>
                <w:spacing w:val="3"/>
                <w:sz w:val="24"/>
                <w:szCs w:val="24"/>
                <w:highlight w:val="none"/>
              </w:rPr>
              <w:t>共计</w:t>
            </w:r>
            <w:r>
              <w:rPr>
                <w:rFonts w:hint="eastAsia" w:cs="宋体"/>
                <w:spacing w:val="3"/>
                <w:sz w:val="24"/>
                <w:szCs w:val="24"/>
                <w:highlight w:val="none"/>
                <w:u w:val="single" w:color="auto"/>
                <w:lang w:val="en-US" w:eastAsia="zh-CN"/>
              </w:rPr>
              <w:t>7</w:t>
            </w:r>
            <w:r>
              <w:rPr>
                <w:rFonts w:hint="eastAsia" w:ascii="宋体" w:hAnsi="宋体" w:eastAsia="宋体" w:cs="宋体"/>
                <w:spacing w:val="3"/>
                <w:sz w:val="24"/>
                <w:szCs w:val="24"/>
                <w:highlight w:val="none"/>
              </w:rPr>
              <w:t>人，其中招标人代表</w:t>
            </w:r>
            <w:r>
              <w:rPr>
                <w:rFonts w:hint="eastAsia" w:ascii="宋体" w:hAnsi="宋体" w:eastAsia="宋体" w:cs="宋体"/>
                <w:spacing w:val="39"/>
                <w:sz w:val="24"/>
                <w:szCs w:val="24"/>
                <w:highlight w:val="none"/>
                <w:u w:val="single" w:color="auto"/>
              </w:rPr>
              <w:t xml:space="preserve"> </w:t>
            </w:r>
            <w:r>
              <w:rPr>
                <w:rFonts w:hint="eastAsia" w:cs="宋体"/>
                <w:spacing w:val="2"/>
                <w:sz w:val="24"/>
                <w:szCs w:val="24"/>
                <w:highlight w:val="none"/>
                <w:u w:val="single" w:color="auto"/>
                <w:lang w:val="en-US" w:eastAsia="zh-CN"/>
              </w:rPr>
              <w:t>2</w:t>
            </w:r>
            <w:r>
              <w:rPr>
                <w:rFonts w:hint="eastAsia" w:ascii="宋体" w:hAnsi="宋体" w:eastAsia="宋体" w:cs="宋体"/>
                <w:spacing w:val="23"/>
                <w:sz w:val="24"/>
                <w:szCs w:val="24"/>
                <w:highlight w:val="none"/>
                <w:u w:val="single" w:color="auto"/>
              </w:rPr>
              <w:t xml:space="preserve"> </w:t>
            </w:r>
            <w:r>
              <w:rPr>
                <w:rFonts w:hint="eastAsia" w:ascii="宋体" w:hAnsi="宋体" w:eastAsia="宋体" w:cs="宋体"/>
                <w:spacing w:val="2"/>
                <w:sz w:val="24"/>
                <w:szCs w:val="24"/>
                <w:highlight w:val="none"/>
              </w:rPr>
              <w:t>人，经</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济、技术专家</w:t>
            </w:r>
            <w:r>
              <w:rPr>
                <w:rFonts w:hint="eastAsia" w:ascii="宋体" w:hAnsi="宋体" w:eastAsia="宋体" w:cs="宋体"/>
                <w:spacing w:val="-3"/>
                <w:sz w:val="24"/>
                <w:szCs w:val="24"/>
                <w:highlight w:val="none"/>
                <w:u w:val="single" w:color="auto"/>
              </w:rPr>
              <w:t xml:space="preserve"> </w:t>
            </w:r>
            <w:r>
              <w:rPr>
                <w:rFonts w:hint="eastAsia" w:cs="宋体"/>
                <w:spacing w:val="-3"/>
                <w:sz w:val="24"/>
                <w:szCs w:val="24"/>
                <w:highlight w:val="none"/>
                <w:u w:val="single" w:color="auto"/>
                <w:lang w:val="en-US" w:eastAsia="zh-CN"/>
              </w:rPr>
              <w:t>5</w:t>
            </w:r>
            <w:bookmarkStart w:id="948" w:name="_GoBack"/>
            <w:bookmarkEnd w:id="948"/>
            <w:r>
              <w:rPr>
                <w:rFonts w:hint="eastAsia" w:ascii="宋体" w:hAnsi="宋体" w:eastAsia="宋体" w:cs="宋体"/>
                <w:spacing w:val="18"/>
                <w:sz w:val="24"/>
                <w:szCs w:val="24"/>
                <w:highlight w:val="none"/>
                <w:u w:val="single" w:color="auto"/>
              </w:rPr>
              <w:t xml:space="preserve"> </w:t>
            </w:r>
            <w:r>
              <w:rPr>
                <w:rFonts w:hint="eastAsia" w:ascii="宋体" w:hAnsi="宋体" w:eastAsia="宋体" w:cs="宋体"/>
                <w:spacing w:val="-3"/>
                <w:sz w:val="24"/>
                <w:szCs w:val="24"/>
                <w:highlight w:val="none"/>
              </w:rPr>
              <w:t>人；</w:t>
            </w:r>
          </w:p>
          <w:p w14:paraId="218AC1E2">
            <w:pPr>
              <w:pStyle w:val="83"/>
              <w:spacing w:line="240" w:lineRule="auto"/>
              <w:ind w:left="5" w:leftChars="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spacing w:val="5"/>
                <w:sz w:val="24"/>
                <w:szCs w:val="24"/>
                <w:highlight w:val="none"/>
              </w:rPr>
              <w:t>评标委员会组成及确定方式：评标委员会由五人及以上单</w:t>
            </w:r>
            <w:r>
              <w:rPr>
                <w:rFonts w:hint="eastAsia" w:ascii="宋体" w:hAnsi="宋体" w:eastAsia="宋体" w:cs="宋体"/>
                <w:spacing w:val="14"/>
                <w:sz w:val="24"/>
                <w:szCs w:val="24"/>
                <w:highlight w:val="none"/>
              </w:rPr>
              <w:t xml:space="preserve"> </w:t>
            </w:r>
            <w:r>
              <w:rPr>
                <w:rFonts w:hint="eastAsia" w:ascii="宋体" w:hAnsi="宋体" w:eastAsia="宋体" w:cs="宋体"/>
                <w:spacing w:val="5"/>
                <w:sz w:val="24"/>
                <w:szCs w:val="24"/>
                <w:highlight w:val="none"/>
              </w:rPr>
              <w:t>数组成，其中经济、技术等方面的专家不少于三分之二，</w:t>
            </w:r>
            <w:r>
              <w:rPr>
                <w:rFonts w:hint="eastAsia" w:ascii="宋体" w:hAnsi="宋体" w:eastAsia="宋体" w:cs="宋体"/>
                <w:spacing w:val="13"/>
                <w:sz w:val="24"/>
                <w:szCs w:val="24"/>
                <w:highlight w:val="none"/>
              </w:rPr>
              <w:t xml:space="preserve"> </w:t>
            </w:r>
            <w:r>
              <w:rPr>
                <w:rFonts w:hint="eastAsia" w:ascii="宋体" w:hAnsi="宋体" w:eastAsia="宋体" w:cs="宋体"/>
                <w:spacing w:val="-2"/>
                <w:sz w:val="24"/>
                <w:szCs w:val="24"/>
                <w:highlight w:val="none"/>
              </w:rPr>
              <w:t>通过“政府采购云平台</w:t>
            </w:r>
            <w:r>
              <w:rPr>
                <w:rFonts w:hint="eastAsia" w:ascii="宋体" w:hAnsi="宋体" w:eastAsia="宋体" w:cs="宋体"/>
                <w:spacing w:val="-89"/>
                <w:sz w:val="24"/>
                <w:szCs w:val="24"/>
                <w:highlight w:val="none"/>
              </w:rPr>
              <w:t xml:space="preserve"> </w:t>
            </w:r>
            <w:r>
              <w:rPr>
                <w:rFonts w:hint="eastAsia" w:ascii="宋体" w:hAnsi="宋体" w:eastAsia="宋体" w:cs="宋体"/>
                <w:spacing w:val="-2"/>
                <w:sz w:val="24"/>
                <w:szCs w:val="24"/>
                <w:highlight w:val="none"/>
              </w:rPr>
              <w:t>”专家库随机抽取方式。</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trPr>
        <w:tc>
          <w:tcPr>
            <w:tcW w:w="970" w:type="dxa"/>
            <w:vAlign w:val="center"/>
          </w:tcPr>
          <w:p w14:paraId="23FC94CD">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trPr>
        <w:tc>
          <w:tcPr>
            <w:tcW w:w="970" w:type="dxa"/>
            <w:vAlign w:val="center"/>
          </w:tcPr>
          <w:p w14:paraId="42D57B39">
            <w:pPr>
              <w:pStyle w:val="5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EEEE9B4">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16D85F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shd w:val="clear" w:color="auto" w:fill="auto"/>
            <w:vAlign w:val="center"/>
          </w:tcPr>
          <w:p w14:paraId="1B46F00E">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shd w:val="clear" w:color="auto" w:fill="auto"/>
            <w:vAlign w:val="center"/>
          </w:tcPr>
          <w:p w14:paraId="2789643E">
            <w:pPr>
              <w:pStyle w:val="51"/>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700" w:type="dxa"/>
            <w:shd w:val="clear" w:color="auto" w:fill="auto"/>
            <w:vAlign w:val="center"/>
          </w:tcPr>
          <w:p w14:paraId="6976A72E">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446453BE">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□免收</w:t>
            </w:r>
          </w:p>
          <w:p w14:paraId="14858B73">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合同价的</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w:t>
            </w:r>
          </w:p>
          <w:p w14:paraId="2795CC0D">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172638B8">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0CEDF721">
            <w:pPr>
              <w:pStyle w:val="55"/>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782BC737">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收取单位：新疆生产建设兵团第三师五十三团城镇建设和生态保护中心                            </w:t>
            </w:r>
          </w:p>
          <w:p w14:paraId="0C2FC529">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4.收取账号：</w:t>
            </w:r>
          </w:p>
          <w:p w14:paraId="53702130">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收款单位:新疆生产建设兵团第三师五十三团城镇建设和生态保护中心</w:t>
            </w:r>
          </w:p>
          <w:p w14:paraId="72BF9C69">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开户银行:农业银行喀什兵团五十三团支行</w:t>
            </w:r>
          </w:p>
          <w:p w14:paraId="221565EA">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银行账号:30785301040001649              </w:t>
            </w:r>
          </w:p>
          <w:p w14:paraId="41B3BE7D">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 xml:space="preserve">退还时间：              </w:t>
            </w:r>
          </w:p>
          <w:p w14:paraId="32E52EF0">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1033F0D6">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57AE723">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2" w:hRule="atLeast"/>
        </w:trPr>
        <w:tc>
          <w:tcPr>
            <w:tcW w:w="970" w:type="dxa"/>
            <w:vAlign w:val="center"/>
          </w:tcPr>
          <w:p w14:paraId="600814BC">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1.可以分包履行的具体内容：_____； </w:t>
            </w:r>
          </w:p>
          <w:p w14:paraId="71BE067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2.允许分包的金额或者比例：_____； </w:t>
            </w:r>
          </w:p>
          <w:p w14:paraId="2F04DF9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3.其他要求：_____。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6E2EB5D5">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1.供应商认为招标文件、招标过程、中标结果使自己的权 益受到损害的，可以在知道或者应知其权益受到损害之日 起 7 个工作日内（超过 7 个工作日的视为无异议），以书 面形式向采购人、采购代理机构提出质疑。</w:t>
            </w:r>
          </w:p>
          <w:p w14:paraId="6FC40215">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2.供应商应在法定质疑期内一次性提出针对同一采购程序 环节的质疑。</w:t>
            </w:r>
          </w:p>
          <w:p w14:paraId="2C73F907">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3.质疑供应商应按照财政部制定的《政府采购质疑函范</w:t>
            </w:r>
          </w:p>
          <w:p w14:paraId="0D107689">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本》格式 10（可从财政部官方网站下载）和《政府采购质 疑和投诉办法》（财政部令第 94 号）的要求，在法定质 疑期内以书面形式提出质疑。</w:t>
            </w:r>
          </w:p>
          <w:p w14:paraId="4FF7340F">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4.超出法定质疑期、重复或分次提出的、内容或形式不符 合《政府采购质疑和投诉办法》规定的质疑将被拒绝。</w:t>
            </w:r>
          </w:p>
          <w:p w14:paraId="15F92E57">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5.依据：《中华人民共和国政府采购法》第五十二条、</w:t>
            </w:r>
          </w:p>
          <w:p w14:paraId="6ECCA10A">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《中华人民共和国政府采购法实施条例》第五十三条规定 的供应商应知其权益受到损害之日，是指：（一）对可以 质疑的采购文件提出质疑的，为收到采购文件之日或者采 购文件公告期限届满之日；（二）对采购过程提出质疑</w:t>
            </w:r>
          </w:p>
          <w:p w14:paraId="0F1339D6">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的，为各采购程序环节结束之日；（三）对中标或者成交 结果提出质疑的，为中标或者成交结果公告期限届满之日。</w:t>
            </w:r>
          </w:p>
          <w:p w14:paraId="78F299DB">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6.采购代理机构质疑函接收部门、联系电话</w:t>
            </w:r>
          </w:p>
          <w:p w14:paraId="53298B60">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接收部门：图木舒克佳禾工程咨询有限公司</w:t>
            </w:r>
          </w:p>
          <w:p w14:paraId="7D784497">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联系人：梁兴源 </w:t>
            </w:r>
          </w:p>
          <w:p w14:paraId="5C03F637">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联系电话：18167884580</w:t>
            </w:r>
          </w:p>
          <w:p w14:paraId="591BE705">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地址：新疆图木舒克市锦绣西街靓景明居门面48-49</w:t>
            </w:r>
          </w:p>
          <w:p w14:paraId="4721A95E">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提交方式：供应商提交疑问纸质版原件至采购代理机构</w:t>
            </w:r>
          </w:p>
          <w:p w14:paraId="7E01E735">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处，或供应商将疑问文件电子版（须为可编辑的 WORD 文</w:t>
            </w:r>
          </w:p>
          <w:p w14:paraId="4C6E93E8">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档）与盖章的纸质版原件扫描件 PDF 版本发送</w:t>
            </w:r>
          </w:p>
          <w:p w14:paraId="26DEB242">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37193412@qq.com（以邮件发送后需电话与采购代理机构  进行确认是否已收到邮件）；如 WORD 文档内容与盖章的纸质版原件扫描件 PDF 内容不一致的，以盖章的纸质版原件 扫描件 PDF 内容为准。</w:t>
            </w:r>
          </w:p>
          <w:p w14:paraId="24FF9571">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7.澄清、修改文件发出后（若有），供应商必须使用最新 的澄清文件制作电子投标文件。</w:t>
            </w:r>
          </w:p>
          <w:p w14:paraId="5031B1BA">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★8.提交投标文件截止时间后，采购人或采购代理机构不再接受对招标文件内容提出的质疑。</w:t>
            </w:r>
          </w:p>
          <w:p w14:paraId="30211831">
            <w:pPr>
              <w:pStyle w:val="6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9.采购人签订合同之前，可要求中标供应商提供资格证明 材料予以核验中标供应商对信用承诺的正式性、合法性、 有效性负责，如若发现虚假信用承诺，视为“提供虚假材 料谋取中标、成交 ”行为，按照《政府采购法》第七十七 条规定予以处罚。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80" w:hRule="atLeast"/>
        </w:trPr>
        <w:tc>
          <w:tcPr>
            <w:tcW w:w="970" w:type="dxa"/>
            <w:vAlign w:val="center"/>
          </w:tcPr>
          <w:p w14:paraId="422A3CDD">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0481589">
            <w:pPr>
              <w:pStyle w:val="83"/>
              <w:spacing w:before="36" w:line="240" w:lineRule="auto"/>
              <w:ind w:left="6" w:hanging="1"/>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1.收费对象：</w:t>
            </w:r>
            <w:r>
              <w:rPr>
                <w:rFonts w:hint="eastAsia" w:ascii="宋体" w:hAnsi="宋体" w:eastAsia="宋体" w:cs="宋体"/>
                <w:spacing w:val="3"/>
                <w:sz w:val="24"/>
                <w:szCs w:val="24"/>
                <w:highlight w:val="none"/>
                <w:lang w:val="en-US" w:eastAsia="zh-CN"/>
              </w:rPr>
              <w:sym w:font="Wingdings" w:char="00A8"/>
            </w:r>
            <w:r>
              <w:rPr>
                <w:rFonts w:hint="eastAsia" w:ascii="宋体" w:hAnsi="宋体" w:eastAsia="宋体" w:cs="宋体"/>
                <w:spacing w:val="3"/>
                <w:sz w:val="24"/>
                <w:szCs w:val="24"/>
                <w:highlight w:val="none"/>
                <w:lang w:val="en-US" w:eastAsia="zh-CN"/>
              </w:rPr>
              <w:t xml:space="preserve">采购人支付 </w:t>
            </w:r>
            <w:r>
              <w:rPr>
                <w:rFonts w:hint="eastAsia" w:ascii="宋体" w:hAnsi="宋体" w:eastAsia="宋体" w:cs="宋体"/>
                <w:spacing w:val="3"/>
                <w:sz w:val="24"/>
                <w:szCs w:val="24"/>
                <w:highlight w:val="none"/>
                <w:lang w:val="en-US" w:eastAsia="zh-CN"/>
              </w:rPr>
              <w:sym w:font="Wingdings" w:char="00FE"/>
            </w:r>
            <w:r>
              <w:rPr>
                <w:rFonts w:hint="eastAsia" w:ascii="宋体" w:hAnsi="宋体" w:eastAsia="宋体" w:cs="宋体"/>
                <w:spacing w:val="3"/>
                <w:sz w:val="24"/>
                <w:szCs w:val="24"/>
                <w:highlight w:val="none"/>
                <w:lang w:val="en-US" w:eastAsia="zh-CN"/>
              </w:rPr>
              <w:t xml:space="preserve">成交人支付 </w:t>
            </w:r>
          </w:p>
          <w:p w14:paraId="4710D0C3">
            <w:pPr>
              <w:pStyle w:val="83"/>
              <w:spacing w:before="36" w:line="240" w:lineRule="auto"/>
              <w:ind w:left="6" w:hanging="1"/>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2.收费标准：参照《政府采购代理机构管理暂行办法》财  库〔2018〕2号文件。</w:t>
            </w:r>
          </w:p>
          <w:p w14:paraId="7984F9E6">
            <w:pPr>
              <w:pStyle w:val="83"/>
              <w:spacing w:before="36" w:line="240" w:lineRule="auto"/>
              <w:ind w:left="6" w:hanging="1"/>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3.收取时间：中标供应商在领取中标通知书前</w:t>
            </w:r>
          </w:p>
          <w:p w14:paraId="011286C6">
            <w:pPr>
              <w:pStyle w:val="51"/>
              <w:rPr>
                <w:rFonts w:hint="eastAsia" w:ascii="宋体" w:hAnsi="宋体" w:eastAsia="宋体" w:cs="宋体"/>
                <w:color w:val="auto"/>
                <w:sz w:val="24"/>
                <w:szCs w:val="24"/>
                <w:highlight w:val="none"/>
              </w:rPr>
            </w:pPr>
            <w:r>
              <w:rPr>
                <w:rFonts w:hint="eastAsia" w:ascii="宋体" w:hAnsi="宋体" w:eastAsia="宋体" w:cs="宋体"/>
                <w:spacing w:val="3"/>
                <w:sz w:val="24"/>
                <w:szCs w:val="24"/>
                <w:highlight w:val="none"/>
                <w:lang w:val="en-US" w:eastAsia="zh-CN"/>
              </w:rPr>
              <w:t>4.收取方式：对公支付</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vAlign w:val="center"/>
          </w:tcPr>
          <w:p w14:paraId="6F1BF374">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5D860FC6">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4" w:hRule="atLeast"/>
        </w:trPr>
        <w:tc>
          <w:tcPr>
            <w:tcW w:w="970" w:type="dxa"/>
            <w:vAlign w:val="center"/>
          </w:tcPr>
          <w:p w14:paraId="06648806">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1B996B16">
            <w:pPr>
              <w:pStyle w:val="79"/>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本项目专门面向中小企业采购，供应商须为中小企业（含微型企业），不再执行价格评审优惠政策，本采购项目的中小企业划分标准所属行业为：其他未列明行业。请根据要求单独上传《中小企业声明函》，格式以采购文件“</w:t>
            </w:r>
            <w:r>
              <w:rPr>
                <w:rFonts w:hint="eastAsia" w:cs="宋体"/>
                <w:b w:val="0"/>
                <w:bCs/>
                <w:color w:val="auto"/>
                <w:kern w:val="0"/>
                <w:sz w:val="24"/>
                <w:szCs w:val="24"/>
                <w:highlight w:val="none"/>
                <w:lang w:val="en-US" w:eastAsia="zh-CN" w:bidi="ar-SA"/>
              </w:rPr>
              <w:t>第七章</w:t>
            </w:r>
            <w:r>
              <w:rPr>
                <w:rFonts w:hint="eastAsia" w:ascii="宋体" w:hAnsi="宋体" w:eastAsia="宋体" w:cs="宋体"/>
                <w:b w:val="0"/>
                <w:bCs/>
                <w:color w:val="auto"/>
                <w:kern w:val="0"/>
                <w:sz w:val="24"/>
                <w:szCs w:val="24"/>
                <w:highlight w:val="none"/>
                <w:lang w:val="en-US" w:eastAsia="zh-CN" w:bidi="ar-SA"/>
              </w:rPr>
              <w:t xml:space="preserve"> </w:t>
            </w:r>
            <w:r>
              <w:rPr>
                <w:rFonts w:hint="eastAsia" w:cs="宋体"/>
                <w:b w:val="0"/>
                <w:bCs/>
                <w:color w:val="auto"/>
                <w:kern w:val="0"/>
                <w:sz w:val="24"/>
                <w:szCs w:val="24"/>
                <w:highlight w:val="none"/>
                <w:lang w:val="en-US" w:eastAsia="zh-CN" w:bidi="ar-SA"/>
              </w:rPr>
              <w:t>投标文件格式</w:t>
            </w:r>
            <w:r>
              <w:rPr>
                <w:rFonts w:hint="eastAsia" w:ascii="宋体" w:hAnsi="宋体" w:eastAsia="宋体" w:cs="宋体"/>
                <w:b w:val="0"/>
                <w:bCs/>
                <w:color w:val="auto"/>
                <w:kern w:val="0"/>
                <w:sz w:val="24"/>
                <w:szCs w:val="24"/>
                <w:highlight w:val="none"/>
                <w:lang w:val="en-US" w:eastAsia="zh-CN" w:bidi="ar-SA"/>
              </w:rPr>
              <w:t>”中要求为准。残疾人福利性单位和监狱企业视同小微企业，可以参加本项目竞争性磋商，请按采购文件“</w:t>
            </w:r>
            <w:r>
              <w:rPr>
                <w:rFonts w:hint="eastAsia" w:cs="宋体"/>
                <w:b w:val="0"/>
                <w:bCs/>
                <w:color w:val="auto"/>
                <w:kern w:val="0"/>
                <w:sz w:val="24"/>
                <w:szCs w:val="24"/>
                <w:highlight w:val="none"/>
                <w:lang w:val="en-US" w:eastAsia="zh-CN" w:bidi="ar-SA"/>
              </w:rPr>
              <w:t>第七章</w:t>
            </w:r>
            <w:r>
              <w:rPr>
                <w:rFonts w:hint="eastAsia" w:ascii="宋体" w:hAnsi="宋体" w:eastAsia="宋体" w:cs="宋体"/>
                <w:b w:val="0"/>
                <w:bCs/>
                <w:color w:val="auto"/>
                <w:kern w:val="0"/>
                <w:sz w:val="24"/>
                <w:szCs w:val="24"/>
                <w:highlight w:val="none"/>
                <w:lang w:val="en-US" w:eastAsia="zh-CN" w:bidi="ar-SA"/>
              </w:rPr>
              <w:t xml:space="preserve"> </w:t>
            </w:r>
            <w:r>
              <w:rPr>
                <w:rFonts w:hint="eastAsia" w:cs="宋体"/>
                <w:b w:val="0"/>
                <w:bCs/>
                <w:color w:val="auto"/>
                <w:kern w:val="0"/>
                <w:sz w:val="24"/>
                <w:szCs w:val="24"/>
                <w:highlight w:val="none"/>
                <w:lang w:val="en-US" w:eastAsia="zh-CN" w:bidi="ar-SA"/>
              </w:rPr>
              <w:t>投标文件格式</w:t>
            </w:r>
            <w:r>
              <w:rPr>
                <w:rFonts w:hint="eastAsia" w:ascii="宋体" w:hAnsi="宋体" w:eastAsia="宋体" w:cs="宋体"/>
                <w:b w:val="0"/>
                <w:bCs/>
                <w:color w:val="auto"/>
                <w:kern w:val="0"/>
                <w:sz w:val="24"/>
                <w:szCs w:val="24"/>
                <w:highlight w:val="none"/>
                <w:lang w:val="en-US" w:eastAsia="zh-CN" w:bidi="ar-SA"/>
              </w:rPr>
              <w:t>”中的规定格式上传证明文件。</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78" w:hRule="atLeast"/>
        </w:trPr>
        <w:tc>
          <w:tcPr>
            <w:tcW w:w="970" w:type="dxa"/>
            <w:vAlign w:val="center"/>
          </w:tcPr>
          <w:p w14:paraId="3AAFC5B3">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1"/>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853"/>
              <w:gridCol w:w="2216"/>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2853"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2216"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BD03589">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第1包</w:t>
                  </w:r>
                </w:p>
              </w:tc>
              <w:tc>
                <w:tcPr>
                  <w:tcW w:w="2853"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五十三团城镇建设和生态保护中心采购集中供热运营服务</w:t>
                  </w:r>
                </w:p>
              </w:tc>
              <w:tc>
                <w:tcPr>
                  <w:tcW w:w="2216" w:type="dxa"/>
                  <w:vAlign w:val="center"/>
                </w:tcPr>
                <w:p w14:paraId="6A9C8731">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其他未列明行业</w:t>
                  </w:r>
                </w:p>
              </w:tc>
            </w:tr>
          </w:tbl>
          <w:p w14:paraId="56AC7DD6">
            <w:pPr>
              <w:pStyle w:val="51"/>
              <w:rPr>
                <w:rFonts w:hint="eastAsia" w:ascii="宋体" w:hAnsi="宋体" w:eastAsia="宋体" w:cs="宋体"/>
                <w:color w:val="auto"/>
                <w:sz w:val="24"/>
                <w:szCs w:val="24"/>
                <w:highlight w:val="none"/>
              </w:rPr>
            </w:pPr>
          </w:p>
        </w:tc>
      </w:tr>
      <w:tr w14:paraId="4C8E5A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72" w:hRule="atLeast"/>
        </w:trPr>
        <w:tc>
          <w:tcPr>
            <w:tcW w:w="970" w:type="dxa"/>
            <w:shd w:val="clear" w:color="auto" w:fill="auto"/>
            <w:vAlign w:val="center"/>
          </w:tcPr>
          <w:p w14:paraId="213F4586">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7C0C8321">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1D89079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本项目不适用。</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74" w:hRule="atLeast"/>
        </w:trPr>
        <w:tc>
          <w:tcPr>
            <w:tcW w:w="970" w:type="dxa"/>
            <w:tcBorders>
              <w:right w:val="single" w:color="auto" w:sz="4" w:space="0"/>
            </w:tcBorders>
            <w:vAlign w:val="center"/>
          </w:tcPr>
          <w:p w14:paraId="08D3F63A">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根据项目情况自行补充</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14:paraId="5D7FBF5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60" w:hRule="atLeast"/>
        </w:trPr>
        <w:tc>
          <w:tcPr>
            <w:tcW w:w="970" w:type="dxa"/>
            <w:tcBorders>
              <w:right w:val="single" w:color="auto" w:sz="4" w:space="0"/>
            </w:tcBorders>
            <w:vAlign w:val="center"/>
          </w:tcPr>
          <w:p w14:paraId="59449E7E">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7068A1E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258DF14A">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1.供应商必须保证所提供的材料真实性，如发现或被投诉 提供虚假材料的一经查实为虚假资料取消中标（或投标） 资格并记企业不良记录。</w:t>
            </w:r>
          </w:p>
          <w:p w14:paraId="74974ECD">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2.投标文件中有弄虚作假的内容，其投标文件作废（如假 证书、假业绩、假合同、隐瞒不良行为记录、夸大荣誉、 使用非本单位在职员工的相关证件及不符合采购文件规定 的条款等）；在签订合同之前，可要求中标供应商提供证 明材料予以核验（复查原件），中标供应商对信用承诺的 正式性、合法性、有效性负责，如发现中标供应商的投标 文件有弄虚作假内容，视为“提供虚假材料谋取中标、成 交 ”行为，采购人可拒绝与其签订合同。以上情形将书面 上报财政部门，按照《政府采购法》第七十七条规定“列 入不良行为记录名单 ”处理并接受相关处罚。</w:t>
            </w:r>
          </w:p>
          <w:p w14:paraId="40AD6DB9">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3.本项目所称“较大数额罚款 ”具体适用问题的意见（财 库[2022]3号）：本项目初步评审中所称“重大违法记</w:t>
            </w:r>
          </w:p>
          <w:p w14:paraId="60C57B91">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录 ”，是指供应商因违法经营受到刑事处罚或者责令停产 停业、吊销许可证或者执照、较大数额罚款等行政处罚。 所称“较大数额罚款 ”认定为200万元以上的罚款。</w:t>
            </w:r>
          </w:p>
          <w:p w14:paraId="5DDE5F17">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4.针对同一项目，不同供应商使用同一计算机制作并生成 电子投标文件的视为文件制作机器码（mac地址）一致，</w:t>
            </w:r>
          </w:p>
          <w:p w14:paraId="7B0BFB09">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不同供应商使用同一投标文件的过程稿制作并生成电子投 标文件的视为文件创建标识码一致。上述两种情形，一经发现，视为供应商相互串通投标，将导致投标均被拒绝且 按串通投标处理。</w:t>
            </w:r>
          </w:p>
          <w:p w14:paraId="53EFC440">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5.本项目所述时间以政府采购云平台服务器时间为准。</w:t>
            </w:r>
          </w:p>
          <w:p w14:paraId="1D97740B">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6.为保证相关材料真实性招标文件要求的证书或证明材</w:t>
            </w:r>
          </w:p>
          <w:p w14:paraId="43A1CF87">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料，提供原件彩色扫描件或国家认可的电子彩色证照，相 关证书（证明材料）必须在有效期内，否则资格审查或符 合性审查不予通过，或评分不予认可。</w:t>
            </w:r>
          </w:p>
          <w:p w14:paraId="06DE3CCB">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7.招标文件组成各部分内容中出现的措辞“发包人、甲</w:t>
            </w:r>
          </w:p>
          <w:p w14:paraId="30A62A11">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方 ”均按“采购人 ”进行理解；“承包人、乙方、投标</w:t>
            </w:r>
          </w:p>
          <w:p w14:paraId="713F9432">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人 ”均按“供应商 ”进行理解；“ 中标人 ”按“ 中标供应 商 ”进行理解；“采购文件 ”按“招标文件 ”进行理解。</w:t>
            </w:r>
          </w:p>
          <w:p w14:paraId="60183DA6">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8.中标供应商应保证在本项目使用的任何产品或服务（包 括部分使用）时，不会产生因第三方提出侵犯其专利权、 商标权或其它知识产权而引起的法律和经济纠纷，如因专 利权、商标权或其它知识产权而引起法律和经济纠纷，由 中标供应商承担所有相关责任的同时不得耽误本项目实</w:t>
            </w:r>
          </w:p>
          <w:p w14:paraId="15DDBBDE">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施。</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34036AA4">
      <w:pPr>
        <w:rPr>
          <w:color w:val="auto"/>
          <w:highlight w:val="none"/>
        </w:rPr>
      </w:pPr>
    </w:p>
    <w:p w14:paraId="43A4992E">
      <w:pPr>
        <w:rPr>
          <w:rFonts w:hint="eastAsia" w:eastAsia="宋体" w:asciiTheme="majorHAnsi" w:hAnsiTheme="majorHAnsi" w:cstheme="majorBidi"/>
          <w:b/>
          <w:bCs/>
          <w:color w:val="auto"/>
          <w:kern w:val="2"/>
          <w:sz w:val="32"/>
          <w:szCs w:val="32"/>
          <w:highlight w:val="none"/>
          <w:lang w:val="en-US" w:eastAsia="zh-CN" w:bidi="ar-SA"/>
        </w:rPr>
      </w:pPr>
      <w:bookmarkStart w:id="108" w:name="_Toc155185869"/>
      <w:r>
        <w:rPr>
          <w:rFonts w:hint="eastAsia" w:eastAsia="宋体" w:asciiTheme="majorHAnsi" w:hAnsiTheme="majorHAnsi" w:cstheme="majorBidi"/>
          <w:b/>
          <w:bCs/>
          <w:color w:val="auto"/>
          <w:kern w:val="2"/>
          <w:sz w:val="32"/>
          <w:szCs w:val="32"/>
          <w:highlight w:val="none"/>
          <w:lang w:val="en-US" w:eastAsia="zh-CN" w:bidi="ar-SA"/>
        </w:rPr>
        <w:br w:type="page"/>
      </w:r>
    </w:p>
    <w:p w14:paraId="410914FC">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28270"/>
      <w:r>
        <w:rPr>
          <w:rFonts w:hint="eastAsia" w:eastAsia="宋体" w:asciiTheme="majorHAnsi" w:hAnsiTheme="majorHAnsi" w:cstheme="majorBidi"/>
          <w:b/>
          <w:bCs/>
          <w:color w:val="auto"/>
          <w:kern w:val="2"/>
          <w:sz w:val="28"/>
          <w:szCs w:val="28"/>
          <w:highlight w:val="none"/>
          <w:lang w:val="en-US" w:eastAsia="zh-CN" w:bidi="ar-SA"/>
        </w:rPr>
        <w:t>二、投标人须知</w:t>
      </w:r>
      <w:bookmarkEnd w:id="108"/>
      <w:bookmarkEnd w:id="109"/>
    </w:p>
    <w:p w14:paraId="604D77A9">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10" w:name="_Toc155185870"/>
      <w:bookmarkStart w:id="111" w:name="_Toc9308"/>
      <w:bookmarkStart w:id="112" w:name="_Toc163492822"/>
      <w:bookmarkStart w:id="113" w:name="_Toc28135"/>
      <w:bookmarkStart w:id="114" w:name="_Toc364"/>
      <w:bookmarkStart w:id="115" w:name="_Toc5011"/>
      <w:r>
        <w:rPr>
          <w:rFonts w:hint="eastAsia" w:ascii="宋体" w:hAnsi="宋体" w:eastAsia="宋体" w:cs="宋体"/>
          <w:b/>
          <w:bCs/>
          <w:color w:val="auto"/>
          <w:kern w:val="2"/>
          <w:sz w:val="24"/>
          <w:szCs w:val="24"/>
          <w:highlight w:val="none"/>
          <w:lang w:val="en-US" w:eastAsia="zh-CN" w:bidi="ar-SA"/>
        </w:rPr>
        <w:t>（一）总则</w:t>
      </w:r>
      <w:bookmarkEnd w:id="110"/>
      <w:bookmarkEnd w:id="111"/>
      <w:bookmarkEnd w:id="112"/>
      <w:bookmarkEnd w:id="113"/>
      <w:bookmarkEnd w:id="114"/>
      <w:bookmarkEnd w:id="115"/>
    </w:p>
    <w:p w14:paraId="788765C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16" w:name="_Toc109900469"/>
      <w:bookmarkStart w:id="117" w:name="_Toc109900050"/>
      <w:bookmarkStart w:id="118" w:name="_Toc163492823"/>
      <w:bookmarkStart w:id="119" w:name="_Toc12498"/>
      <w:bookmarkStart w:id="120" w:name="_Toc31233"/>
      <w:bookmarkStart w:id="121" w:name="_Toc1399"/>
      <w:bookmarkStart w:id="122" w:name="_Toc109897532"/>
      <w:bookmarkStart w:id="123" w:name="_Toc22777"/>
      <w:bookmarkStart w:id="124" w:name="_Toc155095689"/>
      <w:bookmarkStart w:id="125" w:name="_Toc24126"/>
      <w:bookmarkStart w:id="126" w:name="_Toc109899631"/>
      <w:r>
        <w:rPr>
          <w:rFonts w:hint="eastAsia" w:ascii="宋体" w:hAnsi="宋体" w:eastAsia="宋体" w:cs="宋体"/>
          <w:b/>
          <w:bCs/>
          <w:color w:val="auto"/>
          <w:kern w:val="2"/>
          <w:sz w:val="24"/>
          <w:szCs w:val="24"/>
          <w:highlight w:val="none"/>
          <w:lang w:val="en-US" w:eastAsia="zh-CN" w:bidi="ar-SA"/>
        </w:rPr>
        <w:t>1.适用范围</w:t>
      </w:r>
      <w:bookmarkEnd w:id="116"/>
      <w:bookmarkEnd w:id="117"/>
      <w:bookmarkEnd w:id="118"/>
      <w:bookmarkEnd w:id="119"/>
      <w:bookmarkEnd w:id="120"/>
      <w:bookmarkEnd w:id="121"/>
      <w:bookmarkEnd w:id="122"/>
      <w:bookmarkEnd w:id="123"/>
      <w:bookmarkEnd w:id="124"/>
      <w:bookmarkEnd w:id="125"/>
      <w:bookmarkEnd w:id="126"/>
    </w:p>
    <w:p w14:paraId="3896363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1.1本招标文件仅适用于本项目的采购活动。</w:t>
      </w:r>
    </w:p>
    <w:p w14:paraId="34F0841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7" w:name="_Toc8946"/>
      <w:bookmarkStart w:id="128" w:name="_Toc11954"/>
      <w:bookmarkStart w:id="129" w:name="_Toc11043"/>
      <w:bookmarkStart w:id="130" w:name="_Toc8394"/>
      <w:bookmarkStart w:id="131" w:name="_Toc163492824"/>
      <w:r>
        <w:rPr>
          <w:rFonts w:hint="eastAsia" w:ascii="宋体" w:hAnsi="宋体" w:eastAsia="宋体" w:cs="宋体"/>
          <w:b/>
          <w:bCs/>
          <w:color w:val="auto"/>
          <w:kern w:val="2"/>
          <w:sz w:val="24"/>
          <w:szCs w:val="24"/>
          <w:highlight w:val="none"/>
          <w:lang w:val="en-US" w:eastAsia="zh-CN" w:bidi="ar-SA"/>
        </w:rPr>
        <w:t>2.基本定义</w:t>
      </w:r>
      <w:bookmarkEnd w:id="127"/>
      <w:bookmarkEnd w:id="128"/>
      <w:bookmarkEnd w:id="129"/>
      <w:bookmarkEnd w:id="130"/>
      <w:bookmarkEnd w:id="131"/>
    </w:p>
    <w:p w14:paraId="768D70C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lang w:val="en-US" w:eastAsia="zh-CN"/>
        </w:rPr>
        <w:t>委托的采购代理机构</w:t>
      </w:r>
      <w:r>
        <w:rPr>
          <w:rFonts w:hint="eastAsia" w:ascii="宋体" w:hAnsi="宋体" w:eastAsia="宋体" w:cs="宋体"/>
          <w:color w:val="auto"/>
          <w:sz w:val="24"/>
          <w:szCs w:val="24"/>
          <w:highlight w:val="none"/>
        </w:rPr>
        <w:t>。</w:t>
      </w:r>
    </w:p>
    <w:p w14:paraId="26D5074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 服务包含的内容见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w:t>
      </w:r>
    </w:p>
    <w:p w14:paraId="214DD75F">
      <w:pPr>
        <w:ind w:firstLine="480" w:firstLineChars="200"/>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shd w:val="clear" w:color="auto" w:fill="FFFFFF" w:themeFill="background1"/>
        </w:rPr>
        <w:t>2.6投标人（也称“供应商”、“申请人”）：指向采购人提供货物、工程或者服务的法人、其他组织或者自然人。</w:t>
      </w:r>
      <w:r>
        <w:rPr>
          <w:rFonts w:hint="eastAsia" w:ascii="宋体" w:hAnsi="宋体" w:eastAsia="宋体" w:cs="宋体"/>
          <w:color w:val="auto"/>
          <w:sz w:val="24"/>
          <w:szCs w:val="24"/>
          <w:highlight w:val="none"/>
        </w:rPr>
        <w:t>分支机构不得参加政府采购活动，但银行、保险、石油石化、电力、电信等</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行业特殊</w:t>
      </w:r>
      <w:r>
        <w:rPr>
          <w:rFonts w:hint="eastAsia" w:ascii="宋体" w:hAnsi="宋体" w:eastAsia="宋体" w:cs="宋体"/>
          <w:color w:val="auto"/>
          <w:sz w:val="24"/>
          <w:szCs w:val="24"/>
          <w:highlight w:val="none"/>
          <w:lang w:val="en-US" w:eastAsia="zh-CN"/>
        </w:rPr>
        <w:t>情况的</w:t>
      </w:r>
      <w:r>
        <w:rPr>
          <w:rFonts w:hint="eastAsia" w:ascii="宋体" w:hAnsi="宋体" w:eastAsia="宋体" w:cs="宋体"/>
          <w:color w:val="auto"/>
          <w:sz w:val="24"/>
          <w:szCs w:val="24"/>
          <w:highlight w:val="none"/>
        </w:rPr>
        <w:t>除外。本项目的投标人须满足以下条件：</w:t>
      </w:r>
    </w:p>
    <w:p w14:paraId="2518C535">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2.6.1具备《中华人民共和国政府采购法》第二十二条规定的条件，遵守本项目采购人本级和上级财政部门政府采购的有关规定。</w:t>
      </w:r>
    </w:p>
    <w:p w14:paraId="76745163">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2.6.2以招标公告中发布的方式依法获得了本项目的招标文件。</w:t>
      </w:r>
    </w:p>
    <w:p w14:paraId="0DE24F0D">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2.6.3符合本招标文件规定并参加投标的供应商。</w:t>
      </w:r>
    </w:p>
    <w:p w14:paraId="5FC27D1B">
      <w:pPr>
        <w:pStyle w:val="39"/>
        <w:keepNext w:val="0"/>
        <w:keepLines w:val="0"/>
        <w:pageBreakBefore w:val="0"/>
        <w:widowControl w:val="0"/>
        <w:kinsoku/>
        <w:overflowPunct/>
        <w:topLinePunct w:val="0"/>
        <w:autoSpaceDE/>
        <w:autoSpaceDN/>
        <w:bidi w:val="0"/>
        <w:adjustRightInd/>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iCs/>
          <w:color w:val="auto"/>
          <w:sz w:val="24"/>
          <w:szCs w:val="24"/>
          <w:highlight w:val="none"/>
          <w:shd w:val="clear" w:color="auto" w:fill="FFFFFF" w:themeFill="background1"/>
        </w:rPr>
        <w:t>潜在投标人、潜在供应商</w:t>
      </w:r>
      <w:r>
        <w:rPr>
          <w:rFonts w:hint="eastAsia" w:ascii="宋体" w:hAnsi="宋体" w:eastAsia="宋体" w:cs="宋体"/>
          <w:iCs/>
          <w:color w:val="auto"/>
          <w:sz w:val="24"/>
          <w:szCs w:val="24"/>
          <w:highlight w:val="none"/>
          <w:shd w:val="clear" w:color="auto" w:fill="FFFFFF" w:themeFill="background1"/>
          <w:lang w:eastAsia="zh-CN"/>
        </w:rPr>
        <w:t>：</w:t>
      </w:r>
      <w:r>
        <w:rPr>
          <w:rFonts w:hint="eastAsia" w:ascii="宋体" w:hAnsi="宋体" w:eastAsia="宋体" w:cs="宋体"/>
          <w:iCs/>
          <w:color w:val="auto"/>
          <w:sz w:val="24"/>
          <w:szCs w:val="24"/>
          <w:highlight w:val="none"/>
          <w:shd w:val="clear" w:color="auto" w:fill="FFFFFF" w:themeFill="background1"/>
          <w:lang w:val="en-US" w:eastAsia="zh-CN"/>
        </w:rPr>
        <w:t>指</w:t>
      </w:r>
      <w:r>
        <w:rPr>
          <w:rFonts w:hint="eastAsia" w:ascii="宋体" w:hAnsi="宋体" w:eastAsia="宋体" w:cs="宋体"/>
          <w:color w:val="auto"/>
          <w:sz w:val="24"/>
          <w:szCs w:val="24"/>
          <w:highlight w:val="none"/>
          <w:lang w:val="en-US" w:eastAsia="zh-CN"/>
        </w:rPr>
        <w:t>符合本招标文件规定的供应商</w:t>
      </w:r>
      <w:r>
        <w:rPr>
          <w:rFonts w:hint="eastAsia" w:ascii="宋体" w:hAnsi="宋体" w:eastAsia="宋体" w:cs="宋体"/>
          <w:color w:val="auto"/>
          <w:sz w:val="24"/>
          <w:szCs w:val="24"/>
          <w:highlight w:val="none"/>
        </w:rPr>
        <w:t>。</w:t>
      </w:r>
    </w:p>
    <w:p w14:paraId="7BECD89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2" w:name="_Toc140132758"/>
      <w:bookmarkStart w:id="133" w:name="_Toc24398"/>
      <w:bookmarkStart w:id="134" w:name="_Toc163492825"/>
      <w:bookmarkStart w:id="135" w:name="_Toc15923"/>
      <w:bookmarkStart w:id="136" w:name="_Toc22315"/>
      <w:bookmarkStart w:id="137" w:name="_Toc27150"/>
      <w:r>
        <w:rPr>
          <w:rFonts w:hint="eastAsia" w:ascii="宋体" w:hAnsi="宋体" w:eastAsia="宋体" w:cs="宋体"/>
          <w:b/>
          <w:bCs/>
          <w:color w:val="auto"/>
          <w:kern w:val="2"/>
          <w:sz w:val="24"/>
          <w:szCs w:val="24"/>
          <w:highlight w:val="none"/>
          <w:lang w:val="en-US" w:eastAsia="zh-CN" w:bidi="ar-SA"/>
        </w:rPr>
        <w:t>3.资金来源</w:t>
      </w:r>
      <w:bookmarkEnd w:id="132"/>
      <w:bookmarkEnd w:id="133"/>
      <w:bookmarkEnd w:id="134"/>
      <w:bookmarkEnd w:id="135"/>
      <w:bookmarkEnd w:id="136"/>
      <w:bookmarkEnd w:id="137"/>
    </w:p>
    <w:p w14:paraId="76E8C14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3.1资金来源：</w:t>
      </w:r>
      <w:r>
        <w:rPr>
          <w:rFonts w:hint="eastAsia" w:ascii="宋体" w:hAnsi="宋体" w:eastAsia="宋体" w:cs="宋体"/>
          <w:color w:val="auto"/>
          <w:sz w:val="24"/>
          <w:szCs w:val="24"/>
          <w:highlight w:val="none"/>
          <w:lang w:val="en-US" w:eastAsia="zh-CN"/>
        </w:rPr>
        <w:t>为财政性资金即</w:t>
      </w:r>
      <w:r>
        <w:rPr>
          <w:rFonts w:hint="eastAsia" w:ascii="宋体" w:hAnsi="宋体" w:eastAsia="宋体" w:cs="宋体"/>
          <w:color w:val="auto"/>
          <w:sz w:val="24"/>
          <w:szCs w:val="24"/>
          <w:highlight w:val="none"/>
        </w:rPr>
        <w:t>纳入预算管理的资金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17722C4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8" w:name="_Toc30452"/>
      <w:bookmarkStart w:id="139" w:name="_Toc140132760"/>
      <w:bookmarkStart w:id="140" w:name="_Toc163492826"/>
      <w:bookmarkStart w:id="141" w:name="_Toc15559"/>
      <w:bookmarkStart w:id="142" w:name="_Toc4285"/>
      <w:bookmarkStart w:id="143" w:name="_Toc21872"/>
      <w:r>
        <w:rPr>
          <w:rFonts w:hint="eastAsia" w:ascii="宋体" w:hAnsi="宋体" w:eastAsia="宋体" w:cs="宋体"/>
          <w:b/>
          <w:bCs/>
          <w:color w:val="auto"/>
          <w:kern w:val="2"/>
          <w:sz w:val="24"/>
          <w:szCs w:val="24"/>
          <w:highlight w:val="none"/>
          <w:lang w:val="en-US" w:eastAsia="zh-CN" w:bidi="ar-SA"/>
        </w:rPr>
        <w:t>4.投标人资格要求</w:t>
      </w:r>
      <w:bookmarkEnd w:id="138"/>
      <w:bookmarkEnd w:id="139"/>
      <w:bookmarkEnd w:id="140"/>
      <w:bookmarkEnd w:id="141"/>
      <w:bookmarkEnd w:id="142"/>
      <w:bookmarkEnd w:id="143"/>
    </w:p>
    <w:p w14:paraId="522AD9C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4.1投标人资格要求：见“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3B57853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val="zh-CN" w:eastAsia="zh-CN"/>
        </w:rPr>
        <w:t>”规定接受联合体投标的，还应遵守以下规定：</w:t>
      </w:r>
    </w:p>
    <w:p w14:paraId="512308F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1两个以上的自然人、法人或者其他组织可以组成一个联合体，以一个</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的身份共同参加政府采购。</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以联合体形式进行政府采购的，参加联合体的供应商均应当具备《</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iCs/>
          <w:color w:val="auto"/>
          <w:kern w:val="2"/>
          <w:sz w:val="24"/>
          <w:szCs w:val="24"/>
          <w:highlight w:val="none"/>
          <w:shd w:val="clear" w:color="auto" w:fill="FFFFFF" w:themeFill="background1"/>
          <w:lang w:val="zh-CN" w:eastAsia="zh-CN" w:bidi="ar-SA"/>
        </w:rPr>
        <w:t>》第二十二条规定的条件。</w:t>
      </w:r>
    </w:p>
    <w:p w14:paraId="7EFB49B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2.2</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联合体各方应按招标文件提供的格式签订联合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作为投标文件的一部分提交，该协议书对联合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体所有成员</w:t>
      </w:r>
      <w:r>
        <w:rPr>
          <w:rFonts w:hint="eastAsia" w:ascii="宋体" w:hAnsi="宋体" w:eastAsia="宋体" w:cs="宋体"/>
          <w:iCs/>
          <w:color w:val="auto"/>
          <w:kern w:val="2"/>
          <w:sz w:val="24"/>
          <w:szCs w:val="24"/>
          <w:highlight w:val="none"/>
          <w:shd w:val="clear" w:color="auto" w:fill="FFFFFF" w:themeFill="background1"/>
          <w:lang w:val="zh-CN" w:eastAsia="zh-CN" w:bidi="ar-SA"/>
        </w:rPr>
        <w:t>均具有法律约束力。</w:t>
      </w:r>
    </w:p>
    <w:p w14:paraId="5343E5B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4.2.3</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宋体"/>
          <w:iCs/>
          <w:color w:val="auto"/>
          <w:kern w:val="2"/>
          <w:sz w:val="24"/>
          <w:szCs w:val="24"/>
          <w:highlight w:val="none"/>
          <w:shd w:val="clear" w:color="auto" w:fill="FFFFFF" w:themeFill="background1"/>
          <w:lang w:val="en-US" w:eastAsia="zh-CN" w:bidi="ar-SA"/>
        </w:rPr>
        <w:t>同一合同项下的</w:t>
      </w:r>
      <w:r>
        <w:rPr>
          <w:rFonts w:hint="eastAsia" w:ascii="宋体" w:hAnsi="宋体" w:eastAsia="宋体" w:cs="宋体"/>
          <w:iCs/>
          <w:color w:val="auto"/>
          <w:kern w:val="2"/>
          <w:sz w:val="24"/>
          <w:szCs w:val="24"/>
          <w:highlight w:val="none"/>
          <w:shd w:val="clear" w:color="auto" w:fill="FFFFFF" w:themeFill="background1"/>
          <w:lang w:val="zh-CN" w:eastAsia="zh-CN" w:bidi="ar-SA"/>
        </w:rPr>
        <w:t>投标，否则相关投标将被认定为</w:t>
      </w:r>
      <w:r>
        <w:rPr>
          <w:rFonts w:hint="eastAsia" w:ascii="宋体" w:hAnsi="宋体" w:eastAsia="宋体" w:cs="宋体"/>
          <w:b/>
          <w:bCs/>
          <w:iCs/>
          <w:color w:val="auto"/>
          <w:kern w:val="2"/>
          <w:sz w:val="24"/>
          <w:szCs w:val="24"/>
          <w:highlight w:val="none"/>
          <w:shd w:val="clear" w:color="auto" w:fill="FFFFFF" w:themeFill="background1"/>
          <w:lang w:val="zh-CN" w:eastAsia="zh-CN" w:bidi="ar-SA"/>
        </w:rPr>
        <w:t>投标无效</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2E60D00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中应写明小型、微型企业的合同金额占到联合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投标</w:t>
      </w:r>
      <w:r>
        <w:rPr>
          <w:rFonts w:hint="eastAsia" w:ascii="宋体" w:hAnsi="宋体" w:eastAsia="宋体" w:cs="宋体"/>
          <w:iCs/>
          <w:color w:val="auto"/>
          <w:kern w:val="2"/>
          <w:sz w:val="24"/>
          <w:szCs w:val="24"/>
          <w:highlight w:val="none"/>
          <w:shd w:val="clear" w:color="auto" w:fill="FFFFFF" w:themeFill="background1"/>
          <w:lang w:val="en-US" w:eastAsia="zh-CN" w:bidi="ar-SA"/>
        </w:rPr>
        <w:t>合同</w:t>
      </w:r>
      <w:r>
        <w:rPr>
          <w:rFonts w:hint="eastAsia" w:ascii="宋体" w:hAnsi="宋体" w:eastAsia="宋体" w:cs="宋体"/>
          <w:iCs/>
          <w:color w:val="auto"/>
          <w:kern w:val="2"/>
          <w:sz w:val="24"/>
          <w:szCs w:val="24"/>
          <w:highlight w:val="none"/>
          <w:shd w:val="clear" w:color="auto" w:fill="FFFFFF" w:themeFill="background1"/>
          <w:lang w:val="zh-CN" w:eastAsia="zh-CN" w:bidi="ar-SA"/>
        </w:rPr>
        <w:t>总金额的比例。</w:t>
      </w:r>
    </w:p>
    <w:p w14:paraId="7127D16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.6</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采购</w:t>
      </w:r>
      <w:r>
        <w:rPr>
          <w:rFonts w:hint="eastAsia" w:ascii="宋体" w:hAnsi="宋体" w:eastAsia="宋体" w:cs="宋体"/>
          <w:iCs/>
          <w:color w:val="auto"/>
          <w:kern w:val="2"/>
          <w:sz w:val="24"/>
          <w:szCs w:val="24"/>
          <w:highlight w:val="none"/>
          <w:shd w:val="clear" w:color="auto" w:fill="FFFFFF" w:themeFill="background1"/>
          <w:lang w:val="zh-CN" w:eastAsia="zh-CN" w:bidi="ar-SA"/>
        </w:rPr>
        <w:t>合同应由</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各成员的合法授权代表签字</w:t>
      </w:r>
      <w:r>
        <w:rPr>
          <w:rFonts w:hint="eastAsia" w:ascii="宋体" w:hAnsi="宋体" w:eastAsia="宋体" w:cs="宋体"/>
          <w:iCs/>
          <w:color w:val="auto"/>
          <w:kern w:val="2"/>
          <w:sz w:val="24"/>
          <w:szCs w:val="24"/>
          <w:highlight w:val="none"/>
          <w:shd w:val="clear" w:color="auto" w:fill="FFFFFF" w:themeFill="background1"/>
          <w:lang w:val="en-US" w:eastAsia="zh-CN" w:bidi="ar-SA"/>
        </w:rPr>
        <w:t>及</w:t>
      </w:r>
      <w:r>
        <w:rPr>
          <w:rFonts w:hint="eastAsia" w:ascii="宋体" w:hAnsi="宋体" w:eastAsia="宋体" w:cs="宋体"/>
          <w:iCs/>
          <w:color w:val="auto"/>
          <w:kern w:val="2"/>
          <w:sz w:val="24"/>
          <w:szCs w:val="24"/>
          <w:highlight w:val="none"/>
          <w:shd w:val="clear" w:color="auto" w:fill="FFFFFF" w:themeFill="background1"/>
          <w:lang w:val="zh-CN" w:eastAsia="zh-CN" w:bidi="ar-SA"/>
        </w:rPr>
        <w:t>加盖</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各成员公章，</w:t>
      </w:r>
      <w:r>
        <w:rPr>
          <w:rFonts w:hint="eastAsia" w:ascii="宋体" w:hAnsi="宋体" w:eastAsia="宋体" w:cs="宋体"/>
          <w:iCs/>
          <w:color w:val="auto"/>
          <w:kern w:val="2"/>
          <w:sz w:val="24"/>
          <w:szCs w:val="24"/>
          <w:highlight w:val="none"/>
          <w:shd w:val="clear" w:color="auto" w:fill="FFFFFF" w:themeFill="background1"/>
          <w:lang w:val="en-US" w:eastAsia="zh-CN" w:bidi="ar-SA"/>
        </w:rPr>
        <w:t>并</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.7</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宋体"/>
          <w:iCs/>
          <w:color w:val="auto"/>
          <w:kern w:val="2"/>
          <w:sz w:val="24"/>
          <w:szCs w:val="24"/>
          <w:highlight w:val="none"/>
          <w:shd w:val="clear" w:color="auto" w:fill="FFFFFF" w:themeFill="background1"/>
          <w:lang w:val="en-US" w:eastAsia="zh-CN" w:bidi="ar-SA"/>
        </w:rPr>
        <w:t>人</w:t>
      </w:r>
      <w:r>
        <w:rPr>
          <w:rFonts w:hint="eastAsia" w:ascii="宋体" w:hAnsi="宋体" w:eastAsia="宋体" w:cs="宋体"/>
          <w:iCs/>
          <w:color w:val="auto"/>
          <w:kern w:val="2"/>
          <w:sz w:val="24"/>
          <w:szCs w:val="24"/>
          <w:highlight w:val="none"/>
          <w:shd w:val="clear" w:color="auto" w:fill="FFFFFF" w:themeFill="background1"/>
          <w:lang w:val="zh-CN" w:eastAsia="zh-CN" w:bidi="ar-SA"/>
        </w:rPr>
        <w:t>书面同意并且须遵守相关法律、法规、本次招标的全部相关规定。</w:t>
      </w:r>
    </w:p>
    <w:p w14:paraId="7D2803A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8</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对联合体投标的其他资格要求见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中的“二、</w:t>
      </w:r>
      <w:r>
        <w:rPr>
          <w:rFonts w:hint="eastAsia" w:ascii="宋体" w:hAnsi="宋体" w:eastAsia="宋体" w:cs="宋体"/>
          <w:iCs/>
          <w:color w:val="auto"/>
          <w:kern w:val="2"/>
          <w:sz w:val="24"/>
          <w:szCs w:val="24"/>
          <w:highlight w:val="none"/>
          <w:shd w:val="clear" w:color="auto" w:fill="FFFFFF" w:themeFill="background1"/>
          <w:lang w:val="en-US" w:eastAsia="zh-CN" w:bidi="ar-SA"/>
        </w:rPr>
        <w:t>申请人的</w:t>
      </w:r>
      <w:r>
        <w:rPr>
          <w:rFonts w:hint="eastAsia" w:ascii="宋体" w:hAnsi="宋体" w:eastAsia="宋体" w:cs="宋体"/>
          <w:iCs/>
          <w:color w:val="auto"/>
          <w:kern w:val="2"/>
          <w:sz w:val="24"/>
          <w:szCs w:val="24"/>
          <w:highlight w:val="none"/>
          <w:shd w:val="clear" w:color="auto" w:fill="FFFFFF" w:themeFill="background1"/>
          <w:lang w:val="zh-CN" w:eastAsia="zh-CN" w:bidi="ar-SA"/>
        </w:rPr>
        <w:t>资格</w:t>
      </w:r>
      <w:r>
        <w:rPr>
          <w:rFonts w:hint="eastAsia" w:ascii="宋体" w:hAnsi="宋体" w:eastAsia="宋体" w:cs="宋体"/>
          <w:iCs/>
          <w:color w:val="auto"/>
          <w:kern w:val="2"/>
          <w:sz w:val="24"/>
          <w:szCs w:val="24"/>
          <w:highlight w:val="none"/>
          <w:shd w:val="clear" w:color="auto" w:fill="FFFFFF" w:themeFill="background1"/>
          <w:lang w:val="en-US" w:eastAsia="zh-CN" w:bidi="ar-SA"/>
        </w:rPr>
        <w:t>要求”</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4DE6446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4" w:name="_Toc163492827"/>
      <w:bookmarkStart w:id="145" w:name="_Toc19194"/>
      <w:bookmarkStart w:id="146" w:name="_Toc31489"/>
      <w:bookmarkStart w:id="147" w:name="_Toc18213"/>
      <w:bookmarkStart w:id="148" w:name="_Toc1799"/>
      <w:r>
        <w:rPr>
          <w:rFonts w:hint="eastAsia" w:ascii="宋体" w:hAnsi="宋体" w:eastAsia="宋体" w:cs="宋体"/>
          <w:b/>
          <w:bCs/>
          <w:color w:val="auto"/>
          <w:kern w:val="2"/>
          <w:sz w:val="24"/>
          <w:szCs w:val="24"/>
          <w:highlight w:val="none"/>
          <w:lang w:val="en-US" w:eastAsia="zh-CN" w:bidi="ar-SA"/>
        </w:rPr>
        <w:t>5.费用承担</w:t>
      </w:r>
      <w:bookmarkEnd w:id="144"/>
      <w:bookmarkEnd w:id="145"/>
      <w:bookmarkEnd w:id="146"/>
      <w:bookmarkEnd w:id="147"/>
      <w:bookmarkEnd w:id="148"/>
    </w:p>
    <w:p w14:paraId="3C6741ED">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lang w:val="en-US" w:eastAsia="zh-CN"/>
        </w:rPr>
        <w:t>不论投标的结果如何，投标人应承担所有与准备和参加投标有关的费用。</w:t>
      </w:r>
    </w:p>
    <w:p w14:paraId="0CE9ACA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9" w:name="_Toc19870"/>
      <w:bookmarkStart w:id="150" w:name="_Toc140132761"/>
      <w:bookmarkStart w:id="151" w:name="_Toc14923"/>
      <w:bookmarkStart w:id="152" w:name="_Toc29375"/>
      <w:bookmarkStart w:id="153" w:name="_Toc12320"/>
      <w:bookmarkStart w:id="154" w:name="_Toc163492828"/>
      <w:r>
        <w:rPr>
          <w:rFonts w:hint="eastAsia" w:ascii="宋体" w:hAnsi="宋体" w:eastAsia="宋体" w:cs="宋体"/>
          <w:b/>
          <w:bCs/>
          <w:color w:val="auto"/>
          <w:kern w:val="2"/>
          <w:sz w:val="24"/>
          <w:szCs w:val="24"/>
          <w:highlight w:val="none"/>
          <w:lang w:val="en-US" w:eastAsia="zh-CN" w:bidi="ar-SA"/>
        </w:rPr>
        <w:t>6.保密</w:t>
      </w:r>
      <w:bookmarkEnd w:id="149"/>
      <w:bookmarkEnd w:id="150"/>
      <w:bookmarkEnd w:id="151"/>
      <w:bookmarkEnd w:id="152"/>
      <w:bookmarkEnd w:id="153"/>
      <w:bookmarkEnd w:id="154"/>
    </w:p>
    <w:p w14:paraId="7CBA93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参与招标投标活动的各方应对招标文件和投标文件中的商业和技术等秘密保密，否则应承担相应的法律责任。</w:t>
      </w:r>
    </w:p>
    <w:p w14:paraId="2947ABF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2 </w:t>
      </w:r>
      <w:r>
        <w:rPr>
          <w:rFonts w:hint="eastAsia" w:ascii="宋体" w:hAnsi="宋体" w:eastAsia="宋体" w:cs="宋体"/>
          <w:color w:val="auto"/>
          <w:kern w:val="2"/>
          <w:sz w:val="24"/>
          <w:szCs w:val="24"/>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3 </w:t>
      </w:r>
      <w:r>
        <w:rPr>
          <w:rFonts w:hint="eastAsia" w:ascii="宋体" w:hAnsi="宋体" w:eastAsia="宋体" w:cs="宋体"/>
          <w:color w:val="auto"/>
          <w:kern w:val="2"/>
          <w:sz w:val="24"/>
          <w:szCs w:val="24"/>
          <w:highlight w:val="none"/>
        </w:rPr>
        <w:t>采购代理机构有权将投标人提供的所有资料向有关政府部门或评审</w:t>
      </w:r>
      <w:r>
        <w:rPr>
          <w:rFonts w:hint="eastAsia" w:ascii="宋体" w:hAnsi="宋体" w:eastAsia="宋体" w:cs="宋体"/>
          <w:color w:val="auto"/>
          <w:kern w:val="2"/>
          <w:sz w:val="24"/>
          <w:szCs w:val="24"/>
          <w:highlight w:val="none"/>
          <w:lang w:val="en-US" w:eastAsia="zh-CN"/>
        </w:rPr>
        <w:t>投标文件</w:t>
      </w:r>
      <w:r>
        <w:rPr>
          <w:rFonts w:hint="eastAsia" w:ascii="宋体" w:hAnsi="宋体" w:eastAsia="宋体" w:cs="宋体"/>
          <w:color w:val="auto"/>
          <w:kern w:val="2"/>
          <w:sz w:val="24"/>
          <w:szCs w:val="24"/>
          <w:highlight w:val="none"/>
        </w:rPr>
        <w:t>的有关人员披露。</w:t>
      </w:r>
    </w:p>
    <w:p w14:paraId="0EE6357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color w:val="auto"/>
          <w:kern w:val="2"/>
          <w:sz w:val="24"/>
          <w:szCs w:val="24"/>
          <w:highlight w:val="none"/>
        </w:rPr>
        <w:t>。</w:t>
      </w:r>
    </w:p>
    <w:p w14:paraId="284B114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5" w:name="_Toc21712"/>
      <w:bookmarkStart w:id="156" w:name="_Toc23819"/>
      <w:bookmarkStart w:id="157" w:name="_Toc140132762"/>
      <w:bookmarkStart w:id="158" w:name="_Toc2247"/>
      <w:bookmarkStart w:id="159" w:name="_Toc163492829"/>
      <w:bookmarkStart w:id="160" w:name="_Toc489"/>
      <w:r>
        <w:rPr>
          <w:rFonts w:hint="eastAsia" w:ascii="宋体" w:hAnsi="宋体" w:eastAsia="宋体" w:cs="宋体"/>
          <w:b/>
          <w:bCs/>
          <w:color w:val="auto"/>
          <w:kern w:val="2"/>
          <w:sz w:val="24"/>
          <w:szCs w:val="24"/>
          <w:highlight w:val="none"/>
          <w:lang w:val="en-US" w:eastAsia="zh-CN" w:bidi="ar-SA"/>
        </w:rPr>
        <w:t>7.语言文字</w:t>
      </w:r>
      <w:bookmarkEnd w:id="155"/>
      <w:bookmarkEnd w:id="156"/>
      <w:bookmarkEnd w:id="157"/>
      <w:bookmarkEnd w:id="158"/>
      <w:bookmarkEnd w:id="159"/>
      <w:bookmarkEnd w:id="160"/>
    </w:p>
    <w:p w14:paraId="2514093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7.1招标投标</w:t>
      </w:r>
      <w:r>
        <w:rPr>
          <w:rFonts w:hint="eastAsia" w:ascii="宋体" w:hAnsi="宋体" w:eastAsia="宋体" w:cs="宋体"/>
          <w:color w:val="auto"/>
          <w:sz w:val="24"/>
          <w:szCs w:val="24"/>
          <w:highlight w:val="none"/>
          <w:lang w:val="en-US" w:eastAsia="zh-CN"/>
        </w:rPr>
        <w:t>过程</w:t>
      </w:r>
      <w:r>
        <w:rPr>
          <w:rFonts w:hint="eastAsia" w:ascii="宋体" w:hAnsi="宋体" w:eastAsia="宋体" w:cs="宋体"/>
          <w:color w:val="auto"/>
          <w:sz w:val="24"/>
          <w:szCs w:val="24"/>
          <w:highlight w:val="none"/>
        </w:rPr>
        <w:t>文件使用的语言文字为中文。专用术语使用外文的，应附有中文注释。</w:t>
      </w:r>
      <w:r>
        <w:rPr>
          <w:rFonts w:hint="eastAsia" w:ascii="宋体" w:hAnsi="宋体" w:eastAsia="宋体" w:cs="宋体"/>
          <w:color w:val="auto"/>
          <w:sz w:val="24"/>
          <w:szCs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1" w:name="_Toc3078"/>
      <w:bookmarkStart w:id="162" w:name="_Toc163492830"/>
      <w:bookmarkStart w:id="163" w:name="_Toc18687"/>
      <w:bookmarkStart w:id="164" w:name="_Toc23417"/>
      <w:bookmarkStart w:id="165" w:name="_Toc9364"/>
      <w:bookmarkStart w:id="166" w:name="_Toc140132763"/>
      <w:r>
        <w:rPr>
          <w:rFonts w:hint="eastAsia" w:ascii="宋体" w:hAnsi="宋体" w:eastAsia="宋体" w:cs="宋体"/>
          <w:b/>
          <w:bCs/>
          <w:color w:val="auto"/>
          <w:kern w:val="2"/>
          <w:sz w:val="24"/>
          <w:szCs w:val="24"/>
          <w:highlight w:val="none"/>
          <w:lang w:val="en-US" w:eastAsia="zh-CN" w:bidi="ar-SA"/>
        </w:rPr>
        <w:t>8.计量单位</w:t>
      </w:r>
      <w:bookmarkEnd w:id="161"/>
      <w:bookmarkEnd w:id="162"/>
      <w:bookmarkEnd w:id="163"/>
      <w:bookmarkEnd w:id="164"/>
      <w:bookmarkEnd w:id="165"/>
      <w:bookmarkEnd w:id="166"/>
    </w:p>
    <w:p w14:paraId="45A7AE5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8.1所有计量均采用中华人民共和国法定计量单位。</w:t>
      </w:r>
    </w:p>
    <w:p w14:paraId="099F3EF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7" w:name="_Toc31192"/>
      <w:bookmarkStart w:id="168" w:name="_Toc11937"/>
      <w:bookmarkStart w:id="169" w:name="_Toc11023"/>
      <w:bookmarkStart w:id="170" w:name="_Toc140132764"/>
      <w:bookmarkStart w:id="171" w:name="_Toc25154"/>
      <w:bookmarkStart w:id="172" w:name="_Toc163492831"/>
      <w:r>
        <w:rPr>
          <w:rFonts w:hint="eastAsia" w:ascii="宋体" w:hAnsi="宋体" w:eastAsia="宋体" w:cs="宋体"/>
          <w:b/>
          <w:bCs/>
          <w:color w:val="auto"/>
          <w:kern w:val="2"/>
          <w:sz w:val="24"/>
          <w:szCs w:val="24"/>
          <w:highlight w:val="none"/>
          <w:lang w:val="en-US" w:eastAsia="zh-CN" w:bidi="ar-SA"/>
        </w:rPr>
        <w:t>9.现场考察和答疑会</w:t>
      </w:r>
      <w:bookmarkEnd w:id="167"/>
      <w:bookmarkEnd w:id="168"/>
      <w:bookmarkEnd w:id="169"/>
      <w:bookmarkEnd w:id="170"/>
      <w:bookmarkEnd w:id="171"/>
      <w:bookmarkEnd w:id="172"/>
    </w:p>
    <w:p w14:paraId="5A8B8C4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173" w:name="_Hlk143529198"/>
      <w:r>
        <w:rPr>
          <w:rFonts w:hint="eastAsia" w:ascii="宋体" w:hAnsi="宋体" w:eastAsia="宋体" w:cs="宋体"/>
          <w:color w:val="auto"/>
          <w:sz w:val="24"/>
          <w:szCs w:val="24"/>
          <w:highlight w:val="none"/>
        </w:rPr>
        <w:t xml:space="preserve">9.1 “投标人须知前附表”规定组织现场考察的，采购代理机构按“投标人须知前附表”规定的时间、地点组织投标人项目现场考察。 </w:t>
      </w:r>
    </w:p>
    <w:p w14:paraId="5F8A235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投标人现场考察发生的费用自理。</w:t>
      </w:r>
    </w:p>
    <w:p w14:paraId="199A48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在现场考察中，因投标人自身原因发生的人员伤亡和财产损失，由投标人自行负责。</w:t>
      </w:r>
    </w:p>
    <w:p w14:paraId="6F1F6A2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 “投标人须知前附表”规定召开答疑会的，采购代理机构按“投标人须知前附表”规定的时间和地点召开答疑会，澄清投标人提出的问题。</w:t>
      </w:r>
    </w:p>
    <w:p w14:paraId="009438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73"/>
    <w:p w14:paraId="015C1ED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4" w:name="_Toc3693"/>
      <w:bookmarkStart w:id="175" w:name="_Toc163492833"/>
      <w:bookmarkStart w:id="176" w:name="_Toc155185858"/>
      <w:bookmarkStart w:id="177" w:name="_Toc28644"/>
      <w:bookmarkStart w:id="178" w:name="_Toc31591"/>
      <w:bookmarkStart w:id="179" w:name="_Toc24524"/>
      <w:bookmarkStart w:id="180" w:name="_Toc155185871"/>
      <w:r>
        <w:rPr>
          <w:rFonts w:hint="eastAsia" w:ascii="宋体" w:hAnsi="宋体" w:eastAsia="宋体" w:cs="宋体"/>
          <w:b/>
          <w:bCs/>
          <w:color w:val="auto"/>
          <w:kern w:val="2"/>
          <w:sz w:val="24"/>
          <w:szCs w:val="24"/>
          <w:highlight w:val="none"/>
          <w:lang w:val="en-US" w:eastAsia="zh-CN" w:bidi="ar-SA"/>
        </w:rPr>
        <w:t>10.电子投标说明</w:t>
      </w:r>
      <w:bookmarkEnd w:id="174"/>
      <w:bookmarkEnd w:id="175"/>
      <w:bookmarkEnd w:id="176"/>
      <w:bookmarkEnd w:id="177"/>
      <w:bookmarkEnd w:id="178"/>
      <w:bookmarkEnd w:id="179"/>
      <w:r>
        <w:rPr>
          <w:rFonts w:hint="eastAsia" w:ascii="宋体" w:hAnsi="宋体" w:eastAsia="宋体" w:cs="宋体"/>
          <w:b/>
          <w:bCs/>
          <w:color w:val="auto"/>
          <w:kern w:val="2"/>
          <w:sz w:val="24"/>
          <w:szCs w:val="24"/>
          <w:highlight w:val="none"/>
          <w:lang w:val="en-US" w:eastAsia="zh-CN" w:bidi="ar-SA"/>
        </w:rPr>
        <w:t xml:space="preserve">   </w:t>
      </w:r>
    </w:p>
    <w:p w14:paraId="1885013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10.1 </w:t>
      </w:r>
      <w:r>
        <w:rPr>
          <w:rFonts w:hint="eastAsia" w:ascii="宋体" w:hAnsi="宋体" w:eastAsia="宋体" w:cs="宋体"/>
          <w:color w:val="auto"/>
          <w:sz w:val="24"/>
          <w:szCs w:val="24"/>
          <w:highlight w:val="none"/>
        </w:rPr>
        <w:t>本次采购采用电子交易方式，电子交易平台为</w:t>
      </w:r>
      <w:r>
        <w:rPr>
          <w:rFonts w:hint="eastAsia" w:ascii="宋体" w:hAnsi="宋体" w:eastAsia="宋体" w:cs="宋体"/>
          <w:color w:val="auto"/>
          <w:sz w:val="24"/>
          <w:szCs w:val="24"/>
          <w:highlight w:val="none"/>
          <w:lang w:val="en-US"/>
        </w:rPr>
        <w:t>兵团</w:t>
      </w:r>
      <w:r>
        <w:rPr>
          <w:rFonts w:hint="eastAsia" w:ascii="宋体" w:hAnsi="宋体" w:eastAsia="宋体" w:cs="宋体"/>
          <w:color w:val="auto"/>
          <w:sz w:val="24"/>
          <w:szCs w:val="24"/>
          <w:highlight w:val="none"/>
        </w:rPr>
        <w:t>政府采购</w:t>
      </w:r>
      <w:r>
        <w:rPr>
          <w:rFonts w:hint="eastAsia" w:ascii="宋体" w:hAnsi="宋体" w:eastAsia="宋体" w:cs="宋体"/>
          <w:color w:val="auto"/>
          <w:sz w:val="24"/>
          <w:szCs w:val="24"/>
          <w:highlight w:val="none"/>
          <w:lang w:val="en-US"/>
        </w:rPr>
        <w:t>电子交易云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网址</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rPr>
        <w:t>。投标人参与本项目电子交易活动前，应</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rPr>
        <w:t>政</w:t>
      </w:r>
      <w:r>
        <w:rPr>
          <w:rFonts w:hint="eastAsia" w:ascii="宋体" w:hAnsi="宋体" w:eastAsia="宋体" w:cs="宋体"/>
          <w:color w:val="auto"/>
          <w:sz w:val="24"/>
          <w:szCs w:val="24"/>
          <w:highlight w:val="none"/>
          <w:lang w:val="en-US" w:eastAsia="zh-CN"/>
        </w:rPr>
        <w:t>采</w:t>
      </w:r>
      <w:r>
        <w:rPr>
          <w:rFonts w:hint="eastAsia" w:ascii="宋体" w:hAnsi="宋体" w:eastAsia="宋体" w:cs="宋体"/>
          <w:color w:val="auto"/>
          <w:sz w:val="24"/>
          <w:szCs w:val="24"/>
          <w:highlight w:val="none"/>
          <w:lang w:val="en-US"/>
        </w:rPr>
        <w:t>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en-US" w:eastAsia="zh-CN"/>
        </w:rPr>
        <w:t>上</w:t>
      </w:r>
      <w:r>
        <w:rPr>
          <w:rFonts w:hint="eastAsia" w:ascii="宋体" w:hAnsi="宋体" w:eastAsia="宋体" w:cs="宋体"/>
          <w:color w:val="auto"/>
          <w:sz w:val="24"/>
          <w:szCs w:val="24"/>
          <w:highlight w:val="none"/>
        </w:rPr>
        <w:t>注册</w:t>
      </w:r>
      <w:r>
        <w:rPr>
          <w:rFonts w:hint="eastAsia" w:ascii="宋体" w:hAnsi="宋体" w:eastAsia="宋体" w:cs="宋体"/>
          <w:color w:val="auto"/>
          <w:sz w:val="24"/>
          <w:szCs w:val="24"/>
          <w:highlight w:val="none"/>
          <w:lang w:val="en-US" w:eastAsia="zh-CN"/>
        </w:rPr>
        <w:t>供应商账号</w:t>
      </w:r>
      <w:r>
        <w:rPr>
          <w:rFonts w:hint="eastAsia" w:ascii="宋体" w:hAnsi="宋体" w:eastAsia="宋体" w:cs="宋体"/>
          <w:color w:val="auto"/>
          <w:sz w:val="24"/>
          <w:szCs w:val="24"/>
          <w:highlight w:val="none"/>
        </w:rPr>
        <w:t>。编制电子</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文件前还需</w:t>
      </w:r>
      <w:r>
        <w:rPr>
          <w:rFonts w:hint="eastAsia" w:ascii="宋体" w:hAnsi="宋体" w:eastAsia="宋体" w:cs="宋体"/>
          <w:color w:val="auto"/>
          <w:sz w:val="24"/>
          <w:szCs w:val="24"/>
          <w:highlight w:val="none"/>
          <w:lang w:val="en-US" w:eastAsia="zh-CN"/>
        </w:rPr>
        <w:t>申领CA证书并绑定帐号。投标人应充分考虑完成平台注册、申领CA证书等所需的时间。</w:t>
      </w:r>
      <w:r>
        <w:rPr>
          <w:rFonts w:hint="eastAsia" w:ascii="宋体" w:hAnsi="宋体" w:eastAsia="宋体" w:cs="宋体"/>
          <w:color w:val="auto"/>
          <w:sz w:val="24"/>
          <w:szCs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登录兵团政府采购网“供应商注册”—“新疆生产建设兵团政府采购供应商入驻登记”—“立即登记”进行自助注册绑定。</w:t>
      </w:r>
    </w:p>
    <w:p w14:paraId="091665A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投标人将</w:t>
      </w:r>
      <w:r>
        <w:rPr>
          <w:rFonts w:hint="eastAsia" w:ascii="宋体" w:hAnsi="宋体" w:eastAsia="宋体" w:cs="宋体"/>
          <w:color w:val="auto"/>
          <w:sz w:val="24"/>
          <w:szCs w:val="24"/>
          <w:highlight w:val="none"/>
          <w:lang w:val="en-US"/>
        </w:rPr>
        <w:t>兵团</w:t>
      </w:r>
      <w:r>
        <w:rPr>
          <w:rFonts w:hint="eastAsia" w:ascii="宋体" w:hAnsi="宋体" w:eastAsia="宋体" w:cs="宋体"/>
          <w:color w:val="auto"/>
          <w:sz w:val="24"/>
          <w:szCs w:val="24"/>
          <w:highlight w:val="none"/>
        </w:rPr>
        <w:t>政府采购</w:t>
      </w:r>
      <w:r>
        <w:rPr>
          <w:rFonts w:hint="eastAsia" w:ascii="宋体" w:hAnsi="宋体" w:eastAsia="宋体" w:cs="宋体"/>
          <w:color w:val="auto"/>
          <w:sz w:val="24"/>
          <w:szCs w:val="24"/>
          <w:highlight w:val="none"/>
          <w:lang w:val="en-US"/>
        </w:rPr>
        <w:t>电子交易云</w:t>
      </w:r>
      <w:r>
        <w:rPr>
          <w:rFonts w:hint="eastAsia" w:ascii="宋体" w:hAnsi="宋体" w:eastAsia="宋体" w:cs="宋体"/>
          <w:color w:val="auto"/>
          <w:sz w:val="24"/>
          <w:szCs w:val="24"/>
          <w:highlight w:val="none"/>
        </w:rPr>
        <w:t>平台电子交易客户端下载、安装完成后，可通过账号密码或CA登录客户端进行</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制作。在使用政采云投标客户端时，建议使用WIN7及以上操作系统。</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登录兵团政府采购网“下载专区”—“电子招投标客户端下载”下载相关客户端，如有问题可拨打政采云客户服务热线95763进行咨询。</w:t>
      </w:r>
    </w:p>
    <w:p w14:paraId="1A54E8F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加密的电子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递交截止时间前通过政采云平台上传完成。逾期上传或者未上传指定地点的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，不予受理。</w:t>
      </w:r>
    </w:p>
    <w:p w14:paraId="02317D0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投标人在开标前须提前配置好电脑</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浏览器，开标时请使用制作加密电子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的CA锁进行解密及报价确认。本项目</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解密时间</w:t>
      </w:r>
      <w:r>
        <w:rPr>
          <w:rFonts w:hint="eastAsia" w:ascii="宋体" w:hAnsi="宋体" w:eastAsia="宋体" w:cs="宋体"/>
          <w:color w:val="auto"/>
          <w:sz w:val="24"/>
          <w:szCs w:val="24"/>
          <w:highlight w:val="none"/>
          <w:lang w:val="en-US" w:eastAsia="zh-CN"/>
        </w:rPr>
        <w:t>详见“投标人须知前附表”</w:t>
      </w:r>
      <w:r>
        <w:rPr>
          <w:rFonts w:hint="eastAsia" w:ascii="宋体" w:hAnsi="宋体" w:eastAsia="宋体" w:cs="宋体"/>
          <w:color w:val="auto"/>
          <w:sz w:val="24"/>
          <w:szCs w:val="24"/>
          <w:highlight w:val="none"/>
        </w:rPr>
        <w:t>，如因自身原因导致无法正常解密，后果由投标人自行承担。</w:t>
      </w:r>
    </w:p>
    <w:p w14:paraId="6EDA716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如遇“</w:t>
      </w:r>
      <w:r>
        <w:rPr>
          <w:rFonts w:hint="eastAsia" w:ascii="宋体" w:hAnsi="宋体" w:eastAsia="宋体" w:cs="宋体"/>
          <w:color w:val="auto"/>
          <w:sz w:val="24"/>
          <w:szCs w:val="24"/>
          <w:highlight w:val="none"/>
          <w:lang w:val="en-US"/>
        </w:rPr>
        <w:t>兵团</w:t>
      </w:r>
      <w:r>
        <w:rPr>
          <w:rFonts w:hint="eastAsia" w:ascii="宋体" w:hAnsi="宋体" w:eastAsia="宋体" w:cs="宋体"/>
          <w:color w:val="auto"/>
          <w:sz w:val="24"/>
          <w:szCs w:val="24"/>
          <w:highlight w:val="none"/>
        </w:rPr>
        <w:t>政府采购</w:t>
      </w:r>
      <w:r>
        <w:rPr>
          <w:rFonts w:hint="eastAsia" w:ascii="宋体" w:hAnsi="宋体" w:eastAsia="宋体" w:cs="宋体"/>
          <w:color w:val="auto"/>
          <w:sz w:val="24"/>
          <w:szCs w:val="24"/>
          <w:highlight w:val="none"/>
          <w:lang w:val="en-US"/>
        </w:rPr>
        <w:t>电子交易云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网址</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rPr>
        <w:t>”电子交易规则调整，以最新要求为准。</w:t>
      </w:r>
    </w:p>
    <w:p w14:paraId="733157B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10.6 电子交易系统咨询：投标人应当充分考虑到电子投标可能会发生的各种问题和风险，特别是投标文件签署、提交等问题，可按照“第一章 招标公告”的联系方式咨询相关人员。</w:t>
      </w:r>
    </w:p>
    <w:p w14:paraId="06DEE05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81" w:name="_Toc2746"/>
      <w:bookmarkStart w:id="182" w:name="_Toc26264"/>
      <w:bookmarkStart w:id="183" w:name="_Toc28190"/>
      <w:bookmarkStart w:id="184" w:name="_Toc163492834"/>
      <w:bookmarkStart w:id="185" w:name="_Toc28416"/>
      <w:r>
        <w:rPr>
          <w:rFonts w:hint="eastAsia" w:ascii="宋体" w:hAnsi="宋体" w:eastAsia="宋体" w:cs="宋体"/>
          <w:b/>
          <w:bCs/>
          <w:color w:val="auto"/>
          <w:kern w:val="2"/>
          <w:sz w:val="24"/>
          <w:szCs w:val="24"/>
          <w:highlight w:val="none"/>
          <w:lang w:val="en-US" w:eastAsia="zh-CN" w:bidi="ar-SA"/>
        </w:rPr>
        <w:t>（二）招标文件</w:t>
      </w:r>
      <w:bookmarkEnd w:id="180"/>
      <w:bookmarkEnd w:id="181"/>
      <w:bookmarkEnd w:id="182"/>
      <w:bookmarkEnd w:id="183"/>
      <w:bookmarkEnd w:id="184"/>
      <w:bookmarkEnd w:id="185"/>
    </w:p>
    <w:p w14:paraId="08A2C6A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86" w:name="_Toc8199"/>
      <w:bookmarkStart w:id="187" w:name="_Toc26231"/>
      <w:bookmarkStart w:id="188" w:name="_Toc140132768"/>
      <w:bookmarkStart w:id="189" w:name="_Toc21231"/>
      <w:bookmarkStart w:id="190" w:name="_Toc24748"/>
      <w:bookmarkStart w:id="191" w:name="_Toc163492835"/>
      <w:r>
        <w:rPr>
          <w:rFonts w:hint="eastAsia" w:ascii="宋体" w:hAnsi="宋体" w:eastAsia="宋体" w:cs="宋体"/>
          <w:b/>
          <w:bCs/>
          <w:color w:val="auto"/>
          <w:kern w:val="2"/>
          <w:sz w:val="24"/>
          <w:szCs w:val="24"/>
          <w:highlight w:val="none"/>
          <w:lang w:val="en-US" w:eastAsia="zh-CN" w:bidi="ar-SA"/>
        </w:rPr>
        <w:t>11.招标文件的组成</w:t>
      </w:r>
      <w:bookmarkEnd w:id="186"/>
      <w:bookmarkEnd w:id="187"/>
      <w:bookmarkEnd w:id="188"/>
      <w:bookmarkEnd w:id="189"/>
      <w:bookmarkEnd w:id="190"/>
      <w:bookmarkEnd w:id="191"/>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.1本招标文件包括下列文件及根据本章第9款、第1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第一章 </w:t>
      </w:r>
      <w:r>
        <w:rPr>
          <w:rFonts w:hint="eastAsia" w:ascii="宋体" w:hAnsi="宋体" w:eastAsia="宋体" w:cs="宋体"/>
          <w:color w:val="auto"/>
          <w:sz w:val="24"/>
          <w:szCs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 投标文件的格式</w:t>
      </w:r>
    </w:p>
    <w:p w14:paraId="78CADEE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92" w:name="_Toc1043"/>
      <w:bookmarkStart w:id="193" w:name="_Toc163492836"/>
      <w:bookmarkStart w:id="194" w:name="_Toc140132769"/>
      <w:bookmarkStart w:id="195" w:name="_Toc23749"/>
      <w:bookmarkStart w:id="196" w:name="_Toc11042"/>
      <w:bookmarkStart w:id="197" w:name="_Toc19359"/>
      <w:r>
        <w:rPr>
          <w:rFonts w:hint="eastAsia" w:ascii="宋体" w:hAnsi="宋体" w:eastAsia="宋体" w:cs="宋体"/>
          <w:b/>
          <w:bCs/>
          <w:color w:val="auto"/>
          <w:kern w:val="2"/>
          <w:sz w:val="24"/>
          <w:szCs w:val="24"/>
          <w:highlight w:val="none"/>
          <w:lang w:val="en-US" w:eastAsia="zh-CN" w:bidi="ar-SA"/>
        </w:rPr>
        <w:t>12.招标文件的询问、澄清或者修改</w:t>
      </w:r>
      <w:bookmarkEnd w:id="192"/>
      <w:bookmarkEnd w:id="193"/>
      <w:bookmarkEnd w:id="194"/>
      <w:bookmarkEnd w:id="195"/>
      <w:bookmarkEnd w:id="196"/>
      <w:bookmarkEnd w:id="197"/>
    </w:p>
    <w:p w14:paraId="3A36B8C0">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6F4138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投标人在规定的时间内未对招标文件提出疑问或要求澄清的，采购代理机构将视其为同意，对在“投标人须知前附表”中“</w:t>
      </w:r>
      <w:r>
        <w:rPr>
          <w:rFonts w:hint="eastAsia" w:ascii="宋体" w:hAnsi="宋体" w:eastAsia="宋体" w:cs="宋体"/>
          <w:color w:val="auto"/>
          <w:sz w:val="24"/>
          <w:szCs w:val="24"/>
          <w:highlight w:val="none"/>
          <w:lang w:val="en-US" w:eastAsia="zh-CN"/>
        </w:rPr>
        <w:t>提出询问的</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后就招标文件内容提出的疑问及澄清要求将不予受理。</w:t>
      </w:r>
    </w:p>
    <w:p w14:paraId="4A5FAB8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采购人或者采购代理机构可以对已发出的招标文件进行必要的澄清或者修改。澄清或修改的内容为招标文件的组成部分，并对所有获取招标文件的潜在投标人具有约束力。</w:t>
      </w:r>
    </w:p>
    <w:p w14:paraId="1EB83C80">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招标文件的澄清或者修改以当面交接、邮寄、传真或电子邮件、网站披露等其中至少一种方式，发给所有领取招标文件的</w:t>
      </w:r>
      <w:r>
        <w:rPr>
          <w:rFonts w:hint="eastAsia" w:ascii="宋体" w:hAnsi="宋体" w:eastAsia="宋体" w:cs="宋体"/>
          <w:color w:val="auto"/>
          <w:sz w:val="24"/>
          <w:szCs w:val="24"/>
          <w:highlight w:val="none"/>
          <w:lang w:val="en-US" w:eastAsia="zh-CN"/>
        </w:rPr>
        <w:t>潜在</w:t>
      </w:r>
      <w:r>
        <w:rPr>
          <w:rFonts w:hint="eastAsia" w:ascii="宋体" w:hAnsi="宋体" w:eastAsia="宋体" w:cs="宋体"/>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274E6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投标人须知”所称“书面形式”包括系统消息、政府采购</w:t>
      </w:r>
      <w:r>
        <w:rPr>
          <w:rFonts w:hint="eastAsia" w:ascii="宋体" w:hAnsi="宋体" w:eastAsia="宋体" w:cs="宋体"/>
          <w:color w:val="auto"/>
          <w:sz w:val="24"/>
          <w:szCs w:val="24"/>
          <w:highlight w:val="none"/>
          <w:lang w:val="en-US" w:eastAsia="zh-CN"/>
        </w:rPr>
        <w:t>云平台</w:t>
      </w:r>
      <w:r>
        <w:rPr>
          <w:rFonts w:hint="eastAsia" w:ascii="宋体" w:hAnsi="宋体" w:eastAsia="宋体" w:cs="宋体"/>
          <w:color w:val="auto"/>
          <w:sz w:val="24"/>
          <w:szCs w:val="24"/>
          <w:highlight w:val="none"/>
        </w:rPr>
        <w:t>发布的公告。</w:t>
      </w:r>
    </w:p>
    <w:p w14:paraId="1E6D774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9FCE41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78320B0">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98" w:name="_Toc21031"/>
      <w:bookmarkStart w:id="199" w:name="_Toc163492837"/>
      <w:bookmarkStart w:id="200" w:name="_Toc10238"/>
      <w:bookmarkStart w:id="201" w:name="_Toc28118"/>
      <w:bookmarkStart w:id="202" w:name="_Toc155185872"/>
      <w:bookmarkStart w:id="203" w:name="_Toc13935"/>
      <w:r>
        <w:rPr>
          <w:rFonts w:hint="eastAsia" w:ascii="宋体" w:hAnsi="宋体" w:eastAsia="宋体" w:cs="宋体"/>
          <w:b/>
          <w:bCs/>
          <w:color w:val="auto"/>
          <w:kern w:val="2"/>
          <w:sz w:val="24"/>
          <w:szCs w:val="24"/>
          <w:highlight w:val="none"/>
          <w:lang w:val="en-US" w:eastAsia="zh-CN" w:bidi="ar-SA"/>
        </w:rPr>
        <w:t>（三）投标文件</w:t>
      </w:r>
      <w:bookmarkEnd w:id="198"/>
      <w:bookmarkEnd w:id="199"/>
      <w:bookmarkEnd w:id="200"/>
      <w:bookmarkEnd w:id="201"/>
      <w:bookmarkEnd w:id="202"/>
      <w:bookmarkEnd w:id="203"/>
    </w:p>
    <w:p w14:paraId="67D7EC6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4" w:name="_Toc163492838"/>
      <w:bookmarkStart w:id="205" w:name="_Toc25559"/>
      <w:bookmarkStart w:id="206" w:name="_Toc10645"/>
      <w:bookmarkStart w:id="207" w:name="_Toc31491"/>
      <w:bookmarkStart w:id="208" w:name="_Toc8526"/>
      <w:r>
        <w:rPr>
          <w:rFonts w:hint="eastAsia" w:ascii="宋体" w:hAnsi="宋体" w:eastAsia="宋体" w:cs="宋体"/>
          <w:b/>
          <w:bCs/>
          <w:color w:val="auto"/>
          <w:kern w:val="2"/>
          <w:sz w:val="24"/>
          <w:szCs w:val="24"/>
          <w:highlight w:val="none"/>
          <w:lang w:val="en-US" w:eastAsia="zh-CN" w:bidi="ar-SA"/>
        </w:rPr>
        <w:t>13.投标文件的组成</w:t>
      </w:r>
      <w:bookmarkEnd w:id="204"/>
      <w:bookmarkEnd w:id="205"/>
      <w:bookmarkEnd w:id="206"/>
      <w:bookmarkEnd w:id="207"/>
      <w:bookmarkEnd w:id="208"/>
    </w:p>
    <w:p w14:paraId="174A0A3D">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bookmarkStart w:id="209" w:name="_Toc140132772"/>
      <w:bookmarkStart w:id="210" w:name="_Toc163492839"/>
      <w:r>
        <w:rPr>
          <w:rFonts w:hint="eastAsia" w:ascii="宋体" w:hAnsi="宋体" w:eastAsia="宋体" w:cs="宋体"/>
          <w:color w:val="auto"/>
          <w:kern w:val="2"/>
          <w:sz w:val="24"/>
          <w:szCs w:val="24"/>
          <w:highlight w:val="none"/>
          <w:lang w:val="en-US" w:eastAsia="zh-CN"/>
        </w:rPr>
        <w:t>13</w:t>
      </w:r>
      <w:r>
        <w:rPr>
          <w:rFonts w:hint="eastAsia" w:ascii="宋体" w:hAnsi="宋体" w:eastAsia="宋体" w:cs="宋体"/>
          <w:color w:val="auto"/>
          <w:kern w:val="2"/>
          <w:sz w:val="24"/>
          <w:szCs w:val="24"/>
          <w:highlight w:val="none"/>
        </w:rPr>
        <w:t>.1投标人应完整地按招标文件提供的投标文件格式及要求编写投标文件，具体内容详见</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 xml:space="preserve">第七章 </w:t>
      </w:r>
      <w:r>
        <w:rPr>
          <w:rFonts w:hint="eastAsia" w:ascii="宋体" w:hAnsi="宋体" w:eastAsia="宋体" w:cs="宋体"/>
          <w:color w:val="auto"/>
          <w:kern w:val="2"/>
          <w:sz w:val="24"/>
          <w:szCs w:val="24"/>
          <w:highlight w:val="none"/>
        </w:rPr>
        <w:t>投标文件格式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的相关内容。</w:t>
      </w:r>
    </w:p>
    <w:p w14:paraId="3BB3A0B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13.2</w:t>
      </w:r>
      <w:r>
        <w:rPr>
          <w:rFonts w:hint="eastAsia" w:ascii="宋体" w:hAnsi="宋体" w:eastAsia="宋体" w:cs="宋体"/>
          <w:color w:val="auto"/>
          <w:kern w:val="2"/>
          <w:sz w:val="24"/>
          <w:szCs w:val="24"/>
          <w:highlight w:val="none"/>
        </w:rPr>
        <w:t>投标人应提交招标文件要求的证明文件，证明其投标内容符合招标文件规定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该证明文件是投标文件的一部分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证明文件</w:t>
      </w:r>
      <w:r>
        <w:rPr>
          <w:rFonts w:hint="eastAsia" w:ascii="宋体" w:hAnsi="宋体" w:eastAsia="宋体" w:cs="宋体"/>
          <w:color w:val="auto"/>
          <w:kern w:val="2"/>
          <w:sz w:val="24"/>
          <w:szCs w:val="24"/>
          <w:highlight w:val="none"/>
          <w:lang w:val="en-US" w:eastAsia="zh-CN"/>
        </w:rPr>
        <w:t>形式</w:t>
      </w:r>
      <w:r>
        <w:rPr>
          <w:rFonts w:hint="eastAsia" w:ascii="宋体" w:hAnsi="宋体" w:eastAsia="宋体" w:cs="宋体"/>
          <w:color w:val="auto"/>
          <w:kern w:val="2"/>
          <w:sz w:val="24"/>
          <w:szCs w:val="24"/>
          <w:highlight w:val="none"/>
        </w:rPr>
        <w:t>可以是文字资料、图纸和数据</w:t>
      </w:r>
      <w:bookmarkStart w:id="211" w:name="_Hlk11703583"/>
      <w:r>
        <w:rPr>
          <w:rFonts w:hint="eastAsia" w:ascii="宋体" w:hAnsi="宋体" w:eastAsia="宋体" w:cs="宋体"/>
          <w:color w:val="auto"/>
          <w:kern w:val="2"/>
          <w:sz w:val="24"/>
          <w:szCs w:val="24"/>
          <w:highlight w:val="none"/>
          <w:lang w:val="en-US" w:eastAsia="zh-CN"/>
        </w:rPr>
        <w:t>等。</w:t>
      </w:r>
    </w:p>
    <w:bookmarkEnd w:id="211"/>
    <w:p w14:paraId="781BBA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13.3</w:t>
      </w:r>
      <w:r>
        <w:rPr>
          <w:rFonts w:hint="eastAsia" w:ascii="宋体" w:hAnsi="宋体" w:eastAsia="宋体" w:cs="宋体"/>
          <w:color w:val="auto"/>
          <w:kern w:val="2"/>
          <w:sz w:val="24"/>
          <w:szCs w:val="24"/>
          <w:highlight w:val="none"/>
        </w:rPr>
        <w:t>为保证公平公正，除非</w:t>
      </w:r>
      <w:r>
        <w:rPr>
          <w:rFonts w:hint="eastAsia" w:ascii="宋体" w:hAnsi="宋体" w:eastAsia="宋体" w:cs="宋体"/>
          <w:color w:val="auto"/>
          <w:kern w:val="2"/>
          <w:sz w:val="24"/>
          <w:szCs w:val="24"/>
          <w:highlight w:val="none"/>
          <w:lang w:val="en-US" w:eastAsia="zh-CN"/>
        </w:rPr>
        <w:t>本招标文件</w:t>
      </w:r>
      <w:r>
        <w:rPr>
          <w:rFonts w:hint="eastAsia" w:ascii="宋体" w:hAnsi="宋体" w:eastAsia="宋体" w:cs="宋体"/>
          <w:color w:val="auto"/>
          <w:kern w:val="2"/>
          <w:sz w:val="24"/>
          <w:szCs w:val="24"/>
          <w:highlight w:val="none"/>
        </w:rPr>
        <w:t>另有规定或说明，投标人对同一项目投标时，不得同时提供备选投标方案。</w:t>
      </w:r>
    </w:p>
    <w:p w14:paraId="2DB5A9E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2" w:name="_Toc12829"/>
      <w:bookmarkStart w:id="213" w:name="_Toc12370"/>
      <w:bookmarkStart w:id="214" w:name="_Toc27765"/>
      <w:bookmarkStart w:id="215" w:name="_Toc24665"/>
      <w:r>
        <w:rPr>
          <w:rFonts w:hint="eastAsia" w:ascii="宋体" w:hAnsi="宋体" w:eastAsia="宋体" w:cs="宋体"/>
          <w:b/>
          <w:bCs/>
          <w:color w:val="auto"/>
          <w:kern w:val="2"/>
          <w:sz w:val="24"/>
          <w:szCs w:val="24"/>
          <w:highlight w:val="none"/>
          <w:lang w:val="en-US" w:eastAsia="zh-CN" w:bidi="ar-SA"/>
        </w:rPr>
        <w:t>14.投标报价</w:t>
      </w:r>
      <w:bookmarkEnd w:id="209"/>
      <w:bookmarkEnd w:id="210"/>
      <w:bookmarkEnd w:id="212"/>
      <w:bookmarkEnd w:id="213"/>
      <w:bookmarkEnd w:id="214"/>
      <w:bookmarkEnd w:id="215"/>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 xml:space="preserve">.1 </w:t>
      </w:r>
      <w:r>
        <w:rPr>
          <w:rFonts w:hint="eastAsia" w:ascii="宋体" w:hAnsi="宋体"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投标人应按照本招标文件规定的报价方式进行报价，投标报价中不得包含招标文件要求以外的内容，否则，在评标时不予核减。投标报价中也不得遗漏招标文件所要求的内容，否则其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kern w:val="2"/>
          <w:sz w:val="24"/>
          <w:szCs w:val="24"/>
          <w:highlight w:val="none"/>
          <w:lang w:val="en-US" w:eastAsia="zh-CN"/>
        </w:rPr>
        <w:t>14.3</w:t>
      </w:r>
      <w:r>
        <w:rPr>
          <w:rFonts w:hint="eastAsia" w:ascii="宋体" w:hAnsi="宋体" w:eastAsia="宋体" w:cs="宋体"/>
          <w:snapToGrid w:val="0"/>
          <w:color w:val="auto"/>
          <w:sz w:val="24"/>
          <w:szCs w:val="24"/>
          <w:highlight w:val="none"/>
          <w:lang w:val="en-US" w:eastAsia="zh-CN"/>
        </w:rPr>
        <w:t>投标人的报价应包括为完成本项目所发生的一切费用和税费，采购人将不再支付报价以外的任何费用。只要投报了一个确定数额的总价，无论分项价格是否全部填报了相应的金额或免费字样，报价应被视为已经包含了但并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r>
        <w:rPr>
          <w:rFonts w:hint="eastAsia" w:ascii="宋体" w:hAnsi="宋体" w:eastAsia="宋体" w:cs="宋体"/>
          <w:snapToGrid w:val="0"/>
          <w:color w:val="auto"/>
          <w:sz w:val="24"/>
          <w:szCs w:val="24"/>
          <w:highlight w:val="none"/>
        </w:rPr>
        <w:t>。</w:t>
      </w:r>
    </w:p>
    <w:p w14:paraId="29AAB874">
      <w:pPr>
        <w:pStyle w:val="1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14.4投标人的报价应包括但不限于按照招标文件要求完成本项目的全部相关费用。</w:t>
      </w:r>
    </w:p>
    <w:p w14:paraId="049AF5FA">
      <w:pPr>
        <w:ind w:firstLine="480" w:firstLineChars="200"/>
        <w:rPr>
          <w:rFonts w:hint="eastAsia" w:ascii="宋体" w:hAnsi="宋体" w:eastAsia="宋体" w:cs="宋体"/>
          <w:snapToGrid w:val="0"/>
          <w:color w:val="auto"/>
          <w:sz w:val="24"/>
          <w:szCs w:val="24"/>
          <w:highlight w:val="none"/>
          <w:lang w:val="zh-CN"/>
        </w:rPr>
      </w:pPr>
      <w:r>
        <w:rPr>
          <w:rFonts w:hint="eastAsia" w:ascii="宋体" w:hAnsi="宋体" w:eastAsia="宋体" w:cs="宋体"/>
          <w:color w:val="auto"/>
          <w:kern w:val="2"/>
          <w:sz w:val="24"/>
          <w:szCs w:val="24"/>
          <w:highlight w:val="none"/>
          <w:lang w:val="en-US" w:eastAsia="zh-CN" w:bidi="ar-SA"/>
        </w:rPr>
        <w:t>14.5 投标人须严格按照分项报价表规定的内容填写服务单价以及其他事项。</w:t>
      </w:r>
      <w:r>
        <w:rPr>
          <w:rFonts w:hint="eastAsia" w:ascii="宋体" w:hAnsi="宋体"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058EFD12">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14.6 投标人在投标文件中注明免费的项目将视为包含在投标报价中。</w:t>
      </w:r>
    </w:p>
    <w:p w14:paraId="6DF8B2FA">
      <w:pPr>
        <w:pStyle w:val="1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14.7 每一种采购内容只允许</w:t>
      </w:r>
      <w:r>
        <w:rPr>
          <w:rFonts w:hint="eastAsia" w:ascii="宋体" w:hAnsi="宋体" w:eastAsia="宋体" w:cs="宋体"/>
          <w:snapToGrid w:val="0"/>
          <w:color w:val="auto"/>
          <w:sz w:val="24"/>
          <w:szCs w:val="24"/>
          <w:highlight w:val="none"/>
        </w:rPr>
        <w:t>有一个报价，否则其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r>
        <w:rPr>
          <w:rFonts w:hint="eastAsia" w:ascii="宋体" w:hAnsi="宋体" w:eastAsia="宋体" w:cs="宋体"/>
          <w:color w:val="auto"/>
          <w:kern w:val="2"/>
          <w:sz w:val="24"/>
          <w:szCs w:val="24"/>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4"/>
          <w:highlight w:val="none"/>
          <w:lang w:val="en-US" w:eastAsia="zh-CN"/>
        </w:rPr>
        <w:t>实质性</w:t>
      </w:r>
      <w:r>
        <w:rPr>
          <w:rFonts w:hint="eastAsia" w:ascii="宋体" w:hAnsi="宋体" w:eastAsia="宋体" w:cs="宋体"/>
          <w:color w:val="auto"/>
          <w:kern w:val="2"/>
          <w:sz w:val="24"/>
          <w:szCs w:val="24"/>
          <w:highlight w:val="none"/>
        </w:rPr>
        <w:t>响应</w:t>
      </w:r>
      <w:r>
        <w:rPr>
          <w:rFonts w:hint="eastAsia" w:ascii="宋体" w:hAnsi="宋体" w:eastAsia="宋体" w:cs="宋体"/>
          <w:color w:val="auto"/>
          <w:kern w:val="2"/>
          <w:sz w:val="24"/>
          <w:szCs w:val="24"/>
          <w:highlight w:val="none"/>
          <w:lang w:val="en-US" w:eastAsia="zh-CN"/>
        </w:rPr>
        <w:t>招标文件,其</w:t>
      </w:r>
      <w:r>
        <w:rPr>
          <w:rFonts w:hint="eastAsia" w:ascii="宋体" w:hAnsi="宋体" w:eastAsia="宋体" w:cs="宋体"/>
          <w:b/>
          <w:bCs/>
          <w:color w:val="auto"/>
          <w:kern w:val="2"/>
          <w:sz w:val="24"/>
          <w:szCs w:val="24"/>
          <w:highlight w:val="none"/>
          <w:lang w:eastAsia="zh-CN"/>
        </w:rPr>
        <w:t>投标无效</w:t>
      </w:r>
      <w:r>
        <w:rPr>
          <w:rFonts w:hint="eastAsia" w:ascii="宋体" w:hAnsi="宋体" w:eastAsia="宋体" w:cs="宋体"/>
          <w:color w:val="auto"/>
          <w:kern w:val="2"/>
          <w:sz w:val="24"/>
          <w:szCs w:val="24"/>
          <w:highlight w:val="none"/>
        </w:rPr>
        <w:t>。</w:t>
      </w:r>
    </w:p>
    <w:p w14:paraId="192E0BF0">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8 </w:t>
      </w:r>
      <w:r>
        <w:rPr>
          <w:rFonts w:hint="eastAsia" w:ascii="宋体" w:hAnsi="宋体" w:eastAsia="宋体" w:cs="宋体"/>
          <w:color w:val="auto"/>
          <w:sz w:val="24"/>
          <w:szCs w:val="24"/>
          <w:highlight w:val="none"/>
        </w:rPr>
        <w:t>投标报价不得超过“</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”中规定的最高投标限价</w:t>
      </w:r>
      <w:r>
        <w:rPr>
          <w:rFonts w:hint="eastAsia" w:ascii="宋体" w:hAnsi="宋体" w:eastAsia="宋体" w:cs="宋体"/>
          <w:color w:val="auto"/>
          <w:sz w:val="24"/>
          <w:szCs w:val="24"/>
          <w:highlight w:val="none"/>
          <w:lang w:val="en-US" w:eastAsia="zh-CN"/>
        </w:rPr>
        <w:t>或者预算金额</w:t>
      </w:r>
      <w:r>
        <w:rPr>
          <w:rFonts w:hint="eastAsia" w:ascii="宋体" w:hAnsi="宋体" w:eastAsia="宋体" w:cs="宋体"/>
          <w:color w:val="auto"/>
          <w:sz w:val="24"/>
          <w:szCs w:val="24"/>
          <w:highlight w:val="none"/>
        </w:rPr>
        <w:t>，否则评标委员会将</w:t>
      </w:r>
      <w:r>
        <w:rPr>
          <w:rFonts w:hint="eastAsia" w:ascii="宋体" w:hAnsi="宋体" w:eastAsia="宋体" w:cs="宋体"/>
          <w:b w:val="0"/>
          <w:bCs w:val="0"/>
          <w:color w:val="auto"/>
          <w:sz w:val="24"/>
          <w:szCs w:val="24"/>
          <w:highlight w:val="none"/>
          <w:lang w:val="en-US" w:eastAsia="zh-CN"/>
        </w:rPr>
        <w:t>对</w:t>
      </w:r>
      <w:r>
        <w:rPr>
          <w:rFonts w:hint="eastAsia" w:ascii="宋体" w:hAnsi="宋体" w:eastAsia="宋体" w:cs="宋体"/>
          <w:b w:val="0"/>
          <w:bCs w:val="0"/>
          <w:color w:val="auto"/>
          <w:sz w:val="24"/>
          <w:szCs w:val="24"/>
          <w:highlight w:val="none"/>
        </w:rPr>
        <w:t>其</w:t>
      </w:r>
      <w:r>
        <w:rPr>
          <w:rFonts w:hint="eastAsia" w:ascii="宋体" w:hAnsi="宋体" w:eastAsia="宋体" w:cs="宋体"/>
          <w:b w:val="0"/>
          <w:bCs w:val="0"/>
          <w:color w:val="auto"/>
          <w:sz w:val="24"/>
          <w:szCs w:val="24"/>
          <w:highlight w:val="none"/>
          <w:lang w:val="en-US" w:eastAsia="zh-CN"/>
        </w:rPr>
        <w:t>作</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处理</w:t>
      </w:r>
      <w:r>
        <w:rPr>
          <w:rFonts w:hint="eastAsia" w:ascii="宋体" w:hAnsi="宋体" w:eastAsia="宋体" w:cs="宋体"/>
          <w:color w:val="auto"/>
          <w:sz w:val="24"/>
          <w:szCs w:val="24"/>
          <w:highlight w:val="none"/>
        </w:rPr>
        <w:t>。</w:t>
      </w:r>
    </w:p>
    <w:p w14:paraId="1DC40C77">
      <w:pPr>
        <w:pStyle w:val="57"/>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9 </w:t>
      </w:r>
      <w:r>
        <w:rPr>
          <w:rFonts w:hint="eastAsia" w:ascii="宋体" w:hAnsi="宋体" w:eastAsia="宋体" w:cs="宋体"/>
          <w:color w:val="auto"/>
          <w:kern w:val="2"/>
          <w:sz w:val="24"/>
          <w:szCs w:val="24"/>
          <w:highlight w:val="none"/>
        </w:rPr>
        <w:t>投标人对投标报价若有说明应在投标文件中显著处注明。</w:t>
      </w:r>
    </w:p>
    <w:p w14:paraId="69F7C97A">
      <w:pPr>
        <w:pStyle w:val="57"/>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除政策性文件规定以外，投标人所报价格在合同实施期间不因市场变化因素而变动。</w:t>
      </w:r>
    </w:p>
    <w:p w14:paraId="3D2E52CC">
      <w:pPr>
        <w:pStyle w:val="57"/>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10 </w:t>
      </w:r>
      <w:r>
        <w:rPr>
          <w:rFonts w:hint="eastAsia" w:ascii="宋体" w:hAnsi="宋体" w:eastAsia="宋体" w:cs="宋体"/>
          <w:color w:val="auto"/>
          <w:kern w:val="2"/>
          <w:sz w:val="24"/>
          <w:szCs w:val="24"/>
          <w:highlight w:val="none"/>
        </w:rPr>
        <w:t>最低报价不能作为中标的保证。</w:t>
      </w:r>
    </w:p>
    <w:p w14:paraId="4F55CD6E">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14.11</w:t>
      </w:r>
      <w:r>
        <w:rPr>
          <w:rFonts w:hint="eastAsia" w:ascii="宋体" w:hAnsi="宋体" w:eastAsia="宋体" w:cs="宋体"/>
          <w:color w:val="auto"/>
          <w:kern w:val="0"/>
          <w:sz w:val="24"/>
          <w:szCs w:val="24"/>
          <w:highlight w:val="none"/>
          <w:lang w:val="en-US" w:eastAsia="zh-CN" w:bidi="ar"/>
        </w:rPr>
        <w:t>采购人不得向投标人索要或者接受其给予的赠品、回扣或者与采购无关的其他商品、服务。</w:t>
      </w:r>
    </w:p>
    <w:p w14:paraId="691BBD0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6" w:name="_Toc140132773"/>
      <w:bookmarkStart w:id="217" w:name="_Toc9162"/>
      <w:bookmarkStart w:id="218" w:name="_Toc163492840"/>
      <w:bookmarkStart w:id="219" w:name="_Toc24048"/>
      <w:bookmarkStart w:id="220" w:name="_Toc24520"/>
      <w:bookmarkStart w:id="221" w:name="_Toc29327"/>
      <w:r>
        <w:rPr>
          <w:rFonts w:hint="eastAsia" w:ascii="宋体" w:hAnsi="宋体" w:eastAsia="宋体" w:cs="宋体"/>
          <w:b/>
          <w:bCs/>
          <w:color w:val="auto"/>
          <w:kern w:val="2"/>
          <w:sz w:val="24"/>
          <w:szCs w:val="24"/>
          <w:highlight w:val="none"/>
          <w:lang w:val="en-US" w:eastAsia="zh-CN" w:bidi="ar-SA"/>
        </w:rPr>
        <w:t>15.投标有效期</w:t>
      </w:r>
      <w:bookmarkEnd w:id="216"/>
      <w:bookmarkEnd w:id="217"/>
      <w:bookmarkEnd w:id="218"/>
      <w:bookmarkEnd w:id="219"/>
      <w:bookmarkEnd w:id="220"/>
      <w:bookmarkEnd w:id="221"/>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kern w:val="0"/>
          <w:sz w:val="24"/>
          <w:szCs w:val="24"/>
          <w:highlight w:val="none"/>
          <w:lang w:val="en"/>
        </w:rPr>
        <w:t>投标有效期</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val="en-US" w:eastAsia="zh-CN"/>
        </w:rPr>
        <w:t xml:space="preserve">第二章 </w:t>
      </w:r>
      <w:r>
        <w:rPr>
          <w:rFonts w:hint="eastAsia" w:ascii="宋体" w:hAnsi="宋体" w:eastAsia="宋体" w:cs="宋体"/>
          <w:color w:val="auto"/>
          <w:sz w:val="24"/>
          <w:szCs w:val="24"/>
          <w:highlight w:val="none"/>
        </w:rPr>
        <w:t>投标人须知前附表”，投标人承诺的投标有效期</w:t>
      </w:r>
      <w:r>
        <w:rPr>
          <w:rFonts w:hint="eastAsia" w:ascii="宋体" w:hAnsi="宋体" w:eastAsia="宋体" w:cs="宋体"/>
          <w:snapToGrid w:val="0"/>
          <w:color w:val="auto"/>
          <w:sz w:val="24"/>
          <w:szCs w:val="24"/>
          <w:highlight w:val="none"/>
          <w:lang w:val="zh-CN" w:eastAsia="zh-CN"/>
        </w:rPr>
        <w:t>少于</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val="zh-CN" w:eastAsia="zh-CN"/>
        </w:rPr>
        <w:t>文件规定期限的，其</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lang w:val="zh-CN" w:eastAsia="zh-CN"/>
        </w:rPr>
        <w:t>无效</w:t>
      </w:r>
      <w:r>
        <w:rPr>
          <w:rFonts w:hint="eastAsia" w:ascii="宋体" w:hAnsi="宋体" w:eastAsia="宋体" w:cs="宋体"/>
          <w:snapToGrid w:val="0"/>
          <w:color w:val="auto"/>
          <w:sz w:val="24"/>
          <w:szCs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投标人同意延长的，</w:t>
      </w:r>
      <w:r>
        <w:rPr>
          <w:rFonts w:hint="eastAsia" w:ascii="宋体" w:hAnsi="宋体" w:eastAsia="宋体" w:cs="宋体"/>
          <w:color w:val="auto"/>
          <w:kern w:val="2"/>
          <w:sz w:val="24"/>
          <w:szCs w:val="24"/>
          <w:highlight w:val="none"/>
          <w:lang w:val="en-US" w:eastAsia="zh-CN"/>
        </w:rPr>
        <w:t>其</w:t>
      </w:r>
      <w:r>
        <w:rPr>
          <w:rFonts w:hint="eastAsia" w:ascii="宋体" w:hAnsi="宋体" w:eastAsia="宋体" w:cs="宋体"/>
          <w:color w:val="auto"/>
          <w:kern w:val="2"/>
          <w:sz w:val="24"/>
          <w:szCs w:val="24"/>
          <w:highlight w:val="none"/>
        </w:rPr>
        <w:t>投标保证金的有效期也相应延长</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但</w:t>
      </w:r>
      <w:r>
        <w:rPr>
          <w:rFonts w:hint="eastAsia" w:ascii="宋体" w:hAnsi="宋体" w:eastAsia="宋体" w:cs="宋体"/>
          <w:color w:val="auto"/>
          <w:sz w:val="24"/>
          <w:szCs w:val="24"/>
          <w:highlight w:val="none"/>
        </w:rPr>
        <w:t>不得要求或被允许修改或撤销其投标文件；</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拒绝延长的，其投标文件在原投标有效期满后将不再有效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但其提交的投标保证金可予以退还</w:t>
      </w:r>
      <w:r>
        <w:rPr>
          <w:rFonts w:hint="eastAsia" w:ascii="宋体" w:hAnsi="宋体" w:eastAsia="宋体" w:cs="宋体"/>
          <w:color w:val="auto"/>
          <w:sz w:val="24"/>
          <w:szCs w:val="24"/>
          <w:highlight w:val="none"/>
        </w:rPr>
        <w:t>。</w:t>
      </w:r>
    </w:p>
    <w:p w14:paraId="51F7C8D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2" w:name="_Toc17887"/>
      <w:bookmarkStart w:id="223" w:name="_Toc163492841"/>
      <w:bookmarkStart w:id="224" w:name="_Toc140132774"/>
      <w:bookmarkStart w:id="225" w:name="_Toc9620"/>
      <w:bookmarkStart w:id="226" w:name="_Toc21362"/>
      <w:bookmarkStart w:id="227" w:name="_Toc874"/>
      <w:r>
        <w:rPr>
          <w:rFonts w:hint="eastAsia" w:ascii="宋体" w:hAnsi="宋体" w:eastAsia="宋体" w:cs="宋体"/>
          <w:b/>
          <w:bCs/>
          <w:color w:val="auto"/>
          <w:kern w:val="2"/>
          <w:sz w:val="24"/>
          <w:szCs w:val="24"/>
          <w:highlight w:val="none"/>
          <w:lang w:val="en-US" w:eastAsia="zh-CN" w:bidi="ar-SA"/>
        </w:rPr>
        <w:t>16.投标文件的编制</w:t>
      </w:r>
      <w:bookmarkEnd w:id="222"/>
      <w:bookmarkEnd w:id="223"/>
      <w:bookmarkEnd w:id="224"/>
      <w:bookmarkEnd w:id="225"/>
      <w:bookmarkEnd w:id="226"/>
      <w:bookmarkEnd w:id="227"/>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.1投标文件应在供应商客户端中进行编制，在投标文件中要求加盖印章的，除有特殊说明之外，</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使用电子签章签署。</w:t>
      </w:r>
    </w:p>
    <w:p w14:paraId="540601F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Start w:id="228" w:name="_Hlk143528557"/>
      <w:r>
        <w:rPr>
          <w:rFonts w:hint="eastAsia" w:ascii="宋体" w:hAnsi="宋体" w:eastAsia="宋体" w:cs="宋体"/>
          <w:color w:val="auto"/>
          <w:sz w:val="24"/>
          <w:szCs w:val="24"/>
          <w:highlight w:val="none"/>
        </w:rPr>
        <w:t>2投标人在供应商客户端中按照供应商客户端中的格式要求填写响应内容后，生成投标文件。投标人须按照招标文件的要求使用电子签章对要求加盖印章的部分逐一进行签章。</w:t>
      </w:r>
      <w:bookmarkEnd w:id="228"/>
    </w:p>
    <w:p w14:paraId="1A7BD12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cs="宋体"/>
          <w:b/>
          <w:bCs/>
          <w:color w:val="auto"/>
          <w:sz w:val="24"/>
          <w:szCs w:val="24"/>
          <w:highlight w:val="none"/>
        </w:rPr>
        <w:t>导致</w:t>
      </w:r>
      <w:r>
        <w:rPr>
          <w:rFonts w:hint="eastAsia" w:ascii="宋体" w:hAnsi="宋体" w:eastAsia="宋体" w:cs="宋体"/>
          <w:b/>
          <w:bCs/>
          <w:color w:val="auto"/>
          <w:sz w:val="24"/>
          <w:szCs w:val="24"/>
          <w:highlight w:val="none"/>
          <w:lang w:val="en-US" w:eastAsia="zh-CN"/>
        </w:rPr>
        <w:t>其</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rPr>
        <w:t>。</w:t>
      </w:r>
    </w:p>
    <w:p w14:paraId="7A6BB4B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投标文件须严格按照</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招标文件第</w:t>
      </w:r>
      <w:r>
        <w:rPr>
          <w:rFonts w:hint="eastAsia" w:ascii="宋体" w:hAnsi="宋体" w:eastAsia="宋体" w:cs="宋体"/>
          <w:color w:val="auto"/>
          <w:sz w:val="24"/>
          <w:szCs w:val="24"/>
          <w:highlight w:val="none"/>
          <w:lang w:val="en-US" w:eastAsia="zh-CN"/>
        </w:rPr>
        <w:t>七章</w:t>
      </w:r>
      <w:r>
        <w:rPr>
          <w:rFonts w:hint="eastAsia" w:ascii="宋体" w:hAnsi="宋体" w:eastAsia="宋体" w:cs="宋体"/>
          <w:color w:val="auto"/>
          <w:sz w:val="24"/>
          <w:szCs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4B72F25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开标一览表为在开标</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唱标的内容，要求按格式统一填写，不得自行增减内容。</w:t>
      </w:r>
    </w:p>
    <w:p w14:paraId="499D705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ascii="宋体" w:hAnsi="宋体" w:eastAsia="宋体" w:cs="宋体"/>
          <w:color w:val="auto"/>
          <w:sz w:val="24"/>
          <w:szCs w:val="24"/>
          <w:highlight w:val="none"/>
          <w:lang w:val="en-US" w:eastAsia="zh-CN"/>
        </w:rPr>
        <w:t>按</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rPr>
        <w:t>处理。</w:t>
      </w:r>
    </w:p>
    <w:p w14:paraId="7DBECB0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投标人必须保证投标文件所提供的全部资料真实可靠，并接受采购</w:t>
      </w:r>
      <w:r>
        <w:rPr>
          <w:rFonts w:hint="eastAsia" w:ascii="宋体" w:hAnsi="宋体" w:eastAsia="宋体" w:cs="宋体"/>
          <w:color w:val="auto"/>
          <w:sz w:val="24"/>
          <w:szCs w:val="24"/>
          <w:highlight w:val="none"/>
          <w:lang w:val="en-US" w:eastAsia="zh-CN"/>
        </w:rPr>
        <w:t>人、采购</w:t>
      </w:r>
      <w:r>
        <w:rPr>
          <w:rFonts w:hint="eastAsia" w:ascii="宋体" w:hAnsi="宋体" w:eastAsia="宋体" w:cs="宋体"/>
          <w:color w:val="auto"/>
          <w:sz w:val="24"/>
          <w:szCs w:val="24"/>
          <w:highlight w:val="none"/>
        </w:rPr>
        <w:t>代理机构或评标委员会对其中任何资料进一步审查的要求。</w:t>
      </w:r>
    </w:p>
    <w:p w14:paraId="7AE3718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323B93D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16.9电子投标文件的编制</w:t>
      </w:r>
    </w:p>
    <w:p w14:paraId="072DFFA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16.9.1电子投标文件需按招标文件要求进行制作编制。投标文件制作时，不同内容按标签提示制作导入，按照招标文件中明确的投标文件目录和格式进行编制，保证目录清晰、内容完整；           </w:t>
      </w:r>
    </w:p>
    <w:p w14:paraId="51F1928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其投标无效</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6B2E6D6A">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9" w:name="_Toc155185873"/>
      <w:bookmarkStart w:id="230" w:name="_Toc20626"/>
      <w:bookmarkStart w:id="231" w:name="_Toc163492842"/>
      <w:bookmarkStart w:id="232" w:name="_Toc10210"/>
      <w:bookmarkStart w:id="233" w:name="_Toc22756"/>
      <w:bookmarkStart w:id="234" w:name="_Toc6616"/>
      <w:r>
        <w:rPr>
          <w:rFonts w:hint="eastAsia" w:ascii="宋体" w:hAnsi="宋体" w:eastAsia="宋体" w:cs="宋体"/>
          <w:b/>
          <w:bCs/>
          <w:color w:val="auto"/>
          <w:kern w:val="2"/>
          <w:sz w:val="24"/>
          <w:szCs w:val="24"/>
          <w:highlight w:val="none"/>
          <w:lang w:val="en-US" w:eastAsia="zh-CN" w:bidi="ar-SA"/>
        </w:rPr>
        <w:t>（四）投标</w:t>
      </w:r>
      <w:bookmarkEnd w:id="229"/>
      <w:bookmarkEnd w:id="230"/>
      <w:bookmarkEnd w:id="231"/>
      <w:bookmarkEnd w:id="232"/>
      <w:bookmarkEnd w:id="233"/>
      <w:bookmarkEnd w:id="234"/>
    </w:p>
    <w:p w14:paraId="386CC8E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35" w:name="_Toc19582"/>
      <w:bookmarkStart w:id="236" w:name="_Toc27659"/>
      <w:bookmarkStart w:id="237" w:name="_Toc16487"/>
      <w:bookmarkStart w:id="238" w:name="_Toc32654"/>
      <w:bookmarkStart w:id="239" w:name="_Toc163492843"/>
      <w:r>
        <w:rPr>
          <w:rFonts w:hint="eastAsia" w:ascii="宋体" w:hAnsi="宋体" w:eastAsia="宋体" w:cs="宋体"/>
          <w:b/>
          <w:bCs/>
          <w:color w:val="auto"/>
          <w:kern w:val="2"/>
          <w:sz w:val="24"/>
          <w:szCs w:val="24"/>
          <w:highlight w:val="none"/>
          <w:lang w:val="en-US" w:eastAsia="zh-CN" w:bidi="ar-SA"/>
        </w:rPr>
        <w:t>17.投标保证金</w:t>
      </w:r>
      <w:bookmarkEnd w:id="235"/>
      <w:bookmarkEnd w:id="236"/>
      <w:bookmarkEnd w:id="237"/>
      <w:bookmarkEnd w:id="238"/>
    </w:p>
    <w:p w14:paraId="1182B9B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17.2提交投标保证金可采用的形式：政府采购法律法规接受的支票、汇票、本票、网上银行支付或者金融机构、担保机构出具的保函等非现金形式。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4"/>
          <w:highlight w:val="none"/>
          <w:lang w:val="en-US" w:eastAsia="zh-CN" w:bidi="ar-SA"/>
        </w:rPr>
        <w:t>投标人未按照招标文件要求提交投标保证金的，其</w:t>
      </w:r>
      <w:r>
        <w:rPr>
          <w:rFonts w:hint="eastAsia" w:ascii="宋体" w:hAnsi="宋体" w:eastAsia="宋体" w:cs="宋体"/>
          <w:b/>
          <w:bCs/>
          <w:color w:val="auto"/>
          <w:kern w:val="2"/>
          <w:sz w:val="24"/>
          <w:szCs w:val="24"/>
          <w:highlight w:val="none"/>
          <w:lang w:val="en-US" w:eastAsia="zh-CN" w:bidi="ar-SA"/>
        </w:rPr>
        <w:t>投标无效</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投标保证金有效期同投标有效期。</w:t>
      </w:r>
    </w:p>
    <w:p w14:paraId="54BD0912">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4"/>
          <w:highlight w:val="none"/>
          <w:lang w:val="en-US" w:eastAsia="zh-CN"/>
        </w:rPr>
        <w:t>投标无效</w:t>
      </w:r>
      <w:r>
        <w:rPr>
          <w:rFonts w:hint="eastAsia" w:ascii="宋体" w:hAnsi="宋体" w:eastAsia="宋体" w:cs="宋体"/>
          <w:color w:val="auto"/>
          <w:kern w:val="2"/>
          <w:sz w:val="24"/>
          <w:szCs w:val="24"/>
          <w:highlight w:val="none"/>
          <w:lang w:val="en-US" w:eastAsia="zh-CN"/>
        </w:rPr>
        <w:t>。</w:t>
      </w:r>
    </w:p>
    <w:p w14:paraId="27BA1101">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17.4 投标人为联合体的，可以由联合体中的一方或者多方共同提交投标保证金，其提交的投标保证金对联合体各方均具有约束力。 </w:t>
      </w:r>
    </w:p>
    <w:p w14:paraId="45878AF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6CFB121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17.6 投标人在投标截止时间前撤回已提交的投标文件的，自收到投标人书面撤回通知之日起 5 个工作日内，退还已收取的投标保证金，但因投标人自身原因导致无法及时退还的除外。 </w:t>
      </w:r>
    </w:p>
    <w:p w14:paraId="5EB3FE3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17.7 终止招标项目已经收取投标保证金的，自终止采购活动后 5 个工作日内退还已收取的投标保证金及其在银行产生的孳息。</w:t>
      </w:r>
    </w:p>
    <w:p w14:paraId="0B6A028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 有下列情形之一的，采购人或采购代理机构可以不予退还投标保证金,</w:t>
      </w:r>
      <w:r>
        <w:rPr>
          <w:rFonts w:hint="eastAsia" w:ascii="宋体" w:hAnsi="宋体" w:eastAsia="宋体" w:cs="宋体"/>
          <w:color w:val="auto"/>
          <w:kern w:val="2"/>
          <w:sz w:val="24"/>
          <w:szCs w:val="24"/>
          <w:highlight w:val="none"/>
        </w:rPr>
        <w:t>情节严重的将其列入不良记录名单</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02F7AD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17.8.1 </w:t>
      </w:r>
      <w:r>
        <w:rPr>
          <w:rFonts w:hint="eastAsia" w:ascii="宋体" w:hAnsi="宋体" w:eastAsia="宋体" w:cs="宋体"/>
          <w:color w:val="auto"/>
          <w:kern w:val="2"/>
          <w:sz w:val="24"/>
          <w:szCs w:val="24"/>
          <w:highlight w:val="none"/>
        </w:rPr>
        <w:t>开标后在投标有效期内，投标人撤</w:t>
      </w:r>
      <w:r>
        <w:rPr>
          <w:rFonts w:hint="eastAsia" w:ascii="宋体" w:hAnsi="宋体" w:eastAsia="宋体" w:cs="宋体"/>
          <w:color w:val="auto"/>
          <w:kern w:val="2"/>
          <w:sz w:val="24"/>
          <w:szCs w:val="24"/>
          <w:highlight w:val="none"/>
          <w:lang w:val="en-US" w:eastAsia="zh-CN"/>
        </w:rPr>
        <w:t>销</w:t>
      </w:r>
      <w:r>
        <w:rPr>
          <w:rFonts w:hint="eastAsia" w:ascii="宋体" w:hAnsi="宋体" w:eastAsia="宋体" w:cs="宋体"/>
          <w:color w:val="auto"/>
          <w:kern w:val="2"/>
          <w:sz w:val="24"/>
          <w:szCs w:val="24"/>
          <w:highlight w:val="none"/>
        </w:rPr>
        <w:t>其投标</w:t>
      </w:r>
      <w:r>
        <w:rPr>
          <w:rFonts w:hint="eastAsia" w:ascii="宋体" w:hAnsi="宋体" w:eastAsia="宋体" w:cs="宋体"/>
          <w:color w:val="auto"/>
          <w:kern w:val="2"/>
          <w:sz w:val="24"/>
          <w:szCs w:val="24"/>
          <w:highlight w:val="none"/>
          <w:lang w:val="en-US" w:eastAsia="zh-CN"/>
        </w:rPr>
        <w:t>的</w:t>
      </w:r>
      <w:r>
        <w:rPr>
          <w:rFonts w:hint="eastAsia" w:ascii="宋体" w:hAnsi="宋体" w:eastAsia="宋体" w:cs="宋体"/>
          <w:color w:val="auto"/>
          <w:kern w:val="2"/>
          <w:sz w:val="24"/>
          <w:szCs w:val="24"/>
          <w:highlight w:val="none"/>
        </w:rPr>
        <w:t>；</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36FC9D7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17.8.2 </w:t>
      </w:r>
      <w:r>
        <w:rPr>
          <w:rFonts w:hint="eastAsia" w:ascii="宋体" w:hAnsi="宋体" w:eastAsia="宋体" w:cs="宋体"/>
          <w:color w:val="auto"/>
          <w:kern w:val="2"/>
          <w:sz w:val="24"/>
          <w:szCs w:val="24"/>
          <w:highlight w:val="none"/>
        </w:rPr>
        <w:t>中标后无正当理由不与采购人签订合同的；</w:t>
      </w:r>
    </w:p>
    <w:p w14:paraId="3694295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4"/>
          <w:highlight w:val="none"/>
        </w:rPr>
        <w:t>中标人与采购人订立背离合同实质性内容的其他协议；</w:t>
      </w:r>
    </w:p>
    <w:p w14:paraId="54583F2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4</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将中标项目转让给他人，或者在投标文件中未说明，且未经采购</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同意，将中标项目分包给他人的；</w:t>
      </w:r>
    </w:p>
    <w:p w14:paraId="433DB211">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5</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存在串通投标行为的；</w:t>
      </w:r>
    </w:p>
    <w:p w14:paraId="0A3E2C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6</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存在弄虚作假或提供虚假材料谋取中标的；</w:t>
      </w:r>
    </w:p>
    <w:p w14:paraId="3CBF915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7</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投标人其他未按招标文件规定和合同约定履行义务的行为。</w:t>
      </w:r>
    </w:p>
    <w:p w14:paraId="330E240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1F3A8C5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直达链接（电子保函）：</w:t>
      </w:r>
    </w:p>
    <w:p w14:paraId="15E30E92">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金融服务支撑热线：</w:t>
      </w:r>
      <w:r>
        <w:rPr>
          <w:rFonts w:hint="eastAsia" w:ascii="宋体" w:hAnsi="宋体" w:eastAsia="宋体" w:cs="宋体"/>
          <w:b/>
          <w:bCs/>
          <w:iCs/>
          <w:color w:val="auto"/>
          <w:kern w:val="2"/>
          <w:sz w:val="24"/>
          <w:szCs w:val="24"/>
          <w:highlight w:val="none"/>
          <w:shd w:val="clear" w:color="auto" w:fill="FFFFFF" w:themeFill="background1"/>
          <w:lang w:val="en-US" w:eastAsia="zh-CN" w:bidi="ar-SA"/>
        </w:rPr>
        <w:t>0991-2661159</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3586E85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0" w:name="_Toc22547"/>
      <w:bookmarkStart w:id="241" w:name="_Toc11437"/>
      <w:bookmarkStart w:id="242" w:name="_Toc8170"/>
      <w:bookmarkStart w:id="243" w:name="_Toc27604"/>
      <w:r>
        <w:rPr>
          <w:rFonts w:hint="eastAsia" w:ascii="宋体" w:hAnsi="宋体" w:eastAsia="宋体" w:cs="宋体"/>
          <w:b/>
          <w:bCs/>
          <w:color w:val="auto"/>
          <w:kern w:val="2"/>
          <w:sz w:val="24"/>
          <w:szCs w:val="24"/>
          <w:highlight w:val="none"/>
          <w:lang w:val="en-US" w:eastAsia="zh-CN" w:bidi="ar-SA"/>
        </w:rPr>
        <w:t>18.投标文件的加密</w:t>
      </w:r>
      <w:bookmarkEnd w:id="239"/>
      <w:bookmarkEnd w:id="240"/>
      <w:bookmarkEnd w:id="241"/>
      <w:bookmarkEnd w:id="242"/>
      <w:bookmarkEnd w:id="243"/>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u w:val="single"/>
        </w:rPr>
      </w:pPr>
      <w:bookmarkStart w:id="244" w:name="_Hlk14353186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.1投标人在供应商客户端中生成投标文件并完成签章之后，使用CA证书在供应商客户端中对投标文件进行加密。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.2投标人应在供应商客户端中对加密的投标文件进行解密验证，以防止投标文件加密异常，在开标时无法解密。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w:t>
      </w:r>
      <w:r>
        <w:rPr>
          <w:rFonts w:hint="eastAsia" w:ascii="宋体" w:hAnsi="宋体" w:eastAsia="宋体" w:cs="宋体"/>
          <w:color w:val="auto"/>
          <w:sz w:val="24"/>
          <w:szCs w:val="24"/>
          <w:highlight w:val="none"/>
          <w:lang w:val="en-US" w:eastAsia="zh-CN"/>
        </w:rPr>
        <w:t>止</w:t>
      </w:r>
      <w:r>
        <w:rPr>
          <w:rFonts w:hint="eastAsia" w:ascii="宋体" w:hAnsi="宋体" w:eastAsia="宋体" w:cs="宋体"/>
          <w:color w:val="auto"/>
          <w:sz w:val="24"/>
          <w:szCs w:val="24"/>
          <w:highlight w:val="none"/>
        </w:rPr>
        <w:t>时间前通过</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rPr>
        <w:t>政府采购网（http://ccgp-bingtuan.gov.cn/）的”政采云登录入口”登录后，将加密电子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（为.jmbs后缀格式）上传到对应项目的指定位置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如果投标人未按上述要求</w:t>
      </w:r>
      <w:r>
        <w:rPr>
          <w:rFonts w:hint="eastAsia" w:ascii="宋体" w:hAnsi="宋体" w:eastAsia="宋体" w:cs="宋体"/>
          <w:color w:val="auto"/>
          <w:sz w:val="24"/>
          <w:szCs w:val="24"/>
          <w:highlight w:val="none"/>
          <w:lang w:val="en-US" w:eastAsia="zh-CN"/>
        </w:rPr>
        <w:t>加密并上传</w:t>
      </w:r>
      <w:r>
        <w:rPr>
          <w:rFonts w:hint="eastAsia" w:ascii="宋体" w:hAnsi="宋体" w:eastAsia="宋体" w:cs="宋体"/>
          <w:color w:val="auto"/>
          <w:sz w:val="24"/>
          <w:szCs w:val="24"/>
          <w:highlight w:val="none"/>
        </w:rPr>
        <w:t>，采购代理机构对投标文件的误投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无法解密、传输错误等问题</w:t>
      </w:r>
      <w:r>
        <w:rPr>
          <w:rFonts w:hint="eastAsia" w:ascii="宋体" w:hAnsi="宋体" w:eastAsia="宋体" w:cs="宋体"/>
          <w:color w:val="auto"/>
          <w:sz w:val="24"/>
          <w:szCs w:val="24"/>
          <w:highlight w:val="none"/>
        </w:rPr>
        <w:t>概不负责。对由此造成</w:t>
      </w:r>
      <w:r>
        <w:rPr>
          <w:rFonts w:hint="eastAsia" w:ascii="宋体" w:hAnsi="宋体" w:eastAsia="宋体" w:cs="宋体"/>
          <w:color w:val="auto"/>
          <w:sz w:val="24"/>
          <w:szCs w:val="24"/>
          <w:highlight w:val="none"/>
          <w:lang w:val="en-US" w:eastAsia="zh-CN"/>
        </w:rPr>
        <w:t>无法正常开启</w:t>
      </w:r>
      <w:r>
        <w:rPr>
          <w:rFonts w:hint="eastAsia" w:ascii="宋体" w:hAnsi="宋体" w:eastAsia="宋体" w:cs="宋体"/>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本项目采用不见面开标，无需提供电子投标文件U盘。</w:t>
      </w:r>
    </w:p>
    <w:bookmarkEnd w:id="244"/>
    <w:p w14:paraId="31ED663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5" w:name="_Toc140132777"/>
      <w:bookmarkStart w:id="246" w:name="_Toc18403"/>
      <w:bookmarkStart w:id="247" w:name="_Toc13225"/>
      <w:bookmarkStart w:id="248" w:name="_Toc18936"/>
      <w:bookmarkStart w:id="249" w:name="_Toc163492844"/>
      <w:bookmarkStart w:id="250" w:name="_Toc15363"/>
      <w:r>
        <w:rPr>
          <w:rFonts w:hint="eastAsia" w:ascii="宋体" w:hAnsi="宋体" w:eastAsia="宋体" w:cs="宋体"/>
          <w:b/>
          <w:bCs/>
          <w:color w:val="auto"/>
          <w:kern w:val="2"/>
          <w:sz w:val="24"/>
          <w:szCs w:val="24"/>
          <w:highlight w:val="none"/>
          <w:lang w:val="en-US" w:eastAsia="zh-CN" w:bidi="ar-SA"/>
        </w:rPr>
        <w:t>19.投标文件的递交</w:t>
      </w:r>
      <w:bookmarkEnd w:id="245"/>
      <w:r>
        <w:rPr>
          <w:rFonts w:hint="eastAsia" w:ascii="宋体" w:hAnsi="宋体" w:eastAsia="宋体" w:cs="宋体"/>
          <w:b/>
          <w:bCs/>
          <w:color w:val="auto"/>
          <w:kern w:val="2"/>
          <w:sz w:val="24"/>
          <w:szCs w:val="24"/>
          <w:highlight w:val="none"/>
          <w:lang w:val="en-US" w:eastAsia="zh-CN" w:bidi="ar-SA"/>
        </w:rPr>
        <w:t>（上传）</w:t>
      </w:r>
      <w:bookmarkEnd w:id="246"/>
      <w:bookmarkEnd w:id="247"/>
      <w:bookmarkEnd w:id="248"/>
      <w:bookmarkEnd w:id="249"/>
      <w:bookmarkEnd w:id="250"/>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bookmarkStart w:id="251" w:name="_Hlk143531977"/>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投标人应在“</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投标人递交（上传）投标文件的地点见“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.4 投标人应在供应商客户端中下载未加密且完成签章的投标文件妥善保存，以便启动应急开标程序时使用。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.5投标人所递交的投标文件不予退还。</w:t>
      </w:r>
    </w:p>
    <w:bookmarkEnd w:id="251"/>
    <w:p w14:paraId="6AD7096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2" w:name="_Toc19457"/>
      <w:bookmarkStart w:id="253" w:name="_Toc9803"/>
      <w:bookmarkStart w:id="254" w:name="_Toc163492845"/>
      <w:bookmarkStart w:id="255" w:name="_Toc23374"/>
      <w:bookmarkStart w:id="256" w:name="_Toc19314"/>
      <w:r>
        <w:rPr>
          <w:rFonts w:hint="eastAsia" w:ascii="宋体" w:hAnsi="宋体" w:eastAsia="宋体" w:cs="宋体"/>
          <w:b/>
          <w:bCs/>
          <w:color w:val="auto"/>
          <w:kern w:val="2"/>
          <w:sz w:val="24"/>
          <w:szCs w:val="24"/>
          <w:highlight w:val="none"/>
          <w:lang w:val="en-US" w:eastAsia="zh-CN" w:bidi="ar-SA"/>
        </w:rPr>
        <w:t>20.拒收</w:t>
      </w:r>
      <w:bookmarkEnd w:id="252"/>
      <w:bookmarkEnd w:id="253"/>
      <w:bookmarkEnd w:id="254"/>
      <w:bookmarkEnd w:id="255"/>
      <w:bookmarkEnd w:id="256"/>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超过投标文件提交截止时间</w:t>
      </w:r>
      <w:bookmarkStart w:id="257" w:name="_Hlk143532404"/>
      <w:r>
        <w:rPr>
          <w:rFonts w:hint="eastAsia" w:ascii="宋体" w:hAnsi="宋体" w:eastAsia="宋体" w:cs="宋体"/>
          <w:color w:val="auto"/>
          <w:sz w:val="24"/>
          <w:szCs w:val="24"/>
          <w:highlight w:val="none"/>
        </w:rPr>
        <w:t>或者不按照本章要求加密的投标文件，交易系统应当拒收</w:t>
      </w:r>
      <w:bookmarkEnd w:id="257"/>
      <w:r>
        <w:rPr>
          <w:rFonts w:hint="eastAsia" w:ascii="宋体" w:hAnsi="宋体" w:eastAsia="宋体" w:cs="宋体"/>
          <w:color w:val="auto"/>
          <w:sz w:val="24"/>
          <w:szCs w:val="24"/>
          <w:highlight w:val="none"/>
        </w:rPr>
        <w:t>。</w:t>
      </w:r>
    </w:p>
    <w:p w14:paraId="0356121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8" w:name="_Toc31714"/>
      <w:bookmarkStart w:id="259" w:name="_Toc140132778"/>
      <w:bookmarkStart w:id="260" w:name="_Toc163492846"/>
      <w:bookmarkStart w:id="261" w:name="_Toc20710"/>
      <w:bookmarkStart w:id="262" w:name="_Toc16026"/>
      <w:bookmarkStart w:id="263" w:name="_Toc17912"/>
      <w:r>
        <w:rPr>
          <w:rFonts w:hint="eastAsia" w:ascii="宋体" w:hAnsi="宋体" w:eastAsia="宋体" w:cs="宋体"/>
          <w:b/>
          <w:bCs/>
          <w:color w:val="auto"/>
          <w:kern w:val="2"/>
          <w:sz w:val="24"/>
          <w:szCs w:val="24"/>
          <w:highlight w:val="none"/>
          <w:lang w:val="en-US" w:eastAsia="zh-CN" w:bidi="ar-SA"/>
        </w:rPr>
        <w:t>21.投标文件的修改与撤回</w:t>
      </w:r>
      <w:bookmarkEnd w:id="258"/>
      <w:bookmarkEnd w:id="259"/>
      <w:bookmarkEnd w:id="260"/>
      <w:bookmarkEnd w:id="261"/>
      <w:bookmarkEnd w:id="262"/>
      <w:bookmarkEnd w:id="263"/>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bookmarkStart w:id="264" w:name="_Hlk143532466"/>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规定的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递交截止时间之前，可在兵团政府采购电子交易云平台上随时撤回已上传的电子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，将修改好的电子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递交截止时间前重新上传到兵团政府采购电子交易云平台的</w:t>
      </w:r>
      <w:r>
        <w:rPr>
          <w:rFonts w:hint="eastAsia" w:ascii="宋体" w:hAnsi="宋体" w:eastAsia="宋体" w:cs="宋体"/>
          <w:color w:val="auto"/>
          <w:sz w:val="24"/>
          <w:szCs w:val="24"/>
          <w:highlight w:val="none"/>
          <w:lang w:val="en-US" w:eastAsia="zh-CN"/>
        </w:rPr>
        <w:t>指</w:t>
      </w:r>
      <w:r>
        <w:rPr>
          <w:rFonts w:hint="eastAsia" w:ascii="宋体" w:hAnsi="宋体" w:eastAsia="宋体" w:cs="宋体"/>
          <w:color w:val="auto"/>
          <w:sz w:val="24"/>
          <w:szCs w:val="24"/>
          <w:highlight w:val="none"/>
        </w:rPr>
        <w:t>定位置。</w:t>
      </w:r>
    </w:p>
    <w:bookmarkEnd w:id="264"/>
    <w:p w14:paraId="20434D8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65" w:name="_Toc18728"/>
      <w:bookmarkStart w:id="266" w:name="_Toc6030"/>
      <w:bookmarkStart w:id="267" w:name="_Toc163492847"/>
      <w:bookmarkStart w:id="268" w:name="_Toc15709"/>
      <w:bookmarkStart w:id="269" w:name="_Toc20864"/>
      <w:bookmarkStart w:id="270" w:name="_Toc155185874"/>
      <w:r>
        <w:rPr>
          <w:rFonts w:hint="eastAsia" w:ascii="宋体" w:hAnsi="宋体" w:eastAsia="宋体" w:cs="宋体"/>
          <w:b/>
          <w:bCs/>
          <w:color w:val="auto"/>
          <w:kern w:val="2"/>
          <w:sz w:val="24"/>
          <w:szCs w:val="24"/>
          <w:highlight w:val="none"/>
          <w:lang w:val="en-US" w:eastAsia="zh-CN" w:bidi="ar-SA"/>
        </w:rPr>
        <w:t>22.实物样品</w:t>
      </w:r>
      <w:bookmarkEnd w:id="265"/>
      <w:bookmarkEnd w:id="266"/>
      <w:bookmarkEnd w:id="267"/>
      <w:bookmarkEnd w:id="268"/>
      <w:bookmarkEnd w:id="269"/>
      <w:bookmarkEnd w:id="270"/>
    </w:p>
    <w:p w14:paraId="52D4EA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.1“投标人须知前附表”要求提供样品的，样品的具体要求及评审详见“第三章 采购需求”和“第五章 评标</w:t>
      </w:r>
      <w:r>
        <w:rPr>
          <w:rFonts w:hint="eastAsia" w:ascii="宋体" w:hAnsi="宋体" w:eastAsia="宋体" w:cs="宋体"/>
          <w:snapToGrid w:val="0"/>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2D6ED3F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.2样品退还：未中标的投标人应</w:t>
      </w:r>
      <w:r>
        <w:rPr>
          <w:rFonts w:hint="eastAsia" w:ascii="宋体" w:hAnsi="宋体" w:eastAsia="宋体" w:cs="宋体"/>
          <w:color w:val="auto"/>
          <w:sz w:val="24"/>
          <w:szCs w:val="24"/>
          <w:highlight w:val="none"/>
          <w:lang w:val="en-US" w:eastAsia="zh-CN"/>
        </w:rPr>
        <w:t>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自行联系采购人取回投标样品；中标人的样品由采购人进行保管、封存，并作为履约验收的参考（招标文件另有规定的从其规定）。</w:t>
      </w:r>
    </w:p>
    <w:p w14:paraId="7DD3C31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1" w:name="_Toc163492848"/>
      <w:bookmarkStart w:id="272" w:name="_Toc11533"/>
      <w:bookmarkStart w:id="273" w:name="_Toc155185875"/>
      <w:bookmarkStart w:id="274" w:name="_Toc30367"/>
      <w:bookmarkStart w:id="275" w:name="_Toc3586"/>
      <w:bookmarkStart w:id="276" w:name="_Toc17036"/>
      <w:r>
        <w:rPr>
          <w:rFonts w:hint="eastAsia" w:ascii="宋体" w:hAnsi="宋体" w:eastAsia="宋体" w:cs="宋体"/>
          <w:b/>
          <w:bCs/>
          <w:color w:val="auto"/>
          <w:kern w:val="2"/>
          <w:sz w:val="24"/>
          <w:szCs w:val="24"/>
          <w:highlight w:val="none"/>
          <w:lang w:val="en-US" w:eastAsia="zh-CN" w:bidi="ar-SA"/>
        </w:rPr>
        <w:t>23.演示</w:t>
      </w:r>
      <w:bookmarkEnd w:id="271"/>
      <w:bookmarkEnd w:id="272"/>
      <w:bookmarkEnd w:id="273"/>
      <w:bookmarkEnd w:id="274"/>
      <w:bookmarkEnd w:id="275"/>
      <w:bookmarkEnd w:id="276"/>
    </w:p>
    <w:p w14:paraId="1A234B3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.1要求投标人进行演示的，演示要求详见“投标人须知前附表”。</w:t>
      </w:r>
    </w:p>
    <w:p w14:paraId="527E903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.2演示的评审详见“第三章 采购需求”和“第五章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44828689">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7" w:name="_Toc31815"/>
      <w:bookmarkStart w:id="278" w:name="_Toc163492849"/>
      <w:bookmarkStart w:id="279" w:name="_Toc23023"/>
      <w:bookmarkStart w:id="280" w:name="_Toc13245"/>
      <w:bookmarkStart w:id="281" w:name="_Toc155185876"/>
      <w:bookmarkStart w:id="282" w:name="_Toc140132779"/>
      <w:bookmarkStart w:id="283" w:name="_Toc8231"/>
      <w:r>
        <w:rPr>
          <w:rFonts w:hint="eastAsia" w:ascii="宋体" w:hAnsi="宋体" w:eastAsia="宋体" w:cs="宋体"/>
          <w:b/>
          <w:bCs/>
          <w:color w:val="auto"/>
          <w:kern w:val="2"/>
          <w:sz w:val="24"/>
          <w:szCs w:val="24"/>
          <w:highlight w:val="none"/>
          <w:lang w:val="en-US" w:eastAsia="zh-CN" w:bidi="ar-SA"/>
        </w:rPr>
        <w:t>（五）开标</w:t>
      </w:r>
      <w:bookmarkEnd w:id="277"/>
      <w:bookmarkEnd w:id="278"/>
      <w:bookmarkEnd w:id="279"/>
      <w:bookmarkEnd w:id="280"/>
      <w:bookmarkEnd w:id="281"/>
      <w:bookmarkEnd w:id="282"/>
      <w:bookmarkEnd w:id="283"/>
    </w:p>
    <w:p w14:paraId="1705A8F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4" w:name="_Toc140132780"/>
      <w:bookmarkStart w:id="285" w:name="_Toc22613"/>
      <w:bookmarkStart w:id="286" w:name="_Toc8612"/>
      <w:bookmarkStart w:id="287" w:name="_Toc163492850"/>
      <w:bookmarkStart w:id="288" w:name="_Toc18988"/>
      <w:bookmarkStart w:id="289" w:name="_Toc21393"/>
      <w:r>
        <w:rPr>
          <w:rFonts w:hint="eastAsia" w:ascii="宋体" w:hAnsi="宋体" w:eastAsia="宋体" w:cs="宋体"/>
          <w:b/>
          <w:bCs/>
          <w:color w:val="auto"/>
          <w:kern w:val="2"/>
          <w:sz w:val="24"/>
          <w:szCs w:val="24"/>
          <w:highlight w:val="none"/>
          <w:lang w:val="en-US" w:eastAsia="zh-CN" w:bidi="ar-SA"/>
        </w:rPr>
        <w:t>24.开标会议</w:t>
      </w:r>
      <w:bookmarkEnd w:id="284"/>
      <w:bookmarkEnd w:id="285"/>
      <w:bookmarkEnd w:id="286"/>
      <w:bookmarkEnd w:id="287"/>
      <w:bookmarkEnd w:id="288"/>
      <w:bookmarkEnd w:id="289"/>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lang w:eastAsia="zh-CN"/>
        </w:rPr>
      </w:pPr>
      <w:bookmarkStart w:id="290" w:name="_Toc14013278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开标会按“</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”规定的开标时间和地点准时举行，采购人、采购代理机构邀请所有投标人准时参加开标会。投标人应按照</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的要求参与</w:t>
      </w:r>
      <w:r>
        <w:rPr>
          <w:rFonts w:hint="eastAsia" w:ascii="宋体" w:hAnsi="宋体" w:eastAsia="宋体" w:cs="宋体"/>
          <w:color w:val="auto"/>
          <w:sz w:val="24"/>
          <w:szCs w:val="24"/>
          <w:highlight w:val="none"/>
          <w:lang w:val="en-US" w:eastAsia="zh-CN"/>
        </w:rPr>
        <w:t>不见面开标</w:t>
      </w:r>
      <w:r>
        <w:rPr>
          <w:rFonts w:hint="eastAsia" w:ascii="宋体" w:hAnsi="宋体" w:eastAsia="宋体" w:cs="宋体"/>
          <w:color w:val="auto"/>
          <w:sz w:val="24"/>
          <w:szCs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bookmarkEnd w:id="290"/>
      <w:r>
        <w:rPr>
          <w:rFonts w:hint="eastAsia" w:ascii="宋体" w:hAnsi="宋体" w:eastAsia="宋体" w:cs="宋体"/>
          <w:color w:val="auto"/>
          <w:kern w:val="2"/>
          <w:sz w:val="24"/>
          <w:szCs w:val="24"/>
          <w:highlight w:val="none"/>
        </w:rPr>
        <w:t>采购代理机构按照招标文件规定的时间、地点主持开标。采购人在规定的</w:t>
      </w:r>
      <w:r>
        <w:rPr>
          <w:rFonts w:hint="eastAsia" w:ascii="宋体" w:hAnsi="宋体" w:eastAsia="宋体" w:cs="宋体"/>
          <w:color w:val="auto"/>
          <w:kern w:val="2"/>
          <w:sz w:val="24"/>
          <w:szCs w:val="24"/>
          <w:highlight w:val="none"/>
          <w:lang w:eastAsia="zh-CN"/>
        </w:rPr>
        <w:t>投标文件</w:t>
      </w:r>
      <w:r>
        <w:rPr>
          <w:rFonts w:hint="eastAsia" w:ascii="宋体" w:hAnsi="宋体" w:eastAsia="宋体" w:cs="宋体"/>
          <w:color w:val="auto"/>
          <w:kern w:val="2"/>
          <w:sz w:val="24"/>
          <w:szCs w:val="24"/>
          <w:highlight w:val="none"/>
        </w:rPr>
        <w:t>递交截止时间（开标时间）和地点进行不见面远程开标。</w:t>
      </w: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的法定代表人或其委托代理人无需到达开标现场，仅需在任意地点通过</w:t>
      </w:r>
      <w:r>
        <w:rPr>
          <w:rFonts w:hint="eastAsia" w:ascii="宋体" w:hAnsi="宋体" w:eastAsia="宋体" w:cs="宋体"/>
          <w:color w:val="auto"/>
          <w:kern w:val="2"/>
          <w:sz w:val="24"/>
          <w:szCs w:val="24"/>
          <w:highlight w:val="none"/>
          <w:lang w:val="en-US" w:eastAsia="zh-CN"/>
        </w:rPr>
        <w:t>兵团政府采购电子交易云平台（网址：https://www.zcygov.cn/）</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1" w:name="_Toc6135"/>
      <w:bookmarkStart w:id="292" w:name="_Toc140132783"/>
      <w:bookmarkStart w:id="293" w:name="_Toc163492852"/>
      <w:bookmarkStart w:id="294" w:name="_Toc22024"/>
      <w:bookmarkStart w:id="295" w:name="_Toc30858"/>
      <w:bookmarkStart w:id="296" w:name="_Toc10863"/>
      <w:r>
        <w:rPr>
          <w:rFonts w:hint="eastAsia" w:ascii="宋体" w:hAnsi="宋体" w:eastAsia="宋体" w:cs="宋体"/>
          <w:b/>
          <w:bCs/>
          <w:color w:val="auto"/>
          <w:kern w:val="2"/>
          <w:sz w:val="24"/>
          <w:szCs w:val="24"/>
          <w:highlight w:val="none"/>
          <w:lang w:val="en-US" w:eastAsia="zh-CN" w:bidi="ar-SA"/>
        </w:rPr>
        <w:t>25.开标程序</w:t>
      </w:r>
      <w:bookmarkEnd w:id="291"/>
      <w:bookmarkEnd w:id="292"/>
      <w:bookmarkEnd w:id="293"/>
      <w:bookmarkEnd w:id="294"/>
      <w:bookmarkEnd w:id="295"/>
      <w:bookmarkEnd w:id="296"/>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（3）发起投标文件解密。投标人应在“投标人须知前附表”规定的时间内使用加密投标文件的CA证书在系统中完成投标文件的解密；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（5）系统自动生成开标记录表，供应商应在线对开标记录进行签署确认</w:t>
      </w:r>
      <w:r>
        <w:rPr>
          <w:rFonts w:hint="eastAsia" w:ascii="宋体" w:hAnsi="宋体" w:eastAsia="宋体" w:cs="宋体"/>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（6）开标会结束。</w:t>
      </w:r>
      <w:bookmarkStart w:id="297" w:name="_Toc140132784"/>
      <w:bookmarkStart w:id="298" w:name="_Toc163492853"/>
    </w:p>
    <w:p w14:paraId="459D358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9" w:name="_Toc8444"/>
      <w:bookmarkStart w:id="300" w:name="_Toc6699"/>
      <w:bookmarkStart w:id="301" w:name="_Toc8830"/>
      <w:bookmarkStart w:id="302" w:name="_Toc14916"/>
      <w:r>
        <w:rPr>
          <w:rFonts w:hint="eastAsia" w:ascii="宋体" w:hAnsi="宋体" w:eastAsia="宋体" w:cs="宋体"/>
          <w:b/>
          <w:bCs/>
          <w:color w:val="auto"/>
          <w:kern w:val="2"/>
          <w:sz w:val="24"/>
          <w:szCs w:val="24"/>
          <w:highlight w:val="none"/>
          <w:lang w:val="en-US" w:eastAsia="zh-CN" w:bidi="ar-SA"/>
        </w:rPr>
        <w:t>26.开标疑义及回避情形</w:t>
      </w:r>
      <w:bookmarkEnd w:id="297"/>
      <w:bookmarkEnd w:id="298"/>
      <w:bookmarkEnd w:id="299"/>
      <w:bookmarkEnd w:id="300"/>
      <w:bookmarkEnd w:id="301"/>
      <w:bookmarkEnd w:id="302"/>
    </w:p>
    <w:p w14:paraId="04573E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.2投标人未参加开标的，视同认可开标结果。</w:t>
      </w:r>
    </w:p>
    <w:p w14:paraId="55D243EF">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3" w:name="_Toc163492854"/>
      <w:bookmarkStart w:id="304" w:name="_Toc22271"/>
      <w:bookmarkStart w:id="305" w:name="_Toc140132785"/>
      <w:bookmarkStart w:id="306" w:name="_Toc155185877"/>
      <w:bookmarkStart w:id="307" w:name="_Toc15018"/>
      <w:bookmarkStart w:id="308" w:name="_Toc3485"/>
      <w:bookmarkStart w:id="309" w:name="_Toc9049"/>
      <w:r>
        <w:rPr>
          <w:rFonts w:hint="eastAsia" w:ascii="宋体" w:hAnsi="宋体" w:eastAsia="宋体" w:cs="宋体"/>
          <w:b/>
          <w:bCs/>
          <w:color w:val="auto"/>
          <w:kern w:val="2"/>
          <w:sz w:val="24"/>
          <w:szCs w:val="24"/>
          <w:highlight w:val="none"/>
          <w:lang w:val="en-US" w:eastAsia="zh-CN" w:bidi="ar-SA"/>
        </w:rPr>
        <w:t>（六）资格审查</w:t>
      </w:r>
      <w:bookmarkEnd w:id="303"/>
      <w:bookmarkEnd w:id="304"/>
      <w:bookmarkEnd w:id="305"/>
      <w:bookmarkEnd w:id="306"/>
      <w:bookmarkEnd w:id="307"/>
      <w:bookmarkEnd w:id="308"/>
      <w:bookmarkEnd w:id="309"/>
    </w:p>
    <w:p w14:paraId="2C1B5FD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0" w:name="_Toc16245"/>
      <w:bookmarkStart w:id="311" w:name="_Toc3323"/>
      <w:bookmarkStart w:id="312" w:name="_Toc163492855"/>
      <w:bookmarkStart w:id="313" w:name="_Toc507"/>
      <w:bookmarkStart w:id="314" w:name="_Toc9539"/>
      <w:r>
        <w:rPr>
          <w:rFonts w:hint="eastAsia" w:ascii="宋体" w:hAnsi="宋体" w:eastAsia="宋体" w:cs="宋体"/>
          <w:b/>
          <w:bCs/>
          <w:color w:val="auto"/>
          <w:kern w:val="2"/>
          <w:sz w:val="24"/>
          <w:szCs w:val="24"/>
          <w:highlight w:val="none"/>
          <w:lang w:val="en-US" w:eastAsia="zh-CN" w:bidi="ar-SA"/>
        </w:rPr>
        <w:t>27.资格审查及审查主体</w:t>
      </w:r>
      <w:bookmarkEnd w:id="310"/>
      <w:bookmarkEnd w:id="311"/>
      <w:bookmarkEnd w:id="312"/>
      <w:bookmarkEnd w:id="313"/>
      <w:bookmarkEnd w:id="314"/>
    </w:p>
    <w:p w14:paraId="3F6E8AD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15" w:name="_Toc140132786"/>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bookmarkEnd w:id="315"/>
      <w:r>
        <w:rPr>
          <w:rFonts w:hint="eastAsia" w:ascii="宋体" w:hAnsi="宋体" w:eastAsia="宋体" w:cs="宋体"/>
          <w:color w:val="auto"/>
          <w:sz w:val="24"/>
          <w:szCs w:val="24"/>
          <w:highlight w:val="none"/>
        </w:rPr>
        <w:t>开标结束后，采购人或者采购代理机构应当依法对投标人的资格进行审查。</w:t>
      </w:r>
    </w:p>
    <w:p w14:paraId="6F7626D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16" w:name="_Toc14013278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.2资格审查按“第四章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资格审查”的规定进行。</w:t>
      </w:r>
      <w:bookmarkEnd w:id="316"/>
    </w:p>
    <w:p w14:paraId="44D43B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17" w:name="_Toc140132788"/>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.3资格审查结束后，应及时对资格审查结果进行复核，对资格审查错误进行及时纠正并记录。</w:t>
      </w:r>
      <w:bookmarkEnd w:id="317"/>
    </w:p>
    <w:p w14:paraId="272F16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27.4</w:t>
      </w:r>
      <w:r>
        <w:rPr>
          <w:rFonts w:hint="eastAsia" w:ascii="宋体" w:hAnsi="宋体" w:eastAsia="宋体" w:cs="宋体"/>
          <w:color w:val="auto"/>
          <w:sz w:val="24"/>
          <w:szCs w:val="24"/>
          <w:highlight w:val="none"/>
        </w:rPr>
        <w:t>资格审查合格投标人不足3家的，不得评标。</w:t>
      </w:r>
    </w:p>
    <w:p w14:paraId="7A1F7D21">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8" w:name="_Toc3464"/>
      <w:bookmarkStart w:id="319" w:name="_Toc155185878"/>
      <w:bookmarkStart w:id="320" w:name="_Toc9489"/>
      <w:bookmarkStart w:id="321" w:name="_Toc23765"/>
      <w:bookmarkStart w:id="322" w:name="_Toc163492856"/>
      <w:bookmarkStart w:id="323" w:name="_Toc140132789"/>
      <w:bookmarkStart w:id="324" w:name="_Toc11390"/>
      <w:r>
        <w:rPr>
          <w:rFonts w:hint="eastAsia" w:ascii="宋体" w:hAnsi="宋体" w:eastAsia="宋体" w:cs="宋体"/>
          <w:b/>
          <w:bCs/>
          <w:color w:val="auto"/>
          <w:kern w:val="2"/>
          <w:sz w:val="24"/>
          <w:szCs w:val="24"/>
          <w:highlight w:val="none"/>
          <w:lang w:val="en-US" w:eastAsia="zh-CN" w:bidi="ar-SA"/>
        </w:rPr>
        <w:t>（七）评标</w:t>
      </w:r>
      <w:bookmarkEnd w:id="318"/>
      <w:bookmarkEnd w:id="319"/>
      <w:bookmarkEnd w:id="320"/>
      <w:bookmarkEnd w:id="321"/>
      <w:bookmarkEnd w:id="322"/>
      <w:bookmarkEnd w:id="323"/>
      <w:bookmarkEnd w:id="324"/>
    </w:p>
    <w:p w14:paraId="7EBE7AB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5" w:name="_Toc5333"/>
      <w:bookmarkStart w:id="326" w:name="_Toc163492857"/>
      <w:bookmarkStart w:id="327" w:name="_Toc13920"/>
      <w:bookmarkStart w:id="328" w:name="_Toc140132790"/>
      <w:bookmarkStart w:id="329" w:name="_Toc195"/>
      <w:bookmarkStart w:id="330" w:name="_Toc14310"/>
      <w:r>
        <w:rPr>
          <w:rFonts w:hint="eastAsia" w:ascii="宋体" w:hAnsi="宋体" w:eastAsia="宋体" w:cs="宋体"/>
          <w:b/>
          <w:bCs/>
          <w:color w:val="auto"/>
          <w:kern w:val="2"/>
          <w:sz w:val="24"/>
          <w:szCs w:val="24"/>
          <w:highlight w:val="none"/>
          <w:lang w:val="en-US" w:eastAsia="zh-CN" w:bidi="ar-SA"/>
        </w:rPr>
        <w:t>28.评标委员会</w:t>
      </w:r>
      <w:bookmarkEnd w:id="325"/>
      <w:bookmarkEnd w:id="326"/>
      <w:bookmarkEnd w:id="327"/>
      <w:bookmarkEnd w:id="328"/>
      <w:bookmarkEnd w:id="329"/>
      <w:bookmarkEnd w:id="330"/>
    </w:p>
    <w:p w14:paraId="1EA2B13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评标由采购人依法组建的评标委员会负责。评标委员会由采购人代表和评审专家组成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成员人数应当为5</w:t>
      </w:r>
      <w:r>
        <w:rPr>
          <w:rFonts w:hint="eastAsia" w:ascii="宋体" w:hAnsi="宋体" w:eastAsia="宋体" w:cs="宋体"/>
          <w:color w:val="auto"/>
          <w:sz w:val="24"/>
          <w:szCs w:val="24"/>
          <w:highlight w:val="none"/>
        </w:rPr>
        <w:t>人以上单数，其中</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专家不</w:t>
      </w:r>
      <w:r>
        <w:rPr>
          <w:rFonts w:hint="eastAsia" w:ascii="宋体" w:hAnsi="宋体" w:eastAsia="宋体" w:cs="宋体"/>
          <w:color w:val="auto"/>
          <w:sz w:val="24"/>
          <w:szCs w:val="24"/>
          <w:highlight w:val="none"/>
          <w:lang w:val="en-US" w:eastAsia="zh-CN"/>
        </w:rPr>
        <w:t>得</w:t>
      </w:r>
      <w:r>
        <w:rPr>
          <w:rFonts w:hint="eastAsia" w:ascii="宋体" w:hAnsi="宋体" w:eastAsia="宋体" w:cs="宋体"/>
          <w:color w:val="auto"/>
          <w:sz w:val="24"/>
          <w:szCs w:val="24"/>
          <w:highlight w:val="none"/>
        </w:rPr>
        <w:t>少于</w:t>
      </w:r>
      <w:r>
        <w:rPr>
          <w:rFonts w:hint="eastAsia" w:ascii="宋体" w:hAnsi="宋体" w:eastAsia="宋体" w:cs="宋体"/>
          <w:color w:val="auto"/>
          <w:sz w:val="24"/>
          <w:szCs w:val="24"/>
          <w:highlight w:val="none"/>
          <w:lang w:val="en-US" w:eastAsia="zh-CN"/>
        </w:rPr>
        <w:t>成员总数的</w:t>
      </w:r>
      <w:r>
        <w:rPr>
          <w:rFonts w:hint="eastAsia" w:ascii="宋体" w:hAnsi="宋体" w:eastAsia="宋体" w:cs="宋体"/>
          <w:color w:val="auto"/>
          <w:sz w:val="24"/>
          <w:szCs w:val="24"/>
          <w:highlight w:val="none"/>
        </w:rPr>
        <w:t>三分之二。</w:t>
      </w:r>
      <w:r>
        <w:rPr>
          <w:rFonts w:hint="eastAsia" w:ascii="宋体" w:hAnsi="宋体" w:eastAsia="宋体" w:cs="宋体"/>
          <w:color w:val="auto"/>
          <w:sz w:val="24"/>
          <w:szCs w:val="24"/>
          <w:highlight w:val="none"/>
          <w:lang w:val="en-US" w:eastAsia="zh-CN"/>
        </w:rPr>
        <w:t>采购人或者采购代理机构应当从省级以上财政部门设立的政府采购评审专家库中，通过随机方式抽取评审专家。</w:t>
      </w:r>
    </w:p>
    <w:p w14:paraId="32DE78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28.2 采购项目符合下列情形之一的，评标委员会成员人数应当为7人以上单数：</w:t>
      </w:r>
    </w:p>
    <w:p w14:paraId="05C639B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（1）采购预算金额在1000万元以上；</w:t>
      </w:r>
    </w:p>
    <w:p w14:paraId="67DFE62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（2）技术复杂；</w:t>
      </w:r>
    </w:p>
    <w:p w14:paraId="6B9FB10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（3）社会影响较大。</w:t>
      </w:r>
    </w:p>
    <w:p w14:paraId="4590A67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28.4评标委员会成员名单在评标结果公告前应当保密。</w:t>
      </w:r>
    </w:p>
    <w:p w14:paraId="2F8842E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28.6无法及时补足评标委员会成员的，采购人或者采购代理机构应当停止评标活动，封存所有投标文件和开标、评标资料，依法重新组建评标委员会进行评标。原评标委员会所作出的评标意见无效。</w:t>
      </w:r>
    </w:p>
    <w:p w14:paraId="320EF10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评标委员会成员有下列情形之一的，应当回避：</w:t>
      </w:r>
    </w:p>
    <w:p w14:paraId="5366671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（1）参加采购活动前3年内与投标人存在劳动关系；</w:t>
      </w:r>
    </w:p>
    <w:p w14:paraId="4B33BA4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（2）参加采购活动前3年内担任投标人的董事、监事；</w:t>
      </w:r>
    </w:p>
    <w:p w14:paraId="271CA22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（3）参加采购活动前3年内是投标人的控股股东或实际控制人；</w:t>
      </w:r>
    </w:p>
    <w:p w14:paraId="0F31540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（4）与投标人的法定代表人或者负责人有夫妻、直系血亲、三代以内旁系血亲或者近姻亲关系；</w:t>
      </w:r>
    </w:p>
    <w:p w14:paraId="20FB9B7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（5）与投标人有其他可能影响采购活动公平、公正进行的关系。</w:t>
      </w:r>
    </w:p>
    <w:p w14:paraId="25BEA5A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1" w:name="_Toc167"/>
      <w:bookmarkStart w:id="332" w:name="_Toc140132791"/>
      <w:bookmarkStart w:id="333" w:name="_Toc472"/>
      <w:bookmarkStart w:id="334" w:name="_Toc7854"/>
      <w:bookmarkStart w:id="335" w:name="_Toc4052"/>
      <w:bookmarkStart w:id="336" w:name="_Toc163492858"/>
      <w:r>
        <w:rPr>
          <w:rFonts w:hint="eastAsia" w:ascii="宋体" w:hAnsi="宋体" w:eastAsia="宋体" w:cs="宋体"/>
          <w:b/>
          <w:bCs/>
          <w:color w:val="auto"/>
          <w:kern w:val="2"/>
          <w:sz w:val="24"/>
          <w:szCs w:val="24"/>
          <w:highlight w:val="none"/>
          <w:lang w:val="en-US" w:eastAsia="zh-CN" w:bidi="ar-SA"/>
        </w:rPr>
        <w:t>29.评标</w:t>
      </w:r>
      <w:bookmarkEnd w:id="331"/>
      <w:bookmarkEnd w:id="332"/>
      <w:bookmarkEnd w:id="333"/>
      <w:bookmarkEnd w:id="334"/>
      <w:bookmarkEnd w:id="335"/>
      <w:bookmarkEnd w:id="336"/>
    </w:p>
    <w:p w14:paraId="6D0B095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评标方法分为综合评分法和</w:t>
      </w:r>
      <w:r>
        <w:rPr>
          <w:rFonts w:hint="eastAsia" w:ascii="宋体" w:hAnsi="宋体" w:eastAsia="宋体" w:cs="宋体"/>
          <w:color w:val="auto"/>
          <w:sz w:val="24"/>
          <w:szCs w:val="24"/>
          <w:highlight w:val="none"/>
        </w:rPr>
        <w:t>最低评标价法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本项目评标</w:t>
      </w:r>
      <w:r>
        <w:rPr>
          <w:rFonts w:hint="eastAsia" w:ascii="宋体" w:hAnsi="宋体" w:eastAsia="宋体" w:cs="宋体"/>
          <w:color w:val="auto"/>
          <w:sz w:val="24"/>
          <w:szCs w:val="24"/>
          <w:highlight w:val="none"/>
          <w:lang w:val="en-US" w:eastAsia="zh-CN"/>
        </w:rPr>
        <w:t>方法详见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eastAsia="zh-CN"/>
        </w:rPr>
        <w:t>。</w:t>
      </w:r>
    </w:p>
    <w:p w14:paraId="2BC22B3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9.1.1</w:t>
      </w:r>
      <w:r>
        <w:rPr>
          <w:rFonts w:hint="eastAsia" w:ascii="宋体" w:hAnsi="宋体" w:eastAsia="宋体" w:cs="宋体"/>
          <w:color w:val="auto"/>
          <w:sz w:val="24"/>
          <w:szCs w:val="24"/>
          <w:highlight w:val="none"/>
        </w:rPr>
        <w:t>综合评分法，是指投标文件满足招标文件全部实质性要求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且按照评审因素的量化指标评审得分最高的投标人为中标候选人的评标方法。</w:t>
      </w:r>
    </w:p>
    <w:p w14:paraId="0E3867E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29.1.2.</w:t>
      </w:r>
      <w:r>
        <w:rPr>
          <w:rFonts w:hint="eastAsia" w:ascii="宋体" w:hAnsi="宋体" w:eastAsia="宋体" w:cs="宋体"/>
          <w:color w:val="auto"/>
          <w:sz w:val="24"/>
          <w:szCs w:val="24"/>
          <w:highlight w:val="none"/>
        </w:rPr>
        <w:t>最低评标价法，是指投标文件满足招标文件全部实质性要求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且投标报价最低的投标人为中标候选人的评标方法。</w:t>
      </w:r>
    </w:p>
    <w:p w14:paraId="418DE4C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评标委员会按照“第五章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规定对投标文件进行评审。“第五章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法及标准”没有规定的方法、评审因素和标准，不作为评标依据。</w:t>
      </w:r>
    </w:p>
    <w:p w14:paraId="1A9007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评标委员会按“投标人须知前附表”规定的中标候选人数量在评标报告中向采购人推荐中标候选人。</w:t>
      </w:r>
    </w:p>
    <w:p w14:paraId="1E63454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 在确定中标人之前，投标人试图在投标文件审查、澄清、比较和评标时对评标委员会、采购人和采购代理机构施加任何影响都可能导致其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2A3200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 电子招投标的应急措施</w:t>
      </w:r>
    </w:p>
    <w:p w14:paraId="52525CD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29.6.1电子开标、评标如出现下列原因，导致系统无法正常运行或无法正常评标时，应采取应急措施。</w:t>
      </w:r>
    </w:p>
    <w:p w14:paraId="3D99F56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（1）系统服务器发生故障，无法访问或无法使用系统；</w:t>
      </w:r>
    </w:p>
    <w:p w14:paraId="518B308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（2）系统的软件或数据库出现错误，不能进行正常操作；</w:t>
      </w:r>
    </w:p>
    <w:p w14:paraId="657BA7B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（3）系统发现有安全漏洞，有潜在的泄密危险；</w:t>
      </w:r>
    </w:p>
    <w:p w14:paraId="26B153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（4）病毒发作或受到外来病毒的攻击；</w:t>
      </w:r>
    </w:p>
    <w:p w14:paraId="6BCA43D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（5）出现其他不可抗拒的客观原因造成开评标系统无法正常使用。</w:t>
      </w:r>
    </w:p>
    <w:p w14:paraId="2BA3CE0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 投标人瑕疵滞后发现的处理规则</w:t>
      </w:r>
    </w:p>
    <w:p w14:paraId="11E85EA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29.7.1无论基于何种原因，各项本应作</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7" w:name="_Toc24173"/>
      <w:bookmarkStart w:id="338" w:name="_Toc11591"/>
      <w:bookmarkStart w:id="339" w:name="_Toc163492859"/>
      <w:bookmarkStart w:id="340" w:name="_Toc155185879"/>
      <w:bookmarkStart w:id="341" w:name="_Toc140132792"/>
      <w:bookmarkStart w:id="342" w:name="_Toc16712"/>
      <w:bookmarkStart w:id="343" w:name="_Toc6329"/>
      <w:r>
        <w:rPr>
          <w:rFonts w:hint="eastAsia" w:ascii="宋体" w:hAnsi="宋体" w:eastAsia="宋体" w:cs="宋体"/>
          <w:b/>
          <w:bCs/>
          <w:color w:val="auto"/>
          <w:kern w:val="2"/>
          <w:sz w:val="24"/>
          <w:szCs w:val="24"/>
          <w:highlight w:val="none"/>
          <w:lang w:val="en-US" w:eastAsia="zh-CN" w:bidi="ar-SA"/>
        </w:rPr>
        <w:t>（八）中标</w:t>
      </w:r>
      <w:bookmarkEnd w:id="337"/>
      <w:bookmarkEnd w:id="338"/>
      <w:bookmarkEnd w:id="339"/>
      <w:bookmarkEnd w:id="340"/>
      <w:bookmarkEnd w:id="341"/>
      <w:bookmarkEnd w:id="342"/>
      <w:bookmarkEnd w:id="343"/>
    </w:p>
    <w:p w14:paraId="37B6B95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4" w:name="_Toc163492860"/>
      <w:bookmarkStart w:id="345" w:name="_Toc11832"/>
      <w:bookmarkStart w:id="346" w:name="_Toc140132793"/>
      <w:bookmarkStart w:id="347" w:name="_Toc5728"/>
      <w:bookmarkStart w:id="348" w:name="_Toc9099"/>
      <w:bookmarkStart w:id="349" w:name="_Toc18980"/>
      <w:r>
        <w:rPr>
          <w:rFonts w:hint="eastAsia" w:ascii="宋体" w:hAnsi="宋体" w:eastAsia="宋体" w:cs="宋体"/>
          <w:b/>
          <w:bCs/>
          <w:color w:val="auto"/>
          <w:kern w:val="2"/>
          <w:sz w:val="24"/>
          <w:szCs w:val="24"/>
          <w:highlight w:val="none"/>
          <w:lang w:val="en-US" w:eastAsia="zh-CN" w:bidi="ar-SA"/>
        </w:rPr>
        <w:t>30.确定中标人</w:t>
      </w:r>
      <w:bookmarkEnd w:id="344"/>
      <w:bookmarkEnd w:id="345"/>
      <w:bookmarkEnd w:id="346"/>
      <w:bookmarkEnd w:id="347"/>
      <w:bookmarkEnd w:id="348"/>
      <w:bookmarkEnd w:id="349"/>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897145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0" w:name="_Toc15642"/>
      <w:bookmarkStart w:id="351" w:name="_Toc140132794"/>
      <w:bookmarkStart w:id="352" w:name="_Toc163492861"/>
      <w:bookmarkStart w:id="353" w:name="_Toc16181"/>
      <w:bookmarkStart w:id="354" w:name="_Toc6433"/>
      <w:bookmarkStart w:id="355" w:name="_Toc6680"/>
      <w:r>
        <w:rPr>
          <w:rFonts w:hint="eastAsia" w:ascii="宋体" w:hAnsi="宋体" w:eastAsia="宋体" w:cs="宋体"/>
          <w:b/>
          <w:bCs/>
          <w:color w:val="auto"/>
          <w:kern w:val="2"/>
          <w:sz w:val="24"/>
          <w:szCs w:val="24"/>
          <w:highlight w:val="none"/>
          <w:lang w:val="en-US" w:eastAsia="zh-CN" w:bidi="ar-SA"/>
        </w:rPr>
        <w:t>31.中标结果公告</w:t>
      </w:r>
      <w:bookmarkEnd w:id="350"/>
      <w:bookmarkEnd w:id="351"/>
      <w:bookmarkEnd w:id="352"/>
      <w:bookmarkEnd w:id="353"/>
      <w:bookmarkEnd w:id="354"/>
      <w:bookmarkEnd w:id="355"/>
    </w:p>
    <w:p w14:paraId="5975ECA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采购人或</w:t>
      </w:r>
      <w:r>
        <w:rPr>
          <w:rFonts w:hint="eastAsia" w:ascii="宋体" w:hAnsi="宋体" w:eastAsia="宋体" w:cs="宋体"/>
          <w:color w:val="auto"/>
          <w:sz w:val="24"/>
          <w:szCs w:val="24"/>
          <w:highlight w:val="none"/>
        </w:rPr>
        <w:t>采购代理机构应当自中标人确定之日起2个工作日内，在</w:t>
      </w:r>
      <w:r>
        <w:rPr>
          <w:rFonts w:hint="eastAsia" w:ascii="宋体" w:hAnsi="宋体" w:eastAsia="宋体" w:cs="宋体"/>
          <w:color w:val="auto"/>
          <w:sz w:val="24"/>
          <w:szCs w:val="24"/>
          <w:highlight w:val="none"/>
          <w:lang w:val="en-US" w:eastAsia="zh-CN"/>
        </w:rPr>
        <w:t>发布招标公告的同一</w:t>
      </w:r>
      <w:r>
        <w:rPr>
          <w:rFonts w:hint="eastAsia" w:ascii="宋体" w:hAnsi="宋体" w:eastAsia="宋体" w:cs="宋体"/>
          <w:color w:val="auto"/>
          <w:sz w:val="24"/>
          <w:szCs w:val="24"/>
          <w:highlight w:val="none"/>
        </w:rPr>
        <w:t>媒体上发布中标结果公告，</w:t>
      </w:r>
      <w:r>
        <w:rPr>
          <w:rFonts w:hint="eastAsia" w:ascii="宋体" w:hAnsi="宋体" w:eastAsia="宋体" w:cs="宋体"/>
          <w:color w:val="auto"/>
          <w:sz w:val="24"/>
          <w:szCs w:val="24"/>
          <w:highlight w:val="none"/>
          <w:lang w:val="en-US" w:eastAsia="zh-CN"/>
        </w:rPr>
        <w:t>同时向中标人</w:t>
      </w:r>
      <w:r>
        <w:rPr>
          <w:rFonts w:hint="eastAsia" w:ascii="宋体" w:hAnsi="宋体" w:eastAsia="宋体" w:cs="宋体"/>
          <w:color w:val="auto"/>
          <w:sz w:val="24"/>
          <w:szCs w:val="24"/>
          <w:highlight w:val="none"/>
        </w:rPr>
        <w:t>发出中标通知书</w:t>
      </w:r>
      <w:r>
        <w:rPr>
          <w:rFonts w:hint="eastAsia" w:ascii="宋体" w:hAnsi="宋体" w:eastAsia="宋体" w:cs="宋体"/>
          <w:color w:val="auto"/>
          <w:sz w:val="24"/>
          <w:szCs w:val="24"/>
          <w:highlight w:val="none"/>
          <w:lang w:eastAsia="zh-CN"/>
        </w:rPr>
        <w:t>。招标文件随中标结果同时公告，</w:t>
      </w:r>
      <w:r>
        <w:rPr>
          <w:rFonts w:hint="eastAsia" w:ascii="宋体" w:hAnsi="宋体" w:eastAsia="宋体" w:cs="宋体"/>
          <w:color w:val="auto"/>
          <w:sz w:val="24"/>
          <w:szCs w:val="24"/>
          <w:highlight w:val="none"/>
        </w:rPr>
        <w:t>中标结果公告期限为1个工作日。</w:t>
      </w:r>
    </w:p>
    <w:p w14:paraId="5352A1F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中标供应商为中小企业</w:t>
      </w:r>
      <w:r>
        <w:rPr>
          <w:rFonts w:hint="eastAsia" w:ascii="宋体" w:hAnsi="宋体" w:eastAsia="宋体" w:cs="宋体"/>
          <w:bCs/>
          <w:color w:val="auto"/>
          <w:sz w:val="24"/>
          <w:szCs w:val="24"/>
          <w:highlight w:val="none"/>
          <w:lang w:val="en-US" w:eastAsia="zh-CN"/>
        </w:rPr>
        <w:t>享受中小企业扶持政策的</w:t>
      </w:r>
      <w:r>
        <w:rPr>
          <w:rFonts w:hint="eastAsia" w:ascii="宋体" w:hAnsi="宋体" w:eastAsia="宋体" w:cs="宋体"/>
          <w:bCs/>
          <w:color w:val="auto"/>
          <w:sz w:val="24"/>
          <w:szCs w:val="24"/>
          <w:highlight w:val="none"/>
          <w:lang w:eastAsia="zh-CN"/>
        </w:rPr>
        <w:t>，其“中小企业声明函”随中标结果同时公告。中标供应商为残疾人福利性单位的，其“残疾人福利性单位声明函”随中标结果同时公告。</w:t>
      </w:r>
    </w:p>
    <w:p w14:paraId="3302A7D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31.3</w:t>
      </w:r>
      <w:r>
        <w:rPr>
          <w:rFonts w:hint="eastAsia" w:ascii="宋体" w:hAnsi="宋体" w:eastAsia="宋体" w:cs="宋体"/>
          <w:color w:val="auto"/>
          <w:sz w:val="24"/>
          <w:szCs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24E8EB4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6" w:name="_Toc6353"/>
      <w:bookmarkStart w:id="357" w:name="_Toc10473"/>
      <w:bookmarkStart w:id="358" w:name="_Toc19467"/>
      <w:bookmarkStart w:id="359" w:name="_Toc140132795"/>
      <w:bookmarkStart w:id="360" w:name="_Toc6163"/>
      <w:bookmarkStart w:id="361" w:name="_Toc163492862"/>
      <w:r>
        <w:rPr>
          <w:rFonts w:hint="eastAsia" w:ascii="宋体" w:hAnsi="宋体" w:eastAsia="宋体" w:cs="宋体"/>
          <w:b/>
          <w:bCs/>
          <w:color w:val="auto"/>
          <w:kern w:val="2"/>
          <w:sz w:val="24"/>
          <w:szCs w:val="24"/>
          <w:highlight w:val="none"/>
          <w:lang w:val="en-US" w:eastAsia="zh-CN" w:bidi="ar-SA"/>
        </w:rPr>
        <w:t>32.中标通知</w:t>
      </w:r>
      <w:bookmarkEnd w:id="356"/>
      <w:bookmarkEnd w:id="357"/>
      <w:bookmarkEnd w:id="358"/>
      <w:bookmarkEnd w:id="359"/>
      <w:bookmarkEnd w:id="360"/>
      <w:bookmarkEnd w:id="361"/>
    </w:p>
    <w:p w14:paraId="41D33E1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color w:val="auto"/>
          <w:sz w:val="24"/>
          <w:szCs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32.2中标通知书对采购人和中标供应商均具有法律效力。中标通知书发出后，采购人改变中标结果的，或者中标供应商放弃中标项目的，应当依法承担法律责任。</w:t>
      </w:r>
    </w:p>
    <w:p w14:paraId="004C264E">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2" w:name="_Toc812"/>
      <w:bookmarkStart w:id="363" w:name="_Toc27187"/>
      <w:bookmarkStart w:id="364" w:name="_Toc30315"/>
      <w:bookmarkStart w:id="365" w:name="_Toc20453"/>
      <w:bookmarkStart w:id="366" w:name="_Toc163492863"/>
      <w:r>
        <w:rPr>
          <w:rFonts w:hint="eastAsia" w:ascii="宋体" w:hAnsi="宋体" w:eastAsia="宋体" w:cs="宋体"/>
          <w:b/>
          <w:bCs/>
          <w:color w:val="auto"/>
          <w:kern w:val="2"/>
          <w:sz w:val="24"/>
          <w:szCs w:val="24"/>
          <w:highlight w:val="none"/>
          <w:lang w:val="en-US" w:eastAsia="zh-CN" w:bidi="ar-SA"/>
        </w:rPr>
        <w:t>（九）签订</w:t>
      </w:r>
      <w:bookmarkStart w:id="367" w:name="_Toc155185880"/>
      <w:bookmarkStart w:id="368" w:name="_Toc140132796"/>
      <w:r>
        <w:rPr>
          <w:rFonts w:hint="eastAsia" w:ascii="宋体" w:hAnsi="宋体" w:eastAsia="宋体" w:cs="宋体"/>
          <w:b/>
          <w:bCs/>
          <w:color w:val="auto"/>
          <w:kern w:val="2"/>
          <w:sz w:val="24"/>
          <w:szCs w:val="24"/>
          <w:highlight w:val="none"/>
          <w:lang w:val="en-US" w:eastAsia="zh-CN" w:bidi="ar-SA"/>
        </w:rPr>
        <w:t>合同</w:t>
      </w:r>
      <w:bookmarkEnd w:id="362"/>
      <w:bookmarkEnd w:id="363"/>
      <w:bookmarkEnd w:id="364"/>
      <w:bookmarkEnd w:id="365"/>
      <w:bookmarkEnd w:id="366"/>
      <w:bookmarkEnd w:id="367"/>
      <w:bookmarkEnd w:id="368"/>
    </w:p>
    <w:p w14:paraId="547E6B9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9" w:name="_Toc3030"/>
      <w:bookmarkStart w:id="370" w:name="_Toc21817"/>
      <w:bookmarkStart w:id="371" w:name="_Toc140132797"/>
      <w:bookmarkStart w:id="372" w:name="_Toc1439"/>
      <w:bookmarkStart w:id="373" w:name="_Toc163492864"/>
      <w:bookmarkStart w:id="374" w:name="_Toc8228"/>
      <w:r>
        <w:rPr>
          <w:rFonts w:hint="eastAsia" w:ascii="宋体" w:hAnsi="宋体" w:eastAsia="宋体" w:cs="宋体"/>
          <w:b/>
          <w:bCs/>
          <w:color w:val="auto"/>
          <w:kern w:val="2"/>
          <w:sz w:val="24"/>
          <w:szCs w:val="24"/>
          <w:highlight w:val="none"/>
          <w:lang w:val="en-US" w:eastAsia="zh-CN" w:bidi="ar-SA"/>
        </w:rPr>
        <w:t>33.履约保证金</w:t>
      </w:r>
      <w:bookmarkEnd w:id="369"/>
      <w:bookmarkEnd w:id="370"/>
      <w:bookmarkEnd w:id="371"/>
      <w:bookmarkEnd w:id="372"/>
      <w:bookmarkEnd w:id="373"/>
      <w:bookmarkEnd w:id="374"/>
    </w:p>
    <w:p w14:paraId="77717F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.1在签订合同前，中标人应按“投标人须知前附表”规定的金额、担保形式和采购人认可的履约担保格式向采购人提交履约保证金。</w:t>
      </w:r>
    </w:p>
    <w:p w14:paraId="73BC7DA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.2中标人不能按本章第3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.1项要求提交履约担保的，视为放弃中标，给采购人造成损失的，中标人还应当承担民事责任。</w:t>
      </w:r>
    </w:p>
    <w:p w14:paraId="4B3DD6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5" w:name="_Toc18238"/>
      <w:bookmarkStart w:id="376" w:name="_Toc163492865"/>
      <w:bookmarkStart w:id="377" w:name="_Toc12603"/>
      <w:bookmarkStart w:id="378" w:name="_Toc140132798"/>
      <w:bookmarkStart w:id="379" w:name="_Toc10817"/>
      <w:bookmarkStart w:id="380" w:name="_Toc1975"/>
      <w:r>
        <w:rPr>
          <w:rFonts w:hint="eastAsia" w:ascii="宋体" w:hAnsi="宋体" w:eastAsia="宋体" w:cs="宋体"/>
          <w:b/>
          <w:bCs/>
          <w:color w:val="auto"/>
          <w:kern w:val="2"/>
          <w:sz w:val="24"/>
          <w:szCs w:val="24"/>
          <w:highlight w:val="none"/>
          <w:lang w:val="en-US" w:eastAsia="zh-CN" w:bidi="ar-SA"/>
        </w:rPr>
        <w:t>34.签订合同</w:t>
      </w:r>
      <w:bookmarkEnd w:id="375"/>
      <w:bookmarkEnd w:id="376"/>
      <w:bookmarkEnd w:id="377"/>
      <w:bookmarkEnd w:id="378"/>
      <w:bookmarkEnd w:id="379"/>
      <w:bookmarkEnd w:id="380"/>
    </w:p>
    <w:p w14:paraId="77507EB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.1 采购人和中标人应当自中标通知书发出之日起</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72CF4FD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采购人和中标人不得向对方提出任何不合理的要求，作为签订合同的条件，双方不得私下订立背离合同实质性内容的协议。</w:t>
      </w:r>
    </w:p>
    <w:p w14:paraId="5551DDA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34.4 联合体中标的，联合体各方应当共同与采购人签订合同，就采购合同约定的事项向采购人承担连带责任。</w:t>
      </w:r>
    </w:p>
    <w:p w14:paraId="2BA187E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。中标人就采购项目和分包项目向采购人负责，分包供应商就分包项目承担责任。</w:t>
      </w:r>
      <w:r>
        <w:rPr>
          <w:rFonts w:hint="eastAsia" w:ascii="宋体" w:hAnsi="宋体" w:eastAsia="宋体" w:cs="宋体"/>
          <w:b/>
          <w:bCs/>
          <w:color w:val="auto"/>
          <w:sz w:val="24"/>
          <w:szCs w:val="24"/>
          <w:highlight w:val="none"/>
          <w:lang w:val="en-US" w:eastAsia="zh-CN"/>
        </w:rPr>
        <w:t>政府采购合同不能转包。</w:t>
      </w:r>
    </w:p>
    <w:p w14:paraId="13D12B8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采购合同履行中，采购人需追加与合同标的相同的</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的，在不改变合同其他条款的前提下，可以与中标人协商签订补充合同，但所有补充合同的采购金额不得超过原合同采购金额的百分之十。</w:t>
      </w:r>
    </w:p>
    <w:p w14:paraId="259D0E8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34.7 采购人应于签订合同之日起2个工作日内在政采云平台备案公示。</w:t>
      </w:r>
    </w:p>
    <w:p w14:paraId="12490EB6">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1" w:name="_Toc14069"/>
      <w:bookmarkStart w:id="382" w:name="_Toc22067"/>
      <w:bookmarkStart w:id="383" w:name="_Toc3645"/>
      <w:bookmarkStart w:id="384" w:name="_Toc155185881"/>
      <w:bookmarkStart w:id="385" w:name="_Toc5148"/>
      <w:bookmarkStart w:id="386" w:name="_Toc163492866"/>
      <w:bookmarkStart w:id="387" w:name="_Toc140132799"/>
      <w:r>
        <w:rPr>
          <w:rFonts w:hint="eastAsia" w:ascii="宋体" w:hAnsi="宋体" w:eastAsia="宋体" w:cs="宋体"/>
          <w:b/>
          <w:bCs/>
          <w:color w:val="auto"/>
          <w:kern w:val="2"/>
          <w:sz w:val="24"/>
          <w:szCs w:val="24"/>
          <w:highlight w:val="none"/>
          <w:lang w:val="en-US" w:eastAsia="zh-CN" w:bidi="ar-SA"/>
        </w:rPr>
        <w:t>（十）质疑和投诉</w:t>
      </w:r>
      <w:bookmarkEnd w:id="381"/>
      <w:bookmarkEnd w:id="382"/>
      <w:bookmarkEnd w:id="383"/>
      <w:bookmarkEnd w:id="384"/>
      <w:bookmarkEnd w:id="385"/>
      <w:bookmarkEnd w:id="386"/>
      <w:bookmarkEnd w:id="387"/>
    </w:p>
    <w:p w14:paraId="23BE6A9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8" w:name="_Toc163492867"/>
      <w:bookmarkStart w:id="389" w:name="_Toc2544"/>
      <w:bookmarkStart w:id="390" w:name="_Toc17195"/>
      <w:bookmarkStart w:id="391" w:name="_Toc6362"/>
      <w:bookmarkStart w:id="392" w:name="_Toc140132800"/>
      <w:bookmarkStart w:id="393" w:name="_Toc5521"/>
      <w:r>
        <w:rPr>
          <w:rFonts w:hint="eastAsia" w:ascii="宋体" w:hAnsi="宋体" w:eastAsia="宋体" w:cs="宋体"/>
          <w:b/>
          <w:bCs/>
          <w:color w:val="auto"/>
          <w:kern w:val="2"/>
          <w:sz w:val="24"/>
          <w:szCs w:val="24"/>
          <w:highlight w:val="none"/>
          <w:lang w:val="en-US" w:eastAsia="zh-CN" w:bidi="ar-SA"/>
        </w:rPr>
        <w:t>35.质疑</w:t>
      </w:r>
      <w:bookmarkEnd w:id="388"/>
      <w:bookmarkEnd w:id="389"/>
      <w:bookmarkEnd w:id="390"/>
      <w:bookmarkEnd w:id="391"/>
      <w:bookmarkEnd w:id="392"/>
      <w:bookmarkEnd w:id="393"/>
    </w:p>
    <w:p w14:paraId="097AA16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详见“投标人须知前附表”</w:t>
      </w:r>
      <w:r>
        <w:rPr>
          <w:rFonts w:hint="eastAsia" w:ascii="宋体" w:hAnsi="宋体" w:eastAsia="宋体" w:cs="宋体"/>
          <w:color w:val="auto"/>
          <w:sz w:val="24"/>
          <w:szCs w:val="24"/>
          <w:highlight w:val="none"/>
        </w:rPr>
        <w:t>。供应商在法定质疑期内一次性提出针对同一采购程序环节的质疑。</w:t>
      </w:r>
    </w:p>
    <w:p w14:paraId="492A54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.2提出质疑的供应商（以下简称质疑供应商）应当是参与所质疑项目采购活动的供应商。</w:t>
      </w:r>
    </w:p>
    <w:p w14:paraId="6503DC7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35.3</w:t>
      </w:r>
      <w:r>
        <w:rPr>
          <w:rFonts w:hint="eastAsia" w:ascii="宋体" w:hAnsi="宋体" w:eastAsia="宋体" w:cs="宋体"/>
          <w:color w:val="auto"/>
          <w:sz w:val="24"/>
          <w:szCs w:val="24"/>
          <w:highlight w:val="none"/>
        </w:rPr>
        <w:t>潜在供应商已依法获取其可质疑的采购文件的，可以对该文件提出质疑。对采购文件提出质疑的，应当在获取采购文件或者采购文件公告期限届满之日起7个工作日内提出。</w:t>
      </w:r>
    </w:p>
    <w:p w14:paraId="58321E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35.4</w:t>
      </w:r>
      <w:r>
        <w:rPr>
          <w:rFonts w:hint="eastAsia" w:ascii="宋体" w:hAnsi="宋体" w:eastAsia="宋体" w:cs="宋体"/>
          <w:color w:val="auto"/>
          <w:sz w:val="24"/>
          <w:szCs w:val="24"/>
          <w:highlight w:val="none"/>
        </w:rPr>
        <w:t>供应商提出质疑应当提交质疑函和必要的证明材料。质疑函应当包括下列内容：</w:t>
      </w:r>
    </w:p>
    <w:p w14:paraId="682A84D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）供应商的姓名或者名称、地址、邮编、联系人及联系电话；</w:t>
      </w:r>
    </w:p>
    <w:p w14:paraId="388DB77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rPr>
        <w:t>；</w:t>
      </w:r>
    </w:p>
    <w:p w14:paraId="7C9D47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）具体、明确的质疑事项和与质疑事项相关的请求；</w:t>
      </w:r>
    </w:p>
    <w:p w14:paraId="3C52874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3EEC5BF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）必要的法律依据；</w:t>
      </w:r>
    </w:p>
    <w:p w14:paraId="2E14DE4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）提出质疑的日期。</w:t>
      </w:r>
    </w:p>
    <w:p w14:paraId="553B627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供应商为自然人的，应当由本人签字；供应商为法人或者其他组织的，应当由法定代表人、主要负责人，或者其授权代表签字或者盖章，并加盖公章。</w:t>
      </w:r>
    </w:p>
    <w:p w14:paraId="5BBD16A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.5质疑函不符合上述要求的，采购人或代理机构应书面告知具体事项，质疑人应当按要求进行修改或补充，并在质疑有效期限内提交。</w:t>
      </w:r>
    </w:p>
    <w:p w14:paraId="4A4B924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6</w:t>
      </w:r>
      <w:r>
        <w:rPr>
          <w:rFonts w:hint="eastAsia" w:ascii="宋体" w:hAnsi="宋体" w:eastAsia="宋体" w:cs="宋体"/>
          <w:snapToGrid w:val="0"/>
          <w:color w:val="auto"/>
          <w:sz w:val="24"/>
          <w:szCs w:val="24"/>
          <w:highlight w:val="none"/>
        </w:rPr>
        <w:t>投标人进行虚假和恶意</w:t>
      </w:r>
      <w:r>
        <w:rPr>
          <w:rFonts w:hint="eastAsia" w:ascii="宋体" w:hAnsi="宋体" w:eastAsia="宋体" w:cs="宋体"/>
          <w:snapToGrid w:val="0"/>
          <w:color w:val="auto"/>
          <w:sz w:val="24"/>
          <w:szCs w:val="24"/>
          <w:highlight w:val="none"/>
          <w:lang w:val="en-US" w:eastAsia="zh-CN"/>
        </w:rPr>
        <w:t>质疑投诉</w:t>
      </w:r>
      <w:r>
        <w:rPr>
          <w:rFonts w:hint="eastAsia" w:ascii="宋体" w:hAnsi="宋体" w:eastAsia="宋体" w:cs="宋体"/>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184C71D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35.7</w:t>
      </w:r>
      <w:r>
        <w:rPr>
          <w:rFonts w:hint="eastAsia" w:ascii="宋体" w:hAnsi="宋体" w:eastAsia="宋体" w:cs="宋体"/>
          <w:color w:val="auto"/>
          <w:sz w:val="24"/>
          <w:szCs w:val="24"/>
          <w:highlight w:val="none"/>
        </w:rPr>
        <w:t>质疑函</w:t>
      </w:r>
      <w:r>
        <w:rPr>
          <w:rFonts w:hint="eastAsia" w:ascii="宋体" w:hAnsi="宋体" w:eastAsia="宋体" w:cs="宋体"/>
          <w:color w:val="auto"/>
          <w:sz w:val="24"/>
          <w:szCs w:val="24"/>
          <w:highlight w:val="none"/>
          <w:lang w:val="en-US" w:eastAsia="zh-CN"/>
        </w:rPr>
        <w:t>应当使用中文，并采用财政部门制定的范本。</w:t>
      </w:r>
    </w:p>
    <w:p w14:paraId="6E7964C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4" w:name="_Toc7060"/>
      <w:bookmarkStart w:id="395" w:name="_Toc30183"/>
      <w:bookmarkStart w:id="396" w:name="_Toc163492868"/>
      <w:bookmarkStart w:id="397" w:name="_Toc27231"/>
      <w:bookmarkStart w:id="398" w:name="_Toc140132801"/>
      <w:bookmarkStart w:id="399" w:name="_Toc2308"/>
      <w:r>
        <w:rPr>
          <w:rFonts w:hint="eastAsia" w:ascii="宋体" w:hAnsi="宋体" w:eastAsia="宋体" w:cs="宋体"/>
          <w:b/>
          <w:bCs/>
          <w:color w:val="auto"/>
          <w:kern w:val="2"/>
          <w:sz w:val="24"/>
          <w:szCs w:val="24"/>
          <w:highlight w:val="none"/>
          <w:lang w:val="en-US" w:eastAsia="zh-CN" w:bidi="ar-SA"/>
        </w:rPr>
        <w:t>36.质疑答复</w:t>
      </w:r>
      <w:bookmarkEnd w:id="394"/>
      <w:bookmarkEnd w:id="395"/>
      <w:bookmarkEnd w:id="396"/>
      <w:bookmarkEnd w:id="397"/>
      <w:bookmarkEnd w:id="398"/>
      <w:bookmarkEnd w:id="399"/>
    </w:p>
    <w:p w14:paraId="43D7F91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400" w:name="_Toc140132802"/>
      <w:bookmarkStart w:id="401" w:name="_Toc163492869"/>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4E9D6E2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36.2供应商对评审过程、中标结果提出质疑的，采购人、采购代理机构可以组织原评标委员会协助答复质疑。</w:t>
      </w:r>
    </w:p>
    <w:p w14:paraId="0056DA5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质疑答复应当包括下列内容：</w:t>
      </w:r>
    </w:p>
    <w:p w14:paraId="34339C8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）质疑供应商的姓名或者名称；</w:t>
      </w:r>
    </w:p>
    <w:p w14:paraId="2F25172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）收到质疑函的日期、质疑项目名称及</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zh-CN" w:eastAsia="zh-CN"/>
        </w:rPr>
        <w:t>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lang w:val="zh-CN" w:eastAsia="zh-CN"/>
        </w:rPr>
        <w:t>；</w:t>
      </w:r>
    </w:p>
    <w:p w14:paraId="1365ED7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）质疑事项、质疑答复的具体内容、事实依据和法律依据；</w:t>
      </w:r>
    </w:p>
    <w:p w14:paraId="3C71AFF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）告知质疑供应商依法投诉的权利；</w:t>
      </w:r>
    </w:p>
    <w:p w14:paraId="77F64A3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）质疑答复人名称；</w:t>
      </w:r>
    </w:p>
    <w:p w14:paraId="52743A2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）答复质疑的日期。</w:t>
      </w:r>
    </w:p>
    <w:p w14:paraId="56A5E1E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质疑答复的内容不得涉及商业秘密。</w:t>
      </w:r>
    </w:p>
    <w:p w14:paraId="631FD1E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2" w:name="_Toc15807"/>
      <w:bookmarkStart w:id="403" w:name="_Toc4201"/>
      <w:bookmarkStart w:id="404" w:name="_Toc8648"/>
      <w:bookmarkStart w:id="405" w:name="_Toc13241"/>
      <w:r>
        <w:rPr>
          <w:rFonts w:hint="eastAsia" w:ascii="宋体" w:hAnsi="宋体" w:eastAsia="宋体" w:cs="宋体"/>
          <w:b/>
          <w:bCs/>
          <w:color w:val="auto"/>
          <w:kern w:val="2"/>
          <w:sz w:val="24"/>
          <w:szCs w:val="24"/>
          <w:highlight w:val="none"/>
          <w:lang w:val="en-US" w:eastAsia="zh-CN" w:bidi="ar-SA"/>
        </w:rPr>
        <w:t>37.投诉</w:t>
      </w:r>
      <w:bookmarkEnd w:id="400"/>
      <w:bookmarkEnd w:id="401"/>
      <w:bookmarkEnd w:id="402"/>
      <w:bookmarkEnd w:id="403"/>
      <w:bookmarkEnd w:id="404"/>
      <w:bookmarkEnd w:id="405"/>
    </w:p>
    <w:p w14:paraId="34C5EAA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37.1</w:t>
      </w:r>
      <w:r>
        <w:rPr>
          <w:rFonts w:hint="eastAsia" w:ascii="宋体" w:hAnsi="宋体" w:eastAsia="宋体" w:cs="宋体"/>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auto"/>
          <w:sz w:val="24"/>
          <w:szCs w:val="24"/>
          <w:highlight w:val="none"/>
          <w:lang w:val="en-US" w:eastAsia="zh-CN"/>
        </w:rPr>
        <w:t>同级政府采购监督管理部门</w:t>
      </w:r>
      <w:r>
        <w:rPr>
          <w:rFonts w:hint="eastAsia" w:ascii="宋体" w:hAnsi="宋体" w:eastAsia="宋体" w:cs="宋体"/>
          <w:color w:val="auto"/>
          <w:sz w:val="24"/>
          <w:szCs w:val="24"/>
          <w:highlight w:val="none"/>
        </w:rPr>
        <w:t>提起投诉。</w:t>
      </w:r>
    </w:p>
    <w:p w14:paraId="7AE3C0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37.2</w:t>
      </w:r>
      <w:r>
        <w:rPr>
          <w:rFonts w:hint="eastAsia" w:ascii="宋体" w:hAnsi="宋体" w:eastAsia="宋体" w:cs="宋体"/>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）投诉人和被投诉人的姓名或者名称、通讯地址、邮编、联系人及联系电话；</w:t>
      </w:r>
    </w:p>
    <w:p w14:paraId="1A65A10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）质疑和质疑答复情况说明及相关证明材料；</w:t>
      </w:r>
    </w:p>
    <w:p w14:paraId="675A6D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）具体、明确的投诉事项和与投诉事项相关的投诉请求；</w:t>
      </w:r>
    </w:p>
    <w:p w14:paraId="4A0C159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4CFD3E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）法律依据；</w:t>
      </w:r>
    </w:p>
    <w:p w14:paraId="35FA6A4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）提起投诉的日期。</w:t>
      </w:r>
    </w:p>
    <w:p w14:paraId="4FC7C3A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37.3</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质疑、</w:t>
      </w:r>
      <w:r>
        <w:rPr>
          <w:rFonts w:hint="eastAsia" w:ascii="宋体" w:hAnsi="宋体" w:eastAsia="宋体" w:cs="宋体"/>
          <w:color w:val="auto"/>
          <w:sz w:val="24"/>
          <w:szCs w:val="24"/>
          <w:highlight w:val="none"/>
        </w:rPr>
        <w:t>投诉</w:t>
      </w:r>
      <w:r>
        <w:rPr>
          <w:rFonts w:hint="eastAsia" w:ascii="宋体" w:hAnsi="宋体" w:eastAsia="宋体" w:cs="宋体"/>
          <w:color w:val="auto"/>
          <w:sz w:val="24"/>
          <w:szCs w:val="24"/>
          <w:highlight w:val="none"/>
          <w:lang w:val="en-US" w:eastAsia="zh-CN"/>
        </w:rPr>
        <w:t>应当有明确的请求和必要的证明材料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供应商投诉的事项不得超出</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质疑事项的范围，但基于质疑答复内容提出的投诉事项除外</w:t>
      </w:r>
      <w:r>
        <w:rPr>
          <w:rFonts w:hint="eastAsia" w:ascii="宋体" w:hAnsi="宋体" w:eastAsia="宋体" w:cs="宋体"/>
          <w:bCs/>
          <w:color w:val="auto"/>
          <w:sz w:val="24"/>
          <w:szCs w:val="24"/>
          <w:highlight w:val="none"/>
        </w:rPr>
        <w:t>。</w:t>
      </w:r>
    </w:p>
    <w:p w14:paraId="0C7738C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sz w:val="24"/>
          <w:szCs w:val="24"/>
          <w:highlight w:val="none"/>
          <w:lang w:val="en-US" w:eastAsia="zh-CN"/>
        </w:rPr>
        <w:t>37.4</w:t>
      </w:r>
      <w:r>
        <w:rPr>
          <w:rFonts w:hint="eastAsia" w:ascii="宋体" w:hAnsi="宋体" w:eastAsia="宋体" w:cs="宋体"/>
          <w:color w:val="auto"/>
          <w:sz w:val="24"/>
          <w:szCs w:val="24"/>
          <w:highlight w:val="none"/>
          <w:lang w:val="en-US" w:eastAsia="zh-CN"/>
        </w:rPr>
        <w:t>投诉书应当使用中文，并采用财政部门制定的范本。</w:t>
      </w:r>
    </w:p>
    <w:p w14:paraId="076E00EB">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6" w:name="_Toc19407"/>
      <w:bookmarkStart w:id="407" w:name="_Toc140132803"/>
      <w:bookmarkStart w:id="408" w:name="_Toc26619"/>
      <w:bookmarkStart w:id="409" w:name="_Toc25532"/>
      <w:bookmarkStart w:id="410" w:name="_Toc155185882"/>
      <w:bookmarkStart w:id="411" w:name="_Toc30280"/>
      <w:bookmarkStart w:id="412" w:name="_Toc163492870"/>
      <w:r>
        <w:rPr>
          <w:rFonts w:hint="eastAsia" w:ascii="宋体" w:hAnsi="宋体" w:eastAsia="宋体" w:cs="宋体"/>
          <w:b/>
          <w:bCs/>
          <w:color w:val="auto"/>
          <w:kern w:val="2"/>
          <w:sz w:val="24"/>
          <w:szCs w:val="24"/>
          <w:highlight w:val="none"/>
          <w:lang w:val="en-US" w:eastAsia="zh-CN" w:bidi="ar-SA"/>
        </w:rPr>
        <w:t>（十一）采购代理服务费</w:t>
      </w:r>
      <w:bookmarkEnd w:id="406"/>
      <w:bookmarkEnd w:id="407"/>
      <w:bookmarkEnd w:id="408"/>
      <w:bookmarkEnd w:id="409"/>
      <w:bookmarkEnd w:id="410"/>
      <w:bookmarkEnd w:id="411"/>
      <w:bookmarkEnd w:id="412"/>
    </w:p>
    <w:p w14:paraId="3EF5B76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3" w:name="_Toc140132804"/>
      <w:bookmarkStart w:id="414" w:name="_Toc17055"/>
      <w:bookmarkStart w:id="415" w:name="_Toc163492871"/>
      <w:bookmarkStart w:id="416" w:name="_Toc16634"/>
      <w:bookmarkStart w:id="417" w:name="_Toc21533"/>
      <w:bookmarkStart w:id="418" w:name="_Toc16138"/>
      <w:r>
        <w:rPr>
          <w:rFonts w:hint="eastAsia" w:ascii="宋体" w:hAnsi="宋体" w:eastAsia="宋体" w:cs="宋体"/>
          <w:b/>
          <w:bCs/>
          <w:color w:val="auto"/>
          <w:kern w:val="2"/>
          <w:sz w:val="24"/>
          <w:szCs w:val="24"/>
          <w:highlight w:val="none"/>
          <w:lang w:val="en-US" w:eastAsia="zh-CN" w:bidi="ar-SA"/>
        </w:rPr>
        <w:t>38.收取方式和标准</w:t>
      </w:r>
      <w:bookmarkEnd w:id="413"/>
      <w:bookmarkEnd w:id="414"/>
      <w:bookmarkEnd w:id="415"/>
      <w:bookmarkEnd w:id="416"/>
      <w:bookmarkEnd w:id="417"/>
      <w:bookmarkEnd w:id="418"/>
    </w:p>
    <w:p w14:paraId="0FDD9E2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8</w:t>
      </w:r>
      <w:r>
        <w:rPr>
          <w:rFonts w:hint="eastAsia" w:ascii="宋体" w:hAnsi="宋体" w:eastAsia="宋体" w:cs="宋体"/>
          <w:color w:val="auto"/>
          <w:sz w:val="24"/>
          <w:szCs w:val="24"/>
          <w:highlight w:val="none"/>
        </w:rPr>
        <w:t>.1采购代理机构按“投标人须知前附表”规定的方式和标准收取采购代理服务费。</w:t>
      </w:r>
    </w:p>
    <w:p w14:paraId="3ED844E1">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9" w:name="_Toc7566"/>
      <w:bookmarkStart w:id="420" w:name="_Toc4602"/>
      <w:bookmarkStart w:id="421" w:name="_Toc140132805"/>
      <w:bookmarkStart w:id="422" w:name="_Toc26455"/>
      <w:bookmarkStart w:id="423" w:name="_Toc155185883"/>
      <w:bookmarkStart w:id="424" w:name="_Toc163492872"/>
      <w:bookmarkStart w:id="425" w:name="_Toc15853"/>
      <w:r>
        <w:rPr>
          <w:rFonts w:hint="eastAsia" w:ascii="宋体" w:hAnsi="宋体" w:eastAsia="宋体" w:cs="宋体"/>
          <w:b/>
          <w:bCs/>
          <w:color w:val="auto"/>
          <w:kern w:val="2"/>
          <w:sz w:val="24"/>
          <w:szCs w:val="24"/>
          <w:highlight w:val="none"/>
          <w:lang w:val="en-US" w:eastAsia="zh-CN" w:bidi="ar-SA"/>
        </w:rPr>
        <w:t>（十二）无效投标和废标</w:t>
      </w:r>
      <w:bookmarkEnd w:id="419"/>
      <w:bookmarkEnd w:id="420"/>
      <w:bookmarkEnd w:id="421"/>
      <w:bookmarkEnd w:id="422"/>
      <w:bookmarkEnd w:id="423"/>
      <w:bookmarkEnd w:id="424"/>
      <w:bookmarkEnd w:id="425"/>
    </w:p>
    <w:p w14:paraId="2586923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6" w:name="_Toc163492873"/>
      <w:bookmarkStart w:id="427" w:name="_Toc9909"/>
      <w:bookmarkStart w:id="428" w:name="_Toc1078"/>
      <w:bookmarkStart w:id="429" w:name="_Toc140132806"/>
      <w:bookmarkStart w:id="430" w:name="_Toc32022"/>
      <w:bookmarkStart w:id="431" w:name="_Toc23298"/>
      <w:r>
        <w:rPr>
          <w:rFonts w:hint="eastAsia" w:ascii="宋体" w:hAnsi="宋体" w:eastAsia="宋体" w:cs="宋体"/>
          <w:b/>
          <w:bCs/>
          <w:color w:val="auto"/>
          <w:kern w:val="2"/>
          <w:sz w:val="24"/>
          <w:szCs w:val="24"/>
          <w:highlight w:val="none"/>
          <w:lang w:val="en-US" w:eastAsia="zh-CN" w:bidi="ar-SA"/>
        </w:rPr>
        <w:t>39.无效投标</w:t>
      </w:r>
      <w:bookmarkEnd w:id="426"/>
      <w:bookmarkEnd w:id="427"/>
      <w:bookmarkEnd w:id="428"/>
      <w:bookmarkEnd w:id="429"/>
      <w:bookmarkEnd w:id="430"/>
      <w:bookmarkEnd w:id="431"/>
    </w:p>
    <w:p w14:paraId="0EBD130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rPr>
        <w:t>.1投标文件存在“第四章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规定的投标无效情形的，其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7306E47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2" w:name="_Toc163492874"/>
      <w:bookmarkStart w:id="433" w:name="_Toc18467"/>
      <w:bookmarkStart w:id="434" w:name="_Toc3107"/>
      <w:bookmarkStart w:id="435" w:name="_Toc15799"/>
      <w:bookmarkStart w:id="436" w:name="_Toc21576"/>
      <w:bookmarkStart w:id="437" w:name="_Toc140132807"/>
      <w:r>
        <w:rPr>
          <w:rFonts w:hint="eastAsia" w:ascii="宋体" w:hAnsi="宋体" w:eastAsia="宋体" w:cs="宋体"/>
          <w:b/>
          <w:bCs/>
          <w:color w:val="auto"/>
          <w:kern w:val="2"/>
          <w:sz w:val="24"/>
          <w:szCs w:val="24"/>
          <w:highlight w:val="none"/>
          <w:lang w:val="en-US" w:eastAsia="zh-CN" w:bidi="ar-SA"/>
        </w:rPr>
        <w:t>40.废标</w:t>
      </w:r>
      <w:bookmarkEnd w:id="432"/>
      <w:bookmarkEnd w:id="433"/>
      <w:bookmarkEnd w:id="434"/>
      <w:bookmarkEnd w:id="435"/>
      <w:bookmarkEnd w:id="436"/>
      <w:bookmarkEnd w:id="437"/>
    </w:p>
    <w:p w14:paraId="7B56974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.1在招标采购中出现有“第五章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规定的废标情形的，应予以</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lang w:eastAsia="zh-CN"/>
        </w:rPr>
        <w:t>。</w:t>
      </w:r>
    </w:p>
    <w:p w14:paraId="0C4DEC92">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8" w:name="_Toc140132766"/>
      <w:bookmarkStart w:id="439" w:name="_Toc163492875"/>
      <w:bookmarkStart w:id="440" w:name="_Toc22704"/>
      <w:bookmarkStart w:id="441" w:name="_Toc16271"/>
      <w:bookmarkStart w:id="442" w:name="_Toc22480"/>
      <w:bookmarkStart w:id="443" w:name="_Toc3516"/>
      <w:bookmarkStart w:id="444" w:name="_Toc155185884"/>
      <w:bookmarkStart w:id="445" w:name="_Toc140132808"/>
      <w:r>
        <w:rPr>
          <w:rFonts w:hint="eastAsia" w:ascii="宋体" w:hAnsi="宋体" w:eastAsia="宋体" w:cs="宋体"/>
          <w:b/>
          <w:bCs/>
          <w:color w:val="auto"/>
          <w:kern w:val="2"/>
          <w:sz w:val="24"/>
          <w:szCs w:val="24"/>
          <w:highlight w:val="none"/>
          <w:lang w:val="en-US" w:eastAsia="zh-CN" w:bidi="ar-SA"/>
        </w:rPr>
        <w:t>（十三）落实政府采购政策</w:t>
      </w:r>
      <w:bookmarkEnd w:id="438"/>
      <w:bookmarkEnd w:id="439"/>
      <w:r>
        <w:rPr>
          <w:rFonts w:hint="eastAsia" w:ascii="宋体" w:hAnsi="宋体" w:eastAsia="宋体" w:cs="宋体"/>
          <w:b/>
          <w:bCs/>
          <w:color w:val="auto"/>
          <w:kern w:val="2"/>
          <w:sz w:val="24"/>
          <w:szCs w:val="24"/>
          <w:highlight w:val="none"/>
          <w:lang w:val="en-US" w:eastAsia="zh-CN" w:bidi="ar-SA"/>
        </w:rPr>
        <w:t>（包括但不限于下列具体政策要求）</w:t>
      </w:r>
      <w:bookmarkEnd w:id="440"/>
      <w:bookmarkEnd w:id="441"/>
      <w:bookmarkEnd w:id="442"/>
      <w:bookmarkEnd w:id="443"/>
    </w:p>
    <w:p w14:paraId="5800BCE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46" w:name="_Toc12045"/>
      <w:bookmarkStart w:id="447" w:name="_Toc21216"/>
      <w:bookmarkStart w:id="448" w:name="_Toc23969"/>
      <w:bookmarkStart w:id="449" w:name="_Toc163492876"/>
      <w:bookmarkStart w:id="450" w:name="_Toc29387"/>
      <w:r>
        <w:rPr>
          <w:rFonts w:hint="eastAsia" w:ascii="宋体" w:hAnsi="宋体" w:eastAsia="宋体" w:cs="宋体"/>
          <w:b/>
          <w:bCs/>
          <w:color w:val="auto"/>
          <w:kern w:val="2"/>
          <w:sz w:val="24"/>
          <w:szCs w:val="24"/>
          <w:highlight w:val="none"/>
          <w:lang w:val="en-US" w:eastAsia="zh-CN" w:bidi="ar-SA"/>
        </w:rPr>
        <w:t>41.支持国产和进口产品审批</w:t>
      </w:r>
      <w:bookmarkEnd w:id="446"/>
      <w:bookmarkEnd w:id="447"/>
      <w:bookmarkEnd w:id="448"/>
      <w:bookmarkEnd w:id="449"/>
      <w:bookmarkEnd w:id="450"/>
    </w:p>
    <w:p w14:paraId="26D924D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w:t>
      </w:r>
      <w:r>
        <w:rPr>
          <w:rFonts w:hint="eastAsia" w:ascii="宋体" w:hAnsi="宋体" w:eastAsia="宋体" w:cs="宋体"/>
          <w:snapToGrid w:val="0"/>
          <w:color w:val="auto"/>
          <w:sz w:val="24"/>
          <w:szCs w:val="24"/>
          <w:highlight w:val="none"/>
          <w:lang w:val="en-US" w:eastAsia="zh-CN"/>
        </w:rPr>
        <w:t>1</w:t>
      </w:r>
      <w:r>
        <w:rPr>
          <w:rFonts w:hint="eastAsia" w:ascii="宋体" w:hAnsi="宋体" w:eastAsia="宋体" w:cs="宋体"/>
          <w:snapToGrid w:val="0"/>
          <w:color w:val="auto"/>
          <w:sz w:val="24"/>
          <w:szCs w:val="24"/>
          <w:highlight w:val="none"/>
        </w:rPr>
        <w:t>.1除“投标人须知前附表”另有规定外，政府采购应当采购本国</w:t>
      </w:r>
      <w:r>
        <w:rPr>
          <w:rFonts w:hint="eastAsia" w:ascii="宋体" w:hAnsi="宋体" w:eastAsia="宋体" w:cs="宋体"/>
          <w:snapToGrid w:val="0"/>
          <w:color w:val="auto"/>
          <w:sz w:val="24"/>
          <w:szCs w:val="24"/>
          <w:highlight w:val="none"/>
          <w:lang w:val="en-US" w:eastAsia="zh-CN"/>
        </w:rPr>
        <w:t>货物、工程和服务</w:t>
      </w:r>
      <w:r>
        <w:rPr>
          <w:rFonts w:hint="eastAsia" w:ascii="宋体" w:hAnsi="宋体" w:eastAsia="宋体" w:cs="宋体"/>
          <w:snapToGrid w:val="0"/>
          <w:color w:val="auto"/>
          <w:sz w:val="24"/>
          <w:szCs w:val="24"/>
          <w:highlight w:val="none"/>
        </w:rPr>
        <w:t>，确需采购进口产品的，采购人应当按照</w:t>
      </w:r>
      <w:r>
        <w:rPr>
          <w:rFonts w:hint="eastAsia" w:ascii="宋体" w:hAnsi="宋体" w:eastAsia="宋体" w:cs="宋体"/>
          <w:snapToGrid w:val="0"/>
          <w:color w:val="auto"/>
          <w:sz w:val="24"/>
          <w:szCs w:val="24"/>
          <w:highlight w:val="none"/>
          <w:lang w:val="en-US" w:eastAsia="zh-CN"/>
        </w:rPr>
        <w:t>《政府采购进口产品管理办法》（财库〔2007〕119 号文）、</w:t>
      </w:r>
      <w:r>
        <w:rPr>
          <w:rFonts w:hint="eastAsia" w:ascii="宋体" w:hAnsi="宋体" w:eastAsia="宋体" w:cs="宋体"/>
          <w:snapToGrid w:val="0"/>
          <w:color w:val="auto"/>
          <w:sz w:val="24"/>
          <w:szCs w:val="24"/>
          <w:highlight w:val="none"/>
        </w:rPr>
        <w:t>《关于政府采购进口产品管理有关问题的通知》（财办库〔2008〕248号）规定执行（进口产品审批制，科研院所监管部门另有规定的从其规定）。项目若涉及采购进口产品的，具体要求详见“第三章 采购需求”。</w:t>
      </w:r>
    </w:p>
    <w:p w14:paraId="201F13F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41.2进口产品指通过中国海关报关验放进入中国境内且产自关境外的产品，包括已经进入中国境内的进口产品。 </w:t>
      </w:r>
    </w:p>
    <w:p w14:paraId="0C404CE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41.3若采购需求中写明允许采购进口产品，投标人应保证所投产品可履行合法报通关手续进入中国关境内。</w:t>
      </w:r>
    </w:p>
    <w:p w14:paraId="50A8DE9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41.4若采购需求中未写明允许采购进口产品，如投标人所投产品为进口产品，其投标将被认定为</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w:t>
      </w:r>
    </w:p>
    <w:p w14:paraId="6764F88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51" w:name="_Toc24311"/>
      <w:bookmarkStart w:id="452" w:name="_Toc17933"/>
      <w:bookmarkStart w:id="453" w:name="_Toc3349"/>
      <w:bookmarkStart w:id="454" w:name="_Toc163492877"/>
      <w:bookmarkStart w:id="455" w:name="_Toc13373"/>
      <w:r>
        <w:rPr>
          <w:rFonts w:hint="eastAsia" w:ascii="宋体" w:hAnsi="宋体" w:eastAsia="宋体" w:cs="宋体"/>
          <w:b/>
          <w:bCs/>
          <w:color w:val="auto"/>
          <w:kern w:val="2"/>
          <w:sz w:val="24"/>
          <w:szCs w:val="24"/>
          <w:highlight w:val="none"/>
          <w:lang w:val="en-US" w:eastAsia="zh-CN" w:bidi="ar-SA"/>
        </w:rPr>
        <w:t>42.中小企业、监狱企业及残疾人福利性单位</w:t>
      </w:r>
      <w:bookmarkEnd w:id="451"/>
      <w:bookmarkEnd w:id="452"/>
      <w:bookmarkEnd w:id="453"/>
      <w:bookmarkEnd w:id="454"/>
      <w:bookmarkEnd w:id="455"/>
    </w:p>
    <w:p w14:paraId="6CF3C24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775C315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snapToGrid w:val="0"/>
          <w:color w:val="auto"/>
          <w:sz w:val="24"/>
          <w:szCs w:val="24"/>
          <w:highlight w:val="none"/>
          <w:lang w:eastAsia="zh-CN"/>
        </w:rPr>
        <w:t>需享受中小企业相关政策的，且</w:t>
      </w:r>
      <w:r>
        <w:rPr>
          <w:rFonts w:hint="eastAsia" w:ascii="宋体" w:hAnsi="宋体" w:eastAsia="宋体" w:cs="宋体"/>
          <w:snapToGrid w:val="0"/>
          <w:color w:val="auto"/>
          <w:sz w:val="24"/>
          <w:szCs w:val="24"/>
          <w:highlight w:val="none"/>
        </w:rPr>
        <w:t>符合上述文件规定的，</w:t>
      </w:r>
      <w:r>
        <w:rPr>
          <w:rFonts w:hint="eastAsia" w:ascii="宋体" w:hAnsi="宋体" w:eastAsia="宋体" w:cs="宋体"/>
          <w:snapToGrid w:val="0"/>
          <w:color w:val="auto"/>
          <w:sz w:val="24"/>
          <w:szCs w:val="24"/>
          <w:highlight w:val="none"/>
          <w:lang w:eastAsia="zh-CN"/>
        </w:rPr>
        <w:t>应按本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，评审时，</w:t>
      </w:r>
      <w:r>
        <w:rPr>
          <w:rFonts w:hint="eastAsia" w:ascii="宋体" w:hAnsi="宋体" w:eastAsia="宋体" w:cs="宋体"/>
          <w:snapToGrid w:val="0"/>
          <w:color w:val="auto"/>
          <w:sz w:val="24"/>
          <w:szCs w:val="24"/>
          <w:highlight w:val="none"/>
          <w:lang w:val="en-US" w:eastAsia="zh-CN"/>
        </w:rPr>
        <w:t>评标委员会</w:t>
      </w:r>
      <w:r>
        <w:rPr>
          <w:rFonts w:hint="eastAsia" w:ascii="宋体" w:hAnsi="宋体" w:eastAsia="宋体" w:cs="宋体"/>
          <w:snapToGrid w:val="0"/>
          <w:color w:val="auto"/>
          <w:sz w:val="24"/>
          <w:szCs w:val="24"/>
          <w:highlight w:val="none"/>
        </w:rPr>
        <w:t>将依据</w:t>
      </w:r>
      <w:r>
        <w:rPr>
          <w:rFonts w:hint="eastAsia" w:ascii="宋体" w:hAnsi="宋体" w:eastAsia="宋体" w:cs="宋体"/>
          <w:snapToGrid w:val="0"/>
          <w:color w:val="auto"/>
          <w:sz w:val="24"/>
          <w:szCs w:val="24"/>
          <w:highlight w:val="none"/>
          <w:lang w:eastAsia="zh-CN"/>
        </w:rPr>
        <w:t>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投标人</w:t>
      </w:r>
      <w:r>
        <w:rPr>
          <w:rFonts w:hint="eastAsia" w:ascii="宋体" w:hAnsi="宋体" w:eastAsia="宋体" w:cs="宋体"/>
          <w:snapToGrid w:val="0"/>
          <w:color w:val="auto"/>
          <w:sz w:val="24"/>
          <w:szCs w:val="24"/>
          <w:highlight w:val="none"/>
        </w:rPr>
        <w:t>须知前附表”规定的报价扣除比例，对供应商报价进行价格扣除，用扣除后的价格参与评审</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公告中明确项目专门面向中小企业采购的，“</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”为资格要求文件，</w:t>
      </w:r>
      <w:r>
        <w:rPr>
          <w:rFonts w:hint="eastAsia" w:ascii="宋体" w:hAnsi="宋体" w:eastAsia="宋体" w:cs="宋体"/>
          <w:snapToGrid w:val="0"/>
          <w:color w:val="auto"/>
          <w:sz w:val="24"/>
          <w:szCs w:val="24"/>
          <w:highlight w:val="none"/>
        </w:rPr>
        <w:t>供应商</w:t>
      </w:r>
      <w:r>
        <w:rPr>
          <w:rFonts w:hint="eastAsia" w:ascii="宋体" w:hAnsi="宋体" w:eastAsia="宋体" w:cs="宋体"/>
          <w:snapToGrid w:val="0"/>
          <w:color w:val="auto"/>
          <w:sz w:val="24"/>
          <w:szCs w:val="24"/>
          <w:highlight w:val="none"/>
          <w:lang w:eastAsia="zh-CN"/>
        </w:rPr>
        <w:t>参与</w:t>
      </w:r>
      <w:r>
        <w:rPr>
          <w:rFonts w:hint="eastAsia" w:ascii="宋体" w:hAnsi="宋体" w:eastAsia="宋体" w:cs="宋体"/>
          <w:snapToGrid w:val="0"/>
          <w:color w:val="auto"/>
          <w:sz w:val="24"/>
          <w:szCs w:val="24"/>
          <w:highlight w:val="none"/>
          <w:lang w:val="en-US" w:eastAsia="zh-CN"/>
        </w:rPr>
        <w:t>投标</w:t>
      </w:r>
      <w:r>
        <w:rPr>
          <w:rFonts w:hint="eastAsia" w:ascii="宋体" w:hAnsi="宋体" w:eastAsia="宋体" w:cs="宋体"/>
          <w:snapToGrid w:val="0"/>
          <w:color w:val="auto"/>
          <w:sz w:val="24"/>
          <w:szCs w:val="24"/>
          <w:highlight w:val="none"/>
          <w:lang w:eastAsia="zh-CN"/>
        </w:rPr>
        <w:t>须按本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”等作为资格证明文件。</w:t>
      </w:r>
      <w:r>
        <w:rPr>
          <w:rFonts w:hint="eastAsia" w:ascii="宋体" w:hAnsi="宋体" w:eastAsia="宋体" w:cs="宋体"/>
          <w:snapToGrid w:val="0"/>
          <w:color w:val="auto"/>
          <w:sz w:val="24"/>
          <w:szCs w:val="24"/>
          <w:highlight w:val="none"/>
          <w:lang w:val="en-US" w:eastAsia="zh-CN"/>
        </w:rPr>
        <w:t xml:space="preserve"> </w:t>
      </w:r>
    </w:p>
    <w:p w14:paraId="743E5E0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 供应商提供的货物、工程或者服务符合下列情形的，享受中小企业扶持政策： </w:t>
      </w:r>
    </w:p>
    <w:p w14:paraId="07E7A00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（1）在货物采购项目中，货物由中小企业制造，即货物由中小企业生产且使用该中小企业商号或者注册商标； </w:t>
      </w:r>
    </w:p>
    <w:p w14:paraId="128FB5A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（2）在工程采购项目中，工程由中小企业承建，即工程施工单位为中小企业； </w:t>
      </w:r>
    </w:p>
    <w:p w14:paraId="4557B96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（3）在服务采购项目中，服务由中小企业承接，即提供服务的人员为中小企业依照《中华人民共和国劳动合同法》订立劳动合同的从业人员。</w:t>
      </w:r>
    </w:p>
    <w:p w14:paraId="5C38B69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42.4 在服务采购项目中，供应商提供的服务既有中小企业承接，也有大型企业承接的，不享受中小企业扶持政策。 </w:t>
      </w:r>
    </w:p>
    <w:p w14:paraId="31F905A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42.5 以联合体形式参加政府采购活动，联合体各方均为中小企业的，联合体视同中小企业。其中，联合体各方均为小微企业的，联合体视同小微企业。</w:t>
      </w:r>
    </w:p>
    <w:p w14:paraId="589A89E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5B128E6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42.7.2 依法与安置的每位残疾人签订了1年以上（含1年）的劳动合同或服务协议； </w:t>
      </w:r>
    </w:p>
    <w:p w14:paraId="750299D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5494926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6AD696D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6F6930A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50A69BF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42.8 本项目是否专门面向中小企业预留采购份额见“第一章 </w:t>
      </w:r>
      <w:r>
        <w:rPr>
          <w:rFonts w:hint="eastAsia" w:ascii="宋体" w:hAnsi="宋体" w:eastAsia="宋体" w:cs="宋体"/>
          <w:color w:val="auto"/>
          <w:sz w:val="24"/>
          <w:szCs w:val="24"/>
          <w:highlight w:val="none"/>
          <w:lang w:val="en-US" w:eastAsia="zh-CN"/>
        </w:rPr>
        <w:t>招标公告</w:t>
      </w:r>
      <w:r>
        <w:rPr>
          <w:rFonts w:hint="eastAsia" w:ascii="宋体" w:hAnsi="宋体" w:eastAsia="宋体" w:cs="宋体"/>
          <w:snapToGrid w:val="0"/>
          <w:color w:val="auto"/>
          <w:sz w:val="24"/>
          <w:szCs w:val="24"/>
          <w:highlight w:val="none"/>
          <w:lang w:val="en-US" w:eastAsia="zh-CN"/>
        </w:rPr>
        <w:t>”。    42.9 采购标的对应的中小企业划分标准所属行业见“投标人须知前附表”。    42.10 小微企业价格评审优惠的政策调整：见“投标人须知前附表”及“第五章 评标方法及标准”。</w:t>
      </w:r>
    </w:p>
    <w:p w14:paraId="17DD5FF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56" w:name="_Toc163492878"/>
      <w:bookmarkStart w:id="457" w:name="_Toc6575"/>
      <w:bookmarkStart w:id="458" w:name="_Toc5861"/>
      <w:bookmarkStart w:id="459" w:name="_Toc15890"/>
      <w:bookmarkStart w:id="460" w:name="_Toc23996"/>
      <w:r>
        <w:rPr>
          <w:rFonts w:hint="eastAsia" w:ascii="宋体" w:hAnsi="宋体" w:eastAsia="宋体" w:cs="宋体"/>
          <w:b/>
          <w:bCs/>
          <w:color w:val="auto"/>
          <w:kern w:val="2"/>
          <w:sz w:val="24"/>
          <w:szCs w:val="24"/>
          <w:highlight w:val="none"/>
          <w:lang w:val="en-US" w:eastAsia="zh-CN" w:bidi="ar-SA"/>
        </w:rPr>
        <w:t>43.政府采购节能产品、环境标志产品</w:t>
      </w:r>
      <w:bookmarkEnd w:id="456"/>
      <w:bookmarkEnd w:id="457"/>
      <w:bookmarkEnd w:id="458"/>
      <w:bookmarkEnd w:id="459"/>
      <w:bookmarkEnd w:id="460"/>
    </w:p>
    <w:p w14:paraId="741E7E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2EC4C51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43.3 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 xml:space="preserve">。 </w:t>
      </w:r>
    </w:p>
    <w:p w14:paraId="04E599F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43.4 非政府强制采购的节能产品或环境标志产品，依据品目清单和认证证书实施政府优先采购。优先采购的具体规定见“第五章 评标方法及标准”（如涉及）。</w:t>
      </w:r>
    </w:p>
    <w:p w14:paraId="51B3D92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43.5 </w:t>
      </w:r>
      <w:r>
        <w:rPr>
          <w:rFonts w:hint="eastAsia" w:ascii="宋体" w:hAnsi="宋体" w:eastAsia="宋体" w:cs="宋体"/>
          <w:snapToGrid w:val="0"/>
          <w:color w:val="auto"/>
          <w:sz w:val="24"/>
          <w:szCs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ascii="宋体" w:hAnsi="宋体" w:eastAsia="宋体" w:cs="宋体"/>
          <w:snapToGrid w:val="0"/>
          <w:color w:val="auto"/>
          <w:sz w:val="24"/>
          <w:szCs w:val="24"/>
          <w:highlight w:val="none"/>
          <w:lang w:val="en-US" w:eastAsia="zh-CN"/>
        </w:rPr>
        <w:t>价格评审优惠</w:t>
      </w:r>
      <w:r>
        <w:rPr>
          <w:rFonts w:hint="eastAsia" w:ascii="宋体" w:hAnsi="宋体" w:eastAsia="宋体" w:cs="宋体"/>
          <w:snapToGrid w:val="0"/>
          <w:color w:val="auto"/>
          <w:sz w:val="24"/>
          <w:szCs w:val="24"/>
          <w:highlight w:val="none"/>
        </w:rPr>
        <w:t>，未提供认证证书的视为</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rPr>
        <w:t>无效</w:t>
      </w:r>
      <w:r>
        <w:rPr>
          <w:rFonts w:hint="eastAsia" w:ascii="宋体" w:hAnsi="宋体" w:eastAsia="宋体" w:cs="宋体"/>
          <w:snapToGrid w:val="0"/>
          <w:color w:val="auto"/>
          <w:sz w:val="24"/>
          <w:szCs w:val="24"/>
          <w:highlight w:val="none"/>
        </w:rPr>
        <w:t>。属于</w:t>
      </w:r>
      <w:r>
        <w:rPr>
          <w:rFonts w:hint="eastAsia" w:ascii="宋体" w:hAnsi="宋体" w:eastAsia="宋体" w:cs="宋体"/>
          <w:snapToGrid w:val="0"/>
          <w:color w:val="auto"/>
          <w:sz w:val="24"/>
          <w:szCs w:val="24"/>
          <w:highlight w:val="none"/>
          <w:lang w:val="en-US" w:eastAsia="zh-CN"/>
        </w:rPr>
        <w:t>优先采购</w:t>
      </w:r>
      <w:r>
        <w:rPr>
          <w:rFonts w:hint="eastAsia" w:ascii="宋体" w:hAnsi="宋体" w:eastAsia="宋体" w:cs="宋体"/>
          <w:snapToGrid w:val="0"/>
          <w:color w:val="auto"/>
          <w:sz w:val="24"/>
          <w:szCs w:val="24"/>
          <w:highlight w:val="none"/>
        </w:rPr>
        <w:t>节能产品政府采购品目清单、环境标志产品政府采购品目清单</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创新产品</w:t>
      </w:r>
      <w:r>
        <w:rPr>
          <w:rFonts w:hint="eastAsia" w:ascii="宋体" w:hAnsi="宋体" w:eastAsia="宋体" w:cs="宋体"/>
          <w:snapToGrid w:val="0"/>
          <w:color w:val="auto"/>
          <w:sz w:val="24"/>
          <w:szCs w:val="24"/>
          <w:highlight w:val="none"/>
        </w:rPr>
        <w:t>范围的，按照“</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snapToGrid w:val="0"/>
          <w:color w:val="auto"/>
          <w:sz w:val="24"/>
          <w:szCs w:val="24"/>
          <w:highlight w:val="none"/>
        </w:rPr>
        <w:t>”中相关规定</w:t>
      </w:r>
      <w:r>
        <w:rPr>
          <w:rFonts w:hint="eastAsia" w:ascii="宋体" w:hAnsi="宋体" w:eastAsia="宋体" w:cs="宋体"/>
          <w:color w:val="auto"/>
          <w:sz w:val="24"/>
          <w:szCs w:val="24"/>
          <w:highlight w:val="none"/>
          <w:lang w:val="en-US" w:eastAsia="zh-CN"/>
        </w:rPr>
        <w:t>在评审时给予价格评审优惠，具体详见</w:t>
      </w:r>
      <w:r>
        <w:rPr>
          <w:rFonts w:hint="eastAsia" w:ascii="宋体" w:hAnsi="宋体" w:eastAsia="宋体" w:cs="宋体"/>
          <w:snapToGrid w:val="0"/>
          <w:color w:val="auto"/>
          <w:sz w:val="24"/>
          <w:szCs w:val="24"/>
          <w:highlight w:val="none"/>
          <w:lang w:val="en-US" w:eastAsia="zh-CN"/>
        </w:rPr>
        <w:t>“投标人须知前附表”及</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color w:val="auto"/>
          <w:sz w:val="24"/>
          <w:szCs w:val="24"/>
          <w:highlight w:val="none"/>
        </w:rPr>
        <w:t>。</w:t>
      </w:r>
    </w:p>
    <w:p w14:paraId="5F04C72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1" w:name="_Toc8054"/>
      <w:bookmarkStart w:id="462" w:name="_Toc22896"/>
      <w:bookmarkStart w:id="463" w:name="_Toc8128"/>
      <w:bookmarkStart w:id="464" w:name="_Toc5777"/>
      <w:bookmarkStart w:id="465" w:name="_Toc163492879"/>
      <w:r>
        <w:rPr>
          <w:rFonts w:hint="eastAsia" w:ascii="宋体" w:hAnsi="宋体" w:eastAsia="宋体" w:cs="宋体"/>
          <w:b/>
          <w:bCs/>
          <w:color w:val="auto"/>
          <w:kern w:val="2"/>
          <w:sz w:val="24"/>
          <w:szCs w:val="24"/>
          <w:highlight w:val="none"/>
          <w:lang w:val="en-US" w:eastAsia="zh-CN" w:bidi="ar-SA"/>
        </w:rPr>
        <w:t>44.正版软件</w:t>
      </w:r>
      <w:bookmarkEnd w:id="461"/>
      <w:bookmarkEnd w:id="462"/>
      <w:bookmarkEnd w:id="463"/>
      <w:bookmarkEnd w:id="464"/>
      <w:r>
        <w:rPr>
          <w:rFonts w:hint="eastAsia" w:ascii="宋体" w:hAnsi="宋体" w:eastAsia="宋体" w:cs="宋体"/>
          <w:b/>
          <w:bCs/>
          <w:color w:val="auto"/>
          <w:kern w:val="2"/>
          <w:sz w:val="24"/>
          <w:szCs w:val="24"/>
          <w:highlight w:val="none"/>
          <w:lang w:val="en-US" w:eastAsia="zh-CN" w:bidi="ar-SA"/>
        </w:rPr>
        <w:t xml:space="preserve">  </w:t>
      </w:r>
    </w:p>
    <w:p w14:paraId="415973C1">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44.1 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6" w:name="_Toc7834"/>
      <w:bookmarkStart w:id="467" w:name="_Toc15694"/>
      <w:bookmarkStart w:id="468" w:name="_Toc3852"/>
      <w:bookmarkStart w:id="469" w:name="_Toc27611"/>
      <w:r>
        <w:rPr>
          <w:rFonts w:hint="eastAsia" w:ascii="宋体" w:hAnsi="宋体" w:eastAsia="宋体" w:cs="宋体"/>
          <w:b/>
          <w:bCs/>
          <w:color w:val="auto"/>
          <w:kern w:val="2"/>
          <w:sz w:val="24"/>
          <w:szCs w:val="24"/>
          <w:highlight w:val="none"/>
          <w:lang w:val="en-US" w:eastAsia="zh-CN" w:bidi="ar-SA"/>
        </w:rPr>
        <w:t>45.网络安全专用产品</w:t>
      </w:r>
      <w:bookmarkEnd w:id="466"/>
      <w:bookmarkEnd w:id="467"/>
      <w:bookmarkEnd w:id="468"/>
      <w:bookmarkEnd w:id="469"/>
      <w:r>
        <w:rPr>
          <w:rFonts w:hint="eastAsia" w:ascii="宋体" w:hAnsi="宋体" w:eastAsia="宋体" w:cs="宋体"/>
          <w:b/>
          <w:bCs/>
          <w:color w:val="auto"/>
          <w:kern w:val="2"/>
          <w:sz w:val="24"/>
          <w:szCs w:val="24"/>
          <w:highlight w:val="none"/>
          <w:lang w:val="en-US" w:eastAsia="zh-CN" w:bidi="ar-SA"/>
        </w:rPr>
        <w:t xml:space="preserve">   </w:t>
      </w:r>
    </w:p>
    <w:p w14:paraId="13C0877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0" w:name="_Toc5974"/>
      <w:bookmarkStart w:id="471" w:name="_Toc4126"/>
      <w:bookmarkStart w:id="472" w:name="_Toc27892"/>
      <w:bookmarkStart w:id="473" w:name="_Toc11862"/>
      <w:r>
        <w:rPr>
          <w:rFonts w:hint="eastAsia" w:ascii="宋体" w:hAnsi="宋体" w:eastAsia="宋体" w:cs="宋体"/>
          <w:b/>
          <w:bCs/>
          <w:color w:val="auto"/>
          <w:kern w:val="2"/>
          <w:sz w:val="24"/>
          <w:szCs w:val="24"/>
          <w:highlight w:val="none"/>
          <w:lang w:val="en-US" w:eastAsia="zh-CN" w:bidi="ar-SA"/>
        </w:rPr>
        <w:t>46.采购需求标准</w:t>
      </w:r>
      <w:bookmarkEnd w:id="470"/>
      <w:bookmarkEnd w:id="471"/>
      <w:bookmarkEnd w:id="472"/>
      <w:bookmarkEnd w:id="473"/>
      <w:r>
        <w:rPr>
          <w:rFonts w:hint="eastAsia" w:ascii="宋体" w:hAnsi="宋体" w:eastAsia="宋体" w:cs="宋体"/>
          <w:b/>
          <w:bCs/>
          <w:color w:val="auto"/>
          <w:kern w:val="2"/>
          <w:sz w:val="24"/>
          <w:szCs w:val="24"/>
          <w:highlight w:val="none"/>
          <w:lang w:val="en-US" w:eastAsia="zh-CN" w:bidi="ar-SA"/>
        </w:rPr>
        <w:t xml:space="preserve">   </w:t>
      </w:r>
    </w:p>
    <w:p w14:paraId="77C6365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46.1 商品包装、快递包装政府采购需求标准（试行） </w:t>
      </w:r>
    </w:p>
    <w:p w14:paraId="3DA9478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46.2 绿色数据中心政府采购需求标准（试行） </w:t>
      </w:r>
    </w:p>
    <w:p w14:paraId="1617383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46.3台式计算机政府采购需求标准</w:t>
      </w:r>
    </w:p>
    <w:p w14:paraId="3830872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46.4便携式计算机政府采购需求标准</w:t>
      </w:r>
    </w:p>
    <w:p w14:paraId="2DDABA7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46.5一体式计算机政府采购需求标准</w:t>
      </w:r>
    </w:p>
    <w:p w14:paraId="30E8139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46.6工作站政府采购需求标准</w:t>
      </w:r>
    </w:p>
    <w:p w14:paraId="23F8A15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46.7通用服务器政府采购需求标准</w:t>
      </w:r>
    </w:p>
    <w:p w14:paraId="2DC5EFF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46.8操作系统政府采购需求标准</w:t>
      </w:r>
    </w:p>
    <w:p w14:paraId="0C0F87E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46.9数据库政府采购需求标准</w:t>
      </w:r>
    </w:p>
    <w:p w14:paraId="45BE4E6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46.10物业管理服务政府采购需求标准（办公场所类）（试行）</w:t>
      </w:r>
    </w:p>
    <w:p w14:paraId="0169F2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4" w:name="_Toc17357"/>
      <w:bookmarkStart w:id="475" w:name="_Toc27566"/>
      <w:bookmarkStart w:id="476" w:name="_Toc18589"/>
      <w:bookmarkStart w:id="477" w:name="_Toc26040"/>
      <w:r>
        <w:rPr>
          <w:rFonts w:hint="eastAsia" w:ascii="宋体" w:hAnsi="宋体" w:eastAsia="宋体" w:cs="宋体"/>
          <w:b/>
          <w:bCs/>
          <w:color w:val="auto"/>
          <w:kern w:val="2"/>
          <w:sz w:val="24"/>
          <w:szCs w:val="24"/>
          <w:highlight w:val="none"/>
          <w:lang w:val="en-US" w:eastAsia="zh-CN" w:bidi="ar-SA"/>
        </w:rPr>
        <w:t>（十四）政府采购合同融资政策</w:t>
      </w:r>
      <w:bookmarkEnd w:id="444"/>
      <w:bookmarkEnd w:id="445"/>
      <w:bookmarkEnd w:id="465"/>
      <w:bookmarkEnd w:id="474"/>
      <w:bookmarkEnd w:id="475"/>
      <w:bookmarkEnd w:id="476"/>
      <w:bookmarkEnd w:id="477"/>
    </w:p>
    <w:p w14:paraId="7CF3274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8" w:name="_Toc10372"/>
      <w:bookmarkStart w:id="479" w:name="_Toc16609"/>
      <w:bookmarkStart w:id="480" w:name="_Toc163492880"/>
      <w:bookmarkStart w:id="481" w:name="_Toc10283"/>
      <w:bookmarkStart w:id="482" w:name="_Toc18796"/>
      <w:r>
        <w:rPr>
          <w:rFonts w:hint="eastAsia" w:ascii="宋体" w:hAnsi="宋体" w:eastAsia="宋体" w:cs="宋体"/>
          <w:b/>
          <w:bCs/>
          <w:color w:val="auto"/>
          <w:kern w:val="2"/>
          <w:sz w:val="24"/>
          <w:szCs w:val="24"/>
          <w:highlight w:val="none"/>
          <w:lang w:val="en-US" w:eastAsia="zh-CN" w:bidi="ar-SA"/>
        </w:rPr>
        <w:t>47.政府采购合同融资政策</w:t>
      </w:r>
      <w:bookmarkEnd w:id="478"/>
      <w:bookmarkEnd w:id="479"/>
      <w:bookmarkEnd w:id="480"/>
      <w:bookmarkEnd w:id="481"/>
      <w:bookmarkEnd w:id="482"/>
    </w:p>
    <w:p w14:paraId="2F9086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.1政府采购合同融资政策：见投标人须知前附表。</w:t>
      </w:r>
    </w:p>
    <w:p w14:paraId="198FC626">
      <w:pPr>
        <w:pStyle w:val="5"/>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3" w:name="_Toc21672"/>
      <w:bookmarkStart w:id="484" w:name="_Toc6921"/>
      <w:bookmarkStart w:id="485" w:name="_Toc25511"/>
      <w:bookmarkStart w:id="486" w:name="_Toc25591"/>
      <w:bookmarkStart w:id="487" w:name="_Toc163492881"/>
      <w:r>
        <w:rPr>
          <w:rFonts w:hint="eastAsia" w:ascii="宋体" w:hAnsi="宋体" w:eastAsia="宋体" w:cs="宋体"/>
          <w:b/>
          <w:bCs/>
          <w:color w:val="auto"/>
          <w:kern w:val="2"/>
          <w:sz w:val="24"/>
          <w:szCs w:val="24"/>
          <w:highlight w:val="none"/>
          <w:lang w:val="en-US" w:eastAsia="zh-CN" w:bidi="ar-SA"/>
        </w:rPr>
        <w:t>（十五）其他</w:t>
      </w:r>
      <w:bookmarkEnd w:id="483"/>
      <w:bookmarkEnd w:id="484"/>
      <w:bookmarkEnd w:id="485"/>
      <w:bookmarkEnd w:id="486"/>
      <w:bookmarkEnd w:id="487"/>
    </w:p>
    <w:p w14:paraId="370F802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8" w:name="_Toc28158"/>
      <w:bookmarkStart w:id="489" w:name="_Toc163492882"/>
      <w:bookmarkStart w:id="490" w:name="_Toc10707"/>
      <w:bookmarkStart w:id="491" w:name="_Toc1148"/>
      <w:bookmarkStart w:id="492" w:name="_Toc19852"/>
      <w:r>
        <w:rPr>
          <w:rFonts w:hint="eastAsia" w:ascii="宋体" w:hAnsi="宋体" w:eastAsia="宋体" w:cs="宋体"/>
          <w:b/>
          <w:bCs/>
          <w:color w:val="auto"/>
          <w:kern w:val="2"/>
          <w:sz w:val="24"/>
          <w:szCs w:val="24"/>
          <w:highlight w:val="none"/>
          <w:lang w:val="en-US" w:eastAsia="zh-CN" w:bidi="ar-SA"/>
        </w:rPr>
        <w:t>48.需要补充的其他内容</w:t>
      </w:r>
      <w:bookmarkEnd w:id="488"/>
      <w:bookmarkEnd w:id="489"/>
      <w:bookmarkEnd w:id="490"/>
      <w:bookmarkEnd w:id="491"/>
      <w:bookmarkEnd w:id="492"/>
    </w:p>
    <w:p w14:paraId="325164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.1需要补充的其他内容：见投标人须知前附表。</w:t>
      </w:r>
    </w:p>
    <w:p w14:paraId="1BD29CB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93" w:name="_Toc163492883"/>
      <w:bookmarkStart w:id="494" w:name="_Toc11583"/>
      <w:bookmarkStart w:id="495" w:name="_Toc746"/>
      <w:bookmarkStart w:id="496" w:name="_Toc155185886"/>
      <w:bookmarkStart w:id="497" w:name="_Toc24080"/>
      <w:bookmarkStart w:id="498" w:name="_Toc140132810"/>
      <w:bookmarkStart w:id="499" w:name="_Toc9340"/>
      <w:r>
        <w:rPr>
          <w:rFonts w:hint="eastAsia" w:ascii="宋体" w:hAnsi="宋体" w:eastAsia="宋体" w:cs="宋体"/>
          <w:b/>
          <w:bCs/>
          <w:color w:val="auto"/>
          <w:kern w:val="2"/>
          <w:sz w:val="24"/>
          <w:szCs w:val="24"/>
          <w:highlight w:val="none"/>
          <w:lang w:val="en-US" w:eastAsia="zh-CN" w:bidi="ar-SA"/>
        </w:rPr>
        <w:t>49.适用法律</w:t>
      </w:r>
      <w:bookmarkEnd w:id="493"/>
      <w:bookmarkEnd w:id="494"/>
      <w:bookmarkEnd w:id="495"/>
      <w:bookmarkEnd w:id="496"/>
      <w:bookmarkEnd w:id="497"/>
      <w:bookmarkEnd w:id="498"/>
      <w:bookmarkEnd w:id="499"/>
    </w:p>
    <w:p w14:paraId="0953B8A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1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.2政府采购合同的履行、违约责任和解决争议的方法等适用《中华人民共和国民法典》。</w:t>
      </w:r>
    </w:p>
    <w:p w14:paraId="468836B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500" w:name="_Toc163492884"/>
      <w:bookmarkStart w:id="501" w:name="_Toc27063"/>
      <w:bookmarkStart w:id="502" w:name="_Toc7856"/>
      <w:bookmarkStart w:id="503" w:name="_Toc155185887"/>
      <w:bookmarkStart w:id="504" w:name="_Toc17546"/>
      <w:bookmarkStart w:id="505" w:name="_Toc17601"/>
      <w:r>
        <w:rPr>
          <w:rFonts w:hint="eastAsia" w:ascii="宋体" w:hAnsi="宋体" w:eastAsia="宋体" w:cs="宋体"/>
          <w:b/>
          <w:bCs/>
          <w:color w:val="auto"/>
          <w:kern w:val="2"/>
          <w:sz w:val="24"/>
          <w:szCs w:val="24"/>
          <w:highlight w:val="none"/>
          <w:lang w:val="en-US" w:eastAsia="zh-CN" w:bidi="ar-SA"/>
        </w:rPr>
        <w:t>50.解释权</w:t>
      </w:r>
      <w:bookmarkEnd w:id="500"/>
      <w:bookmarkEnd w:id="501"/>
      <w:bookmarkEnd w:id="502"/>
      <w:bookmarkEnd w:id="503"/>
      <w:bookmarkEnd w:id="504"/>
      <w:bookmarkEnd w:id="505"/>
    </w:p>
    <w:p w14:paraId="5C6D27F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50</w:t>
      </w:r>
      <w:r>
        <w:rPr>
          <w:rFonts w:hint="eastAsia" w:ascii="宋体" w:hAnsi="宋体" w:eastAsia="宋体" w:cs="宋体"/>
          <w:snapToGrid w:val="0"/>
          <w:color w:val="auto"/>
          <w:sz w:val="24"/>
          <w:szCs w:val="24"/>
          <w:highlight w:val="none"/>
        </w:rPr>
        <w:t>.1本招标文件最终解释权归采购人或采购代理机构所有。</w:t>
      </w:r>
    </w:p>
    <w:p w14:paraId="3C497DA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FD6489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3956D8C">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6853F8C">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4B168E8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334BC83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833B9FA">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F68D20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0704BD1">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06" w:name="_Toc27795"/>
      <w:bookmarkStart w:id="507" w:name="_Toc155185888"/>
      <w:r>
        <w:rPr>
          <w:rFonts w:hint="eastAsia" w:ascii="宋体" w:hAnsi="宋体" w:eastAsia="宋体" w:cs="宋体"/>
          <w:b/>
          <w:bCs/>
          <w:color w:val="auto"/>
          <w:kern w:val="44"/>
          <w:sz w:val="36"/>
          <w:szCs w:val="36"/>
          <w:highlight w:val="none"/>
          <w:lang w:val="en-US" w:eastAsia="zh-CN" w:bidi="ar-SA"/>
        </w:rPr>
        <w:t>第三章 采购需求</w:t>
      </w:r>
      <w:bookmarkEnd w:id="506"/>
      <w:bookmarkEnd w:id="507"/>
    </w:p>
    <w:p w14:paraId="099A8245">
      <w:pPr>
        <w:jc w:val="center"/>
        <w:rPr>
          <w:rFonts w:ascii="Times New Roman" w:hAnsi="Times New Roman" w:eastAsia="方正小标宋简体"/>
          <w:sz w:val="44"/>
          <w:szCs w:val="44"/>
          <w:highlight w:val="none"/>
          <w:u w:val="single"/>
        </w:rPr>
      </w:pPr>
      <w:bookmarkStart w:id="508" w:name="_Toc20384570"/>
      <w:bookmarkStart w:id="509" w:name="_Toc140132812"/>
      <w:bookmarkStart w:id="510" w:name="_Toc155185889"/>
    </w:p>
    <w:p w14:paraId="1F2E0411">
      <w:pPr>
        <w:jc w:val="center"/>
        <w:rPr>
          <w:rFonts w:ascii="Times New Roman" w:hAnsi="Times New Roman" w:eastAsia="方正小标宋_GBK"/>
          <w:sz w:val="72"/>
          <w:szCs w:val="44"/>
          <w:highlight w:val="none"/>
        </w:rPr>
      </w:pPr>
    </w:p>
    <w:p w14:paraId="557F05D7">
      <w:pPr>
        <w:jc w:val="center"/>
        <w:rPr>
          <w:rFonts w:ascii="Times New Roman" w:hAnsi="Times New Roman" w:eastAsia="方正小标宋_GBK"/>
          <w:sz w:val="72"/>
          <w:szCs w:val="44"/>
          <w:highlight w:val="none"/>
        </w:rPr>
      </w:pPr>
    </w:p>
    <w:p w14:paraId="3BE96FA0">
      <w:pPr>
        <w:jc w:val="center"/>
        <w:rPr>
          <w:rFonts w:ascii="Times New Roman" w:hAnsi="Times New Roman" w:eastAsia="方正小标宋_GBK"/>
          <w:sz w:val="72"/>
          <w:szCs w:val="44"/>
          <w:highlight w:val="none"/>
        </w:rPr>
      </w:pPr>
    </w:p>
    <w:p w14:paraId="1497D78E">
      <w:pPr>
        <w:jc w:val="center"/>
        <w:rPr>
          <w:rFonts w:ascii="Times New Roman" w:hAnsi="Times New Roman" w:eastAsia="方正小标宋_GBK"/>
          <w:sz w:val="72"/>
          <w:szCs w:val="44"/>
          <w:highlight w:val="none"/>
        </w:rPr>
      </w:pPr>
    </w:p>
    <w:p w14:paraId="16877C8D">
      <w:pPr>
        <w:jc w:val="center"/>
        <w:rPr>
          <w:rFonts w:ascii="Times New Roman" w:hAnsi="Times New Roman" w:eastAsia="方正小标宋_GBK"/>
          <w:sz w:val="72"/>
          <w:szCs w:val="44"/>
          <w:highlight w:val="none"/>
        </w:rPr>
      </w:pPr>
    </w:p>
    <w:p w14:paraId="1FD26C94">
      <w:pPr>
        <w:jc w:val="center"/>
        <w:rPr>
          <w:rFonts w:ascii="Times New Roman" w:hAnsi="Times New Roman" w:eastAsia="方正小标宋_GBK"/>
          <w:sz w:val="72"/>
          <w:szCs w:val="44"/>
          <w:highlight w:val="none"/>
        </w:rPr>
      </w:pPr>
    </w:p>
    <w:p w14:paraId="40CD5CC7">
      <w:pPr>
        <w:jc w:val="center"/>
        <w:rPr>
          <w:rFonts w:ascii="Times New Roman" w:hAnsi="Times New Roman" w:eastAsia="方正小标宋_GBK"/>
          <w:sz w:val="72"/>
          <w:szCs w:val="44"/>
          <w:highlight w:val="none"/>
        </w:rPr>
      </w:pPr>
    </w:p>
    <w:p w14:paraId="56385EA6">
      <w:pPr>
        <w:jc w:val="center"/>
        <w:rPr>
          <w:rFonts w:ascii="Times New Roman" w:hAnsi="Times New Roman" w:eastAsia="方正小标宋_GBK"/>
          <w:sz w:val="72"/>
          <w:szCs w:val="44"/>
          <w:highlight w:val="none"/>
        </w:rPr>
      </w:pPr>
    </w:p>
    <w:p w14:paraId="6D3942B0">
      <w:pPr>
        <w:jc w:val="center"/>
        <w:rPr>
          <w:rFonts w:ascii="Times New Roman" w:hAnsi="Times New Roman" w:eastAsia="方正小标宋简体"/>
          <w:sz w:val="44"/>
          <w:szCs w:val="44"/>
          <w:highlight w:val="none"/>
        </w:rPr>
      </w:pPr>
    </w:p>
    <w:p w14:paraId="6F6A1EFD">
      <w:pPr>
        <w:ind w:left="1600" w:hanging="1600" w:hangingChars="500"/>
        <w:rPr>
          <w:rFonts w:ascii="Times New Roman" w:hAnsi="Times New Roman" w:eastAsia="方正小标宋_GBK"/>
          <w:sz w:val="32"/>
          <w:szCs w:val="32"/>
          <w:highlight w:val="none"/>
          <w:u w:val="single"/>
        </w:rPr>
      </w:pPr>
      <w:r>
        <w:rPr>
          <w:rFonts w:ascii="Times New Roman" w:hAnsi="Times New Roman" w:eastAsia="方正小标宋_GBK"/>
          <w:sz w:val="32"/>
          <w:szCs w:val="32"/>
          <w:highlight w:val="none"/>
        </w:rPr>
        <w:t>项目名称：</w:t>
      </w:r>
      <w:r>
        <w:rPr>
          <w:rFonts w:hint="eastAsia" w:ascii="Times New Roman" w:hAnsi="Times New Roman" w:eastAsia="仿宋_GB2312" w:cs="仿宋_GB2312"/>
          <w:i w:val="0"/>
          <w:iCs w:val="0"/>
          <w:caps w:val="0"/>
          <w:color w:val="auto"/>
          <w:spacing w:val="0"/>
          <w:sz w:val="32"/>
          <w:szCs w:val="32"/>
          <w:highlight w:val="none"/>
          <w:u w:val="single"/>
          <w:lang w:eastAsia="zh-CN"/>
        </w:rPr>
        <w:t>五十三团城镇建设和生态保护中心采购集中供热运营服务</w:t>
      </w:r>
      <w:r>
        <w:rPr>
          <w:rFonts w:ascii="Times New Roman" w:hAnsi="Times New Roman" w:eastAsia="方正小标宋_GBK"/>
          <w:sz w:val="32"/>
          <w:szCs w:val="32"/>
          <w:highlight w:val="none"/>
          <w:u w:val="single"/>
        </w:rPr>
        <w:t xml:space="preserve"> </w:t>
      </w:r>
    </w:p>
    <w:p w14:paraId="4B70128D">
      <w:pPr>
        <w:rPr>
          <w:rFonts w:hint="eastAsia" w:ascii="Times New Roman" w:hAnsi="Times New Roman" w:eastAsia="方正小标宋_GBK"/>
          <w:sz w:val="32"/>
          <w:szCs w:val="32"/>
          <w:highlight w:val="none"/>
          <w:u w:val="single"/>
        </w:rPr>
      </w:pPr>
      <w:r>
        <w:rPr>
          <w:rFonts w:hint="eastAsia" w:ascii="Times New Roman" w:hAnsi="Times New Roman" w:eastAsia="方正小标宋_GBK"/>
          <w:sz w:val="32"/>
          <w:szCs w:val="32"/>
          <w:highlight w:val="none"/>
        </w:rPr>
        <w:t>项目</w:t>
      </w:r>
      <w:r>
        <w:rPr>
          <w:rFonts w:ascii="Times New Roman" w:hAnsi="Times New Roman" w:eastAsia="方正小标宋_GBK"/>
          <w:sz w:val="32"/>
          <w:szCs w:val="32"/>
          <w:highlight w:val="none"/>
        </w:rPr>
        <w:t>分类：</w:t>
      </w:r>
      <w:r>
        <w:rPr>
          <w:rFonts w:hint="eastAsia" w:ascii="Times New Roman" w:hAnsi="Times New Roman" w:eastAsia="仿宋_GB2312" w:cs="仿宋_GB2312"/>
          <w:i w:val="0"/>
          <w:iCs w:val="0"/>
          <w:caps w:val="0"/>
          <w:color w:val="auto"/>
          <w:spacing w:val="0"/>
          <w:sz w:val="32"/>
          <w:szCs w:val="32"/>
          <w:highlight w:val="none"/>
          <w:u w:val="single"/>
          <w:lang w:eastAsia="zh-CN"/>
        </w:rPr>
        <w:t xml:space="preserve">  服务    </w:t>
      </w:r>
      <w:r>
        <w:rPr>
          <w:rFonts w:hint="eastAsia" w:ascii="Times New Roman" w:hAnsi="Times New Roman" w:eastAsia="方正小标宋_GBK"/>
          <w:sz w:val="32"/>
          <w:szCs w:val="32"/>
          <w:highlight w:val="none"/>
          <w:u w:val="single"/>
        </w:rPr>
        <w:t xml:space="preserve">                             </w:t>
      </w:r>
      <w:r>
        <w:rPr>
          <w:rFonts w:hint="eastAsia" w:ascii="Times New Roman" w:hAnsi="Times New Roman" w:eastAsia="方正小标宋_GBK"/>
          <w:sz w:val="32"/>
          <w:szCs w:val="32"/>
          <w:highlight w:val="none"/>
          <w:u w:val="single"/>
          <w:lang w:val="en-US" w:eastAsia="zh-CN"/>
        </w:rPr>
        <w:t xml:space="preserve"> </w:t>
      </w:r>
      <w:r>
        <w:rPr>
          <w:rFonts w:hint="eastAsia" w:ascii="Times New Roman" w:hAnsi="Times New Roman" w:eastAsia="方正小标宋_GBK"/>
          <w:sz w:val="32"/>
          <w:szCs w:val="32"/>
          <w:highlight w:val="none"/>
          <w:u w:val="single"/>
        </w:rPr>
        <w:t xml:space="preserve"> </w:t>
      </w:r>
    </w:p>
    <w:p w14:paraId="316A5FAB">
      <w:pPr>
        <w:rPr>
          <w:rFonts w:ascii="Times New Roman" w:hAnsi="Times New Roman" w:eastAsia="方正小标宋_GBK"/>
          <w:sz w:val="32"/>
          <w:szCs w:val="32"/>
          <w:highlight w:val="none"/>
          <w:u w:val="single"/>
        </w:rPr>
      </w:pPr>
      <w:r>
        <w:rPr>
          <w:rFonts w:ascii="Times New Roman" w:hAnsi="Times New Roman" w:eastAsia="方正小标宋_GBK"/>
          <w:sz w:val="32"/>
          <w:szCs w:val="32"/>
          <w:highlight w:val="none"/>
        </w:rPr>
        <w:t>采购单位：</w:t>
      </w:r>
      <w:r>
        <w:rPr>
          <w:rFonts w:hint="eastAsia" w:ascii="Times New Roman" w:hAnsi="Times New Roman" w:eastAsia="仿宋_GB2312" w:cs="仿宋_GB2312"/>
          <w:i w:val="0"/>
          <w:iCs w:val="0"/>
          <w:caps w:val="0"/>
          <w:color w:val="auto"/>
          <w:spacing w:val="0"/>
          <w:sz w:val="32"/>
          <w:szCs w:val="32"/>
          <w:highlight w:val="none"/>
          <w:u w:val="single"/>
          <w:lang w:eastAsia="zh-CN"/>
        </w:rPr>
        <w:t>五十三团城镇建设和生态保护中心</w:t>
      </w:r>
      <w:r>
        <w:rPr>
          <w:rFonts w:ascii="Times New Roman" w:hAnsi="Times New Roman" w:eastAsia="方正小标宋_GBK"/>
          <w:sz w:val="32"/>
          <w:szCs w:val="32"/>
          <w:highlight w:val="none"/>
          <w:u w:val="single"/>
        </w:rPr>
        <w:t xml:space="preserve">                        </w:t>
      </w:r>
    </w:p>
    <w:p w14:paraId="6B99B3BB">
      <w:pPr>
        <w:rPr>
          <w:rFonts w:ascii="Times New Roman" w:hAnsi="Times New Roman" w:eastAsia="方正小标宋_GBK"/>
          <w:sz w:val="32"/>
          <w:szCs w:val="32"/>
          <w:highlight w:val="none"/>
          <w:u w:val="single"/>
        </w:rPr>
      </w:pPr>
      <w:r>
        <w:rPr>
          <w:rFonts w:ascii="Times New Roman" w:hAnsi="Times New Roman" w:eastAsia="方正小标宋_GBK"/>
          <w:sz w:val="32"/>
          <w:szCs w:val="32"/>
          <w:highlight w:val="none"/>
        </w:rPr>
        <w:t>编制单位：</w:t>
      </w:r>
      <w:r>
        <w:rPr>
          <w:rFonts w:hint="eastAsia" w:ascii="Times New Roman" w:hAnsi="Times New Roman" w:eastAsia="仿宋_GB2312" w:cs="仿宋_GB2312"/>
          <w:i w:val="0"/>
          <w:iCs w:val="0"/>
          <w:caps w:val="0"/>
          <w:color w:val="auto"/>
          <w:spacing w:val="0"/>
          <w:sz w:val="32"/>
          <w:szCs w:val="32"/>
          <w:highlight w:val="none"/>
          <w:u w:val="single"/>
          <w:lang w:eastAsia="zh-CN"/>
        </w:rPr>
        <w:t>五十三团城镇建设和生态保护中心</w:t>
      </w:r>
      <w:r>
        <w:rPr>
          <w:rFonts w:ascii="Times New Roman" w:hAnsi="Times New Roman" w:eastAsia="方正小标宋_GBK"/>
          <w:sz w:val="32"/>
          <w:szCs w:val="32"/>
          <w:highlight w:val="none"/>
          <w:u w:val="single"/>
        </w:rPr>
        <w:t xml:space="preserve">            </w:t>
      </w:r>
    </w:p>
    <w:p w14:paraId="7FA5D050">
      <w:pPr>
        <w:rPr>
          <w:rFonts w:ascii="Times New Roman" w:hAnsi="Times New Roman" w:eastAsia="方正小标宋简体"/>
          <w:sz w:val="32"/>
          <w:szCs w:val="32"/>
          <w:highlight w:val="none"/>
          <w:u w:val="single"/>
        </w:rPr>
      </w:pPr>
      <w:r>
        <w:rPr>
          <w:rFonts w:ascii="Times New Roman" w:hAnsi="Times New Roman" w:eastAsia="方正小标宋_GBK"/>
          <w:sz w:val="32"/>
          <w:szCs w:val="32"/>
          <w:highlight w:val="none"/>
        </w:rPr>
        <w:t>编制时间：</w:t>
      </w:r>
      <w:r>
        <w:rPr>
          <w:rFonts w:hint="eastAsia" w:ascii="Times New Roman" w:hAnsi="Times New Roman" w:eastAsia="方正小标宋_GBK"/>
          <w:sz w:val="32"/>
          <w:szCs w:val="32"/>
          <w:highlight w:val="none"/>
          <w:u w:val="single"/>
          <w:lang w:val="en-US" w:eastAsia="zh-CN"/>
        </w:rPr>
        <w:t>2025</w:t>
      </w:r>
      <w:r>
        <w:rPr>
          <w:rFonts w:hint="eastAsia" w:ascii="Times New Roman" w:hAnsi="Times New Roman" w:eastAsia="仿宋_GB2312" w:cs="仿宋_GB2312"/>
          <w:i w:val="0"/>
          <w:iCs w:val="0"/>
          <w:caps w:val="0"/>
          <w:color w:val="auto"/>
          <w:spacing w:val="0"/>
          <w:sz w:val="32"/>
          <w:szCs w:val="32"/>
          <w:highlight w:val="none"/>
          <w:u w:val="single"/>
          <w:lang w:val="en-US" w:eastAsia="zh-CN"/>
        </w:rPr>
        <w:t>年6月17日</w:t>
      </w:r>
      <w:r>
        <w:rPr>
          <w:rFonts w:hint="eastAsia" w:ascii="Times New Roman" w:hAnsi="Times New Roman" w:eastAsia="仿宋_GB2312" w:cs="仿宋_GB2312"/>
          <w:i w:val="0"/>
          <w:iCs w:val="0"/>
          <w:caps w:val="0"/>
          <w:color w:val="auto"/>
          <w:spacing w:val="0"/>
          <w:sz w:val="32"/>
          <w:szCs w:val="32"/>
          <w:highlight w:val="none"/>
          <w:u w:val="single"/>
          <w:lang w:eastAsia="zh-CN"/>
        </w:rPr>
        <w:t xml:space="preserve"> </w:t>
      </w:r>
      <w:r>
        <w:rPr>
          <w:rFonts w:ascii="Times New Roman" w:hAnsi="Times New Roman" w:eastAsia="方正小标宋简体"/>
          <w:sz w:val="32"/>
          <w:szCs w:val="32"/>
          <w:highlight w:val="none"/>
          <w:u w:val="single"/>
        </w:rPr>
        <w:t xml:space="preserve">                    </w:t>
      </w:r>
    </w:p>
    <w:p w14:paraId="34CD3A8E">
      <w:pPr>
        <w:rPr>
          <w:rFonts w:ascii="Times New Roman" w:hAnsi="Times New Roman" w:eastAsia="方正小标宋简体"/>
          <w:sz w:val="44"/>
          <w:szCs w:val="44"/>
          <w:highlight w:val="none"/>
        </w:rPr>
      </w:pPr>
    </w:p>
    <w:p w14:paraId="427050EC">
      <w:pPr>
        <w:rPr>
          <w:rFonts w:ascii="Times New Roman" w:hAnsi="Times New Roman" w:eastAsia="方正小标宋简体"/>
          <w:sz w:val="44"/>
          <w:szCs w:val="44"/>
          <w:highlight w:val="none"/>
        </w:rPr>
        <w:sectPr>
          <w:footerReference r:id="rId8" w:type="default"/>
          <w:footerReference r:id="rId9" w:type="even"/>
          <w:pgSz w:w="11906" w:h="16838"/>
          <w:pgMar w:top="1440" w:right="1800" w:bottom="1440" w:left="1800" w:header="851" w:footer="992" w:gutter="0"/>
          <w:pgNumType w:start="1"/>
          <w:cols w:space="720" w:num="1"/>
          <w:docGrid w:type="lines" w:linePitch="312" w:charSpace="0"/>
        </w:sectPr>
      </w:pPr>
    </w:p>
    <w:p w14:paraId="09E12082">
      <w:pPr>
        <w:jc w:val="center"/>
        <w:rPr>
          <w:rFonts w:ascii="Times New Roman" w:hAnsi="Times New Roman" w:eastAsia="方正小标宋_GBK"/>
          <w:sz w:val="44"/>
          <w:szCs w:val="44"/>
          <w:highlight w:val="none"/>
        </w:rPr>
      </w:pPr>
      <w:r>
        <w:rPr>
          <w:rFonts w:ascii="Times New Roman" w:hAnsi="Times New Roman" w:eastAsia="方正小标宋_GBK"/>
          <w:sz w:val="44"/>
          <w:szCs w:val="44"/>
          <w:highlight w:val="none"/>
        </w:rPr>
        <w:t>编 制 说 明</w:t>
      </w:r>
    </w:p>
    <w:p w14:paraId="400ECA52">
      <w:pPr>
        <w:spacing w:line="560" w:lineRule="exact"/>
        <w:ind w:firstLine="640" w:firstLineChars="200"/>
        <w:rPr>
          <w:rFonts w:ascii="Times New Roman" w:hAnsi="Times New Roman" w:eastAsia="仿宋"/>
          <w:sz w:val="32"/>
          <w:szCs w:val="32"/>
          <w:highlight w:val="none"/>
        </w:rPr>
      </w:pPr>
    </w:p>
    <w:p w14:paraId="14276725">
      <w:pPr>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一、政府采购货物、工程和服务项目均应编制采购需求，采购单位可以自行组织编制，也可以委托采购代理机构或者其他第三方机构编制。</w:t>
      </w:r>
    </w:p>
    <w:p w14:paraId="3F78409D">
      <w:pPr>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二、编制的采购需求应当符合《财政部关于印发〈政府采购需求管理办法〉的通知》（财库〔2021〕22号）要求及政府采购的相关规定。</w:t>
      </w:r>
    </w:p>
    <w:p w14:paraId="7F453E64">
      <w:pPr>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三、斜体字部分属于提醒内容，编制时应删除。</w:t>
      </w:r>
    </w:p>
    <w:p w14:paraId="143D5F40">
      <w:pPr>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四、对不适用的内容应删除，并调整相应序号。</w:t>
      </w:r>
    </w:p>
    <w:p w14:paraId="58AFAF74">
      <w:pPr>
        <w:spacing w:line="560" w:lineRule="exact"/>
        <w:rPr>
          <w:rFonts w:ascii="Times New Roman" w:hAnsi="Times New Roman" w:eastAsia="仿宋_GB2312"/>
          <w:sz w:val="32"/>
          <w:szCs w:val="32"/>
          <w:highlight w:val="none"/>
        </w:rPr>
        <w:sectPr>
          <w:footerReference r:id="rId10" w:type="default"/>
          <w:pgSz w:w="11906" w:h="16838"/>
          <w:pgMar w:top="1440" w:right="1800" w:bottom="1440" w:left="1800" w:header="851" w:footer="992" w:gutter="0"/>
          <w:cols w:space="720" w:num="1"/>
          <w:docGrid w:type="lines" w:linePitch="312" w:charSpace="0"/>
        </w:sectPr>
      </w:pPr>
    </w:p>
    <w:p w14:paraId="75F44E1E">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一、需求调查情况</w:t>
      </w:r>
    </w:p>
    <w:p w14:paraId="138607F0">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（一）是否开展需求调查</w:t>
      </w:r>
    </w:p>
    <w:p w14:paraId="229B693A">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五十三团城镇建设和生态保护中心采购集中供热运营服务</w:t>
      </w:r>
      <w:r>
        <w:rPr>
          <w:rFonts w:hint="eastAsia" w:ascii="宋体" w:hAnsi="宋体" w:eastAsia="宋体" w:cs="宋体"/>
          <w:sz w:val="24"/>
          <w:szCs w:val="24"/>
          <w:highlight w:val="none"/>
          <w:lang w:val="en-US" w:eastAsia="zh-CN"/>
        </w:rPr>
        <w:t>属于1000万元以上的货物、服务采购项目，需要开展需求调查。</w:t>
      </w:r>
    </w:p>
    <w:p w14:paraId="68C009E8">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（二）需求调查方式</w:t>
      </w:r>
    </w:p>
    <w:p w14:paraId="34BB0B44">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i w:val="0"/>
          <w:iCs/>
          <w:sz w:val="24"/>
          <w:szCs w:val="24"/>
          <w:highlight w:val="none"/>
          <w:u w:val="none"/>
          <w:lang w:val="en-US" w:eastAsia="zh-CN"/>
        </w:rPr>
        <w:t>专</w:t>
      </w:r>
      <w:r>
        <w:rPr>
          <w:rFonts w:hint="eastAsia" w:ascii="宋体" w:hAnsi="宋体" w:eastAsia="宋体" w:cs="宋体"/>
          <w:sz w:val="24"/>
          <w:szCs w:val="24"/>
          <w:highlight w:val="none"/>
          <w:lang w:val="en-US" w:eastAsia="zh-CN"/>
        </w:rPr>
        <w:t>家</w:t>
      </w:r>
      <w:r>
        <w:rPr>
          <w:rFonts w:hint="eastAsia" w:ascii="宋体" w:hAnsi="宋体" w:eastAsia="宋体" w:cs="宋体"/>
          <w:sz w:val="24"/>
          <w:szCs w:val="24"/>
          <w:highlight w:val="none"/>
        </w:rPr>
        <w:t>论证</w:t>
      </w:r>
    </w:p>
    <w:p w14:paraId="08B1C8EE">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（三）需求调查对象</w:t>
      </w:r>
    </w:p>
    <w:p w14:paraId="0843B902">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相关专家、市场主体</w:t>
      </w:r>
    </w:p>
    <w:p w14:paraId="30DC21FF">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（四）需求调查结果</w:t>
      </w:r>
    </w:p>
    <w:p w14:paraId="493C6C2A">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1.相关产业发展情况</w:t>
      </w:r>
    </w:p>
    <w:p w14:paraId="59FB264E">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sz w:val="24"/>
          <w:szCs w:val="24"/>
          <w:highlight w:val="none"/>
          <w:u w:val="single"/>
        </w:rPr>
      </w:pPr>
      <w:r>
        <w:rPr>
          <w:rFonts w:hint="eastAsia" w:ascii="宋体" w:hAnsi="宋体" w:eastAsia="宋体" w:cs="宋体"/>
          <w:sz w:val="24"/>
          <w:szCs w:val="24"/>
          <w:highlight w:val="none"/>
          <w:u w:val="single"/>
          <w:lang w:val="en-US" w:eastAsia="zh-CN"/>
        </w:rPr>
        <w:t>五十三团集中供热产业已形成覆盖超60万平方米的规模化服务网络，通过承包经营、智慧调控提升效率，但需持续强化设备安全和扩容能力以匹配城镇化进程。</w:t>
      </w:r>
      <w:r>
        <w:rPr>
          <w:rFonts w:hint="eastAsia" w:ascii="宋体" w:hAnsi="宋体" w:eastAsia="宋体" w:cs="宋体"/>
          <w:i/>
          <w:sz w:val="24"/>
          <w:szCs w:val="24"/>
          <w:highlight w:val="none"/>
          <w:u w:val="single"/>
        </w:rPr>
        <w:t xml:space="preserve">                                              </w:t>
      </w:r>
    </w:p>
    <w:p w14:paraId="1C234B24">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2.市场供给情况</w:t>
      </w:r>
    </w:p>
    <w:p w14:paraId="2ECDD828">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sz w:val="24"/>
          <w:szCs w:val="24"/>
          <w:highlight w:val="none"/>
          <w:u w:val="single"/>
        </w:rPr>
      </w:pPr>
      <w:r>
        <w:rPr>
          <w:rFonts w:hint="eastAsia" w:ascii="宋体" w:hAnsi="宋体" w:eastAsia="宋体" w:cs="宋体"/>
          <w:i/>
          <w:sz w:val="24"/>
          <w:szCs w:val="24"/>
          <w:highlight w:val="none"/>
          <w:u w:val="single"/>
        </w:rPr>
        <w:t xml:space="preserve"> </w:t>
      </w:r>
      <w:r>
        <w:rPr>
          <w:rFonts w:hint="eastAsia" w:ascii="宋体" w:hAnsi="宋体" w:eastAsia="宋体" w:cs="宋体"/>
          <w:sz w:val="24"/>
          <w:szCs w:val="24"/>
          <w:highlight w:val="none"/>
          <w:u w:val="single"/>
          <w:lang w:val="en-US" w:eastAsia="zh-CN"/>
        </w:rPr>
        <w:t>市场供给充足。</w:t>
      </w:r>
      <w:r>
        <w:rPr>
          <w:rFonts w:hint="eastAsia" w:ascii="宋体" w:hAnsi="宋体" w:eastAsia="宋体" w:cs="宋体"/>
          <w:i/>
          <w:sz w:val="24"/>
          <w:szCs w:val="24"/>
          <w:highlight w:val="none"/>
          <w:u w:val="single"/>
        </w:rPr>
        <w:t xml:space="preserve">  </w:t>
      </w:r>
    </w:p>
    <w:p w14:paraId="7E5F29B9">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3.同类采购项目历史成交信息</w:t>
      </w:r>
    </w:p>
    <w:p w14:paraId="560164BF">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sz w:val="24"/>
          <w:szCs w:val="24"/>
          <w:highlight w:val="none"/>
          <w:u w:val="single"/>
        </w:rPr>
      </w:pPr>
      <w:r>
        <w:rPr>
          <w:rFonts w:hint="eastAsia" w:ascii="宋体" w:hAnsi="宋体" w:eastAsia="宋体" w:cs="宋体"/>
          <w:sz w:val="24"/>
          <w:szCs w:val="24"/>
          <w:highlight w:val="none"/>
          <w:u w:val="single"/>
          <w:lang w:val="en-US" w:eastAsia="zh-CN"/>
        </w:rPr>
        <w:t xml:space="preserve">2023年第三师图木舒克市五十三团集中供热服务运行对外承包经营项目 ，成交金额2520万元。  </w:t>
      </w:r>
      <w:r>
        <w:rPr>
          <w:rFonts w:hint="eastAsia" w:ascii="宋体" w:hAnsi="宋体" w:eastAsia="宋体" w:cs="宋体"/>
          <w:i/>
          <w:sz w:val="24"/>
          <w:szCs w:val="24"/>
          <w:highlight w:val="none"/>
          <w:u w:val="single"/>
        </w:rPr>
        <w:t xml:space="preserve">                                    </w:t>
      </w:r>
    </w:p>
    <w:p w14:paraId="1480AE52">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4.可能涉及的运行维护、升级更新、备品备件、耗材等后续采购情况</w:t>
      </w:r>
    </w:p>
    <w:p w14:paraId="62422EF3">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sz w:val="24"/>
          <w:szCs w:val="24"/>
          <w:highlight w:val="none"/>
          <w:u w:val="single"/>
        </w:rPr>
      </w:pPr>
      <w:r>
        <w:rPr>
          <w:rFonts w:hint="eastAsia" w:ascii="宋体" w:hAnsi="宋体" w:eastAsia="宋体" w:cs="宋体"/>
          <w:sz w:val="24"/>
          <w:szCs w:val="24"/>
          <w:highlight w:val="none"/>
          <w:u w:val="single"/>
          <w:lang w:val="en-US" w:eastAsia="zh-CN"/>
        </w:rPr>
        <w:t xml:space="preserve"> 无，由中标企业承保范围包括供热运行前、运行期间及停运后锅炉、一网、二网、换热站、辅机的维修、维护、保养；环保设备的正常运行维护及支付环保税费等。</w:t>
      </w:r>
      <w:r>
        <w:rPr>
          <w:rFonts w:hint="eastAsia" w:ascii="宋体" w:hAnsi="宋体" w:eastAsia="宋体" w:cs="宋体"/>
          <w:i/>
          <w:sz w:val="24"/>
          <w:szCs w:val="24"/>
          <w:highlight w:val="none"/>
          <w:u w:val="single"/>
        </w:rPr>
        <w:t xml:space="preserve">                                               </w:t>
      </w:r>
    </w:p>
    <w:p w14:paraId="1BCFD796">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5.其他相关情况</w:t>
      </w:r>
    </w:p>
    <w:p w14:paraId="4D9CF54F">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i/>
          <w:sz w:val="24"/>
          <w:szCs w:val="24"/>
          <w:highlight w:val="none"/>
          <w:u w:val="single"/>
        </w:rPr>
      </w:pPr>
      <w:r>
        <w:rPr>
          <w:rFonts w:hint="eastAsia" w:ascii="宋体" w:hAnsi="宋体" w:eastAsia="宋体" w:cs="宋体"/>
          <w:i/>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无 </w:t>
      </w:r>
      <w:r>
        <w:rPr>
          <w:rFonts w:hint="eastAsia" w:ascii="宋体" w:hAnsi="宋体" w:eastAsia="宋体" w:cs="宋体"/>
          <w:i/>
          <w:sz w:val="24"/>
          <w:szCs w:val="24"/>
          <w:highlight w:val="none"/>
          <w:u w:val="single"/>
        </w:rPr>
        <w:t xml:space="preserve">                                          </w:t>
      </w:r>
    </w:p>
    <w:p w14:paraId="691DAF52">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二、需求详情</w:t>
      </w:r>
    </w:p>
    <w:p w14:paraId="2FA9E7FB">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（一）项目概况</w:t>
      </w:r>
    </w:p>
    <w:p w14:paraId="5DEA26E7">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1.五十三团城镇现有锅炉房 40T 燃煤锅炉两台、配套环保设施设备、换热站11座、供热管网及其他配套设施。供暖面积约为64万平方米(以实际收取费用面积为准)，供热范围为城镇辖区。中标企业承包范围包括供热运行前、运行期间及停运后锅炉、一网、二网、换热站、辅机的维修、维护、保养</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环保设备(脱硫脱硝、除尘、在线监测等设备)的正常运行维护(达到环保要求，满足排放标准)及支付环保税费(排放不达标，不满足环保要求，产生环保处罚及其他费用)等。按照使用年限对锅炉大修、换热站、管网、脱硫脱硝设备更新提升改造等费用由团镇负责。</w:t>
      </w:r>
    </w:p>
    <w:p w14:paraId="386FBCCC">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热时间为每年11月15日至次年3月15日，如因气候原因，中标企业需无条件提前供暖或延迟停暖;室外公用供暖管网正常工作情况下，中标企业需保证用户采暖室内温度不低于18度，每个采暖季对采暖用户开展不少于2次的室内温度普查</w:t>
      </w:r>
    </w:p>
    <w:p w14:paraId="3A030FFB">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3.收费标准参照图木舒克市收费标准执行，民用住宅采暖季按建筑面积20元/</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收取,公用办公场所及商用建筑采暖季按建筑面积22元/</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收取。如政策调整，按照新调整后的标准执行。</w:t>
      </w:r>
    </w:p>
    <w:p w14:paraId="7F15828C">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1.采购单位：新疆生产建设兵团第三师五十三团城镇建设和生态保护中心</w:t>
      </w:r>
    </w:p>
    <w:p w14:paraId="4B6DCEAD">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2.实施地点：采购人指定地点</w:t>
      </w:r>
    </w:p>
    <w:p w14:paraId="2D683625">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3.项目名称：五十三团城镇建设和生态保护中心采购集中供热运营服务</w:t>
      </w:r>
    </w:p>
    <w:p w14:paraId="2217ED55">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采购内容：五十三团城镇现有锅炉房40T燃煤锅炉两台、配套环保设施设备、换热站、供热管网及其他配套设施。中标企业承保范围包括供热运行前、运行期间及停运后锅炉、一网、二网、换热站、辅机的维修、维护、保养；环保设备的正常运行维护及支付环保税费；燃煤、水费、电费等各类耗材。</w:t>
      </w:r>
    </w:p>
    <w:p w14:paraId="4F940B40">
      <w:pPr>
        <w:pStyle w:val="85"/>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5.本项目资金来源为：预算资金</w:t>
      </w:r>
      <w:r>
        <w:rPr>
          <w:rFonts w:hint="eastAsia" w:ascii="宋体" w:hAnsi="宋体" w:eastAsia="宋体" w:cs="宋体"/>
          <w:color w:val="auto"/>
          <w:sz w:val="24"/>
          <w:szCs w:val="24"/>
          <w:highlight w:val="none"/>
          <w:lang w:eastAsia="zh-CN"/>
        </w:rPr>
        <w:t>。</w:t>
      </w:r>
    </w:p>
    <w:p w14:paraId="578F0CFA">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（二）采购项目预（概）算</w:t>
      </w:r>
    </w:p>
    <w:p w14:paraId="06DD8660">
      <w:pPr>
        <w:pStyle w:val="8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预算金额：2526万元</w:t>
      </w:r>
    </w:p>
    <w:p w14:paraId="11ADB2D1">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（三）采购标的汇总表</w:t>
      </w:r>
    </w:p>
    <w:tbl>
      <w:tblPr>
        <w:tblStyle w:val="31"/>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410"/>
        <w:gridCol w:w="1670"/>
        <w:gridCol w:w="1025"/>
        <w:gridCol w:w="1172"/>
        <w:gridCol w:w="916"/>
      </w:tblGrid>
      <w:tr w14:paraId="5CE1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1221" w:type="dxa"/>
            <w:noWrap w:val="0"/>
            <w:vAlign w:val="center"/>
          </w:tcPr>
          <w:p w14:paraId="171B53E5">
            <w:pPr>
              <w:keepNext w:val="0"/>
              <w:keepLines w:val="0"/>
              <w:pageBreakBefore w:val="0"/>
              <w:kinsoku/>
              <w:wordWrap/>
              <w:overflowPunct/>
              <w:topLinePunct w:val="0"/>
              <w:autoSpaceDE/>
              <w:autoSpaceDN/>
              <w:bidi w:val="0"/>
              <w:spacing w:line="560" w:lineRule="exact"/>
              <w:jc w:val="both"/>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410" w:type="dxa"/>
            <w:noWrap w:val="0"/>
            <w:vAlign w:val="center"/>
          </w:tcPr>
          <w:p w14:paraId="6DC2B3C3">
            <w:pPr>
              <w:keepNext w:val="0"/>
              <w:keepLines w:val="0"/>
              <w:pageBreakBefore w:val="0"/>
              <w:kinsoku/>
              <w:wordWrap/>
              <w:overflowPunct/>
              <w:topLinePunct w:val="0"/>
              <w:autoSpaceDE/>
              <w:autoSpaceDN/>
              <w:bidi w:val="0"/>
              <w:spacing w:line="560" w:lineRule="exact"/>
              <w:jc w:val="both"/>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670" w:type="dxa"/>
            <w:noWrap w:val="0"/>
            <w:vAlign w:val="center"/>
          </w:tcPr>
          <w:p w14:paraId="5A1A9E37">
            <w:pPr>
              <w:keepNext w:val="0"/>
              <w:keepLines w:val="0"/>
              <w:pageBreakBefore w:val="0"/>
              <w:kinsoku/>
              <w:wordWrap/>
              <w:overflowPunct/>
              <w:topLinePunct w:val="0"/>
              <w:autoSpaceDE/>
              <w:autoSpaceDN/>
              <w:bidi w:val="0"/>
              <w:spacing w:line="560" w:lineRule="exact"/>
              <w:jc w:val="both"/>
              <w:rPr>
                <w:rFonts w:hint="eastAsia" w:ascii="宋体" w:hAnsi="宋体" w:eastAsia="宋体" w:cs="宋体"/>
                <w:b/>
                <w:sz w:val="24"/>
                <w:szCs w:val="24"/>
                <w:highlight w:val="none"/>
              </w:rPr>
            </w:pPr>
            <w:r>
              <w:rPr>
                <w:rFonts w:hint="eastAsia" w:ascii="宋体" w:hAnsi="宋体" w:eastAsia="宋体" w:cs="宋体"/>
                <w:b/>
                <w:sz w:val="24"/>
                <w:szCs w:val="24"/>
                <w:highlight w:val="none"/>
              </w:rPr>
              <w:t>品目分类编码</w:t>
            </w:r>
          </w:p>
        </w:tc>
        <w:tc>
          <w:tcPr>
            <w:tcW w:w="1025" w:type="dxa"/>
            <w:noWrap w:val="0"/>
            <w:vAlign w:val="center"/>
          </w:tcPr>
          <w:p w14:paraId="711FB856">
            <w:pPr>
              <w:keepNext w:val="0"/>
              <w:keepLines w:val="0"/>
              <w:pageBreakBefore w:val="0"/>
              <w:kinsoku/>
              <w:wordWrap/>
              <w:overflowPunct/>
              <w:topLinePunct w:val="0"/>
              <w:autoSpaceDE/>
              <w:autoSpaceDN/>
              <w:bidi w:val="0"/>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04E00051">
            <w:pPr>
              <w:keepNext w:val="0"/>
              <w:keepLines w:val="0"/>
              <w:pageBreakBefore w:val="0"/>
              <w:kinsoku/>
              <w:wordWrap/>
              <w:overflowPunct/>
              <w:topLinePunct w:val="0"/>
              <w:autoSpaceDE/>
              <w:autoSpaceDN/>
              <w:bidi w:val="0"/>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1172" w:type="dxa"/>
            <w:noWrap w:val="0"/>
            <w:vAlign w:val="center"/>
          </w:tcPr>
          <w:p w14:paraId="5F6BD2D7">
            <w:pPr>
              <w:keepNext w:val="0"/>
              <w:keepLines w:val="0"/>
              <w:pageBreakBefore w:val="0"/>
              <w:kinsoku/>
              <w:wordWrap/>
              <w:overflowPunct/>
              <w:topLinePunct w:val="0"/>
              <w:autoSpaceDE/>
              <w:autoSpaceDN/>
              <w:bidi w:val="0"/>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916" w:type="dxa"/>
            <w:noWrap w:val="0"/>
            <w:vAlign w:val="center"/>
          </w:tcPr>
          <w:p w14:paraId="4E7ED506">
            <w:pPr>
              <w:keepNext w:val="0"/>
              <w:keepLines w:val="0"/>
              <w:pageBreakBefore w:val="0"/>
              <w:kinsoku/>
              <w:wordWrap/>
              <w:overflowPunct/>
              <w:topLinePunct w:val="0"/>
              <w:autoSpaceDE/>
              <w:autoSpaceDN/>
              <w:bidi w:val="0"/>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是否进口</w:t>
            </w:r>
          </w:p>
        </w:tc>
      </w:tr>
      <w:tr w14:paraId="42D4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221" w:type="dxa"/>
            <w:noWrap w:val="0"/>
            <w:vAlign w:val="center"/>
          </w:tcPr>
          <w:p w14:paraId="4A03ECA7">
            <w:pPr>
              <w:keepNext w:val="0"/>
              <w:keepLines w:val="0"/>
              <w:pageBreakBefore w:val="0"/>
              <w:kinsoku/>
              <w:wordWrap/>
              <w:overflowPunct/>
              <w:topLinePunct w:val="0"/>
              <w:autoSpaceDE/>
              <w:autoSpaceDN/>
              <w:bidi w:val="0"/>
              <w:adjustRightInd w:val="0"/>
              <w:snapToGrid w:val="0"/>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410" w:type="dxa"/>
            <w:noWrap w:val="0"/>
            <w:vAlign w:val="center"/>
          </w:tcPr>
          <w:p w14:paraId="37225C2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宋体" w:hAnsi="宋体" w:eastAsia="宋体" w:cs="宋体"/>
                <w:i/>
                <w:sz w:val="24"/>
                <w:szCs w:val="24"/>
                <w:highlight w:val="none"/>
                <w:u w:val="single"/>
              </w:rPr>
            </w:pPr>
            <w:r>
              <w:rPr>
                <w:rFonts w:hint="eastAsia" w:ascii="宋体" w:hAnsi="宋体" w:eastAsia="宋体" w:cs="宋体"/>
                <w:b w:val="0"/>
                <w:bCs/>
                <w:sz w:val="24"/>
                <w:szCs w:val="24"/>
                <w:highlight w:val="none"/>
                <w:lang w:val="en-US" w:eastAsia="zh-CN"/>
              </w:rPr>
              <w:t>五十三团城镇建设和生态保护中心采购集中供热运营服务</w:t>
            </w:r>
          </w:p>
        </w:tc>
        <w:tc>
          <w:tcPr>
            <w:tcW w:w="1670" w:type="dxa"/>
            <w:noWrap w:val="0"/>
            <w:vAlign w:val="center"/>
          </w:tcPr>
          <w:p w14:paraId="735E6A1D">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C13020000</w:t>
            </w:r>
          </w:p>
        </w:tc>
        <w:tc>
          <w:tcPr>
            <w:tcW w:w="1025" w:type="dxa"/>
            <w:noWrap w:val="0"/>
            <w:vAlign w:val="center"/>
          </w:tcPr>
          <w:p w14:paraId="5035F13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iCs w:val="0"/>
                <w:snapToGrid w:val="0"/>
                <w:color w:val="auto"/>
                <w:kern w:val="0"/>
                <w:sz w:val="24"/>
                <w:szCs w:val="24"/>
                <w:highlight w:val="none"/>
                <w:u w:val="none"/>
                <w:lang w:val="en-US" w:eastAsia="zh-CN" w:bidi="ar"/>
              </w:rPr>
            </w:pPr>
            <w:r>
              <w:rPr>
                <w:rFonts w:hint="eastAsia" w:ascii="宋体" w:hAnsi="宋体" w:eastAsia="宋体" w:cs="宋体"/>
                <w:i w:val="0"/>
                <w:iCs w:val="0"/>
                <w:snapToGrid w:val="0"/>
                <w:color w:val="auto"/>
                <w:kern w:val="0"/>
                <w:sz w:val="24"/>
                <w:szCs w:val="24"/>
                <w:highlight w:val="none"/>
                <w:u w:val="none"/>
                <w:lang w:val="en-US" w:eastAsia="zh-CN" w:bidi="ar"/>
              </w:rPr>
              <w:t>项</w:t>
            </w:r>
          </w:p>
        </w:tc>
        <w:tc>
          <w:tcPr>
            <w:tcW w:w="1172" w:type="dxa"/>
            <w:noWrap w:val="0"/>
            <w:vAlign w:val="center"/>
          </w:tcPr>
          <w:p w14:paraId="0F65709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eastAsia" w:ascii="宋体" w:hAnsi="宋体" w:eastAsia="宋体" w:cs="宋体"/>
                <w:sz w:val="24"/>
                <w:szCs w:val="24"/>
                <w:highlight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916" w:type="dxa"/>
            <w:noWrap w:val="0"/>
            <w:vAlign w:val="center"/>
          </w:tcPr>
          <w:p w14:paraId="0EEF3F6E">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否</w:t>
            </w:r>
          </w:p>
        </w:tc>
      </w:tr>
    </w:tbl>
    <w:p w14:paraId="5E5D3AF3">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（四）需落实的政府采购政策功能</w:t>
      </w:r>
    </w:p>
    <w:p w14:paraId="1156D7A9">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1.支持绿色发展</w:t>
      </w:r>
    </w:p>
    <w:p w14:paraId="60EBB562">
      <w:pPr>
        <w:pStyle w:val="60"/>
        <w:keepNext w:val="0"/>
        <w:keepLines w:val="0"/>
        <w:pageBreakBefore w:val="0"/>
        <w:kinsoku/>
        <w:wordWrap/>
        <w:overflowPunct/>
        <w:topLinePunct w:val="0"/>
        <w:autoSpaceDE/>
        <w:autoSpaceDN/>
        <w:bidi w:val="0"/>
        <w:adjustRightInd/>
        <w:snapToGrid/>
        <w:spacing w:line="560" w:lineRule="exact"/>
        <w:ind w:left="0" w:leftChars="0" w:firstLine="480" w:firstLineChars="20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（1）本次采购内容</w:t>
      </w:r>
      <w:r>
        <w:rPr>
          <w:rFonts w:hint="eastAsia" w:ascii="宋体" w:hAnsi="宋体" w:eastAsia="宋体" w:cs="宋体"/>
          <w:b w:val="0"/>
          <w:bCs w:val="0"/>
          <w:color w:val="auto"/>
          <w:kern w:val="0"/>
          <w:sz w:val="24"/>
          <w:szCs w:val="24"/>
          <w:highlight w:val="none"/>
          <w:lang w:val="en-US" w:eastAsia="zh-CN"/>
        </w:rPr>
        <w:t>中所包含的节能产品政府采购品目清单：/项。</w:t>
      </w:r>
    </w:p>
    <w:p w14:paraId="786554D4">
      <w:pPr>
        <w:pStyle w:val="60"/>
        <w:keepNext w:val="0"/>
        <w:keepLines w:val="0"/>
        <w:pageBreakBefore w:val="0"/>
        <w:kinsoku/>
        <w:wordWrap/>
        <w:overflowPunct/>
        <w:topLinePunct w:val="0"/>
        <w:autoSpaceDE/>
        <w:autoSpaceDN/>
        <w:bidi w:val="0"/>
        <w:adjustRightInd/>
        <w:snapToGrid/>
        <w:spacing w:line="560" w:lineRule="exact"/>
        <w:ind w:left="0" w:lef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（2）本次采购内容中所包含的环境标志产品：</w:t>
      </w:r>
      <w:r>
        <w:rPr>
          <w:rFonts w:hint="eastAsia" w:ascii="宋体" w:hAnsi="宋体" w:eastAsia="宋体" w:cs="宋体"/>
          <w:color w:val="auto"/>
          <w:kern w:val="0"/>
          <w:sz w:val="24"/>
          <w:szCs w:val="24"/>
          <w:highlight w:val="none"/>
          <w:lang w:val="en-US" w:eastAsia="zh-CN"/>
        </w:rPr>
        <w:t>/项。</w:t>
      </w:r>
    </w:p>
    <w:p w14:paraId="25C3C899">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2.支持中小企业发展</w:t>
      </w:r>
    </w:p>
    <w:p w14:paraId="4E8BDF44">
      <w:pPr>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本项目专门面向中小企业采购，不再执行价格评审优惠政策。请根据要求单独上传《中小企业声明函》，格式以采购文件“第七章 投标文件格式”中要求为准。</w:t>
      </w:r>
    </w:p>
    <w:p w14:paraId="3F102BB2">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（五）技术商务要求</w:t>
      </w:r>
    </w:p>
    <w:p w14:paraId="7520488D">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1.技术要求</w:t>
      </w:r>
    </w:p>
    <w:p w14:paraId="4411F059">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 xml:space="preserve">一、服从管理 </w:t>
      </w:r>
    </w:p>
    <w:p w14:paraId="0D9BC1A9">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供热锅炉运营承包单位需服从采购人的统一管理，配合上级部门和团镇的相关检查，落实问题整改。</w:t>
      </w:r>
    </w:p>
    <w:p w14:paraId="18385437">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二、设施维护</w:t>
      </w:r>
    </w:p>
    <w:p w14:paraId="14C1A066">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（一）运营承包单位需做到司炉工必须持证上岗，涉及机械车辆及相关设备作业必须持证上岗。</w:t>
      </w:r>
    </w:p>
    <w:p w14:paraId="03E98226">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（二）在确保正常供暖的情况下，做好锅炉的维修、养护工作，定期进行检查，及时对隐患问题进行处置，确保锅炉安全运行；做好巡检记录，对检修情况图文材料存档备查。</w:t>
      </w:r>
    </w:p>
    <w:p w14:paraId="5AC9C744">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供暖设施出现故障应第一时间向采购人报备，并在1小时内安排人员到现场进行抢修，保障设施正常运行；短时不能抢修完成的问题，需停热8小时以上的，需制定抢修计划明确时限，向采购人报备。对故障处理完成情况图文材料报采购人存档备查。</w:t>
      </w:r>
    </w:p>
    <w:p w14:paraId="31B18A57">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（四）热力设施发生故障或因其他原因停止供热未立即组织抢修恢复供热，造成恶劣影响的，采购人可单方面解除运营承包合同及其他约定事宜。</w:t>
      </w:r>
    </w:p>
    <w:p w14:paraId="25A4BEB6">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（五）锅炉设备进行正常定期巡检维护时，要提前1天书面报告报采购人归档备查；并将巡检记录和维护情况图文材料存档备查。</w:t>
      </w:r>
    </w:p>
    <w:p w14:paraId="3815CA8D">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三、服务群众</w:t>
      </w:r>
    </w:p>
    <w:p w14:paraId="52410280">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运营承包单位要秉持以人为本的理念，在供热期内，应当建立二十四小时电话服务制度。做好团镇职工群众反馈供暖问题及情况的回应和解决，如因特殊情况未能及时解决的，应向用户讲明情况，尽快解决。</w:t>
      </w:r>
    </w:p>
    <w:p w14:paraId="533043E2">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（二）接待暖气用户来访及入户维修要做到礼貌热情、耐心解答，不敷衍推脱、不刁难扰民；需要入户测温的，要做好记录反馈用户。</w:t>
      </w:r>
    </w:p>
    <w:p w14:paraId="4A18785B">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（三）因运营承包单位的原因导致职工群众大量投诉、上访造成恶劣影响的，团镇可单方面解除运营承包合同及其他约定事宜。</w:t>
      </w:r>
    </w:p>
    <w:p w14:paraId="66F48DAD">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四、供暖质量</w:t>
      </w:r>
    </w:p>
    <w:p w14:paraId="03822576">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（一）居住建筑室内温度</w:t>
      </w:r>
      <w:r>
        <w:rPr>
          <w:rFonts w:hint="eastAsia" w:ascii="宋体" w:hAnsi="宋体" w:eastAsia="宋体" w:cs="宋体"/>
          <w:kern w:val="0"/>
          <w:sz w:val="24"/>
          <w:szCs w:val="24"/>
          <w:highlight w:val="none"/>
          <w:lang w:val="en-US" w:eastAsia="zh-CN"/>
        </w:rPr>
        <w:t>18±2</w:t>
      </w:r>
      <w:r>
        <w:rPr>
          <w:rFonts w:hint="eastAsia" w:ascii="宋体" w:hAnsi="宋体" w:eastAsia="宋体" w:cs="宋体"/>
          <w:kern w:val="0"/>
          <w:sz w:val="24"/>
          <w:szCs w:val="24"/>
          <w:highlight w:val="none"/>
        </w:rPr>
        <w:t>℃。</w:t>
      </w:r>
    </w:p>
    <w:p w14:paraId="62476CC0">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（二）经核实，集中供热区域内用户室温合格率低于98%的，确定为供热服务质量不合格，运营承包单位要立即采取措施进行整改。</w:t>
      </w:r>
    </w:p>
    <w:p w14:paraId="1F8599B4">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（三）擅自改变供热能力、范围或方式的，责令限期整改而不整改的，情节恶劣的；因供热质量的原因导致职工群众大量投诉、上访造成恶劣影响的，团镇可单方面解除运营承包合同及其他约定事宜。</w:t>
      </w:r>
    </w:p>
    <w:p w14:paraId="4F0B7019">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五、环保工作</w:t>
      </w:r>
    </w:p>
    <w:p w14:paraId="5FDCC07B">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（一）运营承包单位要安排专人负责环保工作，做好锅炉环保台账，归档备查。</w:t>
      </w:r>
    </w:p>
    <w:p w14:paraId="46B88B8B">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配备专业技术人员对锅炉环保设备、在线监测设施进行管护，做好环保设备物料投入、在线监测数据的记录。因设备检修、故障等原因停炉造成在线监测数据异常时，要第一时间向采购人报告，书面报告报采购人归档备查。</w:t>
      </w:r>
    </w:p>
    <w:p w14:paraId="514B2EFF">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（三）锅炉因工况调整需停炉要提前1天书面报告报采购人归档备查。</w:t>
      </w:r>
    </w:p>
    <w:p w14:paraId="6BC1D34E">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（四）锅炉运行期间要确保脱硫、脱硝、除尘等相关环保设备正常运行，在线监测设备保持在线，监测数据达标（根据师市环境局要求排放限值）。</w:t>
      </w:r>
    </w:p>
    <w:p w14:paraId="0EBC90D2">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（五）供热站内如燃煤等易产生扬尘的物料，在物料堆场要采取有效措施进行覆盖防治扬尘污染。做好供热站内日常环境卫生管理，营造整洁、优美的工作生活环境。</w:t>
      </w:r>
    </w:p>
    <w:p w14:paraId="4748D20C">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六、安全生产</w:t>
      </w:r>
    </w:p>
    <w:p w14:paraId="6FBDBF46">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（一）运营承包单位要严格落实安全生产相关法规条例，落实兵团、师市和团镇安全生产工作管理，切实将安全生产工作纳入日常工作当中，落实好各项安全措施，对工作人员加强教育管理，做到“零事故”。</w:t>
      </w:r>
    </w:p>
    <w:p w14:paraId="265C45E0">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（二）定期对安全防护装置、器材进行检查，及时更换配齐安全防护装置、器材，保障供热站内安全防护装置齐全、灵敏可靠，筑牢安全防线。</w:t>
      </w:r>
    </w:p>
    <w:p w14:paraId="1F6A7AA8">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（三）定期开展应急演练，提高应急处置能力，增强人员安全生产意识；对演练的相关图文资料进行存档备查。</w:t>
      </w:r>
    </w:p>
    <w:p w14:paraId="4B3D2F78">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（四）建立与保障供热安全相适应的应急抢修队伍，配备应急抢修设备、物资、车辆以及通讯设备，在采暖期内实行二十四小时应急备勤。</w:t>
      </w:r>
    </w:p>
    <w:p w14:paraId="626828F8">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（五）本项目所涉及的服务均须保证工作人员及团镇居民的财产、人身安全，如发生安全事故均由运营承包单位负责，实行“谁用工、谁负责”，承担安全主体责任</w:t>
      </w:r>
    </w:p>
    <w:p w14:paraId="3AE4BA1B">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七、人员管理</w:t>
      </w:r>
    </w:p>
    <w:p w14:paraId="75DFFD0E">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（一）运营承包单位要加强工作人员教育管理，上班期间做到不脱岗、不睡岗、不串岗、不喝酒、不打牌，不做与工作无关的事。各岗人员要严格落实交接班，做到问题清、情况明。</w:t>
      </w:r>
    </w:p>
    <w:p w14:paraId="40AED2DC">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（二）计算机空置系统、专业机柜设施设备，由专人负责，其他人员未经许可严禁操作。</w:t>
      </w:r>
    </w:p>
    <w:p w14:paraId="52699991">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（三）各运行人员应熟悉所负责设备的性能及维护要求，各岗操作人员必须认真执行安全操作规程，严防事故发生。</w:t>
      </w:r>
    </w:p>
    <w:p w14:paraId="64D96D34">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（四）设备操作人员要做到熟知现场，每日巡检设备、仪表、阀门运行情况，对异常情况及时报告处置。</w:t>
      </w:r>
    </w:p>
    <w:p w14:paraId="65778ECB">
      <w:pPr>
        <w:pStyle w:val="85"/>
        <w:keepNext w:val="0"/>
        <w:keepLines w:val="0"/>
        <w:pageBreakBefore w:val="0"/>
        <w:shd w:val="clear" w:color="auto" w:fill="auto"/>
        <w:kinsoku/>
        <w:wordWrap/>
        <w:overflowPunct/>
        <w:topLinePunct w:val="0"/>
        <w:autoSpaceDE/>
        <w:autoSpaceDN/>
        <w:bidi w:val="0"/>
        <w:spacing w:line="560" w:lineRule="exact"/>
        <w:ind w:left="0" w:leftChars="0"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（五）因运营承包单位的管理原因导致事故发生，造成恶劣影响的，运营承包单位承担一切责任，团镇可单方面解除运营承包合同及其他约定事宜。</w:t>
      </w:r>
    </w:p>
    <w:p w14:paraId="0E36938D">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2.商务要求</w:t>
      </w:r>
    </w:p>
    <w:p w14:paraId="4E4E81DD">
      <w:pPr>
        <w:keepNext w:val="0"/>
        <w:keepLines w:val="0"/>
        <w:pageBreakBefore w:val="0"/>
        <w:kinsoku/>
        <w:wordWrap/>
        <w:overflowPunct/>
        <w:topLinePunct w:val="0"/>
        <w:autoSpaceDE/>
        <w:autoSpaceDN/>
        <w:bidi w:val="0"/>
        <w:spacing w:line="560" w:lineRule="exact"/>
        <w:ind w:left="0" w:leftChars="0" w:firstLine="482" w:firstLineChars="200"/>
        <w:jc w:val="left"/>
        <w:rPr>
          <w:rFonts w:hint="eastAsia" w:ascii="宋体" w:hAnsi="宋体" w:eastAsia="宋体" w:cs="宋体"/>
          <w:sz w:val="24"/>
          <w:szCs w:val="24"/>
          <w:highlight w:val="none"/>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sz w:val="24"/>
          <w:szCs w:val="24"/>
          <w:highlight w:val="none"/>
        </w:rPr>
        <w:t>（1）交付（实施）的时间（期限）：</w:t>
      </w:r>
      <w:r>
        <w:rPr>
          <w:rFonts w:hint="eastAsia" w:ascii="宋体" w:hAnsi="宋体" w:eastAsia="宋体" w:cs="宋体"/>
          <w:sz w:val="24"/>
          <w:szCs w:val="24"/>
          <w:highlight w:val="none"/>
          <w:u w:val="single"/>
          <w:lang w:val="en-US" w:eastAsia="zh-CN"/>
        </w:rPr>
        <w:t>共</w:t>
      </w:r>
      <w:r>
        <w:rPr>
          <w:rFonts w:hint="eastAsia" w:ascii="宋体" w:hAnsi="宋体" w:eastAsia="宋体" w:cs="宋体"/>
          <w:b w:val="0"/>
          <w:bCs w:val="0"/>
          <w:color w:val="auto"/>
          <w:kern w:val="0"/>
          <w:sz w:val="24"/>
          <w:szCs w:val="24"/>
          <w:highlight w:val="none"/>
          <w:u w:val="single"/>
          <w:lang w:val="en-US" w:eastAsia="zh-CN" w:bidi="ar-SA"/>
        </w:rPr>
        <w:t>3年，至2028年4月15日</w:t>
      </w:r>
      <w:r>
        <w:rPr>
          <w:rFonts w:hint="eastAsia" w:ascii="宋体" w:hAnsi="宋体" w:eastAsia="宋体" w:cs="宋体"/>
          <w:i/>
          <w:sz w:val="24"/>
          <w:szCs w:val="24"/>
          <w:highlight w:val="none"/>
          <w:u w:val="single"/>
        </w:rPr>
        <w:t xml:space="preserve">   </w:t>
      </w:r>
    </w:p>
    <w:p w14:paraId="43C90B3D">
      <w:pPr>
        <w:keepNext w:val="0"/>
        <w:keepLines w:val="0"/>
        <w:pageBreakBefore w:val="0"/>
        <w:kinsoku/>
        <w:wordWrap/>
        <w:overflowPunct/>
        <w:topLinePunct w:val="0"/>
        <w:autoSpaceDE/>
        <w:autoSpaceDN/>
        <w:bidi w:val="0"/>
        <w:spacing w:line="560" w:lineRule="exact"/>
        <w:ind w:left="0" w:leftChars="0" w:firstLine="482" w:firstLineChars="200"/>
        <w:jc w:val="left"/>
        <w:rPr>
          <w:rFonts w:hint="eastAsia" w:ascii="宋体" w:hAnsi="宋体" w:eastAsia="宋体" w:cs="宋体"/>
          <w:sz w:val="24"/>
          <w:szCs w:val="24"/>
          <w:highlight w:val="none"/>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sz w:val="24"/>
          <w:szCs w:val="24"/>
          <w:highlight w:val="none"/>
        </w:rPr>
        <w:t>（2）交付（实施）的地点（范围）：</w:t>
      </w:r>
      <w:r>
        <w:rPr>
          <w:rFonts w:hint="eastAsia" w:ascii="宋体" w:hAnsi="宋体" w:eastAsia="宋体" w:cs="宋体"/>
          <w:b w:val="0"/>
          <w:bCs w:val="0"/>
          <w:color w:val="auto"/>
          <w:kern w:val="0"/>
          <w:sz w:val="24"/>
          <w:szCs w:val="24"/>
          <w:highlight w:val="none"/>
          <w:u w:val="single"/>
          <w:lang w:val="en-US" w:eastAsia="zh-CN" w:bidi="ar-SA"/>
        </w:rPr>
        <w:t>采购人指定地点。</w:t>
      </w:r>
      <w:r>
        <w:rPr>
          <w:rFonts w:hint="eastAsia" w:ascii="宋体" w:hAnsi="宋体" w:eastAsia="宋体" w:cs="宋体"/>
          <w:i/>
          <w:sz w:val="24"/>
          <w:szCs w:val="24"/>
          <w:highlight w:val="none"/>
          <w:u w:val="single"/>
        </w:rPr>
        <w:t xml:space="preserve">       </w:t>
      </w:r>
    </w:p>
    <w:p w14:paraId="1DB8C6D2">
      <w:pPr>
        <w:keepNext w:val="0"/>
        <w:keepLines w:val="0"/>
        <w:pageBreakBefore w:val="0"/>
        <w:kinsoku/>
        <w:wordWrap/>
        <w:overflowPunct/>
        <w:topLinePunct w:val="0"/>
        <w:autoSpaceDE/>
        <w:autoSpaceDN/>
        <w:bidi w:val="0"/>
        <w:spacing w:line="560" w:lineRule="exact"/>
        <w:ind w:left="0" w:leftChars="0" w:firstLine="482" w:firstLineChars="200"/>
        <w:jc w:val="left"/>
        <w:rPr>
          <w:rFonts w:hint="eastAsia" w:ascii="宋体" w:hAnsi="宋体" w:eastAsia="宋体" w:cs="宋体"/>
          <w:sz w:val="24"/>
          <w:szCs w:val="24"/>
          <w:highlight w:val="none"/>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sz w:val="24"/>
          <w:szCs w:val="24"/>
          <w:highlight w:val="none"/>
        </w:rPr>
        <w:t>（3）付款条件（进度和方式）：</w:t>
      </w:r>
      <w:r>
        <w:rPr>
          <w:rFonts w:hint="eastAsia" w:cs="宋体"/>
          <w:sz w:val="24"/>
          <w:szCs w:val="24"/>
          <w:highlight w:val="none"/>
          <w:lang w:eastAsia="zh-CN"/>
        </w:rPr>
        <w:t>具体付款时间根据团场财政资金到位情况分期付款，最晚不迟于下个采暖季开始前付清</w:t>
      </w:r>
      <w:r>
        <w:rPr>
          <w:rFonts w:hint="eastAsia" w:ascii="宋体" w:hAnsi="宋体" w:eastAsia="宋体" w:cs="宋体"/>
          <w:sz w:val="24"/>
          <w:szCs w:val="24"/>
          <w:highlight w:val="none"/>
        </w:rPr>
        <w:t>(师市运行补贴服务费及涵盖供暖系统所有设备运行、维护维修所发生的所有费用)。</w:t>
      </w:r>
    </w:p>
    <w:p w14:paraId="3BDF9BF9">
      <w:pPr>
        <w:keepNext w:val="0"/>
        <w:keepLines w:val="0"/>
        <w:pageBreakBefore w:val="0"/>
        <w:kinsoku/>
        <w:wordWrap/>
        <w:overflowPunct/>
        <w:topLinePunct w:val="0"/>
        <w:autoSpaceDE/>
        <w:autoSpaceDN/>
        <w:bidi w:val="0"/>
        <w:spacing w:line="56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注:本服务项目服务期为三年，一年一支付，其中供暖收费由中标单位自行收取，与甲方无关。收费标准为:住房20元/</w:t>
      </w:r>
      <w:r>
        <w:rPr>
          <w:rFonts w:hint="eastAsia" w:cs="宋体"/>
          <w:sz w:val="24"/>
          <w:szCs w:val="24"/>
          <w:highlight w:val="none"/>
          <w:lang w:val="en-US" w:eastAsia="zh-CN"/>
        </w:rPr>
        <w:t>㎡</w:t>
      </w:r>
      <w:r>
        <w:rPr>
          <w:rFonts w:hint="eastAsia" w:cs="宋体"/>
          <w:sz w:val="24"/>
          <w:szCs w:val="24"/>
          <w:highlight w:val="none"/>
          <w:lang w:eastAsia="zh-CN"/>
        </w:rPr>
        <w:t>，</w:t>
      </w:r>
      <w:r>
        <w:rPr>
          <w:rFonts w:hint="eastAsia" w:ascii="宋体" w:hAnsi="宋体" w:eastAsia="宋体" w:cs="宋体"/>
          <w:sz w:val="24"/>
          <w:szCs w:val="24"/>
          <w:highlight w:val="none"/>
        </w:rPr>
        <w:t>商铺 22 元/</w:t>
      </w:r>
      <w:r>
        <w:rPr>
          <w:rFonts w:hint="eastAsia" w:cs="宋体"/>
          <w:sz w:val="24"/>
          <w:szCs w:val="24"/>
          <w:highlight w:val="none"/>
          <w:lang w:val="en-US" w:eastAsia="zh-CN"/>
        </w:rPr>
        <w:t>㎡</w:t>
      </w:r>
      <w:r>
        <w:rPr>
          <w:rFonts w:hint="eastAsia" w:ascii="宋体" w:hAnsi="宋体" w:eastAsia="宋体" w:cs="宋体"/>
          <w:sz w:val="24"/>
          <w:szCs w:val="24"/>
          <w:highlight w:val="none"/>
        </w:rPr>
        <w:t xml:space="preserve"> 。</w:t>
      </w:r>
    </w:p>
    <w:p w14:paraId="42342DF0">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★（4）报价要求：</w:t>
      </w:r>
    </w:p>
    <w:p w14:paraId="0D8BDFC7">
      <w:pPr>
        <w:pStyle w:val="85"/>
        <w:keepNext w:val="0"/>
        <w:keepLines w:val="0"/>
        <w:pageBreakBefore w:val="0"/>
        <w:shd w:val="clear" w:color="auto" w:fill="auto"/>
        <w:kinsoku/>
        <w:wordWrap/>
        <w:overflowPunct/>
        <w:topLinePunct w:val="0"/>
        <w:autoSpaceDE/>
        <w:autoSpaceDN/>
        <w:bidi w:val="0"/>
        <w:spacing w:line="560" w:lineRule="exact"/>
        <w:ind w:left="0" w:leftChars="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的报价明显低于其他通过符合性审查供应商的报价，有可能影响产品质量或者不能诚信履约的，供应商应在评审现场合理的时间内提供书面说明，必要时提交相关证明材料；供应商不能证明其报价合理性的，响应无效。</w:t>
      </w:r>
    </w:p>
    <w:p w14:paraId="3234AA0A">
      <w:pPr>
        <w:keepNext w:val="0"/>
        <w:keepLines w:val="0"/>
        <w:pageBreakBefore w:val="0"/>
        <w:kinsoku/>
        <w:wordWrap/>
        <w:overflowPunct/>
        <w:topLinePunct w:val="0"/>
        <w:autoSpaceDE/>
        <w:autoSpaceDN/>
        <w:bidi w:val="0"/>
        <w:spacing w:line="560" w:lineRule="exact"/>
        <w:ind w:left="0" w:leftChars="0" w:firstLine="482" w:firstLineChars="200"/>
        <w:jc w:val="left"/>
        <w:rPr>
          <w:rFonts w:hint="eastAsia" w:ascii="宋体" w:hAnsi="宋体" w:eastAsia="宋体" w:cs="宋体"/>
          <w:sz w:val="24"/>
          <w:szCs w:val="24"/>
          <w:highlight w:val="none"/>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sz w:val="24"/>
          <w:szCs w:val="24"/>
          <w:highlight w:val="none"/>
        </w:rPr>
        <w:t>（5）其他商务要求：</w:t>
      </w:r>
    </w:p>
    <w:p w14:paraId="0F87C5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zh-CN" w:eastAsia="zh-CN"/>
        </w:rPr>
        <w:t>供应商应当在投标文件中列出完成本项目并通过验收所需的所有各项服务等明细表及全部费用。</w:t>
      </w:r>
      <w:r>
        <w:rPr>
          <w:rFonts w:hint="eastAsia" w:ascii="宋体" w:hAnsi="宋体" w:eastAsia="宋体" w:cs="宋体"/>
          <w:b w:val="0"/>
          <w:bCs w:val="0"/>
          <w:color w:val="auto"/>
          <w:sz w:val="24"/>
          <w:szCs w:val="24"/>
          <w:highlight w:val="none"/>
          <w:lang w:val="en-US" w:eastAsia="zh-CN"/>
        </w:rPr>
        <w:t>成交供应商</w:t>
      </w:r>
      <w:r>
        <w:rPr>
          <w:rFonts w:hint="eastAsia" w:ascii="宋体" w:hAnsi="宋体" w:eastAsia="宋体" w:cs="宋体"/>
          <w:b w:val="0"/>
          <w:bCs w:val="0"/>
          <w:color w:val="auto"/>
          <w:sz w:val="24"/>
          <w:szCs w:val="24"/>
          <w:highlight w:val="none"/>
          <w:lang w:val="zh-CN" w:eastAsia="zh-CN"/>
        </w:rPr>
        <w:t>必须确保整体通过用户方及有关主管部门验收，所发生的验收费用由</w:t>
      </w:r>
      <w:r>
        <w:rPr>
          <w:rFonts w:hint="eastAsia" w:ascii="宋体" w:hAnsi="宋体" w:eastAsia="宋体" w:cs="宋体"/>
          <w:b w:val="0"/>
          <w:bCs w:val="0"/>
          <w:color w:val="auto"/>
          <w:sz w:val="24"/>
          <w:szCs w:val="24"/>
          <w:highlight w:val="none"/>
          <w:lang w:val="en-US" w:eastAsia="zh-CN"/>
        </w:rPr>
        <w:t>成交供应商</w:t>
      </w:r>
      <w:r>
        <w:rPr>
          <w:rFonts w:hint="eastAsia" w:ascii="宋体" w:hAnsi="宋体" w:eastAsia="宋体" w:cs="宋体"/>
          <w:b w:val="0"/>
          <w:bCs w:val="0"/>
          <w:color w:val="auto"/>
          <w:sz w:val="24"/>
          <w:szCs w:val="24"/>
          <w:highlight w:val="none"/>
          <w:lang w:val="zh-CN" w:eastAsia="zh-CN"/>
        </w:rPr>
        <w:t>承担。</w:t>
      </w:r>
      <w:r>
        <w:rPr>
          <w:rFonts w:hint="eastAsia" w:ascii="宋体" w:hAnsi="宋体" w:eastAsia="宋体" w:cs="宋体"/>
          <w:b w:val="0"/>
          <w:bCs w:val="0"/>
          <w:color w:val="auto"/>
          <w:sz w:val="24"/>
          <w:szCs w:val="24"/>
          <w:highlight w:val="none"/>
          <w:lang w:val="zh-CN" w:eastAsia="zh-CN"/>
        </w:rPr>
        <w:cr/>
      </w:r>
      <w:r>
        <w:rPr>
          <w:rFonts w:hint="eastAsia" w:ascii="Times New Roman" w:hAnsi="Times New Roman" w:eastAsia="仿宋" w:cs="仿宋"/>
          <w:b w:val="0"/>
          <w:bCs w:val="0"/>
          <w:color w:val="auto"/>
          <w:sz w:val="32"/>
          <w:szCs w:val="32"/>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2）</w:t>
      </w:r>
      <w:r>
        <w:rPr>
          <w:rFonts w:hint="eastAsia" w:ascii="宋体" w:hAnsi="宋体" w:eastAsia="宋体" w:cs="宋体"/>
          <w:b w:val="0"/>
          <w:bCs w:val="0"/>
          <w:color w:val="auto"/>
          <w:sz w:val="24"/>
          <w:szCs w:val="24"/>
          <w:highlight w:val="none"/>
          <w:lang w:val="zh-CN" w:eastAsia="zh-CN"/>
        </w:rPr>
        <w:t>如对本响应文件有任何疑问或要求澄清，请按本响应文件的规定提出，否则视同理解和接受。</w:t>
      </w:r>
    </w:p>
    <w:p w14:paraId="218A9CA0">
      <w:pPr>
        <w:keepNext w:val="0"/>
        <w:keepLines w:val="0"/>
        <w:pageBreakBefore w:val="0"/>
        <w:widowControl/>
        <w:numPr>
          <w:ilvl w:val="0"/>
          <w:numId w:val="0"/>
        </w:numPr>
        <w:kinsoku/>
        <w:wordWrap/>
        <w:overflowPunct/>
        <w:topLinePunct w:val="0"/>
        <w:autoSpaceDE/>
        <w:autoSpaceDN/>
        <w:bidi w:val="0"/>
        <w:spacing w:line="560" w:lineRule="exact"/>
        <w:ind w:left="0" w:leftChars="0" w:firstLine="480" w:firstLineChars="200"/>
        <w:jc w:val="left"/>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b w:val="0"/>
          <w:bCs w:val="0"/>
          <w:color w:val="auto"/>
          <w:kern w:val="2"/>
          <w:sz w:val="24"/>
          <w:szCs w:val="24"/>
          <w:highlight w:val="none"/>
          <w:lang w:val="en-US" w:eastAsia="zh-CN"/>
        </w:rPr>
        <w:t xml:space="preserve">投标文件中有弄虚作假的内容，其投标文件作废。（如假证书、假业绩、假合同、隐瞒不良行为记录、夸大荣誉、使用非本单位在职员工的相关证件及不符合响应文件规定的条款等）；在签订合同之前，供应商如发现供应商的投标文件有弄虚作假内容，招标人可拒绝与其签订合同。并将其列入政府采购黑名单库。                                                                                                                                      </w:t>
      </w:r>
    </w:p>
    <w:p w14:paraId="4CC4D4BE">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的同时不得耽误本项目供货。</w:t>
      </w:r>
    </w:p>
    <w:p w14:paraId="3DF93666">
      <w:pPr>
        <w:keepNext w:val="0"/>
        <w:keepLines w:val="0"/>
        <w:pageBreakBefore w:val="0"/>
        <w:kinsoku/>
        <w:wordWrap/>
        <w:overflowPunct/>
        <w:topLinePunct w:val="0"/>
        <w:autoSpaceDE/>
        <w:autoSpaceDN/>
        <w:bidi w:val="0"/>
        <w:spacing w:line="560" w:lineRule="exact"/>
        <w:ind w:left="0"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kern w:val="2"/>
          <w:sz w:val="24"/>
          <w:szCs w:val="24"/>
          <w:highlight w:val="none"/>
          <w:lang w:val="en-US" w:eastAsia="zh-CN" w:bidi="ar-SA"/>
        </w:rPr>
        <w:t>根据《中华人民共和国民法典》第四百七十八条 有下列情形之一的，要约失效:(一)要约被拒绝;(二)要约被依法撤销;(三)承诺期限届满，受要约人未作出承诺;(四)受要约人对要约的内容作出实质性变更。第四百八十八条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采购需求中标注“★”项为实质性条款，负偏离将导致响应被否</w:t>
      </w:r>
      <w:bookmarkEnd w:id="508"/>
    </w:p>
    <w:p w14:paraId="3D05C40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087FBCED">
      <w:pPr>
        <w:pStyle w:val="64"/>
        <w:pageBreakBefore w:val="0"/>
        <w:shd w:val="clear" w:color="auto" w:fill="auto"/>
        <w:kinsoku/>
        <w:wordWrap/>
        <w:overflowPunct/>
        <w:topLinePunct w:val="0"/>
        <w:bidi w:val="0"/>
        <w:spacing w:line="360" w:lineRule="auto"/>
        <w:ind w:firstLine="424" w:firstLineChars="177"/>
        <w:rPr>
          <w:rFonts w:hint="eastAsia" w:ascii="宋体" w:hAnsi="宋体" w:eastAsia="宋体" w:cs="宋体"/>
          <w:color w:val="auto"/>
          <w:sz w:val="24"/>
          <w:highlight w:val="none"/>
          <w:lang w:val="en-US" w:eastAsia="zh-CN"/>
        </w:rPr>
      </w:pPr>
    </w:p>
    <w:bookmarkEnd w:id="509"/>
    <w:bookmarkEnd w:id="510"/>
    <w:p w14:paraId="7F89161E">
      <w:pPr>
        <w:pStyle w:val="64"/>
        <w:pageBreakBefore w:val="0"/>
        <w:shd w:val="clear" w:color="auto" w:fill="auto"/>
        <w:kinsoku/>
        <w:wordWrap/>
        <w:overflowPunct/>
        <w:topLinePunct w:val="0"/>
        <w:bidi w:val="0"/>
        <w:spacing w:line="360" w:lineRule="auto"/>
        <w:ind w:firstLine="424" w:firstLineChars="177"/>
        <w:rPr>
          <w:rFonts w:hint="eastAsia" w:ascii="宋体" w:hAnsi="宋体" w:eastAsia="宋体" w:cs="宋体"/>
          <w:color w:val="auto"/>
          <w:sz w:val="24"/>
          <w:highlight w:val="none"/>
        </w:rPr>
      </w:pPr>
    </w:p>
    <w:p w14:paraId="6401552E">
      <w:pPr>
        <w:pStyle w:val="64"/>
        <w:pageBreakBefore w:val="0"/>
        <w:shd w:val="clear" w:color="auto" w:fill="auto"/>
        <w:kinsoku/>
        <w:wordWrap/>
        <w:overflowPunct/>
        <w:topLinePunct w:val="0"/>
        <w:bidi w:val="0"/>
        <w:spacing w:line="360" w:lineRule="auto"/>
        <w:ind w:firstLine="424" w:firstLineChars="177"/>
        <w:rPr>
          <w:rFonts w:hint="eastAsia" w:ascii="宋体" w:hAnsi="宋体" w:eastAsia="宋体" w:cs="宋体"/>
          <w:color w:val="auto"/>
          <w:sz w:val="24"/>
          <w:highlight w:val="none"/>
        </w:rPr>
      </w:pPr>
    </w:p>
    <w:p w14:paraId="1EC5B892">
      <w:pPr>
        <w:pStyle w:val="64"/>
        <w:pageBreakBefore w:val="0"/>
        <w:shd w:val="clear" w:color="auto" w:fill="auto"/>
        <w:kinsoku/>
        <w:wordWrap/>
        <w:overflowPunct/>
        <w:topLinePunct w:val="0"/>
        <w:bidi w:val="0"/>
        <w:spacing w:line="360" w:lineRule="auto"/>
        <w:ind w:firstLine="424" w:firstLineChars="177"/>
        <w:rPr>
          <w:rFonts w:hint="eastAsia" w:ascii="宋体" w:hAnsi="宋体" w:eastAsia="宋体" w:cs="宋体"/>
          <w:color w:val="auto"/>
          <w:sz w:val="24"/>
          <w:highlight w:val="none"/>
        </w:rPr>
      </w:pPr>
    </w:p>
    <w:p w14:paraId="08BEC8F1">
      <w:pPr>
        <w:pStyle w:val="11"/>
        <w:rPr>
          <w:rFonts w:hint="eastAsia"/>
          <w:color w:val="auto"/>
          <w:highlight w:val="none"/>
          <w:lang w:val="zh-CN" w:eastAsia="zh-CN"/>
        </w:rPr>
      </w:pPr>
    </w:p>
    <w:p w14:paraId="6711D9E9">
      <w:pPr>
        <w:pStyle w:val="11"/>
        <w:rPr>
          <w:rFonts w:hint="eastAsia"/>
          <w:color w:val="auto"/>
          <w:highlight w:val="none"/>
          <w:lang w:val="zh-CN" w:eastAsia="zh-CN"/>
        </w:rPr>
      </w:pPr>
    </w:p>
    <w:p w14:paraId="38B854B6">
      <w:pPr>
        <w:rPr>
          <w:rFonts w:hint="eastAsia" w:ascii="宋体" w:hAnsi="宋体" w:eastAsia="宋体" w:cs="宋体"/>
          <w:b/>
          <w:bCs/>
          <w:color w:val="auto"/>
          <w:kern w:val="44"/>
          <w:sz w:val="36"/>
          <w:szCs w:val="36"/>
          <w:highlight w:val="none"/>
          <w:lang w:val="en-US" w:eastAsia="zh-CN" w:bidi="ar-SA"/>
        </w:rPr>
      </w:pPr>
      <w:bookmarkStart w:id="511" w:name="_Toc155185895"/>
      <w:r>
        <w:rPr>
          <w:rFonts w:hint="eastAsia" w:ascii="宋体" w:hAnsi="宋体" w:eastAsia="宋体" w:cs="宋体"/>
          <w:b/>
          <w:bCs/>
          <w:color w:val="auto"/>
          <w:kern w:val="44"/>
          <w:sz w:val="36"/>
          <w:szCs w:val="36"/>
          <w:highlight w:val="none"/>
          <w:lang w:val="en-US" w:eastAsia="zh-CN" w:bidi="ar-SA"/>
        </w:rPr>
        <w:br w:type="page"/>
      </w:r>
    </w:p>
    <w:p w14:paraId="11B227F7">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12" w:name="_Toc21964"/>
      <w:r>
        <w:rPr>
          <w:rFonts w:hint="eastAsia" w:ascii="宋体" w:hAnsi="宋体" w:eastAsia="宋体" w:cs="宋体"/>
          <w:b/>
          <w:bCs/>
          <w:color w:val="auto"/>
          <w:kern w:val="44"/>
          <w:sz w:val="36"/>
          <w:szCs w:val="36"/>
          <w:highlight w:val="none"/>
          <w:lang w:val="en-US" w:eastAsia="zh-CN" w:bidi="ar-SA"/>
        </w:rPr>
        <w:t>第四章 资格审查</w:t>
      </w:r>
      <w:bookmarkEnd w:id="511"/>
      <w:bookmarkEnd w:id="512"/>
    </w:p>
    <w:p w14:paraId="213313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13" w:name="_Toc18536"/>
      <w:r>
        <w:rPr>
          <w:rFonts w:hint="eastAsia"/>
          <w:color w:val="auto"/>
          <w:sz w:val="28"/>
          <w:szCs w:val="28"/>
          <w:highlight w:val="none"/>
          <w:lang w:val="en-US" w:eastAsia="zh-CN"/>
        </w:rPr>
        <w:t>一、资格审查程序</w:t>
      </w:r>
      <w:bookmarkEnd w:id="513"/>
      <w:r>
        <w:rPr>
          <w:rFonts w:hint="eastAsia"/>
          <w:color w:val="auto"/>
          <w:sz w:val="28"/>
          <w:szCs w:val="28"/>
          <w:highlight w:val="none"/>
          <w:lang w:val="en-US" w:eastAsia="zh-CN"/>
        </w:rPr>
        <w:t xml:space="preserve"> </w:t>
      </w:r>
    </w:p>
    <w:p w14:paraId="4E4090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 xml:space="preserve">1 开标结束后，采购人或采购代理机构将根据《资格审查要求》中的规定，对投标人进行资格审查，并形成资格审查结果。 </w:t>
      </w:r>
    </w:p>
    <w:p w14:paraId="62799CDE">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default"/>
          <w:color w:val="auto"/>
          <w:highlight w:val="none"/>
          <w:lang w:val="en-US" w:eastAsia="zh-CN"/>
        </w:rPr>
        <w:t xml:space="preserve">2 </w:t>
      </w:r>
      <w:r>
        <w:rPr>
          <w:rFonts w:hint="eastAsia"/>
          <w:color w:val="auto"/>
          <w:highlight w:val="none"/>
          <w:lang w:val="en-US" w:eastAsia="zh-CN"/>
        </w:rPr>
        <w:t>投标人《资格证明文件》有任何一项不符合《资格审查要求》的，资格审查不合格，其</w:t>
      </w:r>
      <w:r>
        <w:rPr>
          <w:rFonts w:hint="eastAsia"/>
          <w:b/>
          <w:bCs/>
          <w:color w:val="auto"/>
          <w:highlight w:val="none"/>
          <w:lang w:val="en-US" w:eastAsia="zh-CN"/>
        </w:rPr>
        <w:t>投标无效</w:t>
      </w:r>
      <w:r>
        <w:rPr>
          <w:rFonts w:hint="eastAsia"/>
          <w:color w:val="auto"/>
          <w:highlight w:val="none"/>
          <w:lang w:val="en-US" w:eastAsia="zh-CN"/>
        </w:rPr>
        <w:t xml:space="preserve">。 </w:t>
      </w:r>
    </w:p>
    <w:p w14:paraId="37E914D8">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资格审查合格的投标人不足 </w:t>
      </w:r>
      <w:r>
        <w:rPr>
          <w:rFonts w:hint="default"/>
          <w:color w:val="auto"/>
          <w:highlight w:val="none"/>
          <w:lang w:val="en-US" w:eastAsia="zh-CN"/>
        </w:rPr>
        <w:t xml:space="preserve">3 </w:t>
      </w:r>
      <w:r>
        <w:rPr>
          <w:rFonts w:hint="eastAsia"/>
          <w:color w:val="auto"/>
          <w:highlight w:val="none"/>
          <w:lang w:val="en-US" w:eastAsia="zh-CN"/>
        </w:rPr>
        <w:t xml:space="preserve">家的，不进行评标。 </w:t>
      </w:r>
    </w:p>
    <w:p w14:paraId="1720E868">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14" w:name="_Toc6827"/>
      <w:r>
        <w:rPr>
          <w:rFonts w:hint="eastAsia"/>
          <w:color w:val="auto"/>
          <w:sz w:val="28"/>
          <w:szCs w:val="28"/>
          <w:highlight w:val="none"/>
          <w:lang w:val="en-US" w:eastAsia="zh-CN"/>
        </w:rPr>
        <w:t>二、资格审查要求</w:t>
      </w:r>
      <w:bookmarkEnd w:id="514"/>
      <w:r>
        <w:rPr>
          <w:rFonts w:hint="eastAsia"/>
          <w:color w:val="auto"/>
          <w:sz w:val="28"/>
          <w:szCs w:val="28"/>
          <w:highlight w:val="none"/>
          <w:lang w:val="en-US" w:eastAsia="zh-CN"/>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1"/>
        <w:gridCol w:w="1816"/>
        <w:gridCol w:w="5380"/>
        <w:gridCol w:w="1601"/>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6" w:type="pct"/>
            <w:shd w:val="clear" w:color="auto" w:fill="D8D8D8" w:themeFill="background1" w:themeFillShade="D9"/>
            <w:vAlign w:val="center"/>
          </w:tcPr>
          <w:p w14:paraId="31F150F3">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44" w:type="pct"/>
            <w:shd w:val="clear" w:color="auto" w:fill="D8D8D8" w:themeFill="background1" w:themeFillShade="D9"/>
            <w:vAlign w:val="center"/>
          </w:tcPr>
          <w:p w14:paraId="29694278">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95" w:type="pct"/>
            <w:shd w:val="clear" w:color="auto" w:fill="D8D8D8" w:themeFill="background1" w:themeFillShade="D9"/>
            <w:vAlign w:val="center"/>
          </w:tcPr>
          <w:p w14:paraId="635BC09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32" w:type="pct"/>
            <w:shd w:val="clear" w:color="auto" w:fill="D8D8D8" w:themeFill="background1" w:themeFillShade="D9"/>
            <w:vAlign w:val="center"/>
          </w:tcPr>
          <w:p w14:paraId="6075A15A">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696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6" w:hRule="atLeast"/>
          <w:jc w:val="center"/>
        </w:trPr>
        <w:tc>
          <w:tcPr>
            <w:tcW w:w="426" w:type="pct"/>
            <w:shd w:val="clear" w:color="auto" w:fill="FFFFFF" w:themeFill="background1"/>
            <w:vAlign w:val="center"/>
          </w:tcPr>
          <w:p w14:paraId="636EB3B4">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944" w:type="pct"/>
            <w:shd w:val="clear" w:color="auto" w:fill="FFFFFF" w:themeFill="background1"/>
            <w:vAlign w:val="center"/>
          </w:tcPr>
          <w:p w14:paraId="267C1675">
            <w:pPr>
              <w:pStyle w:val="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58A237A7">
            <w:pPr>
              <w:pStyle w:val="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4DBD5590">
            <w:pPr>
              <w:pStyle w:val="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795" w:type="pct"/>
            <w:shd w:val="clear" w:color="auto" w:fill="FFFFFF" w:themeFill="background1"/>
            <w:vAlign w:val="center"/>
          </w:tcPr>
          <w:p w14:paraId="215E0855">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24AF5599">
            <w:pPr>
              <w:pStyle w:val="51"/>
              <w:jc w:val="center"/>
              <w:rPr>
                <w:rFonts w:hint="eastAsia" w:ascii="宋体" w:hAnsi="宋体" w:eastAsia="宋体" w:cs="宋体"/>
                <w:b/>
                <w:bCs/>
                <w:color w:val="auto"/>
                <w:sz w:val="24"/>
                <w:szCs w:val="24"/>
                <w:highlight w:val="none"/>
              </w:rPr>
            </w:pP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16" w:hRule="atLeast"/>
          <w:jc w:val="center"/>
        </w:trPr>
        <w:tc>
          <w:tcPr>
            <w:tcW w:w="426" w:type="pct"/>
            <w:shd w:val="clear" w:color="auto" w:fill="FFFFFF" w:themeFill="background1"/>
            <w:vAlign w:val="center"/>
          </w:tcPr>
          <w:p w14:paraId="1AF8CF7F">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944" w:type="pct"/>
            <w:shd w:val="clear" w:color="auto" w:fill="FFFFFF" w:themeFill="background1"/>
            <w:vAlign w:val="center"/>
          </w:tcPr>
          <w:p w14:paraId="055CD5DC">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95" w:type="pct"/>
            <w:shd w:val="clear" w:color="auto" w:fill="FFFFFF" w:themeFill="background1"/>
            <w:vAlign w:val="center"/>
          </w:tcPr>
          <w:p w14:paraId="7DB1C26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693E34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0BB3751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0667B6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3CB603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832" w:type="pct"/>
            <w:shd w:val="clear" w:color="auto" w:fill="FFFFFF" w:themeFill="background1"/>
            <w:vAlign w:val="center"/>
          </w:tcPr>
          <w:p w14:paraId="60CD4B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8" w:hRule="atLeast"/>
          <w:jc w:val="center"/>
        </w:trPr>
        <w:tc>
          <w:tcPr>
            <w:tcW w:w="426" w:type="pct"/>
            <w:shd w:val="clear" w:color="auto" w:fill="FFFFFF" w:themeFill="background1"/>
            <w:vAlign w:val="center"/>
          </w:tcPr>
          <w:p w14:paraId="1B6B10C6">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944" w:type="pct"/>
            <w:shd w:val="clear" w:color="auto" w:fill="FFFFFF" w:themeFill="background1"/>
            <w:vAlign w:val="center"/>
          </w:tcPr>
          <w:p w14:paraId="1BD0E12D">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95" w:type="pct"/>
            <w:shd w:val="clear" w:color="auto" w:fill="FFFFFF" w:themeFill="background1"/>
            <w:vAlign w:val="center"/>
          </w:tcPr>
          <w:p w14:paraId="041E784F">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提供了符合招标文件要求的《兵团政府采购供应商信用承诺函》。</w:t>
            </w:r>
          </w:p>
        </w:tc>
        <w:tc>
          <w:tcPr>
            <w:tcW w:w="832" w:type="pct"/>
            <w:shd w:val="clear" w:color="auto" w:fill="FFFFFF" w:themeFill="background1"/>
            <w:vAlign w:val="center"/>
          </w:tcPr>
          <w:p w14:paraId="1422A2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44" w:hRule="atLeast"/>
          <w:jc w:val="center"/>
        </w:trPr>
        <w:tc>
          <w:tcPr>
            <w:tcW w:w="426" w:type="pct"/>
            <w:shd w:val="clear" w:color="auto" w:fill="FFFFFF" w:themeFill="background1"/>
            <w:vAlign w:val="center"/>
          </w:tcPr>
          <w:p w14:paraId="0A4E48AD">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944" w:type="pct"/>
            <w:shd w:val="clear" w:color="auto" w:fill="FFFFFF" w:themeFill="background1"/>
            <w:vAlign w:val="center"/>
          </w:tcPr>
          <w:p w14:paraId="6F347850">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95" w:type="pct"/>
            <w:shd w:val="clear" w:color="auto" w:fill="FFFFFF" w:themeFill="background1"/>
            <w:vAlign w:val="center"/>
          </w:tcPr>
          <w:p w14:paraId="747BCCCD">
            <w:pPr>
              <w:pStyle w:val="51"/>
              <w:jc w:val="both"/>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4D80C076">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496D1252">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2F28F46E">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1A0058F5">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32" w:type="pct"/>
            <w:shd w:val="clear" w:color="auto" w:fill="FFFFFF" w:themeFill="background1"/>
            <w:vAlign w:val="center"/>
          </w:tcPr>
          <w:p w14:paraId="41CEE0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0D1403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7DD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6" w:type="pct"/>
            <w:shd w:val="clear" w:color="auto" w:fill="FFFFFF" w:themeFill="background1"/>
            <w:vAlign w:val="center"/>
          </w:tcPr>
          <w:p w14:paraId="330FEA22">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w:t>
            </w:r>
          </w:p>
        </w:tc>
        <w:tc>
          <w:tcPr>
            <w:tcW w:w="944" w:type="pct"/>
            <w:shd w:val="clear" w:color="auto" w:fill="FFFFFF" w:themeFill="background1"/>
            <w:vAlign w:val="center"/>
          </w:tcPr>
          <w:p w14:paraId="60F45FA7">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2795" w:type="pct"/>
            <w:shd w:val="clear" w:color="auto" w:fill="FFFFFF" w:themeFill="background1"/>
            <w:vAlign w:val="center"/>
          </w:tcPr>
          <w:p w14:paraId="2B64265B">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832" w:type="pct"/>
            <w:shd w:val="clear" w:color="auto" w:fill="FFFFFF" w:themeFill="background1"/>
            <w:vAlign w:val="center"/>
          </w:tcPr>
          <w:p w14:paraId="0ACC3285">
            <w:pPr>
              <w:pStyle w:val="51"/>
              <w:jc w:val="center"/>
              <w:rPr>
                <w:rFonts w:hint="eastAsia" w:ascii="宋体" w:hAnsi="宋体" w:eastAsia="宋体" w:cs="宋体"/>
                <w:b/>
                <w:bCs/>
                <w:color w:val="auto"/>
                <w:sz w:val="24"/>
                <w:szCs w:val="24"/>
                <w:highlight w:val="none"/>
              </w:rPr>
            </w:pPr>
          </w:p>
        </w:tc>
      </w:tr>
      <w:tr w14:paraId="5B3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20" w:hRule="atLeast"/>
          <w:jc w:val="center"/>
        </w:trPr>
        <w:tc>
          <w:tcPr>
            <w:tcW w:w="426" w:type="pct"/>
            <w:shd w:val="clear" w:color="auto" w:fill="FFFFFF" w:themeFill="background1"/>
            <w:vAlign w:val="center"/>
          </w:tcPr>
          <w:p w14:paraId="45F0574F">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944" w:type="pct"/>
            <w:shd w:val="clear" w:color="auto" w:fill="FFFFFF" w:themeFill="background1"/>
            <w:vAlign w:val="center"/>
          </w:tcPr>
          <w:p w14:paraId="004158CF">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落实政府采购政策需满足的资格要求</w:t>
            </w:r>
          </w:p>
        </w:tc>
        <w:tc>
          <w:tcPr>
            <w:tcW w:w="2795" w:type="pct"/>
            <w:shd w:val="clear" w:color="auto" w:fill="FFFFFF" w:themeFill="background1"/>
            <w:vAlign w:val="center"/>
          </w:tcPr>
          <w:p w14:paraId="3E10D772">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具体要求见“第一章 招标公告”</w:t>
            </w:r>
          </w:p>
        </w:tc>
        <w:tc>
          <w:tcPr>
            <w:tcW w:w="832" w:type="pct"/>
            <w:shd w:val="clear" w:color="auto" w:fill="FFFFFF" w:themeFill="background1"/>
            <w:vAlign w:val="center"/>
          </w:tcPr>
          <w:p w14:paraId="0BFAF045">
            <w:pPr>
              <w:pStyle w:val="51"/>
              <w:jc w:val="center"/>
              <w:rPr>
                <w:rFonts w:hint="eastAsia" w:ascii="宋体" w:hAnsi="宋体" w:eastAsia="宋体" w:cs="宋体"/>
                <w:b/>
                <w:bCs/>
                <w:color w:val="auto"/>
                <w:sz w:val="24"/>
                <w:szCs w:val="24"/>
                <w:highlight w:val="none"/>
              </w:rPr>
            </w:pPr>
          </w:p>
        </w:tc>
      </w:tr>
      <w:tr w14:paraId="1F03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6" w:hRule="atLeast"/>
          <w:jc w:val="center"/>
        </w:trPr>
        <w:tc>
          <w:tcPr>
            <w:tcW w:w="426" w:type="pct"/>
            <w:shd w:val="clear" w:color="auto" w:fill="FFFFFF" w:themeFill="background1"/>
            <w:vAlign w:val="center"/>
          </w:tcPr>
          <w:p w14:paraId="61B9AA42">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w:t>
            </w:r>
          </w:p>
        </w:tc>
        <w:tc>
          <w:tcPr>
            <w:tcW w:w="944" w:type="pct"/>
            <w:shd w:val="clear" w:color="auto" w:fill="FFFFFF" w:themeFill="background1"/>
            <w:vAlign w:val="center"/>
          </w:tcPr>
          <w:p w14:paraId="4524F3DA">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中小企业政策</w:t>
            </w:r>
          </w:p>
        </w:tc>
        <w:tc>
          <w:tcPr>
            <w:tcW w:w="2795" w:type="pct"/>
            <w:shd w:val="clear" w:color="auto" w:fill="FFFFFF" w:themeFill="background1"/>
            <w:vAlign w:val="center"/>
          </w:tcPr>
          <w:p w14:paraId="3BC7BED9">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具体要求见</w:t>
            </w:r>
            <w:r>
              <w:rPr>
                <w:rFonts w:hint="eastAsia" w:ascii="宋体" w:hAnsi="宋体" w:eastAsia="宋体" w:cs="宋体"/>
                <w:color w:val="auto"/>
                <w:sz w:val="24"/>
                <w:szCs w:val="24"/>
                <w:highlight w:val="none"/>
                <w:lang w:val="en-US" w:eastAsia="zh-CN"/>
              </w:rPr>
              <w:t>“第一章 招标公告”</w:t>
            </w:r>
          </w:p>
        </w:tc>
        <w:tc>
          <w:tcPr>
            <w:tcW w:w="832" w:type="pct"/>
            <w:shd w:val="clear" w:color="auto" w:fill="FFFFFF" w:themeFill="background1"/>
            <w:vAlign w:val="center"/>
          </w:tcPr>
          <w:p w14:paraId="1657D6EE">
            <w:pPr>
              <w:pStyle w:val="51"/>
              <w:jc w:val="center"/>
              <w:rPr>
                <w:rFonts w:hint="eastAsia" w:ascii="宋体" w:hAnsi="宋体" w:eastAsia="宋体" w:cs="宋体"/>
                <w:b/>
                <w:bCs/>
                <w:color w:val="auto"/>
                <w:sz w:val="24"/>
                <w:szCs w:val="24"/>
                <w:highlight w:val="none"/>
              </w:rPr>
            </w:pPr>
          </w:p>
        </w:tc>
      </w:tr>
      <w:tr w14:paraId="3753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76" w:hRule="atLeast"/>
          <w:jc w:val="center"/>
        </w:trPr>
        <w:tc>
          <w:tcPr>
            <w:tcW w:w="426" w:type="pct"/>
            <w:shd w:val="clear" w:color="auto" w:fill="FFFFFF" w:themeFill="background1"/>
            <w:vAlign w:val="center"/>
          </w:tcPr>
          <w:p w14:paraId="35001BC1">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2-1-1</w:t>
            </w:r>
          </w:p>
        </w:tc>
        <w:tc>
          <w:tcPr>
            <w:tcW w:w="944" w:type="pct"/>
            <w:shd w:val="clear" w:color="auto" w:fill="FFFFFF" w:themeFill="background1"/>
            <w:vAlign w:val="center"/>
          </w:tcPr>
          <w:p w14:paraId="33B8D761">
            <w:pPr>
              <w:pStyle w:val="51"/>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中小企业证明文件</w:t>
            </w:r>
          </w:p>
        </w:tc>
        <w:tc>
          <w:tcPr>
            <w:tcW w:w="2795" w:type="pct"/>
            <w:shd w:val="clear" w:color="auto" w:fill="FFFFFF" w:themeFill="background1"/>
            <w:vAlign w:val="center"/>
          </w:tcPr>
          <w:p w14:paraId="0E14C7FF">
            <w:pPr>
              <w:pStyle w:val="51"/>
              <w:spacing w:line="24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当本项目（包）涉及预留份额专门面向中小企业采购，此时建议在《资格证明文件》中提供。</w:t>
            </w:r>
          </w:p>
          <w:p w14:paraId="363BBCEC">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1、投标人单独投标的，应提供“中小企业声明函”或“残疾人福利性单位声明函”或由省级以上监狱管理局、戒毒管理局（含新疆生产建设兵团）出具的属于监狱企业的证明文件。 </w:t>
            </w:r>
          </w:p>
          <w:p w14:paraId="48EEE38E">
            <w:pPr>
              <w:pStyle w:val="51"/>
              <w:spacing w:line="24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spacing w:val="-6"/>
                <w:kern w:val="0"/>
                <w:sz w:val="24"/>
                <w:szCs w:val="24"/>
                <w:highlight w:val="none"/>
                <w:lang w:val="en-US" w:eastAsia="zh-CN" w:bidi="ar"/>
              </w:rPr>
              <w:t>如招标文件要求以联合体形式参加或者要求合同分包的，且投标人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32" w:type="pct"/>
            <w:shd w:val="clear" w:color="auto" w:fill="FFFFFF" w:themeFill="background1"/>
            <w:vAlign w:val="center"/>
          </w:tcPr>
          <w:p w14:paraId="0DDB66C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bl>
    <w:p w14:paraId="75823E1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3CB9CD2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7E275CCB">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12E58BC0">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523EF8A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56B4E958">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3C0F8FE6">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5AB8F467">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22C856F8">
      <w:pPr>
        <w:rPr>
          <w:rFonts w:hint="eastAsia" w:ascii="宋体" w:hAnsi="宋体" w:eastAsia="宋体" w:cs="宋体"/>
          <w:b/>
          <w:bCs/>
          <w:color w:val="auto"/>
          <w:kern w:val="44"/>
          <w:sz w:val="36"/>
          <w:szCs w:val="36"/>
          <w:highlight w:val="none"/>
          <w:lang w:val="en-US" w:eastAsia="zh-CN" w:bidi="ar-SA"/>
        </w:rPr>
      </w:pPr>
      <w:bookmarkStart w:id="515" w:name="_Toc155185903"/>
      <w:r>
        <w:rPr>
          <w:rFonts w:hint="eastAsia" w:ascii="宋体" w:hAnsi="宋体" w:eastAsia="宋体" w:cs="宋体"/>
          <w:b/>
          <w:bCs/>
          <w:color w:val="auto"/>
          <w:kern w:val="44"/>
          <w:sz w:val="36"/>
          <w:szCs w:val="36"/>
          <w:highlight w:val="none"/>
          <w:lang w:val="en-US" w:eastAsia="zh-CN" w:bidi="ar-SA"/>
        </w:rPr>
        <w:br w:type="page"/>
      </w:r>
    </w:p>
    <w:p w14:paraId="21B53EAD">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default" w:ascii="宋体" w:hAnsi="宋体" w:eastAsia="宋体" w:cs="宋体"/>
          <w:b/>
          <w:bCs/>
          <w:color w:val="auto"/>
          <w:kern w:val="44"/>
          <w:sz w:val="36"/>
          <w:szCs w:val="36"/>
          <w:highlight w:val="none"/>
          <w:lang w:val="en-US" w:eastAsia="zh-CN" w:bidi="ar-SA"/>
        </w:rPr>
      </w:pPr>
      <w:bookmarkStart w:id="516" w:name="_Toc18125"/>
      <w:r>
        <w:rPr>
          <w:rFonts w:hint="eastAsia" w:ascii="宋体" w:hAnsi="宋体" w:eastAsia="宋体" w:cs="宋体"/>
          <w:b/>
          <w:bCs/>
          <w:color w:val="auto"/>
          <w:kern w:val="44"/>
          <w:sz w:val="36"/>
          <w:szCs w:val="36"/>
          <w:highlight w:val="none"/>
          <w:lang w:val="en-US" w:eastAsia="zh-CN" w:bidi="ar-SA"/>
        </w:rPr>
        <w:t>第五章 评标方法</w:t>
      </w:r>
      <w:bookmarkEnd w:id="515"/>
      <w:r>
        <w:rPr>
          <w:rFonts w:hint="eastAsia" w:ascii="宋体" w:hAnsi="宋体" w:eastAsia="宋体" w:cs="宋体"/>
          <w:b/>
          <w:bCs/>
          <w:color w:val="auto"/>
          <w:kern w:val="44"/>
          <w:sz w:val="36"/>
          <w:szCs w:val="36"/>
          <w:highlight w:val="none"/>
          <w:lang w:val="en-US" w:eastAsia="zh-CN" w:bidi="ar-SA"/>
        </w:rPr>
        <w:t>及标准(综合评分法)</w:t>
      </w:r>
      <w:bookmarkEnd w:id="516"/>
    </w:p>
    <w:p w14:paraId="2BB6F8A4">
      <w:pPr>
        <w:pStyle w:val="39"/>
        <w:rPr>
          <w:color w:val="auto"/>
          <w:highlight w:val="none"/>
        </w:rPr>
      </w:pPr>
      <w:r>
        <w:rPr>
          <w:rFonts w:hint="eastAsia"/>
          <w:color w:val="auto"/>
          <w:highlight w:val="none"/>
        </w:rPr>
        <w:t>根据《中华人民共和国政府采购法》及其实施条例、《政府采购货物和服务招标投标管理办法》</w:t>
      </w:r>
      <w:r>
        <w:rPr>
          <w:rFonts w:hint="eastAsia"/>
          <w:color w:val="auto"/>
          <w:highlight w:val="none"/>
          <w:lang w:val="en-US" w:eastAsia="zh-CN"/>
        </w:rPr>
        <w:t>及</w:t>
      </w:r>
      <w:r>
        <w:rPr>
          <w:rFonts w:hint="eastAsia"/>
          <w:color w:val="auto"/>
          <w:highlight w:val="none"/>
        </w:rPr>
        <w:t>相关法律法规确定以下评标</w:t>
      </w:r>
      <w:r>
        <w:rPr>
          <w:rFonts w:hint="eastAsia"/>
          <w:color w:val="auto"/>
          <w:highlight w:val="none"/>
          <w:lang w:val="en-US" w:eastAsia="zh-CN"/>
        </w:rPr>
        <w:t>方</w:t>
      </w:r>
      <w:r>
        <w:rPr>
          <w:rFonts w:hint="eastAsia"/>
          <w:color w:val="auto"/>
          <w:highlight w:val="none"/>
        </w:rPr>
        <w:t>法及标准。</w:t>
      </w:r>
    </w:p>
    <w:p w14:paraId="040C2DF7">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17" w:name="_Toc13844"/>
      <w:bookmarkStart w:id="518" w:name="_Toc511894518"/>
      <w:bookmarkStart w:id="519" w:name="_Toc61280402"/>
      <w:bookmarkStart w:id="520" w:name="_Toc272247709"/>
      <w:bookmarkStart w:id="521" w:name="_Toc109899484"/>
      <w:bookmarkStart w:id="522" w:name="_Toc140132826"/>
      <w:bookmarkStart w:id="523" w:name="_Toc155185905"/>
      <w:bookmarkStart w:id="524" w:name="_Toc109900322"/>
      <w:bookmarkStart w:id="525" w:name="_Toc109899903"/>
      <w:bookmarkStart w:id="526" w:name="_Toc494561962"/>
      <w:bookmarkStart w:id="527" w:name="_Toc278891606"/>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17"/>
    </w:p>
    <w:p w14:paraId="40F9AE81">
      <w:pPr>
        <w:pStyle w:val="39"/>
        <w:keepNext w:val="0"/>
        <w:keepLines w:val="0"/>
        <w:pageBreakBefore w:val="0"/>
        <w:widowControl w:val="0"/>
        <w:kinsoku/>
        <w:wordWrap w:val="0"/>
        <w:overflowPunct/>
        <w:topLinePunct w:val="0"/>
        <w:autoSpaceDE/>
        <w:autoSpaceDN/>
        <w:bidi w:val="0"/>
        <w:adjustRightInd/>
        <w:snapToGrid/>
        <w:ind w:firstLine="482"/>
        <w:textAlignment w:val="auto"/>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28" w:name="_Toc14317"/>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528"/>
    </w:p>
    <w:p w14:paraId="2CEA851A">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29" w:name="_Toc30735"/>
      <w:bookmarkStart w:id="530" w:name="_Toc836"/>
      <w:bookmarkStart w:id="531" w:name="_Toc27226"/>
      <w:bookmarkStart w:id="532" w:name="_Toc18989"/>
      <w:r>
        <w:rPr>
          <w:rFonts w:hint="eastAsia" w:ascii="宋体" w:hAnsi="宋体" w:eastAsia="宋体" w:cs="宋体"/>
          <w:b/>
          <w:bCs/>
          <w:color w:val="auto"/>
          <w:kern w:val="2"/>
          <w:sz w:val="24"/>
          <w:szCs w:val="24"/>
          <w:highlight w:val="none"/>
          <w:lang w:val="zh-CN" w:eastAsia="zh-CN" w:bidi="ar-SA"/>
        </w:rPr>
        <w:t>（一）符合性审查</w:t>
      </w:r>
      <w:bookmarkEnd w:id="529"/>
      <w:bookmarkEnd w:id="530"/>
      <w:bookmarkEnd w:id="531"/>
      <w:bookmarkEnd w:id="532"/>
    </w:p>
    <w:p w14:paraId="4E726315">
      <w:pPr>
        <w:pStyle w:val="39"/>
        <w:rPr>
          <w:rFonts w:hint="eastAsia"/>
          <w:color w:val="auto"/>
          <w:highlight w:val="none"/>
          <w:lang w:val="zh-CN"/>
        </w:rPr>
      </w:pPr>
      <w:r>
        <w:rPr>
          <w:rFonts w:hint="eastAsia"/>
          <w:color w:val="auto"/>
          <w:highlight w:val="none"/>
          <w:lang w:val="en-US" w:eastAsia="zh-CN"/>
        </w:rPr>
        <w:t>2.</w:t>
      </w:r>
      <w:r>
        <w:rPr>
          <w:rFonts w:hint="eastAsia"/>
          <w:color w:val="auto"/>
          <w:highlight w:val="none"/>
        </w:rPr>
        <w:t>评标委员会应当对</w:t>
      </w:r>
      <w:r>
        <w:rPr>
          <w:rFonts w:hint="eastAsia"/>
          <w:color w:val="auto"/>
          <w:highlight w:val="none"/>
          <w:lang w:val="en-US" w:eastAsia="zh-CN"/>
        </w:rPr>
        <w:t>通过</w:t>
      </w:r>
      <w:r>
        <w:rPr>
          <w:rFonts w:hint="eastAsia"/>
          <w:color w:val="auto"/>
          <w:highlight w:val="none"/>
        </w:rPr>
        <w:t>资格</w:t>
      </w:r>
      <w:r>
        <w:rPr>
          <w:rFonts w:hint="eastAsia"/>
          <w:color w:val="auto"/>
          <w:highlight w:val="none"/>
          <w:lang w:val="en-US" w:eastAsia="zh-CN"/>
        </w:rPr>
        <w:t>审查</w:t>
      </w:r>
      <w:r>
        <w:rPr>
          <w:rFonts w:hint="eastAsia"/>
          <w:color w:val="auto"/>
          <w:highlight w:val="none"/>
        </w:rPr>
        <w:t>的投标人的投标文件进行符合性审查，以确定其是否满足招标文件的实质性要求。投标人必须通过符合性审查的全部评审指标</w:t>
      </w:r>
      <w:r>
        <w:rPr>
          <w:rFonts w:hint="eastAsia"/>
          <w:color w:val="auto"/>
          <w:highlight w:val="none"/>
          <w:lang w:eastAsia="zh-CN"/>
        </w:rPr>
        <w:t>，</w:t>
      </w:r>
      <w:r>
        <w:rPr>
          <w:rFonts w:hint="eastAsia"/>
          <w:color w:val="auto"/>
          <w:highlight w:val="none"/>
        </w:rPr>
        <w:t>不满足招标文件的实质性要求的，</w:t>
      </w:r>
      <w:r>
        <w:rPr>
          <w:rFonts w:hint="eastAsia"/>
          <w:color w:val="auto"/>
          <w:highlight w:val="none"/>
          <w:lang w:val="en-US" w:eastAsia="zh-CN"/>
        </w:rPr>
        <w:t>其</w:t>
      </w:r>
      <w:r>
        <w:rPr>
          <w:rFonts w:hint="eastAsia"/>
          <w:b/>
          <w:bCs/>
          <w:color w:val="auto"/>
          <w:highlight w:val="none"/>
        </w:rPr>
        <w:t>投标无效</w:t>
      </w:r>
      <w:r>
        <w:rPr>
          <w:rFonts w:hint="eastAsia"/>
          <w:color w:val="auto"/>
          <w:highlight w:val="none"/>
        </w:rPr>
        <w:t>。</w:t>
      </w:r>
      <w:r>
        <w:rPr>
          <w:rFonts w:hint="eastAsia"/>
          <w:color w:val="auto"/>
          <w:highlight w:val="none"/>
          <w:lang w:val="en-US" w:eastAsia="zh-CN"/>
        </w:rPr>
        <w:t>具体内容详</w:t>
      </w:r>
      <w:r>
        <w:rPr>
          <w:rFonts w:hint="eastAsia"/>
          <w:color w:val="auto"/>
          <w:highlight w:val="none"/>
          <w:lang w:val="zh-CN"/>
        </w:rPr>
        <w:t>本章“</w:t>
      </w:r>
      <w:r>
        <w:rPr>
          <w:rFonts w:hint="eastAsia"/>
          <w:color w:val="auto"/>
          <w:highlight w:val="none"/>
          <w:lang w:val="en-US" w:eastAsia="zh-CN"/>
        </w:rPr>
        <w:t>四</w:t>
      </w:r>
      <w:r>
        <w:rPr>
          <w:rFonts w:hint="eastAsia"/>
          <w:color w:val="auto"/>
          <w:highlight w:val="none"/>
          <w:lang w:val="zh-CN"/>
        </w:rPr>
        <w:t>、评标标准”中</w:t>
      </w:r>
      <w:r>
        <w:rPr>
          <w:rFonts w:hint="eastAsia"/>
          <w:color w:val="auto"/>
          <w:highlight w:val="none"/>
          <w:lang w:val="en-US" w:eastAsia="zh-CN"/>
        </w:rPr>
        <w:t>的</w:t>
      </w:r>
      <w:r>
        <w:rPr>
          <w:rFonts w:hint="eastAsia"/>
          <w:color w:val="auto"/>
          <w:highlight w:val="none"/>
          <w:lang w:val="zh-CN"/>
        </w:rPr>
        <w:t>“（一）符合性审查”。</w:t>
      </w:r>
    </w:p>
    <w:p w14:paraId="6117DC47">
      <w:pPr>
        <w:pStyle w:val="39"/>
        <w:rPr>
          <w:rFonts w:hint="eastAsia"/>
          <w:color w:val="auto"/>
          <w:highlight w:val="none"/>
          <w:lang w:val="zh-CN"/>
        </w:rPr>
      </w:pPr>
      <w:r>
        <w:rPr>
          <w:rFonts w:hint="eastAsia"/>
          <w:color w:val="auto"/>
          <w:highlight w:val="none"/>
          <w:lang w:val="en-US" w:eastAsia="zh-CN"/>
        </w:rPr>
        <w:t>通过</w:t>
      </w:r>
      <w:r>
        <w:rPr>
          <w:rFonts w:hint="eastAsia"/>
          <w:color w:val="auto"/>
          <w:highlight w:val="none"/>
        </w:rPr>
        <w:t>符合性审查</w:t>
      </w:r>
      <w:r>
        <w:rPr>
          <w:rFonts w:hint="eastAsia"/>
          <w:color w:val="auto"/>
          <w:highlight w:val="none"/>
          <w:lang w:val="en-US" w:eastAsia="zh-CN"/>
        </w:rPr>
        <w:t>的</w:t>
      </w:r>
      <w:r>
        <w:rPr>
          <w:rFonts w:hint="eastAsia"/>
          <w:color w:val="auto"/>
          <w:highlight w:val="none"/>
        </w:rPr>
        <w:t>有效</w:t>
      </w:r>
      <w:r>
        <w:rPr>
          <w:rFonts w:hint="eastAsia"/>
          <w:color w:val="auto"/>
          <w:highlight w:val="none"/>
          <w:lang w:eastAsia="zh-CN"/>
        </w:rPr>
        <w:t>供应商</w:t>
      </w:r>
      <w:r>
        <w:rPr>
          <w:rFonts w:hint="eastAsia"/>
          <w:color w:val="auto"/>
          <w:highlight w:val="none"/>
        </w:rPr>
        <w:t>不足3家的应当终止采购活动，发布项目终止公告并说明原因，重新开展采购活动。</w:t>
      </w:r>
    </w:p>
    <w:p w14:paraId="34580356">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33" w:name="_Toc102116048"/>
      <w:bookmarkStart w:id="534" w:name="_Toc102116178"/>
      <w:bookmarkStart w:id="535" w:name="_Toc102056244"/>
      <w:bookmarkStart w:id="536" w:name="_Toc102114946"/>
      <w:bookmarkStart w:id="537" w:name="_Toc102057744"/>
      <w:bookmarkStart w:id="538" w:name="_Toc102119879"/>
      <w:bookmarkStart w:id="539" w:name="_Toc155185907"/>
      <w:bookmarkStart w:id="540" w:name="_Toc20930"/>
      <w:bookmarkStart w:id="541" w:name="_Toc11978"/>
      <w:bookmarkStart w:id="542" w:name="_Toc2036"/>
      <w:bookmarkStart w:id="543" w:name="_Toc163492903"/>
      <w:bookmarkStart w:id="544" w:name="_Toc1047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533"/>
      <w:bookmarkEnd w:id="534"/>
      <w:bookmarkEnd w:id="535"/>
      <w:bookmarkEnd w:id="536"/>
      <w:bookmarkEnd w:id="537"/>
      <w:bookmarkEnd w:id="538"/>
      <w:bookmarkEnd w:id="539"/>
      <w:r>
        <w:rPr>
          <w:rFonts w:hint="eastAsia" w:ascii="宋体" w:hAnsi="宋体" w:eastAsia="宋体" w:cs="宋体"/>
          <w:b/>
          <w:bCs/>
          <w:color w:val="auto"/>
          <w:kern w:val="2"/>
          <w:sz w:val="24"/>
          <w:szCs w:val="24"/>
          <w:highlight w:val="none"/>
          <w:lang w:val="zh-CN" w:eastAsia="zh-CN" w:bidi="ar-SA"/>
        </w:rPr>
        <w:t>及修正</w:t>
      </w:r>
      <w:bookmarkEnd w:id="540"/>
      <w:bookmarkEnd w:id="541"/>
      <w:bookmarkEnd w:id="542"/>
      <w:bookmarkEnd w:id="543"/>
      <w:bookmarkEnd w:id="544"/>
    </w:p>
    <w:p w14:paraId="0EC9197C">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3</w:t>
      </w:r>
      <w:r>
        <w:rPr>
          <w:color w:val="auto"/>
          <w:highlight w:val="none"/>
        </w:rPr>
        <w:t>.</w:t>
      </w:r>
      <w:r>
        <w:rPr>
          <w:rFonts w:hint="eastAsia"/>
          <w:iCs/>
          <w:color w:val="auto"/>
          <w:spacing w:val="-6"/>
          <w:sz w:val="24"/>
          <w:highlight w:val="none"/>
        </w:rPr>
        <w:t>评标期间，对于投标文件中含义不明确、同类问题表述不一致或者有明显文字和计算错误的内容需要投标人作出必要的澄清、说明或者补正的，评标委员会应当在</w:t>
      </w:r>
      <w:r>
        <w:rPr>
          <w:rFonts w:hint="eastAsia"/>
          <w:iCs/>
          <w:color w:val="auto"/>
          <w:spacing w:val="-6"/>
          <w:sz w:val="24"/>
          <w:highlight w:val="none"/>
          <w:lang w:val="en-US" w:eastAsia="zh-CN"/>
        </w:rPr>
        <w:t>政采云平台评标</w:t>
      </w:r>
      <w:r>
        <w:rPr>
          <w:rFonts w:hint="eastAsia"/>
          <w:iCs/>
          <w:color w:val="auto"/>
          <w:spacing w:val="-6"/>
          <w:sz w:val="24"/>
          <w:highlight w:val="none"/>
        </w:rPr>
        <w:t>系统中以书面形式要求投标人作出必要的澄清、说明或者补正。</w:t>
      </w:r>
    </w:p>
    <w:p w14:paraId="079329DA">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投标人应按照评标委员会要求在规定时间内作出澄清、说明或者补正，</w:t>
      </w:r>
      <w:r>
        <w:rPr>
          <w:color w:val="auto"/>
          <w:highlight w:val="none"/>
        </w:rPr>
        <w:t>澄清、说明或者补正不得超出投标文件的范围或者改变投标文件的实质性内容。</w:t>
      </w:r>
    </w:p>
    <w:p w14:paraId="591A6455">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5</w:t>
      </w:r>
      <w:r>
        <w:rPr>
          <w:color w:val="auto"/>
          <w:highlight w:val="none"/>
        </w:rPr>
        <w:t>.</w:t>
      </w:r>
      <w:r>
        <w:rPr>
          <w:rFonts w:hint="eastAsia"/>
          <w:color w:val="auto"/>
          <w:highlight w:val="none"/>
        </w:rPr>
        <w:t>投标人的</w:t>
      </w:r>
      <w:r>
        <w:rPr>
          <w:color w:val="auto"/>
          <w:highlight w:val="none"/>
        </w:rPr>
        <w:t>澄清、说明或者补正</w:t>
      </w:r>
      <w:r>
        <w:rPr>
          <w:rFonts w:hint="eastAsia"/>
          <w:color w:val="auto"/>
          <w:highlight w:val="none"/>
        </w:rPr>
        <w:t>是其投标文件的有效组成部分，</w:t>
      </w:r>
      <w:r>
        <w:rPr>
          <w:color w:val="auto"/>
          <w:highlight w:val="none"/>
        </w:rPr>
        <w:t>澄清、说明或者补正应当</w:t>
      </w:r>
      <w:r>
        <w:rPr>
          <w:rFonts w:hint="eastAsia"/>
          <w:color w:val="auto"/>
          <w:highlight w:val="none"/>
        </w:rPr>
        <w:t>在</w:t>
      </w:r>
      <w:r>
        <w:rPr>
          <w:rFonts w:hint="eastAsia"/>
          <w:color w:val="auto"/>
          <w:highlight w:val="none"/>
          <w:lang w:val="en-US" w:eastAsia="zh-CN"/>
        </w:rPr>
        <w:t>政采云平台评标</w:t>
      </w:r>
      <w:r>
        <w:rPr>
          <w:rFonts w:hint="eastAsia"/>
          <w:color w:val="auto"/>
          <w:highlight w:val="none"/>
        </w:rPr>
        <w:t>系统中加盖电子印章后提交</w:t>
      </w:r>
      <w:r>
        <w:rPr>
          <w:color w:val="auto"/>
          <w:highlight w:val="none"/>
        </w:rPr>
        <w:t>。</w:t>
      </w:r>
    </w:p>
    <w:p w14:paraId="3B466024">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6</w:t>
      </w:r>
      <w:r>
        <w:rPr>
          <w:color w:val="auto"/>
          <w:highlight w:val="none"/>
        </w:rPr>
        <w:t>.</w:t>
      </w:r>
      <w:r>
        <w:rPr>
          <w:rFonts w:hint="eastAsia"/>
          <w:color w:val="auto"/>
          <w:highlight w:val="none"/>
        </w:rPr>
        <w:t>报价合理性说明：</w:t>
      </w:r>
      <w:r>
        <w:rPr>
          <w:color w:val="auto"/>
          <w:highlight w:val="none"/>
        </w:rPr>
        <w:t>评标委员会认为投标人的报价明显低于其他通过</w:t>
      </w:r>
      <w:r>
        <w:rPr>
          <w:rFonts w:hint="eastAsia"/>
          <w:color w:val="auto"/>
          <w:highlight w:val="none"/>
        </w:rPr>
        <w:t>符合性审查</w:t>
      </w:r>
      <w:r>
        <w:rPr>
          <w:color w:val="auto"/>
          <w:highlight w:val="none"/>
        </w:rPr>
        <w:t>投标人的报价，有可能影响</w:t>
      </w:r>
      <w:r>
        <w:rPr>
          <w:rFonts w:hint="eastAsia"/>
          <w:color w:val="auto"/>
          <w:highlight w:val="none"/>
          <w:lang w:val="en-US" w:eastAsia="zh-CN"/>
        </w:rPr>
        <w:t>服务</w:t>
      </w:r>
      <w:r>
        <w:rPr>
          <w:color w:val="auto"/>
          <w:highlight w:val="none"/>
        </w:rPr>
        <w:t>质量或者不能诚信履约的，</w:t>
      </w:r>
      <w:r>
        <w:rPr>
          <w:rFonts w:hint="eastAsia"/>
          <w:color w:val="auto"/>
          <w:highlight w:val="none"/>
          <w:lang w:val="en-US" w:eastAsia="zh-CN"/>
        </w:rPr>
        <w:t>应当</w:t>
      </w:r>
      <w:r>
        <w:rPr>
          <w:color w:val="auto"/>
          <w:highlight w:val="none"/>
        </w:rPr>
        <w:t>要求</w:t>
      </w:r>
      <w:r>
        <w:rPr>
          <w:rFonts w:hint="eastAsia"/>
          <w:color w:val="auto"/>
          <w:highlight w:val="none"/>
          <w:lang w:val="en-US" w:eastAsia="zh-CN"/>
        </w:rPr>
        <w:t>该投标人</w:t>
      </w:r>
      <w:r>
        <w:rPr>
          <w:rFonts w:hint="eastAsia"/>
          <w:color w:val="auto"/>
          <w:highlight w:val="none"/>
        </w:rPr>
        <w:t>在</w:t>
      </w:r>
      <w:r>
        <w:rPr>
          <w:color w:val="auto"/>
          <w:highlight w:val="none"/>
        </w:rPr>
        <w:t>合理的时间内提供说明，必要时提交相关证明材料；</w:t>
      </w:r>
      <w:r>
        <w:rPr>
          <w:rFonts w:hint="eastAsia"/>
          <w:color w:val="auto"/>
          <w:highlight w:val="none"/>
          <w:lang w:val="en-US" w:eastAsia="zh-CN"/>
        </w:rPr>
        <w:t>若</w:t>
      </w:r>
      <w:r>
        <w:rPr>
          <w:color w:val="auto"/>
          <w:highlight w:val="none"/>
        </w:rPr>
        <w:t>投标人不能证明其报价合理性的，评标委员</w:t>
      </w:r>
      <w:r>
        <w:rPr>
          <w:rFonts w:hint="eastAsia"/>
          <w:color w:val="auto"/>
          <w:highlight w:val="none"/>
          <w:lang w:val="en-US" w:eastAsia="zh-CN"/>
        </w:rPr>
        <w:t>会应当</w:t>
      </w:r>
      <w:r>
        <w:rPr>
          <w:rFonts w:hint="eastAsia"/>
          <w:color w:val="auto"/>
          <w:highlight w:val="none"/>
        </w:rPr>
        <w:t>将其作</w:t>
      </w:r>
      <w:r>
        <w:rPr>
          <w:b/>
          <w:bCs/>
          <w:color w:val="auto"/>
          <w:highlight w:val="none"/>
        </w:rPr>
        <w:t>无效投标</w:t>
      </w:r>
      <w:r>
        <w:rPr>
          <w:color w:val="auto"/>
          <w:highlight w:val="none"/>
        </w:rPr>
        <w:t>处理。</w:t>
      </w:r>
    </w:p>
    <w:p w14:paraId="4FD6345C">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color w:val="auto"/>
          <w:highlight w:val="none"/>
          <w:lang w:val="en-US" w:eastAsia="zh-CN"/>
        </w:rPr>
        <w:t>投标无效</w:t>
      </w:r>
      <w:r>
        <w:rPr>
          <w:rFonts w:hint="eastAsia"/>
          <w:color w:val="auto"/>
          <w:highlight w:val="none"/>
          <w:lang w:val="en-US" w:eastAsia="zh-CN"/>
        </w:rPr>
        <w:t>。</w:t>
      </w:r>
    </w:p>
    <w:p w14:paraId="015D7E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8.投标文件报价出现前后不一致的，除招标文件另有规定外，按照下列规定修正：</w:t>
      </w:r>
    </w:p>
    <w:p w14:paraId="4D967018">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8.1投标文件中开标一览表（报价表）内容与投标文件中相应内容不一致的，以开标一览表（报价表）为准；</w:t>
      </w:r>
    </w:p>
    <w:p w14:paraId="657B9F51">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8.2大写金额和小写金额不一致的，以大写金额为准；</w:t>
      </w:r>
    </w:p>
    <w:p w14:paraId="628E9D79">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8.3单价金额小数点或者百分比有明显错位的，以开标一览表的总价为准，并修改单价；</w:t>
      </w:r>
    </w:p>
    <w:p w14:paraId="3D4599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8.4总价金额与按单价汇总金额不一致的，以单价金额计算结果为准。</w:t>
      </w:r>
    </w:p>
    <w:p w14:paraId="4E5FFFF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b/>
          <w:bCs/>
          <w:color w:val="auto"/>
          <w:highlight w:val="none"/>
          <w:lang w:val="en-US" w:eastAsia="zh-CN"/>
        </w:rPr>
        <w:t>投标无效</w:t>
      </w:r>
      <w:r>
        <w:rPr>
          <w:rFonts w:hint="eastAsia"/>
          <w:color w:val="auto"/>
          <w:highlight w:val="none"/>
          <w:lang w:val="en-US" w:eastAsia="zh-CN"/>
        </w:rPr>
        <w:t>。</w:t>
      </w:r>
    </w:p>
    <w:p w14:paraId="33748C4F">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5" w:name="_Toc17163"/>
      <w:bookmarkStart w:id="546" w:name="_Toc1388"/>
      <w:bookmarkStart w:id="547" w:name="_Toc8536"/>
      <w:bookmarkStart w:id="548" w:name="_Toc13289"/>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545"/>
      <w:bookmarkEnd w:id="546"/>
      <w:bookmarkEnd w:id="547"/>
      <w:bookmarkEnd w:id="548"/>
    </w:p>
    <w:p w14:paraId="2BE6ECB2">
      <w:pPr>
        <w:pStyle w:val="39"/>
        <w:rPr>
          <w:rFonts w:hint="eastAsia"/>
          <w:color w:val="auto"/>
          <w:highlight w:val="none"/>
        </w:rPr>
      </w:pPr>
      <w:r>
        <w:rPr>
          <w:rFonts w:hint="eastAsia"/>
          <w:color w:val="auto"/>
          <w:highlight w:val="none"/>
          <w:lang w:val="en-US" w:eastAsia="zh-CN"/>
        </w:rPr>
        <w:t>9.</w:t>
      </w:r>
      <w:r>
        <w:rPr>
          <w:rFonts w:hint="eastAsia"/>
          <w:color w:val="auto"/>
          <w:highlight w:val="none"/>
        </w:rPr>
        <w:t>评标委员会应当按照招标文件中规定的评标方法和标准，对符合性审查合格的投标文件进行商务和技术评</w:t>
      </w:r>
      <w:r>
        <w:rPr>
          <w:rFonts w:hint="eastAsia"/>
          <w:color w:val="auto"/>
          <w:highlight w:val="none"/>
          <w:lang w:val="en-US" w:eastAsia="zh-CN"/>
        </w:rPr>
        <w:t>估</w:t>
      </w:r>
      <w:r>
        <w:rPr>
          <w:rFonts w:hint="eastAsia"/>
          <w:color w:val="auto"/>
          <w:highlight w:val="none"/>
        </w:rPr>
        <w:t>，综合比较与评价</w:t>
      </w:r>
      <w:r>
        <w:rPr>
          <w:rFonts w:hint="eastAsia"/>
          <w:color w:val="auto"/>
          <w:highlight w:val="none"/>
          <w:lang w:val="en-US" w:eastAsia="zh-CN"/>
        </w:rPr>
        <w:t>；未通过符合性审查的投标文件不得进入比较与评价</w:t>
      </w:r>
      <w:r>
        <w:rPr>
          <w:rFonts w:hint="eastAsia"/>
          <w:color w:val="auto"/>
          <w:highlight w:val="none"/>
        </w:rPr>
        <w:t>。评审因素包括投标报价、商务技术以及落实政府采购政策。评审因素及标准见本章</w:t>
      </w:r>
      <w:r>
        <w:rPr>
          <w:rFonts w:hint="eastAsia"/>
          <w:color w:val="auto"/>
          <w:highlight w:val="none"/>
          <w:lang w:eastAsia="zh-CN"/>
        </w:rPr>
        <w:t>“</w:t>
      </w:r>
      <w:r>
        <w:rPr>
          <w:rFonts w:hint="eastAsia"/>
          <w:color w:val="auto"/>
          <w:highlight w:val="none"/>
          <w:lang w:val="en-US" w:eastAsia="zh-CN"/>
        </w:rPr>
        <w:t>四、</w:t>
      </w:r>
      <w:r>
        <w:rPr>
          <w:rFonts w:hint="eastAsia"/>
          <w:color w:val="auto"/>
          <w:highlight w:val="none"/>
        </w:rPr>
        <w:t>评</w:t>
      </w:r>
      <w:r>
        <w:rPr>
          <w:rFonts w:hint="eastAsia"/>
          <w:color w:val="auto"/>
          <w:highlight w:val="none"/>
          <w:lang w:val="en-US" w:eastAsia="zh-CN"/>
        </w:rPr>
        <w:t>标</w:t>
      </w:r>
      <w:r>
        <w:rPr>
          <w:rFonts w:hint="eastAsia"/>
          <w:color w:val="auto"/>
          <w:highlight w:val="none"/>
        </w:rPr>
        <w:t>标准</w:t>
      </w:r>
      <w:r>
        <w:rPr>
          <w:rFonts w:hint="eastAsia"/>
          <w:color w:val="auto"/>
          <w:highlight w:val="none"/>
          <w:lang w:eastAsia="zh-CN"/>
        </w:rPr>
        <w:t>”</w:t>
      </w:r>
      <w:r>
        <w:rPr>
          <w:rFonts w:hint="eastAsia"/>
          <w:color w:val="auto"/>
          <w:highlight w:val="none"/>
        </w:rPr>
        <w:t>。</w:t>
      </w:r>
    </w:p>
    <w:p w14:paraId="384D833B">
      <w:pPr>
        <w:pStyle w:val="39"/>
        <w:keepNext w:val="0"/>
        <w:keepLines w:val="0"/>
        <w:pageBreakBefore w:val="0"/>
        <w:widowControl w:val="0"/>
        <w:kinsoku/>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10</w:t>
      </w:r>
      <w:r>
        <w:rPr>
          <w:color w:val="auto"/>
          <w:highlight w:val="none"/>
        </w:rPr>
        <w:t>.</w:t>
      </w:r>
      <w:r>
        <w:rPr>
          <w:rFonts w:hint="eastAsia"/>
          <w:color w:val="auto"/>
          <w:highlight w:val="none"/>
        </w:rPr>
        <w:t>有效投标</w:t>
      </w:r>
      <w:r>
        <w:rPr>
          <w:rFonts w:hint="eastAsia"/>
          <w:color w:val="auto"/>
          <w:highlight w:val="none"/>
          <w:lang w:val="en-US" w:eastAsia="zh-CN"/>
        </w:rPr>
        <w:t>人</w:t>
      </w:r>
      <w:r>
        <w:rPr>
          <w:rFonts w:hint="eastAsia"/>
          <w:color w:val="auto"/>
          <w:highlight w:val="none"/>
        </w:rPr>
        <w:t>不足</w:t>
      </w:r>
      <w:r>
        <w:rPr>
          <w:color w:val="auto"/>
          <w:highlight w:val="none"/>
        </w:rPr>
        <w:t>3</w:t>
      </w:r>
      <w:r>
        <w:rPr>
          <w:rFonts w:hint="eastAsia"/>
          <w:color w:val="auto"/>
          <w:highlight w:val="none"/>
        </w:rPr>
        <w:t>家的应按</w:t>
      </w:r>
      <w:r>
        <w:rPr>
          <w:rFonts w:hint="eastAsia"/>
          <w:b/>
          <w:bCs/>
          <w:color w:val="auto"/>
          <w:highlight w:val="none"/>
        </w:rPr>
        <w:t>废标</w:t>
      </w:r>
      <w:r>
        <w:rPr>
          <w:rFonts w:hint="eastAsia"/>
          <w:color w:val="auto"/>
          <w:highlight w:val="none"/>
        </w:rPr>
        <w:t>处理。</w:t>
      </w:r>
    </w:p>
    <w:p w14:paraId="7C54BD9F">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9" w:name="_Toc22691"/>
      <w:bookmarkStart w:id="550" w:name="_Toc24190"/>
      <w:bookmarkStart w:id="551" w:name="_Toc4273"/>
      <w:bookmarkStart w:id="552" w:name="_Toc1727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549"/>
      <w:bookmarkEnd w:id="550"/>
      <w:bookmarkEnd w:id="551"/>
      <w:bookmarkEnd w:id="552"/>
    </w:p>
    <w:p w14:paraId="21874171">
      <w:pPr>
        <w:pStyle w:val="39"/>
        <w:rPr>
          <w:color w:val="auto"/>
          <w:highlight w:val="none"/>
        </w:rPr>
      </w:pPr>
      <w:r>
        <w:rPr>
          <w:rFonts w:hint="eastAsia"/>
          <w:color w:val="auto"/>
          <w:highlight w:val="none"/>
          <w:lang w:val="en-US" w:eastAsia="zh-CN"/>
        </w:rPr>
        <w:t>11.</w:t>
      </w:r>
      <w:r>
        <w:rPr>
          <w:color w:val="auto"/>
          <w:highlight w:val="none"/>
        </w:rPr>
        <w:t>投标报价评审</w:t>
      </w:r>
    </w:p>
    <w:p w14:paraId="266BD854">
      <w:pPr>
        <w:pStyle w:val="39"/>
        <w:rPr>
          <w:color w:val="auto"/>
          <w:highlight w:val="none"/>
        </w:rPr>
      </w:pPr>
      <w:r>
        <w:rPr>
          <w:rFonts w:hint="eastAsia" w:ascii="宋体" w:hAnsi="宋体" w:eastAsia="宋体"/>
          <w:color w:val="auto"/>
          <w:highlight w:val="none"/>
          <w:lang w:val="en-US" w:eastAsia="zh-CN"/>
        </w:rPr>
        <w:t>11.1服务项目的价格分值占总分值的比重不得低于</w:t>
      </w:r>
      <w:r>
        <w:rPr>
          <w:rFonts w:hint="default" w:ascii="宋体" w:hAnsi="宋体" w:eastAsia="宋体"/>
          <w:color w:val="auto"/>
          <w:highlight w:val="none"/>
          <w:lang w:val="en-US" w:eastAsia="zh-CN"/>
        </w:rPr>
        <w:t>10%。</w:t>
      </w:r>
      <w:r>
        <w:rPr>
          <w:rFonts w:hint="eastAsia"/>
          <w:color w:val="auto"/>
          <w:highlight w:val="none"/>
          <w:lang w:val="en-US" w:eastAsia="zh-CN"/>
        </w:rPr>
        <w:t>执行国家统一定价标准和采用固定价格采购的项目，其价格不列为评审因素。</w:t>
      </w:r>
      <w:r>
        <w:rPr>
          <w:color w:val="auto"/>
          <w:highlight w:val="none"/>
        </w:rPr>
        <w:t>价格分应当采用低价优先法计算，即满足招标文件要求且投标价格最低的投标报价为评标基准价，其价格分为满分。其他投标人的价格分统一按照下列公式计算：</w:t>
      </w:r>
    </w:p>
    <w:p w14:paraId="2D86B7AD">
      <w:pPr>
        <w:pStyle w:val="39"/>
        <w:rPr>
          <w:color w:val="auto"/>
          <w:highlight w:val="none"/>
        </w:rPr>
      </w:pPr>
      <w:r>
        <w:rPr>
          <w:rFonts w:hint="eastAsia"/>
          <w:color w:val="auto"/>
          <w:highlight w:val="none"/>
        </w:rPr>
        <w:t>投标报价得分</w:t>
      </w:r>
      <w:r>
        <w:rPr>
          <w:color w:val="auto"/>
          <w:highlight w:val="none"/>
        </w:rPr>
        <w:t>=(评标基准价／投标报价)×</w:t>
      </w:r>
      <w:r>
        <w:rPr>
          <w:rFonts w:hint="eastAsia"/>
          <w:color w:val="auto"/>
          <w:highlight w:val="none"/>
        </w:rPr>
        <w:t>价格</w:t>
      </w:r>
      <w:r>
        <w:rPr>
          <w:rFonts w:hint="eastAsia"/>
          <w:color w:val="auto"/>
          <w:highlight w:val="none"/>
          <w:lang w:eastAsia="zh-CN"/>
        </w:rPr>
        <w:t>分值</w:t>
      </w:r>
    </w:p>
    <w:p w14:paraId="0CCB2E48">
      <w:pPr>
        <w:pStyle w:val="39"/>
        <w:rPr>
          <w:color w:val="auto"/>
          <w:highlight w:val="none"/>
        </w:rPr>
      </w:pPr>
      <w:r>
        <w:rPr>
          <w:rFonts w:hint="eastAsia"/>
          <w:color w:val="auto"/>
          <w:highlight w:val="none"/>
        </w:rPr>
        <w:t>评标过程中，不得去掉报价中的最高报价和最低报价。</w:t>
      </w:r>
    </w:p>
    <w:p w14:paraId="14E623B0">
      <w:pPr>
        <w:pStyle w:val="39"/>
        <w:rPr>
          <w:color w:val="auto"/>
          <w:highlight w:val="none"/>
        </w:rPr>
      </w:pPr>
      <w:r>
        <w:rPr>
          <w:rFonts w:hint="eastAsia"/>
          <w:color w:val="auto"/>
          <w:highlight w:val="none"/>
          <w:lang w:val="en-US" w:eastAsia="zh-CN"/>
        </w:rPr>
        <w:t>11.</w:t>
      </w:r>
      <w:r>
        <w:rPr>
          <w:color w:val="auto"/>
          <w:highlight w:val="none"/>
        </w:rPr>
        <w:t>2</w:t>
      </w:r>
      <w:r>
        <w:rPr>
          <w:rFonts w:hint="eastAsia"/>
          <w:iCs/>
          <w:color w:val="auto"/>
          <w:spacing w:val="-6"/>
          <w:sz w:val="24"/>
          <w:highlight w:val="none"/>
        </w:rPr>
        <w:t>除算术修正和落实政府采购政策的价格扣除外，不对投标报价进行调整；</w:t>
      </w:r>
    </w:p>
    <w:p w14:paraId="6DDDADCE">
      <w:pPr>
        <w:pStyle w:val="39"/>
        <w:rPr>
          <w:color w:val="auto"/>
          <w:highlight w:val="none"/>
        </w:rPr>
      </w:pPr>
      <w:r>
        <w:rPr>
          <w:rFonts w:hint="eastAsia"/>
          <w:color w:val="auto"/>
          <w:highlight w:val="none"/>
          <w:lang w:val="en-US" w:eastAsia="zh-CN"/>
        </w:rPr>
        <w:t>11.</w:t>
      </w:r>
      <w:r>
        <w:rPr>
          <w:color w:val="auto"/>
          <w:highlight w:val="none"/>
        </w:rPr>
        <w:t>3价</w:t>
      </w:r>
      <w:r>
        <w:rPr>
          <w:rFonts w:hint="eastAsia"/>
          <w:color w:val="auto"/>
          <w:highlight w:val="none"/>
        </w:rPr>
        <w:t>格</w:t>
      </w:r>
      <w:r>
        <w:rPr>
          <w:rFonts w:hint="eastAsia"/>
          <w:color w:val="auto"/>
          <w:highlight w:val="none"/>
          <w:lang w:eastAsia="zh-CN"/>
        </w:rPr>
        <w:t>分值</w:t>
      </w:r>
      <w:r>
        <w:rPr>
          <w:rFonts w:hint="eastAsia"/>
          <w:color w:val="auto"/>
          <w:highlight w:val="none"/>
        </w:rPr>
        <w:t>见本章</w:t>
      </w:r>
      <w:r>
        <w:rPr>
          <w:rFonts w:hint="eastAsia"/>
          <w:color w:val="auto"/>
          <w:highlight w:val="none"/>
          <w:lang w:eastAsia="zh-CN"/>
        </w:rPr>
        <w:t>“</w:t>
      </w:r>
      <w:r>
        <w:rPr>
          <w:rFonts w:hint="eastAsia"/>
          <w:color w:val="auto"/>
          <w:highlight w:val="none"/>
          <w:lang w:val="en-US" w:eastAsia="zh-CN"/>
        </w:rPr>
        <w:t>四、</w:t>
      </w:r>
      <w:r>
        <w:rPr>
          <w:rFonts w:hint="eastAsia"/>
          <w:color w:val="auto"/>
          <w:highlight w:val="none"/>
        </w:rPr>
        <w:t>评</w:t>
      </w:r>
      <w:r>
        <w:rPr>
          <w:rFonts w:hint="eastAsia"/>
          <w:color w:val="auto"/>
          <w:highlight w:val="none"/>
          <w:lang w:val="en-US" w:eastAsia="zh-CN"/>
        </w:rPr>
        <w:t>标</w:t>
      </w:r>
      <w:r>
        <w:rPr>
          <w:rFonts w:hint="eastAsia"/>
          <w:color w:val="auto"/>
          <w:highlight w:val="none"/>
        </w:rPr>
        <w:t>标准</w:t>
      </w:r>
      <w:r>
        <w:rPr>
          <w:rFonts w:hint="eastAsia"/>
          <w:color w:val="auto"/>
          <w:highlight w:val="none"/>
          <w:lang w:eastAsia="zh-CN"/>
        </w:rPr>
        <w:t>”</w:t>
      </w:r>
      <w:r>
        <w:rPr>
          <w:color w:val="auto"/>
          <w:highlight w:val="none"/>
        </w:rPr>
        <w:t>。</w:t>
      </w:r>
    </w:p>
    <w:p w14:paraId="30866637">
      <w:pPr>
        <w:pStyle w:val="39"/>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2</w:t>
      </w:r>
      <w:r>
        <w:rPr>
          <w:b w:val="0"/>
          <w:bCs w:val="0"/>
          <w:color w:val="auto"/>
          <w:highlight w:val="none"/>
        </w:rPr>
        <w:t>.</w:t>
      </w:r>
      <w:r>
        <w:rPr>
          <w:rFonts w:hint="eastAsia"/>
          <w:b w:val="0"/>
          <w:bCs w:val="0"/>
          <w:color w:val="auto"/>
          <w:highlight w:val="none"/>
        </w:rPr>
        <w:t>政府采购政策评审</w:t>
      </w:r>
    </w:p>
    <w:p w14:paraId="1627C557">
      <w:pPr>
        <w:pStyle w:val="39"/>
        <w:numPr>
          <w:ilvl w:val="0"/>
          <w:numId w:val="0"/>
        </w:numPr>
        <w:ind w:firstLine="480" w:firstLineChars="200"/>
        <w:rPr>
          <w:color w:val="auto"/>
          <w:highlight w:val="none"/>
        </w:rPr>
      </w:pPr>
      <w:r>
        <w:rPr>
          <w:color w:val="auto"/>
          <w:highlight w:val="none"/>
        </w:rPr>
        <w:t>1</w:t>
      </w:r>
      <w:r>
        <w:rPr>
          <w:rFonts w:hint="eastAsia"/>
          <w:color w:val="auto"/>
          <w:highlight w:val="none"/>
          <w:lang w:val="en-US" w:eastAsia="zh-CN"/>
        </w:rPr>
        <w:t>2</w:t>
      </w:r>
      <w:r>
        <w:rPr>
          <w:color w:val="auto"/>
          <w:highlight w:val="none"/>
        </w:rPr>
        <w:t>.1非专门面向中小企业的采购项目或采购包，对符合规定的小微企业（</w:t>
      </w:r>
      <w:r>
        <w:rPr>
          <w:rFonts w:hint="eastAsia"/>
          <w:color w:val="auto"/>
          <w:highlight w:val="none"/>
          <w:lang w:val="en-US" w:eastAsia="zh-CN"/>
        </w:rPr>
        <w:t>含</w:t>
      </w:r>
      <w:r>
        <w:rPr>
          <w:color w:val="auto"/>
          <w:highlight w:val="none"/>
        </w:rPr>
        <w:t>监狱企业、残疾人福利性单位、联合体各方均为小微企业的联合体、符合小微企业划分标准的个体工商户视同小微企业）报价</w:t>
      </w:r>
      <w:r>
        <w:rPr>
          <w:rFonts w:hint="eastAsia"/>
          <w:color w:val="auto"/>
          <w:highlight w:val="none"/>
        </w:rPr>
        <w:t>按照本招标文件</w:t>
      </w:r>
      <w:r>
        <w:rPr>
          <w:rFonts w:hint="eastAsia"/>
          <w:color w:val="auto"/>
          <w:highlight w:val="none"/>
          <w:lang w:eastAsia="zh-CN"/>
        </w:rPr>
        <w:t>“</w:t>
      </w:r>
      <w:r>
        <w:rPr>
          <w:rFonts w:hint="eastAsia"/>
          <w:color w:val="auto"/>
          <w:highlight w:val="none"/>
        </w:rPr>
        <w:t>投标人须知前附表”中的规定</w:t>
      </w:r>
      <w:r>
        <w:rPr>
          <w:color w:val="auto"/>
          <w:highlight w:val="none"/>
        </w:rPr>
        <w:t>扣除</w:t>
      </w:r>
      <w:r>
        <w:rPr>
          <w:rFonts w:hint="eastAsia"/>
          <w:color w:val="auto"/>
          <w:highlight w:val="none"/>
        </w:rPr>
        <w:t>，对小微企业中的监狱企业、残疾人福利性单位、采购产品纳入创新产品应用示范推荐目录内企业、采购产品获得节能产品或环境标志产品认证证书的企业报价按照本</w:t>
      </w:r>
      <w:r>
        <w:rPr>
          <w:rFonts w:hint="eastAsia"/>
          <w:color w:val="auto"/>
          <w:highlight w:val="none"/>
          <w:lang w:val="en-US" w:eastAsia="zh-CN"/>
        </w:rPr>
        <w:t>招标</w:t>
      </w:r>
      <w:r>
        <w:rPr>
          <w:rFonts w:hint="eastAsia"/>
          <w:color w:val="auto"/>
          <w:highlight w:val="none"/>
        </w:rPr>
        <w:t>文件</w:t>
      </w:r>
      <w:r>
        <w:rPr>
          <w:rFonts w:hint="eastAsia"/>
          <w:color w:val="auto"/>
          <w:highlight w:val="none"/>
          <w:lang w:eastAsia="zh-CN"/>
        </w:rPr>
        <w:t>“</w:t>
      </w:r>
      <w:r>
        <w:rPr>
          <w:rFonts w:hint="eastAsia"/>
          <w:color w:val="auto"/>
          <w:highlight w:val="none"/>
          <w:lang w:val="en-US" w:eastAsia="zh-CN"/>
        </w:rPr>
        <w:t>投标人</w:t>
      </w:r>
      <w:r>
        <w:rPr>
          <w:rFonts w:hint="eastAsia"/>
          <w:color w:val="auto"/>
          <w:highlight w:val="none"/>
        </w:rPr>
        <w:t>须知前附表”中的规定扣除，用扣除后的价格计算评审基准价</w:t>
      </w:r>
      <w:r>
        <w:rPr>
          <w:color w:val="auto"/>
          <w:highlight w:val="none"/>
        </w:rPr>
        <w:t>。</w:t>
      </w:r>
    </w:p>
    <w:p w14:paraId="1E5F4E03">
      <w:pPr>
        <w:pStyle w:val="39"/>
        <w:numPr>
          <w:ilvl w:val="0"/>
          <w:numId w:val="0"/>
        </w:numPr>
        <w:ind w:firstLine="480" w:firstLineChars="200"/>
        <w:rPr>
          <w:rFonts w:ascii="宋体" w:hAnsi="宋体" w:eastAsia="宋体"/>
          <w:color w:val="auto"/>
          <w:highlight w:val="none"/>
        </w:rPr>
      </w:pPr>
      <w:r>
        <w:rPr>
          <w:rFonts w:hint="eastAsia" w:ascii="宋体" w:hAnsi="宋体" w:eastAsia="宋体"/>
          <w:color w:val="auto"/>
          <w:highlight w:val="none"/>
          <w:lang w:val="en-US" w:eastAsia="zh-CN"/>
        </w:rPr>
        <w:t>12.</w:t>
      </w:r>
      <w:r>
        <w:rPr>
          <w:rFonts w:hint="eastAsia" w:ascii="宋体" w:hAnsi="宋体" w:eastAsia="宋体"/>
          <w:color w:val="auto"/>
          <w:highlight w:val="none"/>
          <w:lang w:val="zh-CN" w:eastAsia="zh-CN"/>
        </w:rPr>
        <w:t>2</w:t>
      </w:r>
      <w:r>
        <w:rPr>
          <w:rFonts w:ascii="宋体" w:hAnsi="宋体" w:eastAsia="宋体"/>
          <w:color w:val="auto"/>
          <w:highlight w:val="none"/>
        </w:rPr>
        <w:t>参加政府采购活动的小微企业</w:t>
      </w:r>
      <w:r>
        <w:rPr>
          <w:rFonts w:hint="eastAsia"/>
          <w:color w:val="auto"/>
          <w:highlight w:val="none"/>
        </w:rPr>
        <w:t>（含节能环保、创新产品企业）</w:t>
      </w:r>
      <w:r>
        <w:rPr>
          <w:rFonts w:ascii="宋体" w:hAnsi="宋体" w:eastAsia="宋体"/>
          <w:color w:val="auto"/>
          <w:highlight w:val="none"/>
        </w:rPr>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olor w:val="auto"/>
          <w:highlight w:val="none"/>
          <w:lang w:val="en-US" w:eastAsia="zh-CN"/>
        </w:rPr>
        <w:t>若供应商同时属于小型或微型企业、监狱企业、残疾人福利性单位 中的两种及以上，将不重复享受小微企业价格扣减的优惠政策。</w:t>
      </w:r>
    </w:p>
    <w:p w14:paraId="1A495953">
      <w:pPr>
        <w:pStyle w:val="39"/>
        <w:numPr>
          <w:ilvl w:val="0"/>
          <w:numId w:val="0"/>
        </w:numPr>
        <w:shd w:val="clear" w:color="auto" w:fill="FFFFFF" w:themeFill="background1"/>
        <w:ind w:firstLine="480" w:firstLineChars="200"/>
        <w:rPr>
          <w:rFonts w:ascii="宋体" w:hAnsi="宋体" w:eastAsia="宋体" w:cstheme="minorBidi"/>
          <w:color w:val="auto"/>
          <w:kern w:val="2"/>
          <w:sz w:val="24"/>
          <w:szCs w:val="22"/>
          <w:highlight w:val="none"/>
          <w:lang w:val="en-US" w:eastAsia="zh-CN" w:bidi="ar-SA"/>
        </w:rPr>
      </w:pPr>
      <w:r>
        <w:rPr>
          <w:rFonts w:ascii="宋体" w:hAnsi="宋体" w:eastAsia="宋体" w:cstheme="minorBidi"/>
          <w:color w:val="auto"/>
          <w:kern w:val="2"/>
          <w:sz w:val="24"/>
          <w:szCs w:val="22"/>
          <w:highlight w:val="none"/>
          <w:lang w:val="en-US" w:eastAsia="zh-CN" w:bidi="ar-SA"/>
        </w:rPr>
        <w:t>组成联合体或者接受分包的小微企业与联合体内其他企业、分包企业</w:t>
      </w:r>
      <w:r>
        <w:rPr>
          <w:rFonts w:hint="default" w:ascii="宋体" w:hAnsi="宋体" w:eastAsia="宋体" w:cstheme="minorBidi"/>
          <w:color w:val="auto"/>
          <w:kern w:val="2"/>
          <w:sz w:val="24"/>
          <w:szCs w:val="22"/>
          <w:highlight w:val="none"/>
          <w:lang w:val="en-US" w:eastAsia="zh-CN" w:bidi="ar-SA"/>
        </w:rPr>
        <w:t>之间存在直接控股、管理关系的，不享受价格扣除优惠政策。</w:t>
      </w:r>
    </w:p>
    <w:p w14:paraId="4FDAF77C">
      <w:pPr>
        <w:pStyle w:val="39"/>
        <w:numPr>
          <w:ilvl w:val="0"/>
          <w:numId w:val="0"/>
        </w:numPr>
        <w:ind w:firstLine="480" w:firstLineChars="200"/>
        <w:rPr>
          <w:rFonts w:ascii="宋体" w:hAnsi="宋体" w:eastAsia="宋体"/>
          <w:color w:val="auto"/>
          <w:highlight w:val="none"/>
        </w:rPr>
      </w:pPr>
      <w:r>
        <w:rPr>
          <w:rFonts w:ascii="宋体" w:hAnsi="宋体" w:eastAsia="宋体" w:cstheme="minorBidi"/>
          <w:color w:val="auto"/>
          <w:kern w:val="2"/>
          <w:sz w:val="24"/>
          <w:szCs w:val="22"/>
          <w:highlight w:val="none"/>
          <w:lang w:val="en-US" w:eastAsia="zh-CN" w:bidi="ar-SA"/>
        </w:rPr>
        <w:t>价格扣除比例对小型企业和微型企业同等对待，不作区分。</w:t>
      </w:r>
    </w:p>
    <w:p w14:paraId="71DD10A8">
      <w:pPr>
        <w:pStyle w:val="39"/>
        <w:numPr>
          <w:ilvl w:val="0"/>
          <w:numId w:val="0"/>
        </w:numPr>
        <w:ind w:firstLine="480" w:firstLineChars="200"/>
        <w:rPr>
          <w:rFonts w:ascii="宋体" w:hAnsi="宋体" w:eastAsia="宋体"/>
          <w:color w:val="auto"/>
          <w:highlight w:val="none"/>
        </w:rPr>
      </w:pPr>
      <w:r>
        <w:rPr>
          <w:rFonts w:hint="eastAsia" w:ascii="宋体" w:hAnsi="宋体" w:eastAsia="宋体"/>
          <w:color w:val="auto"/>
          <w:highlight w:val="none"/>
          <w:lang w:val="en-US" w:eastAsia="zh-CN"/>
        </w:rPr>
        <w:t>12.</w:t>
      </w:r>
      <w:r>
        <w:rPr>
          <w:rFonts w:hint="eastAsia" w:ascii="宋体" w:hAnsi="宋体" w:eastAsia="宋体"/>
          <w:color w:val="auto"/>
          <w:highlight w:val="none"/>
          <w:lang w:val="zh-CN" w:eastAsia="zh-CN"/>
        </w:rPr>
        <w:t>3</w:t>
      </w:r>
      <w:r>
        <w:rPr>
          <w:rFonts w:ascii="宋体" w:hAnsi="宋体" w:eastAsia="宋体"/>
          <w:color w:val="auto"/>
          <w:highlight w:val="none"/>
        </w:rPr>
        <w:t>专门面向中小企业、预留部分采购份额面向中小企业采购的项目或采购包，评审时不再进行价格扣除。</w:t>
      </w:r>
    </w:p>
    <w:p w14:paraId="3874ED83">
      <w:pPr>
        <w:pStyle w:val="39"/>
        <w:numPr>
          <w:ilvl w:val="0"/>
          <w:numId w:val="0"/>
        </w:numPr>
        <w:ind w:firstLine="480" w:firstLineChars="200"/>
        <w:rPr>
          <w:rFonts w:hint="eastAsia" w:ascii="宋体" w:hAnsi="宋体" w:eastAsia="宋体"/>
          <w:color w:val="auto"/>
          <w:highlight w:val="none"/>
        </w:rPr>
      </w:pPr>
      <w:r>
        <w:rPr>
          <w:rFonts w:hint="eastAsia" w:ascii="宋体" w:hAnsi="宋体" w:eastAsia="宋体"/>
          <w:color w:val="auto"/>
          <w:highlight w:val="none"/>
          <w:lang w:val="en-US" w:eastAsia="zh-CN"/>
        </w:rPr>
        <w:t>12.4</w:t>
      </w:r>
      <w:r>
        <w:rPr>
          <w:rFonts w:hint="eastAsia" w:ascii="宋体" w:hAnsi="宋体" w:eastAsia="宋体"/>
          <w:color w:val="auto"/>
          <w:highlight w:val="none"/>
        </w:rPr>
        <w:t>对于未预留份额专门面向中小企业的政府采购项目，以及预留份额政府采购项目中的非预留部分标项，对小型和微型企业的投标报价给予10%-</w:t>
      </w:r>
      <w:r>
        <w:rPr>
          <w:rFonts w:ascii="宋体" w:hAnsi="宋体" w:eastAsia="宋体"/>
          <w:color w:val="auto"/>
          <w:highlight w:val="none"/>
        </w:rPr>
        <w:t>20</w:t>
      </w:r>
      <w:r>
        <w:rPr>
          <w:rFonts w:hint="eastAsia" w:ascii="宋体" w:hAnsi="宋体" w:eastAsia="宋体"/>
          <w:color w:val="auto"/>
          <w:highlight w:val="none"/>
        </w:rPr>
        <w:t>%的扣除，用扣除后的价格参与评审。接受大中型企业与小微企业组成联合体或者允许大中型企业向一家或者多家小微企业分包的政府采购项目，对于联合</w:t>
      </w:r>
      <w:r>
        <w:rPr>
          <w:rFonts w:hint="eastAsia" w:ascii="宋体" w:hAnsi="宋体" w:eastAsia="宋体"/>
          <w:color w:val="auto"/>
          <w:highlight w:val="none"/>
          <w:lang w:val="en-US" w:eastAsia="zh-CN"/>
        </w:rPr>
        <w:t>体</w:t>
      </w:r>
      <w:r>
        <w:rPr>
          <w:rFonts w:hint="eastAsia" w:ascii="宋体" w:hAnsi="宋体" w:eastAsia="宋体"/>
          <w:color w:val="auto"/>
          <w:highlight w:val="none"/>
        </w:rPr>
        <w:t>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或者分包意向协议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约定小微企业的合同份额占到合同总金额30%以上的，对联合体或者大中型企业的报价给予4%-</w:t>
      </w:r>
      <w:r>
        <w:rPr>
          <w:rFonts w:ascii="宋体" w:hAnsi="宋体" w:eastAsia="宋体"/>
          <w:color w:val="auto"/>
          <w:highlight w:val="none"/>
        </w:rPr>
        <w:t>6</w:t>
      </w:r>
      <w:r>
        <w:rPr>
          <w:rFonts w:hint="eastAsia" w:ascii="宋体" w:hAnsi="宋体" w:eastAsia="宋体"/>
          <w:color w:val="auto"/>
          <w:highlight w:val="none"/>
        </w:rPr>
        <w:t>%的扣除，用扣除后的价格参加评审。组成联合体或者接受分包的小微企业与联合体内其他企业、分包企业之间存在直接控股、管理关系的，不享受价格扣除优惠政策。</w:t>
      </w:r>
    </w:p>
    <w:p w14:paraId="548FFFDB">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53" w:name="_Toc8718"/>
      <w:bookmarkStart w:id="554" w:name="_Toc17801"/>
      <w:bookmarkStart w:id="555" w:name="_Toc32272"/>
      <w:bookmarkStart w:id="556" w:name="_Toc1357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553"/>
      <w:bookmarkEnd w:id="554"/>
      <w:bookmarkEnd w:id="555"/>
      <w:bookmarkEnd w:id="556"/>
    </w:p>
    <w:p w14:paraId="073A56A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13.评标过程中，各项分值一般精确到小数点后两位，评标得分应为商务评分、技术评分、报价评分之和。评标委员会各成员应汇总每个投标人的得分。</w:t>
      </w:r>
    </w:p>
    <w:p w14:paraId="0BE80DC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14.评标结果汇总完成后，采购代理机构应对评标结果进行复核。经复核发现存在以下情形之一的，</w:t>
      </w:r>
      <w:r>
        <w:rPr>
          <w:rFonts w:hint="eastAsia"/>
          <w:iCs/>
          <w:color w:val="auto"/>
          <w:spacing w:val="-6"/>
          <w:sz w:val="24"/>
          <w:highlight w:val="none"/>
          <w:lang w:val="en-US" w:eastAsia="zh-CN"/>
        </w:rPr>
        <w:t>评标委员会应当当场修改评标结果，并在评标报告中记载</w:t>
      </w:r>
      <w:r>
        <w:rPr>
          <w:rFonts w:hint="eastAsia"/>
          <w:color w:val="auto"/>
          <w:highlight w:val="none"/>
          <w:lang w:val="en-US" w:eastAsia="zh-CN"/>
        </w:rPr>
        <w:t>：</w:t>
      </w:r>
    </w:p>
    <w:p w14:paraId="427128F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14.1分值汇总计算错误的；</w:t>
      </w:r>
    </w:p>
    <w:p w14:paraId="4404F7B4">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14.2分项评分超出评分标准范围的；</w:t>
      </w:r>
    </w:p>
    <w:p w14:paraId="18150CA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14.3评标委员会成员对客观评审因素评分不一致的；</w:t>
      </w:r>
    </w:p>
    <w:p w14:paraId="6BFAB3D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14.4经评标委员会认定评分畸高、畸低的。</w:t>
      </w:r>
    </w:p>
    <w:p w14:paraId="0FD26D1C">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15.各投标人的最终得分为评标委员会所有成员对各投标人评标得分汇总后的算术平均值。</w:t>
      </w:r>
    </w:p>
    <w:p w14:paraId="1FD846A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228022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15.2采购人或者采购代理机构不得通过对样品进行检测、对投标人进行考察等方式改变评审结果。</w:t>
      </w:r>
    </w:p>
    <w:p w14:paraId="5AB9E04E">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57" w:name="_Toc16908"/>
      <w:bookmarkStart w:id="558" w:name="_Toc10811"/>
      <w:bookmarkStart w:id="559" w:name="_Toc17532"/>
      <w:bookmarkStart w:id="560" w:name="_Toc2583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557"/>
      <w:bookmarkEnd w:id="558"/>
      <w:bookmarkEnd w:id="559"/>
      <w:bookmarkEnd w:id="560"/>
    </w:p>
    <w:p w14:paraId="514ADBD8">
      <w:pPr>
        <w:pStyle w:val="39"/>
        <w:rPr>
          <w:rFonts w:hint="eastAsia"/>
          <w:color w:val="auto"/>
          <w:highlight w:val="none"/>
        </w:rPr>
      </w:pPr>
      <w:r>
        <w:rPr>
          <w:rFonts w:hint="eastAsia"/>
          <w:color w:val="auto"/>
          <w:highlight w:val="none"/>
          <w:lang w:val="en-US" w:eastAsia="zh-CN"/>
        </w:rPr>
        <w:t>16.</w:t>
      </w:r>
      <w:r>
        <w:rPr>
          <w:rFonts w:hint="eastAsia"/>
          <w:color w:val="auto"/>
          <w:highlight w:val="none"/>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Pr>
          <w:rFonts w:hint="eastAsia"/>
          <w:color w:val="auto"/>
          <w:highlight w:val="none"/>
          <w:lang w:val="en-US" w:eastAsia="zh-CN"/>
        </w:rPr>
        <w:t>按</w:t>
      </w:r>
      <w:r>
        <w:rPr>
          <w:rFonts w:hint="eastAsia"/>
          <w:color w:val="auto"/>
          <w:highlight w:val="none"/>
        </w:rPr>
        <w:t>技术指标</w:t>
      </w:r>
      <w:r>
        <w:rPr>
          <w:rFonts w:hint="eastAsia"/>
          <w:color w:val="auto"/>
          <w:highlight w:val="none"/>
          <w:lang w:val="en-US" w:eastAsia="zh-CN"/>
        </w:rPr>
        <w:t>优劣顺序排列</w:t>
      </w:r>
      <w:r>
        <w:rPr>
          <w:rFonts w:hint="eastAsia"/>
          <w:color w:val="auto"/>
          <w:highlight w:val="none"/>
        </w:rPr>
        <w:t>。</w:t>
      </w:r>
    </w:p>
    <w:p w14:paraId="3B1F6C1A">
      <w:pPr>
        <w:pStyle w:val="39"/>
        <w:rPr>
          <w:color w:val="auto"/>
          <w:highlight w:val="none"/>
        </w:rPr>
      </w:pPr>
      <w:r>
        <w:rPr>
          <w:rFonts w:hint="eastAsia"/>
          <w:color w:val="auto"/>
          <w:highlight w:val="none"/>
          <w:lang w:val="en-US" w:eastAsia="zh-CN"/>
        </w:rPr>
        <w:t>17.</w:t>
      </w:r>
      <w:r>
        <w:rPr>
          <w:rFonts w:hint="eastAsia"/>
          <w:color w:val="auto"/>
          <w:highlight w:val="none"/>
        </w:rPr>
        <w:t>中标候选人</w:t>
      </w:r>
      <w:r>
        <w:rPr>
          <w:rFonts w:hint="eastAsia"/>
          <w:color w:val="auto"/>
          <w:highlight w:val="none"/>
          <w:lang w:val="en-US" w:eastAsia="zh-CN"/>
        </w:rPr>
        <w:t>推荐家数详</w:t>
      </w:r>
      <w:r>
        <w:rPr>
          <w:rFonts w:hint="eastAsia"/>
          <w:color w:val="auto"/>
          <w:highlight w:val="none"/>
        </w:rPr>
        <w:t>见“</w:t>
      </w:r>
      <w:r>
        <w:rPr>
          <w:rFonts w:hint="eastAsia"/>
          <w:color w:val="auto"/>
          <w:highlight w:val="none"/>
          <w:lang w:val="en-US" w:eastAsia="zh-CN"/>
        </w:rPr>
        <w:t>投标人须知</w:t>
      </w:r>
      <w:r>
        <w:rPr>
          <w:rFonts w:hint="eastAsia"/>
          <w:color w:val="auto"/>
          <w:highlight w:val="none"/>
        </w:rPr>
        <w:t>前附表”。</w:t>
      </w:r>
    </w:p>
    <w:p w14:paraId="1F98E10E">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1" w:name="_Toc7048"/>
      <w:bookmarkStart w:id="562" w:name="_Toc19119"/>
      <w:bookmarkStart w:id="563" w:name="_Toc31063"/>
      <w:bookmarkStart w:id="564" w:name="_Toc1362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561"/>
      <w:bookmarkEnd w:id="562"/>
      <w:bookmarkEnd w:id="563"/>
      <w:bookmarkEnd w:id="564"/>
    </w:p>
    <w:p w14:paraId="3576CABA">
      <w:pPr>
        <w:pStyle w:val="39"/>
        <w:rPr>
          <w:color w:val="auto"/>
          <w:highlight w:val="none"/>
        </w:rPr>
      </w:pPr>
      <w:r>
        <w:rPr>
          <w:rFonts w:hint="eastAsia"/>
          <w:color w:val="auto"/>
          <w:highlight w:val="none"/>
          <w:lang w:val="en-US" w:eastAsia="zh-CN"/>
        </w:rPr>
        <w:t>18.</w:t>
      </w:r>
      <w:r>
        <w:rPr>
          <w:rFonts w:hint="eastAsia"/>
          <w:color w:val="auto"/>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5" w:name="_Toc102116021"/>
      <w:bookmarkStart w:id="566" w:name="_Toc102057717"/>
      <w:bookmarkStart w:id="567" w:name="_Toc102056217"/>
      <w:bookmarkStart w:id="568" w:name="_Toc14247"/>
      <w:bookmarkStart w:id="569" w:name="_Toc102116151"/>
      <w:bookmarkStart w:id="570" w:name="_Toc4897"/>
      <w:bookmarkStart w:id="571" w:name="_Toc22304"/>
      <w:bookmarkStart w:id="572" w:name="_Toc163492906"/>
      <w:bookmarkStart w:id="573" w:name="_Toc102114919"/>
      <w:bookmarkStart w:id="574" w:name="_Toc25294"/>
      <w:bookmarkStart w:id="575" w:name="_Toc155185913"/>
      <w:bookmarkStart w:id="576" w:name="_Toc10211985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565"/>
      <w:bookmarkEnd w:id="566"/>
      <w:bookmarkEnd w:id="567"/>
      <w:bookmarkEnd w:id="568"/>
      <w:bookmarkEnd w:id="569"/>
      <w:bookmarkEnd w:id="570"/>
      <w:bookmarkEnd w:id="571"/>
      <w:bookmarkEnd w:id="572"/>
      <w:bookmarkEnd w:id="573"/>
      <w:bookmarkEnd w:id="574"/>
      <w:bookmarkEnd w:id="575"/>
      <w:bookmarkEnd w:id="576"/>
    </w:p>
    <w:p w14:paraId="2D93D6F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19.投标人存在下列情形之一的，</w:t>
      </w:r>
      <w:r>
        <w:rPr>
          <w:rFonts w:hint="eastAsia"/>
          <w:b/>
          <w:bCs/>
          <w:color w:val="auto"/>
          <w:highlight w:val="none"/>
          <w:lang w:val="en-US" w:eastAsia="zh-CN"/>
        </w:rPr>
        <w:t>投标无效</w:t>
      </w:r>
      <w:r>
        <w:rPr>
          <w:rFonts w:hint="eastAsia"/>
          <w:color w:val="auto"/>
          <w:highlight w:val="none"/>
          <w:lang w:val="en-US" w:eastAsia="zh-CN"/>
        </w:rPr>
        <w:t>：</w:t>
      </w:r>
    </w:p>
    <w:p w14:paraId="5C1B2C9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投标人</w:t>
      </w:r>
      <w:r>
        <w:rPr>
          <w:rFonts w:hint="eastAsia"/>
          <w:color w:val="auto"/>
          <w:highlight w:val="none"/>
          <w:lang w:val="zh-CN" w:eastAsia="zh-CN"/>
        </w:rPr>
        <w:t>不具备《中华人民共和国政府采购法》第二十二条规定条件</w:t>
      </w:r>
      <w:r>
        <w:rPr>
          <w:rFonts w:hint="eastAsia"/>
          <w:color w:val="auto"/>
          <w:highlight w:val="none"/>
          <w:lang w:val="en-US" w:eastAsia="zh-CN"/>
        </w:rPr>
        <w:t>；</w:t>
      </w:r>
    </w:p>
    <w:p w14:paraId="15C939E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eastAsia="宋体"/>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2</w:t>
      </w:r>
      <w:r>
        <w:rPr>
          <w:rFonts w:hint="eastAsia"/>
          <w:color w:val="auto"/>
          <w:highlight w:val="none"/>
        </w:rPr>
        <w:t>投标文件未按招标文件要求签署、盖章的</w:t>
      </w:r>
      <w:r>
        <w:rPr>
          <w:rFonts w:hint="eastAsia"/>
          <w:color w:val="auto"/>
          <w:highlight w:val="none"/>
          <w:lang w:val="en-US" w:eastAsia="zh-CN"/>
        </w:rPr>
        <w:t>；</w:t>
      </w:r>
    </w:p>
    <w:p w14:paraId="0A936FC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3</w:t>
      </w:r>
      <w:r>
        <w:rPr>
          <w:rFonts w:hint="eastAsia"/>
          <w:color w:val="auto"/>
          <w:highlight w:val="none"/>
          <w:lang w:val="en-US" w:eastAsia="zh-CN"/>
        </w:rPr>
        <w:t>不具备招标文件中规定的资格要求的（投标人未提供有效资格文件的，视为投标人不具备招标文件中规定的资格要求）；</w:t>
      </w:r>
    </w:p>
    <w:p w14:paraId="0C68E35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4</w:t>
      </w:r>
      <w:r>
        <w:rPr>
          <w:rFonts w:hint="eastAsia"/>
          <w:color w:val="auto"/>
          <w:highlight w:val="none"/>
          <w:lang w:val="en-US" w:eastAsia="zh-CN"/>
        </w:rPr>
        <w:t>投标</w:t>
      </w:r>
      <w:r>
        <w:rPr>
          <w:rFonts w:hint="eastAsia"/>
          <w:color w:val="auto"/>
          <w:highlight w:val="none"/>
          <w:lang w:val="zh-CN" w:eastAsia="zh-CN"/>
        </w:rPr>
        <w:t>文件提供虚假材料的</w:t>
      </w:r>
      <w:r>
        <w:rPr>
          <w:rFonts w:hint="eastAsia"/>
          <w:color w:val="auto"/>
          <w:highlight w:val="none"/>
          <w:lang w:val="en-US" w:eastAsia="zh-CN"/>
        </w:rPr>
        <w:t>；</w:t>
      </w:r>
    </w:p>
    <w:p w14:paraId="3FDAE16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5</w:t>
      </w:r>
      <w:r>
        <w:rPr>
          <w:rFonts w:hint="eastAsia"/>
          <w:color w:val="auto"/>
          <w:highlight w:val="none"/>
          <w:lang w:val="en-US" w:eastAsia="zh-CN"/>
        </w:rPr>
        <w:t>投标</w:t>
      </w:r>
      <w:r>
        <w:rPr>
          <w:rFonts w:hint="eastAsia"/>
          <w:color w:val="auto"/>
          <w:highlight w:val="none"/>
          <w:lang w:val="zh-CN" w:eastAsia="zh-CN"/>
        </w:rPr>
        <w:t>文件不满足</w:t>
      </w:r>
      <w:r>
        <w:rPr>
          <w:rFonts w:hint="eastAsia"/>
          <w:color w:val="auto"/>
          <w:highlight w:val="none"/>
          <w:lang w:val="en-US" w:eastAsia="zh-CN"/>
        </w:rPr>
        <w:t>招标</w:t>
      </w:r>
      <w:r>
        <w:rPr>
          <w:rFonts w:hint="eastAsia"/>
          <w:color w:val="auto"/>
          <w:highlight w:val="none"/>
          <w:lang w:val="zh-CN" w:eastAsia="zh-CN"/>
        </w:rPr>
        <w:t>文件中标注“★”号的实质性条款（或指标）要求的</w:t>
      </w:r>
      <w:r>
        <w:rPr>
          <w:rFonts w:hint="eastAsia"/>
          <w:color w:val="auto"/>
          <w:highlight w:val="none"/>
          <w:lang w:val="en-US" w:eastAsia="zh-CN"/>
        </w:rPr>
        <w:t>；</w:t>
      </w:r>
    </w:p>
    <w:p w14:paraId="2C5FC304">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6</w:t>
      </w:r>
      <w:r>
        <w:rPr>
          <w:rFonts w:hint="eastAsia"/>
          <w:color w:val="auto"/>
          <w:highlight w:val="none"/>
          <w:lang w:val="en-US" w:eastAsia="zh-CN"/>
        </w:rPr>
        <w:t>投标人</w:t>
      </w:r>
      <w:r>
        <w:rPr>
          <w:rFonts w:hint="eastAsia"/>
          <w:color w:val="auto"/>
          <w:highlight w:val="none"/>
          <w:lang w:val="zh-CN" w:eastAsia="zh-CN"/>
        </w:rPr>
        <w:t>报价超过招标文件中规定的</w:t>
      </w:r>
      <w:r>
        <w:rPr>
          <w:rFonts w:hint="eastAsia" w:ascii="宋体" w:hAnsi="宋体" w:eastAsia="宋体"/>
          <w:color w:val="auto"/>
          <w:highlight w:val="none"/>
          <w:lang w:val="en-US" w:eastAsia="zh-CN"/>
        </w:rPr>
        <w:t>最高限价或者预算金额</w:t>
      </w:r>
      <w:r>
        <w:rPr>
          <w:rFonts w:hint="eastAsia"/>
          <w:color w:val="auto"/>
          <w:highlight w:val="none"/>
          <w:lang w:val="zh-CN" w:eastAsia="zh-CN"/>
        </w:rPr>
        <w:t>的</w:t>
      </w:r>
      <w:r>
        <w:rPr>
          <w:rFonts w:hint="eastAsia"/>
          <w:color w:val="auto"/>
          <w:highlight w:val="none"/>
          <w:lang w:val="en-US" w:eastAsia="zh-CN"/>
        </w:rPr>
        <w:t>；</w:t>
      </w:r>
    </w:p>
    <w:p w14:paraId="6FC2A54F">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7联合体的供应商未提交各方共同签署的</w:t>
      </w:r>
      <w:r>
        <w:rPr>
          <w:rFonts w:hint="eastAsia"/>
          <w:color w:val="auto"/>
          <w:highlight w:val="none"/>
          <w:lang w:val="en-US" w:eastAsia="zh-CN"/>
        </w:rPr>
        <w:t>联合体</w:t>
      </w:r>
      <w:r>
        <w:rPr>
          <w:rFonts w:hint="eastAsia"/>
          <w:color w:val="auto"/>
          <w:highlight w:val="none"/>
          <w:lang w:val="zh-CN" w:eastAsia="zh-CN"/>
        </w:rPr>
        <w:t>协议</w:t>
      </w:r>
      <w:r>
        <w:rPr>
          <w:rFonts w:hint="eastAsia"/>
          <w:color w:val="auto"/>
          <w:highlight w:val="none"/>
          <w:lang w:val="en-US" w:eastAsia="zh-CN"/>
        </w:rPr>
        <w:t>的；</w:t>
      </w:r>
    </w:p>
    <w:p w14:paraId="4D1E785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8</w:t>
      </w:r>
      <w:r>
        <w:rPr>
          <w:rFonts w:hint="eastAsia"/>
          <w:color w:val="auto"/>
          <w:highlight w:val="none"/>
          <w:lang w:val="en-US" w:eastAsia="zh-CN"/>
        </w:rPr>
        <w:t>投标人</w:t>
      </w:r>
      <w:r>
        <w:rPr>
          <w:rFonts w:hint="eastAsia"/>
          <w:color w:val="auto"/>
          <w:highlight w:val="none"/>
          <w:lang w:val="zh-CN" w:eastAsia="zh-CN"/>
        </w:rPr>
        <w:t>未按</w:t>
      </w:r>
      <w:r>
        <w:rPr>
          <w:rFonts w:hint="eastAsia"/>
          <w:color w:val="auto"/>
          <w:highlight w:val="none"/>
          <w:lang w:val="en-US" w:eastAsia="zh-CN"/>
        </w:rPr>
        <w:t>招标</w:t>
      </w:r>
      <w:r>
        <w:rPr>
          <w:rFonts w:hint="eastAsia"/>
          <w:color w:val="auto"/>
          <w:highlight w:val="none"/>
          <w:lang w:val="zh-CN" w:eastAsia="zh-CN"/>
        </w:rPr>
        <w:t>文件</w:t>
      </w:r>
      <w:r>
        <w:rPr>
          <w:rFonts w:hint="eastAsia"/>
          <w:color w:val="auto"/>
          <w:highlight w:val="none"/>
          <w:lang w:val="en-US" w:eastAsia="zh-CN"/>
        </w:rPr>
        <w:t>的规定</w:t>
      </w:r>
      <w:r>
        <w:rPr>
          <w:rFonts w:hint="eastAsia"/>
          <w:color w:val="auto"/>
          <w:highlight w:val="none"/>
          <w:lang w:val="zh-CN" w:eastAsia="zh-CN"/>
        </w:rPr>
        <w:t>交纳投标保证金</w:t>
      </w:r>
      <w:r>
        <w:rPr>
          <w:rFonts w:hint="eastAsia"/>
          <w:color w:val="auto"/>
          <w:highlight w:val="none"/>
          <w:lang w:val="en-US" w:eastAsia="zh-CN"/>
        </w:rPr>
        <w:t>的；</w:t>
      </w:r>
    </w:p>
    <w:p w14:paraId="149A35CB">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9评审期间,</w:t>
      </w:r>
      <w:r>
        <w:rPr>
          <w:rFonts w:hint="eastAsia"/>
          <w:color w:val="auto"/>
          <w:highlight w:val="none"/>
          <w:lang w:val="en-US" w:eastAsia="zh-CN"/>
        </w:rPr>
        <w:t>投标人</w:t>
      </w:r>
      <w:r>
        <w:rPr>
          <w:rFonts w:hint="eastAsia"/>
          <w:color w:val="auto"/>
          <w:highlight w:val="none"/>
          <w:lang w:val="zh-CN" w:eastAsia="zh-CN"/>
        </w:rPr>
        <w:t>没有按评标委员会的要求提交经授权代表签字的澄清、说明、补正或改变了</w:t>
      </w:r>
      <w:r>
        <w:rPr>
          <w:rFonts w:hint="eastAsia"/>
          <w:color w:val="auto"/>
          <w:highlight w:val="none"/>
          <w:lang w:val="en-US" w:eastAsia="zh-CN"/>
        </w:rPr>
        <w:t>投标</w:t>
      </w:r>
      <w:r>
        <w:rPr>
          <w:rFonts w:hint="eastAsia"/>
          <w:color w:val="auto"/>
          <w:highlight w:val="none"/>
          <w:lang w:val="zh-CN" w:eastAsia="zh-CN"/>
        </w:rPr>
        <w:t>文件的实质性内容</w:t>
      </w:r>
      <w:r>
        <w:rPr>
          <w:rFonts w:hint="eastAsia"/>
          <w:color w:val="auto"/>
          <w:highlight w:val="none"/>
          <w:lang w:val="en-US" w:eastAsia="zh-CN"/>
        </w:rPr>
        <w:t>的；</w:t>
      </w:r>
    </w:p>
    <w:p w14:paraId="19EFB93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10</w:t>
      </w:r>
      <w:r>
        <w:rPr>
          <w:rFonts w:hint="eastAsia"/>
          <w:color w:val="auto"/>
          <w:highlight w:val="none"/>
          <w:lang w:val="en-US" w:eastAsia="zh-CN"/>
        </w:rPr>
        <w:t>投标人</w:t>
      </w:r>
      <w:r>
        <w:rPr>
          <w:rFonts w:hint="eastAsia"/>
          <w:color w:val="auto"/>
          <w:highlight w:val="none"/>
          <w:lang w:val="zh-CN" w:eastAsia="zh-CN"/>
        </w:rPr>
        <w:t>对采购人、采购代理机构、评标委员会及其工作人员施加影响,有碍公平、公正</w:t>
      </w:r>
      <w:r>
        <w:rPr>
          <w:rFonts w:hint="eastAsia"/>
          <w:color w:val="auto"/>
          <w:highlight w:val="none"/>
          <w:lang w:val="en-US" w:eastAsia="zh-CN"/>
        </w:rPr>
        <w:t>的；</w:t>
      </w:r>
    </w:p>
    <w:p w14:paraId="3A6B238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default"/>
          <w:color w:val="auto"/>
          <w:highlight w:val="none"/>
          <w:lang w:val="en-US" w:eastAsia="zh-CN"/>
        </w:rPr>
      </w:pPr>
      <w:r>
        <w:rPr>
          <w:rFonts w:hint="eastAsia"/>
          <w:color w:val="auto"/>
          <w:highlight w:val="none"/>
          <w:lang w:val="en-US" w:eastAsia="zh-CN"/>
        </w:rPr>
        <w:t>19.11投标文件含有采购人不能接受的附加条件的；</w:t>
      </w:r>
    </w:p>
    <w:p w14:paraId="3764E97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2</w:t>
      </w:r>
      <w:r>
        <w:rPr>
          <w:rFonts w:hint="eastAsia"/>
          <w:color w:val="auto"/>
          <w:highlight w:val="none"/>
          <w:lang w:val="zh-CN" w:eastAsia="zh-CN"/>
        </w:rPr>
        <w:t>法律、法规、规章规定属于</w:t>
      </w:r>
      <w:r>
        <w:rPr>
          <w:rFonts w:hint="eastAsia"/>
          <w:color w:val="auto"/>
          <w:highlight w:val="none"/>
          <w:lang w:val="en-US" w:eastAsia="zh-CN"/>
        </w:rPr>
        <w:t>投标</w:t>
      </w:r>
      <w:r>
        <w:rPr>
          <w:rFonts w:hint="eastAsia"/>
          <w:color w:val="auto"/>
          <w:highlight w:val="none"/>
          <w:lang w:val="zh-CN" w:eastAsia="zh-CN"/>
        </w:rPr>
        <w:t>无效的其他情形。</w:t>
      </w:r>
    </w:p>
    <w:p w14:paraId="601D797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20.有下列情形之一的，视为投标人串通投标，其</w:t>
      </w:r>
      <w:r>
        <w:rPr>
          <w:rFonts w:hint="eastAsia"/>
          <w:b/>
          <w:bCs/>
          <w:color w:val="auto"/>
          <w:highlight w:val="none"/>
          <w:lang w:val="en-US" w:eastAsia="zh-CN"/>
        </w:rPr>
        <w:t>投标无效</w:t>
      </w:r>
      <w:r>
        <w:rPr>
          <w:rFonts w:hint="eastAsia"/>
          <w:color w:val="auto"/>
          <w:highlight w:val="none"/>
          <w:lang w:val="en-US" w:eastAsia="zh-CN"/>
        </w:rPr>
        <w:t>：</w:t>
      </w:r>
    </w:p>
    <w:p w14:paraId="0BD5061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20.1不同投标人的投标文件由同一单位或者个人编制；</w:t>
      </w:r>
    </w:p>
    <w:p w14:paraId="3181555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20.2不同投标人委托同一单位或者个人办理投标事宜；</w:t>
      </w:r>
    </w:p>
    <w:p w14:paraId="3AD2037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20.3不同投标人的投标文件载明的项目管理成员或者联系人员为同一人；</w:t>
      </w:r>
    </w:p>
    <w:p w14:paraId="3F168EA2">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20.4不同投标人的投标文件异常一致或者投标报价呈规律性差异；</w:t>
      </w:r>
    </w:p>
    <w:p w14:paraId="634E793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20.5不同投标人的投标文件相互混装；</w:t>
      </w:r>
    </w:p>
    <w:p w14:paraId="3B078CE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20.6不同投标人的投标保证金从同一单位或者个人的账户转出；</w:t>
      </w:r>
    </w:p>
    <w:p w14:paraId="1C3AF75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20.7</w:t>
      </w:r>
      <w:r>
        <w:rPr>
          <w:rFonts w:hint="eastAsia"/>
          <w:color w:val="auto"/>
          <w:highlight w:val="none"/>
          <w:lang w:val="zh-CN" w:eastAsia="zh-CN"/>
        </w:rPr>
        <w:t>不同投标人使用同一电脑（机器特征值一致：如MAC地址等）或使用同一电子密钥，编制或上传电子投标文件</w:t>
      </w:r>
      <w:r>
        <w:rPr>
          <w:rFonts w:hint="eastAsia"/>
          <w:color w:val="auto"/>
          <w:highlight w:val="none"/>
          <w:lang w:val="en-US" w:eastAsia="zh-CN"/>
        </w:rPr>
        <w:t>；</w:t>
      </w:r>
    </w:p>
    <w:p w14:paraId="0641DF4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default" w:eastAsia="宋体"/>
          <w:color w:val="auto"/>
          <w:highlight w:val="none"/>
          <w:lang w:val="en-US" w:eastAsia="zh-CN"/>
        </w:rPr>
      </w:pPr>
      <w:r>
        <w:rPr>
          <w:rFonts w:hint="eastAsia"/>
          <w:color w:val="auto"/>
          <w:highlight w:val="none"/>
          <w:lang w:val="en-US" w:eastAsia="zh-CN"/>
        </w:rPr>
        <w:t>20.8法律、法规、规章规定属于投标人串通投标的其他情形</w:t>
      </w:r>
      <w:r>
        <w:rPr>
          <w:rFonts w:hint="eastAsia"/>
          <w:color w:val="auto"/>
          <w:highlight w:val="none"/>
          <w:lang w:val="zh-CN" w:eastAsia="zh-CN"/>
        </w:rPr>
        <w:t>。</w:t>
      </w:r>
    </w:p>
    <w:p w14:paraId="737FAF0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w:t>
      </w:r>
      <w:r>
        <w:rPr>
          <w:rFonts w:hint="eastAsia"/>
          <w:color w:val="auto"/>
          <w:highlight w:val="none"/>
        </w:rPr>
        <w:t>根据《中华人民共和国政府采购法》第三十六条之规定，在招标采购过程中，出现下列情形之一的，应予</w:t>
      </w:r>
      <w:r>
        <w:rPr>
          <w:rFonts w:hint="eastAsia"/>
          <w:b/>
          <w:bCs/>
          <w:color w:val="auto"/>
          <w:highlight w:val="none"/>
        </w:rPr>
        <w:t>废标</w:t>
      </w:r>
      <w:r>
        <w:rPr>
          <w:rFonts w:hint="eastAsia"/>
          <w:color w:val="auto"/>
          <w:highlight w:val="none"/>
        </w:rPr>
        <w:t>：</w:t>
      </w:r>
    </w:p>
    <w:p w14:paraId="2C92042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.1</w:t>
      </w:r>
      <w:r>
        <w:rPr>
          <w:rFonts w:hint="eastAsia"/>
          <w:iCs/>
          <w:color w:val="auto"/>
          <w:spacing w:val="-6"/>
          <w:sz w:val="24"/>
          <w:highlight w:val="none"/>
        </w:rPr>
        <w:t>符合专业条件的供应商或者对招标文件作实质响应的供应商不足3家的；</w:t>
      </w:r>
    </w:p>
    <w:p w14:paraId="34ECD7A2">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.2</w:t>
      </w:r>
      <w:r>
        <w:rPr>
          <w:rFonts w:hint="eastAsia"/>
          <w:color w:val="auto"/>
          <w:highlight w:val="none"/>
        </w:rPr>
        <w:t>出现影响采购公正的违法、违规行为的；</w:t>
      </w:r>
    </w:p>
    <w:p w14:paraId="55223AA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.3</w:t>
      </w:r>
      <w:r>
        <w:rPr>
          <w:rFonts w:hint="eastAsia"/>
          <w:color w:val="auto"/>
          <w:highlight w:val="none"/>
        </w:rPr>
        <w:t>投标人的报价均超过了采购预算，采购人不能支付的；</w:t>
      </w:r>
    </w:p>
    <w:p w14:paraId="238CC2DB">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21</w:t>
      </w:r>
      <w:r>
        <w:rPr>
          <w:color w:val="auto"/>
          <w:highlight w:val="none"/>
        </w:rPr>
        <w:t>.4</w:t>
      </w:r>
      <w:r>
        <w:rPr>
          <w:rFonts w:hint="eastAsia"/>
          <w:color w:val="auto"/>
          <w:highlight w:val="none"/>
        </w:rPr>
        <w:t>因重大变故，采购任务取消的</w:t>
      </w:r>
      <w:r>
        <w:rPr>
          <w:rFonts w:hint="eastAsia"/>
          <w:color w:val="auto"/>
          <w:highlight w:val="none"/>
          <w:lang w:val="en-US" w:eastAsia="zh-CN"/>
        </w:rPr>
        <w:t>；</w:t>
      </w:r>
    </w:p>
    <w:p w14:paraId="42948BC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21.5</w:t>
      </w:r>
      <w:r>
        <w:rPr>
          <w:rFonts w:hint="eastAsia"/>
          <w:color w:val="auto"/>
          <w:highlight w:val="none"/>
        </w:rPr>
        <w:t>法律、法规、规章规定属于</w:t>
      </w:r>
      <w:r>
        <w:rPr>
          <w:rFonts w:hint="eastAsia"/>
          <w:color w:val="auto"/>
          <w:highlight w:val="none"/>
          <w:lang w:val="en-US" w:eastAsia="zh-CN"/>
        </w:rPr>
        <w:t>废标</w:t>
      </w:r>
      <w:r>
        <w:rPr>
          <w:rFonts w:hint="eastAsia"/>
          <w:color w:val="auto"/>
          <w:highlight w:val="none"/>
        </w:rPr>
        <w:t>的其他情形。</w:t>
      </w:r>
    </w:p>
    <w:p w14:paraId="3EE3913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22.</w:t>
      </w:r>
      <w:r>
        <w:rPr>
          <w:rFonts w:hint="eastAsia"/>
          <w:color w:val="auto"/>
          <w:highlight w:val="none"/>
        </w:rPr>
        <w:t>废标后，采购人应当将废标理由通知所有投标人。</w:t>
      </w:r>
    </w:p>
    <w:p w14:paraId="05AB6DCD">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7" w:name="_Toc155185914"/>
      <w:bookmarkStart w:id="578" w:name="_Toc14002"/>
      <w:bookmarkStart w:id="579" w:name="_Toc102116022"/>
      <w:bookmarkStart w:id="580" w:name="_Toc102116152"/>
      <w:bookmarkStart w:id="581" w:name="_Toc102119853"/>
      <w:bookmarkStart w:id="582" w:name="_Toc102056218"/>
      <w:bookmarkStart w:id="583" w:name="_Toc20839"/>
      <w:bookmarkStart w:id="584" w:name="_Toc163492907"/>
      <w:bookmarkStart w:id="585" w:name="_Toc102057718"/>
      <w:bookmarkStart w:id="586" w:name="_Toc6140"/>
      <w:bookmarkStart w:id="587" w:name="_Toc5243"/>
      <w:bookmarkStart w:id="588" w:name="_Toc102114920"/>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577"/>
      <w:bookmarkEnd w:id="578"/>
      <w:bookmarkEnd w:id="579"/>
      <w:bookmarkEnd w:id="580"/>
      <w:bookmarkEnd w:id="581"/>
      <w:bookmarkEnd w:id="582"/>
      <w:bookmarkEnd w:id="583"/>
      <w:bookmarkEnd w:id="584"/>
      <w:bookmarkEnd w:id="585"/>
      <w:bookmarkEnd w:id="586"/>
      <w:bookmarkEnd w:id="587"/>
      <w:bookmarkEnd w:id="588"/>
    </w:p>
    <w:p w14:paraId="190044DE">
      <w:pPr>
        <w:pStyle w:val="39"/>
        <w:rPr>
          <w:rFonts w:hint="eastAsia"/>
          <w:color w:val="auto"/>
          <w:highlight w:val="none"/>
        </w:rPr>
      </w:pPr>
      <w:r>
        <w:rPr>
          <w:rFonts w:hint="eastAsia"/>
          <w:color w:val="auto"/>
          <w:highlight w:val="none"/>
          <w:lang w:val="en-US" w:eastAsia="zh-CN"/>
        </w:rPr>
        <w:t>23</w:t>
      </w:r>
      <w:r>
        <w:rPr>
          <w:color w:val="auto"/>
          <w:highlight w:val="none"/>
        </w:rPr>
        <w:t>.</w:t>
      </w: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89" w:name="_Toc8262"/>
      <w:bookmarkStart w:id="590" w:name="_Toc20339"/>
      <w:bookmarkStart w:id="591" w:name="_Toc10597"/>
      <w:bookmarkStart w:id="592" w:name="_Toc1396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589"/>
      <w:bookmarkEnd w:id="590"/>
      <w:bookmarkEnd w:id="591"/>
      <w:bookmarkEnd w:id="592"/>
    </w:p>
    <w:p w14:paraId="461B653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有</w:t>
      </w:r>
      <w:r>
        <w:rPr>
          <w:rFonts w:hint="eastAsia"/>
          <w:color w:val="auto"/>
          <w:highlight w:val="none"/>
          <w:lang w:eastAsia="zh-CN"/>
        </w:rPr>
        <w:t>《</w:t>
      </w:r>
      <w:r>
        <w:rPr>
          <w:rFonts w:hint="eastAsia"/>
          <w:color w:val="auto"/>
          <w:highlight w:val="none"/>
        </w:rPr>
        <w:t>中华人民共和国政府采购法</w:t>
      </w:r>
      <w:r>
        <w:rPr>
          <w:rFonts w:hint="eastAsia"/>
          <w:color w:val="auto"/>
          <w:highlight w:val="none"/>
          <w:lang w:eastAsia="zh-CN"/>
        </w:rPr>
        <w:t>》</w:t>
      </w:r>
      <w:r>
        <w:rPr>
          <w:rFonts w:hint="eastAsia"/>
          <w:color w:val="auto"/>
          <w:highlight w:val="none"/>
        </w:rPr>
        <w:t>第七十一条、第七十二条规定的违法行为之一，影响或者可能影响中标结果的，依照下列规定处理：</w:t>
      </w:r>
    </w:p>
    <w:p w14:paraId="7AA5C7C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.1</w:t>
      </w:r>
      <w:r>
        <w:rPr>
          <w:rFonts w:hint="eastAsia"/>
          <w:iCs/>
          <w:color w:val="auto"/>
          <w:spacing w:val="-6"/>
          <w:sz w:val="24"/>
          <w:highlight w:val="none"/>
        </w:rPr>
        <w:t>未确定中标供应商的，终止本次政府采购活动，重新开展政府采购活动。</w:t>
      </w:r>
    </w:p>
    <w:p w14:paraId="3A79489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.2已确定中标供应商但尚未签订政府采购合同的，中标结果无效，从合格的中标候选人中另行确定中标供应商；没有合格的中标候选人的，重新开展政府采购活动。</w:t>
      </w:r>
    </w:p>
    <w:p w14:paraId="595100CC">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.3政府采购合同已签订但尚未履行的，撤销合同，从合格的中标候选人中另行确定中标供应商；没有合格的中标候选人的，重新开展政府采购活动。</w:t>
      </w:r>
    </w:p>
    <w:p w14:paraId="45E078B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.4政府采购合同已经履行，给采购人、供应商造成损失的，由责任人承担赔偿责任。</w:t>
      </w:r>
    </w:p>
    <w:p w14:paraId="43A428E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24</w:t>
      </w:r>
      <w:r>
        <w:rPr>
          <w:rFonts w:hint="eastAsia"/>
          <w:color w:val="auto"/>
          <w:highlight w:val="none"/>
        </w:rPr>
        <w:t>.5政府采购当事人有其他违反</w:t>
      </w:r>
      <w:r>
        <w:rPr>
          <w:rFonts w:hint="eastAsia"/>
          <w:iCs/>
          <w:color w:val="auto"/>
          <w:spacing w:val="-6"/>
          <w:sz w:val="24"/>
          <w:highlight w:val="none"/>
          <w:lang w:eastAsia="zh-CN"/>
        </w:rPr>
        <w:t>《</w:t>
      </w:r>
      <w:r>
        <w:rPr>
          <w:rFonts w:hint="eastAsia"/>
          <w:iCs/>
          <w:color w:val="auto"/>
          <w:spacing w:val="-6"/>
          <w:sz w:val="24"/>
          <w:highlight w:val="none"/>
        </w:rPr>
        <w:t>中华人民共和国政府采购法</w:t>
      </w:r>
      <w:r>
        <w:rPr>
          <w:rFonts w:hint="eastAsia"/>
          <w:iCs/>
          <w:color w:val="auto"/>
          <w:spacing w:val="-6"/>
          <w:sz w:val="24"/>
          <w:highlight w:val="none"/>
          <w:lang w:eastAsia="zh-CN"/>
        </w:rPr>
        <w:t>》</w:t>
      </w:r>
      <w:r>
        <w:rPr>
          <w:rFonts w:hint="eastAsia"/>
          <w:iCs/>
          <w:color w:val="auto"/>
          <w:spacing w:val="-6"/>
          <w:sz w:val="24"/>
          <w:highlight w:val="none"/>
        </w:rPr>
        <w:t>或者</w:t>
      </w:r>
      <w:r>
        <w:rPr>
          <w:rFonts w:hint="eastAsia"/>
          <w:iCs/>
          <w:color w:val="auto"/>
          <w:spacing w:val="-6"/>
          <w:sz w:val="24"/>
          <w:highlight w:val="none"/>
          <w:lang w:eastAsia="zh-CN"/>
        </w:rPr>
        <w:t>《</w:t>
      </w:r>
      <w:r>
        <w:rPr>
          <w:rFonts w:hint="eastAsia"/>
          <w:iCs/>
          <w:color w:val="auto"/>
          <w:spacing w:val="-6"/>
          <w:sz w:val="24"/>
          <w:highlight w:val="none"/>
        </w:rPr>
        <w:t>中华人民共和国政府采购法实施条例</w:t>
      </w:r>
      <w:r>
        <w:rPr>
          <w:rFonts w:hint="eastAsia"/>
          <w:iCs/>
          <w:color w:val="auto"/>
          <w:spacing w:val="-6"/>
          <w:sz w:val="24"/>
          <w:highlight w:val="none"/>
          <w:lang w:eastAsia="zh-CN"/>
        </w:rPr>
        <w:t>》</w:t>
      </w:r>
      <w:r>
        <w:rPr>
          <w:rFonts w:hint="eastAsia"/>
          <w:color w:val="auto"/>
          <w:highlight w:val="none"/>
        </w:rPr>
        <w:t>等法律法规规定的行为，经改正后仍然影响或者可能影响中标结果或者依法被认定为中标无效的，依照</w:t>
      </w:r>
      <w:r>
        <w:rPr>
          <w:rFonts w:hint="eastAsia"/>
          <w:color w:val="auto"/>
          <w:highlight w:val="none"/>
          <w:lang w:val="en-US" w:eastAsia="zh-CN"/>
        </w:rPr>
        <w:t>24</w:t>
      </w:r>
      <w:r>
        <w:rPr>
          <w:rFonts w:hint="eastAsia"/>
          <w:color w:val="auto"/>
          <w:highlight w:val="none"/>
        </w:rPr>
        <w:t>.1</w:t>
      </w:r>
      <w:r>
        <w:rPr>
          <w:rFonts w:hint="eastAsia"/>
          <w:color w:val="auto"/>
          <w:highlight w:val="none"/>
          <w:lang w:eastAsia="zh-CN"/>
        </w:rPr>
        <w:t>—</w:t>
      </w:r>
      <w:r>
        <w:rPr>
          <w:rFonts w:hint="eastAsia"/>
          <w:color w:val="auto"/>
          <w:highlight w:val="none"/>
          <w:lang w:val="en-US" w:eastAsia="zh-CN"/>
        </w:rPr>
        <w:t>24</w:t>
      </w:r>
      <w:r>
        <w:rPr>
          <w:rFonts w:hint="eastAsia"/>
          <w:color w:val="auto"/>
          <w:highlight w:val="none"/>
        </w:rPr>
        <w:t>.4规定处理。</w:t>
      </w:r>
    </w:p>
    <w:bookmarkEnd w:id="518"/>
    <w:bookmarkEnd w:id="519"/>
    <w:bookmarkEnd w:id="520"/>
    <w:bookmarkEnd w:id="521"/>
    <w:bookmarkEnd w:id="522"/>
    <w:bookmarkEnd w:id="523"/>
    <w:bookmarkEnd w:id="524"/>
    <w:bookmarkEnd w:id="525"/>
    <w:bookmarkEnd w:id="526"/>
    <w:bookmarkEnd w:id="527"/>
    <w:p w14:paraId="6AD5E432">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593" w:name="_Toc29977"/>
      <w:bookmarkStart w:id="594" w:name="_Toc27264"/>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593"/>
      <w:bookmarkEnd w:id="594"/>
    </w:p>
    <w:p w14:paraId="555D6B49">
      <w:pPr>
        <w:pStyle w:val="39"/>
        <w:keepNext w:val="0"/>
        <w:keepLines w:val="0"/>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0BE29AB1">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95" w:name="_Toc24499"/>
      <w:bookmarkStart w:id="596" w:name="_Toc22385"/>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595"/>
      <w:bookmarkEnd w:id="596"/>
    </w:p>
    <w:p w14:paraId="6FC1DEBE">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97" w:name="_Toc1508"/>
      <w:bookmarkStart w:id="598" w:name="_Toc12396"/>
      <w:bookmarkStart w:id="599" w:name="_Toc3636"/>
      <w:bookmarkStart w:id="600" w:name="_Toc163492909"/>
      <w:bookmarkStart w:id="601" w:name="_Toc29368"/>
      <w:r>
        <w:rPr>
          <w:rFonts w:hint="eastAsia" w:ascii="宋体" w:hAnsi="宋体" w:eastAsia="宋体" w:cs="宋体"/>
          <w:b/>
          <w:bCs/>
          <w:color w:val="auto"/>
          <w:kern w:val="2"/>
          <w:sz w:val="24"/>
          <w:szCs w:val="24"/>
          <w:highlight w:val="none"/>
          <w:lang w:val="zh-CN" w:eastAsia="zh-CN" w:bidi="ar-SA"/>
        </w:rPr>
        <w:t>（一）符合性审查表</w:t>
      </w:r>
      <w:bookmarkEnd w:id="597"/>
      <w:bookmarkEnd w:id="598"/>
      <w:bookmarkEnd w:id="599"/>
      <w:bookmarkEnd w:id="600"/>
      <w:bookmarkEnd w:id="601"/>
    </w:p>
    <w:tbl>
      <w:tblPr>
        <w:tblStyle w:val="31"/>
        <w:tblW w:w="5424"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2"/>
        <w:gridCol w:w="1302"/>
        <w:gridCol w:w="5477"/>
        <w:gridCol w:w="866"/>
        <w:gridCol w:w="1088"/>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restart"/>
            <w:shd w:val="clear" w:color="auto" w:fill="D8D8D8" w:themeFill="background1" w:themeFillShade="D9"/>
            <w:vAlign w:val="center"/>
          </w:tcPr>
          <w:p w14:paraId="3B188FC3">
            <w:pPr>
              <w:pStyle w:val="51"/>
              <w:jc w:val="center"/>
              <w:rPr>
                <w:rFonts w:hint="eastAsia" w:ascii="宋体" w:hAnsi="宋体" w:eastAsia="宋体" w:cs="宋体"/>
                <w:b/>
                <w:bCs/>
                <w:color w:val="auto"/>
                <w:sz w:val="21"/>
                <w:szCs w:val="21"/>
                <w:highlight w:val="none"/>
                <w:lang w:val="zh-CN"/>
              </w:rPr>
            </w:pPr>
            <w:bookmarkStart w:id="602" w:name="_Toc155185917"/>
            <w:bookmarkStart w:id="603" w:name="_Toc163492910"/>
            <w:r>
              <w:rPr>
                <w:rFonts w:hint="eastAsia" w:ascii="宋体" w:hAnsi="宋体" w:eastAsia="宋体" w:cs="宋体"/>
                <w:b/>
                <w:bCs/>
                <w:color w:val="auto"/>
                <w:sz w:val="21"/>
                <w:szCs w:val="21"/>
                <w:highlight w:val="none"/>
                <w:lang w:val="zh-CN"/>
              </w:rPr>
              <w:t>序号</w:t>
            </w:r>
          </w:p>
        </w:tc>
        <w:tc>
          <w:tcPr>
            <w:tcW w:w="704" w:type="pct"/>
            <w:vMerge w:val="restart"/>
            <w:shd w:val="clear" w:color="auto" w:fill="D8D8D8" w:themeFill="background1" w:themeFillShade="D9"/>
            <w:vAlign w:val="center"/>
          </w:tcPr>
          <w:p w14:paraId="316B5F87">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1" w:type="pct"/>
            <w:vMerge w:val="restart"/>
            <w:shd w:val="clear" w:color="auto" w:fill="D8D8D8" w:themeFill="background1" w:themeFillShade="D9"/>
            <w:vAlign w:val="center"/>
          </w:tcPr>
          <w:p w14:paraId="44B32FDC">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2724C461">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continue"/>
            <w:shd w:val="clear" w:color="auto" w:fill="D8D8D8" w:themeFill="background1" w:themeFillShade="D9"/>
            <w:vAlign w:val="center"/>
          </w:tcPr>
          <w:p w14:paraId="1859AA86">
            <w:pPr>
              <w:pStyle w:val="51"/>
              <w:jc w:val="center"/>
              <w:rPr>
                <w:rFonts w:hint="eastAsia" w:ascii="宋体" w:hAnsi="宋体" w:eastAsia="宋体" w:cs="宋体"/>
                <w:b/>
                <w:bCs/>
                <w:color w:val="auto"/>
                <w:sz w:val="21"/>
                <w:szCs w:val="21"/>
                <w:highlight w:val="none"/>
                <w:lang w:val="zh-CN"/>
              </w:rPr>
            </w:pPr>
          </w:p>
        </w:tc>
        <w:tc>
          <w:tcPr>
            <w:tcW w:w="704" w:type="pct"/>
            <w:vMerge w:val="continue"/>
            <w:shd w:val="clear" w:color="auto" w:fill="D8D8D8" w:themeFill="background1" w:themeFillShade="D9"/>
            <w:vAlign w:val="center"/>
          </w:tcPr>
          <w:p w14:paraId="51EF0565">
            <w:pPr>
              <w:pStyle w:val="51"/>
              <w:jc w:val="center"/>
              <w:rPr>
                <w:rFonts w:hint="eastAsia" w:ascii="宋体" w:hAnsi="宋体" w:eastAsia="宋体" w:cs="宋体"/>
                <w:b/>
                <w:bCs/>
                <w:color w:val="auto"/>
                <w:sz w:val="21"/>
                <w:szCs w:val="21"/>
                <w:highlight w:val="none"/>
                <w:lang w:val="zh-CN"/>
              </w:rPr>
            </w:pPr>
          </w:p>
        </w:tc>
        <w:tc>
          <w:tcPr>
            <w:tcW w:w="2961" w:type="pct"/>
            <w:vMerge w:val="continue"/>
            <w:shd w:val="clear" w:color="auto" w:fill="D8D8D8" w:themeFill="background1" w:themeFillShade="D9"/>
            <w:vAlign w:val="center"/>
          </w:tcPr>
          <w:p w14:paraId="2128C077">
            <w:pPr>
              <w:pStyle w:val="51"/>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0CAA21D7">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15D1F439">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7" w:type="pct"/>
            <w:shd w:val="clear" w:color="auto" w:fill="auto"/>
            <w:vAlign w:val="center"/>
          </w:tcPr>
          <w:p w14:paraId="4A515C07">
            <w:pPr>
              <w:pStyle w:val="51"/>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5E0E3062">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961" w:type="pct"/>
            <w:shd w:val="clear" w:color="auto" w:fill="auto"/>
            <w:vAlign w:val="center"/>
          </w:tcPr>
          <w:p w14:paraId="0FA4ED80">
            <w:pPr>
              <w:pStyle w:val="51"/>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1E1F1EB1">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5325BAA">
            <w:pPr>
              <w:pStyle w:val="51"/>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70154C2F">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1" w:type="pct"/>
            <w:shd w:val="clear" w:color="auto" w:fill="auto"/>
            <w:vAlign w:val="center"/>
          </w:tcPr>
          <w:p w14:paraId="6D95F485">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1"/>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7" w:type="pct"/>
            <w:shd w:val="clear" w:color="auto" w:fill="auto"/>
            <w:vAlign w:val="center"/>
          </w:tcPr>
          <w:p w14:paraId="48860C47">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961" w:type="pct"/>
            <w:shd w:val="clear" w:color="auto" w:fill="auto"/>
            <w:vAlign w:val="center"/>
          </w:tcPr>
          <w:p w14:paraId="02D97709">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1"/>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7" w:type="pct"/>
            <w:shd w:val="clear" w:color="auto" w:fill="auto"/>
            <w:vAlign w:val="center"/>
          </w:tcPr>
          <w:p w14:paraId="0D25BA5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704" w:type="pct"/>
            <w:vAlign w:val="center"/>
          </w:tcPr>
          <w:p w14:paraId="6B53D7DD">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1" w:type="pct"/>
            <w:shd w:val="clear" w:color="auto" w:fill="auto"/>
            <w:vAlign w:val="center"/>
          </w:tcPr>
          <w:p w14:paraId="3C241A91">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1"/>
              <w:rPr>
                <w:rFonts w:hint="eastAsia" w:ascii="宋体" w:hAnsi="宋体" w:eastAsia="宋体" w:cs="宋体"/>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7" w:type="pct"/>
            <w:shd w:val="clear" w:color="auto" w:fill="auto"/>
            <w:vAlign w:val="center"/>
          </w:tcPr>
          <w:p w14:paraId="5772C4C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5</w:t>
            </w:r>
          </w:p>
        </w:tc>
        <w:tc>
          <w:tcPr>
            <w:tcW w:w="704" w:type="pct"/>
            <w:vAlign w:val="center"/>
          </w:tcPr>
          <w:p w14:paraId="1817A2C0">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2961" w:type="pct"/>
            <w:shd w:val="clear" w:color="auto" w:fill="auto"/>
            <w:vAlign w:val="center"/>
          </w:tcPr>
          <w:p w14:paraId="39640874">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eastAsia="zh-CN"/>
              </w:rPr>
              <w:t>联合体的供应商提交</w:t>
            </w:r>
            <w:r>
              <w:rPr>
                <w:rFonts w:hint="eastAsia" w:ascii="宋体" w:hAnsi="宋体" w:eastAsia="宋体" w:cs="宋体"/>
                <w:color w:val="auto"/>
                <w:sz w:val="21"/>
                <w:szCs w:val="21"/>
                <w:highlight w:val="none"/>
                <w:lang w:val="en-US" w:eastAsia="zh-CN"/>
              </w:rPr>
              <w:t>了</w:t>
            </w:r>
            <w:r>
              <w:rPr>
                <w:rFonts w:hint="eastAsia" w:ascii="宋体" w:hAnsi="宋体" w:eastAsia="宋体" w:cs="宋体"/>
                <w:color w:val="auto"/>
                <w:sz w:val="21"/>
                <w:szCs w:val="21"/>
                <w:highlight w:val="none"/>
                <w:lang w:val="zh-CN" w:eastAsia="zh-CN"/>
              </w:rPr>
              <w:t>各方共同签署的联合体协议的【</w:t>
            </w:r>
            <w:r>
              <w:rPr>
                <w:rFonts w:hint="eastAsia" w:ascii="宋体" w:hAnsi="宋体" w:eastAsia="宋体" w:cs="宋体"/>
                <w:color w:val="auto"/>
                <w:sz w:val="21"/>
                <w:szCs w:val="21"/>
                <w:highlight w:val="none"/>
                <w:lang w:val="en-US" w:eastAsia="zh-CN"/>
              </w:rPr>
              <w:t>如允许联合体投标的</w:t>
            </w:r>
            <w:r>
              <w:rPr>
                <w:rFonts w:hint="eastAsia" w:ascii="宋体" w:hAnsi="宋体" w:eastAsia="宋体" w:cs="宋体"/>
                <w:color w:val="auto"/>
                <w:sz w:val="21"/>
                <w:szCs w:val="21"/>
                <w:highlight w:val="none"/>
                <w:lang w:val="zh-CN" w:eastAsia="zh-CN"/>
              </w:rPr>
              <w:t>】</w:t>
            </w:r>
          </w:p>
        </w:tc>
        <w:tc>
          <w:tcPr>
            <w:tcW w:w="468" w:type="pct"/>
            <w:shd w:val="clear" w:color="auto" w:fill="auto"/>
            <w:vAlign w:val="center"/>
          </w:tcPr>
          <w:p w14:paraId="2C782F1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163069B8">
            <w:pPr>
              <w:pStyle w:val="51"/>
              <w:rPr>
                <w:rFonts w:hint="eastAsia" w:ascii="宋体" w:hAnsi="宋体" w:eastAsia="宋体" w:cs="宋体"/>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7" w:type="pct"/>
            <w:shd w:val="clear" w:color="auto" w:fill="auto"/>
            <w:vAlign w:val="center"/>
          </w:tcPr>
          <w:p w14:paraId="31C12A1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6</w:t>
            </w:r>
          </w:p>
        </w:tc>
        <w:tc>
          <w:tcPr>
            <w:tcW w:w="704" w:type="pct"/>
            <w:vAlign w:val="center"/>
          </w:tcPr>
          <w:p w14:paraId="55194F4F">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2961" w:type="pct"/>
            <w:shd w:val="clear" w:color="auto" w:fill="auto"/>
            <w:vAlign w:val="center"/>
          </w:tcPr>
          <w:p w14:paraId="4803457A">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p>
        </w:tc>
        <w:tc>
          <w:tcPr>
            <w:tcW w:w="468" w:type="pct"/>
            <w:shd w:val="clear" w:color="auto" w:fill="auto"/>
            <w:vAlign w:val="center"/>
          </w:tcPr>
          <w:p w14:paraId="194FF3C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72B823">
            <w:pPr>
              <w:pStyle w:val="51"/>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6C002E13">
            <w:pPr>
              <w:pStyle w:val="51"/>
              <w:numPr>
                <w:ilvl w:val="0"/>
                <w:numId w:val="0"/>
              </w:numP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7</w:t>
            </w:r>
          </w:p>
        </w:tc>
        <w:tc>
          <w:tcPr>
            <w:tcW w:w="704" w:type="pct"/>
            <w:vAlign w:val="center"/>
          </w:tcPr>
          <w:p w14:paraId="5C91A4A7">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961" w:type="pct"/>
            <w:shd w:val="clear" w:color="auto" w:fill="auto"/>
            <w:vAlign w:val="center"/>
          </w:tcPr>
          <w:p w14:paraId="3E6052BB">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1"/>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7" w:type="pct"/>
            <w:shd w:val="clear" w:color="auto" w:fill="auto"/>
            <w:vAlign w:val="center"/>
          </w:tcPr>
          <w:p w14:paraId="09617D9C">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8</w:t>
            </w:r>
          </w:p>
        </w:tc>
        <w:tc>
          <w:tcPr>
            <w:tcW w:w="704" w:type="pct"/>
            <w:vAlign w:val="center"/>
          </w:tcPr>
          <w:p w14:paraId="2016E93A">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961" w:type="pct"/>
            <w:shd w:val="clear" w:color="auto" w:fill="auto"/>
            <w:vAlign w:val="center"/>
          </w:tcPr>
          <w:p w14:paraId="50B76BB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1"/>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06D3887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p>
        </w:tc>
        <w:tc>
          <w:tcPr>
            <w:tcW w:w="704" w:type="pct"/>
            <w:vAlign w:val="center"/>
          </w:tcPr>
          <w:p w14:paraId="32AEC3D4">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961" w:type="pct"/>
            <w:shd w:val="clear" w:color="auto" w:fill="auto"/>
            <w:vAlign w:val="center"/>
          </w:tcPr>
          <w:p w14:paraId="68DBD36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1"/>
              <w:rPr>
                <w:rFonts w:hint="eastAsia" w:ascii="宋体" w:hAnsi="宋体" w:eastAsia="宋体" w:cs="宋体"/>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332BD4A6">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704" w:type="pct"/>
            <w:vAlign w:val="center"/>
          </w:tcPr>
          <w:p w14:paraId="56EEFE7E">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1" w:type="pct"/>
            <w:shd w:val="clear" w:color="auto" w:fill="auto"/>
            <w:vAlign w:val="center"/>
          </w:tcPr>
          <w:p w14:paraId="618DB2FB">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36C2A679">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3E4201A">
            <w:pPr>
              <w:pStyle w:val="51"/>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3CD6AABE">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w:t>
            </w:r>
          </w:p>
        </w:tc>
        <w:tc>
          <w:tcPr>
            <w:tcW w:w="704" w:type="pct"/>
            <w:vAlign w:val="center"/>
          </w:tcPr>
          <w:p w14:paraId="40726A5F">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1" w:type="pct"/>
            <w:shd w:val="clear" w:color="auto" w:fill="auto"/>
            <w:vAlign w:val="center"/>
          </w:tcPr>
          <w:p w14:paraId="05CC0303">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1"/>
              <w:rPr>
                <w:rFonts w:hint="eastAsia" w:ascii="宋体" w:hAnsi="宋体" w:eastAsia="宋体" w:cs="宋体"/>
                <w:color w:val="auto"/>
                <w:sz w:val="21"/>
                <w:szCs w:val="21"/>
                <w:highlight w:val="none"/>
                <w:lang w:val="zh-CN"/>
              </w:rPr>
            </w:pPr>
          </w:p>
        </w:tc>
      </w:tr>
      <w:tr w14:paraId="105D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65992B2F">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p>
        </w:tc>
        <w:tc>
          <w:tcPr>
            <w:tcW w:w="704" w:type="pct"/>
            <w:vAlign w:val="center"/>
          </w:tcPr>
          <w:p w14:paraId="52767F5E">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p>
        </w:tc>
        <w:tc>
          <w:tcPr>
            <w:tcW w:w="2961" w:type="pct"/>
            <w:shd w:val="clear" w:color="auto" w:fill="auto"/>
            <w:vAlign w:val="center"/>
          </w:tcPr>
          <w:p w14:paraId="018BE69C">
            <w:pPr>
              <w:pStyle w:val="51"/>
              <w:rPr>
                <w:rFonts w:hint="eastAsia" w:ascii="宋体" w:hAnsi="宋体" w:eastAsia="宋体" w:cs="宋体"/>
                <w:color w:val="auto"/>
                <w:sz w:val="21"/>
                <w:szCs w:val="21"/>
                <w:highlight w:val="none"/>
                <w:lang w:val="zh-CN" w:eastAsia="zh-CN"/>
              </w:rPr>
            </w:pPr>
          </w:p>
        </w:tc>
        <w:tc>
          <w:tcPr>
            <w:tcW w:w="468" w:type="pct"/>
            <w:shd w:val="clear" w:color="auto" w:fill="auto"/>
            <w:vAlign w:val="center"/>
          </w:tcPr>
          <w:p w14:paraId="4BD7EBEE">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F4076D0">
            <w:pPr>
              <w:pStyle w:val="51"/>
              <w:rPr>
                <w:rFonts w:hint="eastAsia" w:ascii="宋体" w:hAnsi="宋体" w:eastAsia="宋体" w:cs="宋体"/>
                <w:color w:val="auto"/>
                <w:sz w:val="21"/>
                <w:szCs w:val="21"/>
                <w:highlight w:val="none"/>
                <w:lang w:val="zh-CN"/>
              </w:rPr>
            </w:pPr>
          </w:p>
        </w:tc>
      </w:tr>
    </w:tbl>
    <w:p w14:paraId="1300A53A">
      <w:pPr>
        <w:rPr>
          <w:rFonts w:hint="eastAsia" w:ascii="宋体" w:hAnsi="宋体" w:eastAsia="宋体" w:cstheme="minorBidi"/>
          <w:b/>
          <w:bCs/>
          <w:color w:val="auto"/>
          <w:kern w:val="2"/>
          <w:sz w:val="30"/>
          <w:szCs w:val="32"/>
          <w:highlight w:val="none"/>
          <w:lang w:val="zh-CN" w:eastAsia="zh-CN" w:bidi="ar-SA"/>
        </w:rPr>
      </w:pPr>
      <w:r>
        <w:rPr>
          <w:rFonts w:hint="eastAsia" w:ascii="宋体" w:hAnsi="宋体" w:eastAsia="宋体" w:cstheme="minorBidi"/>
          <w:b/>
          <w:bCs/>
          <w:color w:val="auto"/>
          <w:kern w:val="2"/>
          <w:sz w:val="30"/>
          <w:szCs w:val="32"/>
          <w:highlight w:val="none"/>
          <w:lang w:val="zh-CN" w:eastAsia="zh-CN" w:bidi="ar-SA"/>
        </w:rPr>
        <w:br w:type="page"/>
      </w:r>
    </w:p>
    <w:p w14:paraId="7D635A1B">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DB6FBF5">
      <w:pPr>
        <w:shd w:val="clear" w:color="auto" w:fill="FFFFFF"/>
        <w:tabs>
          <w:tab w:val="left" w:pos="3045"/>
        </w:tabs>
        <w:autoSpaceDE w:val="0"/>
        <w:autoSpaceDN w:val="0"/>
        <w:adjustRightInd w:val="0"/>
        <w:snapToGrid w:val="0"/>
        <w:spacing w:line="360" w:lineRule="exact"/>
        <w:rPr>
          <w:rFonts w:hint="eastAsia"/>
          <w:color w:val="auto"/>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eastAsia="zh-CN"/>
        </w:rPr>
        <w:t>性</w:t>
      </w:r>
      <w:r>
        <w:rPr>
          <w:rFonts w:hint="eastAsia" w:cs="宋体"/>
          <w:b/>
          <w:color w:val="auto"/>
          <w:sz w:val="24"/>
          <w:highlight w:val="none"/>
          <w:lang w:val="en-US" w:eastAsia="zh-CN"/>
        </w:rPr>
        <w:t>审查表-</w:t>
      </w:r>
      <w:r>
        <w:rPr>
          <w:rFonts w:hint="eastAsia" w:ascii="宋体" w:hAnsi="宋体" w:cs="宋体"/>
          <w:b/>
          <w:color w:val="auto"/>
          <w:sz w:val="24"/>
          <w:highlight w:val="none"/>
        </w:rPr>
        <w:t>附表</w:t>
      </w:r>
    </w:p>
    <w:p w14:paraId="70584E38">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604" w:name="_Toc29942"/>
      <w:bookmarkStart w:id="605" w:name="_Toc32259"/>
      <w:bookmarkStart w:id="606" w:name="_Toc26981"/>
      <w:bookmarkStart w:id="607" w:name="_Toc15958"/>
      <w:r>
        <w:rPr>
          <w:rFonts w:hint="eastAsia" w:ascii="宋体" w:hAnsi="宋体" w:eastAsia="宋体" w:cstheme="minorBidi"/>
          <w:b/>
          <w:bCs/>
          <w:color w:val="auto"/>
          <w:kern w:val="2"/>
          <w:sz w:val="28"/>
          <w:szCs w:val="28"/>
          <w:highlight w:val="none"/>
          <w:lang w:val="zh-CN" w:eastAsia="zh-CN" w:bidi="ar-SA"/>
        </w:rPr>
        <w:t>实质性响应一览表</w:t>
      </w:r>
      <w:bookmarkEnd w:id="604"/>
      <w:bookmarkEnd w:id="605"/>
      <w:bookmarkEnd w:id="606"/>
      <w:bookmarkEnd w:id="607"/>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212CF784">
      <w:pPr>
        <w:pStyle w:val="25"/>
        <w:rPr>
          <w:rFonts w:hint="eastAsia" w:ascii="宋体" w:hAnsi="宋体" w:cs="宋体"/>
          <w:color w:val="auto"/>
          <w:highlight w:val="none"/>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文件要求的实质性响应内容</w:t>
            </w:r>
          </w:p>
        </w:tc>
        <w:tc>
          <w:tcPr>
            <w:tcW w:w="1010"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5"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063C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20" w:type="pct"/>
            <w:vMerge w:val="continue"/>
            <w:noWrap w:val="0"/>
            <w:vAlign w:val="center"/>
          </w:tcPr>
          <w:p w14:paraId="01C8640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noWrap w:val="0"/>
            <w:vAlign w:val="center"/>
          </w:tcPr>
          <w:p w14:paraId="38AFEC8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实质性要求</w:t>
            </w:r>
          </w:p>
        </w:tc>
        <w:tc>
          <w:tcPr>
            <w:tcW w:w="2298" w:type="pct"/>
            <w:noWrap w:val="0"/>
            <w:vAlign w:val="center"/>
          </w:tcPr>
          <w:p w14:paraId="11DB857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招标文件中的规定</w:t>
            </w:r>
          </w:p>
        </w:tc>
        <w:tc>
          <w:tcPr>
            <w:tcW w:w="1010" w:type="pct"/>
            <w:vMerge w:val="continue"/>
            <w:noWrap w:val="0"/>
            <w:vAlign w:val="center"/>
          </w:tcPr>
          <w:p w14:paraId="3D2B011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5" w:type="pct"/>
            <w:vMerge w:val="continue"/>
            <w:noWrap w:val="0"/>
            <w:vAlign w:val="center"/>
          </w:tcPr>
          <w:p w14:paraId="485D618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75" w:type="pct"/>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2298" w:type="pct"/>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010" w:type="pct"/>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395" w:type="pct"/>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2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4856D8A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（1）交付（实施）的时间（期限）</w:t>
            </w:r>
          </w:p>
          <w:p w14:paraId="3FD786B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2298" w:type="pct"/>
            <w:shd w:val="clear" w:color="auto" w:fill="auto"/>
            <w:noWrap w:val="0"/>
            <w:vAlign w:val="center"/>
          </w:tcPr>
          <w:p w14:paraId="068C011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共3年，至2028年4月15日</w:t>
            </w:r>
            <w:r>
              <w:rPr>
                <w:rFonts w:hint="eastAsia" w:ascii="宋体" w:hAnsi="宋体" w:eastAsia="宋体" w:cs="宋体"/>
                <w:color w:val="auto"/>
                <w:sz w:val="21"/>
                <w:szCs w:val="21"/>
                <w:highlight w:val="none"/>
              </w:rPr>
              <w:t xml:space="preserve">   </w:t>
            </w:r>
          </w:p>
          <w:p w14:paraId="38E1D7F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p>
        </w:tc>
        <w:tc>
          <w:tcPr>
            <w:tcW w:w="1010" w:type="pct"/>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0565F8C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（2）交付（实施）的地点（范围）：</w:t>
            </w:r>
          </w:p>
          <w:p w14:paraId="0697EF3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2298" w:type="pct"/>
            <w:shd w:val="clear" w:color="auto" w:fill="auto"/>
            <w:noWrap w:val="0"/>
            <w:vAlign w:val="center"/>
          </w:tcPr>
          <w:p w14:paraId="324EF1F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rPr>
              <w:t xml:space="preserve">  </w:t>
            </w:r>
          </w:p>
        </w:tc>
        <w:tc>
          <w:tcPr>
            <w:tcW w:w="1010" w:type="pct"/>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12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24A010C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75" w:type="pct"/>
            <w:shd w:val="clear" w:color="auto" w:fill="auto"/>
            <w:noWrap w:val="0"/>
            <w:vAlign w:val="center"/>
          </w:tcPr>
          <w:p w14:paraId="0FA4711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（3）付款条件（进度和方式）</w:t>
            </w:r>
          </w:p>
        </w:tc>
        <w:tc>
          <w:tcPr>
            <w:tcW w:w="2298" w:type="pct"/>
            <w:shd w:val="clear" w:color="auto" w:fill="auto"/>
            <w:noWrap w:val="0"/>
            <w:vAlign w:val="center"/>
          </w:tcPr>
          <w:p w14:paraId="05C457D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具体付款时间根据团场财政资金到位情况分期付款，最晚不迟于下个采暖季开始前付清</w:t>
            </w:r>
            <w:r>
              <w:rPr>
                <w:rFonts w:hint="eastAsia" w:ascii="宋体" w:hAnsi="宋体" w:eastAsia="宋体" w:cs="宋体"/>
                <w:color w:val="auto"/>
                <w:sz w:val="21"/>
                <w:szCs w:val="21"/>
                <w:highlight w:val="none"/>
                <w:lang w:val="en-US" w:eastAsia="zh-CN"/>
              </w:rPr>
              <w:t>(师市运行补贴服务费及涵盖供暖系统所有设备运行、维护维修所发生的所有费用)。</w:t>
            </w:r>
          </w:p>
          <w:p w14:paraId="1C3549C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注:本服务项目服务期为三年，一年一支付，其中供暖收费由中标单位自行收取，与甲方无关。收费标准为:住房20元/</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;商铺 22 元/</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 。</w:t>
            </w:r>
          </w:p>
        </w:tc>
        <w:tc>
          <w:tcPr>
            <w:tcW w:w="1010" w:type="pct"/>
            <w:noWrap w:val="0"/>
            <w:vAlign w:val="center"/>
          </w:tcPr>
          <w:p w14:paraId="6E29F27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395" w:type="pct"/>
            <w:noWrap w:val="0"/>
            <w:vAlign w:val="center"/>
          </w:tcPr>
          <w:p w14:paraId="63A4B6F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r>
      <w:tr w14:paraId="188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shd w:val="clear" w:color="auto" w:fill="auto"/>
            <w:noWrap w:val="0"/>
            <w:vAlign w:val="center"/>
          </w:tcPr>
          <w:p w14:paraId="7D889D6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75" w:type="pct"/>
            <w:shd w:val="clear" w:color="auto" w:fill="auto"/>
            <w:noWrap w:val="0"/>
            <w:vAlign w:val="center"/>
          </w:tcPr>
          <w:p w14:paraId="2CC4E2B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（4）报价要求</w:t>
            </w:r>
          </w:p>
          <w:p w14:paraId="16C9937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2298" w:type="pct"/>
            <w:noWrap w:val="0"/>
            <w:vAlign w:val="center"/>
          </w:tcPr>
          <w:p w14:paraId="18082E9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的报价明显低于其他通过符合性审查供应商的报价，有可能影响产品质量或者不能诚信履约的，供应商应在评审现场合理的时间内提供书面说明，必要时提交相关证明材料；供应商不能证明其报价合理性的，响应无效。</w:t>
            </w:r>
          </w:p>
          <w:p w14:paraId="49B2D58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p>
        </w:tc>
        <w:tc>
          <w:tcPr>
            <w:tcW w:w="1010" w:type="pct"/>
            <w:noWrap w:val="0"/>
            <w:vAlign w:val="center"/>
          </w:tcPr>
          <w:p w14:paraId="5791DDF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395" w:type="pct"/>
            <w:noWrap w:val="0"/>
            <w:vAlign w:val="center"/>
          </w:tcPr>
          <w:p w14:paraId="4FAB139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r>
      <w:tr w14:paraId="7D8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20" w:type="pct"/>
            <w:shd w:val="clear" w:color="auto" w:fill="auto"/>
            <w:noWrap w:val="0"/>
            <w:vAlign w:val="center"/>
          </w:tcPr>
          <w:p w14:paraId="1D658F7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075" w:type="pct"/>
            <w:noWrap w:val="0"/>
            <w:vAlign w:val="center"/>
          </w:tcPr>
          <w:p w14:paraId="3329F5F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（5）其他商务要求：</w:t>
            </w:r>
          </w:p>
          <w:p w14:paraId="7218466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2298" w:type="pct"/>
            <w:noWrap w:val="0"/>
            <w:vAlign w:val="center"/>
          </w:tcPr>
          <w:p w14:paraId="30889B9B">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详见第三章采购需求★（5）其他商务要求：</w:t>
            </w:r>
          </w:p>
        </w:tc>
        <w:tc>
          <w:tcPr>
            <w:tcW w:w="1010" w:type="pct"/>
            <w:noWrap w:val="0"/>
            <w:vAlign w:val="center"/>
          </w:tcPr>
          <w:p w14:paraId="404E91E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395" w:type="pct"/>
            <w:noWrap w:val="0"/>
            <w:vAlign w:val="center"/>
          </w:tcPr>
          <w:p w14:paraId="4B03ECB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r>
      <w:tr w14:paraId="581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2A12EC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075" w:type="pct"/>
            <w:noWrap w:val="0"/>
            <w:vAlign w:val="center"/>
          </w:tcPr>
          <w:p w14:paraId="26D4A2F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2298" w:type="pct"/>
            <w:noWrap w:val="0"/>
            <w:vAlign w:val="center"/>
          </w:tcPr>
          <w:p w14:paraId="70263471">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1"/>
                <w:szCs w:val="21"/>
                <w:highlight w:val="none"/>
                <w:lang w:val="en-US" w:eastAsia="zh-CN"/>
              </w:rPr>
            </w:pPr>
          </w:p>
        </w:tc>
        <w:tc>
          <w:tcPr>
            <w:tcW w:w="1010" w:type="pct"/>
            <w:noWrap w:val="0"/>
            <w:vAlign w:val="center"/>
          </w:tcPr>
          <w:p w14:paraId="7D8F15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F0FDAA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09E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0" w:type="pct"/>
            <w:noWrap w:val="0"/>
            <w:vAlign w:val="center"/>
          </w:tcPr>
          <w:p w14:paraId="225EEE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1075" w:type="pct"/>
            <w:shd w:val="clear" w:color="auto" w:fill="auto"/>
            <w:noWrap w:val="0"/>
            <w:vAlign w:val="center"/>
          </w:tcPr>
          <w:p w14:paraId="4AA8125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zh-CN" w:eastAsia="zh-CN"/>
              </w:rPr>
            </w:pPr>
          </w:p>
        </w:tc>
        <w:tc>
          <w:tcPr>
            <w:tcW w:w="2298" w:type="pct"/>
            <w:noWrap w:val="0"/>
            <w:vAlign w:val="center"/>
          </w:tcPr>
          <w:p w14:paraId="5D3B3A0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p>
        </w:tc>
        <w:tc>
          <w:tcPr>
            <w:tcW w:w="1010" w:type="pct"/>
            <w:noWrap w:val="0"/>
            <w:vAlign w:val="center"/>
          </w:tcPr>
          <w:p w14:paraId="22A79CB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1D5F24C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1E416027">
      <w:pPr>
        <w:rPr>
          <w:rFonts w:hint="eastAsia"/>
          <w:b/>
          <w:bCs/>
          <w:color w:val="auto"/>
          <w:sz w:val="21"/>
          <w:szCs w:val="21"/>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16A7E26A">
      <w:pPr>
        <w:rPr>
          <w:rFonts w:hint="eastAsia" w:ascii="宋体" w:hAnsi="宋体" w:eastAsia="宋体" w:cstheme="minorBidi"/>
          <w:b/>
          <w:bCs/>
          <w:color w:val="auto"/>
          <w:kern w:val="2"/>
          <w:sz w:val="30"/>
          <w:szCs w:val="32"/>
          <w:highlight w:val="none"/>
          <w:lang w:val="zh-CN" w:eastAsia="zh-CN" w:bidi="ar-SA"/>
        </w:rPr>
      </w:pPr>
      <w:r>
        <w:rPr>
          <w:rFonts w:hint="eastAsia" w:ascii="宋体" w:hAnsi="宋体" w:eastAsia="宋体" w:cstheme="minorBidi"/>
          <w:b/>
          <w:bCs/>
          <w:color w:val="auto"/>
          <w:kern w:val="2"/>
          <w:sz w:val="30"/>
          <w:szCs w:val="32"/>
          <w:highlight w:val="none"/>
          <w:lang w:val="zh-CN" w:eastAsia="zh-CN" w:bidi="ar-SA"/>
        </w:rPr>
        <w:br w:type="page"/>
      </w:r>
    </w:p>
    <w:p w14:paraId="3FE0903E">
      <w:pPr>
        <w:pStyle w:val="5"/>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8" w:name="_Toc9173"/>
      <w:bookmarkStart w:id="609" w:name="_Toc27284"/>
      <w:bookmarkStart w:id="610" w:name="_Toc29258"/>
      <w:bookmarkStart w:id="611" w:name="_Toc30949"/>
      <w:r>
        <w:rPr>
          <w:rFonts w:hint="eastAsia" w:ascii="宋体" w:hAnsi="宋体" w:eastAsia="宋体" w:cs="宋体"/>
          <w:b/>
          <w:bCs/>
          <w:color w:val="auto"/>
          <w:kern w:val="2"/>
          <w:sz w:val="24"/>
          <w:szCs w:val="24"/>
          <w:highlight w:val="none"/>
          <w:lang w:val="zh-CN" w:eastAsia="zh-CN" w:bidi="ar-SA"/>
        </w:rPr>
        <w:t>（二）评分标准</w:t>
      </w:r>
      <w:bookmarkEnd w:id="602"/>
      <w:bookmarkEnd w:id="603"/>
      <w:bookmarkEnd w:id="608"/>
      <w:bookmarkEnd w:id="609"/>
      <w:bookmarkEnd w:id="610"/>
      <w:bookmarkEnd w:id="611"/>
    </w:p>
    <w:p w14:paraId="7679D3A0">
      <w:pPr>
        <w:rPr>
          <w:rFonts w:hint="eastAsia"/>
          <w:color w:val="auto"/>
          <w:sz w:val="21"/>
          <w:szCs w:val="21"/>
          <w:highlight w:val="none"/>
          <w:lang w:val="zh-CN" w:eastAsia="zh-CN"/>
        </w:rPr>
      </w:pPr>
      <w:r>
        <w:rPr>
          <w:rFonts w:hint="eastAsia"/>
          <w:color w:val="auto"/>
          <w:sz w:val="21"/>
          <w:szCs w:val="21"/>
          <w:highlight w:val="none"/>
          <w:lang w:val="en-US" w:eastAsia="zh-CN"/>
        </w:rPr>
        <w:t>注：以下评标分项根据项目实际情况可自行设置。</w:t>
      </w:r>
    </w:p>
    <w:tbl>
      <w:tblPr>
        <w:tblStyle w:val="31"/>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455"/>
        <w:gridCol w:w="1124"/>
        <w:gridCol w:w="1000"/>
        <w:gridCol w:w="603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4" w:type="pct"/>
            <w:shd w:val="clear" w:color="auto" w:fill="D8D8D8" w:themeFill="background1" w:themeFillShade="D9"/>
            <w:vAlign w:val="center"/>
          </w:tcPr>
          <w:p w14:paraId="4924CA4E">
            <w:pPr>
              <w:pStyle w:val="51"/>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9" w:type="pct"/>
            <w:gridSpan w:val="2"/>
            <w:shd w:val="clear" w:color="auto" w:fill="D8D8D8" w:themeFill="background1" w:themeFillShade="D9"/>
            <w:vAlign w:val="center"/>
          </w:tcPr>
          <w:p w14:paraId="7A3DCB70">
            <w:pPr>
              <w:pStyle w:val="51"/>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1"/>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1"/>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414" w:type="pct"/>
            <w:vAlign w:val="center"/>
          </w:tcPr>
          <w:p w14:paraId="3C48038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w:t>
            </w:r>
          </w:p>
        </w:tc>
        <w:tc>
          <w:tcPr>
            <w:tcW w:w="839" w:type="pct"/>
            <w:gridSpan w:val="2"/>
            <w:tcBorders>
              <w:bottom w:val="single" w:color="auto" w:sz="4" w:space="0"/>
            </w:tcBorders>
            <w:vAlign w:val="center"/>
          </w:tcPr>
          <w:p w14:paraId="4D31CF3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1"/>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30</w:t>
            </w:r>
          </w:p>
        </w:tc>
        <w:tc>
          <w:tcPr>
            <w:tcW w:w="3213" w:type="pct"/>
            <w:vAlign w:val="center"/>
          </w:tcPr>
          <w:p w14:paraId="76A28B05">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5254A4DB">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w:t>
            </w:r>
            <w:r>
              <w:rPr>
                <w:rFonts w:hint="eastAsia" w:ascii="宋体" w:hAnsi="宋体" w:eastAsia="宋体" w:cs="宋体"/>
                <w:color w:val="auto"/>
                <w:sz w:val="21"/>
                <w:szCs w:val="21"/>
                <w:highlight w:val="none"/>
                <w:lang w:eastAsia="zh-CN"/>
              </w:rPr>
              <w:t>分值</w:t>
            </w:r>
          </w:p>
          <w:p w14:paraId="201E7F07">
            <w:pPr>
              <w:pStyle w:val="51"/>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投标人须知</w:t>
            </w:r>
            <w:r>
              <w:rPr>
                <w:rFonts w:hint="eastAsia" w:ascii="宋体" w:hAnsi="宋体" w:eastAsia="宋体" w:cs="宋体"/>
                <w:color w:val="auto"/>
                <w:sz w:val="21"/>
                <w:szCs w:val="21"/>
                <w:highlight w:val="none"/>
                <w:lang w:val="en-US" w:eastAsia="zh-CN"/>
              </w:rPr>
              <w:t>前附表”</w:t>
            </w:r>
            <w:r>
              <w:rPr>
                <w:rFonts w:hint="eastAsia" w:ascii="宋体" w:hAnsi="宋体" w:eastAsia="宋体" w:cs="宋体"/>
                <w:color w:val="auto"/>
                <w:sz w:val="21"/>
                <w:szCs w:val="21"/>
                <w:highlight w:val="none"/>
              </w:rPr>
              <w:t>中价格扣除规定的，在评审时予以价格扣除，用扣除后的价格参与评审。</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4" w:type="pct"/>
            <w:vMerge w:val="restart"/>
            <w:vAlign w:val="center"/>
          </w:tcPr>
          <w:p w14:paraId="0EA6283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6C0619A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9" w:type="pct"/>
            <w:gridSpan w:val="2"/>
            <w:tcBorders>
              <w:top w:val="single" w:color="auto" w:sz="4" w:space="0"/>
            </w:tcBorders>
            <w:vAlign w:val="center"/>
          </w:tcPr>
          <w:p w14:paraId="7B47B92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服务能力与承诺</w:t>
            </w:r>
          </w:p>
        </w:tc>
        <w:tc>
          <w:tcPr>
            <w:tcW w:w="532" w:type="pct"/>
            <w:vAlign w:val="center"/>
          </w:tcPr>
          <w:p w14:paraId="4E7EA155">
            <w:pPr>
              <w:pStyle w:val="51"/>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c>
          <w:tcPr>
            <w:tcW w:w="3213" w:type="pct"/>
            <w:vAlign w:val="center"/>
          </w:tcPr>
          <w:p w14:paraId="7A4E2A20">
            <w:pPr>
              <w:pStyle w:val="51"/>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根据投标人服务响应时间进行评审：投标人承诺出现问题保证 30 分钟内响应，1小时内解决故障得5分；保证6小时内响应，12小时内解决故障得2分。未提供承诺不得分。</w:t>
            </w:r>
          </w:p>
          <w:p w14:paraId="0B42E75B">
            <w:pPr>
              <w:pStyle w:val="51"/>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（投标人在响应文件以承诺函形式进行承诺加 盖投标人公章）</w:t>
            </w:r>
          </w:p>
        </w:tc>
      </w:tr>
      <w:tr w14:paraId="2794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14" w:type="pct"/>
            <w:vMerge w:val="continue"/>
            <w:vAlign w:val="center"/>
          </w:tcPr>
          <w:p w14:paraId="052C663E">
            <w:pPr>
              <w:pStyle w:val="51"/>
              <w:jc w:val="center"/>
              <w:rPr>
                <w:rFonts w:hint="eastAsia" w:ascii="宋体" w:hAnsi="宋体" w:eastAsia="宋体" w:cs="宋体"/>
                <w:color w:val="auto"/>
                <w:sz w:val="21"/>
                <w:szCs w:val="21"/>
                <w:highlight w:val="none"/>
              </w:rPr>
            </w:pPr>
          </w:p>
        </w:tc>
        <w:tc>
          <w:tcPr>
            <w:tcW w:w="242" w:type="pct"/>
            <w:vMerge w:val="restart"/>
            <w:tcBorders>
              <w:top w:val="single" w:color="auto" w:sz="4" w:space="0"/>
            </w:tcBorders>
            <w:vAlign w:val="center"/>
          </w:tcPr>
          <w:p w14:paraId="659F19D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履约能力</w:t>
            </w:r>
          </w:p>
        </w:tc>
        <w:tc>
          <w:tcPr>
            <w:tcW w:w="597" w:type="pct"/>
            <w:tcBorders>
              <w:top w:val="single" w:color="auto" w:sz="4" w:space="0"/>
            </w:tcBorders>
            <w:vAlign w:val="center"/>
          </w:tcPr>
          <w:p w14:paraId="460AF2C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32" w:type="pct"/>
            <w:vAlign w:val="center"/>
          </w:tcPr>
          <w:p w14:paraId="628FC415">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c>
          <w:tcPr>
            <w:tcW w:w="3213" w:type="pct"/>
            <w:vAlign w:val="center"/>
          </w:tcPr>
          <w:p w14:paraId="1CAA3B77">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投标人自202</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月1日至今有相关类似业绩。每个得2.5分，满分5分。备注：业绩时间以合同时间签订时间为准，提供中标通知书或合同原件清晰扫描件并加盖公章，缺一项不得分。</w:t>
            </w:r>
          </w:p>
        </w:tc>
      </w:tr>
      <w:tr w14:paraId="5E37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4" w:type="pct"/>
            <w:vMerge w:val="continue"/>
            <w:vAlign w:val="center"/>
          </w:tcPr>
          <w:p w14:paraId="68DD28AD">
            <w:pPr>
              <w:pStyle w:val="51"/>
              <w:jc w:val="center"/>
              <w:rPr>
                <w:rFonts w:hint="eastAsia" w:ascii="宋体" w:hAnsi="宋体" w:eastAsia="宋体" w:cs="宋体"/>
                <w:color w:val="auto"/>
                <w:sz w:val="21"/>
                <w:szCs w:val="21"/>
                <w:highlight w:val="none"/>
              </w:rPr>
            </w:pPr>
          </w:p>
        </w:tc>
        <w:tc>
          <w:tcPr>
            <w:tcW w:w="242" w:type="pct"/>
            <w:vMerge w:val="continue"/>
            <w:vAlign w:val="center"/>
          </w:tcPr>
          <w:p w14:paraId="4948F600">
            <w:pPr>
              <w:pStyle w:val="51"/>
              <w:jc w:val="center"/>
              <w:rPr>
                <w:rFonts w:hint="eastAsia" w:ascii="宋体" w:hAnsi="宋体" w:eastAsia="宋体" w:cs="宋体"/>
                <w:color w:val="auto"/>
                <w:sz w:val="21"/>
                <w:szCs w:val="21"/>
                <w:highlight w:val="none"/>
              </w:rPr>
            </w:pPr>
          </w:p>
        </w:tc>
        <w:tc>
          <w:tcPr>
            <w:tcW w:w="597" w:type="pct"/>
            <w:tcBorders>
              <w:top w:val="single" w:color="auto" w:sz="4" w:space="0"/>
            </w:tcBorders>
            <w:vAlign w:val="center"/>
          </w:tcPr>
          <w:p w14:paraId="0232849C">
            <w:pPr>
              <w:pStyle w:val="51"/>
              <w:jc w:val="center"/>
              <w:rPr>
                <w:rFonts w:hint="eastAsia" w:ascii="宋体" w:hAnsi="宋体" w:eastAsia="宋体" w:cs="宋体"/>
                <w:color w:val="auto"/>
                <w:sz w:val="21"/>
                <w:szCs w:val="21"/>
                <w:highlight w:val="none"/>
                <w:lang w:val="en-US"/>
              </w:rPr>
            </w:pPr>
            <w:r>
              <w:rPr>
                <w:rFonts w:hint="eastAsia" w:cs="宋体"/>
                <w:color w:val="auto"/>
                <w:sz w:val="21"/>
                <w:szCs w:val="21"/>
                <w:highlight w:val="none"/>
                <w:lang w:val="en-US" w:eastAsia="zh-CN"/>
              </w:rPr>
              <w:t>售后服务</w:t>
            </w:r>
          </w:p>
        </w:tc>
        <w:tc>
          <w:tcPr>
            <w:tcW w:w="532" w:type="pct"/>
            <w:vAlign w:val="center"/>
          </w:tcPr>
          <w:p w14:paraId="5BCC7C00">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c>
          <w:tcPr>
            <w:tcW w:w="3213" w:type="pct"/>
            <w:vAlign w:val="center"/>
          </w:tcPr>
          <w:p w14:paraId="56EF4027">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对投标人提供的售后服务方案进行评审，内容包括但不限于售后服务体系、售后服务团队、 售后服务承诺、售后服务内容、售后技术支持等进行评价。以上内容全部提及的得10分， 缺少一项内容扣 2 分，扣完为止。方案每有缺项或不合理的一项扣1分；未提供方案不得分。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414" w:type="pct"/>
            <w:vMerge w:val="continue"/>
            <w:vAlign w:val="center"/>
          </w:tcPr>
          <w:p w14:paraId="3BD7C09E">
            <w:pPr>
              <w:pStyle w:val="51"/>
              <w:jc w:val="center"/>
              <w:rPr>
                <w:rFonts w:hint="eastAsia" w:ascii="宋体" w:hAnsi="宋体" w:eastAsia="宋体" w:cs="宋体"/>
                <w:color w:val="auto"/>
                <w:sz w:val="21"/>
                <w:szCs w:val="21"/>
                <w:highlight w:val="none"/>
              </w:rPr>
            </w:pPr>
          </w:p>
        </w:tc>
        <w:tc>
          <w:tcPr>
            <w:tcW w:w="839" w:type="pct"/>
            <w:gridSpan w:val="2"/>
            <w:tcBorders>
              <w:top w:val="single" w:color="auto" w:sz="4" w:space="0"/>
            </w:tcBorders>
            <w:vAlign w:val="center"/>
          </w:tcPr>
          <w:p w14:paraId="6B9EB51E">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项目参与人员</w:t>
            </w:r>
          </w:p>
        </w:tc>
        <w:tc>
          <w:tcPr>
            <w:tcW w:w="532" w:type="pct"/>
            <w:vAlign w:val="center"/>
          </w:tcPr>
          <w:p w14:paraId="5CC6F5C7">
            <w:pPr>
              <w:pStyle w:val="51"/>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c>
          <w:tcPr>
            <w:tcW w:w="3213" w:type="pct"/>
            <w:vAlign w:val="center"/>
          </w:tcPr>
          <w:p w14:paraId="796DDF74">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本项目须配备现场管理负责人员1人，持司炉工操作证 6 人、持水处理证1人、持电焊证1人、持电工证 1人,维修工1人，铲车持证人员2人，环保设备运行维护人员 3 人，换热站运行维护人员1人，收费员1人，走访入户排查问题人员1人。</w:t>
            </w:r>
            <w:r>
              <w:rPr>
                <w:rFonts w:hint="eastAsia" w:cs="宋体"/>
                <w:color w:val="auto"/>
                <w:sz w:val="21"/>
                <w:szCs w:val="21"/>
                <w:highlight w:val="none"/>
                <w:lang w:val="en-US" w:eastAsia="zh-CN"/>
              </w:rPr>
              <w:t>满足</w:t>
            </w:r>
            <w:r>
              <w:rPr>
                <w:rFonts w:hint="eastAsia" w:ascii="宋体" w:hAnsi="宋体" w:eastAsia="宋体" w:cs="宋体"/>
                <w:color w:val="auto"/>
                <w:sz w:val="21"/>
                <w:szCs w:val="21"/>
                <w:highlight w:val="none"/>
              </w:rPr>
              <w:t>以上人员配置</w:t>
            </w:r>
            <w:r>
              <w:rPr>
                <w:rFonts w:hint="eastAsia" w:cs="宋体"/>
                <w:color w:val="auto"/>
                <w:sz w:val="21"/>
                <w:szCs w:val="21"/>
                <w:highlight w:val="none"/>
                <w:lang w:val="en-US" w:eastAsia="zh-CN"/>
              </w:rPr>
              <w:t>得基本分4分，</w:t>
            </w:r>
            <w:r>
              <w:rPr>
                <w:rFonts w:hint="eastAsia" w:ascii="宋体" w:hAnsi="宋体" w:eastAsia="宋体" w:cs="宋体"/>
                <w:color w:val="auto"/>
                <w:sz w:val="21"/>
                <w:szCs w:val="21"/>
                <w:highlight w:val="none"/>
              </w:rPr>
              <w:t>每增配1人加2 分，最多得10分，提供人员相关证件的原件或扫描件，否则不得分。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4" w:type="pct"/>
            <w:vMerge w:val="restart"/>
            <w:vAlign w:val="center"/>
          </w:tcPr>
          <w:p w14:paraId="009533A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40</w:t>
            </w:r>
            <w:r>
              <w:rPr>
                <w:rFonts w:hint="eastAsia" w:ascii="宋体" w:hAnsi="宋体" w:eastAsia="宋体" w:cs="宋体"/>
                <w:color w:val="auto"/>
                <w:sz w:val="21"/>
                <w:szCs w:val="21"/>
                <w:highlight w:val="none"/>
              </w:rPr>
              <w:t>分）</w:t>
            </w:r>
          </w:p>
        </w:tc>
        <w:tc>
          <w:tcPr>
            <w:tcW w:w="839" w:type="pct"/>
            <w:gridSpan w:val="2"/>
            <w:tcBorders>
              <w:top w:val="single" w:color="auto" w:sz="4" w:space="0"/>
            </w:tcBorders>
            <w:vAlign w:val="center"/>
          </w:tcPr>
          <w:p w14:paraId="1ECFDBB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运营维护方案</w:t>
            </w:r>
          </w:p>
        </w:tc>
        <w:tc>
          <w:tcPr>
            <w:tcW w:w="532" w:type="pct"/>
            <w:vAlign w:val="center"/>
          </w:tcPr>
          <w:p w14:paraId="35C961A9">
            <w:pPr>
              <w:pStyle w:val="51"/>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p>
        </w:tc>
        <w:tc>
          <w:tcPr>
            <w:tcW w:w="3213" w:type="pct"/>
            <w:vAlign w:val="center"/>
          </w:tcPr>
          <w:p w14:paraId="3FDDB00D">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根据运营维护方案的科学性、合理性进行评审：</w:t>
            </w:r>
          </w:p>
          <w:p w14:paraId="08197878">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①方案中有明确的运营质量目标及保证方案，能够保证达到供热标准；②运营维护团队配套 齐全， 岗位职责明确，包括管理人员、司炉工、 电工、维修工等；③有明确的运营成本控制措 施；④有明确各项管理制度及方案，包括员工 管理制度、质量管理制度、安全管理制度、材料管理制度等；⑤对突发事件及紧急情况分析 准确，处理措施可行；⑥有明确的环境保护措施；满足以上内容每一项得 5 分，最多得20分。 每有一项内容存在逻辑漏洞、错误或与实际需 求不符(指存在不适用项目实际情况的情形， 项目名称、实施地点、内容前后不一致、前后逻辑错误、涉及的规范或标准错误、直接套用其他项目内容的)的扣 2 分，扣完为止。</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4" w:type="pct"/>
            <w:vMerge w:val="continue"/>
            <w:vAlign w:val="center"/>
          </w:tcPr>
          <w:p w14:paraId="24E10105">
            <w:pPr>
              <w:pStyle w:val="51"/>
              <w:jc w:val="center"/>
              <w:rPr>
                <w:rFonts w:hint="eastAsia" w:ascii="宋体" w:hAnsi="宋体" w:eastAsia="宋体" w:cs="宋体"/>
                <w:color w:val="auto"/>
                <w:sz w:val="21"/>
                <w:szCs w:val="21"/>
                <w:highlight w:val="none"/>
              </w:rPr>
            </w:pPr>
          </w:p>
        </w:tc>
        <w:tc>
          <w:tcPr>
            <w:tcW w:w="839" w:type="pct"/>
            <w:gridSpan w:val="2"/>
            <w:vAlign w:val="center"/>
          </w:tcPr>
          <w:p w14:paraId="69144E0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设施设备维护保养方案</w:t>
            </w:r>
          </w:p>
        </w:tc>
        <w:tc>
          <w:tcPr>
            <w:tcW w:w="532" w:type="pct"/>
            <w:vAlign w:val="center"/>
          </w:tcPr>
          <w:p w14:paraId="7922AA03">
            <w:pPr>
              <w:pStyle w:val="51"/>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c>
          <w:tcPr>
            <w:tcW w:w="3213" w:type="pct"/>
            <w:vAlign w:val="center"/>
          </w:tcPr>
          <w:p w14:paraId="0F185EBF">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1.对供暖期的设备设施维护、保养方案等内容进行评审。能提供出可能存在的问题并提出明确详细的方案的得 5 分。方案每有缺项或不合理的一项扣 1 分；未提供方案不得分。</w:t>
            </w:r>
          </w:p>
          <w:p w14:paraId="0DFCA3F2">
            <w:pPr>
              <w:pStyle w:val="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2.对供暖结束后设备设施、保养方案等内容进行评审能提供出可能存在的问题并提出明确详细的方案的得 5 分。方案每有缺项或不合理的一项扣 1 分；未提供方案不得分。</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vMerge w:val="continue"/>
            <w:vAlign w:val="center"/>
          </w:tcPr>
          <w:p w14:paraId="6BC81CA5">
            <w:pPr>
              <w:pStyle w:val="51"/>
              <w:jc w:val="center"/>
              <w:rPr>
                <w:rFonts w:hint="eastAsia" w:ascii="宋体" w:hAnsi="宋体" w:eastAsia="宋体" w:cs="宋体"/>
                <w:color w:val="auto"/>
                <w:sz w:val="21"/>
                <w:szCs w:val="21"/>
                <w:highlight w:val="none"/>
              </w:rPr>
            </w:pPr>
          </w:p>
        </w:tc>
        <w:tc>
          <w:tcPr>
            <w:tcW w:w="839" w:type="pct"/>
            <w:gridSpan w:val="2"/>
            <w:vAlign w:val="center"/>
          </w:tcPr>
          <w:p w14:paraId="4FF5A0D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服务质量保障措施及应急方案</w:t>
            </w:r>
          </w:p>
        </w:tc>
        <w:tc>
          <w:tcPr>
            <w:tcW w:w="532" w:type="pct"/>
            <w:vAlign w:val="center"/>
          </w:tcPr>
          <w:p w14:paraId="124035BA">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 xml:space="preserve">分 </w:t>
            </w:r>
          </w:p>
        </w:tc>
        <w:tc>
          <w:tcPr>
            <w:tcW w:w="3213" w:type="pct"/>
            <w:vAlign w:val="center"/>
          </w:tcPr>
          <w:p w14:paraId="012BAC0B">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本项目的工作要求，投标人应提供质量保障措施方案及应急方案(包括但不限于质量目标、项目质量的控制措施)进行评审；需做到质量目标的明确、项目质量的控制、进度的保证措施以及工作过程中可能产生的意外情况的应急方案。各项服务方案科学详细得 10 分；每出现一处有瑕疵或不满足项目需求的扣 2 分，扣至 0 分为止。未提供对应方案的不得分。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3"/>
            <w:vAlign w:val="center"/>
          </w:tcPr>
          <w:p w14:paraId="1F1436F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1"/>
              <w:rPr>
                <w:rFonts w:hint="eastAsia" w:ascii="宋体" w:hAnsi="宋体" w:eastAsia="宋体" w:cs="宋体"/>
                <w:color w:val="auto"/>
                <w:sz w:val="21"/>
                <w:szCs w:val="21"/>
                <w:highlight w:val="none"/>
              </w:rPr>
            </w:pPr>
          </w:p>
        </w:tc>
      </w:tr>
    </w:tbl>
    <w:p w14:paraId="0DEE66CB">
      <w:pPr>
        <w:pStyle w:val="39"/>
        <w:rPr>
          <w:rFonts w:hint="eastAsia"/>
          <w:color w:val="auto"/>
          <w:highlight w:val="none"/>
        </w:rPr>
      </w:pPr>
    </w:p>
    <w:p w14:paraId="4D73CDB2">
      <w:pPr>
        <w:rPr>
          <w:color w:val="auto"/>
          <w:highlight w:val="none"/>
          <w:lang w:val="zh-CN"/>
        </w:rPr>
      </w:pPr>
      <w:bookmarkStart w:id="612" w:name="_Toc32267"/>
      <w:r>
        <w:rPr>
          <w:rFonts w:hint="eastAsia" w:ascii="宋体" w:hAnsi="宋体" w:eastAsia="宋体" w:cs="宋体"/>
          <w:b/>
          <w:bCs/>
          <w:color w:val="auto"/>
          <w:kern w:val="44"/>
          <w:sz w:val="36"/>
          <w:szCs w:val="36"/>
          <w:highlight w:val="none"/>
          <w:lang w:val="en-US" w:eastAsia="zh-CN" w:bidi="ar-SA"/>
        </w:rPr>
        <w:br w:type="page"/>
      </w:r>
      <w:bookmarkEnd w:id="612"/>
    </w:p>
    <w:p w14:paraId="2A84EE30">
      <w:pPr>
        <w:rPr>
          <w:color w:val="auto"/>
          <w:highlight w:val="none"/>
          <w:lang w:val="zh-CN"/>
        </w:rPr>
        <w:sectPr>
          <w:headerReference r:id="rId11" w:type="default"/>
          <w:footerReference r:id="rId12" w:type="default"/>
          <w:pgSz w:w="11906" w:h="16838"/>
          <w:pgMar w:top="1440" w:right="1800"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54C87150">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bookmarkStart w:id="613" w:name="_Toc155185918"/>
      <w:bookmarkStart w:id="614" w:name="_Toc3120"/>
      <w:r>
        <w:rPr>
          <w:rFonts w:hint="eastAsia" w:ascii="宋体" w:hAnsi="宋体" w:eastAsia="宋体" w:cs="宋体"/>
          <w:b/>
          <w:bCs/>
          <w:color w:val="auto"/>
          <w:kern w:val="44"/>
          <w:sz w:val="36"/>
          <w:szCs w:val="36"/>
          <w:highlight w:val="none"/>
          <w:lang w:val="zh-CN" w:eastAsia="zh-CN" w:bidi="ar-SA"/>
        </w:rPr>
        <w:t>第六章 合同</w:t>
      </w:r>
      <w:bookmarkEnd w:id="613"/>
      <w:r>
        <w:rPr>
          <w:rFonts w:hint="eastAsia" w:ascii="宋体" w:hAnsi="宋体" w:eastAsia="宋体" w:cs="宋体"/>
          <w:b/>
          <w:bCs/>
          <w:color w:val="auto"/>
          <w:kern w:val="44"/>
          <w:sz w:val="36"/>
          <w:szCs w:val="36"/>
          <w:highlight w:val="none"/>
          <w:lang w:val="zh-CN" w:eastAsia="zh-CN" w:bidi="ar-SA"/>
        </w:rPr>
        <w:t>草案</w:t>
      </w:r>
      <w:bookmarkEnd w:id="614"/>
    </w:p>
    <w:p w14:paraId="0F73DEB3">
      <w:pPr>
        <w:wordWrap w:val="0"/>
        <w:jc w:val="center"/>
        <w:rPr>
          <w:bCs/>
          <w:color w:val="auto"/>
          <w:sz w:val="36"/>
          <w:szCs w:val="36"/>
          <w:highlight w:val="none"/>
        </w:rPr>
      </w:pPr>
      <w:r>
        <w:rPr>
          <w:rFonts w:hint="eastAsia"/>
          <w:color w:val="auto"/>
          <w:highlight w:val="none"/>
        </w:rPr>
        <w:t>（</w:t>
      </w:r>
      <w:r>
        <w:rPr>
          <w:rFonts w:hint="eastAsia"/>
          <w:color w:val="auto"/>
          <w:szCs w:val="24"/>
          <w:highlight w:val="none"/>
        </w:rPr>
        <w:t>此合同书仅作为签订正式合同时的参考，正式合同书应包括本参考格式的内容）</w:t>
      </w:r>
    </w:p>
    <w:p w14:paraId="51E629DD">
      <w:pPr>
        <w:wordWrap w:val="0"/>
        <w:rPr>
          <w:bCs/>
          <w:color w:val="auto"/>
          <w:sz w:val="28"/>
          <w:szCs w:val="28"/>
          <w:highlight w:val="none"/>
        </w:rPr>
      </w:pPr>
      <w:r>
        <w:rPr>
          <w:rFonts w:hint="eastAsia" w:cs="Helvetica"/>
          <w:bCs/>
          <w:color w:val="auto"/>
          <w:szCs w:val="24"/>
          <w:highlight w:val="none"/>
          <w:lang w:val="zh-CN"/>
        </w:rPr>
        <w:t>合同编号：</w:t>
      </w:r>
      <w:r>
        <w:rPr>
          <w:rFonts w:hint="eastAsia" w:cs="Helvetica"/>
          <w:bCs/>
          <w:color w:val="auto"/>
          <w:szCs w:val="24"/>
          <w:highlight w:val="none"/>
          <w:u w:val="single"/>
        </w:rPr>
        <w:t xml:space="preserve">              </w:t>
      </w:r>
    </w:p>
    <w:p w14:paraId="4DD54709">
      <w:pPr>
        <w:pStyle w:val="14"/>
        <w:spacing w:after="0"/>
        <w:jc w:val="center"/>
        <w:rPr>
          <w:rFonts w:ascii="宋体" w:hAnsi="宋体" w:cs="宋体"/>
          <w:b/>
          <w:bCs/>
          <w:color w:val="auto"/>
          <w:spacing w:val="-20"/>
          <w:kern w:val="44"/>
          <w:sz w:val="48"/>
          <w:szCs w:val="48"/>
          <w:highlight w:val="none"/>
        </w:rPr>
      </w:pPr>
      <w:bookmarkStart w:id="615" w:name="_Toc3995"/>
    </w:p>
    <w:p w14:paraId="3B059C39">
      <w:pPr>
        <w:pStyle w:val="14"/>
        <w:rPr>
          <w:color w:val="auto"/>
          <w:highlight w:val="none"/>
        </w:rPr>
      </w:pPr>
    </w:p>
    <w:p w14:paraId="1EAD27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pacing w:val="-20"/>
          <w:kern w:val="44"/>
          <w:sz w:val="44"/>
          <w:szCs w:val="44"/>
          <w:highlight w:val="none"/>
          <w:lang w:val="en-US" w:eastAsia="zh-CN" w:bidi="ar-SA"/>
        </w:rPr>
      </w:pPr>
      <w:bookmarkStart w:id="616" w:name="_Toc3714"/>
      <w:r>
        <w:rPr>
          <w:rFonts w:hint="eastAsia" w:ascii="宋体" w:hAnsi="宋体" w:eastAsia="宋体" w:cs="宋体"/>
          <w:b/>
          <w:bCs/>
          <w:color w:val="auto"/>
          <w:spacing w:val="-20"/>
          <w:kern w:val="44"/>
          <w:sz w:val="44"/>
          <w:szCs w:val="44"/>
          <w:highlight w:val="none"/>
          <w:lang w:val="en-US" w:eastAsia="zh-CN" w:bidi="ar-SA"/>
        </w:rPr>
        <w:t>政府采购合同参考范本</w:t>
      </w:r>
      <w:bookmarkEnd w:id="616"/>
    </w:p>
    <w:p w14:paraId="4571CDB1">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宋体" w:hAnsi="宋体" w:eastAsia="宋体" w:cs="宋体"/>
          <w:b/>
          <w:bCs/>
          <w:color w:val="auto"/>
          <w:spacing w:val="-20"/>
          <w:kern w:val="44"/>
          <w:sz w:val="44"/>
          <w:szCs w:val="44"/>
          <w:highlight w:val="none"/>
          <w:lang w:val="en-US" w:eastAsia="zh-CN" w:bidi="ar-SA"/>
        </w:rPr>
      </w:pPr>
      <w:bookmarkStart w:id="617" w:name="_Toc8560"/>
      <w:r>
        <w:rPr>
          <w:rFonts w:hint="eastAsia" w:ascii="宋体" w:hAnsi="宋体" w:eastAsia="宋体" w:cs="宋体"/>
          <w:b/>
          <w:bCs/>
          <w:color w:val="auto"/>
          <w:spacing w:val="-20"/>
          <w:kern w:val="44"/>
          <w:sz w:val="44"/>
          <w:szCs w:val="44"/>
          <w:highlight w:val="none"/>
          <w:lang w:val="en-US" w:eastAsia="zh-CN" w:bidi="ar-SA"/>
        </w:rPr>
        <w:t>（服务类）</w:t>
      </w:r>
      <w:bookmarkEnd w:id="617"/>
    </w:p>
    <w:p w14:paraId="78DDAE5C">
      <w:pPr>
        <w:spacing w:line="480" w:lineRule="auto"/>
        <w:jc w:val="center"/>
        <w:rPr>
          <w:rFonts w:cs="Times New Roman" w:asciiTheme="minorEastAsia" w:hAnsiTheme="minorEastAsia" w:eastAsiaTheme="minorEastAsia"/>
          <w:b/>
          <w:color w:val="auto"/>
          <w:sz w:val="24"/>
          <w:szCs w:val="24"/>
          <w:highlight w:val="none"/>
        </w:rPr>
      </w:pPr>
    </w:p>
    <w:p w14:paraId="317A7DEF">
      <w:pPr>
        <w:spacing w:line="480" w:lineRule="auto"/>
        <w:jc w:val="center"/>
        <w:rPr>
          <w:rFonts w:cs="Times New Roman" w:asciiTheme="minorEastAsia" w:hAnsiTheme="minorEastAsia" w:eastAsiaTheme="minorEastAsia"/>
          <w:b/>
          <w:color w:val="auto"/>
          <w:sz w:val="24"/>
          <w:szCs w:val="24"/>
          <w:highlight w:val="none"/>
        </w:rPr>
      </w:pPr>
    </w:p>
    <w:p w14:paraId="55C3B597">
      <w:pPr>
        <w:spacing w:line="360" w:lineRule="auto"/>
        <w:jc w:val="center"/>
        <w:outlineLvl w:val="1"/>
        <w:rPr>
          <w:rFonts w:hint="eastAsia" w:ascii="宋体" w:hAnsi="宋体" w:eastAsia="宋体" w:cs="宋体"/>
          <w:b/>
          <w:color w:val="auto"/>
          <w:sz w:val="36"/>
          <w:szCs w:val="36"/>
          <w:highlight w:val="none"/>
        </w:rPr>
      </w:pPr>
      <w:bookmarkStart w:id="618" w:name="_Toc21705"/>
      <w:bookmarkStart w:id="619" w:name="_Toc24900"/>
      <w:bookmarkStart w:id="620" w:name="_Toc16803"/>
      <w:bookmarkStart w:id="621" w:name="_Toc2449"/>
      <w:r>
        <w:rPr>
          <w:rFonts w:hint="eastAsia" w:ascii="宋体" w:hAnsi="宋体" w:eastAsia="宋体" w:cs="宋体"/>
          <w:b/>
          <w:color w:val="auto"/>
          <w:sz w:val="36"/>
          <w:szCs w:val="36"/>
          <w:highlight w:val="none"/>
        </w:rPr>
        <w:t>第一部分 合同书</w:t>
      </w:r>
      <w:bookmarkEnd w:id="618"/>
      <w:bookmarkEnd w:id="619"/>
      <w:bookmarkEnd w:id="620"/>
      <w:bookmarkEnd w:id="621"/>
    </w:p>
    <w:p w14:paraId="4BA01776">
      <w:pPr>
        <w:spacing w:line="480" w:lineRule="auto"/>
        <w:jc w:val="center"/>
        <w:rPr>
          <w:rFonts w:cs="Times New Roman" w:asciiTheme="minorEastAsia" w:hAnsiTheme="minorEastAsia" w:eastAsiaTheme="minorEastAsia"/>
          <w:b/>
          <w:color w:val="auto"/>
          <w:sz w:val="24"/>
          <w:szCs w:val="24"/>
          <w:highlight w:val="none"/>
        </w:rPr>
      </w:pPr>
    </w:p>
    <w:p w14:paraId="5F204112">
      <w:pPr>
        <w:pStyle w:val="14"/>
        <w:rPr>
          <w:color w:val="auto"/>
          <w:highlight w:val="none"/>
        </w:rPr>
      </w:pPr>
    </w:p>
    <w:p w14:paraId="69570DA0">
      <w:pPr>
        <w:pStyle w:val="14"/>
        <w:rPr>
          <w:color w:val="auto"/>
          <w:highlight w:val="none"/>
        </w:rPr>
      </w:pPr>
    </w:p>
    <w:p w14:paraId="77910ED1">
      <w:pPr>
        <w:spacing w:before="120" w:line="480" w:lineRule="auto"/>
        <w:ind w:left="960"/>
        <w:rPr>
          <w:rFonts w:hint="eastAsia" w:ascii="宋体" w:hAnsi="宋体" w:eastAsia="宋体" w:cs="宋体"/>
          <w:i w:val="0"/>
          <w:iCs w:val="0"/>
          <w:color w:val="auto"/>
          <w:sz w:val="24"/>
          <w:szCs w:val="24"/>
          <w:highlight w:val="none"/>
          <w:u w:val="single"/>
        </w:rPr>
      </w:pPr>
      <w:r>
        <w:rPr>
          <w:rFonts w:hint="eastAsia" w:cs="宋体"/>
          <w:i w:val="0"/>
          <w:iCs w:val="0"/>
          <w:color w:val="auto"/>
          <w:sz w:val="24"/>
          <w:szCs w:val="24"/>
          <w:highlight w:val="none"/>
          <w:lang w:eastAsia="zh-CN"/>
        </w:rPr>
        <w:t>项目名称：五十三团城镇建设和生态保护中心采购集中供热运营服务</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（分包项目须填写完整的分包号及分包名称）</w:t>
      </w:r>
    </w:p>
    <w:p w14:paraId="730F4465">
      <w:pPr>
        <w:spacing w:before="120" w:line="480" w:lineRule="auto"/>
        <w:ind w:left="96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项目编号/包号：B3S53T[2025]17号</w:t>
      </w:r>
      <w:r>
        <w:rPr>
          <w:rFonts w:hint="eastAsia" w:ascii="宋体" w:hAnsi="宋体" w:eastAsia="宋体" w:cs="宋体"/>
          <w:i w:val="0"/>
          <w:iCs w:val="0"/>
          <w:color w:val="auto"/>
          <w:sz w:val="24"/>
          <w:szCs w:val="24"/>
          <w:highlight w:val="none"/>
          <w:u w:val="single"/>
        </w:rPr>
        <w:t xml:space="preserve">        </w:t>
      </w:r>
    </w:p>
    <w:p w14:paraId="66872538">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甲方（采购人）：</w:t>
      </w:r>
      <w:r>
        <w:rPr>
          <w:rFonts w:hint="eastAsia" w:ascii="宋体" w:hAnsi="宋体" w:eastAsia="宋体" w:cs="宋体"/>
          <w:i w:val="0"/>
          <w:iCs w:val="0"/>
          <w:color w:val="auto"/>
          <w:sz w:val="24"/>
          <w:szCs w:val="24"/>
          <w:highlight w:val="none"/>
          <w:u w:val="single"/>
        </w:rPr>
        <w:t xml:space="preserve">                              </w:t>
      </w:r>
    </w:p>
    <w:p w14:paraId="557645D2">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乙方（中标人）：</w:t>
      </w:r>
      <w:r>
        <w:rPr>
          <w:rFonts w:hint="eastAsia" w:ascii="宋体" w:hAnsi="宋体" w:eastAsia="宋体" w:cs="宋体"/>
          <w:i w:val="0"/>
          <w:iCs w:val="0"/>
          <w:color w:val="auto"/>
          <w:sz w:val="24"/>
          <w:szCs w:val="24"/>
          <w:highlight w:val="none"/>
          <w:u w:val="single"/>
        </w:rPr>
        <w:t xml:space="preserve">                              </w:t>
      </w:r>
    </w:p>
    <w:p w14:paraId="263D5C0B">
      <w:pPr>
        <w:spacing w:before="120" w:line="480" w:lineRule="auto"/>
        <w:ind w:firstLine="960" w:firstLineChars="4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签订地：</w:t>
      </w:r>
      <w:r>
        <w:rPr>
          <w:rFonts w:hint="eastAsia" w:ascii="宋体" w:hAnsi="宋体" w:eastAsia="宋体" w:cs="宋体"/>
          <w:i w:val="0"/>
          <w:iCs w:val="0"/>
          <w:color w:val="auto"/>
          <w:sz w:val="24"/>
          <w:szCs w:val="24"/>
          <w:highlight w:val="none"/>
          <w:u w:val="single"/>
        </w:rPr>
        <w:t xml:space="preserve">                                     </w:t>
      </w:r>
    </w:p>
    <w:p w14:paraId="28A94FB3">
      <w:pPr>
        <w:spacing w:before="120" w:line="48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签订日期：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34F4996A">
      <w:pPr>
        <w:widowControl/>
        <w:jc w:val="left"/>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br w:type="page"/>
      </w:r>
    </w:p>
    <w:p w14:paraId="5343AEB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以下简称：甲方</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组织的</w:t>
      </w:r>
      <w:r>
        <w:rPr>
          <w:rFonts w:hint="eastAsia" w:ascii="宋体" w:hAnsi="宋体" w:eastAsia="宋体" w:cs="宋体"/>
          <w:color w:val="auto"/>
          <w:sz w:val="24"/>
          <w:szCs w:val="24"/>
          <w:highlight w:val="none"/>
          <w:u w:val="single"/>
        </w:rPr>
        <w:t>公开招标</w:t>
      </w:r>
      <w:r>
        <w:rPr>
          <w:rFonts w:hint="eastAsia" w:ascii="宋体" w:hAnsi="宋体" w:eastAsia="宋体" w:cs="宋体"/>
          <w:color w:val="auto"/>
          <w:sz w:val="24"/>
          <w:szCs w:val="24"/>
          <w:highlight w:val="none"/>
        </w:rPr>
        <w:t>方式采购活动，经</w:t>
      </w:r>
      <w:r>
        <w:rPr>
          <w:rFonts w:hint="eastAsia" w:ascii="宋体" w:hAnsi="宋体" w:eastAsia="宋体" w:cs="宋体"/>
          <w:color w:val="auto"/>
          <w:sz w:val="24"/>
          <w:szCs w:val="24"/>
          <w:highlight w:val="none"/>
          <w:u w:val="single"/>
        </w:rPr>
        <w:t>评标委员会</w:t>
      </w:r>
      <w:r>
        <w:rPr>
          <w:rFonts w:hint="eastAsia" w:ascii="宋体" w:hAnsi="宋体" w:eastAsia="宋体" w:cs="宋体"/>
          <w:color w:val="auto"/>
          <w:sz w:val="24"/>
          <w:szCs w:val="24"/>
          <w:highlight w:val="none"/>
        </w:rPr>
        <w:t>评定，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以下简称：乙方</w:t>
      </w:r>
      <w:r>
        <w:rPr>
          <w:rFonts w:hint="eastAsia" w:ascii="宋体" w:hAnsi="宋体" w:eastAsia="宋体" w:cs="宋体"/>
          <w:color w:val="auto"/>
          <w:sz w:val="24"/>
          <w:szCs w:val="24"/>
          <w:highlight w:val="none"/>
        </w:rPr>
        <w:t>）为本项目中标人，现按照采购文件确定的事项签订本合同。</w:t>
      </w:r>
    </w:p>
    <w:p w14:paraId="1A7D6614">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081298ED">
      <w:pPr>
        <w:spacing w:line="360" w:lineRule="auto"/>
        <w:ind w:firstLine="437"/>
        <w:outlineLvl w:val="2"/>
        <w:rPr>
          <w:rFonts w:hint="eastAsia" w:ascii="宋体" w:hAnsi="宋体" w:eastAsia="宋体" w:cs="宋体"/>
          <w:b/>
          <w:bCs/>
          <w:color w:val="auto"/>
          <w:sz w:val="24"/>
          <w:szCs w:val="24"/>
          <w:highlight w:val="none"/>
          <w:lang w:val="zh-CN"/>
        </w:rPr>
      </w:pPr>
      <w:bookmarkStart w:id="622" w:name="_Toc1600"/>
      <w:bookmarkStart w:id="623" w:name="_Toc2232"/>
      <w:bookmarkStart w:id="624" w:name="_Toc5203"/>
      <w:bookmarkStart w:id="625" w:name="_Toc3029"/>
      <w:bookmarkStart w:id="626" w:name="_Toc32343"/>
      <w:bookmarkStart w:id="627" w:name="_Toc24059"/>
      <w:r>
        <w:rPr>
          <w:rFonts w:hint="eastAsia" w:ascii="宋体" w:hAnsi="宋体" w:eastAsia="宋体" w:cs="宋体"/>
          <w:b/>
          <w:bCs/>
          <w:color w:val="auto"/>
          <w:sz w:val="24"/>
          <w:szCs w:val="24"/>
          <w:highlight w:val="none"/>
          <w:lang w:val="zh-CN"/>
        </w:rPr>
        <w:t>1.1 合同组成部分</w:t>
      </w:r>
      <w:bookmarkEnd w:id="622"/>
      <w:bookmarkEnd w:id="623"/>
      <w:bookmarkEnd w:id="624"/>
      <w:bookmarkEnd w:id="625"/>
      <w:bookmarkEnd w:id="626"/>
      <w:bookmarkEnd w:id="627"/>
    </w:p>
    <w:p w14:paraId="024A42B6">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2BC58A8">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1.1.1本合同及其补充合同、变更协议；</w:t>
      </w:r>
    </w:p>
    <w:p w14:paraId="037DCF58">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1.1.2中标通知书；</w:t>
      </w:r>
    </w:p>
    <w:p w14:paraId="20FA8DCC">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1.1.3投标文件（含澄清或者说明文件）；</w:t>
      </w:r>
    </w:p>
    <w:p w14:paraId="01E3C1EE">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1.1.4招标文件（含澄清或者修改文件）；</w:t>
      </w:r>
    </w:p>
    <w:p w14:paraId="7BCC15DE">
      <w:pPr>
        <w:spacing w:line="360" w:lineRule="auto"/>
        <w:ind w:firstLine="43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1.1.5其他相关采购文件。</w:t>
      </w:r>
    </w:p>
    <w:p w14:paraId="283E7943">
      <w:pPr>
        <w:spacing w:line="360" w:lineRule="auto"/>
        <w:ind w:firstLine="437"/>
        <w:outlineLvl w:val="2"/>
        <w:rPr>
          <w:rFonts w:hint="eastAsia" w:ascii="宋体" w:hAnsi="宋体" w:eastAsia="宋体" w:cs="宋体"/>
          <w:b/>
          <w:bCs/>
          <w:color w:val="auto"/>
          <w:sz w:val="24"/>
          <w:szCs w:val="24"/>
          <w:highlight w:val="none"/>
          <w:lang w:val="zh-CN"/>
        </w:rPr>
      </w:pPr>
      <w:bookmarkStart w:id="628" w:name="_Toc6773"/>
      <w:bookmarkStart w:id="629" w:name="_Toc2918"/>
      <w:bookmarkStart w:id="630" w:name="_Toc18585"/>
      <w:bookmarkStart w:id="631" w:name="_Toc22185"/>
      <w:bookmarkStart w:id="632" w:name="_Toc6311"/>
      <w:bookmarkStart w:id="633" w:name="_Toc8950"/>
      <w:bookmarkStart w:id="634" w:name="_Toc13608"/>
      <w:bookmarkStart w:id="635" w:name="_Toc4436"/>
      <w:r>
        <w:rPr>
          <w:rFonts w:hint="eastAsia" w:ascii="宋体" w:hAnsi="宋体" w:eastAsia="宋体" w:cs="宋体"/>
          <w:b/>
          <w:bCs/>
          <w:color w:val="auto"/>
          <w:sz w:val="24"/>
          <w:szCs w:val="24"/>
          <w:highlight w:val="none"/>
          <w:lang w:val="zh-CN"/>
        </w:rPr>
        <w:t xml:space="preserve">1.2 </w:t>
      </w:r>
      <w:bookmarkEnd w:id="628"/>
      <w:bookmarkEnd w:id="629"/>
      <w:bookmarkEnd w:id="630"/>
      <w:bookmarkEnd w:id="631"/>
      <w:bookmarkEnd w:id="632"/>
      <w:r>
        <w:rPr>
          <w:rFonts w:hint="eastAsia" w:ascii="宋体" w:hAnsi="宋体" w:eastAsia="宋体" w:cs="宋体"/>
          <w:b/>
          <w:bCs/>
          <w:color w:val="auto"/>
          <w:sz w:val="24"/>
          <w:szCs w:val="24"/>
          <w:highlight w:val="none"/>
          <w:lang w:val="zh-CN"/>
        </w:rPr>
        <w:t>服务</w:t>
      </w:r>
      <w:bookmarkEnd w:id="633"/>
      <w:bookmarkEnd w:id="634"/>
      <w:bookmarkEnd w:id="635"/>
    </w:p>
    <w:p w14:paraId="2A8C8081">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1.2.1服务名称：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D507EFA">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1.2.2服务内容：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170C53">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1.2.3服务质量：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2949008">
      <w:pPr>
        <w:spacing w:line="360" w:lineRule="auto"/>
        <w:ind w:firstLine="437"/>
        <w:outlineLvl w:val="2"/>
        <w:rPr>
          <w:rFonts w:hint="eastAsia" w:ascii="宋体" w:hAnsi="宋体" w:eastAsia="宋体" w:cs="宋体"/>
          <w:b/>
          <w:bCs/>
          <w:color w:val="auto"/>
          <w:sz w:val="24"/>
          <w:szCs w:val="24"/>
          <w:highlight w:val="none"/>
          <w:lang w:val="zh-CN"/>
        </w:rPr>
      </w:pPr>
      <w:bookmarkStart w:id="636" w:name="_Toc11350"/>
      <w:bookmarkStart w:id="637" w:name="_Toc23292"/>
      <w:bookmarkStart w:id="638" w:name="_Toc8047"/>
      <w:bookmarkStart w:id="639" w:name="_Toc21631"/>
      <w:bookmarkStart w:id="640" w:name="_Toc21551"/>
      <w:bookmarkStart w:id="641" w:name="_Toc29181"/>
      <w:r>
        <w:rPr>
          <w:rFonts w:hint="eastAsia" w:ascii="宋体" w:hAnsi="宋体" w:eastAsia="宋体" w:cs="宋体"/>
          <w:b/>
          <w:bCs/>
          <w:color w:val="auto"/>
          <w:sz w:val="24"/>
          <w:szCs w:val="24"/>
          <w:highlight w:val="none"/>
          <w:lang w:val="zh-CN"/>
        </w:rPr>
        <w:t>1.3 价款</w:t>
      </w:r>
      <w:bookmarkEnd w:id="636"/>
      <w:bookmarkEnd w:id="637"/>
      <w:bookmarkEnd w:id="638"/>
      <w:bookmarkEnd w:id="639"/>
      <w:bookmarkEnd w:id="640"/>
      <w:bookmarkEnd w:id="641"/>
    </w:p>
    <w:p w14:paraId="0E6E2DB0">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本合同总价为：￥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585CBE51">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分项价格：</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7AF9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vAlign w:val="center"/>
          </w:tcPr>
          <w:p w14:paraId="0CD18D7F">
            <w:pPr>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4316" w:type="dxa"/>
            <w:vAlign w:val="center"/>
          </w:tcPr>
          <w:p w14:paraId="4F68A816">
            <w:pPr>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3237" w:type="dxa"/>
            <w:gridSpan w:val="2"/>
            <w:vAlign w:val="center"/>
          </w:tcPr>
          <w:p w14:paraId="4C7FFB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6B92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0F360428">
            <w:pPr>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4316" w:type="dxa"/>
            <w:vAlign w:val="center"/>
          </w:tcPr>
          <w:p w14:paraId="2461E5E0">
            <w:pPr>
              <w:ind w:firstLine="200"/>
              <w:jc w:val="center"/>
              <w:rPr>
                <w:rFonts w:hint="eastAsia" w:ascii="宋体" w:hAnsi="宋体" w:eastAsia="宋体" w:cs="宋体"/>
                <w:color w:val="auto"/>
                <w:sz w:val="24"/>
                <w:szCs w:val="24"/>
                <w:highlight w:val="none"/>
              </w:rPr>
            </w:pPr>
          </w:p>
        </w:tc>
        <w:tc>
          <w:tcPr>
            <w:tcW w:w="3237" w:type="dxa"/>
            <w:gridSpan w:val="2"/>
            <w:vAlign w:val="center"/>
          </w:tcPr>
          <w:p w14:paraId="0E415F66">
            <w:pPr>
              <w:ind w:firstLine="200"/>
              <w:jc w:val="center"/>
              <w:rPr>
                <w:rFonts w:hint="eastAsia" w:ascii="宋体" w:hAnsi="宋体" w:eastAsia="宋体" w:cs="宋体"/>
                <w:color w:val="auto"/>
                <w:sz w:val="24"/>
                <w:szCs w:val="24"/>
                <w:highlight w:val="none"/>
              </w:rPr>
            </w:pPr>
          </w:p>
        </w:tc>
      </w:tr>
      <w:tr w14:paraId="0D8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424CE31A">
            <w:pPr>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p>
        </w:tc>
        <w:tc>
          <w:tcPr>
            <w:tcW w:w="4316" w:type="dxa"/>
            <w:vAlign w:val="center"/>
          </w:tcPr>
          <w:p w14:paraId="345F5B41">
            <w:pPr>
              <w:ind w:firstLine="200"/>
              <w:jc w:val="center"/>
              <w:rPr>
                <w:rFonts w:hint="eastAsia" w:ascii="宋体" w:hAnsi="宋体" w:eastAsia="宋体" w:cs="宋体"/>
                <w:color w:val="auto"/>
                <w:sz w:val="24"/>
                <w:szCs w:val="24"/>
                <w:highlight w:val="none"/>
              </w:rPr>
            </w:pPr>
          </w:p>
        </w:tc>
        <w:tc>
          <w:tcPr>
            <w:tcW w:w="3237" w:type="dxa"/>
            <w:gridSpan w:val="2"/>
            <w:vAlign w:val="center"/>
          </w:tcPr>
          <w:p w14:paraId="3722A032">
            <w:pPr>
              <w:ind w:firstLine="200"/>
              <w:jc w:val="center"/>
              <w:rPr>
                <w:rFonts w:hint="eastAsia" w:ascii="宋体" w:hAnsi="宋体" w:eastAsia="宋体" w:cs="宋体"/>
                <w:color w:val="auto"/>
                <w:sz w:val="24"/>
                <w:szCs w:val="24"/>
                <w:highlight w:val="none"/>
              </w:rPr>
            </w:pPr>
          </w:p>
        </w:tc>
      </w:tr>
      <w:tr w14:paraId="6F07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512C37D0">
            <w:pPr>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p>
        </w:tc>
        <w:tc>
          <w:tcPr>
            <w:tcW w:w="4316" w:type="dxa"/>
            <w:vAlign w:val="center"/>
          </w:tcPr>
          <w:p w14:paraId="498FC842">
            <w:pPr>
              <w:ind w:firstLine="200"/>
              <w:jc w:val="center"/>
              <w:rPr>
                <w:rFonts w:hint="eastAsia" w:ascii="宋体" w:hAnsi="宋体" w:eastAsia="宋体" w:cs="宋体"/>
                <w:color w:val="auto"/>
                <w:sz w:val="24"/>
                <w:szCs w:val="24"/>
                <w:highlight w:val="none"/>
              </w:rPr>
            </w:pPr>
          </w:p>
        </w:tc>
        <w:tc>
          <w:tcPr>
            <w:tcW w:w="3237" w:type="dxa"/>
            <w:gridSpan w:val="2"/>
            <w:vAlign w:val="center"/>
          </w:tcPr>
          <w:p w14:paraId="4CAABBD7">
            <w:pPr>
              <w:ind w:firstLine="200"/>
              <w:jc w:val="center"/>
              <w:rPr>
                <w:rFonts w:hint="eastAsia" w:ascii="宋体" w:hAnsi="宋体" w:eastAsia="宋体" w:cs="宋体"/>
                <w:color w:val="auto"/>
                <w:sz w:val="24"/>
                <w:szCs w:val="24"/>
                <w:highlight w:val="none"/>
              </w:rPr>
            </w:pPr>
          </w:p>
        </w:tc>
      </w:tr>
      <w:tr w14:paraId="7BB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1019B673">
            <w:pPr>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p>
        </w:tc>
        <w:tc>
          <w:tcPr>
            <w:tcW w:w="4316" w:type="dxa"/>
            <w:vAlign w:val="center"/>
          </w:tcPr>
          <w:p w14:paraId="1668CCE7">
            <w:pPr>
              <w:ind w:firstLine="200"/>
              <w:jc w:val="center"/>
              <w:rPr>
                <w:rFonts w:hint="eastAsia" w:ascii="宋体" w:hAnsi="宋体" w:eastAsia="宋体" w:cs="宋体"/>
                <w:color w:val="auto"/>
                <w:sz w:val="24"/>
                <w:szCs w:val="24"/>
                <w:highlight w:val="none"/>
              </w:rPr>
            </w:pPr>
          </w:p>
        </w:tc>
        <w:tc>
          <w:tcPr>
            <w:tcW w:w="3237" w:type="dxa"/>
            <w:gridSpan w:val="2"/>
            <w:vAlign w:val="center"/>
          </w:tcPr>
          <w:p w14:paraId="14647217">
            <w:pPr>
              <w:ind w:firstLine="200"/>
              <w:jc w:val="center"/>
              <w:rPr>
                <w:rFonts w:hint="eastAsia" w:ascii="宋体" w:hAnsi="宋体" w:eastAsia="宋体" w:cs="宋体"/>
                <w:color w:val="auto"/>
                <w:sz w:val="24"/>
                <w:szCs w:val="24"/>
                <w:highlight w:val="none"/>
              </w:rPr>
            </w:pPr>
          </w:p>
        </w:tc>
      </w:tr>
      <w:tr w14:paraId="7B38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vAlign w:val="center"/>
          </w:tcPr>
          <w:p w14:paraId="445538F7">
            <w:pPr>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3237" w:type="dxa"/>
            <w:gridSpan w:val="2"/>
            <w:vAlign w:val="center"/>
          </w:tcPr>
          <w:p w14:paraId="155BB530">
            <w:pPr>
              <w:ind w:firstLine="200"/>
              <w:jc w:val="center"/>
              <w:rPr>
                <w:rFonts w:hint="eastAsia" w:ascii="宋体" w:hAnsi="宋体" w:eastAsia="宋体" w:cs="宋体"/>
                <w:color w:val="auto"/>
                <w:sz w:val="24"/>
                <w:szCs w:val="24"/>
                <w:highlight w:val="none"/>
              </w:rPr>
            </w:pPr>
          </w:p>
        </w:tc>
      </w:tr>
    </w:tbl>
    <w:p w14:paraId="17E2FC9E">
      <w:pPr>
        <w:spacing w:line="360" w:lineRule="auto"/>
        <w:ind w:firstLine="437"/>
        <w:outlineLvl w:val="2"/>
        <w:rPr>
          <w:rFonts w:hint="eastAsia" w:ascii="宋体" w:hAnsi="宋体" w:eastAsia="宋体" w:cs="宋体"/>
          <w:b/>
          <w:bCs/>
          <w:color w:val="auto"/>
          <w:sz w:val="24"/>
          <w:szCs w:val="24"/>
          <w:highlight w:val="none"/>
          <w:lang w:val="zh-CN"/>
        </w:rPr>
      </w:pPr>
      <w:bookmarkStart w:id="642" w:name="_Toc21546"/>
      <w:bookmarkStart w:id="643" w:name="_Toc10340"/>
      <w:bookmarkStart w:id="644" w:name="_Toc25712"/>
      <w:bookmarkStart w:id="645" w:name="_Toc22618"/>
      <w:bookmarkStart w:id="646" w:name="_Toc20171"/>
      <w:bookmarkStart w:id="647" w:name="_Toc1814"/>
      <w:r>
        <w:rPr>
          <w:rFonts w:hint="eastAsia" w:ascii="宋体" w:hAnsi="宋体" w:eastAsia="宋体" w:cs="宋体"/>
          <w:b/>
          <w:bCs/>
          <w:color w:val="auto"/>
          <w:sz w:val="24"/>
          <w:szCs w:val="24"/>
          <w:highlight w:val="none"/>
          <w:lang w:val="zh-CN"/>
        </w:rPr>
        <w:t>1.4 付款方式和发票开具方式</w:t>
      </w:r>
      <w:bookmarkEnd w:id="642"/>
      <w:bookmarkEnd w:id="643"/>
      <w:bookmarkEnd w:id="644"/>
      <w:bookmarkEnd w:id="645"/>
      <w:bookmarkEnd w:id="646"/>
      <w:bookmarkEnd w:id="647"/>
    </w:p>
    <w:p w14:paraId="0D15CC02">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1.4.1付款方式：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591FB6B">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1.4.2发票开具方式：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2035217">
      <w:pPr>
        <w:spacing w:line="360" w:lineRule="auto"/>
        <w:ind w:firstLine="437"/>
        <w:outlineLvl w:val="2"/>
        <w:rPr>
          <w:rFonts w:hint="eastAsia" w:ascii="宋体" w:hAnsi="宋体" w:eastAsia="宋体" w:cs="宋体"/>
          <w:b/>
          <w:bCs/>
          <w:color w:val="auto"/>
          <w:sz w:val="24"/>
          <w:szCs w:val="24"/>
          <w:highlight w:val="none"/>
          <w:lang w:val="zh-CN"/>
        </w:rPr>
      </w:pPr>
      <w:bookmarkStart w:id="648" w:name="_Toc21443"/>
      <w:bookmarkStart w:id="649" w:name="_Toc15519"/>
      <w:bookmarkStart w:id="650" w:name="_Toc2846"/>
      <w:bookmarkStart w:id="651" w:name="_Toc19304"/>
      <w:bookmarkStart w:id="652" w:name="_Toc15731"/>
      <w:bookmarkStart w:id="653" w:name="_Toc32071"/>
      <w:r>
        <w:rPr>
          <w:rFonts w:hint="eastAsia" w:ascii="宋体" w:hAnsi="宋体" w:eastAsia="宋体" w:cs="宋体"/>
          <w:b/>
          <w:bCs/>
          <w:color w:val="auto"/>
          <w:sz w:val="24"/>
          <w:szCs w:val="24"/>
          <w:highlight w:val="none"/>
          <w:lang w:val="zh-CN"/>
        </w:rPr>
        <w:t>1.5 服务期限、地点和方式</w:t>
      </w:r>
      <w:bookmarkEnd w:id="648"/>
      <w:bookmarkEnd w:id="649"/>
      <w:bookmarkEnd w:id="650"/>
      <w:bookmarkEnd w:id="651"/>
      <w:bookmarkEnd w:id="652"/>
      <w:bookmarkEnd w:id="653"/>
    </w:p>
    <w:p w14:paraId="5A2C5E65">
      <w:pPr>
        <w:spacing w:line="360" w:lineRule="auto"/>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1.5.1服务期限：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FF6520">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1.5.2服务地点：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CE4FC7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1.5.3服务方式：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B2ED679">
      <w:pPr>
        <w:spacing w:line="360" w:lineRule="auto"/>
        <w:ind w:firstLine="437"/>
        <w:outlineLvl w:val="2"/>
        <w:rPr>
          <w:rFonts w:hint="eastAsia" w:ascii="宋体" w:hAnsi="宋体" w:eastAsia="宋体" w:cs="宋体"/>
          <w:b/>
          <w:bCs/>
          <w:color w:val="auto"/>
          <w:sz w:val="24"/>
          <w:szCs w:val="24"/>
          <w:highlight w:val="none"/>
          <w:lang w:val="zh-CN"/>
        </w:rPr>
      </w:pPr>
      <w:bookmarkStart w:id="654" w:name="_Toc21423"/>
      <w:bookmarkStart w:id="655" w:name="_Toc9372"/>
      <w:bookmarkStart w:id="656" w:name="_Toc27250"/>
      <w:bookmarkStart w:id="657" w:name="_Toc24516"/>
      <w:bookmarkStart w:id="658" w:name="_Toc26348"/>
      <w:bookmarkStart w:id="659" w:name="_Toc19554"/>
      <w:r>
        <w:rPr>
          <w:rFonts w:hint="eastAsia" w:ascii="宋体" w:hAnsi="宋体" w:eastAsia="宋体" w:cs="宋体"/>
          <w:b/>
          <w:bCs/>
          <w:color w:val="auto"/>
          <w:sz w:val="24"/>
          <w:szCs w:val="24"/>
          <w:highlight w:val="none"/>
          <w:lang w:val="zh-CN"/>
        </w:rPr>
        <w:t>1.6 违约责任</w:t>
      </w:r>
      <w:bookmarkEnd w:id="654"/>
      <w:bookmarkEnd w:id="655"/>
      <w:bookmarkEnd w:id="656"/>
      <w:bookmarkEnd w:id="657"/>
      <w:bookmarkEnd w:id="658"/>
      <w:bookmarkEnd w:id="659"/>
    </w:p>
    <w:p w14:paraId="5DD1292A">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%计算，最高限额为本合同总价的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%；迟延履行的违约金计算数额达到前述最高限额之日起，甲方有权在要求乙方支付违约金的同时，书面通知乙方解除本合同；</w:t>
      </w:r>
    </w:p>
    <w:p w14:paraId="7B8B7DEE">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%计算，最高限额为本合同总价的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%；迟延付款的违约金计算数额达到前述最高限额之日起，乙方有权在要求甲方支付违约金的同时，书面通知甲方解除本合同；</w:t>
      </w:r>
    </w:p>
    <w:p w14:paraId="1A4EF162">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112113">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201045">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F44C03A">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DDBD423">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1.6.7因甲方未按合同约定支付价款、未按合同约定受领标的物、擅自解除合同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1D4B476D">
      <w:pPr>
        <w:spacing w:line="360" w:lineRule="auto"/>
        <w:ind w:firstLine="437"/>
        <w:outlineLvl w:val="2"/>
        <w:rPr>
          <w:rFonts w:hint="eastAsia" w:ascii="宋体" w:hAnsi="宋体" w:eastAsia="宋体" w:cs="宋体"/>
          <w:b/>
          <w:bCs/>
          <w:color w:val="auto"/>
          <w:sz w:val="24"/>
          <w:szCs w:val="24"/>
          <w:highlight w:val="none"/>
          <w:lang w:val="zh-CN"/>
        </w:rPr>
      </w:pPr>
      <w:bookmarkStart w:id="660" w:name="_Toc16021"/>
      <w:bookmarkStart w:id="661" w:name="_Toc20996"/>
      <w:bookmarkStart w:id="662" w:name="_Toc15583"/>
      <w:bookmarkStart w:id="663" w:name="_Toc30069"/>
      <w:bookmarkStart w:id="664" w:name="_Toc10408"/>
      <w:bookmarkStart w:id="665" w:name="_Toc28375"/>
      <w:r>
        <w:rPr>
          <w:rFonts w:hint="eastAsia" w:ascii="宋体" w:hAnsi="宋体" w:eastAsia="宋体" w:cs="宋体"/>
          <w:b/>
          <w:bCs/>
          <w:color w:val="auto"/>
          <w:sz w:val="24"/>
          <w:szCs w:val="24"/>
          <w:highlight w:val="none"/>
          <w:lang w:val="zh-CN"/>
        </w:rPr>
        <w:t>1.7 合同争议的解决</w:t>
      </w:r>
      <w:bookmarkEnd w:id="660"/>
      <w:bookmarkEnd w:id="661"/>
      <w:bookmarkEnd w:id="662"/>
      <w:bookmarkEnd w:id="663"/>
      <w:bookmarkEnd w:id="664"/>
      <w:bookmarkEnd w:id="665"/>
    </w:p>
    <w:p w14:paraId="7C025FBF">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种方式解决：</w:t>
      </w:r>
    </w:p>
    <w:p w14:paraId="7856D44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1.7.1将争议提交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仲裁委员会依申请仲裁时其现行有效的仲裁规则裁决；</w:t>
      </w:r>
    </w:p>
    <w:p w14:paraId="525321B9">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人民法院起诉。</w:t>
      </w:r>
    </w:p>
    <w:p w14:paraId="21D8E3B4">
      <w:pPr>
        <w:spacing w:line="360" w:lineRule="auto"/>
        <w:ind w:firstLine="437"/>
        <w:outlineLvl w:val="2"/>
        <w:rPr>
          <w:rFonts w:hint="eastAsia" w:ascii="宋体" w:hAnsi="宋体" w:eastAsia="宋体" w:cs="宋体"/>
          <w:b/>
          <w:bCs/>
          <w:color w:val="auto"/>
          <w:sz w:val="24"/>
          <w:szCs w:val="24"/>
          <w:highlight w:val="none"/>
          <w:lang w:val="zh-CN"/>
        </w:rPr>
      </w:pPr>
      <w:bookmarkStart w:id="666" w:name="_Toc28775"/>
      <w:bookmarkStart w:id="667" w:name="_Toc11173"/>
      <w:bookmarkStart w:id="668" w:name="_Toc7245"/>
      <w:bookmarkStart w:id="669" w:name="_Toc21422"/>
      <w:bookmarkStart w:id="670" w:name="_Toc15322"/>
      <w:bookmarkStart w:id="671" w:name="_Toc14122"/>
      <w:r>
        <w:rPr>
          <w:rFonts w:hint="eastAsia" w:ascii="宋体" w:hAnsi="宋体" w:eastAsia="宋体" w:cs="宋体"/>
          <w:b/>
          <w:bCs/>
          <w:color w:val="auto"/>
          <w:sz w:val="24"/>
          <w:szCs w:val="24"/>
          <w:highlight w:val="none"/>
          <w:lang w:val="zh-CN"/>
        </w:rPr>
        <w:t>1.8 合同生效</w:t>
      </w:r>
      <w:bookmarkEnd w:id="666"/>
      <w:bookmarkEnd w:id="667"/>
      <w:bookmarkEnd w:id="668"/>
      <w:bookmarkEnd w:id="669"/>
      <w:bookmarkEnd w:id="670"/>
      <w:bookmarkEnd w:id="671"/>
    </w:p>
    <w:p w14:paraId="5961B88C">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本合同自双方当事人盖章时生效。</w:t>
      </w:r>
    </w:p>
    <w:p w14:paraId="2F65E252">
      <w:pPr>
        <w:autoSpaceDE w:val="0"/>
        <w:autoSpaceDN w:val="0"/>
        <w:adjustRightInd w:val="0"/>
        <w:spacing w:line="560" w:lineRule="exact"/>
        <w:rPr>
          <w:rFonts w:hint="eastAsia" w:ascii="宋体" w:hAnsi="宋体" w:eastAsia="宋体" w:cs="宋体"/>
          <w:color w:val="auto"/>
          <w:sz w:val="24"/>
          <w:szCs w:val="24"/>
          <w:highlight w:val="none"/>
          <w:lang w:val="zh-CN"/>
        </w:rPr>
      </w:pPr>
    </w:p>
    <w:p w14:paraId="6DB0DE5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甲    方：</w:t>
      </w:r>
      <w:r>
        <w:rPr>
          <w:rFonts w:hint="eastAsia" w:ascii="宋体" w:hAnsi="宋体" w:eastAsia="宋体" w:cs="宋体"/>
          <w:bCs/>
          <w:color w:val="auto"/>
          <w:sz w:val="24"/>
          <w:szCs w:val="24"/>
          <w:highlight w:val="none"/>
          <w:u w:val="single"/>
          <w:lang w:val="zh-CN"/>
        </w:rPr>
        <w:t xml:space="preserve">    （单位盖章）     </w:t>
      </w:r>
      <w:r>
        <w:rPr>
          <w:rFonts w:hint="eastAsia" w:ascii="宋体" w:hAnsi="宋体" w:eastAsia="宋体" w:cs="宋体"/>
          <w:bCs/>
          <w:color w:val="auto"/>
          <w:sz w:val="24"/>
          <w:szCs w:val="24"/>
          <w:highlight w:val="none"/>
          <w:lang w:val="zh-CN"/>
        </w:rPr>
        <w:t xml:space="preserve">          乙方：</w:t>
      </w:r>
      <w:r>
        <w:rPr>
          <w:rFonts w:hint="eastAsia" w:ascii="宋体" w:hAnsi="宋体" w:eastAsia="宋体" w:cs="宋体"/>
          <w:bCs/>
          <w:color w:val="auto"/>
          <w:sz w:val="24"/>
          <w:szCs w:val="24"/>
          <w:highlight w:val="none"/>
          <w:u w:val="single"/>
          <w:lang w:val="zh-CN"/>
        </w:rPr>
        <w:t xml:space="preserve">    （单位盖章）     </w:t>
      </w:r>
    </w:p>
    <w:p w14:paraId="1B900B99">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                               法定代表人</w:t>
      </w:r>
    </w:p>
    <w:p w14:paraId="009FFBB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或授权代表（签字）：                      或授权代表（签字）：</w:t>
      </w:r>
    </w:p>
    <w:p w14:paraId="5226F044">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Cs/>
          <w:color w:val="auto"/>
          <w:sz w:val="24"/>
          <w:szCs w:val="24"/>
          <w:highlight w:val="none"/>
        </w:rPr>
      </w:pPr>
      <w:bookmarkStart w:id="672" w:name="_Toc331685783"/>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               时间：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0FB8187C">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bookmarkStart w:id="673" w:name="_Hlk110099149"/>
      <w:r>
        <w:rPr>
          <w:rFonts w:hint="eastAsia" w:ascii="宋体" w:hAnsi="宋体" w:eastAsia="宋体" w:cs="宋体"/>
          <w:color w:val="auto"/>
          <w:sz w:val="24"/>
          <w:szCs w:val="24"/>
          <w:highlight w:val="none"/>
        </w:rPr>
        <w:t>乙方账户信息</w:t>
      </w:r>
    </w:p>
    <w:p w14:paraId="58A2B11B">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户名：</w:t>
      </w:r>
      <w:r>
        <w:rPr>
          <w:rFonts w:hint="eastAsia" w:ascii="宋体" w:hAnsi="宋体" w:eastAsia="宋体" w:cs="宋体"/>
          <w:color w:val="auto"/>
          <w:sz w:val="24"/>
          <w:szCs w:val="24"/>
          <w:highlight w:val="none"/>
          <w:u w:val="single"/>
        </w:rPr>
        <w:t xml:space="preserve">            </w:t>
      </w:r>
    </w:p>
    <w:p w14:paraId="0D697104">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账号：</w:t>
      </w:r>
      <w:r>
        <w:rPr>
          <w:rFonts w:hint="eastAsia" w:ascii="宋体" w:hAnsi="宋体" w:eastAsia="宋体" w:cs="宋体"/>
          <w:color w:val="auto"/>
          <w:sz w:val="24"/>
          <w:szCs w:val="24"/>
          <w:highlight w:val="none"/>
          <w:u w:val="single"/>
        </w:rPr>
        <w:t xml:space="preserve">            </w:t>
      </w:r>
    </w:p>
    <w:p w14:paraId="7309CDF0">
      <w:pPr>
        <w:keepNext w:val="0"/>
        <w:keepLines w:val="0"/>
        <w:pageBreakBefore w:val="0"/>
        <w:kinsoku/>
        <w:wordWrap/>
        <w:overflowPunct/>
        <w:topLinePunct w:val="0"/>
        <w:bidi w:val="0"/>
        <w:snapToGrid/>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开户银行：</w:t>
      </w:r>
      <w:r>
        <w:rPr>
          <w:rFonts w:hint="eastAsia" w:ascii="宋体" w:hAnsi="宋体" w:eastAsia="宋体" w:cs="宋体"/>
          <w:color w:val="auto"/>
          <w:sz w:val="24"/>
          <w:szCs w:val="24"/>
          <w:highlight w:val="none"/>
          <w:u w:val="single"/>
        </w:rPr>
        <w:t xml:space="preserve">        </w:t>
      </w:r>
    </w:p>
    <w:bookmarkEnd w:id="673"/>
    <w:p w14:paraId="4D631BBC">
      <w:pPr>
        <w:widowControl/>
        <w:jc w:val="left"/>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br w:type="page"/>
      </w:r>
    </w:p>
    <w:p w14:paraId="37D2F896">
      <w:pPr>
        <w:spacing w:line="360" w:lineRule="auto"/>
        <w:jc w:val="center"/>
        <w:outlineLvl w:val="1"/>
        <w:rPr>
          <w:rFonts w:hint="eastAsia" w:ascii="宋体" w:hAnsi="宋体" w:eastAsia="宋体" w:cs="宋体"/>
          <w:b/>
          <w:color w:val="auto"/>
          <w:sz w:val="36"/>
          <w:szCs w:val="36"/>
          <w:highlight w:val="none"/>
        </w:rPr>
      </w:pPr>
      <w:bookmarkStart w:id="674" w:name="_Toc13256"/>
      <w:bookmarkStart w:id="675" w:name="_Toc415"/>
      <w:bookmarkStart w:id="676" w:name="_Toc30129"/>
      <w:bookmarkStart w:id="677" w:name="_Toc4008"/>
      <w:r>
        <w:rPr>
          <w:rFonts w:hint="eastAsia" w:ascii="宋体" w:hAnsi="宋体" w:eastAsia="宋体" w:cs="宋体"/>
          <w:b/>
          <w:color w:val="auto"/>
          <w:sz w:val="36"/>
          <w:szCs w:val="36"/>
          <w:highlight w:val="none"/>
        </w:rPr>
        <w:t>第二部分 合同一般条款</w:t>
      </w:r>
      <w:bookmarkEnd w:id="672"/>
      <w:bookmarkEnd w:id="674"/>
      <w:bookmarkEnd w:id="675"/>
      <w:bookmarkEnd w:id="676"/>
      <w:bookmarkEnd w:id="677"/>
    </w:p>
    <w:p w14:paraId="232A2B3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678" w:name="_Toc6755"/>
      <w:bookmarkStart w:id="679" w:name="_Toc259093669"/>
      <w:bookmarkStart w:id="680" w:name="_Ref467379225"/>
      <w:bookmarkStart w:id="681" w:name="_Ref467379214"/>
      <w:bookmarkStart w:id="682" w:name="_Toc28763"/>
      <w:bookmarkStart w:id="683" w:name="_Ref467379109"/>
      <w:bookmarkStart w:id="684" w:name="_Ref467379205"/>
      <w:bookmarkStart w:id="685" w:name="_Ref467379195"/>
      <w:bookmarkStart w:id="686" w:name="_Toc487900349"/>
      <w:bookmarkStart w:id="687" w:name="_Ref467378404"/>
      <w:bookmarkStart w:id="688" w:name="_Toc15955"/>
      <w:bookmarkStart w:id="689" w:name="_Ref467379101"/>
      <w:bookmarkStart w:id="690" w:name="_Ref467379094"/>
      <w:bookmarkStart w:id="691" w:name="_Toc16917"/>
      <w:bookmarkStart w:id="692" w:name="_Ref467378463"/>
      <w:bookmarkStart w:id="693" w:name="_Toc19614"/>
      <w:bookmarkStart w:id="694" w:name="_Toc17630"/>
      <w:bookmarkStart w:id="695" w:name="_Toc279701240"/>
      <w:bookmarkStart w:id="696" w:name="_Ref467378499"/>
      <w:r>
        <w:rPr>
          <w:rFonts w:hint="eastAsia" w:ascii="宋体" w:hAnsi="宋体" w:eastAsia="宋体" w:cs="宋体"/>
          <w:b/>
          <w:bCs/>
          <w:i w:val="0"/>
          <w:iCs w:val="0"/>
          <w:color w:val="auto"/>
          <w:sz w:val="24"/>
          <w:szCs w:val="24"/>
          <w:highlight w:val="none"/>
          <w:lang w:val="zh-CN"/>
        </w:rPr>
        <w:t>2.1 定义</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3DABC3C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本合同中的下列词语应按以下内容进行解释：</w:t>
      </w:r>
    </w:p>
    <w:p w14:paraId="029314F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2.1.1“合同”系指采购人和中标人签订的载明双方当事人所达成的协议，并包括所有的附件、附录和构成合同的其他文件。</w:t>
      </w:r>
    </w:p>
    <w:p w14:paraId="2F4EDFD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2.1.2“合同价”系指根据合同约定，中标人在完全履行合同义务后，采购人应支付给中标人的价格。</w:t>
      </w:r>
    </w:p>
    <w:p w14:paraId="5824C10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2.1.3“服务”系指中标人根据合同约定应向采购人履行的除货物和工程以外的其他政府采购对象，包括采购人自身需要的服务和向社会公众提供的公共服务。</w:t>
      </w:r>
    </w:p>
    <w:p w14:paraId="1802AAD8">
      <w:pPr>
        <w:spacing w:line="360" w:lineRule="auto"/>
        <w:ind w:firstLine="435"/>
        <w:rPr>
          <w:rFonts w:hint="eastAsia" w:ascii="宋体" w:hAnsi="宋体" w:eastAsia="宋体" w:cs="宋体"/>
          <w:i w:val="0"/>
          <w:iCs w:val="0"/>
          <w:color w:val="auto"/>
          <w:sz w:val="24"/>
          <w:szCs w:val="24"/>
          <w:highlight w:val="none"/>
        </w:rPr>
      </w:pPr>
      <w:bookmarkStart w:id="697" w:name="_Ref467378840"/>
      <w:r>
        <w:rPr>
          <w:rFonts w:hint="eastAsia" w:ascii="宋体" w:hAnsi="宋体" w:eastAsia="宋体" w:cs="宋体"/>
          <w:i w:val="0"/>
          <w:iCs w:val="0"/>
          <w:color w:val="auto"/>
          <w:sz w:val="24"/>
          <w:szCs w:val="24"/>
          <w:highlight w:val="none"/>
        </w:rPr>
        <w:t>2.1.4“甲方”系指与中标人签署合同的采购人</w:t>
      </w:r>
      <w:bookmarkEnd w:id="697"/>
      <w:r>
        <w:rPr>
          <w:rFonts w:hint="eastAsia" w:ascii="宋体" w:hAnsi="宋体" w:eastAsia="宋体" w:cs="宋体"/>
          <w:i w:val="0"/>
          <w:iCs w:val="0"/>
          <w:color w:val="auto"/>
          <w:sz w:val="24"/>
          <w:szCs w:val="24"/>
          <w:highlight w:val="none"/>
        </w:rPr>
        <w:t>；采购人委托采购代理机构代表其与乙方签订合同的，采购人的授权委托书作为合同附件。</w:t>
      </w:r>
    </w:p>
    <w:p w14:paraId="1106E655">
      <w:pPr>
        <w:spacing w:line="360" w:lineRule="auto"/>
        <w:ind w:firstLine="435"/>
        <w:rPr>
          <w:rFonts w:hint="eastAsia" w:ascii="宋体" w:hAnsi="宋体" w:eastAsia="宋体" w:cs="宋体"/>
          <w:i w:val="0"/>
          <w:iCs w:val="0"/>
          <w:color w:val="auto"/>
          <w:sz w:val="24"/>
          <w:szCs w:val="24"/>
          <w:highlight w:val="none"/>
        </w:rPr>
      </w:pPr>
      <w:bookmarkStart w:id="698" w:name="_Ref467379400"/>
      <w:r>
        <w:rPr>
          <w:rFonts w:hint="eastAsia" w:ascii="宋体" w:hAnsi="宋体" w:eastAsia="宋体" w:cs="宋体"/>
          <w:i w:val="0"/>
          <w:iCs w:val="0"/>
          <w:color w:val="auto"/>
          <w:sz w:val="24"/>
          <w:szCs w:val="24"/>
          <w:highlight w:val="none"/>
        </w:rPr>
        <w:t>2.1.5“乙方”系指根据合同约定提供服务的中标人</w:t>
      </w:r>
      <w:bookmarkEnd w:id="698"/>
      <w:r>
        <w:rPr>
          <w:rFonts w:hint="eastAsia" w:ascii="宋体" w:hAnsi="宋体" w:eastAsia="宋体" w:cs="宋体"/>
          <w:i w:val="0"/>
          <w:iCs w:val="0"/>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68FF11B">
      <w:pPr>
        <w:spacing w:line="360" w:lineRule="auto"/>
        <w:ind w:firstLine="435"/>
        <w:rPr>
          <w:rFonts w:hint="eastAsia" w:ascii="宋体" w:hAnsi="宋体" w:eastAsia="宋体" w:cs="宋体"/>
          <w:i w:val="0"/>
          <w:iCs w:val="0"/>
          <w:color w:val="auto"/>
          <w:sz w:val="24"/>
          <w:szCs w:val="24"/>
          <w:highlight w:val="none"/>
        </w:rPr>
      </w:pPr>
      <w:bookmarkStart w:id="699" w:name="_Ref467379436"/>
      <w:r>
        <w:rPr>
          <w:rFonts w:hint="eastAsia" w:ascii="宋体" w:hAnsi="宋体" w:eastAsia="宋体" w:cs="宋体"/>
          <w:i w:val="0"/>
          <w:iCs w:val="0"/>
          <w:color w:val="auto"/>
          <w:sz w:val="24"/>
          <w:szCs w:val="24"/>
          <w:highlight w:val="none"/>
        </w:rPr>
        <w:t>2.1.6“现场”系指合同约定提供服务的地点。</w:t>
      </w:r>
      <w:bookmarkEnd w:id="699"/>
    </w:p>
    <w:p w14:paraId="6E2582CC">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00" w:name="_Toc13798"/>
      <w:bookmarkStart w:id="701" w:name="_Toc259093670"/>
      <w:bookmarkStart w:id="702" w:name="_Toc13336"/>
      <w:bookmarkStart w:id="703" w:name="_Toc27635"/>
      <w:bookmarkStart w:id="704" w:name="_Toc28490"/>
      <w:bookmarkStart w:id="705" w:name="_Toc32504"/>
      <w:bookmarkStart w:id="706" w:name="_Toc279701241"/>
      <w:bookmarkStart w:id="707" w:name="_Toc487900350"/>
      <w:bookmarkStart w:id="708" w:name="_Toc32079"/>
      <w:r>
        <w:rPr>
          <w:rFonts w:hint="eastAsia" w:ascii="宋体" w:hAnsi="宋体" w:eastAsia="宋体" w:cs="宋体"/>
          <w:b/>
          <w:bCs/>
          <w:i w:val="0"/>
          <w:iCs w:val="0"/>
          <w:color w:val="auto"/>
          <w:sz w:val="24"/>
          <w:szCs w:val="24"/>
          <w:highlight w:val="none"/>
          <w:lang w:val="zh-CN"/>
        </w:rPr>
        <w:t>2.2 技术规范</w:t>
      </w:r>
      <w:bookmarkEnd w:id="700"/>
      <w:bookmarkEnd w:id="701"/>
      <w:bookmarkEnd w:id="702"/>
      <w:bookmarkEnd w:id="703"/>
      <w:bookmarkEnd w:id="704"/>
      <w:bookmarkEnd w:id="705"/>
      <w:bookmarkEnd w:id="706"/>
      <w:bookmarkEnd w:id="707"/>
      <w:bookmarkEnd w:id="708"/>
    </w:p>
    <w:p w14:paraId="69A21D8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9340A7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09" w:name="_Toc487900351"/>
      <w:bookmarkStart w:id="710" w:name="_Toc9829"/>
      <w:bookmarkStart w:id="711" w:name="_Toc17683"/>
      <w:bookmarkStart w:id="712" w:name="_Toc5140"/>
      <w:bookmarkStart w:id="713" w:name="_Toc27853"/>
      <w:bookmarkStart w:id="714" w:name="_Toc279701242"/>
      <w:bookmarkStart w:id="715" w:name="_Toc259093671"/>
      <w:bookmarkStart w:id="716" w:name="_Toc15907"/>
      <w:bookmarkStart w:id="717" w:name="_Toc31634"/>
      <w:r>
        <w:rPr>
          <w:rFonts w:hint="eastAsia" w:ascii="宋体" w:hAnsi="宋体" w:eastAsia="宋体" w:cs="宋体"/>
          <w:b/>
          <w:bCs/>
          <w:i w:val="0"/>
          <w:iCs w:val="0"/>
          <w:color w:val="auto"/>
          <w:sz w:val="24"/>
          <w:szCs w:val="24"/>
          <w:highlight w:val="none"/>
          <w:lang w:val="zh-CN"/>
        </w:rPr>
        <w:t>2.3 知识产权</w:t>
      </w:r>
      <w:bookmarkEnd w:id="709"/>
      <w:bookmarkEnd w:id="710"/>
      <w:bookmarkEnd w:id="711"/>
      <w:bookmarkEnd w:id="712"/>
      <w:bookmarkEnd w:id="713"/>
      <w:bookmarkEnd w:id="714"/>
      <w:bookmarkEnd w:id="715"/>
      <w:bookmarkEnd w:id="716"/>
      <w:bookmarkEnd w:id="717"/>
    </w:p>
    <w:p w14:paraId="0051651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1B5AB00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2.3.2具有知识产权的计算机软件等货物的知识产权归属，详见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7FDDB45A">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18" w:name="_Toc279701245"/>
      <w:bookmarkStart w:id="719" w:name="_Toc259093674"/>
      <w:bookmarkStart w:id="720" w:name="_Ref467379536"/>
      <w:bookmarkStart w:id="721" w:name="_Ref467379542"/>
      <w:bookmarkStart w:id="722" w:name="_Ref467378541"/>
      <w:bookmarkStart w:id="723" w:name="_Ref467379527"/>
      <w:bookmarkStart w:id="724" w:name="_Ref467378591"/>
      <w:bookmarkStart w:id="725" w:name="_Toc487900354"/>
      <w:bookmarkStart w:id="726" w:name="_Toc26182"/>
      <w:bookmarkStart w:id="727" w:name="_Toc29150"/>
      <w:bookmarkStart w:id="728" w:name="_Toc19074"/>
      <w:bookmarkStart w:id="729" w:name="_Toc30272"/>
      <w:bookmarkStart w:id="730" w:name="_Toc28304"/>
      <w:bookmarkStart w:id="731" w:name="_Toc16108"/>
      <w:r>
        <w:rPr>
          <w:rFonts w:hint="eastAsia" w:ascii="宋体" w:hAnsi="宋体" w:eastAsia="宋体" w:cs="宋体"/>
          <w:b/>
          <w:bCs/>
          <w:i w:val="0"/>
          <w:iCs w:val="0"/>
          <w:color w:val="auto"/>
          <w:sz w:val="24"/>
          <w:szCs w:val="24"/>
          <w:highlight w:val="none"/>
          <w:lang w:val="zh-CN"/>
        </w:rPr>
        <w:t>2.</w:t>
      </w:r>
      <w:bookmarkEnd w:id="718"/>
      <w:bookmarkEnd w:id="719"/>
      <w:bookmarkEnd w:id="720"/>
      <w:bookmarkEnd w:id="721"/>
      <w:bookmarkEnd w:id="722"/>
      <w:bookmarkEnd w:id="723"/>
      <w:bookmarkEnd w:id="724"/>
      <w:bookmarkEnd w:id="725"/>
      <w:r>
        <w:rPr>
          <w:rFonts w:hint="eastAsia" w:ascii="宋体" w:hAnsi="宋体" w:eastAsia="宋体" w:cs="宋体"/>
          <w:b/>
          <w:bCs/>
          <w:i w:val="0"/>
          <w:iCs w:val="0"/>
          <w:color w:val="auto"/>
          <w:sz w:val="24"/>
          <w:szCs w:val="24"/>
          <w:highlight w:val="none"/>
          <w:lang w:val="zh-CN"/>
        </w:rPr>
        <w:t>4 履约检查和问题反馈</w:t>
      </w:r>
      <w:bookmarkEnd w:id="726"/>
      <w:bookmarkEnd w:id="727"/>
      <w:bookmarkEnd w:id="728"/>
      <w:bookmarkEnd w:id="729"/>
      <w:bookmarkEnd w:id="730"/>
      <w:bookmarkEnd w:id="731"/>
    </w:p>
    <w:p w14:paraId="1F572855">
      <w:pPr>
        <w:spacing w:line="360" w:lineRule="auto"/>
        <w:ind w:firstLine="435"/>
        <w:rPr>
          <w:rFonts w:hint="eastAsia" w:ascii="宋体" w:hAnsi="宋体" w:eastAsia="宋体" w:cs="宋体"/>
          <w:i w:val="0"/>
          <w:iCs w:val="0"/>
          <w:color w:val="auto"/>
          <w:sz w:val="24"/>
          <w:szCs w:val="24"/>
          <w:highlight w:val="none"/>
        </w:rPr>
      </w:pPr>
      <w:bookmarkStart w:id="732" w:name="_Toc186431854"/>
      <w:bookmarkStart w:id="733" w:name="_Toc279701247"/>
      <w:bookmarkStart w:id="734" w:name="_Toc259093676"/>
      <w:bookmarkStart w:id="735" w:name="_Ref467379793"/>
      <w:bookmarkStart w:id="736" w:name="_Ref467379807"/>
      <w:bookmarkStart w:id="737" w:name="_Toc487900357"/>
      <w:r>
        <w:rPr>
          <w:rFonts w:hint="eastAsia" w:ascii="宋体" w:hAnsi="宋体" w:eastAsia="宋体" w:cs="宋体"/>
          <w:i w:val="0"/>
          <w:iCs w:val="0"/>
          <w:color w:val="auto"/>
          <w:sz w:val="24"/>
          <w:szCs w:val="24"/>
          <w:highlight w:val="none"/>
        </w:rPr>
        <w:t>2.4.1甲方有权在其认为必要时，对乙方是否能够按照合同约定提供服务进行履约检查，以确保乙方所提供的服务能够依约满足甲方项目需求，但不得因履约检查妨碍乙方的正常工作，乙方应予积极配合；</w:t>
      </w:r>
    </w:p>
    <w:p w14:paraId="46A90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2.4.2合同履行期间，甲方有权将履行过程中出现的问题反馈给乙方，双方当事人应以书面形式约定需要完善和改进的内容</w:t>
      </w:r>
      <w:bookmarkEnd w:id="732"/>
      <w:bookmarkStart w:id="738" w:name="_Toc186431855"/>
      <w:r>
        <w:rPr>
          <w:rFonts w:hint="eastAsia" w:ascii="宋体" w:hAnsi="宋体" w:eastAsia="宋体" w:cs="宋体"/>
          <w:i w:val="0"/>
          <w:iCs w:val="0"/>
          <w:color w:val="auto"/>
          <w:sz w:val="24"/>
          <w:szCs w:val="24"/>
          <w:highlight w:val="none"/>
        </w:rPr>
        <w:t>。</w:t>
      </w:r>
    </w:p>
    <w:bookmarkEnd w:id="738"/>
    <w:p w14:paraId="37DDF5E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39" w:name="_Toc19219"/>
      <w:bookmarkStart w:id="740" w:name="_Toc8875"/>
      <w:bookmarkStart w:id="741" w:name="_Toc7836"/>
      <w:bookmarkStart w:id="742" w:name="_Toc745"/>
      <w:bookmarkStart w:id="743" w:name="_Toc6918"/>
      <w:bookmarkStart w:id="744" w:name="_Toc28451"/>
      <w:r>
        <w:rPr>
          <w:rFonts w:hint="eastAsia" w:ascii="宋体" w:hAnsi="宋体" w:eastAsia="宋体" w:cs="宋体"/>
          <w:b/>
          <w:bCs/>
          <w:i w:val="0"/>
          <w:iCs w:val="0"/>
          <w:color w:val="auto"/>
          <w:sz w:val="24"/>
          <w:szCs w:val="24"/>
          <w:highlight w:val="none"/>
          <w:lang w:val="zh-CN"/>
        </w:rPr>
        <w:t>2.5 结算方式和付款条件</w:t>
      </w:r>
      <w:bookmarkEnd w:id="733"/>
      <w:bookmarkEnd w:id="734"/>
      <w:bookmarkEnd w:id="735"/>
      <w:bookmarkEnd w:id="736"/>
      <w:bookmarkEnd w:id="737"/>
      <w:bookmarkEnd w:id="739"/>
      <w:bookmarkEnd w:id="740"/>
      <w:bookmarkEnd w:id="741"/>
      <w:bookmarkEnd w:id="742"/>
      <w:bookmarkEnd w:id="743"/>
      <w:bookmarkEnd w:id="744"/>
    </w:p>
    <w:p w14:paraId="350F9F1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0E66E79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45" w:name="_Ref467379852"/>
      <w:bookmarkStart w:id="746" w:name="_Toc279701248"/>
      <w:bookmarkStart w:id="747" w:name="_Ref467379863"/>
      <w:bookmarkStart w:id="748" w:name="_Ref467379923"/>
      <w:bookmarkStart w:id="749" w:name="_Toc487900358"/>
      <w:bookmarkStart w:id="750" w:name="_Toc259093677"/>
      <w:bookmarkStart w:id="751" w:name="_Toc16110"/>
      <w:bookmarkStart w:id="752" w:name="_Toc6627"/>
      <w:bookmarkStart w:id="753" w:name="_Toc3225"/>
      <w:bookmarkStart w:id="754" w:name="_Toc27972"/>
      <w:bookmarkStart w:id="755" w:name="_Toc8947"/>
      <w:bookmarkStart w:id="756" w:name="_Toc774"/>
      <w:r>
        <w:rPr>
          <w:rFonts w:hint="eastAsia" w:ascii="宋体" w:hAnsi="宋体" w:eastAsia="宋体" w:cs="宋体"/>
          <w:b/>
          <w:bCs/>
          <w:i w:val="0"/>
          <w:iCs w:val="0"/>
          <w:color w:val="auto"/>
          <w:sz w:val="24"/>
          <w:szCs w:val="24"/>
          <w:highlight w:val="none"/>
          <w:lang w:val="zh-CN"/>
        </w:rPr>
        <w:t>2.6 技术资料</w:t>
      </w:r>
      <w:bookmarkEnd w:id="745"/>
      <w:bookmarkEnd w:id="746"/>
      <w:bookmarkEnd w:id="747"/>
      <w:bookmarkEnd w:id="748"/>
      <w:bookmarkEnd w:id="749"/>
      <w:bookmarkEnd w:id="750"/>
      <w:r>
        <w:rPr>
          <w:rFonts w:hint="eastAsia" w:ascii="宋体" w:hAnsi="宋体" w:eastAsia="宋体" w:cs="宋体"/>
          <w:b/>
          <w:bCs/>
          <w:i w:val="0"/>
          <w:iCs w:val="0"/>
          <w:color w:val="auto"/>
          <w:sz w:val="24"/>
          <w:szCs w:val="24"/>
          <w:highlight w:val="none"/>
          <w:lang w:val="zh-CN"/>
        </w:rPr>
        <w:t>和保密义务</w:t>
      </w:r>
      <w:bookmarkEnd w:id="751"/>
      <w:bookmarkEnd w:id="752"/>
      <w:bookmarkEnd w:id="753"/>
      <w:bookmarkEnd w:id="754"/>
      <w:bookmarkEnd w:id="755"/>
      <w:bookmarkEnd w:id="756"/>
    </w:p>
    <w:p w14:paraId="043E0FD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2.6.1乙方有权依据合同约定和项目需要，向甲方了解有关情况，调阅有关资料等，甲方应予积极配合；</w:t>
      </w:r>
    </w:p>
    <w:p w14:paraId="12D7A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2.6.2乙方有义务妥善保管和保护由甲方提供的前款信息和资料等；</w:t>
      </w:r>
    </w:p>
    <w:p w14:paraId="1BFAE2B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D716C7F">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57" w:name="_Toc7860"/>
      <w:bookmarkStart w:id="758" w:name="_Toc1001"/>
      <w:bookmarkStart w:id="759" w:name="_Toc20401"/>
      <w:bookmarkStart w:id="760" w:name="_Toc1434"/>
      <w:r>
        <w:rPr>
          <w:rFonts w:hint="eastAsia" w:ascii="宋体" w:hAnsi="宋体" w:eastAsia="宋体" w:cs="宋体"/>
          <w:b/>
          <w:bCs/>
          <w:i w:val="0"/>
          <w:iCs w:val="0"/>
          <w:color w:val="auto"/>
          <w:sz w:val="24"/>
          <w:szCs w:val="24"/>
          <w:highlight w:val="none"/>
          <w:lang w:val="zh-CN"/>
        </w:rPr>
        <w:t>2.7 质量保证</w:t>
      </w:r>
      <w:bookmarkEnd w:id="757"/>
      <w:bookmarkEnd w:id="758"/>
      <w:bookmarkEnd w:id="759"/>
      <w:bookmarkEnd w:id="760"/>
    </w:p>
    <w:p w14:paraId="06F68E3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2.7.1乙方应建立和完善履行合同的内部质量保证体系，并提供相关内部规章制度给甲方，以便甲方进行监督检查；</w:t>
      </w:r>
    </w:p>
    <w:p w14:paraId="37CEC89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2.7.2乙方应保证履行合同的人员数量和素质、软件和硬件设备的配置、场地、环境和设施等满足全面履行合同的要求，并应接受甲方的监督检查。</w:t>
      </w:r>
    </w:p>
    <w:p w14:paraId="6EE54FD6">
      <w:pPr>
        <w:spacing w:line="360" w:lineRule="auto"/>
        <w:ind w:firstLine="437"/>
        <w:outlineLvl w:val="2"/>
        <w:rPr>
          <w:rFonts w:hint="eastAsia" w:ascii="宋体" w:hAnsi="宋体" w:eastAsia="宋体" w:cs="宋体"/>
          <w:b/>
          <w:i w:val="0"/>
          <w:iCs w:val="0"/>
          <w:color w:val="auto"/>
          <w:sz w:val="24"/>
          <w:szCs w:val="24"/>
          <w:highlight w:val="none"/>
        </w:rPr>
      </w:pPr>
      <w:bookmarkStart w:id="761" w:name="_Toc22267"/>
      <w:bookmarkStart w:id="762" w:name="_Toc20440"/>
      <w:bookmarkStart w:id="763" w:name="_Toc5339"/>
      <w:bookmarkStart w:id="764" w:name="_Toc27251"/>
      <w:r>
        <w:rPr>
          <w:rFonts w:hint="eastAsia" w:ascii="宋体" w:hAnsi="宋体" w:eastAsia="宋体" w:cs="宋体"/>
          <w:b/>
          <w:i w:val="0"/>
          <w:iCs w:val="0"/>
          <w:color w:val="auto"/>
          <w:sz w:val="24"/>
          <w:szCs w:val="24"/>
          <w:highlight w:val="none"/>
        </w:rPr>
        <w:t>2.8 延迟履行</w:t>
      </w:r>
      <w:bookmarkEnd w:id="761"/>
      <w:bookmarkEnd w:id="762"/>
      <w:bookmarkEnd w:id="763"/>
      <w:bookmarkEnd w:id="764"/>
    </w:p>
    <w:p w14:paraId="39241BB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546551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65" w:name="_Toc22045"/>
      <w:bookmarkStart w:id="766" w:name="_Toc7502"/>
      <w:bookmarkStart w:id="767" w:name="_Toc106"/>
      <w:bookmarkStart w:id="768" w:name="_Toc31446"/>
      <w:bookmarkStart w:id="769" w:name="_Toc487900364"/>
      <w:bookmarkStart w:id="770" w:name="_Ref467378121"/>
      <w:bookmarkStart w:id="771" w:name="_Toc279701254"/>
      <w:bookmarkStart w:id="772" w:name="_Toc259093683"/>
      <w:r>
        <w:rPr>
          <w:rFonts w:hint="eastAsia" w:ascii="宋体" w:hAnsi="宋体" w:eastAsia="宋体" w:cs="宋体"/>
          <w:b/>
          <w:bCs/>
          <w:i w:val="0"/>
          <w:iCs w:val="0"/>
          <w:color w:val="auto"/>
          <w:sz w:val="24"/>
          <w:szCs w:val="24"/>
          <w:highlight w:val="none"/>
          <w:lang w:val="zh-CN"/>
        </w:rPr>
        <w:t>2.9 合同变更</w:t>
      </w:r>
      <w:bookmarkEnd w:id="765"/>
      <w:bookmarkEnd w:id="766"/>
      <w:bookmarkEnd w:id="767"/>
      <w:bookmarkEnd w:id="768"/>
    </w:p>
    <w:p w14:paraId="60F58CC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2.9.1双方当事人协商一致，可以签订书面补充合同的形式变更合同，但不得违背采购文件确定的事项；</w:t>
      </w:r>
    </w:p>
    <w:p w14:paraId="42F7E75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2.9.2合同继续履行将损害国家利益和社会公共利益的，双方当事人应当以书面形式变更合同。有过错的一方应当承担赔偿责任，双方当事人都有过错的，各自承担相应的责任。</w:t>
      </w:r>
      <w:bookmarkStart w:id="773" w:name="_Toc259093688"/>
      <w:bookmarkStart w:id="774" w:name="_Toc487900369"/>
      <w:bookmarkStart w:id="775" w:name="_Toc279701259"/>
    </w:p>
    <w:p w14:paraId="742F9E7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76" w:name="_Toc22955"/>
      <w:bookmarkStart w:id="777" w:name="_Toc30751"/>
      <w:bookmarkStart w:id="778" w:name="_Toc20243"/>
      <w:bookmarkStart w:id="779" w:name="_Toc19955"/>
      <w:bookmarkStart w:id="780" w:name="_Toc10366"/>
      <w:bookmarkStart w:id="781" w:name="_Toc15237"/>
      <w:r>
        <w:rPr>
          <w:rFonts w:hint="eastAsia" w:ascii="宋体" w:hAnsi="宋体" w:eastAsia="宋体" w:cs="宋体"/>
          <w:b/>
          <w:bCs/>
          <w:i w:val="0"/>
          <w:iCs w:val="0"/>
          <w:color w:val="auto"/>
          <w:sz w:val="24"/>
          <w:szCs w:val="24"/>
          <w:highlight w:val="none"/>
          <w:lang w:val="zh-CN"/>
        </w:rPr>
        <w:t>2.10 合同转让</w:t>
      </w:r>
      <w:bookmarkEnd w:id="773"/>
      <w:bookmarkEnd w:id="774"/>
      <w:bookmarkEnd w:id="775"/>
      <w:r>
        <w:rPr>
          <w:rFonts w:hint="eastAsia" w:ascii="宋体" w:hAnsi="宋体" w:eastAsia="宋体" w:cs="宋体"/>
          <w:b/>
          <w:bCs/>
          <w:i w:val="0"/>
          <w:iCs w:val="0"/>
          <w:color w:val="auto"/>
          <w:sz w:val="24"/>
          <w:szCs w:val="24"/>
          <w:highlight w:val="none"/>
          <w:lang w:val="zh-CN"/>
        </w:rPr>
        <w:t>和分包</w:t>
      </w:r>
      <w:bookmarkEnd w:id="776"/>
      <w:bookmarkEnd w:id="777"/>
      <w:bookmarkEnd w:id="778"/>
      <w:bookmarkEnd w:id="779"/>
      <w:bookmarkEnd w:id="780"/>
      <w:bookmarkEnd w:id="781"/>
    </w:p>
    <w:p w14:paraId="26ADD7C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4061B3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82" w:name="_Toc10157"/>
      <w:bookmarkStart w:id="783" w:name="_Toc22946"/>
      <w:bookmarkStart w:id="784" w:name="_Toc13566"/>
      <w:bookmarkStart w:id="785" w:name="_Toc17802"/>
      <w:bookmarkStart w:id="786" w:name="_Toc16508"/>
      <w:bookmarkStart w:id="787" w:name="_Toc14066"/>
      <w:r>
        <w:rPr>
          <w:rFonts w:hint="eastAsia" w:ascii="宋体" w:hAnsi="宋体" w:eastAsia="宋体" w:cs="宋体"/>
          <w:b/>
          <w:bCs/>
          <w:i w:val="0"/>
          <w:iCs w:val="0"/>
          <w:color w:val="auto"/>
          <w:sz w:val="24"/>
          <w:szCs w:val="24"/>
          <w:highlight w:val="none"/>
          <w:lang w:val="zh-CN"/>
        </w:rPr>
        <w:t>2.11 不可抗力</w:t>
      </w:r>
      <w:bookmarkEnd w:id="782"/>
      <w:bookmarkEnd w:id="783"/>
      <w:bookmarkEnd w:id="784"/>
      <w:bookmarkEnd w:id="785"/>
      <w:bookmarkEnd w:id="786"/>
      <w:bookmarkEnd w:id="787"/>
    </w:p>
    <w:p w14:paraId="2E7E6126">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2.11.1如果任何一方遭遇法律规定的不可抗力，致使合同履行受阻时，履行合同的期限应予延长，延长的期限应相当于不可抗力所影响的时间；</w:t>
      </w:r>
    </w:p>
    <w:p w14:paraId="584AA5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2.11.2因不可抗力致使不能实现合同目的的，当事人可以解除合同；</w:t>
      </w:r>
    </w:p>
    <w:p w14:paraId="7EC5696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2.11.3因不可抗力致使合同有变更必要的，双方当事人应在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约定时间内以书面形式变更合同；</w:t>
      </w:r>
    </w:p>
    <w:p w14:paraId="64C45C6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2.11.4受不可抗力影响的一方在不可抗力发生后，应在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约定时间内以书面形式通知对方当事人，并在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约定时间内，将有关部门出具的证明文件送达对方当事人。</w:t>
      </w:r>
    </w:p>
    <w:p w14:paraId="0737946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88" w:name="_Toc487900365"/>
      <w:bookmarkStart w:id="789" w:name="_Toc24332"/>
      <w:bookmarkStart w:id="790" w:name="_Toc30676"/>
      <w:bookmarkStart w:id="791" w:name="_Toc259093684"/>
      <w:bookmarkStart w:id="792" w:name="_Toc279701255"/>
      <w:bookmarkStart w:id="793" w:name="_Toc6969"/>
      <w:bookmarkStart w:id="794" w:name="_Toc12787"/>
      <w:bookmarkStart w:id="795" w:name="_Toc21665"/>
      <w:bookmarkStart w:id="796" w:name="_Toc689"/>
      <w:r>
        <w:rPr>
          <w:rFonts w:hint="eastAsia" w:ascii="宋体" w:hAnsi="宋体" w:eastAsia="宋体" w:cs="宋体"/>
          <w:b/>
          <w:bCs/>
          <w:i w:val="0"/>
          <w:iCs w:val="0"/>
          <w:color w:val="auto"/>
          <w:sz w:val="24"/>
          <w:szCs w:val="24"/>
          <w:highlight w:val="none"/>
          <w:lang w:val="zh-CN"/>
        </w:rPr>
        <w:t>2.12 税费</w:t>
      </w:r>
      <w:bookmarkEnd w:id="788"/>
      <w:bookmarkEnd w:id="789"/>
      <w:bookmarkEnd w:id="790"/>
      <w:bookmarkEnd w:id="791"/>
      <w:bookmarkEnd w:id="792"/>
      <w:bookmarkEnd w:id="793"/>
      <w:bookmarkEnd w:id="794"/>
      <w:bookmarkEnd w:id="795"/>
      <w:bookmarkEnd w:id="796"/>
    </w:p>
    <w:p w14:paraId="7FDC372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与合同有关的一切税费，均按照中华人民共和国法律的相关规定缴纳。</w:t>
      </w:r>
    </w:p>
    <w:p w14:paraId="485EEA4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797" w:name="_Toc259093687"/>
      <w:bookmarkStart w:id="798" w:name="_Toc487900368"/>
      <w:bookmarkStart w:id="799" w:name="_Toc11204"/>
      <w:bookmarkStart w:id="800" w:name="_Toc30741"/>
      <w:bookmarkStart w:id="801" w:name="_Toc7102"/>
      <w:bookmarkStart w:id="802" w:name="_Toc2206"/>
      <w:bookmarkStart w:id="803" w:name="_Toc8298"/>
      <w:bookmarkStart w:id="804" w:name="_Toc16959"/>
      <w:bookmarkStart w:id="805" w:name="_Toc279701258"/>
      <w:r>
        <w:rPr>
          <w:rFonts w:hint="eastAsia" w:ascii="宋体" w:hAnsi="宋体" w:eastAsia="宋体" w:cs="宋体"/>
          <w:b/>
          <w:bCs/>
          <w:i w:val="0"/>
          <w:iCs w:val="0"/>
          <w:color w:val="auto"/>
          <w:sz w:val="24"/>
          <w:szCs w:val="24"/>
          <w:highlight w:val="none"/>
          <w:lang w:val="zh-CN"/>
        </w:rPr>
        <w:t>2.13 乙方破产</w:t>
      </w:r>
      <w:bookmarkEnd w:id="797"/>
      <w:bookmarkEnd w:id="798"/>
      <w:bookmarkEnd w:id="799"/>
      <w:bookmarkEnd w:id="800"/>
      <w:bookmarkEnd w:id="801"/>
      <w:bookmarkEnd w:id="802"/>
      <w:bookmarkEnd w:id="803"/>
      <w:bookmarkEnd w:id="804"/>
      <w:bookmarkEnd w:id="805"/>
    </w:p>
    <w:p w14:paraId="4706273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79A5F8">
      <w:pPr>
        <w:spacing w:line="360" w:lineRule="auto"/>
        <w:ind w:firstLine="437"/>
        <w:outlineLvl w:val="2"/>
        <w:rPr>
          <w:rFonts w:hint="eastAsia" w:ascii="宋体" w:hAnsi="宋体" w:eastAsia="宋体" w:cs="宋体"/>
          <w:b/>
          <w:i w:val="0"/>
          <w:iCs w:val="0"/>
          <w:color w:val="auto"/>
          <w:sz w:val="24"/>
          <w:szCs w:val="24"/>
          <w:highlight w:val="none"/>
        </w:rPr>
      </w:pPr>
      <w:bookmarkStart w:id="806" w:name="_Toc9036"/>
      <w:bookmarkStart w:id="807" w:name="_Toc29333"/>
      <w:bookmarkStart w:id="808" w:name="_Toc6611"/>
      <w:bookmarkStart w:id="809" w:name="_Toc13537"/>
      <w:bookmarkStart w:id="810" w:name="_Toc15387"/>
      <w:bookmarkStart w:id="811" w:name="_Toc6134"/>
      <w:r>
        <w:rPr>
          <w:rFonts w:hint="eastAsia" w:ascii="宋体" w:hAnsi="宋体" w:eastAsia="宋体" w:cs="宋体"/>
          <w:b/>
          <w:bCs/>
          <w:i w:val="0"/>
          <w:iCs w:val="0"/>
          <w:color w:val="auto"/>
          <w:sz w:val="24"/>
          <w:szCs w:val="24"/>
          <w:highlight w:val="none"/>
          <w:lang w:val="zh-CN"/>
        </w:rPr>
        <w:t>2.14 合同中止、终止</w:t>
      </w:r>
      <w:bookmarkEnd w:id="806"/>
      <w:bookmarkEnd w:id="807"/>
      <w:bookmarkEnd w:id="808"/>
      <w:bookmarkEnd w:id="809"/>
      <w:bookmarkEnd w:id="810"/>
      <w:bookmarkEnd w:id="811"/>
    </w:p>
    <w:p w14:paraId="6151CDA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2.14.1双方当事人不得擅自中止或者终止合同；</w:t>
      </w:r>
    </w:p>
    <w:p w14:paraId="0A33DBB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51ADDB2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812" w:name="_Toc1125"/>
      <w:bookmarkStart w:id="813" w:name="_Toc14563"/>
      <w:bookmarkStart w:id="814" w:name="_Toc7061"/>
      <w:bookmarkStart w:id="815" w:name="_Toc13106"/>
      <w:bookmarkStart w:id="816" w:name="_Toc14791"/>
      <w:bookmarkStart w:id="817" w:name="_Toc6596"/>
      <w:r>
        <w:rPr>
          <w:rFonts w:hint="eastAsia" w:ascii="宋体" w:hAnsi="宋体" w:eastAsia="宋体" w:cs="宋体"/>
          <w:b/>
          <w:bCs/>
          <w:i w:val="0"/>
          <w:iCs w:val="0"/>
          <w:color w:val="auto"/>
          <w:sz w:val="24"/>
          <w:szCs w:val="24"/>
          <w:highlight w:val="none"/>
          <w:lang w:val="zh-CN"/>
        </w:rPr>
        <w:t>2.15 检验和验收</w:t>
      </w:r>
      <w:bookmarkEnd w:id="812"/>
      <w:bookmarkEnd w:id="813"/>
      <w:bookmarkEnd w:id="814"/>
      <w:bookmarkEnd w:id="815"/>
      <w:bookmarkEnd w:id="816"/>
      <w:bookmarkEnd w:id="817"/>
    </w:p>
    <w:p w14:paraId="4B523E1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2.15.1乙方按照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的约定，定期提交服务报告，甲方按照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的约定进行定期验收；</w:t>
      </w:r>
    </w:p>
    <w:p w14:paraId="2691C9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630CD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2.15.3检验和验收标准、程序等具体内容以及前述验收书的效力详见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bookmarkEnd w:id="769"/>
    <w:bookmarkEnd w:id="770"/>
    <w:bookmarkEnd w:id="771"/>
    <w:bookmarkEnd w:id="772"/>
    <w:p w14:paraId="73AF77C8">
      <w:pPr>
        <w:spacing w:line="360" w:lineRule="auto"/>
        <w:ind w:firstLine="437"/>
        <w:outlineLvl w:val="2"/>
        <w:rPr>
          <w:rFonts w:hint="eastAsia" w:ascii="宋体" w:hAnsi="宋体" w:eastAsia="宋体" w:cs="宋体"/>
          <w:b/>
          <w:bCs/>
          <w:i w:val="0"/>
          <w:iCs w:val="0"/>
          <w:color w:val="auto"/>
          <w:sz w:val="24"/>
          <w:szCs w:val="24"/>
          <w:highlight w:val="none"/>
        </w:rPr>
      </w:pPr>
      <w:bookmarkStart w:id="818" w:name="_Toc10330"/>
      <w:bookmarkStart w:id="819" w:name="_Toc28706"/>
      <w:bookmarkStart w:id="820" w:name="_Toc12773"/>
      <w:bookmarkStart w:id="821" w:name="_Toc17058"/>
      <w:bookmarkStart w:id="822" w:name="_Toc487900373"/>
      <w:bookmarkStart w:id="823" w:name="_Toc18567"/>
      <w:bookmarkStart w:id="824" w:name="_Toc279701263"/>
      <w:bookmarkStart w:id="825" w:name="_Toc31923"/>
      <w:bookmarkStart w:id="826" w:name="_Toc259093692"/>
      <w:r>
        <w:rPr>
          <w:rFonts w:hint="eastAsia" w:ascii="宋体" w:hAnsi="宋体" w:eastAsia="宋体" w:cs="宋体"/>
          <w:b/>
          <w:bCs/>
          <w:i w:val="0"/>
          <w:iCs w:val="0"/>
          <w:color w:val="auto"/>
          <w:sz w:val="24"/>
          <w:szCs w:val="24"/>
          <w:highlight w:val="none"/>
        </w:rPr>
        <w:t xml:space="preserve">2.16 </w:t>
      </w:r>
      <w:r>
        <w:rPr>
          <w:rFonts w:hint="eastAsia" w:ascii="宋体" w:hAnsi="宋体" w:eastAsia="宋体" w:cs="宋体"/>
          <w:b/>
          <w:bCs/>
          <w:i w:val="0"/>
          <w:iCs w:val="0"/>
          <w:color w:val="auto"/>
          <w:sz w:val="24"/>
          <w:szCs w:val="24"/>
          <w:highlight w:val="none"/>
          <w:lang w:val="zh-CN"/>
        </w:rPr>
        <w:t>合同使用的文字和适用的法律</w:t>
      </w:r>
      <w:bookmarkEnd w:id="818"/>
      <w:bookmarkEnd w:id="819"/>
      <w:bookmarkEnd w:id="820"/>
      <w:bookmarkEnd w:id="821"/>
      <w:bookmarkEnd w:id="822"/>
      <w:bookmarkEnd w:id="823"/>
      <w:bookmarkEnd w:id="824"/>
      <w:bookmarkEnd w:id="825"/>
      <w:bookmarkEnd w:id="826"/>
    </w:p>
    <w:p w14:paraId="584303E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2.16.1合同使用汉语书就、变更和解释；</w:t>
      </w:r>
    </w:p>
    <w:p w14:paraId="6120D4C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2.16.2合同适用中华人民共和国法律。</w:t>
      </w:r>
    </w:p>
    <w:p w14:paraId="6DD35A5C">
      <w:pPr>
        <w:spacing w:line="360" w:lineRule="auto"/>
        <w:ind w:firstLine="437"/>
        <w:outlineLvl w:val="2"/>
        <w:rPr>
          <w:rFonts w:hint="eastAsia" w:ascii="宋体" w:hAnsi="宋体" w:eastAsia="宋体" w:cs="宋体"/>
          <w:b/>
          <w:i w:val="0"/>
          <w:iCs w:val="0"/>
          <w:color w:val="auto"/>
          <w:sz w:val="24"/>
          <w:szCs w:val="24"/>
          <w:highlight w:val="none"/>
        </w:rPr>
      </w:pPr>
      <w:bookmarkStart w:id="827" w:name="_Toc3148"/>
      <w:bookmarkStart w:id="828" w:name="_Toc279701264"/>
      <w:bookmarkStart w:id="829" w:name="_Toc30894"/>
      <w:bookmarkStart w:id="830" w:name="_Toc12060"/>
      <w:bookmarkStart w:id="831" w:name="_Toc13059"/>
      <w:bookmarkStart w:id="832" w:name="_Toc16673"/>
      <w:bookmarkStart w:id="833" w:name="_Toc12004"/>
      <w:bookmarkStart w:id="834" w:name="_Toc259093693"/>
      <w:bookmarkStart w:id="835" w:name="_Toc487900374"/>
      <w:r>
        <w:rPr>
          <w:rFonts w:hint="eastAsia" w:ascii="宋体" w:hAnsi="宋体" w:eastAsia="宋体" w:cs="宋体"/>
          <w:b/>
          <w:bCs/>
          <w:i w:val="0"/>
          <w:iCs w:val="0"/>
          <w:color w:val="auto"/>
          <w:sz w:val="24"/>
          <w:szCs w:val="24"/>
          <w:highlight w:val="none"/>
          <w:lang w:val="zh-CN"/>
        </w:rPr>
        <w:t>2.17 履约保证金</w:t>
      </w:r>
      <w:bookmarkEnd w:id="827"/>
      <w:bookmarkEnd w:id="828"/>
      <w:bookmarkEnd w:id="829"/>
      <w:bookmarkEnd w:id="830"/>
      <w:bookmarkEnd w:id="831"/>
      <w:bookmarkEnd w:id="832"/>
      <w:bookmarkEnd w:id="833"/>
      <w:bookmarkEnd w:id="834"/>
    </w:p>
    <w:p w14:paraId="1C42A5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2.17.1采购文件要求乙方提交履约保证金的，乙方应按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约定的方式，以支票、汇票、本票或者金融机构、担保机构出具的保函等非现金形式提交；</w:t>
      </w:r>
    </w:p>
    <w:p w14:paraId="4D9AC60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2.17.2履约保证金在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约定期间内不予退还或者应完全有效，前述约定期间届满之日起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个工作日内，甲方应将履约保证金退还乙方</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甲方</w:t>
      </w:r>
      <w:r>
        <w:rPr>
          <w:rFonts w:hint="eastAsia" w:ascii="宋体" w:hAnsi="宋体" w:eastAsia="宋体" w:cs="宋体"/>
          <w:i w:val="0"/>
          <w:iCs w:val="0"/>
          <w:color w:val="auto"/>
          <w:sz w:val="24"/>
          <w:szCs w:val="24"/>
          <w:highlight w:val="none"/>
        </w:rPr>
        <w:t>逾期退还履约保证金</w:t>
      </w:r>
      <w:r>
        <w:rPr>
          <w:rFonts w:hint="eastAsia" w:ascii="宋体" w:hAnsi="宋体" w:eastAsia="宋体" w:cs="宋体"/>
          <w:i w:val="0"/>
          <w:iCs w:val="0"/>
          <w:color w:val="auto"/>
          <w:sz w:val="24"/>
          <w:szCs w:val="24"/>
          <w:highlight w:val="none"/>
          <w:lang w:val="en-US" w:eastAsia="zh-CN"/>
        </w:rPr>
        <w:t>应承担违约责任。</w:t>
      </w:r>
    </w:p>
    <w:p w14:paraId="5DC1A76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835"/>
    <w:p w14:paraId="1186696B">
      <w:pPr>
        <w:spacing w:line="360" w:lineRule="auto"/>
        <w:ind w:firstLine="437"/>
        <w:outlineLvl w:val="2"/>
        <w:rPr>
          <w:rFonts w:hint="eastAsia" w:ascii="宋体" w:hAnsi="宋体" w:eastAsia="宋体" w:cs="宋体"/>
          <w:b/>
          <w:i w:val="0"/>
          <w:iCs w:val="0"/>
          <w:color w:val="auto"/>
          <w:sz w:val="24"/>
          <w:szCs w:val="24"/>
          <w:highlight w:val="none"/>
        </w:rPr>
      </w:pPr>
      <w:bookmarkStart w:id="836" w:name="_Toc6885"/>
      <w:bookmarkStart w:id="837" w:name="_Toc19890"/>
      <w:bookmarkStart w:id="838" w:name="_Toc11238"/>
      <w:bookmarkStart w:id="839" w:name="_Toc7242"/>
      <w:bookmarkStart w:id="840" w:name="_Toc20735"/>
      <w:bookmarkStart w:id="841" w:name="_Toc14001"/>
      <w:r>
        <w:rPr>
          <w:rFonts w:hint="eastAsia" w:ascii="宋体" w:hAnsi="宋体" w:eastAsia="宋体" w:cs="宋体"/>
          <w:b/>
          <w:bCs/>
          <w:i w:val="0"/>
          <w:iCs w:val="0"/>
          <w:color w:val="auto"/>
          <w:sz w:val="24"/>
          <w:szCs w:val="24"/>
          <w:highlight w:val="none"/>
          <w:lang w:val="zh-CN"/>
        </w:rPr>
        <w:t>2.18 合同份数</w:t>
      </w:r>
      <w:bookmarkEnd w:id="836"/>
      <w:bookmarkEnd w:id="837"/>
      <w:bookmarkEnd w:id="838"/>
      <w:bookmarkEnd w:id="839"/>
      <w:bookmarkEnd w:id="840"/>
      <w:bookmarkEnd w:id="841"/>
    </w:p>
    <w:p w14:paraId="1E34590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合同份数按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规定，每份均具有同等法律效力。</w:t>
      </w:r>
    </w:p>
    <w:p w14:paraId="53F3690C">
      <w:pPr>
        <w:spacing w:line="360" w:lineRule="auto"/>
        <w:jc w:val="center"/>
        <w:outlineLvl w:val="1"/>
        <w:rPr>
          <w:rFonts w:hint="eastAsia" w:ascii="宋体" w:hAnsi="宋体" w:eastAsia="宋体" w:cs="宋体"/>
          <w:b/>
          <w:color w:val="auto"/>
          <w:sz w:val="36"/>
          <w:szCs w:val="36"/>
          <w:highlight w:val="none"/>
        </w:rPr>
      </w:pPr>
      <w:r>
        <w:rPr>
          <w:rFonts w:cs="Times New Roman" w:asciiTheme="minorEastAsia" w:hAnsiTheme="minorEastAsia" w:eastAsiaTheme="minorEastAsia"/>
          <w:color w:val="auto"/>
          <w:sz w:val="24"/>
          <w:szCs w:val="24"/>
          <w:highlight w:val="none"/>
        </w:rPr>
        <w:br w:type="page"/>
      </w:r>
      <w:bookmarkStart w:id="842" w:name="_Toc19801"/>
      <w:bookmarkStart w:id="843" w:name="_Toc3736"/>
      <w:bookmarkStart w:id="844" w:name="_Toc20051"/>
      <w:bookmarkStart w:id="845" w:name="_Toc24453"/>
      <w:r>
        <w:rPr>
          <w:rFonts w:hint="eastAsia" w:ascii="宋体" w:hAnsi="宋体" w:eastAsia="宋体" w:cs="宋体"/>
          <w:b/>
          <w:color w:val="auto"/>
          <w:sz w:val="36"/>
          <w:szCs w:val="36"/>
          <w:highlight w:val="none"/>
        </w:rPr>
        <w:t>第三部分 合同专用条款</w:t>
      </w:r>
      <w:bookmarkEnd w:id="842"/>
      <w:bookmarkEnd w:id="843"/>
      <w:bookmarkEnd w:id="844"/>
      <w:bookmarkEnd w:id="845"/>
    </w:p>
    <w:p w14:paraId="3D7C59F3">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1"/>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024E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30CAE0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7568" w:type="dxa"/>
            <w:vAlign w:val="center"/>
          </w:tcPr>
          <w:p w14:paraId="5E297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14:paraId="47A1D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3B4B21CE">
            <w:pPr>
              <w:spacing w:line="560" w:lineRule="exact"/>
              <w:rPr>
                <w:rFonts w:hint="eastAsia" w:ascii="宋体" w:hAnsi="宋体" w:eastAsia="宋体" w:cs="宋体"/>
                <w:color w:val="auto"/>
                <w:sz w:val="24"/>
                <w:szCs w:val="24"/>
                <w:highlight w:val="none"/>
              </w:rPr>
            </w:pPr>
          </w:p>
        </w:tc>
        <w:tc>
          <w:tcPr>
            <w:tcW w:w="7568" w:type="dxa"/>
            <w:vAlign w:val="center"/>
          </w:tcPr>
          <w:p w14:paraId="40655C46">
            <w:pPr>
              <w:spacing w:line="560" w:lineRule="exact"/>
              <w:rPr>
                <w:rFonts w:hint="eastAsia" w:ascii="宋体" w:hAnsi="宋体" w:eastAsia="宋体" w:cs="宋体"/>
                <w:color w:val="auto"/>
                <w:sz w:val="24"/>
                <w:szCs w:val="24"/>
                <w:highlight w:val="none"/>
              </w:rPr>
            </w:pPr>
          </w:p>
        </w:tc>
      </w:tr>
      <w:tr w14:paraId="0B04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F3CD612">
            <w:pPr>
              <w:spacing w:line="560" w:lineRule="exact"/>
              <w:rPr>
                <w:rFonts w:hint="eastAsia" w:ascii="宋体" w:hAnsi="宋体" w:eastAsia="宋体" w:cs="宋体"/>
                <w:color w:val="auto"/>
                <w:sz w:val="24"/>
                <w:szCs w:val="24"/>
                <w:highlight w:val="none"/>
              </w:rPr>
            </w:pPr>
          </w:p>
        </w:tc>
        <w:tc>
          <w:tcPr>
            <w:tcW w:w="7568" w:type="dxa"/>
            <w:vAlign w:val="center"/>
          </w:tcPr>
          <w:p w14:paraId="32E7ECB0">
            <w:pPr>
              <w:spacing w:line="560" w:lineRule="exact"/>
              <w:rPr>
                <w:rFonts w:hint="eastAsia" w:ascii="宋体" w:hAnsi="宋体" w:eastAsia="宋体" w:cs="宋体"/>
                <w:color w:val="auto"/>
                <w:sz w:val="24"/>
                <w:szCs w:val="24"/>
                <w:highlight w:val="none"/>
              </w:rPr>
            </w:pPr>
          </w:p>
        </w:tc>
      </w:tr>
      <w:tr w14:paraId="1FC91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9AF35CA">
            <w:pPr>
              <w:spacing w:line="560" w:lineRule="exact"/>
              <w:rPr>
                <w:rFonts w:hint="eastAsia" w:ascii="宋体" w:hAnsi="宋体" w:eastAsia="宋体" w:cs="宋体"/>
                <w:color w:val="auto"/>
                <w:sz w:val="24"/>
                <w:szCs w:val="24"/>
                <w:highlight w:val="none"/>
              </w:rPr>
            </w:pPr>
          </w:p>
        </w:tc>
        <w:tc>
          <w:tcPr>
            <w:tcW w:w="7568" w:type="dxa"/>
            <w:vAlign w:val="center"/>
          </w:tcPr>
          <w:p w14:paraId="611385EA">
            <w:pPr>
              <w:spacing w:line="560" w:lineRule="exact"/>
              <w:rPr>
                <w:rFonts w:hint="eastAsia" w:ascii="宋体" w:hAnsi="宋体" w:eastAsia="宋体" w:cs="宋体"/>
                <w:color w:val="auto"/>
                <w:sz w:val="24"/>
                <w:szCs w:val="24"/>
                <w:highlight w:val="none"/>
              </w:rPr>
            </w:pPr>
          </w:p>
        </w:tc>
      </w:tr>
      <w:tr w14:paraId="4AA11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8C18170">
            <w:pPr>
              <w:spacing w:line="560" w:lineRule="exact"/>
              <w:rPr>
                <w:rFonts w:hint="eastAsia" w:ascii="宋体" w:hAnsi="宋体" w:eastAsia="宋体" w:cs="宋体"/>
                <w:color w:val="auto"/>
                <w:sz w:val="24"/>
                <w:szCs w:val="24"/>
                <w:highlight w:val="none"/>
              </w:rPr>
            </w:pPr>
          </w:p>
        </w:tc>
        <w:tc>
          <w:tcPr>
            <w:tcW w:w="7568" w:type="dxa"/>
            <w:vAlign w:val="center"/>
          </w:tcPr>
          <w:p w14:paraId="728B2346">
            <w:pPr>
              <w:spacing w:line="560" w:lineRule="exact"/>
              <w:rPr>
                <w:rFonts w:hint="eastAsia" w:ascii="宋体" w:hAnsi="宋体" w:eastAsia="宋体" w:cs="宋体"/>
                <w:color w:val="auto"/>
                <w:sz w:val="24"/>
                <w:szCs w:val="24"/>
                <w:highlight w:val="none"/>
              </w:rPr>
            </w:pPr>
          </w:p>
        </w:tc>
      </w:tr>
      <w:tr w14:paraId="2F6F8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4A51C9F">
            <w:pPr>
              <w:spacing w:line="560" w:lineRule="exact"/>
              <w:rPr>
                <w:rFonts w:hint="eastAsia" w:ascii="宋体" w:hAnsi="宋体" w:eastAsia="宋体" w:cs="宋体"/>
                <w:color w:val="auto"/>
                <w:sz w:val="24"/>
                <w:szCs w:val="24"/>
                <w:highlight w:val="none"/>
              </w:rPr>
            </w:pPr>
          </w:p>
        </w:tc>
        <w:tc>
          <w:tcPr>
            <w:tcW w:w="7568" w:type="dxa"/>
            <w:vAlign w:val="center"/>
          </w:tcPr>
          <w:p w14:paraId="41CA5680">
            <w:pPr>
              <w:spacing w:line="560" w:lineRule="exact"/>
              <w:rPr>
                <w:rFonts w:hint="eastAsia" w:ascii="宋体" w:hAnsi="宋体" w:eastAsia="宋体" w:cs="宋体"/>
                <w:color w:val="auto"/>
                <w:sz w:val="24"/>
                <w:szCs w:val="24"/>
                <w:highlight w:val="none"/>
                <w:u w:val="single"/>
              </w:rPr>
            </w:pPr>
          </w:p>
        </w:tc>
      </w:tr>
      <w:tr w14:paraId="3E013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9316856">
            <w:pPr>
              <w:spacing w:line="560" w:lineRule="exact"/>
              <w:rPr>
                <w:rFonts w:hint="eastAsia" w:ascii="宋体" w:hAnsi="宋体" w:eastAsia="宋体" w:cs="宋体"/>
                <w:color w:val="auto"/>
                <w:sz w:val="24"/>
                <w:szCs w:val="24"/>
                <w:highlight w:val="none"/>
              </w:rPr>
            </w:pPr>
          </w:p>
        </w:tc>
        <w:tc>
          <w:tcPr>
            <w:tcW w:w="7568" w:type="dxa"/>
            <w:vAlign w:val="center"/>
          </w:tcPr>
          <w:p w14:paraId="5CD2BDDA">
            <w:pPr>
              <w:spacing w:line="560" w:lineRule="exact"/>
              <w:rPr>
                <w:rFonts w:hint="eastAsia" w:ascii="宋体" w:hAnsi="宋体" w:eastAsia="宋体" w:cs="宋体"/>
                <w:color w:val="auto"/>
                <w:sz w:val="24"/>
                <w:szCs w:val="24"/>
                <w:highlight w:val="none"/>
              </w:rPr>
            </w:pPr>
          </w:p>
        </w:tc>
      </w:tr>
      <w:tr w14:paraId="3FED0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345B688D">
            <w:pPr>
              <w:spacing w:line="560" w:lineRule="exact"/>
              <w:rPr>
                <w:rFonts w:hint="eastAsia" w:ascii="宋体" w:hAnsi="宋体" w:eastAsia="宋体" w:cs="宋体"/>
                <w:color w:val="auto"/>
                <w:sz w:val="24"/>
                <w:szCs w:val="24"/>
                <w:highlight w:val="none"/>
              </w:rPr>
            </w:pPr>
          </w:p>
        </w:tc>
        <w:tc>
          <w:tcPr>
            <w:tcW w:w="7568" w:type="dxa"/>
            <w:vAlign w:val="center"/>
          </w:tcPr>
          <w:p w14:paraId="7E92421C">
            <w:pPr>
              <w:spacing w:line="560" w:lineRule="exact"/>
              <w:rPr>
                <w:rFonts w:hint="eastAsia" w:ascii="宋体" w:hAnsi="宋体" w:eastAsia="宋体" w:cs="宋体"/>
                <w:color w:val="auto"/>
                <w:sz w:val="24"/>
                <w:szCs w:val="24"/>
                <w:highlight w:val="none"/>
                <w:u w:val="single"/>
              </w:rPr>
            </w:pPr>
          </w:p>
        </w:tc>
      </w:tr>
      <w:tr w14:paraId="7AA8F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43B5D46E">
            <w:pPr>
              <w:spacing w:line="560" w:lineRule="exact"/>
              <w:rPr>
                <w:rFonts w:hint="eastAsia" w:ascii="宋体" w:hAnsi="宋体" w:eastAsia="宋体" w:cs="宋体"/>
                <w:color w:val="auto"/>
                <w:sz w:val="24"/>
                <w:szCs w:val="24"/>
                <w:highlight w:val="none"/>
              </w:rPr>
            </w:pPr>
          </w:p>
        </w:tc>
        <w:tc>
          <w:tcPr>
            <w:tcW w:w="7568" w:type="dxa"/>
            <w:vAlign w:val="center"/>
          </w:tcPr>
          <w:p w14:paraId="4A52371D">
            <w:pPr>
              <w:spacing w:line="560" w:lineRule="exact"/>
              <w:rPr>
                <w:rFonts w:hint="eastAsia" w:ascii="宋体" w:hAnsi="宋体" w:eastAsia="宋体" w:cs="宋体"/>
                <w:color w:val="auto"/>
                <w:sz w:val="24"/>
                <w:szCs w:val="24"/>
                <w:highlight w:val="none"/>
              </w:rPr>
            </w:pPr>
          </w:p>
        </w:tc>
      </w:tr>
      <w:tr w14:paraId="220B9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CD534FB">
            <w:pPr>
              <w:spacing w:line="560" w:lineRule="exact"/>
              <w:rPr>
                <w:rFonts w:hint="eastAsia" w:ascii="宋体" w:hAnsi="宋体" w:eastAsia="宋体" w:cs="宋体"/>
                <w:color w:val="auto"/>
                <w:sz w:val="24"/>
                <w:szCs w:val="24"/>
                <w:highlight w:val="none"/>
              </w:rPr>
            </w:pPr>
          </w:p>
        </w:tc>
        <w:tc>
          <w:tcPr>
            <w:tcW w:w="7568" w:type="dxa"/>
            <w:vAlign w:val="center"/>
          </w:tcPr>
          <w:p w14:paraId="6035952A">
            <w:pPr>
              <w:spacing w:line="560" w:lineRule="exact"/>
              <w:rPr>
                <w:rFonts w:hint="eastAsia" w:ascii="宋体" w:hAnsi="宋体" w:eastAsia="宋体" w:cs="宋体"/>
                <w:color w:val="auto"/>
                <w:sz w:val="24"/>
                <w:szCs w:val="24"/>
                <w:highlight w:val="none"/>
              </w:rPr>
            </w:pPr>
          </w:p>
        </w:tc>
      </w:tr>
      <w:tr w14:paraId="00AFC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45C13F9E">
            <w:pPr>
              <w:spacing w:line="560" w:lineRule="exact"/>
              <w:rPr>
                <w:rFonts w:hint="eastAsia" w:ascii="宋体" w:hAnsi="宋体" w:eastAsia="宋体" w:cs="宋体"/>
                <w:color w:val="auto"/>
                <w:sz w:val="24"/>
                <w:szCs w:val="24"/>
                <w:highlight w:val="none"/>
              </w:rPr>
            </w:pPr>
          </w:p>
        </w:tc>
        <w:tc>
          <w:tcPr>
            <w:tcW w:w="7568" w:type="dxa"/>
            <w:vAlign w:val="center"/>
          </w:tcPr>
          <w:p w14:paraId="3AE9AB17">
            <w:pPr>
              <w:spacing w:line="560" w:lineRule="exact"/>
              <w:rPr>
                <w:rFonts w:hint="eastAsia" w:ascii="宋体" w:hAnsi="宋体" w:eastAsia="宋体" w:cs="宋体"/>
                <w:color w:val="auto"/>
                <w:sz w:val="24"/>
                <w:szCs w:val="24"/>
                <w:highlight w:val="none"/>
              </w:rPr>
            </w:pPr>
          </w:p>
        </w:tc>
      </w:tr>
      <w:tr w14:paraId="3EE9C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62A2E4F5">
            <w:pPr>
              <w:spacing w:line="560" w:lineRule="exact"/>
              <w:rPr>
                <w:rFonts w:hint="eastAsia"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0966F80C">
            <w:pPr>
              <w:spacing w:line="560" w:lineRule="exact"/>
              <w:rPr>
                <w:rFonts w:hint="eastAsia" w:ascii="宋体" w:hAnsi="宋体" w:eastAsia="宋体" w:cs="宋体"/>
                <w:color w:val="auto"/>
                <w:sz w:val="24"/>
                <w:szCs w:val="24"/>
                <w:highlight w:val="none"/>
              </w:rPr>
            </w:pPr>
          </w:p>
        </w:tc>
      </w:tr>
      <w:tr w14:paraId="504B1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0E06642C">
            <w:pPr>
              <w:spacing w:line="560" w:lineRule="exact"/>
              <w:rPr>
                <w:rFonts w:hint="eastAsia"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48D2113A">
            <w:pPr>
              <w:spacing w:line="560" w:lineRule="exact"/>
              <w:rPr>
                <w:rFonts w:hint="eastAsia" w:ascii="宋体" w:hAnsi="宋体" w:eastAsia="宋体" w:cs="宋体"/>
                <w:color w:val="auto"/>
                <w:sz w:val="24"/>
                <w:szCs w:val="24"/>
                <w:highlight w:val="none"/>
              </w:rPr>
            </w:pPr>
          </w:p>
        </w:tc>
      </w:tr>
    </w:tbl>
    <w:p w14:paraId="1FAB85DE">
      <w:pPr>
        <w:spacing w:line="360" w:lineRule="auto"/>
        <w:rPr>
          <w:rFonts w:asciiTheme="minorEastAsia" w:hAnsiTheme="minorEastAsia" w:eastAsiaTheme="minorEastAsia"/>
          <w:color w:val="auto"/>
          <w:sz w:val="24"/>
          <w:highlight w:val="none"/>
        </w:rPr>
      </w:pPr>
    </w:p>
    <w:p w14:paraId="02ABD43E">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bookmarkEnd w:id="615"/>
    <w:p w14:paraId="557A8F2F">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bookmarkStart w:id="846" w:name="_Toc155185919"/>
    </w:p>
    <w:p w14:paraId="72D513E7">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p>
    <w:p w14:paraId="5CAF3138">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847" w:name="_Toc8852"/>
      <w:r>
        <w:rPr>
          <w:rFonts w:hint="eastAsia" w:ascii="宋体" w:hAnsi="宋体" w:eastAsia="宋体" w:cs="宋体"/>
          <w:b/>
          <w:bCs/>
          <w:color w:val="auto"/>
          <w:kern w:val="44"/>
          <w:sz w:val="36"/>
          <w:szCs w:val="36"/>
          <w:highlight w:val="none"/>
          <w:lang w:val="en-US" w:eastAsia="zh-CN" w:bidi="ar-SA"/>
        </w:rPr>
        <w:t>第七章 投标文件格式</w:t>
      </w:r>
      <w:bookmarkEnd w:id="846"/>
      <w:bookmarkEnd w:id="847"/>
    </w:p>
    <w:p w14:paraId="20B1063D">
      <w:pPr>
        <w:ind w:left="240" w:leftChars="100" w:firstLine="480" w:firstLineChars="200"/>
        <w:rPr>
          <w:rFonts w:cs="仿宋_GB2312"/>
          <w:color w:val="auto"/>
          <w:szCs w:val="24"/>
          <w:highlight w:val="none"/>
        </w:rPr>
      </w:pPr>
    </w:p>
    <w:p w14:paraId="29D44C55">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80" w:firstLineChars="200"/>
        <w:rPr>
          <w:rFonts w:hint="eastAsia" w:cs="仿宋_GB2312"/>
          <w:color w:val="auto"/>
          <w:szCs w:val="24"/>
          <w:highlight w:val="none"/>
          <w:lang w:val="zh-CN"/>
        </w:rPr>
      </w:pPr>
    </w:p>
    <w:p w14:paraId="3D40132F">
      <w:pPr>
        <w:ind w:firstLine="480" w:firstLineChars="200"/>
        <w:rPr>
          <w:rFonts w:hint="eastAsia" w:cs="仿宋_GB2312"/>
          <w:color w:val="auto"/>
          <w:szCs w:val="24"/>
          <w:highlight w:val="none"/>
          <w:lang w:val="zh-CN"/>
        </w:rPr>
      </w:pPr>
    </w:p>
    <w:p w14:paraId="375DA883">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466A4DC">
      <w:pPr>
        <w:autoSpaceDE w:val="0"/>
        <w:autoSpaceDN w:val="0"/>
        <w:adjustRightInd w:val="0"/>
        <w:rPr>
          <w:color w:val="auto"/>
          <w:sz w:val="21"/>
          <w:szCs w:val="24"/>
          <w:highlight w:val="none"/>
        </w:rPr>
      </w:pPr>
    </w:p>
    <w:p w14:paraId="445E5BF7">
      <w:pPr>
        <w:autoSpaceDE w:val="0"/>
        <w:autoSpaceDN w:val="0"/>
        <w:adjustRightInd w:val="0"/>
        <w:rPr>
          <w:color w:val="auto"/>
          <w:sz w:val="21"/>
          <w:szCs w:val="24"/>
          <w:highlight w:val="none"/>
        </w:rPr>
      </w:pPr>
    </w:p>
    <w:p w14:paraId="4BD0E164">
      <w:pPr>
        <w:autoSpaceDE w:val="0"/>
        <w:autoSpaceDN w:val="0"/>
        <w:adjustRightInd w:val="0"/>
        <w:jc w:val="center"/>
        <w:rPr>
          <w:color w:val="auto"/>
          <w:sz w:val="21"/>
          <w:szCs w:val="24"/>
          <w:highlight w:val="none"/>
        </w:rPr>
      </w:pPr>
    </w:p>
    <w:p w14:paraId="2280C3BA">
      <w:pPr>
        <w:pStyle w:val="4"/>
        <w:bidi w:val="0"/>
        <w:jc w:val="center"/>
        <w:rPr>
          <w:sz w:val="84"/>
          <w:szCs w:val="84"/>
          <w:highlight w:val="none"/>
        </w:rPr>
      </w:pPr>
      <w:bookmarkStart w:id="848" w:name="_Toc8583"/>
      <w:r>
        <w:rPr>
          <w:rFonts w:hint="eastAsia"/>
          <w:sz w:val="84"/>
          <w:szCs w:val="84"/>
          <w:highlight w:val="none"/>
        </w:rPr>
        <w:t>投 标 文 件</w:t>
      </w:r>
      <w:bookmarkEnd w:id="848"/>
    </w:p>
    <w:p w14:paraId="0FA5F802">
      <w:pPr>
        <w:pStyle w:val="4"/>
        <w:bidi w:val="0"/>
        <w:spacing w:before="0" w:after="0" w:line="240" w:lineRule="auto"/>
        <w:jc w:val="center"/>
        <w:rPr>
          <w:sz w:val="56"/>
          <w:szCs w:val="56"/>
          <w:highlight w:val="none"/>
        </w:rPr>
      </w:pPr>
      <w:bookmarkStart w:id="849" w:name="_Toc20536"/>
      <w:r>
        <w:rPr>
          <w:rFonts w:hint="eastAsia"/>
          <w:sz w:val="56"/>
          <w:szCs w:val="56"/>
          <w:highlight w:val="none"/>
        </w:rPr>
        <w:t>资格证明文件</w:t>
      </w:r>
      <w:bookmarkEnd w:id="849"/>
    </w:p>
    <w:p w14:paraId="66E88D4F">
      <w:pPr>
        <w:autoSpaceDE w:val="0"/>
        <w:autoSpaceDN w:val="0"/>
        <w:adjustRightInd w:val="0"/>
        <w:rPr>
          <w:b/>
          <w:bCs/>
          <w:color w:val="auto"/>
          <w:sz w:val="22"/>
          <w:highlight w:val="none"/>
        </w:rPr>
      </w:pPr>
    </w:p>
    <w:p w14:paraId="537F8D86">
      <w:pPr>
        <w:autoSpaceDE w:val="0"/>
        <w:autoSpaceDN w:val="0"/>
        <w:adjustRightInd w:val="0"/>
        <w:jc w:val="center"/>
        <w:rPr>
          <w:rFonts w:hint="eastAsia" w:eastAsia="宋体"/>
          <w:color w:val="auto"/>
          <w:sz w:val="36"/>
          <w:szCs w:val="36"/>
          <w:highlight w:val="none"/>
          <w:lang w:eastAsia="zh-CN"/>
        </w:rPr>
      </w:pPr>
    </w:p>
    <w:p w14:paraId="026E8C70">
      <w:pPr>
        <w:autoSpaceDE w:val="0"/>
        <w:autoSpaceDN w:val="0"/>
        <w:adjustRightInd w:val="0"/>
        <w:rPr>
          <w:color w:val="auto"/>
          <w:sz w:val="21"/>
          <w:szCs w:val="21"/>
          <w:highlight w:val="none"/>
        </w:rPr>
      </w:pPr>
    </w:p>
    <w:p w14:paraId="2874C375">
      <w:pPr>
        <w:keepNext/>
        <w:keepLines/>
        <w:pageBreakBefore w:val="0"/>
        <w:widowControl w:val="0"/>
        <w:kinsoku/>
        <w:wordWrap/>
        <w:overflowPunct/>
        <w:topLinePunct w:val="0"/>
        <w:autoSpaceDE/>
        <w:autoSpaceDN/>
        <w:bidi w:val="0"/>
        <w:adjustRightInd/>
        <w:snapToGrid/>
        <w:spacing w:line="416" w:lineRule="auto"/>
        <w:textAlignment w:val="auto"/>
        <w:outlineLvl w:val="9"/>
        <w:rPr>
          <w:color w:val="auto"/>
          <w:highlight w:val="none"/>
        </w:rPr>
      </w:pPr>
    </w:p>
    <w:p w14:paraId="2085130F">
      <w:pPr>
        <w:autoSpaceDE w:val="0"/>
        <w:autoSpaceDN w:val="0"/>
        <w:adjustRightInd w:val="0"/>
        <w:rPr>
          <w:color w:val="auto"/>
          <w:sz w:val="21"/>
          <w:szCs w:val="21"/>
          <w:highlight w:val="none"/>
        </w:rPr>
      </w:pPr>
    </w:p>
    <w:p w14:paraId="39700BDA">
      <w:pPr>
        <w:autoSpaceDE w:val="0"/>
        <w:autoSpaceDN w:val="0"/>
        <w:adjustRightInd w:val="0"/>
        <w:rPr>
          <w:color w:val="auto"/>
          <w:sz w:val="21"/>
          <w:szCs w:val="21"/>
          <w:highlight w:val="none"/>
        </w:rPr>
      </w:pPr>
    </w:p>
    <w:p w14:paraId="6334E3E2">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项目编号/包号：</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A643116">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项目名称：</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710CA7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A39596D">
      <w:pPr>
        <w:ind w:left="840" w:firstLine="420"/>
        <w:rPr>
          <w:b/>
          <w:bCs/>
          <w:color w:val="auto"/>
          <w:sz w:val="28"/>
          <w:szCs w:val="28"/>
          <w:highlight w:val="none"/>
        </w:rPr>
      </w:pPr>
    </w:p>
    <w:p w14:paraId="0613F091">
      <w:pPr>
        <w:ind w:left="840" w:firstLine="420"/>
        <w:rPr>
          <w:b/>
          <w:bCs/>
          <w:color w:val="auto"/>
          <w:sz w:val="28"/>
          <w:szCs w:val="28"/>
          <w:highlight w:val="none"/>
        </w:rPr>
      </w:pPr>
    </w:p>
    <w:p w14:paraId="2330D405">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4"/>
        <w:bidi w:val="0"/>
        <w:rPr>
          <w:rFonts w:hint="eastAsia"/>
          <w:sz w:val="28"/>
          <w:szCs w:val="28"/>
          <w:highlight w:val="none"/>
          <w:lang w:val="en-US" w:eastAsia="zh-CN"/>
        </w:rPr>
      </w:pPr>
      <w:bookmarkStart w:id="850" w:name="_Toc9596"/>
      <w:bookmarkStart w:id="851" w:name="_Toc155185927"/>
      <w:r>
        <w:rPr>
          <w:rFonts w:hint="eastAsia"/>
          <w:sz w:val="28"/>
          <w:szCs w:val="28"/>
          <w:highlight w:val="none"/>
          <w:lang w:val="en-US" w:eastAsia="zh-CN"/>
        </w:rPr>
        <w:t>一、满足《中华人民共和国政府采购法》第二十二条规定</w:t>
      </w:r>
      <w:bookmarkEnd w:id="850"/>
    </w:p>
    <w:bookmarkEnd w:id="851"/>
    <w:p w14:paraId="4C03246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2881C9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CA280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4C09FD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323934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47F836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r>
        <w:rPr>
          <w:rFonts w:hint="eastAsia" w:cs="宋体"/>
          <w:b w:val="0"/>
          <w:bCs w:val="0"/>
          <w:color w:val="auto"/>
          <w:kern w:val="0"/>
          <w:sz w:val="24"/>
          <w:szCs w:val="24"/>
          <w:highlight w:val="none"/>
          <w:lang w:val="en-US" w:eastAsia="zh-CN"/>
        </w:rPr>
        <w:t>。</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2FE2A9CA">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p w14:paraId="6FC7F68F">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852" w:name="_Toc23771"/>
      <w:bookmarkStart w:id="853" w:name="_Toc5593"/>
      <w:bookmarkStart w:id="854" w:name="_Toc15114"/>
      <w:r>
        <w:rPr>
          <w:rFonts w:hint="eastAsia" w:eastAsia="宋体" w:cstheme="majorBidi"/>
          <w:b/>
          <w:bCs/>
          <w:color w:val="auto"/>
          <w:kern w:val="2"/>
          <w:sz w:val="24"/>
          <w:szCs w:val="24"/>
          <w:highlight w:val="none"/>
          <w:lang w:val="en-US" w:eastAsia="zh-CN" w:bidi="ar-SA"/>
        </w:rPr>
        <w:t>（二）兵团政府采购供应商信用承诺函</w:t>
      </w:r>
      <w:bookmarkEnd w:id="852"/>
      <w:bookmarkEnd w:id="853"/>
      <w:bookmarkEnd w:id="854"/>
    </w:p>
    <w:p w14:paraId="695B752A">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BF1CBCB">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14E343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F4CE840">
      <w:pPr>
        <w:spacing w:line="560" w:lineRule="exact"/>
        <w:ind w:firstLine="480" w:firstLineChars="200"/>
        <w:rPr>
          <w:rFonts w:hint="eastAsia" w:ascii="宋体" w:hAnsi="宋体" w:eastAsia="宋体" w:cs="宋体"/>
          <w:color w:val="auto"/>
          <w:kern w:val="0"/>
          <w:sz w:val="24"/>
          <w:szCs w:val="24"/>
          <w:highlight w:val="none"/>
        </w:rPr>
      </w:pPr>
    </w:p>
    <w:p w14:paraId="776D870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353CD750">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6C579D2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1253879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550B1CDF">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221E549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56D831A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126A1FC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48BFD22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30747A83">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663B752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B6C39AD">
      <w:pPr>
        <w:spacing w:line="560" w:lineRule="exact"/>
        <w:rPr>
          <w:rFonts w:hint="eastAsia" w:ascii="宋体" w:hAnsi="宋体" w:eastAsia="宋体" w:cs="宋体"/>
          <w:color w:val="auto"/>
          <w:kern w:val="0"/>
          <w:sz w:val="24"/>
          <w:szCs w:val="24"/>
          <w:highlight w:val="none"/>
        </w:rPr>
      </w:pPr>
    </w:p>
    <w:p w14:paraId="49F57DB1">
      <w:pPr>
        <w:spacing w:line="560" w:lineRule="exact"/>
        <w:rPr>
          <w:rFonts w:hint="eastAsia" w:ascii="宋体" w:hAnsi="宋体" w:eastAsia="宋体" w:cs="宋体"/>
          <w:color w:val="auto"/>
          <w:kern w:val="0"/>
          <w:sz w:val="24"/>
          <w:szCs w:val="24"/>
          <w:highlight w:val="none"/>
        </w:rPr>
      </w:pPr>
    </w:p>
    <w:p w14:paraId="5AA4881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5C65A8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24E5AD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2CB41018">
      <w:pPr>
        <w:widowControl/>
        <w:spacing w:line="560" w:lineRule="exact"/>
        <w:ind w:firstLine="630"/>
        <w:jc w:val="left"/>
        <w:rPr>
          <w:rFonts w:hint="eastAsia" w:ascii="宋体" w:hAnsi="宋体" w:eastAsia="宋体" w:cs="宋体"/>
          <w:color w:val="auto"/>
          <w:kern w:val="0"/>
          <w:sz w:val="24"/>
          <w:szCs w:val="24"/>
          <w:highlight w:val="none"/>
        </w:rPr>
      </w:pPr>
    </w:p>
    <w:p w14:paraId="67DF1B87">
      <w:pPr>
        <w:rPr>
          <w:rFonts w:ascii="Arial" w:hAnsi="Arial" w:cs="Arial"/>
          <w:color w:val="auto"/>
          <w:szCs w:val="21"/>
          <w:highlight w:val="none"/>
        </w:rPr>
      </w:pPr>
      <w:r>
        <w:rPr>
          <w:rFonts w:ascii="Arial" w:hAnsi="Arial" w:cs="Arial"/>
          <w:color w:val="auto"/>
          <w:szCs w:val="21"/>
          <w:highlight w:val="none"/>
        </w:rPr>
        <w:br w:type="page"/>
      </w:r>
    </w:p>
    <w:p w14:paraId="70BE810B">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855" w:name="_Toc109900336"/>
      <w:bookmarkStart w:id="856" w:name="_Toc163492923"/>
      <w:bookmarkStart w:id="857" w:name="_Toc140132840"/>
      <w:bookmarkStart w:id="858" w:name="_Toc109899917"/>
      <w:bookmarkStart w:id="859" w:name="_Toc155185930"/>
      <w:bookmarkStart w:id="860" w:name="_Toc109899498"/>
      <w:bookmarkStart w:id="861" w:name="_Toc30644"/>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855"/>
      <w:bookmarkEnd w:id="856"/>
      <w:bookmarkEnd w:id="857"/>
      <w:bookmarkEnd w:id="858"/>
      <w:bookmarkEnd w:id="859"/>
      <w:bookmarkEnd w:id="860"/>
      <w:bookmarkStart w:id="862" w:name="_Toc155185931"/>
      <w:r>
        <w:rPr>
          <w:rFonts w:hint="eastAsia" w:eastAsia="宋体" w:asciiTheme="majorHAnsi" w:hAnsiTheme="majorHAnsi" w:cstheme="majorBidi"/>
          <w:b/>
          <w:bCs/>
          <w:color w:val="auto"/>
          <w:kern w:val="2"/>
          <w:sz w:val="28"/>
          <w:szCs w:val="28"/>
          <w:highlight w:val="none"/>
          <w:lang w:val="zh-CN" w:eastAsia="zh-CN" w:bidi="ar-SA"/>
        </w:rPr>
        <w:t>联合体协议书</w:t>
      </w:r>
      <w:bookmarkEnd w:id="862"/>
      <w:r>
        <w:rPr>
          <w:rFonts w:hint="eastAsia" w:ascii="宋体" w:hAnsi="宋体" w:eastAsia="宋体" w:cstheme="minorBidi"/>
          <w:b w:val="0"/>
          <w:bCs w:val="0"/>
          <w:color w:val="auto"/>
          <w:kern w:val="2"/>
          <w:sz w:val="28"/>
          <w:szCs w:val="28"/>
          <w:highlight w:val="none"/>
          <w:lang w:val="zh-CN" w:eastAsia="zh-CN" w:bidi="ar-SA"/>
        </w:rPr>
        <w:t>【如适用】</w:t>
      </w:r>
      <w:bookmarkEnd w:id="861"/>
    </w:p>
    <w:p w14:paraId="39563C7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宋体" w:hAnsi="宋体" w:cs="宋体"/>
          <w:b/>
          <w:color w:val="auto"/>
          <w:kern w:val="0"/>
          <w:sz w:val="32"/>
          <w:szCs w:val="32"/>
          <w:highlight w:val="none"/>
        </w:rPr>
      </w:pPr>
    </w:p>
    <w:p w14:paraId="23E3BC9F">
      <w:pPr>
        <w:snapToGrid w:val="0"/>
        <w:spacing w:line="360" w:lineRule="auto"/>
        <w:jc w:val="center"/>
        <w:outlineLvl w:val="0"/>
        <w:rPr>
          <w:rFonts w:hint="eastAsia" w:ascii="宋体" w:hAnsi="宋体" w:cs="宋体"/>
          <w:b/>
          <w:color w:val="auto"/>
          <w:kern w:val="0"/>
          <w:sz w:val="32"/>
          <w:szCs w:val="32"/>
          <w:highlight w:val="none"/>
        </w:rPr>
      </w:pPr>
      <w:bookmarkStart w:id="863" w:name="_Toc6437"/>
      <w:bookmarkStart w:id="864" w:name="_Toc631"/>
      <w:bookmarkStart w:id="865" w:name="_Toc28414"/>
      <w:r>
        <w:rPr>
          <w:rFonts w:hint="eastAsia" w:ascii="宋体" w:hAnsi="宋体" w:cs="宋体"/>
          <w:b/>
          <w:color w:val="auto"/>
          <w:kern w:val="0"/>
          <w:sz w:val="32"/>
          <w:szCs w:val="32"/>
          <w:highlight w:val="none"/>
        </w:rPr>
        <w:t>联合体协议书</w:t>
      </w:r>
      <w:bookmarkEnd w:id="863"/>
      <w:bookmarkEnd w:id="864"/>
      <w:bookmarkEnd w:id="865"/>
    </w:p>
    <w:p w14:paraId="6795462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项目编号/包号：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86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866"/>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w:t>
      </w:r>
      <w:r>
        <w:rPr>
          <w:rFonts w:hint="eastAsia" w:cs="宋体"/>
          <w:color w:val="auto"/>
          <w:kern w:val="0"/>
          <w:sz w:val="24"/>
          <w:highlight w:val="none"/>
          <w:lang w:val="en-US" w:eastAsia="zh-CN"/>
        </w:rPr>
        <w:t>服务及</w:t>
      </w:r>
      <w:r>
        <w:rPr>
          <w:rFonts w:hint="eastAsia" w:ascii="宋体" w:hAnsi="宋体" w:cs="宋体"/>
          <w:color w:val="auto"/>
          <w:kern w:val="0"/>
          <w:sz w:val="24"/>
          <w:highlight w:val="none"/>
        </w:rPr>
        <w:t>货物由小微企业</w:t>
      </w:r>
      <w:r>
        <w:rPr>
          <w:rFonts w:hint="eastAsia" w:cs="宋体"/>
          <w:color w:val="auto"/>
          <w:kern w:val="0"/>
          <w:sz w:val="24"/>
          <w:highlight w:val="none"/>
          <w:lang w:val="en-US" w:eastAsia="zh-CN"/>
        </w:rPr>
        <w:t>提供和</w:t>
      </w:r>
      <w:r>
        <w:rPr>
          <w:rFonts w:hint="eastAsia" w:ascii="宋体" w:hAnsi="宋体" w:cs="宋体"/>
          <w:color w:val="auto"/>
          <w:kern w:val="0"/>
          <w:sz w:val="24"/>
          <w:highlight w:val="none"/>
        </w:rPr>
        <w:t>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75ABC4BD">
      <w:pPr>
        <w:snapToGrid w:val="0"/>
        <w:spacing w:line="360" w:lineRule="auto"/>
        <w:ind w:firstLine="576"/>
        <w:rPr>
          <w:rFonts w:hint="eastAsia" w:ascii="宋体" w:hAnsi="宋体" w:cs="宋体"/>
          <w:color w:val="auto"/>
          <w:kern w:val="0"/>
          <w:sz w:val="24"/>
          <w:highlight w:val="none"/>
          <w:lang w:val="zh-CN"/>
        </w:rPr>
      </w:pPr>
    </w:p>
    <w:p w14:paraId="4D791421">
      <w:pPr>
        <w:snapToGrid w:val="0"/>
        <w:spacing w:line="360" w:lineRule="auto"/>
        <w:ind w:firstLine="576"/>
        <w:rPr>
          <w:rFonts w:hint="eastAsia" w:ascii="宋体" w:hAnsi="宋体" w:cs="宋体"/>
          <w:color w:val="auto"/>
          <w:kern w:val="0"/>
          <w:sz w:val="24"/>
          <w:highlight w:val="none"/>
          <w:lang w:val="zh-CN"/>
        </w:rPr>
      </w:pPr>
    </w:p>
    <w:p w14:paraId="1BE31DA1">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F94648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54D30BD">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867" w:name="_Toc162299566"/>
      <w:bookmarkStart w:id="868" w:name="_Toc156490356"/>
      <w:bookmarkStart w:id="869" w:name="_Toc13324"/>
      <w:bookmarkStart w:id="870" w:name="_Hlk101169080"/>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867"/>
      <w:bookmarkEnd w:id="868"/>
      <w:bookmarkEnd w:id="869"/>
    </w:p>
    <w:p w14:paraId="72EF9FB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宋体" w:hAnsi="宋体" w:cs="宋体"/>
          <w:b/>
          <w:color w:val="auto"/>
          <w:kern w:val="0"/>
          <w:sz w:val="32"/>
          <w:szCs w:val="32"/>
          <w:highlight w:val="none"/>
        </w:rPr>
      </w:pPr>
    </w:p>
    <w:p w14:paraId="7214AD2B">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871" w:name="_Toc1184"/>
      <w:bookmarkStart w:id="872" w:name="_Toc24460"/>
      <w:bookmarkStart w:id="873" w:name="_Toc16974"/>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871"/>
      <w:bookmarkEnd w:id="872"/>
      <w:bookmarkEnd w:id="873"/>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 xml:space="preserve">项目编号/包号：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keepNext/>
        <w:keepLines/>
        <w:pageBreakBefore w:val="0"/>
        <w:widowControl w:val="0"/>
        <w:tabs>
          <w:tab w:val="left" w:pos="432"/>
        </w:tabs>
        <w:kinsoku/>
        <w:wordWrap/>
        <w:overflowPunct/>
        <w:topLinePunct w:val="0"/>
        <w:autoSpaceDE/>
        <w:autoSpaceDN/>
        <w:bidi w:val="0"/>
        <w:adjustRightInd/>
        <w:snapToGrid/>
        <w:spacing w:line="416" w:lineRule="auto"/>
        <w:ind w:left="758" w:leftChars="316" w:firstLine="228" w:firstLineChars="95"/>
        <w:textAlignment w:val="auto"/>
        <w:outlineLvl w:val="9"/>
        <w:rPr>
          <w:rFonts w:ascii="宋体" w:hAnsi="宋体" w:eastAsia="宋体" w:cs="宋体"/>
          <w:color w:val="auto"/>
          <w:kern w:val="0"/>
          <w:sz w:val="24"/>
          <w:szCs w:val="24"/>
          <w:highlight w:val="none"/>
        </w:rPr>
      </w:pPr>
      <w:bookmarkStart w:id="874" w:name="_Toc7988"/>
      <w:bookmarkStart w:id="875" w:name="_Toc29070"/>
      <w:r>
        <w:rPr>
          <w:rFonts w:hint="eastAsia" w:ascii="宋体" w:hAnsi="宋体" w:eastAsia="宋体" w:cs="宋体"/>
          <w:color w:val="auto"/>
          <w:kern w:val="0"/>
          <w:sz w:val="24"/>
          <w:szCs w:val="24"/>
          <w:highlight w:val="none"/>
        </w:rPr>
        <w:t>……</w:t>
      </w:r>
      <w:bookmarkEnd w:id="874"/>
      <w:bookmarkEnd w:id="875"/>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w:t>
      </w:r>
      <w:r>
        <w:rPr>
          <w:rFonts w:hint="eastAsia" w:cs="宋体"/>
          <w:color w:val="auto"/>
          <w:kern w:val="0"/>
          <w:sz w:val="24"/>
          <w:highlight w:val="none"/>
          <w:u w:val="single"/>
          <w:lang w:val="en-US" w:eastAsia="zh-CN"/>
        </w:rPr>
        <w:t>服务</w:t>
      </w:r>
      <w:r>
        <w:rPr>
          <w:rFonts w:hint="eastAsia" w:ascii="宋体" w:hAnsi="宋体" w:cs="宋体"/>
          <w:color w:val="auto"/>
          <w:kern w:val="0"/>
          <w:sz w:val="24"/>
          <w:highlight w:val="none"/>
          <w:u w:val="single"/>
        </w:rPr>
        <w:t>全部由小微企业</w:t>
      </w:r>
      <w:r>
        <w:rPr>
          <w:rFonts w:hint="eastAsia" w:cs="宋体"/>
          <w:color w:val="auto"/>
          <w:kern w:val="0"/>
          <w:sz w:val="24"/>
          <w:highlight w:val="none"/>
          <w:u w:val="single"/>
          <w:lang w:val="en-US" w:eastAsia="zh-CN"/>
        </w:rPr>
        <w:t>承担</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87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876"/>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DC21D17">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cs="宋体"/>
          <w:color w:val="auto"/>
          <w:kern w:val="0"/>
          <w:sz w:val="24"/>
          <w:highlight w:val="none"/>
          <w:lang w:val="en-US" w:eastAsia="zh-CN"/>
        </w:rPr>
        <w:t xml:space="preserve">     </w:t>
      </w: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2869108">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3AD0D69">
      <w:pPr>
        <w:snapToGrid w:val="0"/>
        <w:spacing w:line="360" w:lineRule="auto"/>
        <w:jc w:val="right"/>
        <w:rPr>
          <w:rFonts w:ascii="宋体" w:hAnsi="宋体" w:cs="宋体"/>
          <w:color w:val="auto"/>
          <w:kern w:val="0"/>
          <w:sz w:val="24"/>
          <w:highlight w:val="none"/>
          <w:lang w:val="zh-CN"/>
        </w:rPr>
      </w:pP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4"/>
          <w:highlight w:val="none"/>
        </w:rPr>
      </w:pPr>
      <w:r>
        <w:rPr>
          <w:rFonts w:hint="eastAsia" w:ascii="宋体" w:hAnsi="宋体" w:cs="宋体"/>
          <w:color w:val="auto"/>
          <w:sz w:val="21"/>
          <w:szCs w:val="21"/>
          <w:highlight w:val="none"/>
        </w:rPr>
        <w:t>注：按本格式和要求提供。</w:t>
      </w:r>
    </w:p>
    <w:p w14:paraId="7F0D76CC">
      <w:pPr>
        <w:topLinePunct/>
        <w:ind w:firstLine="480" w:firstLineChars="200"/>
        <w:rPr>
          <w:rFonts w:hint="eastAsia"/>
          <w:color w:val="auto"/>
          <w:szCs w:val="32"/>
          <w:highlight w:val="none"/>
        </w:rPr>
      </w:pPr>
    </w:p>
    <w:p w14:paraId="5F400CB9">
      <w:pPr>
        <w:topLinePunct/>
        <w:ind w:firstLine="480" w:firstLineChars="200"/>
        <w:rPr>
          <w:rFonts w:hint="eastAsia"/>
          <w:color w:val="auto"/>
          <w:szCs w:val="32"/>
          <w:highlight w:val="none"/>
        </w:rPr>
      </w:pPr>
    </w:p>
    <w:p w14:paraId="11CAF290">
      <w:pPr>
        <w:topLinePunct/>
        <w:ind w:firstLine="480" w:firstLineChars="200"/>
        <w:rPr>
          <w:rFonts w:hint="eastAsia"/>
          <w:color w:val="auto"/>
          <w:szCs w:val="32"/>
          <w:highlight w:val="none"/>
        </w:rPr>
      </w:pPr>
    </w:p>
    <w:p w14:paraId="35CFE103">
      <w:pPr>
        <w:topLinePunct/>
        <w:ind w:firstLine="480" w:firstLineChars="200"/>
        <w:rPr>
          <w:rFonts w:hint="eastAsia"/>
          <w:color w:val="auto"/>
          <w:szCs w:val="32"/>
          <w:highlight w:val="none"/>
        </w:rPr>
      </w:pPr>
    </w:p>
    <w:bookmarkEnd w:id="870"/>
    <w:p w14:paraId="5775F461">
      <w:pPr>
        <w:ind w:left="2520" w:leftChars="1050"/>
        <w:rPr>
          <w:color w:val="auto"/>
          <w:highlight w:val="none"/>
        </w:rPr>
      </w:pPr>
      <w:r>
        <w:rPr>
          <w:rFonts w:cs="Courier New"/>
          <w:color w:val="auto"/>
          <w:szCs w:val="24"/>
          <w:highlight w:val="none"/>
        </w:rPr>
        <w:br w:type="page"/>
      </w:r>
    </w:p>
    <w:p w14:paraId="6C745F3D">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877" w:name="_Toc155185932"/>
      <w:bookmarkStart w:id="878" w:name="_Toc163492926"/>
      <w:bookmarkStart w:id="879" w:name="_Toc9966"/>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877"/>
      <w:bookmarkEnd w:id="878"/>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879"/>
    </w:p>
    <w:p w14:paraId="0076F407">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880" w:name="_Toc163492938"/>
      <w:bookmarkStart w:id="881" w:name="_Toc17038"/>
      <w:bookmarkStart w:id="882" w:name="_Toc8350"/>
      <w:bookmarkStart w:id="883" w:name="_Toc19925"/>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880"/>
      <w:bookmarkEnd w:id="881"/>
      <w:bookmarkEnd w:id="882"/>
      <w:bookmarkEnd w:id="883"/>
    </w:p>
    <w:p w14:paraId="129366EF">
      <w:pPr>
        <w:spacing w:line="300" w:lineRule="auto"/>
        <w:rPr>
          <w:rFonts w:hint="eastAsia" w:ascii="宋体" w:hAnsi="宋体" w:eastAsia="宋体" w:cs="宋体"/>
          <w:color w:val="auto"/>
          <w:sz w:val="24"/>
          <w:szCs w:val="24"/>
          <w:highlight w:val="none"/>
          <w:u w:val="single"/>
          <w:lang w:eastAsia="zh-CN"/>
        </w:rPr>
      </w:pPr>
      <w:r>
        <w:rPr>
          <w:rFonts w:hint="eastAsia" w:cs="宋体"/>
          <w:color w:val="auto"/>
          <w:sz w:val="24"/>
          <w:szCs w:val="24"/>
          <w:highlight w:val="none"/>
          <w:lang w:eastAsia="zh-CN"/>
        </w:rPr>
        <w:t>项目名称：</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eastAsia="zh-CN"/>
        </w:rPr>
        <w:t>项目编号/包号：</w:t>
      </w:r>
      <w:r>
        <w:rPr>
          <w:rFonts w:hint="eastAsia" w:cs="宋体"/>
          <w:color w:val="auto"/>
          <w:sz w:val="24"/>
          <w:szCs w:val="24"/>
          <w:highlight w:val="none"/>
          <w:lang w:val="en-US" w:eastAsia="zh-CN"/>
        </w:rPr>
        <w:t xml:space="preserve"> </w:t>
      </w:r>
    </w:p>
    <w:p w14:paraId="51FADA0E">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214B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9BA53A1">
            <w:pPr>
              <w:pStyle w:val="51"/>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33C66ABB">
            <w:pPr>
              <w:pStyle w:val="51"/>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A6767B6">
            <w:pPr>
              <w:pStyle w:val="51"/>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31DEE91E">
            <w:pPr>
              <w:pStyle w:val="51"/>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BB11F42">
            <w:pPr>
              <w:pStyle w:val="51"/>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146CD78D">
            <w:pPr>
              <w:pStyle w:val="51"/>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52ABF9B6">
            <w:pPr>
              <w:pStyle w:val="51"/>
              <w:jc w:val="center"/>
              <w:rPr>
                <w:color w:val="auto"/>
                <w:sz w:val="21"/>
                <w:szCs w:val="21"/>
                <w:highlight w:val="none"/>
              </w:rPr>
            </w:pPr>
            <w:r>
              <w:rPr>
                <w:rFonts w:hint="eastAsia"/>
                <w:color w:val="auto"/>
                <w:sz w:val="21"/>
                <w:szCs w:val="21"/>
                <w:highlight w:val="none"/>
              </w:rPr>
              <w:t>单价</w:t>
            </w:r>
          </w:p>
          <w:p w14:paraId="022A35EE">
            <w:pPr>
              <w:pStyle w:val="51"/>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47F9C89C">
            <w:pPr>
              <w:pStyle w:val="51"/>
              <w:jc w:val="center"/>
              <w:rPr>
                <w:color w:val="auto"/>
                <w:sz w:val="21"/>
                <w:szCs w:val="21"/>
                <w:highlight w:val="none"/>
              </w:rPr>
            </w:pPr>
            <w:r>
              <w:rPr>
                <w:rFonts w:hint="eastAsia"/>
                <w:color w:val="auto"/>
                <w:sz w:val="21"/>
                <w:szCs w:val="21"/>
                <w:highlight w:val="none"/>
              </w:rPr>
              <w:t>总价</w:t>
            </w:r>
          </w:p>
          <w:p w14:paraId="13E39665">
            <w:pPr>
              <w:pStyle w:val="51"/>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5EF1CA54">
            <w:pPr>
              <w:pStyle w:val="51"/>
              <w:jc w:val="center"/>
              <w:rPr>
                <w:color w:val="auto"/>
                <w:sz w:val="21"/>
                <w:szCs w:val="21"/>
                <w:highlight w:val="none"/>
              </w:rPr>
            </w:pPr>
            <w:r>
              <w:rPr>
                <w:rFonts w:hint="eastAsia"/>
                <w:color w:val="auto"/>
                <w:sz w:val="21"/>
                <w:szCs w:val="21"/>
                <w:highlight w:val="none"/>
              </w:rPr>
              <w:t>属强制采购或优先采购</w:t>
            </w:r>
          </w:p>
        </w:tc>
      </w:tr>
      <w:tr w14:paraId="2E90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ADB00D2">
            <w:pPr>
              <w:pStyle w:val="51"/>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3FEE94B">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10BB06E">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5A5920">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5E1910D">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648ECA9">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264C2E61">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25FE785">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64D763D">
            <w:pPr>
              <w:pStyle w:val="51"/>
              <w:jc w:val="center"/>
              <w:rPr>
                <w:color w:val="auto"/>
                <w:sz w:val="21"/>
                <w:szCs w:val="21"/>
                <w:highlight w:val="none"/>
              </w:rPr>
            </w:pPr>
          </w:p>
        </w:tc>
      </w:tr>
      <w:tr w14:paraId="37C9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FEF61DD">
            <w:pPr>
              <w:pStyle w:val="51"/>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416B1F1">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C36B510">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0AC0C7C">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67CCBE2">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BBEE273">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202F913">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965158B">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778C7D9">
            <w:pPr>
              <w:pStyle w:val="51"/>
              <w:jc w:val="center"/>
              <w:rPr>
                <w:color w:val="auto"/>
                <w:sz w:val="21"/>
                <w:szCs w:val="21"/>
                <w:highlight w:val="none"/>
              </w:rPr>
            </w:pPr>
          </w:p>
        </w:tc>
      </w:tr>
      <w:tr w14:paraId="54D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48CCAB2">
            <w:pPr>
              <w:pStyle w:val="51"/>
              <w:numPr>
                <w:ilvl w:val="0"/>
                <w:numId w:val="3"/>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25CCB97">
            <w:pPr>
              <w:pStyle w:val="51"/>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0FBEE7F">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FABF0FD">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41EE4F1">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4758BE8">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A503622">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CD9502">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1E5F4FE">
            <w:pPr>
              <w:pStyle w:val="51"/>
              <w:jc w:val="center"/>
              <w:rPr>
                <w:color w:val="auto"/>
                <w:sz w:val="21"/>
                <w:szCs w:val="21"/>
                <w:highlight w:val="none"/>
              </w:rPr>
            </w:pPr>
          </w:p>
        </w:tc>
      </w:tr>
    </w:tbl>
    <w:p w14:paraId="0BF4E52B">
      <w:pPr>
        <w:spacing w:line="300" w:lineRule="auto"/>
        <w:rPr>
          <w:rFonts w:ascii="Arial" w:hAnsi="Arial" w:cs="Arial"/>
          <w:color w:val="auto"/>
          <w:szCs w:val="21"/>
          <w:highlight w:val="none"/>
        </w:rPr>
      </w:pPr>
    </w:p>
    <w:p w14:paraId="37B13C23">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75A5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E1C37F0">
            <w:pPr>
              <w:pStyle w:val="51"/>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1FD081C">
            <w:pPr>
              <w:pStyle w:val="51"/>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29856322">
            <w:pPr>
              <w:pStyle w:val="51"/>
              <w:jc w:val="center"/>
              <w:rPr>
                <w:color w:val="auto"/>
                <w:sz w:val="21"/>
                <w:szCs w:val="21"/>
                <w:highlight w:val="none"/>
              </w:rPr>
            </w:pPr>
            <w:r>
              <w:rPr>
                <w:rFonts w:hint="eastAsia"/>
                <w:color w:val="auto"/>
                <w:sz w:val="21"/>
                <w:szCs w:val="21"/>
                <w:highlight w:val="none"/>
              </w:rPr>
              <w:t>制造商</w:t>
            </w:r>
          </w:p>
          <w:p w14:paraId="43D7ECA8">
            <w:pPr>
              <w:pStyle w:val="51"/>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3DA2F666">
            <w:pPr>
              <w:pStyle w:val="51"/>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C041C3A">
            <w:pPr>
              <w:pStyle w:val="51"/>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5EC682A5">
            <w:pPr>
              <w:pStyle w:val="51"/>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5112D1F1">
            <w:pPr>
              <w:pStyle w:val="51"/>
              <w:jc w:val="center"/>
              <w:rPr>
                <w:color w:val="auto"/>
                <w:sz w:val="21"/>
                <w:szCs w:val="21"/>
                <w:highlight w:val="none"/>
              </w:rPr>
            </w:pPr>
            <w:r>
              <w:rPr>
                <w:rFonts w:hint="eastAsia"/>
                <w:color w:val="auto"/>
                <w:sz w:val="21"/>
                <w:szCs w:val="21"/>
                <w:highlight w:val="none"/>
              </w:rPr>
              <w:t>单价</w:t>
            </w:r>
          </w:p>
          <w:p w14:paraId="0270B2E8">
            <w:pPr>
              <w:pStyle w:val="51"/>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2D01C53">
            <w:pPr>
              <w:pStyle w:val="51"/>
              <w:jc w:val="center"/>
              <w:rPr>
                <w:color w:val="auto"/>
                <w:sz w:val="21"/>
                <w:szCs w:val="21"/>
                <w:highlight w:val="none"/>
              </w:rPr>
            </w:pPr>
            <w:r>
              <w:rPr>
                <w:rFonts w:hint="eastAsia"/>
                <w:color w:val="auto"/>
                <w:sz w:val="21"/>
                <w:szCs w:val="21"/>
                <w:highlight w:val="none"/>
              </w:rPr>
              <w:t>总价</w:t>
            </w:r>
          </w:p>
          <w:p w14:paraId="461D4258">
            <w:pPr>
              <w:pStyle w:val="51"/>
              <w:jc w:val="center"/>
              <w:rPr>
                <w:color w:val="auto"/>
                <w:sz w:val="21"/>
                <w:szCs w:val="21"/>
                <w:highlight w:val="none"/>
              </w:rPr>
            </w:pPr>
            <w:r>
              <w:rPr>
                <w:rFonts w:hint="eastAsia"/>
                <w:color w:val="auto"/>
                <w:sz w:val="21"/>
                <w:szCs w:val="21"/>
                <w:highlight w:val="none"/>
              </w:rPr>
              <w:t>（万元）</w:t>
            </w:r>
          </w:p>
        </w:tc>
      </w:tr>
      <w:tr w14:paraId="3C06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7FEDD7F">
            <w:pPr>
              <w:pStyle w:val="51"/>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E411FCE">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F21DE2B">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C5EDF0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D72516A">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6E3E6DE">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8F18718">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4FAA2A4">
            <w:pPr>
              <w:pStyle w:val="51"/>
              <w:jc w:val="center"/>
              <w:rPr>
                <w:color w:val="auto"/>
                <w:sz w:val="21"/>
                <w:szCs w:val="21"/>
                <w:highlight w:val="none"/>
              </w:rPr>
            </w:pPr>
          </w:p>
        </w:tc>
      </w:tr>
      <w:tr w14:paraId="507C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CEE92A2">
            <w:pPr>
              <w:pStyle w:val="51"/>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7004DF9">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7819FE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DD8FC9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FB45CEE">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552F00C">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0679DB2">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241F95D">
            <w:pPr>
              <w:pStyle w:val="51"/>
              <w:jc w:val="center"/>
              <w:rPr>
                <w:color w:val="auto"/>
                <w:sz w:val="21"/>
                <w:szCs w:val="21"/>
                <w:highlight w:val="none"/>
              </w:rPr>
            </w:pPr>
          </w:p>
        </w:tc>
      </w:tr>
      <w:tr w14:paraId="5757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FF9C542">
            <w:pPr>
              <w:pStyle w:val="51"/>
              <w:numPr>
                <w:ilvl w:val="0"/>
                <w:numId w:val="4"/>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256190D9">
            <w:pPr>
              <w:pStyle w:val="51"/>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29185C8">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278FA62">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DC75679">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EAC5B30">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8F02ED0">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1916AC5">
            <w:pPr>
              <w:pStyle w:val="51"/>
              <w:jc w:val="center"/>
              <w:rPr>
                <w:color w:val="auto"/>
                <w:sz w:val="21"/>
                <w:szCs w:val="21"/>
                <w:highlight w:val="none"/>
              </w:rPr>
            </w:pPr>
          </w:p>
        </w:tc>
      </w:tr>
    </w:tbl>
    <w:p w14:paraId="04CE5F65">
      <w:pPr>
        <w:spacing w:line="300" w:lineRule="auto"/>
        <w:rPr>
          <w:rFonts w:ascii="Arial" w:hAnsi="Arial" w:cs="Arial"/>
          <w:color w:val="auto"/>
          <w:szCs w:val="21"/>
          <w:highlight w:val="none"/>
        </w:rPr>
      </w:pPr>
    </w:p>
    <w:p w14:paraId="4FDC8CE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4AE49928">
      <w:pPr>
        <w:spacing w:line="300" w:lineRule="auto"/>
        <w:rPr>
          <w:rFonts w:ascii="Arial" w:hAnsi="Arial" w:cs="Arial"/>
          <w:color w:val="auto"/>
          <w:szCs w:val="21"/>
          <w:highlight w:val="none"/>
        </w:rPr>
      </w:pPr>
    </w:p>
    <w:p w14:paraId="054561C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1A4D567">
      <w:pPr>
        <w:rPr>
          <w:rFonts w:ascii="Arial" w:hAnsi="Arial" w:cs="Arial"/>
          <w:color w:val="auto"/>
          <w:szCs w:val="21"/>
          <w:highlight w:val="none"/>
        </w:rPr>
      </w:pPr>
      <w:r>
        <w:rPr>
          <w:rFonts w:ascii="Arial" w:hAnsi="Arial" w:cs="Arial"/>
          <w:color w:val="auto"/>
          <w:szCs w:val="21"/>
          <w:highlight w:val="none"/>
        </w:rPr>
        <w:t>日期：</w:t>
      </w:r>
    </w:p>
    <w:p w14:paraId="0A67E61C">
      <w:pPr>
        <w:rPr>
          <w:rFonts w:ascii="Arial" w:hAnsi="Arial" w:cs="Arial"/>
          <w:color w:val="auto"/>
          <w:szCs w:val="21"/>
          <w:highlight w:val="none"/>
        </w:rPr>
      </w:pPr>
    </w:p>
    <w:p w14:paraId="70617D68">
      <w:pPr>
        <w:rPr>
          <w:rFonts w:ascii="Arial" w:hAnsi="Arial" w:cs="Arial"/>
          <w:color w:val="auto"/>
          <w:szCs w:val="21"/>
          <w:highlight w:val="none"/>
        </w:rPr>
      </w:pPr>
      <w:r>
        <w:rPr>
          <w:rFonts w:ascii="Arial" w:hAnsi="Arial" w:cs="Arial"/>
          <w:color w:val="auto"/>
          <w:szCs w:val="21"/>
          <w:highlight w:val="none"/>
        </w:rPr>
        <w:br w:type="page"/>
      </w:r>
    </w:p>
    <w:p w14:paraId="2A9F81A4">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884" w:name="_Toc4570"/>
      <w:bookmarkStart w:id="885" w:name="_Toc24277"/>
      <w:bookmarkStart w:id="886" w:name="_Toc29603"/>
      <w:bookmarkStart w:id="887"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884"/>
      <w:bookmarkEnd w:id="885"/>
      <w:bookmarkEnd w:id="886"/>
      <w:bookmarkEnd w:id="887"/>
    </w:p>
    <w:p w14:paraId="16CFCD4A">
      <w:pPr>
        <w:pStyle w:val="41"/>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0D7CD940">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5688740A">
      <w:pPr>
        <w:ind w:firstLine="504" w:firstLineChars="200"/>
        <w:rPr>
          <w:rFonts w:hint="eastAsia"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采购活动，服务全部由符合政策要求的中小企业承接。相关企业（含联合体中的中小企业、签订分包意向协议的中小企业）的具体情况如下：</w:t>
      </w:r>
    </w:p>
    <w:p w14:paraId="57A088DF">
      <w:pPr>
        <w:ind w:firstLine="504" w:firstLineChars="200"/>
        <w:rPr>
          <w:rFonts w:hint="eastAsia" w:cs="宋体"/>
          <w:color w:val="auto"/>
          <w:spacing w:val="6"/>
          <w:szCs w:val="24"/>
          <w:highlight w:val="none"/>
        </w:rPr>
      </w:pPr>
      <w:r>
        <w:rPr>
          <w:rFonts w:hint="eastAsia" w:cs="宋体"/>
          <w:color w:val="auto"/>
          <w:spacing w:val="6"/>
          <w:szCs w:val="24"/>
          <w:highlight w:val="none"/>
        </w:rPr>
        <w:t xml:space="preserve">1. </w:t>
      </w:r>
      <w:r>
        <w:rPr>
          <w:rFonts w:hint="eastAsia" w:cs="宋体"/>
          <w:color w:val="auto"/>
          <w:spacing w:val="6"/>
          <w:szCs w:val="24"/>
          <w:highlight w:val="none"/>
          <w:u w:val="single"/>
        </w:rPr>
        <w:t xml:space="preserve">（标的名称）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222AFB4D">
      <w:pPr>
        <w:ind w:firstLine="504" w:firstLineChars="200"/>
        <w:rPr>
          <w:rFonts w:hint="eastAsia"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w:t>
      </w:r>
      <w:r>
        <w:rPr>
          <w:rFonts w:hint="eastAsia" w:cs="宋体"/>
          <w:color w:val="auto"/>
          <w:spacing w:val="6"/>
          <w:szCs w:val="24"/>
          <w:highlight w:val="none"/>
        </w:rPr>
        <w:t xml:space="preserve"> ，属于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39DCDC52">
      <w:pPr>
        <w:ind w:firstLine="504" w:firstLineChars="200"/>
        <w:rPr>
          <w:rFonts w:hint="eastAsia" w:cs="宋体"/>
          <w:color w:val="auto"/>
          <w:spacing w:val="6"/>
          <w:szCs w:val="24"/>
          <w:highlight w:val="none"/>
        </w:rPr>
      </w:pPr>
      <w:r>
        <w:rPr>
          <w:rFonts w:hint="eastAsia" w:cs="宋体"/>
          <w:color w:val="auto"/>
          <w:spacing w:val="6"/>
          <w:szCs w:val="24"/>
          <w:highlight w:val="none"/>
        </w:rPr>
        <w:t>……</w:t>
      </w:r>
    </w:p>
    <w:p w14:paraId="708F1D10">
      <w:pPr>
        <w:ind w:firstLine="504" w:firstLineChars="200"/>
        <w:rPr>
          <w:rFonts w:hint="eastAsia"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02D6F1D3">
      <w:pPr>
        <w:ind w:firstLine="504" w:firstLineChars="200"/>
        <w:rPr>
          <w:rFonts w:hint="eastAsia"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1ADB2C8D">
      <w:pPr>
        <w:ind w:firstLine="504" w:firstLineChars="200"/>
        <w:rPr>
          <w:rFonts w:cs="宋体"/>
          <w:color w:val="auto"/>
          <w:spacing w:val="6"/>
          <w:szCs w:val="24"/>
          <w:highlight w:val="none"/>
        </w:rPr>
      </w:pPr>
    </w:p>
    <w:p w14:paraId="5A6D844B">
      <w:pPr>
        <w:ind w:right="1008" w:firstLine="4788" w:firstLineChars="1900"/>
        <w:rPr>
          <w:rFonts w:cs="宋体"/>
          <w:color w:val="auto"/>
          <w:spacing w:val="6"/>
          <w:szCs w:val="24"/>
          <w:highlight w:val="none"/>
        </w:rPr>
      </w:pPr>
    </w:p>
    <w:p w14:paraId="165AEE2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5183E380">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7BA8C73B">
      <w:pPr>
        <w:ind w:firstLine="504" w:firstLineChars="200"/>
        <w:rPr>
          <w:rFonts w:cs="宋体"/>
          <w:color w:val="auto"/>
          <w:spacing w:val="6"/>
          <w:szCs w:val="24"/>
          <w:highlight w:val="none"/>
        </w:rPr>
      </w:pPr>
    </w:p>
    <w:p w14:paraId="748B4DD4">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126DF3AF">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3E0A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EA8D8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EF0BA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5190A2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5E2CB0B5">
      <w:pPr>
        <w:keepNext w:val="0"/>
        <w:keepLines w:val="0"/>
        <w:widowControl/>
        <w:suppressLineNumbers w:val="0"/>
        <w:ind w:firstLine="562" w:firstLineChars="200"/>
        <w:jc w:val="left"/>
        <w:rPr>
          <w:rStyle w:val="34"/>
          <w:rFonts w:hint="eastAsia" w:ascii="宋体" w:hAnsi="宋体" w:eastAsia="宋体" w:cs="宋体"/>
          <w:color w:val="auto"/>
          <w:kern w:val="0"/>
          <w:sz w:val="28"/>
          <w:szCs w:val="28"/>
          <w:highlight w:val="none"/>
          <w:lang w:val="en-US" w:eastAsia="zh-CN" w:bidi="ar"/>
        </w:rPr>
      </w:pPr>
    </w:p>
    <w:p w14:paraId="62EF0AA4">
      <w:pPr>
        <w:keepNext w:val="0"/>
        <w:keepLines w:val="0"/>
        <w:widowControl/>
        <w:suppressLineNumbers w:val="0"/>
        <w:ind w:firstLine="482" w:firstLineChars="200"/>
        <w:jc w:val="left"/>
        <w:rPr>
          <w:rStyle w:val="34"/>
          <w:rFonts w:hint="eastAsia" w:ascii="宋体" w:hAnsi="宋体" w:eastAsia="宋体" w:cs="宋体"/>
          <w:color w:val="auto"/>
          <w:kern w:val="0"/>
          <w:sz w:val="28"/>
          <w:szCs w:val="28"/>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1.投标（响应）供应商对</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3.如供应商提供的</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4C04">
      <w:pPr>
        <w:rPr>
          <w:rFonts w:cs="宋体"/>
          <w:color w:val="auto"/>
          <w:spacing w:val="6"/>
          <w:sz w:val="21"/>
          <w:szCs w:val="21"/>
          <w:highlight w:val="none"/>
        </w:rPr>
      </w:pPr>
    </w:p>
    <w:p w14:paraId="6B42F924">
      <w:pPr>
        <w:rPr>
          <w:rFonts w:cs="宋体"/>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639A9CC2">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25922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color w:val="auto"/>
          <w:spacing w:val="6"/>
          <w:sz w:val="21"/>
          <w:szCs w:val="21"/>
          <w:highlight w:val="none"/>
        </w:rPr>
      </w:pPr>
      <w:r>
        <w:rPr>
          <w:rFonts w:cs="宋体"/>
          <w:color w:val="auto"/>
          <w:spacing w:val="6"/>
          <w:sz w:val="21"/>
          <w:szCs w:val="21"/>
          <w:highlight w:val="none"/>
        </w:rPr>
        <w:br w:type="page"/>
      </w:r>
    </w:p>
    <w:p w14:paraId="6BF97866">
      <w:pPr>
        <w:rPr>
          <w:rFonts w:cs="宋体"/>
          <w:color w:val="auto"/>
          <w:spacing w:val="6"/>
          <w:sz w:val="21"/>
          <w:szCs w:val="21"/>
          <w:highlight w:val="none"/>
        </w:rPr>
      </w:pPr>
      <w:bookmarkStart w:id="888" w:name="_Toc163492940"/>
    </w:p>
    <w:p w14:paraId="07DD59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754A877D">
      <w:pPr>
        <w:rPr>
          <w:rFonts w:hint="eastAsia" w:cs="宋体"/>
          <w:color w:val="auto"/>
          <w:spacing w:val="6"/>
          <w:sz w:val="21"/>
          <w:szCs w:val="21"/>
          <w:highlight w:val="none"/>
        </w:rPr>
      </w:pPr>
    </w:p>
    <w:p w14:paraId="36D4DB1B">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46F847F3">
      <w:pPr>
        <w:jc w:val="center"/>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 2015年9月28日</w:t>
      </w:r>
    </w:p>
    <w:p w14:paraId="2D875BF0">
      <w:pPr>
        <w:rPr>
          <w:rFonts w:hint="eastAsia" w:cs="宋体"/>
          <w:color w:val="auto"/>
          <w:spacing w:val="6"/>
          <w:sz w:val="21"/>
          <w:szCs w:val="21"/>
          <w:highlight w:val="none"/>
        </w:rPr>
      </w:pPr>
    </w:p>
    <w:p w14:paraId="3D3E2F07">
      <w:pPr>
        <w:rPr>
          <w:rFonts w:hint="eastAsia" w:cs="宋体"/>
          <w:color w:val="auto"/>
          <w:spacing w:val="6"/>
          <w:sz w:val="21"/>
          <w:szCs w:val="21"/>
          <w:highlight w:val="none"/>
          <w:lang w:val="en-US" w:eastAsia="zh-CN"/>
        </w:rPr>
      </w:pPr>
    </w:p>
    <w:p w14:paraId="7D55D2C4">
      <w:pPr>
        <w:rPr>
          <w:rFonts w:hint="eastAsia" w:cs="宋体"/>
          <w:color w:val="auto"/>
          <w:spacing w:val="6"/>
          <w:sz w:val="21"/>
          <w:szCs w:val="21"/>
          <w:highlight w:val="none"/>
          <w:lang w:val="en-US" w:eastAsia="zh-CN"/>
        </w:rPr>
      </w:pPr>
    </w:p>
    <w:p w14:paraId="535B7B3C">
      <w:pPr>
        <w:rPr>
          <w:rFonts w:hint="eastAsia" w:cs="宋体"/>
          <w:color w:val="auto"/>
          <w:spacing w:val="6"/>
          <w:sz w:val="21"/>
          <w:szCs w:val="21"/>
          <w:highlight w:val="none"/>
          <w:lang w:val="en-US" w:eastAsia="zh-CN"/>
        </w:rPr>
      </w:pPr>
    </w:p>
    <w:p w14:paraId="0003DA46">
      <w:pPr>
        <w:rPr>
          <w:rFonts w:hint="eastAsia" w:cs="宋体"/>
          <w:color w:val="auto"/>
          <w:spacing w:val="6"/>
          <w:sz w:val="21"/>
          <w:szCs w:val="21"/>
          <w:highlight w:val="none"/>
          <w:lang w:val="en-US" w:eastAsia="zh-CN"/>
        </w:rPr>
      </w:pPr>
    </w:p>
    <w:p w14:paraId="2EB5298D">
      <w:pPr>
        <w:rPr>
          <w:rFonts w:hint="eastAsia" w:cs="宋体"/>
          <w:color w:val="auto"/>
          <w:spacing w:val="6"/>
          <w:sz w:val="21"/>
          <w:szCs w:val="21"/>
          <w:highlight w:val="none"/>
          <w:lang w:val="en-US" w:eastAsia="zh-CN"/>
        </w:rPr>
      </w:pPr>
    </w:p>
    <w:p w14:paraId="22DC8AB1">
      <w:pPr>
        <w:rPr>
          <w:rFonts w:hint="eastAsia" w:cs="宋体"/>
          <w:color w:val="auto"/>
          <w:spacing w:val="6"/>
          <w:sz w:val="21"/>
          <w:szCs w:val="21"/>
          <w:highlight w:val="none"/>
          <w:lang w:val="en-US" w:eastAsia="zh-CN"/>
        </w:rPr>
      </w:pPr>
    </w:p>
    <w:p w14:paraId="62A6A0C9">
      <w:pPr>
        <w:rPr>
          <w:rFonts w:hint="eastAsia" w:cs="宋体"/>
          <w:color w:val="auto"/>
          <w:spacing w:val="6"/>
          <w:sz w:val="21"/>
          <w:szCs w:val="21"/>
          <w:highlight w:val="none"/>
          <w:lang w:val="en-US" w:eastAsia="zh-CN"/>
        </w:rPr>
      </w:pPr>
    </w:p>
    <w:p w14:paraId="10A8E63C">
      <w:pPr>
        <w:rPr>
          <w:rFonts w:hint="eastAsia" w:cs="宋体"/>
          <w:color w:val="auto"/>
          <w:spacing w:val="6"/>
          <w:sz w:val="21"/>
          <w:szCs w:val="21"/>
          <w:highlight w:val="none"/>
          <w:lang w:val="en-US" w:eastAsia="zh-CN"/>
        </w:rPr>
      </w:pPr>
    </w:p>
    <w:p w14:paraId="422FF70F">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3E48D324">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5AB18E4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D87CEE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405839B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99C178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7793BE6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20E443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3C947BA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6D9795B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6FAEF4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9CAA27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1C3C005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158B91F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78FD5B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4"/>
          <w:rFonts w:hint="eastAsia" w:cs="宋体"/>
          <w:b w:val="0"/>
          <w:bCs w:val="0"/>
          <w:color w:val="auto"/>
          <w:sz w:val="24"/>
          <w:szCs w:val="24"/>
          <w:highlight w:val="none"/>
          <w:lang w:eastAsia="zh-CN"/>
        </w:rPr>
        <w:t>。</w:t>
      </w:r>
    </w:p>
    <w:p w14:paraId="064C9A6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4"/>
          <w:rFonts w:hint="eastAsia" w:cs="宋体"/>
          <w:b w:val="0"/>
          <w:bCs w:val="0"/>
          <w:color w:val="auto"/>
          <w:sz w:val="24"/>
          <w:szCs w:val="24"/>
          <w:highlight w:val="none"/>
          <w:lang w:eastAsia="zh-CN"/>
        </w:rPr>
        <w:t>，</w:t>
      </w:r>
      <w:r>
        <w:rPr>
          <w:rStyle w:val="34"/>
          <w:rFonts w:hint="eastAsia" w:ascii="宋体" w:hAnsi="宋体" w:eastAsia="宋体" w:cs="宋体"/>
          <w:b w:val="0"/>
          <w:bCs w:val="0"/>
          <w:color w:val="auto"/>
          <w:sz w:val="24"/>
          <w:szCs w:val="24"/>
          <w:highlight w:val="none"/>
        </w:rPr>
        <w:t>方便政府部门和社会各界查询使用。</w:t>
      </w:r>
    </w:p>
    <w:p w14:paraId="2C50E64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50BE40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4"/>
          <w:rFonts w:hint="eastAsia" w:cs="宋体"/>
          <w:b w:val="0"/>
          <w:bCs w:val="0"/>
          <w:color w:val="auto"/>
          <w:sz w:val="24"/>
          <w:szCs w:val="24"/>
          <w:highlight w:val="none"/>
          <w:lang w:eastAsia="zh-CN"/>
        </w:rPr>
        <w:t>。</w:t>
      </w:r>
    </w:p>
    <w:p w14:paraId="61D82EC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4"/>
          <w:rFonts w:hint="eastAsia" w:cs="宋体"/>
          <w:b w:val="0"/>
          <w:bCs w:val="0"/>
          <w:color w:val="auto"/>
          <w:sz w:val="24"/>
          <w:szCs w:val="24"/>
          <w:highlight w:val="none"/>
          <w:lang w:eastAsia="zh-CN"/>
        </w:rPr>
        <w:t>。</w:t>
      </w:r>
    </w:p>
    <w:p w14:paraId="63FF348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十、本规定由人民银行会同银监会、证监会、保监会和统计局负责解释。</w:t>
      </w:r>
    </w:p>
    <w:p w14:paraId="01147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十一、本规定自发布之日起实施</w:t>
      </w:r>
      <w:r>
        <w:rPr>
          <w:rStyle w:val="34"/>
          <w:rFonts w:hint="eastAsia" w:cs="宋体"/>
          <w:b w:val="0"/>
          <w:bCs w:val="0"/>
          <w:color w:val="auto"/>
          <w:sz w:val="24"/>
          <w:szCs w:val="24"/>
          <w:highlight w:val="none"/>
          <w:lang w:eastAsia="zh-CN"/>
        </w:rPr>
        <w:t>。</w:t>
      </w:r>
    </w:p>
    <w:p w14:paraId="74D81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p>
    <w:p w14:paraId="4033EFE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附:金融业企业划型标准</w:t>
      </w:r>
    </w:p>
    <w:p w14:paraId="4CB94869">
      <w:pPr>
        <w:rPr>
          <w:rFonts w:cs="宋体"/>
          <w:color w:val="auto"/>
          <w:spacing w:val="6"/>
          <w:sz w:val="21"/>
          <w:szCs w:val="21"/>
          <w:highlight w:val="none"/>
        </w:rPr>
      </w:pPr>
    </w:p>
    <w:p w14:paraId="018058A8">
      <w:pPr>
        <w:rPr>
          <w:rFonts w:hint="eastAsia" w:cs="宋体"/>
          <w:color w:val="auto"/>
          <w:spacing w:val="6"/>
          <w:sz w:val="24"/>
          <w:szCs w:val="24"/>
          <w:highlight w:val="none"/>
          <w:lang w:val="en-US" w:eastAsia="zh-CN"/>
        </w:rPr>
      </w:pPr>
    </w:p>
    <w:p w14:paraId="5023B69E">
      <w:pPr>
        <w:rPr>
          <w:rFonts w:hint="eastAsia" w:cs="宋体"/>
          <w:color w:val="auto"/>
          <w:spacing w:val="6"/>
          <w:sz w:val="24"/>
          <w:szCs w:val="24"/>
          <w:highlight w:val="none"/>
          <w:lang w:val="en-US" w:eastAsia="zh-CN"/>
        </w:rPr>
      </w:pPr>
    </w:p>
    <w:p w14:paraId="5F7D4B83">
      <w:pPr>
        <w:rPr>
          <w:rFonts w:hint="eastAsia" w:cs="宋体"/>
          <w:color w:val="auto"/>
          <w:spacing w:val="6"/>
          <w:sz w:val="24"/>
          <w:szCs w:val="24"/>
          <w:highlight w:val="none"/>
          <w:lang w:val="en-US" w:eastAsia="zh-CN"/>
        </w:rPr>
      </w:pPr>
    </w:p>
    <w:p w14:paraId="20B74F82">
      <w:pPr>
        <w:rPr>
          <w:rFonts w:hint="eastAsia" w:cs="宋体"/>
          <w:color w:val="auto"/>
          <w:spacing w:val="6"/>
          <w:sz w:val="24"/>
          <w:szCs w:val="24"/>
          <w:highlight w:val="none"/>
          <w:lang w:val="en-US" w:eastAsia="zh-CN"/>
        </w:rPr>
      </w:pPr>
    </w:p>
    <w:p w14:paraId="568CB75F">
      <w:pPr>
        <w:rPr>
          <w:rFonts w:hint="eastAsia" w:cs="宋体"/>
          <w:color w:val="auto"/>
          <w:spacing w:val="6"/>
          <w:sz w:val="24"/>
          <w:szCs w:val="24"/>
          <w:highlight w:val="none"/>
          <w:lang w:val="en-US" w:eastAsia="zh-CN"/>
        </w:rPr>
      </w:pPr>
    </w:p>
    <w:p w14:paraId="46228B00">
      <w:pPr>
        <w:rPr>
          <w:rFonts w:hint="eastAsia" w:cs="宋体"/>
          <w:color w:val="auto"/>
          <w:spacing w:val="6"/>
          <w:sz w:val="24"/>
          <w:szCs w:val="24"/>
          <w:highlight w:val="none"/>
          <w:lang w:val="en-US" w:eastAsia="zh-CN"/>
        </w:rPr>
      </w:pPr>
    </w:p>
    <w:p w14:paraId="70123D58">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B97DB1">
      <w:pPr>
        <w:pStyle w:val="19"/>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6252C9C">
      <w:pPr>
        <w:pStyle w:val="19"/>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r>
    </w:p>
    <w:p w14:paraId="3D939C43">
      <w:pPr>
        <w:pStyle w:val="19"/>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p>
    <w:p w14:paraId="0711552D">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889" w:name="_Toc30764"/>
      <w:bookmarkStart w:id="890" w:name="_Toc13588"/>
      <w:bookmarkStart w:id="891" w:name="_Toc16227"/>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888"/>
      <w:bookmarkEnd w:id="889"/>
      <w:bookmarkEnd w:id="890"/>
      <w:bookmarkEnd w:id="891"/>
    </w:p>
    <w:p w14:paraId="744F56E2">
      <w:pPr>
        <w:rPr>
          <w:rFonts w:cs="仿宋_GB2312"/>
          <w:b/>
          <w:color w:val="auto"/>
          <w:sz w:val="24"/>
          <w:szCs w:val="24"/>
          <w:highlight w:val="none"/>
        </w:rPr>
      </w:pPr>
    </w:p>
    <w:p w14:paraId="23D1BFCD">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5238DB1">
      <w:pPr>
        <w:pStyle w:val="19"/>
        <w:spacing w:line="360" w:lineRule="auto"/>
        <w:jc w:val="center"/>
        <w:rPr>
          <w:rFonts w:hint="eastAsia" w:ascii="宋体" w:hAnsi="宋体" w:eastAsia="宋体" w:cs="宋体"/>
          <w:b/>
          <w:bCs w:val="0"/>
          <w:color w:val="auto"/>
          <w:sz w:val="32"/>
          <w:szCs w:val="32"/>
          <w:highlight w:val="none"/>
        </w:rPr>
      </w:pPr>
    </w:p>
    <w:p w14:paraId="3EAA5E2A">
      <w:pPr>
        <w:pStyle w:val="19"/>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3EFA9C1">
      <w:pPr>
        <w:spacing w:line="360" w:lineRule="auto"/>
        <w:rPr>
          <w:rFonts w:hint="eastAsia" w:ascii="仿宋_GB2312" w:hAnsi="仿宋_GB2312" w:eastAsia="仿宋_GB2312" w:cs="仿宋_GB2312"/>
          <w:color w:val="auto"/>
          <w:sz w:val="32"/>
          <w:szCs w:val="32"/>
          <w:highlight w:val="none"/>
        </w:rPr>
      </w:pPr>
    </w:p>
    <w:p w14:paraId="7E6FDB37">
      <w:pPr>
        <w:ind w:firstLine="504" w:firstLineChars="200"/>
        <w:rPr>
          <w:rFonts w:hint="eastAsia" w:cs="宋体"/>
          <w:color w:val="auto"/>
          <w:spacing w:val="6"/>
          <w:szCs w:val="24"/>
          <w:highlight w:val="none"/>
        </w:rPr>
      </w:pPr>
      <w:r>
        <w:rPr>
          <w:rFonts w:hint="eastAsia" w:cs="宋体"/>
          <w:color w:val="auto"/>
          <w:spacing w:val="6"/>
          <w:szCs w:val="24"/>
          <w:highlight w:val="none"/>
        </w:rPr>
        <w:t>本公司郑重声明，根据财政部、司法部《关于政府采购支持监狱企业发展有关问题的通知》（财库</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2014</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68号）的规定，本公司为监狱企业。</w:t>
      </w:r>
    </w:p>
    <w:p w14:paraId="3C2CE4C6">
      <w:pPr>
        <w:spacing w:line="360" w:lineRule="auto"/>
        <w:rPr>
          <w:rFonts w:hint="eastAsia" w:ascii="宋体" w:hAnsi="宋体" w:eastAsia="宋体" w:cs="宋体"/>
          <w:color w:val="auto"/>
          <w:sz w:val="24"/>
          <w:szCs w:val="24"/>
          <w:highlight w:val="none"/>
        </w:rPr>
      </w:pPr>
    </w:p>
    <w:p w14:paraId="25406F97">
      <w:pPr>
        <w:ind w:firstLine="4440" w:firstLineChars="1850"/>
        <w:rPr>
          <w:rFonts w:hint="eastAsia" w:ascii="宋体" w:hAnsi="宋体" w:eastAsia="宋体" w:cs="宋体"/>
          <w:color w:val="auto"/>
          <w:sz w:val="24"/>
          <w:szCs w:val="24"/>
          <w:highlight w:val="none"/>
        </w:rPr>
      </w:pPr>
    </w:p>
    <w:p w14:paraId="44FF352C">
      <w:pPr>
        <w:ind w:firstLine="4440" w:firstLineChars="1850"/>
        <w:rPr>
          <w:rFonts w:hint="eastAsia" w:ascii="宋体" w:hAnsi="宋体" w:eastAsia="宋体" w:cs="宋体"/>
          <w:color w:val="auto"/>
          <w:sz w:val="24"/>
          <w:szCs w:val="24"/>
          <w:highlight w:val="none"/>
        </w:rPr>
      </w:pPr>
    </w:p>
    <w:p w14:paraId="0841D36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678CEA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color w:val="auto"/>
          <w:sz w:val="24"/>
          <w:szCs w:val="24"/>
          <w:highlight w:val="none"/>
        </w:rPr>
      </w:pPr>
    </w:p>
    <w:p w14:paraId="7B8735C9">
      <w:pPr>
        <w:spacing w:line="360" w:lineRule="auto"/>
        <w:ind w:firstLine="240" w:firstLineChars="100"/>
        <w:rPr>
          <w:rFonts w:hint="eastAsia" w:ascii="宋体" w:hAnsi="宋体" w:eastAsia="宋体" w:cs="宋体"/>
          <w:color w:val="auto"/>
          <w:sz w:val="24"/>
          <w:szCs w:val="24"/>
          <w:highlight w:val="none"/>
        </w:rPr>
      </w:pPr>
    </w:p>
    <w:p w14:paraId="32722C7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20204BC0">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（含新疆生产建设兵团）（盖章）：  </w:t>
      </w:r>
    </w:p>
    <w:p w14:paraId="4A414B41">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color w:val="auto"/>
          <w:sz w:val="32"/>
          <w:szCs w:val="32"/>
          <w:highlight w:val="none"/>
        </w:rPr>
      </w:pPr>
    </w:p>
    <w:p w14:paraId="206A9633">
      <w:pPr>
        <w:spacing w:line="360" w:lineRule="auto"/>
        <w:rPr>
          <w:rFonts w:hint="eastAsia" w:ascii="仿宋_GB2312" w:hAnsi="仿宋_GB2312" w:eastAsia="仿宋_GB2312" w:cs="仿宋_GB2312"/>
          <w:color w:val="auto"/>
          <w:sz w:val="32"/>
          <w:szCs w:val="32"/>
          <w:highlight w:val="none"/>
        </w:rPr>
      </w:pPr>
    </w:p>
    <w:p w14:paraId="283F77FC">
      <w:pPr>
        <w:widowControl/>
        <w:spacing w:before="100" w:beforeAutospacing="1" w:after="100" w:afterAutospacing="1"/>
        <w:rPr>
          <w:rFonts w:ascii="Arial" w:hAnsi="Arial" w:cs="Arial"/>
          <w:color w:val="auto"/>
          <w:sz w:val="21"/>
          <w:szCs w:val="21"/>
          <w:highlight w:val="none"/>
        </w:rPr>
      </w:pPr>
    </w:p>
    <w:p w14:paraId="3ACDD48E">
      <w:pPr>
        <w:widowControl/>
        <w:spacing w:before="100" w:beforeAutospacing="1" w:after="100" w:afterAutospacing="1"/>
        <w:rPr>
          <w:rFonts w:ascii="Arial" w:hAnsi="Arial" w:cs="Arial"/>
          <w:color w:val="auto"/>
          <w:sz w:val="21"/>
          <w:szCs w:val="21"/>
          <w:highlight w:val="none"/>
        </w:rPr>
      </w:pPr>
    </w:p>
    <w:p w14:paraId="22F7A202">
      <w:pPr>
        <w:widowControl/>
        <w:spacing w:before="100" w:beforeAutospacing="1" w:after="100" w:afterAutospacing="1"/>
        <w:rPr>
          <w:rFonts w:ascii="Arial" w:hAnsi="Arial" w:cs="Arial"/>
          <w:color w:val="auto"/>
          <w:sz w:val="21"/>
          <w:szCs w:val="21"/>
          <w:highlight w:val="none"/>
        </w:rPr>
      </w:pPr>
    </w:p>
    <w:p w14:paraId="24405F32">
      <w:pPr>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outlineLvl w:val="9"/>
        <w:rPr>
          <w:rFonts w:hint="eastAsia" w:ascii="宋体" w:hAnsi="宋体" w:eastAsia="宋体" w:cstheme="minorBidi"/>
          <w:b/>
          <w:bCs/>
          <w:color w:val="auto"/>
          <w:kern w:val="2"/>
          <w:sz w:val="24"/>
          <w:szCs w:val="24"/>
          <w:highlight w:val="none"/>
          <w:lang w:val="en-US" w:eastAsia="zh-CN" w:bidi="ar-SA"/>
        </w:rPr>
      </w:pPr>
      <w:bookmarkStart w:id="892" w:name="_Toc163492941"/>
    </w:p>
    <w:p w14:paraId="05E6EFA2">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893" w:name="_Toc28986"/>
      <w:bookmarkStart w:id="894" w:name="_Toc31652"/>
      <w:bookmarkStart w:id="895" w:name="_Toc13465"/>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892"/>
      <w:bookmarkEnd w:id="893"/>
      <w:bookmarkEnd w:id="894"/>
      <w:bookmarkEnd w:id="895"/>
    </w:p>
    <w:p w14:paraId="0EAC9468">
      <w:pPr>
        <w:pStyle w:val="41"/>
        <w:numPr>
          <w:ilvl w:val="0"/>
          <w:numId w:val="0"/>
        </w:numPr>
        <w:ind w:left="420" w:leftChars="0" w:hanging="420" w:firstLineChars="0"/>
        <w:jc w:val="center"/>
        <w:rPr>
          <w:rFonts w:hint="eastAsia"/>
          <w:b/>
          <w:bCs/>
          <w:color w:val="auto"/>
          <w:sz w:val="32"/>
          <w:szCs w:val="32"/>
          <w:highlight w:val="none"/>
        </w:rPr>
      </w:pPr>
    </w:p>
    <w:p w14:paraId="091B47EA">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服务及</w:t>
      </w:r>
      <w:r>
        <w:rPr>
          <w:rFonts w:hint="eastAsia"/>
          <w:i w:val="0"/>
          <w:iCs w:val="0"/>
          <w:color w:val="auto"/>
          <w:szCs w:val="24"/>
          <w:highlight w:val="none"/>
        </w:rPr>
        <w:t>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提供和</w:t>
      </w:r>
      <w:r>
        <w:rPr>
          <w:rFonts w:hint="eastAsia"/>
          <w:b/>
          <w:i w:val="0"/>
          <w:iCs w:val="0"/>
          <w:color w:val="auto"/>
          <w:szCs w:val="24"/>
          <w:highlight w:val="none"/>
        </w:rPr>
        <w:t>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color w:val="auto"/>
          <w:szCs w:val="24"/>
          <w:highlight w:val="none"/>
        </w:rPr>
      </w:pPr>
      <w:r>
        <w:rPr>
          <w:rFonts w:hint="eastAsia"/>
          <w:color w:val="auto"/>
          <w:szCs w:val="24"/>
          <w:highlight w:val="none"/>
        </w:rPr>
        <w:t>本企业对上述声明内容的真实性负责。如有虚假，将依法承担相应责任。</w:t>
      </w:r>
    </w:p>
    <w:p w14:paraId="44C7A080">
      <w:pPr>
        <w:wordWrap w:val="0"/>
        <w:ind w:left="1091" w:hanging="1091" w:hangingChars="453"/>
        <w:rPr>
          <w:b/>
          <w:bCs/>
          <w:color w:val="auto"/>
          <w:szCs w:val="24"/>
          <w:highlight w:val="none"/>
        </w:rPr>
      </w:pPr>
    </w:p>
    <w:p w14:paraId="43523196">
      <w:pPr>
        <w:wordWrap w:val="0"/>
        <w:ind w:left="1091" w:hanging="1091" w:hangingChars="453"/>
        <w:rPr>
          <w:bCs/>
          <w:color w:val="auto"/>
          <w:szCs w:val="24"/>
          <w:highlight w:val="none"/>
        </w:rPr>
      </w:pPr>
      <w:r>
        <w:rPr>
          <w:rFonts w:hint="eastAsia"/>
          <w:b/>
          <w:bCs/>
          <w:color w:val="auto"/>
          <w:szCs w:val="24"/>
          <w:highlight w:val="none"/>
        </w:rPr>
        <w:t>说明：</w:t>
      </w:r>
      <w:r>
        <w:rPr>
          <w:rFonts w:hint="eastAsia"/>
          <w:bCs/>
          <w:color w:val="auto"/>
          <w:szCs w:val="24"/>
          <w:highlight w:val="none"/>
        </w:rPr>
        <w:t>1、</w:t>
      </w:r>
      <w:r>
        <w:rPr>
          <w:rFonts w:hint="eastAsia"/>
          <w:bCs/>
          <w:color w:val="auto"/>
          <w:szCs w:val="24"/>
          <w:highlight w:val="none"/>
          <w:lang w:val="en-US" w:eastAsia="zh-CN"/>
        </w:rPr>
        <w:t>服务及</w:t>
      </w:r>
      <w:r>
        <w:rPr>
          <w:rFonts w:hint="eastAsia"/>
          <w:bCs/>
          <w:color w:val="auto"/>
          <w:szCs w:val="21"/>
          <w:highlight w:val="none"/>
          <w:lang w:val="zh-CN"/>
        </w:rPr>
        <w:t>货物应当全部由符合政策要求的残疾人福利性单位</w:t>
      </w:r>
      <w:r>
        <w:rPr>
          <w:rFonts w:hint="eastAsia"/>
          <w:bCs/>
          <w:color w:val="auto"/>
          <w:szCs w:val="21"/>
          <w:highlight w:val="none"/>
          <w:lang w:val="en-US" w:eastAsia="zh-CN"/>
        </w:rPr>
        <w:t>提供及</w:t>
      </w:r>
      <w:r>
        <w:rPr>
          <w:rFonts w:hint="eastAsia"/>
          <w:bCs/>
          <w:color w:val="auto"/>
          <w:szCs w:val="21"/>
          <w:highlight w:val="none"/>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14:paraId="2288B711">
      <w:pPr>
        <w:wordWrap w:val="0"/>
        <w:ind w:left="1087" w:hanging="1087" w:hangingChars="453"/>
        <w:rPr>
          <w:rFonts w:cs="Courier New"/>
          <w:color w:val="auto"/>
          <w:szCs w:val="21"/>
          <w:highlight w:val="none"/>
        </w:rPr>
      </w:pPr>
      <w:r>
        <w:rPr>
          <w:rFonts w:hint="eastAsia"/>
          <w:bCs/>
          <w:color w:val="auto"/>
          <w:szCs w:val="21"/>
          <w:highlight w:val="none"/>
          <w:lang w:val="zh-CN"/>
        </w:rPr>
        <w:t xml:space="preserve">      2、</w:t>
      </w:r>
      <w:r>
        <w:rPr>
          <w:rFonts w:hint="eastAsia" w:cs="Courier New"/>
          <w:color w:val="auto"/>
          <w:szCs w:val="21"/>
          <w:highlight w:val="none"/>
        </w:rPr>
        <w:t>以联合体形式参加的，应</w:t>
      </w:r>
      <w:r>
        <w:rPr>
          <w:rFonts w:hint="eastAsia"/>
          <w:bCs/>
          <w:color w:val="auto"/>
          <w:szCs w:val="21"/>
          <w:highlight w:val="none"/>
          <w:lang w:val="zh-CN"/>
        </w:rPr>
        <w:t>当</w:t>
      </w:r>
      <w:r>
        <w:rPr>
          <w:rFonts w:hint="eastAsia" w:cs="Courier New"/>
          <w:color w:val="auto"/>
          <w:szCs w:val="21"/>
          <w:highlight w:val="none"/>
        </w:rPr>
        <w:t>由联合体各方盖章。</w:t>
      </w:r>
    </w:p>
    <w:p w14:paraId="71983F83">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A972AC9">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F5F8DCA">
      <w:pPr>
        <w:ind w:left="4620" w:firstLine="281" w:firstLineChars="100"/>
        <w:rPr>
          <w:rFonts w:cs="仿宋_GB2312"/>
          <w:b/>
          <w:color w:val="auto"/>
          <w:sz w:val="28"/>
          <w:szCs w:val="28"/>
          <w:highlight w:val="none"/>
        </w:rPr>
      </w:pPr>
    </w:p>
    <w:p w14:paraId="7BDD1A80">
      <w:pPr>
        <w:rPr>
          <w:color w:val="auto"/>
          <w:highlight w:val="none"/>
        </w:rPr>
      </w:pPr>
      <w:r>
        <w:rPr>
          <w:color w:val="auto"/>
          <w:highlight w:val="none"/>
        </w:rPr>
        <w:br w:type="page"/>
      </w:r>
    </w:p>
    <w:p w14:paraId="66079641">
      <w:pPr>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outlineLvl w:val="9"/>
        <w:rPr>
          <w:rFonts w:hint="eastAsia" w:eastAsia="宋体" w:asciiTheme="majorHAnsi" w:hAnsiTheme="majorHAnsi" w:cstheme="majorBidi"/>
          <w:b/>
          <w:bCs/>
          <w:color w:val="auto"/>
          <w:kern w:val="2"/>
          <w:sz w:val="32"/>
          <w:szCs w:val="32"/>
          <w:highlight w:val="none"/>
          <w:lang w:val="en-US" w:eastAsia="zh-CN" w:bidi="ar-SA"/>
        </w:rPr>
      </w:pPr>
    </w:p>
    <w:p w14:paraId="4B9EE2D8">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896" w:name="_Toc12346"/>
      <w:r>
        <w:rPr>
          <w:rFonts w:hint="eastAsia" w:cstheme="majorBidi"/>
          <w:b/>
          <w:bCs/>
          <w:color w:val="auto"/>
          <w:kern w:val="2"/>
          <w:sz w:val="28"/>
          <w:szCs w:val="28"/>
          <w:highlight w:val="none"/>
          <w:lang w:val="en-US" w:eastAsia="zh-CN" w:bidi="ar-SA"/>
        </w:rPr>
        <w:t>五、不参与围标串标承诺书</w:t>
      </w:r>
      <w:bookmarkEnd w:id="896"/>
    </w:p>
    <w:p w14:paraId="70D7F20B">
      <w:pPr>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outlineLvl w:val="9"/>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4"/>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4"/>
        <w:rPr>
          <w:rFonts w:hint="eastAsia"/>
          <w:color w:val="auto"/>
          <w:highlight w:val="none"/>
          <w:lang w:val="en-US" w:eastAsia="zh-CN"/>
        </w:rPr>
      </w:pPr>
    </w:p>
    <w:p w14:paraId="6FC519D1">
      <w:pPr>
        <w:pStyle w:val="14"/>
        <w:rPr>
          <w:rFonts w:hint="eastAsia"/>
          <w:color w:val="auto"/>
          <w:highlight w:val="none"/>
          <w:lang w:val="en-US" w:eastAsia="zh-CN"/>
        </w:rPr>
      </w:pPr>
    </w:p>
    <w:p w14:paraId="7500053D">
      <w:pPr>
        <w:pStyle w:val="14"/>
        <w:rPr>
          <w:rFonts w:hint="eastAsia"/>
          <w:color w:val="auto"/>
          <w:highlight w:val="none"/>
          <w:lang w:val="en-US" w:eastAsia="zh-CN"/>
        </w:rPr>
      </w:pPr>
    </w:p>
    <w:p w14:paraId="5BF64493">
      <w:pPr>
        <w:pStyle w:val="14"/>
        <w:rPr>
          <w:rFonts w:hint="eastAsia"/>
          <w:color w:val="auto"/>
          <w:highlight w:val="none"/>
          <w:lang w:val="en-US" w:eastAsia="zh-CN"/>
        </w:rPr>
      </w:pPr>
    </w:p>
    <w:p w14:paraId="5CA01A8B">
      <w:pPr>
        <w:pStyle w:val="14"/>
        <w:rPr>
          <w:rFonts w:hint="eastAsia"/>
          <w:color w:val="auto"/>
          <w:highlight w:val="none"/>
          <w:lang w:val="en-US" w:eastAsia="zh-CN"/>
        </w:rPr>
      </w:pPr>
    </w:p>
    <w:p w14:paraId="029F743D">
      <w:pPr>
        <w:pStyle w:val="14"/>
        <w:rPr>
          <w:rFonts w:hint="eastAsia"/>
          <w:color w:val="auto"/>
          <w:highlight w:val="none"/>
          <w:lang w:val="en-US" w:eastAsia="zh-CN"/>
        </w:rPr>
      </w:pPr>
    </w:p>
    <w:p w14:paraId="41587146">
      <w:pPr>
        <w:pStyle w:val="14"/>
        <w:rPr>
          <w:rFonts w:hint="eastAsia"/>
          <w:color w:val="auto"/>
          <w:highlight w:val="none"/>
          <w:lang w:val="en-US" w:eastAsia="zh-CN"/>
        </w:rPr>
      </w:pPr>
    </w:p>
    <w:p w14:paraId="7CD2757F">
      <w:pPr>
        <w:pStyle w:val="14"/>
        <w:rPr>
          <w:rFonts w:hint="eastAsia"/>
          <w:color w:val="auto"/>
          <w:highlight w:val="none"/>
          <w:lang w:val="en-US" w:eastAsia="zh-CN"/>
        </w:rPr>
      </w:pPr>
    </w:p>
    <w:p w14:paraId="7EE0D7C2">
      <w:pPr>
        <w:pStyle w:val="14"/>
        <w:rPr>
          <w:rFonts w:hint="eastAsia"/>
          <w:color w:val="auto"/>
          <w:highlight w:val="none"/>
          <w:lang w:val="en-US" w:eastAsia="zh-CN"/>
        </w:rPr>
      </w:pPr>
    </w:p>
    <w:p w14:paraId="34406338">
      <w:pPr>
        <w:pStyle w:val="14"/>
        <w:rPr>
          <w:rFonts w:hint="eastAsia"/>
          <w:color w:val="auto"/>
          <w:highlight w:val="none"/>
          <w:lang w:val="en-US" w:eastAsia="zh-CN"/>
        </w:rPr>
      </w:pPr>
    </w:p>
    <w:p w14:paraId="30C8D33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897" w:name="_Toc1077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897"/>
    </w:p>
    <w:p w14:paraId="0C24F0AE">
      <w:pPr>
        <w:pStyle w:val="39"/>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9"/>
        <w:rPr>
          <w:rFonts w:hint="eastAsia"/>
          <w:color w:val="auto"/>
          <w:highlight w:val="none"/>
        </w:rPr>
      </w:pPr>
    </w:p>
    <w:p w14:paraId="58A36194">
      <w:pPr>
        <w:pStyle w:val="39"/>
        <w:rPr>
          <w:rFonts w:hint="eastAsia"/>
          <w:color w:val="auto"/>
          <w:highlight w:val="none"/>
        </w:rPr>
      </w:pPr>
    </w:p>
    <w:p w14:paraId="3553B395">
      <w:pPr>
        <w:pStyle w:val="39"/>
        <w:rPr>
          <w:rFonts w:hint="eastAsia"/>
          <w:color w:val="auto"/>
          <w:highlight w:val="none"/>
        </w:rPr>
      </w:pPr>
    </w:p>
    <w:p w14:paraId="49D404FC">
      <w:pPr>
        <w:pStyle w:val="39"/>
        <w:rPr>
          <w:rFonts w:hint="eastAsia"/>
          <w:color w:val="auto"/>
          <w:highlight w:val="none"/>
        </w:rPr>
      </w:pPr>
    </w:p>
    <w:p w14:paraId="4B98E4B6">
      <w:pPr>
        <w:pStyle w:val="39"/>
        <w:rPr>
          <w:rFonts w:hint="eastAsia"/>
          <w:color w:val="auto"/>
          <w:highlight w:val="none"/>
        </w:rPr>
      </w:pPr>
    </w:p>
    <w:p w14:paraId="737FEDD3">
      <w:pPr>
        <w:pStyle w:val="39"/>
        <w:rPr>
          <w:rFonts w:hint="eastAsia"/>
          <w:color w:val="auto"/>
          <w:highlight w:val="none"/>
        </w:rPr>
      </w:pPr>
    </w:p>
    <w:p w14:paraId="1C876135">
      <w:pPr>
        <w:pStyle w:val="39"/>
        <w:rPr>
          <w:rFonts w:hint="eastAsia"/>
          <w:color w:val="auto"/>
          <w:highlight w:val="none"/>
        </w:rPr>
      </w:pPr>
    </w:p>
    <w:p w14:paraId="7E85C842">
      <w:pPr>
        <w:pStyle w:val="39"/>
        <w:rPr>
          <w:rFonts w:hint="eastAsia"/>
          <w:color w:val="auto"/>
          <w:highlight w:val="none"/>
        </w:rPr>
      </w:pPr>
    </w:p>
    <w:p w14:paraId="4CBE3B0D">
      <w:pPr>
        <w:pStyle w:val="39"/>
        <w:rPr>
          <w:rFonts w:hint="eastAsia"/>
          <w:color w:val="auto"/>
          <w:highlight w:val="none"/>
        </w:rPr>
      </w:pPr>
    </w:p>
    <w:p w14:paraId="2E6E451F">
      <w:pPr>
        <w:pStyle w:val="39"/>
        <w:rPr>
          <w:rFonts w:hint="eastAsia"/>
          <w:color w:val="auto"/>
          <w:highlight w:val="none"/>
        </w:rPr>
      </w:pPr>
    </w:p>
    <w:p w14:paraId="38DC2C55">
      <w:pPr>
        <w:pStyle w:val="39"/>
        <w:rPr>
          <w:rFonts w:hint="eastAsia"/>
          <w:color w:val="auto"/>
          <w:highlight w:val="none"/>
        </w:rPr>
      </w:pPr>
    </w:p>
    <w:p w14:paraId="04DAFD3C">
      <w:pPr>
        <w:pStyle w:val="39"/>
        <w:rPr>
          <w:rFonts w:hint="eastAsia"/>
          <w:color w:val="auto"/>
          <w:highlight w:val="none"/>
        </w:rPr>
      </w:pPr>
    </w:p>
    <w:p w14:paraId="51E24CDC">
      <w:pPr>
        <w:pStyle w:val="39"/>
        <w:rPr>
          <w:rFonts w:hint="eastAsia"/>
          <w:color w:val="auto"/>
          <w:highlight w:val="none"/>
        </w:rPr>
      </w:pPr>
    </w:p>
    <w:p w14:paraId="1AC1942E">
      <w:pPr>
        <w:pStyle w:val="39"/>
        <w:rPr>
          <w:rFonts w:hint="eastAsia"/>
          <w:color w:val="auto"/>
          <w:highlight w:val="none"/>
        </w:rPr>
      </w:pPr>
    </w:p>
    <w:p w14:paraId="4722E259">
      <w:pPr>
        <w:pStyle w:val="39"/>
        <w:rPr>
          <w:rFonts w:hint="eastAsia"/>
          <w:color w:val="auto"/>
          <w:highlight w:val="none"/>
        </w:rPr>
      </w:pPr>
    </w:p>
    <w:p w14:paraId="07033BD3">
      <w:pPr>
        <w:pStyle w:val="39"/>
        <w:rPr>
          <w:rFonts w:hint="eastAsia"/>
          <w:color w:val="auto"/>
          <w:highlight w:val="none"/>
        </w:rPr>
      </w:pPr>
    </w:p>
    <w:p w14:paraId="6E1D094D">
      <w:pPr>
        <w:pStyle w:val="39"/>
        <w:rPr>
          <w:rFonts w:hint="eastAsia"/>
          <w:color w:val="auto"/>
          <w:highlight w:val="none"/>
        </w:rPr>
      </w:pPr>
    </w:p>
    <w:p w14:paraId="23B0DB54">
      <w:pPr>
        <w:pStyle w:val="39"/>
        <w:rPr>
          <w:rFonts w:hint="eastAsia"/>
          <w:color w:val="auto"/>
          <w:highlight w:val="none"/>
        </w:rPr>
      </w:pPr>
    </w:p>
    <w:p w14:paraId="07159DF6">
      <w:pPr>
        <w:pStyle w:val="39"/>
        <w:rPr>
          <w:rFonts w:hint="eastAsia"/>
          <w:color w:val="auto"/>
          <w:highlight w:val="none"/>
        </w:rPr>
      </w:pPr>
    </w:p>
    <w:p w14:paraId="44B3A5AA">
      <w:pPr>
        <w:pStyle w:val="39"/>
        <w:rPr>
          <w:rFonts w:hint="eastAsia"/>
          <w:color w:val="auto"/>
          <w:highlight w:val="none"/>
        </w:rPr>
      </w:pPr>
    </w:p>
    <w:p w14:paraId="05BB178A">
      <w:pPr>
        <w:pStyle w:val="39"/>
        <w:rPr>
          <w:rFonts w:hint="eastAsia"/>
          <w:color w:val="auto"/>
          <w:highlight w:val="none"/>
        </w:rPr>
      </w:pPr>
    </w:p>
    <w:p w14:paraId="0E7980AB">
      <w:pPr>
        <w:pStyle w:val="39"/>
        <w:rPr>
          <w:rFonts w:hint="eastAsia"/>
          <w:color w:val="auto"/>
          <w:highlight w:val="none"/>
        </w:rPr>
      </w:pPr>
    </w:p>
    <w:p w14:paraId="5A09B930">
      <w:pPr>
        <w:pStyle w:val="39"/>
        <w:rPr>
          <w:rFonts w:hint="eastAsia"/>
          <w:color w:val="auto"/>
          <w:highlight w:val="none"/>
        </w:rPr>
      </w:pPr>
    </w:p>
    <w:p w14:paraId="3FB1F62E">
      <w:pPr>
        <w:pStyle w:val="39"/>
        <w:rPr>
          <w:rFonts w:hint="eastAsia"/>
          <w:color w:val="auto"/>
          <w:highlight w:val="none"/>
        </w:rPr>
      </w:pPr>
    </w:p>
    <w:p w14:paraId="69D25AC1">
      <w:pPr>
        <w:pStyle w:val="39"/>
        <w:rPr>
          <w:rFonts w:hint="eastAsia"/>
          <w:color w:val="auto"/>
          <w:highlight w:val="none"/>
        </w:rPr>
      </w:pPr>
    </w:p>
    <w:p w14:paraId="3E9AC4C9">
      <w:pPr>
        <w:pStyle w:val="39"/>
        <w:rPr>
          <w:rFonts w:hint="eastAsia"/>
          <w:color w:val="auto"/>
          <w:highlight w:val="none"/>
        </w:rPr>
      </w:pPr>
    </w:p>
    <w:p w14:paraId="7FB9AF5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FE3ABA">
      <w:pPr>
        <w:ind w:firstLine="480" w:firstLineChars="200"/>
        <w:rPr>
          <w:rFonts w:hint="eastAsia" w:cs="仿宋_GB2312"/>
          <w:color w:val="auto"/>
          <w:szCs w:val="24"/>
          <w:highlight w:val="none"/>
          <w:lang w:val="zh-CN"/>
        </w:rPr>
      </w:pPr>
    </w:p>
    <w:p w14:paraId="202CB8C4">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73A003D2">
      <w:pPr>
        <w:autoSpaceDE w:val="0"/>
        <w:autoSpaceDN w:val="0"/>
        <w:adjustRightInd w:val="0"/>
        <w:rPr>
          <w:color w:val="auto"/>
          <w:sz w:val="21"/>
          <w:szCs w:val="24"/>
          <w:highlight w:val="none"/>
        </w:rPr>
      </w:pPr>
    </w:p>
    <w:p w14:paraId="7773B439">
      <w:pPr>
        <w:autoSpaceDE w:val="0"/>
        <w:autoSpaceDN w:val="0"/>
        <w:adjustRightInd w:val="0"/>
        <w:rPr>
          <w:color w:val="auto"/>
          <w:sz w:val="21"/>
          <w:szCs w:val="24"/>
          <w:highlight w:val="none"/>
        </w:rPr>
      </w:pPr>
    </w:p>
    <w:p w14:paraId="2E04646F">
      <w:pPr>
        <w:autoSpaceDE w:val="0"/>
        <w:autoSpaceDN w:val="0"/>
        <w:adjustRightInd w:val="0"/>
        <w:jc w:val="center"/>
        <w:rPr>
          <w:color w:val="auto"/>
          <w:sz w:val="21"/>
          <w:szCs w:val="24"/>
          <w:highlight w:val="none"/>
        </w:rPr>
      </w:pPr>
    </w:p>
    <w:p w14:paraId="71180696">
      <w:pPr>
        <w:pStyle w:val="4"/>
        <w:bidi w:val="0"/>
        <w:jc w:val="center"/>
        <w:rPr>
          <w:sz w:val="84"/>
          <w:szCs w:val="84"/>
          <w:highlight w:val="none"/>
        </w:rPr>
      </w:pPr>
      <w:bookmarkStart w:id="898" w:name="_Toc9327"/>
      <w:r>
        <w:rPr>
          <w:rFonts w:hint="eastAsia"/>
          <w:sz w:val="84"/>
          <w:szCs w:val="84"/>
          <w:highlight w:val="none"/>
        </w:rPr>
        <w:t>投 标 文 件</w:t>
      </w:r>
      <w:bookmarkEnd w:id="898"/>
    </w:p>
    <w:p w14:paraId="31C74C30">
      <w:pPr>
        <w:pStyle w:val="4"/>
        <w:bidi w:val="0"/>
        <w:spacing w:before="0" w:after="0" w:line="240" w:lineRule="auto"/>
        <w:jc w:val="center"/>
        <w:rPr>
          <w:rFonts w:hint="eastAsia"/>
          <w:sz w:val="56"/>
          <w:szCs w:val="56"/>
          <w:highlight w:val="none"/>
          <w:lang w:val="en-US" w:eastAsia="zh-CN"/>
        </w:rPr>
      </w:pPr>
      <w:bookmarkStart w:id="899" w:name="_Toc6231"/>
      <w:r>
        <w:rPr>
          <w:rFonts w:hint="eastAsia"/>
          <w:sz w:val="56"/>
          <w:szCs w:val="56"/>
          <w:highlight w:val="none"/>
          <w:lang w:val="en-US" w:eastAsia="zh-CN"/>
        </w:rPr>
        <w:t>报价文件</w:t>
      </w:r>
      <w:bookmarkEnd w:id="899"/>
    </w:p>
    <w:p w14:paraId="001ADA03">
      <w:pPr>
        <w:pageBreakBefore w:val="0"/>
        <w:widowControl w:val="0"/>
        <w:kinsoku/>
        <w:wordWrap/>
        <w:overflowPunct/>
        <w:topLinePunct w:val="0"/>
        <w:bidi w:val="0"/>
        <w:snapToGrid/>
        <w:textAlignment w:val="auto"/>
        <w:outlineLvl w:val="9"/>
        <w:rPr>
          <w:color w:val="auto"/>
          <w:sz w:val="21"/>
          <w:szCs w:val="21"/>
          <w:highlight w:val="none"/>
        </w:rPr>
      </w:pPr>
      <w:r>
        <w:rPr>
          <w:rFonts w:hint="eastAsia"/>
          <w:color w:val="auto"/>
          <w:sz w:val="36"/>
          <w:szCs w:val="36"/>
          <w:highlight w:val="none"/>
          <w:lang w:val="en-US" w:eastAsia="zh-CN"/>
        </w:rPr>
        <w:t xml:space="preserve"> </w:t>
      </w:r>
    </w:p>
    <w:p w14:paraId="4800F1E7">
      <w:pPr>
        <w:pageBreakBefore w:val="0"/>
        <w:widowControl w:val="0"/>
        <w:kinsoku/>
        <w:wordWrap/>
        <w:overflowPunct/>
        <w:topLinePunct w:val="0"/>
        <w:bidi w:val="0"/>
        <w:snapToGrid/>
        <w:textAlignment w:val="auto"/>
        <w:outlineLvl w:val="9"/>
        <w:rPr>
          <w:color w:val="auto"/>
          <w:sz w:val="21"/>
          <w:szCs w:val="21"/>
          <w:highlight w:val="none"/>
        </w:rPr>
      </w:pPr>
    </w:p>
    <w:p w14:paraId="4053884F">
      <w:pPr>
        <w:pageBreakBefore w:val="0"/>
        <w:widowControl w:val="0"/>
        <w:kinsoku/>
        <w:wordWrap/>
        <w:overflowPunct/>
        <w:topLinePunct w:val="0"/>
        <w:bidi w:val="0"/>
        <w:snapToGrid/>
        <w:textAlignment w:val="auto"/>
        <w:outlineLvl w:val="9"/>
        <w:rPr>
          <w:color w:val="auto"/>
          <w:highlight w:val="none"/>
        </w:rPr>
      </w:pPr>
    </w:p>
    <w:p w14:paraId="5EABB570">
      <w:pPr>
        <w:pageBreakBefore w:val="0"/>
        <w:widowControl w:val="0"/>
        <w:kinsoku/>
        <w:wordWrap/>
        <w:overflowPunct/>
        <w:topLinePunct w:val="0"/>
        <w:autoSpaceDE w:val="0"/>
        <w:autoSpaceDN w:val="0"/>
        <w:bidi w:val="0"/>
        <w:adjustRightInd w:val="0"/>
        <w:snapToGrid/>
        <w:textAlignment w:val="auto"/>
        <w:outlineLvl w:val="9"/>
        <w:rPr>
          <w:color w:val="auto"/>
          <w:sz w:val="21"/>
          <w:szCs w:val="21"/>
          <w:highlight w:val="none"/>
        </w:rPr>
      </w:pPr>
    </w:p>
    <w:p w14:paraId="4C687ECE">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项目编号/包号：</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项目名称：</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01F64B59">
      <w:pPr>
        <w:ind w:left="840" w:firstLine="420"/>
        <w:rPr>
          <w:b/>
          <w:bCs/>
          <w:color w:val="auto"/>
          <w:sz w:val="28"/>
          <w:szCs w:val="28"/>
          <w:highlight w:val="none"/>
        </w:rPr>
      </w:pPr>
    </w:p>
    <w:p w14:paraId="1DC21250">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730DA0BC">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900" w:name="_Toc924"/>
      <w:r>
        <w:rPr>
          <w:rFonts w:hint="eastAsia" w:cstheme="majorBidi"/>
          <w:b/>
          <w:bCs/>
          <w:color w:val="auto"/>
          <w:kern w:val="2"/>
          <w:sz w:val="32"/>
          <w:szCs w:val="32"/>
          <w:highlight w:val="none"/>
          <w:lang w:val="en-US" w:eastAsia="zh-CN" w:bidi="ar-SA"/>
        </w:rPr>
        <w:t>一、开标一览表</w:t>
      </w:r>
      <w:bookmarkEnd w:id="900"/>
    </w:p>
    <w:p w14:paraId="2AB3D72A">
      <w:pPr>
        <w:spacing w:line="300" w:lineRule="auto"/>
        <w:rPr>
          <w:rFonts w:cs="仿宋_GB2312"/>
          <w:color w:val="auto"/>
          <w:szCs w:val="24"/>
          <w:highlight w:val="none"/>
        </w:rPr>
      </w:pPr>
    </w:p>
    <w:p w14:paraId="33486E36">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lang w:val="en-US" w:eastAsia="zh-CN"/>
        </w:rPr>
        <w:t xml:space="preserve"> </w:t>
      </w:r>
    </w:p>
    <w:p w14:paraId="5940ECBC">
      <w:pPr>
        <w:rPr>
          <w:rFonts w:hint="eastAsia" w:eastAsia="宋体"/>
          <w:b w:val="0"/>
          <w:bCs/>
          <w:color w:val="auto"/>
          <w:szCs w:val="21"/>
          <w:highlight w:val="none"/>
          <w:u w:val="single"/>
          <w:lang w:val="en-US" w:eastAsia="zh-CN"/>
        </w:rPr>
      </w:pPr>
      <w:r>
        <w:rPr>
          <w:rFonts w:hint="eastAsia"/>
          <w:b w:val="0"/>
          <w:bCs/>
          <w:color w:val="auto"/>
          <w:szCs w:val="21"/>
          <w:highlight w:val="none"/>
          <w:lang w:val="zh-CN"/>
        </w:rPr>
        <w:t>项目编号/包号：</w:t>
      </w:r>
      <w:r>
        <w:rPr>
          <w:rFonts w:hint="eastAsia"/>
          <w:b w:val="0"/>
          <w:bCs/>
          <w:color w:val="auto"/>
          <w:szCs w:val="21"/>
          <w:highlight w:val="none"/>
          <w:lang w:val="en-US" w:eastAsia="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lang w:val="en-US" w:eastAsia="zh-CN"/>
              </w:rPr>
              <w:t>服务</w:t>
            </w:r>
            <w:r>
              <w:rPr>
                <w:rFonts w:hint="eastAsia"/>
                <w:color w:val="auto"/>
                <w:sz w:val="24"/>
                <w:szCs w:val="24"/>
                <w:highlight w:val="none"/>
              </w:rPr>
              <w:t>期限</w:t>
            </w:r>
          </w:p>
        </w:tc>
        <w:tc>
          <w:tcPr>
            <w:tcW w:w="2611" w:type="dxa"/>
            <w:vAlign w:val="center"/>
          </w:tcPr>
          <w:p w14:paraId="620875ED">
            <w:pPr>
              <w:widowControl/>
              <w:autoSpaceDE w:val="0"/>
              <w:autoSpaceDN w:val="0"/>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jc w:val="center"/>
              <w:rPr>
                <w:color w:val="auto"/>
                <w:sz w:val="24"/>
                <w:szCs w:val="24"/>
                <w:highlight w:val="none"/>
              </w:rPr>
            </w:pPr>
          </w:p>
        </w:tc>
        <w:tc>
          <w:tcPr>
            <w:tcW w:w="2352" w:type="dxa"/>
            <w:vAlign w:val="center"/>
          </w:tcPr>
          <w:p w14:paraId="45A40F19">
            <w:pPr>
              <w:widowControl/>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52F86517">
            <w:pPr>
              <w:jc w:val="both"/>
              <w:rPr>
                <w:color w:val="auto"/>
                <w:sz w:val="24"/>
                <w:szCs w:val="24"/>
                <w:highlight w:val="none"/>
              </w:rPr>
            </w:pPr>
            <w:r>
              <w:rPr>
                <w:rFonts w:hint="eastAsia"/>
                <w:color w:val="auto"/>
                <w:sz w:val="24"/>
                <w:szCs w:val="24"/>
                <w:highlight w:val="none"/>
                <w:lang w:val="en-US" w:eastAsia="zh-CN"/>
              </w:rPr>
              <w:t>大写：</w:t>
            </w:r>
          </w:p>
        </w:tc>
        <w:tc>
          <w:tcPr>
            <w:tcW w:w="2161" w:type="dxa"/>
            <w:vAlign w:val="center"/>
          </w:tcPr>
          <w:p w14:paraId="3409D243">
            <w:pPr>
              <w:jc w:val="center"/>
              <w:rPr>
                <w:color w:val="auto"/>
                <w:sz w:val="24"/>
                <w:szCs w:val="24"/>
                <w:highlight w:val="none"/>
              </w:rPr>
            </w:pPr>
          </w:p>
        </w:tc>
        <w:tc>
          <w:tcPr>
            <w:tcW w:w="2611" w:type="dxa"/>
            <w:vAlign w:val="center"/>
          </w:tcPr>
          <w:p w14:paraId="35602B49">
            <w:pPr>
              <w:jc w:val="center"/>
              <w:rPr>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4"/>
        <w:rPr>
          <w:rFonts w:cs="Arial"/>
          <w:color w:val="auto"/>
          <w:szCs w:val="24"/>
          <w:highlight w:val="none"/>
        </w:rPr>
      </w:pPr>
    </w:p>
    <w:p w14:paraId="4C551945">
      <w:pPr>
        <w:pStyle w:val="14"/>
        <w:rPr>
          <w:rFonts w:cs="Arial"/>
          <w:color w:val="auto"/>
          <w:szCs w:val="24"/>
          <w:highlight w:val="none"/>
        </w:rPr>
      </w:pPr>
    </w:p>
    <w:p w14:paraId="09ACCEBB">
      <w:pPr>
        <w:pStyle w:val="14"/>
        <w:rPr>
          <w:rFonts w:cs="Arial"/>
          <w:color w:val="auto"/>
          <w:szCs w:val="24"/>
          <w:highlight w:val="none"/>
        </w:rPr>
      </w:pPr>
    </w:p>
    <w:p w14:paraId="54CAC625">
      <w:pPr>
        <w:pStyle w:val="14"/>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3B3B887F">
      <w:pPr>
        <w:pStyle w:val="14"/>
        <w:ind w:firstLine="420" w:firstLineChars="200"/>
        <w:rPr>
          <w:rFonts w:hint="eastAsia" w:ascii="宋体" w:hAnsi="宋体" w:eastAsia="宋体" w:cs="宋体"/>
          <w:color w:val="auto"/>
          <w:sz w:val="24"/>
          <w:szCs w:val="24"/>
          <w:highlight w:val="none"/>
        </w:rPr>
        <w:sectPr>
          <w:headerReference r:id="rId13" w:type="default"/>
          <w:footerReference r:id="rId14" w:type="default"/>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7B2B178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901" w:name="_Toc23808"/>
      <w:r>
        <w:rPr>
          <w:rFonts w:hint="eastAsia" w:cstheme="majorBidi"/>
          <w:b/>
          <w:bCs/>
          <w:color w:val="auto"/>
          <w:kern w:val="2"/>
          <w:sz w:val="32"/>
          <w:szCs w:val="32"/>
          <w:highlight w:val="none"/>
          <w:lang w:val="en-US" w:eastAsia="zh-CN" w:bidi="ar-SA"/>
        </w:rPr>
        <w:t>二、分项报价表</w:t>
      </w:r>
      <w:bookmarkEnd w:id="901"/>
    </w:p>
    <w:p w14:paraId="25D833CC">
      <w:pPr>
        <w:rPr>
          <w:rFonts w:hint="eastAsia" w:eastAsia="宋体"/>
          <w:b w:val="0"/>
          <w:bCs/>
          <w:color w:val="auto"/>
          <w:szCs w:val="21"/>
          <w:highlight w:val="none"/>
          <w:lang w:val="zh-CN" w:eastAsia="zh-CN"/>
        </w:rPr>
      </w:pPr>
      <w:r>
        <w:rPr>
          <w:rFonts w:hint="eastAsia"/>
          <w:b w:val="0"/>
          <w:bCs/>
          <w:color w:val="auto"/>
          <w:szCs w:val="21"/>
          <w:highlight w:val="none"/>
          <w:lang w:val="zh-CN"/>
        </w:rPr>
        <w:t>项目名称：</w:t>
      </w:r>
      <w:r>
        <w:rPr>
          <w:rFonts w:hint="eastAsia"/>
          <w:b w:val="0"/>
          <w:bCs/>
          <w:color w:val="auto"/>
          <w:szCs w:val="21"/>
          <w:highlight w:val="none"/>
          <w:lang w:val="en-US" w:eastAsia="zh-CN"/>
        </w:rPr>
        <w:t xml:space="preserve"> </w:t>
      </w:r>
    </w:p>
    <w:p w14:paraId="6FFFD51E">
      <w:pPr>
        <w:rPr>
          <w:rFonts w:hint="eastAsia" w:eastAsia="宋体"/>
          <w:b w:val="0"/>
          <w:bCs/>
          <w:color w:val="auto"/>
          <w:szCs w:val="21"/>
          <w:highlight w:val="none"/>
          <w:u w:val="single"/>
          <w:lang w:val="zh-CN" w:eastAsia="zh-CN"/>
        </w:rPr>
      </w:pPr>
      <w:r>
        <w:rPr>
          <w:rFonts w:hint="eastAsia"/>
          <w:b w:val="0"/>
          <w:bCs/>
          <w:color w:val="auto"/>
          <w:szCs w:val="21"/>
          <w:highlight w:val="none"/>
          <w:lang w:val="zh-CN"/>
        </w:rPr>
        <w:t>项目编号/包号：</w:t>
      </w:r>
      <w:r>
        <w:rPr>
          <w:rFonts w:hint="eastAsia"/>
          <w:b w:val="0"/>
          <w:bCs/>
          <w:color w:val="auto"/>
          <w:szCs w:val="21"/>
          <w:highlight w:val="none"/>
          <w:lang w:val="en-US" w:eastAsia="zh-CN"/>
        </w:rPr>
        <w:t xml:space="preserve"> </w:t>
      </w:r>
    </w:p>
    <w:tbl>
      <w:tblPr>
        <w:tblStyle w:val="3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64BB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359B3E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720" w:type="dxa"/>
            <w:vAlign w:val="center"/>
          </w:tcPr>
          <w:p w14:paraId="088C5C1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1065" w:type="dxa"/>
            <w:vAlign w:val="center"/>
          </w:tcPr>
          <w:p w14:paraId="73E95872">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065" w:type="dxa"/>
            <w:vAlign w:val="center"/>
          </w:tcPr>
          <w:p w14:paraId="46AE39CD">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w:t>
            </w:r>
          </w:p>
        </w:tc>
        <w:tc>
          <w:tcPr>
            <w:tcW w:w="1066" w:type="dxa"/>
            <w:vAlign w:val="center"/>
          </w:tcPr>
          <w:p w14:paraId="39D5688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w:t>
            </w:r>
            <w:r>
              <w:rPr>
                <w:rFonts w:hint="eastAsia" w:ascii="宋体" w:hAnsi="宋体" w:eastAsia="宋体" w:cs="宋体"/>
                <w:color w:val="auto"/>
                <w:sz w:val="21"/>
                <w:szCs w:val="21"/>
                <w:highlight w:val="none"/>
              </w:rPr>
              <w:t>价</w:t>
            </w:r>
          </w:p>
        </w:tc>
        <w:tc>
          <w:tcPr>
            <w:tcW w:w="947" w:type="dxa"/>
            <w:vAlign w:val="center"/>
          </w:tcPr>
          <w:p w14:paraId="7A26779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67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A5FF6D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720" w:type="dxa"/>
            <w:vAlign w:val="center"/>
          </w:tcPr>
          <w:p w14:paraId="07A38CC0">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0D2CE283">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47A98B0">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439055D0">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53350EE9">
            <w:pPr>
              <w:adjustRightInd w:val="0"/>
              <w:snapToGrid w:val="0"/>
              <w:spacing w:line="240" w:lineRule="auto"/>
              <w:jc w:val="center"/>
              <w:rPr>
                <w:rFonts w:hint="eastAsia" w:ascii="宋体" w:hAnsi="宋体" w:eastAsia="宋体" w:cs="宋体"/>
                <w:color w:val="auto"/>
                <w:sz w:val="21"/>
                <w:szCs w:val="21"/>
                <w:highlight w:val="none"/>
              </w:rPr>
            </w:pPr>
          </w:p>
        </w:tc>
      </w:tr>
      <w:tr w14:paraId="510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0E786EF">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720" w:type="dxa"/>
            <w:vAlign w:val="center"/>
          </w:tcPr>
          <w:p w14:paraId="19F17531">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5FA2A257">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34862ED">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04070DF">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45B52869">
            <w:pPr>
              <w:adjustRightInd w:val="0"/>
              <w:snapToGrid w:val="0"/>
              <w:spacing w:line="240" w:lineRule="auto"/>
              <w:jc w:val="center"/>
              <w:rPr>
                <w:rFonts w:hint="eastAsia" w:ascii="宋体" w:hAnsi="宋体" w:eastAsia="宋体" w:cs="宋体"/>
                <w:color w:val="auto"/>
                <w:sz w:val="21"/>
                <w:szCs w:val="21"/>
                <w:highlight w:val="none"/>
              </w:rPr>
            </w:pPr>
          </w:p>
        </w:tc>
      </w:tr>
      <w:tr w14:paraId="102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47A33D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720" w:type="dxa"/>
            <w:vAlign w:val="center"/>
          </w:tcPr>
          <w:p w14:paraId="7605B56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DB12A28">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17BFF74">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4B6F17D3">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1E8ED10E">
            <w:pPr>
              <w:adjustRightInd w:val="0"/>
              <w:snapToGrid w:val="0"/>
              <w:spacing w:line="240" w:lineRule="auto"/>
              <w:jc w:val="center"/>
              <w:rPr>
                <w:rFonts w:hint="eastAsia" w:ascii="宋体" w:hAnsi="宋体" w:eastAsia="宋体" w:cs="宋体"/>
                <w:color w:val="auto"/>
                <w:sz w:val="21"/>
                <w:szCs w:val="21"/>
                <w:highlight w:val="none"/>
              </w:rPr>
            </w:pPr>
          </w:p>
        </w:tc>
      </w:tr>
      <w:tr w14:paraId="353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BB358B2">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720" w:type="dxa"/>
            <w:vAlign w:val="center"/>
          </w:tcPr>
          <w:p w14:paraId="0B0031F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1A9AB905">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0C40B8C">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FDFD679">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C259360">
            <w:pPr>
              <w:adjustRightInd w:val="0"/>
              <w:snapToGrid w:val="0"/>
              <w:spacing w:line="240" w:lineRule="auto"/>
              <w:jc w:val="center"/>
              <w:rPr>
                <w:rFonts w:hint="eastAsia" w:ascii="宋体" w:hAnsi="宋体" w:eastAsia="宋体" w:cs="宋体"/>
                <w:color w:val="auto"/>
                <w:sz w:val="21"/>
                <w:szCs w:val="21"/>
                <w:highlight w:val="none"/>
              </w:rPr>
            </w:pPr>
          </w:p>
        </w:tc>
      </w:tr>
      <w:tr w14:paraId="51C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ED2AC16">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720" w:type="dxa"/>
            <w:vAlign w:val="center"/>
          </w:tcPr>
          <w:p w14:paraId="2B6E9910">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4E951A1">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5D9FC8D6">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745BDE0">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2F20BA25">
            <w:pPr>
              <w:adjustRightInd w:val="0"/>
              <w:snapToGrid w:val="0"/>
              <w:spacing w:line="240" w:lineRule="auto"/>
              <w:jc w:val="center"/>
              <w:rPr>
                <w:rFonts w:hint="eastAsia" w:ascii="宋体" w:hAnsi="宋体" w:eastAsia="宋体" w:cs="宋体"/>
                <w:color w:val="auto"/>
                <w:sz w:val="21"/>
                <w:szCs w:val="21"/>
                <w:highlight w:val="none"/>
              </w:rPr>
            </w:pPr>
          </w:p>
        </w:tc>
      </w:tr>
      <w:tr w14:paraId="054C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69BF07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720" w:type="dxa"/>
            <w:vAlign w:val="center"/>
          </w:tcPr>
          <w:p w14:paraId="63E7761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BA61A9A">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7DCA522F">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8A27993">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3A904F9">
            <w:pPr>
              <w:adjustRightInd w:val="0"/>
              <w:snapToGrid w:val="0"/>
              <w:spacing w:line="240" w:lineRule="auto"/>
              <w:jc w:val="center"/>
              <w:rPr>
                <w:rFonts w:hint="eastAsia" w:ascii="宋体" w:hAnsi="宋体" w:eastAsia="宋体" w:cs="宋体"/>
                <w:color w:val="auto"/>
                <w:sz w:val="21"/>
                <w:szCs w:val="21"/>
                <w:highlight w:val="none"/>
              </w:rPr>
            </w:pPr>
          </w:p>
        </w:tc>
      </w:tr>
      <w:tr w14:paraId="57BA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8C27991">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720" w:type="dxa"/>
            <w:vAlign w:val="center"/>
          </w:tcPr>
          <w:p w14:paraId="7864625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B4D906C">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A8DF27F">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54C5FBF7">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2690F475">
            <w:pPr>
              <w:adjustRightInd w:val="0"/>
              <w:snapToGrid w:val="0"/>
              <w:spacing w:line="240" w:lineRule="auto"/>
              <w:jc w:val="center"/>
              <w:rPr>
                <w:rFonts w:hint="eastAsia" w:ascii="宋体" w:hAnsi="宋体" w:eastAsia="宋体" w:cs="宋体"/>
                <w:color w:val="auto"/>
                <w:sz w:val="21"/>
                <w:szCs w:val="21"/>
                <w:highlight w:val="none"/>
              </w:rPr>
            </w:pPr>
          </w:p>
        </w:tc>
      </w:tr>
      <w:tr w14:paraId="27FC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F06304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3720" w:type="dxa"/>
            <w:vAlign w:val="center"/>
          </w:tcPr>
          <w:p w14:paraId="7C3908AC">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62E8E8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F2704AB">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9394E0B">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5A8DCEE1">
            <w:pPr>
              <w:adjustRightInd w:val="0"/>
              <w:snapToGrid w:val="0"/>
              <w:spacing w:line="240" w:lineRule="auto"/>
              <w:jc w:val="center"/>
              <w:rPr>
                <w:rFonts w:hint="eastAsia" w:ascii="宋体" w:hAnsi="宋体" w:eastAsia="宋体" w:cs="宋体"/>
                <w:color w:val="auto"/>
                <w:sz w:val="21"/>
                <w:szCs w:val="21"/>
                <w:highlight w:val="none"/>
              </w:rPr>
            </w:pPr>
          </w:p>
        </w:tc>
      </w:tr>
      <w:tr w14:paraId="2D0B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36B30C90">
            <w:pPr>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720" w:type="dxa"/>
            <w:shd w:val="clear" w:color="auto" w:fill="auto"/>
            <w:vAlign w:val="center"/>
          </w:tcPr>
          <w:p w14:paraId="547CA859">
            <w:pPr>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1065" w:type="dxa"/>
            <w:vAlign w:val="center"/>
          </w:tcPr>
          <w:p w14:paraId="7B9DBE1E">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851C226">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39505459">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14D910E3">
            <w:pPr>
              <w:adjustRightInd w:val="0"/>
              <w:snapToGrid w:val="0"/>
              <w:spacing w:line="240" w:lineRule="auto"/>
              <w:jc w:val="center"/>
              <w:rPr>
                <w:rFonts w:hint="eastAsia" w:ascii="宋体" w:hAnsi="宋体" w:eastAsia="宋体" w:cs="宋体"/>
                <w:color w:val="auto"/>
                <w:sz w:val="21"/>
                <w:szCs w:val="21"/>
                <w:highlight w:val="none"/>
              </w:rPr>
            </w:pPr>
          </w:p>
        </w:tc>
      </w:tr>
      <w:tr w14:paraId="0CA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9727E85">
            <w:pPr>
              <w:adjustRightInd w:val="0"/>
              <w:snapToGrid w:val="0"/>
              <w:spacing w:line="240" w:lineRule="auto"/>
              <w:jc w:val="center"/>
              <w:rPr>
                <w:rFonts w:hint="eastAsia" w:ascii="宋体" w:hAnsi="宋体" w:eastAsia="宋体" w:cs="宋体"/>
                <w:color w:val="auto"/>
                <w:sz w:val="21"/>
                <w:szCs w:val="21"/>
                <w:highlight w:val="none"/>
              </w:rPr>
            </w:pPr>
          </w:p>
        </w:tc>
        <w:tc>
          <w:tcPr>
            <w:tcW w:w="3720" w:type="dxa"/>
            <w:vAlign w:val="center"/>
          </w:tcPr>
          <w:p w14:paraId="6E3D4C24">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其他费用</w:t>
            </w:r>
          </w:p>
        </w:tc>
        <w:tc>
          <w:tcPr>
            <w:tcW w:w="1065" w:type="dxa"/>
            <w:vAlign w:val="center"/>
          </w:tcPr>
          <w:p w14:paraId="34269FA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46717F9">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1629B6A">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7F337C52">
            <w:pPr>
              <w:adjustRightInd w:val="0"/>
              <w:snapToGrid w:val="0"/>
              <w:spacing w:line="240" w:lineRule="auto"/>
              <w:jc w:val="center"/>
              <w:rPr>
                <w:rFonts w:hint="eastAsia" w:ascii="宋体" w:hAnsi="宋体" w:eastAsia="宋体" w:cs="宋体"/>
                <w:color w:val="auto"/>
                <w:sz w:val="21"/>
                <w:szCs w:val="21"/>
                <w:highlight w:val="none"/>
              </w:rPr>
            </w:pPr>
          </w:p>
        </w:tc>
      </w:tr>
      <w:tr w14:paraId="209E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C355F28">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720" w:type="dxa"/>
            <w:vAlign w:val="center"/>
          </w:tcPr>
          <w:p w14:paraId="5D4BF5AE">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65" w:type="dxa"/>
            <w:vAlign w:val="center"/>
          </w:tcPr>
          <w:p w14:paraId="3E6B6F3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02B6CE3C">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15025601">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9116035">
            <w:pPr>
              <w:adjustRightInd w:val="0"/>
              <w:snapToGrid w:val="0"/>
              <w:spacing w:line="240" w:lineRule="auto"/>
              <w:jc w:val="center"/>
              <w:rPr>
                <w:rFonts w:hint="eastAsia" w:ascii="宋体" w:hAnsi="宋体" w:eastAsia="宋体" w:cs="宋体"/>
                <w:color w:val="auto"/>
                <w:sz w:val="21"/>
                <w:szCs w:val="21"/>
                <w:highlight w:val="none"/>
              </w:rPr>
            </w:pPr>
          </w:p>
        </w:tc>
      </w:tr>
      <w:tr w14:paraId="16F6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0EDD5DA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投标报价合计（元）</w:t>
            </w:r>
          </w:p>
        </w:tc>
        <w:tc>
          <w:tcPr>
            <w:tcW w:w="2013" w:type="dxa"/>
            <w:gridSpan w:val="2"/>
            <w:vAlign w:val="center"/>
          </w:tcPr>
          <w:p w14:paraId="0609C717">
            <w:pPr>
              <w:adjustRightInd w:val="0"/>
              <w:snapToGrid w:val="0"/>
              <w:spacing w:line="240" w:lineRule="auto"/>
              <w:jc w:val="center"/>
              <w:rPr>
                <w:rFonts w:hint="eastAsia" w:ascii="宋体" w:hAnsi="宋体" w:eastAsia="宋体" w:cs="宋体"/>
                <w:color w:val="auto"/>
                <w:sz w:val="21"/>
                <w:szCs w:val="21"/>
                <w:highlight w:val="none"/>
              </w:rPr>
            </w:pPr>
          </w:p>
        </w:tc>
      </w:tr>
    </w:tbl>
    <w:p w14:paraId="62480CF8">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ascii="宋体" w:hAnsi="宋体" w:cs="宋体"/>
          <w:color w:val="auto"/>
          <w:kern w:val="0"/>
          <w:sz w:val="24"/>
          <w:highlight w:val="none"/>
          <w:lang w:val="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28F15BC4">
      <w:pPr>
        <w:spacing w:line="300" w:lineRule="auto"/>
        <w:rPr>
          <w:rFonts w:ascii="Arial" w:hAnsi="Arial" w:cs="Arial"/>
          <w:color w:val="auto"/>
          <w:szCs w:val="21"/>
          <w:highlight w:val="none"/>
        </w:rPr>
      </w:pPr>
    </w:p>
    <w:p w14:paraId="19373AA9">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4681585F">
      <w:pPr>
        <w:spacing w:line="360" w:lineRule="auto"/>
        <w:ind w:firstLine="435"/>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按照本表填写的各项目的投标报价合计填写到</w:t>
      </w:r>
      <w:r>
        <w:rPr>
          <w:rFonts w:hint="eastAsia" w:ascii="宋体" w:hAnsi="宋体" w:eastAsia="宋体" w:cs="宋体"/>
          <w:color w:val="auto"/>
          <w:sz w:val="21"/>
          <w:szCs w:val="21"/>
          <w:highlight w:val="none"/>
          <w:lang w:val="en-US" w:eastAsia="zh-CN"/>
        </w:rPr>
        <w:t>“开标一览表”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投标报价</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栏中。</w:t>
      </w:r>
    </w:p>
    <w:p w14:paraId="25B9431E">
      <w:pPr>
        <w:spacing w:line="360" w:lineRule="auto"/>
        <w:ind w:firstLine="435"/>
        <w:rPr>
          <w:rFonts w:hint="eastAsia" w:ascii="宋体" w:hAnsi="宋体" w:eastAsia="宋体" w:cs="宋体"/>
          <w:color w:val="auto"/>
          <w:sz w:val="24"/>
          <w:szCs w:val="24"/>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.所列服务为对应本项目需求的全部服务内容。如有漏项或缺项，投标人承担全部责任。</w:t>
      </w:r>
      <w:r>
        <w:rPr>
          <w:rFonts w:hint="eastAsia" w:ascii="宋体" w:hAnsi="宋体" w:eastAsia="宋体" w:cs="宋体"/>
          <w:color w:val="auto"/>
          <w:sz w:val="24"/>
          <w:szCs w:val="24"/>
          <w:highlight w:val="none"/>
        </w:rPr>
        <w:br w:type="page"/>
      </w:r>
    </w:p>
    <w:p w14:paraId="4A59D451">
      <w:pPr>
        <w:pStyle w:val="69"/>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253C07">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69E9F7">
      <w:pPr>
        <w:autoSpaceDE w:val="0"/>
        <w:autoSpaceDN w:val="0"/>
        <w:adjustRightInd w:val="0"/>
        <w:rPr>
          <w:color w:val="auto"/>
          <w:sz w:val="21"/>
          <w:szCs w:val="24"/>
          <w:highlight w:val="none"/>
        </w:rPr>
      </w:pPr>
    </w:p>
    <w:p w14:paraId="7545DFD8">
      <w:pPr>
        <w:autoSpaceDE w:val="0"/>
        <w:autoSpaceDN w:val="0"/>
        <w:adjustRightInd w:val="0"/>
        <w:rPr>
          <w:color w:val="auto"/>
          <w:sz w:val="21"/>
          <w:szCs w:val="24"/>
          <w:highlight w:val="none"/>
        </w:rPr>
      </w:pPr>
    </w:p>
    <w:p w14:paraId="6E9DF04D">
      <w:pPr>
        <w:autoSpaceDE w:val="0"/>
        <w:autoSpaceDN w:val="0"/>
        <w:adjustRightInd w:val="0"/>
        <w:jc w:val="center"/>
        <w:rPr>
          <w:color w:val="auto"/>
          <w:sz w:val="21"/>
          <w:szCs w:val="24"/>
          <w:highlight w:val="none"/>
        </w:rPr>
      </w:pPr>
    </w:p>
    <w:p w14:paraId="4A09F0AA">
      <w:pPr>
        <w:pStyle w:val="4"/>
        <w:bidi w:val="0"/>
        <w:jc w:val="center"/>
        <w:rPr>
          <w:sz w:val="84"/>
          <w:szCs w:val="84"/>
          <w:highlight w:val="none"/>
        </w:rPr>
      </w:pPr>
      <w:bookmarkStart w:id="902" w:name="_Toc28325"/>
      <w:r>
        <w:rPr>
          <w:rFonts w:hint="eastAsia"/>
          <w:sz w:val="84"/>
          <w:szCs w:val="84"/>
          <w:highlight w:val="none"/>
        </w:rPr>
        <w:t>投 标 文 件</w:t>
      </w:r>
      <w:bookmarkEnd w:id="902"/>
    </w:p>
    <w:p w14:paraId="4E8ADE01">
      <w:pPr>
        <w:pStyle w:val="4"/>
        <w:bidi w:val="0"/>
        <w:jc w:val="center"/>
        <w:rPr>
          <w:rFonts w:hint="eastAsia"/>
          <w:sz w:val="56"/>
          <w:szCs w:val="56"/>
          <w:highlight w:val="none"/>
          <w:lang w:val="en-US" w:eastAsia="zh-CN"/>
        </w:rPr>
      </w:pPr>
      <w:bookmarkStart w:id="903" w:name="_Toc20981"/>
      <w:r>
        <w:rPr>
          <w:rFonts w:hint="eastAsia"/>
          <w:sz w:val="56"/>
          <w:szCs w:val="56"/>
          <w:highlight w:val="none"/>
          <w:lang w:val="en-US" w:eastAsia="zh-CN"/>
        </w:rPr>
        <w:t>商务技术文件</w:t>
      </w:r>
      <w:bookmarkEnd w:id="903"/>
    </w:p>
    <w:p w14:paraId="3BFF9900">
      <w:pPr>
        <w:keepNext/>
        <w:keepLines/>
        <w:pageBreakBefore w:val="0"/>
        <w:widowControl w:val="0"/>
        <w:kinsoku/>
        <w:wordWrap/>
        <w:overflowPunct/>
        <w:topLinePunct w:val="0"/>
        <w:autoSpaceDE/>
        <w:autoSpaceDN/>
        <w:bidi w:val="0"/>
        <w:adjustRightInd/>
        <w:snapToGrid/>
        <w:spacing w:line="416" w:lineRule="auto"/>
        <w:textAlignment w:val="auto"/>
        <w:outlineLvl w:val="9"/>
        <w:rPr>
          <w:color w:val="auto"/>
          <w:sz w:val="21"/>
          <w:szCs w:val="21"/>
          <w:highlight w:val="none"/>
        </w:rPr>
      </w:pPr>
    </w:p>
    <w:p w14:paraId="3304790D">
      <w:pPr>
        <w:rPr>
          <w:color w:val="auto"/>
          <w:sz w:val="21"/>
          <w:szCs w:val="21"/>
          <w:highlight w:val="none"/>
        </w:rPr>
      </w:pPr>
    </w:p>
    <w:p w14:paraId="414CC1ED">
      <w:pPr>
        <w:rPr>
          <w:color w:val="auto"/>
          <w:highlight w:val="none"/>
        </w:rPr>
      </w:pPr>
    </w:p>
    <w:p w14:paraId="789512AB">
      <w:pPr>
        <w:autoSpaceDE w:val="0"/>
        <w:autoSpaceDN w:val="0"/>
        <w:adjustRightInd w:val="0"/>
        <w:rPr>
          <w:color w:val="auto"/>
          <w:sz w:val="21"/>
          <w:szCs w:val="21"/>
          <w:highlight w:val="none"/>
        </w:rPr>
      </w:pPr>
    </w:p>
    <w:p w14:paraId="4BE21783">
      <w:pPr>
        <w:autoSpaceDE w:val="0"/>
        <w:autoSpaceDN w:val="0"/>
        <w:adjustRightInd w:val="0"/>
        <w:rPr>
          <w:color w:val="auto"/>
          <w:sz w:val="21"/>
          <w:szCs w:val="21"/>
          <w:highlight w:val="none"/>
        </w:rPr>
      </w:pPr>
    </w:p>
    <w:p w14:paraId="037029E5">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项目编号/包号：</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eastAsia="zh-CN"/>
        </w:rPr>
        <w:t>项目名称：</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420" w:leftChars="175"/>
        <w:rPr>
          <w:rFonts w:ascii="黑体" w:hAnsi="黑体" w:eastAsia="黑体"/>
          <w:color w:val="auto"/>
          <w:sz w:val="32"/>
          <w:szCs w:val="32"/>
          <w:highlight w:val="none"/>
        </w:rPr>
      </w:pPr>
    </w:p>
    <w:p w14:paraId="70A32CAD">
      <w:pPr>
        <w:ind w:left="840" w:firstLine="420"/>
        <w:rPr>
          <w:b/>
          <w:bCs/>
          <w:color w:val="auto"/>
          <w:sz w:val="28"/>
          <w:szCs w:val="28"/>
          <w:highlight w:val="none"/>
        </w:rPr>
      </w:pPr>
    </w:p>
    <w:p w14:paraId="25D3DD60">
      <w:pPr>
        <w:ind w:left="840" w:firstLine="420"/>
        <w:rPr>
          <w:b/>
          <w:bCs/>
          <w:color w:val="auto"/>
          <w:sz w:val="28"/>
          <w:szCs w:val="28"/>
          <w:highlight w:val="none"/>
        </w:rPr>
      </w:pPr>
    </w:p>
    <w:p w14:paraId="2F9296DD">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04" w:name="_Toc3577"/>
      <w:bookmarkStart w:id="905" w:name="_Toc140132831"/>
      <w:bookmarkStart w:id="906" w:name="_Toc109899908"/>
      <w:bookmarkStart w:id="907" w:name="_Toc25402"/>
      <w:bookmarkStart w:id="908" w:name="_Toc109899489"/>
      <w:bookmarkStart w:id="909" w:name="_Toc109900327"/>
      <w:bookmarkStart w:id="910" w:name="_Toc19003"/>
      <w:bookmarkStart w:id="911" w:name="_Toc155185921"/>
      <w:r>
        <w:rPr>
          <w:rFonts w:hint="eastAsia" w:eastAsia="宋体" w:asciiTheme="majorHAnsi" w:hAnsiTheme="majorHAnsi" w:cstheme="majorBidi"/>
          <w:b/>
          <w:bCs/>
          <w:color w:val="auto"/>
          <w:kern w:val="2"/>
          <w:sz w:val="32"/>
          <w:szCs w:val="32"/>
          <w:highlight w:val="none"/>
          <w:lang w:val="en-US" w:eastAsia="zh-CN" w:bidi="ar-SA"/>
        </w:rPr>
        <w:t>一、投标函</w:t>
      </w:r>
      <w:bookmarkEnd w:id="904"/>
      <w:bookmarkEnd w:id="905"/>
      <w:bookmarkEnd w:id="906"/>
      <w:bookmarkEnd w:id="907"/>
      <w:bookmarkEnd w:id="908"/>
      <w:bookmarkEnd w:id="909"/>
      <w:bookmarkEnd w:id="910"/>
      <w:bookmarkEnd w:id="911"/>
    </w:p>
    <w:p w14:paraId="0ABD9EA3">
      <w:pPr>
        <w:rPr>
          <w:color w:val="auto"/>
          <w:highlight w:val="none"/>
        </w:rPr>
      </w:pPr>
      <w:r>
        <w:rPr>
          <w:rFonts w:hint="eastAsia"/>
          <w:color w:val="auto"/>
          <w:highlight w:val="none"/>
        </w:rPr>
        <w:t>致：（采购人）</w:t>
      </w:r>
    </w:p>
    <w:p w14:paraId="35C4266A">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所附投标价格表中规定的应提交和交付的服务和</w:t>
      </w:r>
      <w:r>
        <w:rPr>
          <w:rFonts w:hint="eastAsia" w:cs="Arial"/>
          <w:color w:val="auto"/>
          <w:szCs w:val="24"/>
          <w:highlight w:val="none"/>
          <w:lang w:val="en-US" w:eastAsia="zh-CN"/>
        </w:rPr>
        <w:t>相关</w:t>
      </w:r>
      <w:r>
        <w:rPr>
          <w:rFonts w:hint="eastAsia" w:cs="Arial"/>
          <w:color w:val="auto"/>
          <w:szCs w:val="24"/>
          <w:highlight w:val="none"/>
        </w:rPr>
        <w:t>货物（如有）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w:t>
      </w:r>
      <w:r>
        <w:rPr>
          <w:rFonts w:cs="Arial"/>
          <w:i w:val="0"/>
          <w:iCs w:val="0"/>
          <w:color w:val="auto"/>
          <w:szCs w:val="24"/>
          <w:highlight w:val="none"/>
        </w:rPr>
        <w:t>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投标有效期为自提交投标文件的截止之日起</w:t>
      </w:r>
      <w:r>
        <w:rPr>
          <w:rFonts w:hint="eastAsia" w:cs="Arial"/>
          <w:i w:val="0"/>
          <w:iCs w:val="0"/>
          <w:color w:val="auto"/>
          <w:szCs w:val="24"/>
          <w:highlight w:val="none"/>
          <w:u w:val="single"/>
        </w:rPr>
        <w:t xml:space="preserve"> （由投标人填写）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招标</w:t>
      </w:r>
      <w:r>
        <w:rPr>
          <w:rFonts w:hint="eastAsia" w:cs="Arial"/>
          <w:i w:val="0"/>
          <w:iCs w:val="0"/>
          <w:color w:val="auto"/>
          <w:szCs w:val="24"/>
          <w:highlight w:val="none"/>
        </w:rPr>
        <w:t>文件</w:t>
      </w:r>
      <w:r>
        <w:rPr>
          <w:rFonts w:cs="Arial"/>
          <w:i w:val="0"/>
          <w:iCs w:val="0"/>
          <w:color w:val="auto"/>
          <w:szCs w:val="24"/>
          <w:highlight w:val="none"/>
        </w:rPr>
        <w:t>要求的与投标有关的一切数据或资料，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4FC84088">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80" w:firstLineChars="200"/>
        <w:rPr>
          <w:color w:val="auto"/>
          <w:szCs w:val="24"/>
          <w:highlight w:val="none"/>
        </w:rPr>
      </w:pPr>
      <w:r>
        <w:rPr>
          <w:rFonts w:hint="eastAsia"/>
          <w:color w:val="auto"/>
          <w:szCs w:val="24"/>
          <w:highlight w:val="none"/>
        </w:rPr>
        <w:t>5）</w:t>
      </w:r>
      <w:bookmarkStart w:id="912" w:name="_Hlk161604053"/>
      <w:r>
        <w:rPr>
          <w:rFonts w:hint="eastAsia"/>
          <w:color w:val="auto"/>
          <w:szCs w:val="24"/>
          <w:highlight w:val="none"/>
        </w:rPr>
        <w:t>我方承诺本《投标函》的签章对本投标文件全部内容具有约束力并承担法律责任。</w:t>
      </w:r>
      <w:bookmarkEnd w:id="912"/>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2DB608AC">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投 </w:t>
      </w:r>
      <w:r>
        <w:rPr>
          <w:rFonts w:cs="宋体"/>
          <w:color w:val="auto"/>
          <w:highlight w:val="none"/>
        </w:rPr>
        <w:t xml:space="preserve">   </w:t>
      </w:r>
      <w:r>
        <w:rPr>
          <w:rFonts w:hint="eastAsia" w:cs="宋体"/>
          <w:color w:val="auto"/>
          <w:highlight w:val="none"/>
        </w:rPr>
        <w:t xml:space="preserve">标 </w:t>
      </w:r>
      <w:r>
        <w:rPr>
          <w:rFonts w:cs="宋体"/>
          <w:color w:val="auto"/>
          <w:highlight w:val="none"/>
        </w:rPr>
        <w:t xml:space="preserve">   </w:t>
      </w:r>
      <w:r>
        <w:rPr>
          <w:rFonts w:hint="eastAsia" w:cs="宋体"/>
          <w:color w:val="auto"/>
          <w:highlight w:val="none"/>
        </w:rPr>
        <w:t>人</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CCC9D16">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21203E4D">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63C92097">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13" w:name="_Toc31224"/>
      <w:bookmarkStart w:id="914" w:name="_Toc155185924"/>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913"/>
      <w:bookmarkEnd w:id="914"/>
    </w:p>
    <w:p w14:paraId="46CF1AA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84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15" w:name="_Toc155185925"/>
      <w:bookmarkStart w:id="916" w:name="_Toc25480"/>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915"/>
      <w:bookmarkEnd w:id="916"/>
    </w:p>
    <w:p w14:paraId="593F068D">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eastAsia" w:ascii="DejaVuSans" w:hAnsi="DejaVuSans" w:eastAsia="DejaVuSans" w:cs="DejaVuSans"/>
          <w:color w:val="auto"/>
          <w:kern w:val="0"/>
          <w:sz w:val="24"/>
          <w:szCs w:val="24"/>
          <w:highlight w:val="none"/>
          <w:u w:val="single"/>
          <w:lang w:val="en-US" w:eastAsia="zh-CN" w:bidi="ar"/>
        </w:rPr>
        <w:t xml:space="preserve">               </w:t>
      </w:r>
      <w:r>
        <w:rPr>
          <w:rFonts w:hint="default" w:ascii="DejaVuSans" w:hAnsi="DejaVuSans" w:eastAsia="DejaVuSans" w:cs="DejaVuSans"/>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1" w:hRule="atLeast"/>
        </w:trPr>
        <w:tc>
          <w:tcPr>
            <w:tcW w:w="8527" w:type="dxa"/>
          </w:tcPr>
          <w:p w14:paraId="66EBC6FA">
            <w:pPr>
              <w:rPr>
                <w:rFonts w:cs="Arial"/>
                <w:color w:val="auto"/>
                <w:highlight w:val="none"/>
              </w:rPr>
            </w:pPr>
          </w:p>
        </w:tc>
      </w:tr>
    </w:tbl>
    <w:p w14:paraId="003FC2D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17" w:name="_Toc163492928"/>
      <w:bookmarkStart w:id="918" w:name="_Toc155185934"/>
      <w:bookmarkStart w:id="919" w:name="_Toc13620"/>
      <w:r>
        <w:rPr>
          <w:rFonts w:hint="eastAsia" w:cstheme="majorBidi"/>
          <w:b/>
          <w:bCs/>
          <w:color w:val="auto"/>
          <w:kern w:val="2"/>
          <w:sz w:val="32"/>
          <w:szCs w:val="32"/>
          <w:highlight w:val="none"/>
          <w:lang w:val="en-US" w:eastAsia="zh-CN" w:bidi="ar-SA"/>
        </w:rPr>
        <w:t>四</w:t>
      </w:r>
      <w:r>
        <w:rPr>
          <w:rFonts w:hint="eastAsia" w:eastAsia="宋体" w:asciiTheme="majorHAnsi" w:hAnsiTheme="majorHAnsi" w:cstheme="majorBidi"/>
          <w:b/>
          <w:bCs/>
          <w:color w:val="auto"/>
          <w:kern w:val="2"/>
          <w:sz w:val="32"/>
          <w:szCs w:val="32"/>
          <w:highlight w:val="none"/>
          <w:lang w:val="en-US" w:eastAsia="zh-CN" w:bidi="ar-SA"/>
        </w:rPr>
        <w:t>、</w:t>
      </w:r>
      <w:bookmarkEnd w:id="917"/>
      <w:bookmarkEnd w:id="918"/>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919"/>
    </w:p>
    <w:p w14:paraId="2AB445CF">
      <w:pPr>
        <w:pStyle w:val="14"/>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w:t>
      </w:r>
      <w:r>
        <w:rPr>
          <w:rFonts w:hint="eastAsia"/>
          <w:color w:val="auto"/>
          <w:highlight w:val="none"/>
        </w:rPr>
        <w:t>《中华人民共和国政府采购法</w:t>
      </w:r>
      <w:r>
        <w:rPr>
          <w:rFonts w:hint="eastAsia"/>
          <w:color w:val="auto"/>
          <w:highlight w:val="none"/>
          <w:lang w:val="en-US" w:eastAsia="zh-CN"/>
        </w:rPr>
        <w:t>实施条例</w:t>
      </w:r>
      <w:r>
        <w:rPr>
          <w:rFonts w:hint="eastAsia"/>
          <w:color w:val="auto"/>
          <w:highlight w:val="none"/>
        </w:rPr>
        <w:t>》</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4"/>
        <w:rPr>
          <w:rFonts w:hint="eastAsia" w:eastAsia="宋体" w:asciiTheme="majorHAnsi" w:hAnsiTheme="majorHAnsi" w:cstheme="majorBidi"/>
          <w:b/>
          <w:bCs/>
          <w:color w:val="auto"/>
          <w:kern w:val="2"/>
          <w:sz w:val="24"/>
          <w:szCs w:val="24"/>
          <w:highlight w:val="none"/>
          <w:lang w:val="en-US" w:eastAsia="zh-CN" w:bidi="ar-SA"/>
        </w:rPr>
      </w:pPr>
    </w:p>
    <w:p w14:paraId="2CC927CA">
      <w:pPr>
        <w:pStyle w:val="14"/>
        <w:rPr>
          <w:rFonts w:hint="eastAsia" w:eastAsia="宋体" w:asciiTheme="majorHAnsi" w:hAnsiTheme="majorHAnsi" w:cstheme="majorBidi"/>
          <w:b/>
          <w:bCs/>
          <w:color w:val="auto"/>
          <w:kern w:val="2"/>
          <w:sz w:val="24"/>
          <w:szCs w:val="24"/>
          <w:highlight w:val="none"/>
          <w:lang w:val="en-US" w:eastAsia="zh-CN" w:bidi="ar-SA"/>
        </w:rPr>
      </w:pPr>
    </w:p>
    <w:p w14:paraId="18FDCDE0">
      <w:pPr>
        <w:pStyle w:val="14"/>
        <w:rPr>
          <w:rFonts w:hint="eastAsia" w:eastAsia="宋体" w:asciiTheme="majorHAnsi" w:hAnsiTheme="majorHAnsi" w:cstheme="majorBidi"/>
          <w:b/>
          <w:bCs/>
          <w:color w:val="auto"/>
          <w:kern w:val="2"/>
          <w:sz w:val="24"/>
          <w:szCs w:val="24"/>
          <w:highlight w:val="none"/>
          <w:lang w:val="en-US" w:eastAsia="zh-CN" w:bidi="ar-SA"/>
        </w:rPr>
      </w:pPr>
    </w:p>
    <w:p w14:paraId="74E8B7C7">
      <w:pPr>
        <w:pStyle w:val="4"/>
        <w:bidi w:val="0"/>
        <w:jc w:val="center"/>
        <w:rPr>
          <w:rFonts w:hint="default"/>
          <w:highlight w:val="none"/>
          <w:lang w:val="en-US" w:eastAsia="zh-CN"/>
        </w:rPr>
      </w:pPr>
      <w:bookmarkStart w:id="920" w:name="_Toc27401"/>
      <w:r>
        <w:rPr>
          <w:rFonts w:hint="eastAsia"/>
          <w:highlight w:val="none"/>
          <w:lang w:val="en-US" w:eastAsia="zh-CN"/>
        </w:rPr>
        <w:t>五、</w:t>
      </w:r>
      <w:r>
        <w:rPr>
          <w:rFonts w:hint="eastAsia"/>
          <w:highlight w:val="none"/>
          <w:lang w:val="zh-CN" w:eastAsia="zh-CN"/>
        </w:rPr>
        <w:t>实质性响应一览表【</w:t>
      </w:r>
      <w:r>
        <w:rPr>
          <w:rFonts w:hint="eastAsia"/>
          <w:highlight w:val="none"/>
          <w:lang w:val="en-US" w:eastAsia="zh-CN"/>
        </w:rPr>
        <w:t>本表须与第五章的一致】</w:t>
      </w:r>
      <w:bookmarkEnd w:id="920"/>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5"/>
        <w:rPr>
          <w:rFonts w:hint="eastAsia" w:ascii="宋体" w:hAnsi="宋体" w:cs="宋体"/>
          <w:color w:val="auto"/>
          <w:highlight w:val="none"/>
        </w:rPr>
      </w:pPr>
    </w:p>
    <w:tbl>
      <w:tblPr>
        <w:tblStyle w:val="31"/>
        <w:tblW w:w="5396"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978"/>
        <w:gridCol w:w="4229"/>
        <w:gridCol w:w="1860"/>
        <w:gridCol w:w="726"/>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20"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74"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文件要求的实质性响应内容</w:t>
            </w:r>
          </w:p>
        </w:tc>
        <w:tc>
          <w:tcPr>
            <w:tcW w:w="1011"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394"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20"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color w:val="auto"/>
                <w:highlight w:val="none"/>
              </w:rPr>
            </w:pPr>
          </w:p>
        </w:tc>
        <w:tc>
          <w:tcPr>
            <w:tcW w:w="1075"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cs="宋体"/>
                <w:color w:val="auto"/>
                <w:sz w:val="24"/>
                <w:highlight w:val="none"/>
                <w:lang w:val="en-US" w:eastAsia="zh-CN"/>
              </w:rPr>
              <w:t>实质性要求</w:t>
            </w:r>
          </w:p>
        </w:tc>
        <w:tc>
          <w:tcPr>
            <w:tcW w:w="2298"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cs="宋体"/>
                <w:color w:val="auto"/>
                <w:sz w:val="24"/>
                <w:highlight w:val="none"/>
                <w:lang w:val="en-US" w:eastAsia="zh-CN"/>
              </w:rPr>
              <w:t>招标文件中的规定</w:t>
            </w:r>
          </w:p>
        </w:tc>
        <w:tc>
          <w:tcPr>
            <w:tcW w:w="1011"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394"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20"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75"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298"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1"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220"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75"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298"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1"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20"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075" w:type="pct"/>
            <w:shd w:val="clear" w:color="auto" w:fill="auto"/>
            <w:noWrap w:val="0"/>
            <w:vAlign w:val="center"/>
          </w:tcPr>
          <w:p w14:paraId="46BFE239">
            <w:pPr>
              <w:pStyle w:val="51"/>
              <w:rPr>
                <w:rFonts w:hint="eastAsia" w:ascii="宋体" w:hAnsi="宋体" w:eastAsia="宋体" w:cstheme="minorBidi"/>
                <w:color w:val="auto"/>
                <w:kern w:val="2"/>
                <w:sz w:val="24"/>
                <w:szCs w:val="22"/>
                <w:highlight w:val="none"/>
                <w:lang w:val="en-US" w:eastAsia="zh-CN" w:bidi="ar-SA"/>
              </w:rPr>
            </w:pPr>
          </w:p>
        </w:tc>
        <w:tc>
          <w:tcPr>
            <w:tcW w:w="2298" w:type="pct"/>
            <w:shd w:val="clear" w:color="auto" w:fill="auto"/>
            <w:noWrap w:val="0"/>
            <w:vAlign w:val="center"/>
          </w:tcPr>
          <w:p w14:paraId="486ABA85">
            <w:pPr>
              <w:pStyle w:val="51"/>
              <w:rPr>
                <w:rFonts w:hint="eastAsia" w:ascii="宋体" w:hAnsi="宋体" w:eastAsia="宋体" w:cstheme="minorBidi"/>
                <w:color w:val="auto"/>
                <w:kern w:val="2"/>
                <w:sz w:val="24"/>
                <w:szCs w:val="22"/>
                <w:highlight w:val="none"/>
                <w:lang w:val="en-US" w:eastAsia="zh-CN" w:bidi="ar-SA"/>
              </w:rPr>
            </w:pPr>
          </w:p>
        </w:tc>
        <w:tc>
          <w:tcPr>
            <w:tcW w:w="1011"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20"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075" w:type="pct"/>
            <w:shd w:val="clear" w:color="auto" w:fill="auto"/>
            <w:noWrap w:val="0"/>
            <w:vAlign w:val="center"/>
          </w:tcPr>
          <w:p w14:paraId="1D3E0310">
            <w:pPr>
              <w:pStyle w:val="51"/>
              <w:rPr>
                <w:rFonts w:hint="eastAsia" w:ascii="宋体" w:hAnsi="宋体" w:eastAsia="宋体" w:cstheme="minorBidi"/>
                <w:color w:val="auto"/>
                <w:kern w:val="2"/>
                <w:sz w:val="24"/>
                <w:szCs w:val="22"/>
                <w:highlight w:val="none"/>
                <w:lang w:val="en-US" w:eastAsia="zh-CN" w:bidi="ar-SA"/>
              </w:rPr>
            </w:pPr>
          </w:p>
        </w:tc>
        <w:tc>
          <w:tcPr>
            <w:tcW w:w="2298" w:type="pct"/>
            <w:shd w:val="clear" w:color="auto" w:fill="auto"/>
            <w:noWrap w:val="0"/>
            <w:vAlign w:val="center"/>
          </w:tcPr>
          <w:p w14:paraId="281089E1">
            <w:pPr>
              <w:pStyle w:val="51"/>
              <w:rPr>
                <w:rFonts w:hint="eastAsia" w:ascii="宋体" w:hAnsi="宋体" w:eastAsia="宋体" w:cstheme="minorBidi"/>
                <w:color w:val="auto"/>
                <w:kern w:val="2"/>
                <w:sz w:val="24"/>
                <w:szCs w:val="22"/>
                <w:highlight w:val="none"/>
                <w:lang w:val="en-US" w:eastAsia="zh-CN" w:bidi="ar-SA"/>
              </w:rPr>
            </w:pPr>
          </w:p>
        </w:tc>
        <w:tc>
          <w:tcPr>
            <w:tcW w:w="1011"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20"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075"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310F1D1A">
            <w:pPr>
              <w:pStyle w:val="82"/>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11"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20"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075"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1"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20"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075"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11"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20"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075"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11"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4"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rPr>
          <w:rFonts w:hint="eastAsia" w:eastAsia="宋体" w:asciiTheme="majorHAnsi" w:hAnsiTheme="majorHAnsi" w:cstheme="majorBidi"/>
          <w:b/>
          <w:bCs/>
          <w:color w:val="auto"/>
          <w:kern w:val="2"/>
          <w:sz w:val="28"/>
          <w:szCs w:val="28"/>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br w:type="page"/>
      </w:r>
    </w:p>
    <w:p w14:paraId="626EF50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21" w:name="_Toc1838"/>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921"/>
    </w:p>
    <w:p w14:paraId="1D186498">
      <w:pPr>
        <w:rPr>
          <w:rFonts w:cs="仿宋_GB2312"/>
          <w:color w:val="auto"/>
          <w:szCs w:val="24"/>
          <w:highlight w:val="none"/>
        </w:rPr>
      </w:pPr>
      <w:r>
        <w:rPr>
          <w:rFonts w:hint="eastAsia" w:cs="仿宋_GB2312"/>
          <w:color w:val="auto"/>
          <w:szCs w:val="24"/>
          <w:highlight w:val="none"/>
          <w:lang w:eastAsia="zh-CN"/>
        </w:rPr>
        <w:t>项目名称：</w:t>
      </w:r>
      <w:r>
        <w:rPr>
          <w:rFonts w:hint="eastAsia" w:cs="仿宋_GB2312"/>
          <w:color w:val="auto"/>
          <w:szCs w:val="24"/>
          <w:highlight w:val="none"/>
          <w:lang w:val="en-US" w:eastAsia="zh-CN"/>
        </w:rPr>
        <w:t xml:space="preserve"> </w:t>
      </w:r>
      <w:r>
        <w:rPr>
          <w:rFonts w:hint="eastAsia" w:cs="仿宋_GB2312"/>
          <w:color w:val="auto"/>
          <w:szCs w:val="24"/>
          <w:highlight w:val="none"/>
        </w:rPr>
        <w:t xml:space="preserve">                                         </w:t>
      </w:r>
    </w:p>
    <w:p w14:paraId="49D93B14">
      <w:pPr>
        <w:rPr>
          <w:rFonts w:cs="仿宋_GB2312"/>
          <w:color w:val="auto"/>
          <w:szCs w:val="24"/>
          <w:highlight w:val="none"/>
        </w:rPr>
      </w:pPr>
      <w:r>
        <w:rPr>
          <w:rFonts w:hint="eastAsia" w:cs="仿宋_GB2312"/>
          <w:color w:val="auto"/>
          <w:szCs w:val="24"/>
          <w:highlight w:val="none"/>
          <w:lang w:eastAsia="zh-CN"/>
        </w:rPr>
        <w:t>项目编号/包号：</w:t>
      </w:r>
      <w:r>
        <w:rPr>
          <w:rFonts w:hint="eastAsia" w:cs="仿宋_GB2312"/>
          <w:color w:val="auto"/>
          <w:szCs w:val="24"/>
          <w:highlight w:val="none"/>
          <w:lang w:val="en-US" w:eastAsia="zh-CN"/>
        </w:rPr>
        <w:t xml:space="preserve"> </w:t>
      </w:r>
      <w:r>
        <w:rPr>
          <w:rFonts w:hint="eastAsia" w:cs="仿宋_GB2312"/>
          <w:color w:val="auto"/>
          <w:szCs w:val="24"/>
          <w:highlight w:val="none"/>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3312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61EA105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49200A2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2B47A59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0A22DBC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030997F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2C90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F94D57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4BC6C9AE">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5FBB365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0BE3ED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38155B65">
            <w:pPr>
              <w:pStyle w:val="51"/>
              <w:jc w:val="center"/>
              <w:rPr>
                <w:rFonts w:hint="eastAsia" w:ascii="宋体" w:hAnsi="宋体" w:eastAsia="宋体" w:cs="宋体"/>
                <w:color w:val="auto"/>
                <w:sz w:val="21"/>
                <w:szCs w:val="21"/>
                <w:highlight w:val="none"/>
              </w:rPr>
            </w:pPr>
          </w:p>
        </w:tc>
      </w:tr>
      <w:tr w14:paraId="2C68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1A99A4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45C9EA1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78716E3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FF2D014">
            <w:pPr>
              <w:pStyle w:val="51"/>
              <w:jc w:val="center"/>
              <w:rPr>
                <w:rFonts w:hint="eastAsia" w:ascii="宋体" w:hAnsi="宋体" w:eastAsia="宋体" w:cs="宋体"/>
                <w:color w:val="auto"/>
                <w:sz w:val="21"/>
                <w:szCs w:val="21"/>
                <w:highlight w:val="none"/>
              </w:rPr>
            </w:pPr>
          </w:p>
        </w:tc>
        <w:tc>
          <w:tcPr>
            <w:tcW w:w="1090" w:type="pct"/>
            <w:vAlign w:val="center"/>
          </w:tcPr>
          <w:p w14:paraId="4FD2DF22">
            <w:pPr>
              <w:pStyle w:val="51"/>
              <w:jc w:val="center"/>
              <w:rPr>
                <w:rFonts w:hint="eastAsia" w:ascii="宋体" w:hAnsi="宋体" w:eastAsia="宋体" w:cs="宋体"/>
                <w:color w:val="auto"/>
                <w:sz w:val="21"/>
                <w:szCs w:val="21"/>
                <w:highlight w:val="none"/>
              </w:rPr>
            </w:pPr>
          </w:p>
        </w:tc>
      </w:tr>
      <w:tr w14:paraId="3CF1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1DCD2E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69CD644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8A48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4CBAA73E">
            <w:pPr>
              <w:pStyle w:val="51"/>
              <w:jc w:val="center"/>
              <w:rPr>
                <w:rFonts w:hint="eastAsia" w:ascii="宋体" w:hAnsi="宋体" w:eastAsia="宋体" w:cs="宋体"/>
                <w:color w:val="auto"/>
                <w:sz w:val="21"/>
                <w:szCs w:val="21"/>
                <w:highlight w:val="none"/>
              </w:rPr>
            </w:pPr>
          </w:p>
        </w:tc>
        <w:tc>
          <w:tcPr>
            <w:tcW w:w="1090" w:type="pct"/>
            <w:vAlign w:val="center"/>
          </w:tcPr>
          <w:p w14:paraId="7E83BCC4">
            <w:pPr>
              <w:pStyle w:val="51"/>
              <w:jc w:val="center"/>
              <w:rPr>
                <w:rFonts w:hint="eastAsia" w:ascii="宋体" w:hAnsi="宋体" w:eastAsia="宋体" w:cs="宋体"/>
                <w:color w:val="auto"/>
                <w:sz w:val="21"/>
                <w:szCs w:val="21"/>
                <w:highlight w:val="none"/>
              </w:rPr>
            </w:pPr>
          </w:p>
        </w:tc>
      </w:tr>
      <w:tr w14:paraId="15C0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30B680">
            <w:pPr>
              <w:pStyle w:val="51"/>
              <w:jc w:val="center"/>
              <w:rPr>
                <w:rFonts w:hint="eastAsia" w:ascii="宋体" w:hAnsi="宋体" w:eastAsia="宋体" w:cs="宋体"/>
                <w:color w:val="auto"/>
                <w:sz w:val="21"/>
                <w:szCs w:val="21"/>
                <w:highlight w:val="none"/>
              </w:rPr>
            </w:pPr>
          </w:p>
        </w:tc>
        <w:tc>
          <w:tcPr>
            <w:tcW w:w="1395" w:type="pct"/>
            <w:vAlign w:val="center"/>
          </w:tcPr>
          <w:p w14:paraId="4AADEA29">
            <w:pPr>
              <w:pStyle w:val="51"/>
              <w:jc w:val="center"/>
              <w:rPr>
                <w:rFonts w:hint="eastAsia" w:ascii="宋体" w:hAnsi="宋体" w:eastAsia="宋体" w:cs="宋体"/>
                <w:color w:val="auto"/>
                <w:sz w:val="21"/>
                <w:szCs w:val="21"/>
                <w:highlight w:val="none"/>
              </w:rPr>
            </w:pPr>
          </w:p>
        </w:tc>
        <w:tc>
          <w:tcPr>
            <w:tcW w:w="1002" w:type="pct"/>
            <w:vAlign w:val="center"/>
          </w:tcPr>
          <w:p w14:paraId="38D5F739">
            <w:pPr>
              <w:pStyle w:val="51"/>
              <w:jc w:val="center"/>
              <w:rPr>
                <w:rFonts w:hint="eastAsia" w:ascii="宋体" w:hAnsi="宋体" w:eastAsia="宋体" w:cs="宋体"/>
                <w:color w:val="auto"/>
                <w:sz w:val="21"/>
                <w:szCs w:val="21"/>
                <w:highlight w:val="none"/>
              </w:rPr>
            </w:pPr>
          </w:p>
        </w:tc>
        <w:tc>
          <w:tcPr>
            <w:tcW w:w="1090" w:type="pct"/>
            <w:vAlign w:val="center"/>
          </w:tcPr>
          <w:p w14:paraId="225853EF">
            <w:pPr>
              <w:pStyle w:val="51"/>
              <w:jc w:val="center"/>
              <w:rPr>
                <w:rFonts w:hint="eastAsia" w:ascii="宋体" w:hAnsi="宋体" w:eastAsia="宋体" w:cs="宋体"/>
                <w:color w:val="auto"/>
                <w:sz w:val="21"/>
                <w:szCs w:val="21"/>
                <w:highlight w:val="none"/>
              </w:rPr>
            </w:pPr>
          </w:p>
        </w:tc>
        <w:tc>
          <w:tcPr>
            <w:tcW w:w="1090" w:type="pct"/>
            <w:vAlign w:val="center"/>
          </w:tcPr>
          <w:p w14:paraId="701964E1">
            <w:pPr>
              <w:pStyle w:val="51"/>
              <w:jc w:val="center"/>
              <w:rPr>
                <w:rFonts w:hint="eastAsia" w:ascii="宋体" w:hAnsi="宋体" w:eastAsia="宋体" w:cs="宋体"/>
                <w:color w:val="auto"/>
                <w:sz w:val="21"/>
                <w:szCs w:val="21"/>
                <w:highlight w:val="none"/>
              </w:rPr>
            </w:pPr>
          </w:p>
        </w:tc>
      </w:tr>
      <w:tr w14:paraId="0D3D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5F3EE02">
            <w:pPr>
              <w:pStyle w:val="51"/>
              <w:jc w:val="center"/>
              <w:rPr>
                <w:rFonts w:hint="eastAsia" w:ascii="宋体" w:hAnsi="宋体" w:eastAsia="宋体" w:cs="宋体"/>
                <w:color w:val="auto"/>
                <w:sz w:val="21"/>
                <w:szCs w:val="21"/>
                <w:highlight w:val="none"/>
              </w:rPr>
            </w:pPr>
          </w:p>
        </w:tc>
        <w:tc>
          <w:tcPr>
            <w:tcW w:w="1395" w:type="pct"/>
            <w:vAlign w:val="center"/>
          </w:tcPr>
          <w:p w14:paraId="4393079D">
            <w:pPr>
              <w:pStyle w:val="51"/>
              <w:jc w:val="center"/>
              <w:rPr>
                <w:rFonts w:hint="eastAsia" w:ascii="宋体" w:hAnsi="宋体" w:eastAsia="宋体" w:cs="宋体"/>
                <w:color w:val="auto"/>
                <w:sz w:val="21"/>
                <w:szCs w:val="21"/>
                <w:highlight w:val="none"/>
              </w:rPr>
            </w:pPr>
          </w:p>
        </w:tc>
        <w:tc>
          <w:tcPr>
            <w:tcW w:w="1002" w:type="pct"/>
            <w:vAlign w:val="center"/>
          </w:tcPr>
          <w:p w14:paraId="25A3A5BC">
            <w:pPr>
              <w:pStyle w:val="51"/>
              <w:jc w:val="center"/>
              <w:rPr>
                <w:rFonts w:hint="eastAsia" w:ascii="宋体" w:hAnsi="宋体" w:eastAsia="宋体" w:cs="宋体"/>
                <w:color w:val="auto"/>
                <w:sz w:val="21"/>
                <w:szCs w:val="21"/>
                <w:highlight w:val="none"/>
              </w:rPr>
            </w:pPr>
          </w:p>
        </w:tc>
        <w:tc>
          <w:tcPr>
            <w:tcW w:w="1090" w:type="pct"/>
            <w:vAlign w:val="center"/>
          </w:tcPr>
          <w:p w14:paraId="1B49FF8B">
            <w:pPr>
              <w:pStyle w:val="51"/>
              <w:jc w:val="center"/>
              <w:rPr>
                <w:rFonts w:hint="eastAsia" w:ascii="宋体" w:hAnsi="宋体" w:eastAsia="宋体" w:cs="宋体"/>
                <w:color w:val="auto"/>
                <w:sz w:val="21"/>
                <w:szCs w:val="21"/>
                <w:highlight w:val="none"/>
              </w:rPr>
            </w:pPr>
          </w:p>
        </w:tc>
        <w:tc>
          <w:tcPr>
            <w:tcW w:w="1090" w:type="pct"/>
            <w:vAlign w:val="center"/>
          </w:tcPr>
          <w:p w14:paraId="7AD8A67B">
            <w:pPr>
              <w:pStyle w:val="51"/>
              <w:jc w:val="center"/>
              <w:rPr>
                <w:rFonts w:hint="eastAsia" w:ascii="宋体" w:hAnsi="宋体" w:eastAsia="宋体" w:cs="宋体"/>
                <w:color w:val="auto"/>
                <w:sz w:val="21"/>
                <w:szCs w:val="21"/>
                <w:highlight w:val="none"/>
              </w:rPr>
            </w:pPr>
          </w:p>
        </w:tc>
      </w:tr>
      <w:tr w14:paraId="193F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8504A9">
            <w:pPr>
              <w:pStyle w:val="51"/>
              <w:jc w:val="center"/>
              <w:rPr>
                <w:rFonts w:hint="eastAsia" w:ascii="宋体" w:hAnsi="宋体" w:eastAsia="宋体" w:cs="宋体"/>
                <w:color w:val="auto"/>
                <w:sz w:val="21"/>
                <w:szCs w:val="21"/>
                <w:highlight w:val="none"/>
              </w:rPr>
            </w:pPr>
          </w:p>
        </w:tc>
        <w:tc>
          <w:tcPr>
            <w:tcW w:w="1395" w:type="pct"/>
            <w:vAlign w:val="center"/>
          </w:tcPr>
          <w:p w14:paraId="0B05BA21">
            <w:pPr>
              <w:pStyle w:val="51"/>
              <w:jc w:val="center"/>
              <w:rPr>
                <w:rFonts w:hint="eastAsia" w:ascii="宋体" w:hAnsi="宋体" w:eastAsia="宋体" w:cs="宋体"/>
                <w:color w:val="auto"/>
                <w:sz w:val="21"/>
                <w:szCs w:val="21"/>
                <w:highlight w:val="none"/>
              </w:rPr>
            </w:pPr>
          </w:p>
        </w:tc>
        <w:tc>
          <w:tcPr>
            <w:tcW w:w="1002" w:type="pct"/>
            <w:vAlign w:val="center"/>
          </w:tcPr>
          <w:p w14:paraId="6EE2FD7A">
            <w:pPr>
              <w:pStyle w:val="51"/>
              <w:jc w:val="center"/>
              <w:rPr>
                <w:rFonts w:hint="eastAsia" w:ascii="宋体" w:hAnsi="宋体" w:eastAsia="宋体" w:cs="宋体"/>
                <w:color w:val="auto"/>
                <w:sz w:val="21"/>
                <w:szCs w:val="21"/>
                <w:highlight w:val="none"/>
              </w:rPr>
            </w:pPr>
          </w:p>
        </w:tc>
        <w:tc>
          <w:tcPr>
            <w:tcW w:w="1090" w:type="pct"/>
            <w:vAlign w:val="center"/>
          </w:tcPr>
          <w:p w14:paraId="3C3EE3D6">
            <w:pPr>
              <w:pStyle w:val="51"/>
              <w:jc w:val="center"/>
              <w:rPr>
                <w:rFonts w:hint="eastAsia" w:ascii="宋体" w:hAnsi="宋体" w:eastAsia="宋体" w:cs="宋体"/>
                <w:color w:val="auto"/>
                <w:sz w:val="21"/>
                <w:szCs w:val="21"/>
                <w:highlight w:val="none"/>
              </w:rPr>
            </w:pPr>
          </w:p>
        </w:tc>
        <w:tc>
          <w:tcPr>
            <w:tcW w:w="1090" w:type="pct"/>
            <w:vAlign w:val="center"/>
          </w:tcPr>
          <w:p w14:paraId="0D0213B3">
            <w:pPr>
              <w:pStyle w:val="51"/>
              <w:jc w:val="center"/>
              <w:rPr>
                <w:rFonts w:hint="eastAsia" w:ascii="宋体" w:hAnsi="宋体" w:eastAsia="宋体" w:cs="宋体"/>
                <w:color w:val="auto"/>
                <w:sz w:val="21"/>
                <w:szCs w:val="21"/>
                <w:highlight w:val="none"/>
              </w:rPr>
            </w:pPr>
          </w:p>
        </w:tc>
      </w:tr>
      <w:tr w14:paraId="05BC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DE1BBEB">
            <w:pPr>
              <w:pStyle w:val="51"/>
              <w:jc w:val="center"/>
              <w:rPr>
                <w:rFonts w:hint="eastAsia" w:ascii="宋体" w:hAnsi="宋体" w:eastAsia="宋体" w:cs="宋体"/>
                <w:color w:val="auto"/>
                <w:sz w:val="21"/>
                <w:szCs w:val="21"/>
                <w:highlight w:val="none"/>
              </w:rPr>
            </w:pPr>
          </w:p>
        </w:tc>
        <w:tc>
          <w:tcPr>
            <w:tcW w:w="1395" w:type="pct"/>
            <w:vAlign w:val="center"/>
          </w:tcPr>
          <w:p w14:paraId="2369E7CE">
            <w:pPr>
              <w:pStyle w:val="51"/>
              <w:jc w:val="center"/>
              <w:rPr>
                <w:rFonts w:hint="eastAsia" w:ascii="宋体" w:hAnsi="宋体" w:eastAsia="宋体" w:cs="宋体"/>
                <w:color w:val="auto"/>
                <w:sz w:val="21"/>
                <w:szCs w:val="21"/>
                <w:highlight w:val="none"/>
              </w:rPr>
            </w:pPr>
          </w:p>
        </w:tc>
        <w:tc>
          <w:tcPr>
            <w:tcW w:w="1002" w:type="pct"/>
            <w:vAlign w:val="center"/>
          </w:tcPr>
          <w:p w14:paraId="1C290511">
            <w:pPr>
              <w:pStyle w:val="51"/>
              <w:jc w:val="center"/>
              <w:rPr>
                <w:rFonts w:hint="eastAsia" w:ascii="宋体" w:hAnsi="宋体" w:eastAsia="宋体" w:cs="宋体"/>
                <w:color w:val="auto"/>
                <w:sz w:val="21"/>
                <w:szCs w:val="21"/>
                <w:highlight w:val="none"/>
              </w:rPr>
            </w:pPr>
          </w:p>
        </w:tc>
        <w:tc>
          <w:tcPr>
            <w:tcW w:w="1090" w:type="pct"/>
            <w:vAlign w:val="center"/>
          </w:tcPr>
          <w:p w14:paraId="2E4702A6">
            <w:pPr>
              <w:pStyle w:val="51"/>
              <w:jc w:val="center"/>
              <w:rPr>
                <w:rFonts w:hint="eastAsia" w:ascii="宋体" w:hAnsi="宋体" w:eastAsia="宋体" w:cs="宋体"/>
                <w:color w:val="auto"/>
                <w:sz w:val="21"/>
                <w:szCs w:val="21"/>
                <w:highlight w:val="none"/>
              </w:rPr>
            </w:pPr>
          </w:p>
        </w:tc>
        <w:tc>
          <w:tcPr>
            <w:tcW w:w="1090" w:type="pct"/>
            <w:vAlign w:val="center"/>
          </w:tcPr>
          <w:p w14:paraId="65DCC158">
            <w:pPr>
              <w:pStyle w:val="51"/>
              <w:jc w:val="center"/>
              <w:rPr>
                <w:rFonts w:hint="eastAsia" w:ascii="宋体" w:hAnsi="宋体" w:eastAsia="宋体" w:cs="宋体"/>
                <w:color w:val="auto"/>
                <w:sz w:val="21"/>
                <w:szCs w:val="21"/>
                <w:highlight w:val="none"/>
              </w:rPr>
            </w:pPr>
          </w:p>
        </w:tc>
      </w:tr>
      <w:tr w14:paraId="086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A27D4B4">
            <w:pPr>
              <w:pStyle w:val="51"/>
              <w:jc w:val="center"/>
              <w:rPr>
                <w:rFonts w:hint="eastAsia" w:ascii="宋体" w:hAnsi="宋体" w:eastAsia="宋体" w:cs="宋体"/>
                <w:color w:val="auto"/>
                <w:sz w:val="21"/>
                <w:szCs w:val="21"/>
                <w:highlight w:val="none"/>
              </w:rPr>
            </w:pPr>
          </w:p>
        </w:tc>
        <w:tc>
          <w:tcPr>
            <w:tcW w:w="1395" w:type="pct"/>
            <w:vAlign w:val="center"/>
          </w:tcPr>
          <w:p w14:paraId="15CE8362">
            <w:pPr>
              <w:pStyle w:val="51"/>
              <w:jc w:val="center"/>
              <w:rPr>
                <w:rFonts w:hint="eastAsia" w:ascii="宋体" w:hAnsi="宋体" w:eastAsia="宋体" w:cs="宋体"/>
                <w:color w:val="auto"/>
                <w:sz w:val="21"/>
                <w:szCs w:val="21"/>
                <w:highlight w:val="none"/>
              </w:rPr>
            </w:pPr>
          </w:p>
        </w:tc>
        <w:tc>
          <w:tcPr>
            <w:tcW w:w="1002" w:type="pct"/>
            <w:vAlign w:val="center"/>
          </w:tcPr>
          <w:p w14:paraId="78520959">
            <w:pPr>
              <w:pStyle w:val="51"/>
              <w:jc w:val="center"/>
              <w:rPr>
                <w:rFonts w:hint="eastAsia" w:ascii="宋体" w:hAnsi="宋体" w:eastAsia="宋体" w:cs="宋体"/>
                <w:color w:val="auto"/>
                <w:sz w:val="21"/>
                <w:szCs w:val="21"/>
                <w:highlight w:val="none"/>
              </w:rPr>
            </w:pPr>
          </w:p>
        </w:tc>
        <w:tc>
          <w:tcPr>
            <w:tcW w:w="1090" w:type="pct"/>
            <w:vAlign w:val="center"/>
          </w:tcPr>
          <w:p w14:paraId="6B647A83">
            <w:pPr>
              <w:pStyle w:val="51"/>
              <w:jc w:val="center"/>
              <w:rPr>
                <w:rFonts w:hint="eastAsia" w:ascii="宋体" w:hAnsi="宋体" w:eastAsia="宋体" w:cs="宋体"/>
                <w:color w:val="auto"/>
                <w:sz w:val="21"/>
                <w:szCs w:val="21"/>
                <w:highlight w:val="none"/>
              </w:rPr>
            </w:pPr>
          </w:p>
        </w:tc>
        <w:tc>
          <w:tcPr>
            <w:tcW w:w="1090" w:type="pct"/>
            <w:vAlign w:val="center"/>
          </w:tcPr>
          <w:p w14:paraId="53ABE546">
            <w:pPr>
              <w:pStyle w:val="51"/>
              <w:jc w:val="center"/>
              <w:rPr>
                <w:rFonts w:hint="eastAsia" w:ascii="宋体" w:hAnsi="宋体" w:eastAsia="宋体" w:cs="宋体"/>
                <w:color w:val="auto"/>
                <w:sz w:val="21"/>
                <w:szCs w:val="21"/>
                <w:highlight w:val="none"/>
              </w:rPr>
            </w:pPr>
          </w:p>
        </w:tc>
      </w:tr>
      <w:tr w14:paraId="2CD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BECA690">
            <w:pPr>
              <w:pStyle w:val="51"/>
              <w:jc w:val="center"/>
              <w:rPr>
                <w:rFonts w:hint="eastAsia" w:ascii="宋体" w:hAnsi="宋体" w:eastAsia="宋体" w:cs="宋体"/>
                <w:color w:val="auto"/>
                <w:sz w:val="21"/>
                <w:szCs w:val="21"/>
                <w:highlight w:val="none"/>
              </w:rPr>
            </w:pPr>
          </w:p>
        </w:tc>
        <w:tc>
          <w:tcPr>
            <w:tcW w:w="1395" w:type="pct"/>
            <w:vAlign w:val="center"/>
          </w:tcPr>
          <w:p w14:paraId="1376A9AF">
            <w:pPr>
              <w:pStyle w:val="51"/>
              <w:jc w:val="center"/>
              <w:rPr>
                <w:rFonts w:hint="eastAsia" w:ascii="宋体" w:hAnsi="宋体" w:eastAsia="宋体" w:cs="宋体"/>
                <w:color w:val="auto"/>
                <w:sz w:val="21"/>
                <w:szCs w:val="21"/>
                <w:highlight w:val="none"/>
              </w:rPr>
            </w:pPr>
          </w:p>
        </w:tc>
        <w:tc>
          <w:tcPr>
            <w:tcW w:w="1002" w:type="pct"/>
            <w:vAlign w:val="center"/>
          </w:tcPr>
          <w:p w14:paraId="021889CB">
            <w:pPr>
              <w:pStyle w:val="51"/>
              <w:jc w:val="center"/>
              <w:rPr>
                <w:rFonts w:hint="eastAsia" w:ascii="宋体" w:hAnsi="宋体" w:eastAsia="宋体" w:cs="宋体"/>
                <w:color w:val="auto"/>
                <w:sz w:val="21"/>
                <w:szCs w:val="21"/>
                <w:highlight w:val="none"/>
              </w:rPr>
            </w:pPr>
          </w:p>
        </w:tc>
        <w:tc>
          <w:tcPr>
            <w:tcW w:w="1090" w:type="pct"/>
            <w:vAlign w:val="center"/>
          </w:tcPr>
          <w:p w14:paraId="1AA6C389">
            <w:pPr>
              <w:pStyle w:val="51"/>
              <w:jc w:val="center"/>
              <w:rPr>
                <w:rFonts w:hint="eastAsia" w:ascii="宋体" w:hAnsi="宋体" w:eastAsia="宋体" w:cs="宋体"/>
                <w:color w:val="auto"/>
                <w:sz w:val="21"/>
                <w:szCs w:val="21"/>
                <w:highlight w:val="none"/>
              </w:rPr>
            </w:pPr>
          </w:p>
        </w:tc>
        <w:tc>
          <w:tcPr>
            <w:tcW w:w="1090" w:type="pct"/>
            <w:vAlign w:val="center"/>
          </w:tcPr>
          <w:p w14:paraId="326386ED">
            <w:pPr>
              <w:pStyle w:val="51"/>
              <w:jc w:val="center"/>
              <w:rPr>
                <w:rFonts w:hint="eastAsia" w:ascii="宋体" w:hAnsi="宋体" w:eastAsia="宋体" w:cs="宋体"/>
                <w:color w:val="auto"/>
                <w:sz w:val="21"/>
                <w:szCs w:val="21"/>
                <w:highlight w:val="none"/>
              </w:rPr>
            </w:pPr>
          </w:p>
        </w:tc>
      </w:tr>
      <w:tr w14:paraId="6463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C03EC05">
            <w:pPr>
              <w:pStyle w:val="51"/>
              <w:jc w:val="center"/>
              <w:rPr>
                <w:rFonts w:hint="eastAsia" w:ascii="宋体" w:hAnsi="宋体" w:eastAsia="宋体" w:cs="宋体"/>
                <w:color w:val="auto"/>
                <w:sz w:val="21"/>
                <w:szCs w:val="21"/>
                <w:highlight w:val="none"/>
              </w:rPr>
            </w:pPr>
          </w:p>
        </w:tc>
        <w:tc>
          <w:tcPr>
            <w:tcW w:w="1395" w:type="pct"/>
            <w:vAlign w:val="center"/>
          </w:tcPr>
          <w:p w14:paraId="03E9879F">
            <w:pPr>
              <w:pStyle w:val="51"/>
              <w:jc w:val="center"/>
              <w:rPr>
                <w:rFonts w:hint="eastAsia" w:ascii="宋体" w:hAnsi="宋体" w:eastAsia="宋体" w:cs="宋体"/>
                <w:color w:val="auto"/>
                <w:sz w:val="21"/>
                <w:szCs w:val="21"/>
                <w:highlight w:val="none"/>
              </w:rPr>
            </w:pPr>
          </w:p>
        </w:tc>
        <w:tc>
          <w:tcPr>
            <w:tcW w:w="1002" w:type="pct"/>
            <w:vAlign w:val="center"/>
          </w:tcPr>
          <w:p w14:paraId="602D2FCF">
            <w:pPr>
              <w:pStyle w:val="51"/>
              <w:jc w:val="center"/>
              <w:rPr>
                <w:rFonts w:hint="eastAsia" w:ascii="宋体" w:hAnsi="宋体" w:eastAsia="宋体" w:cs="宋体"/>
                <w:color w:val="auto"/>
                <w:sz w:val="21"/>
                <w:szCs w:val="21"/>
                <w:highlight w:val="none"/>
              </w:rPr>
            </w:pPr>
          </w:p>
        </w:tc>
        <w:tc>
          <w:tcPr>
            <w:tcW w:w="1090" w:type="pct"/>
            <w:vAlign w:val="center"/>
          </w:tcPr>
          <w:p w14:paraId="53E5BFE6">
            <w:pPr>
              <w:pStyle w:val="51"/>
              <w:jc w:val="center"/>
              <w:rPr>
                <w:rFonts w:hint="eastAsia" w:ascii="宋体" w:hAnsi="宋体" w:eastAsia="宋体" w:cs="宋体"/>
                <w:color w:val="auto"/>
                <w:sz w:val="21"/>
                <w:szCs w:val="21"/>
                <w:highlight w:val="none"/>
              </w:rPr>
            </w:pPr>
          </w:p>
        </w:tc>
        <w:tc>
          <w:tcPr>
            <w:tcW w:w="1090" w:type="pct"/>
            <w:vAlign w:val="center"/>
          </w:tcPr>
          <w:p w14:paraId="3AA5DDE3">
            <w:pPr>
              <w:pStyle w:val="51"/>
              <w:jc w:val="center"/>
              <w:rPr>
                <w:rFonts w:hint="eastAsia" w:ascii="宋体" w:hAnsi="宋体" w:eastAsia="宋体" w:cs="宋体"/>
                <w:color w:val="auto"/>
                <w:sz w:val="21"/>
                <w:szCs w:val="21"/>
                <w:highlight w:val="none"/>
              </w:rPr>
            </w:pPr>
          </w:p>
        </w:tc>
      </w:tr>
      <w:tr w14:paraId="1B88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0B43B81">
            <w:pPr>
              <w:pStyle w:val="51"/>
              <w:jc w:val="center"/>
              <w:rPr>
                <w:rFonts w:hint="eastAsia" w:ascii="宋体" w:hAnsi="宋体" w:eastAsia="宋体" w:cs="宋体"/>
                <w:color w:val="auto"/>
                <w:sz w:val="21"/>
                <w:szCs w:val="21"/>
                <w:highlight w:val="none"/>
              </w:rPr>
            </w:pPr>
          </w:p>
        </w:tc>
        <w:tc>
          <w:tcPr>
            <w:tcW w:w="1395" w:type="pct"/>
            <w:vAlign w:val="center"/>
          </w:tcPr>
          <w:p w14:paraId="002C280D">
            <w:pPr>
              <w:pStyle w:val="51"/>
              <w:jc w:val="center"/>
              <w:rPr>
                <w:rFonts w:hint="eastAsia" w:ascii="宋体" w:hAnsi="宋体" w:eastAsia="宋体" w:cs="宋体"/>
                <w:color w:val="auto"/>
                <w:sz w:val="21"/>
                <w:szCs w:val="21"/>
                <w:highlight w:val="none"/>
              </w:rPr>
            </w:pPr>
          </w:p>
        </w:tc>
        <w:tc>
          <w:tcPr>
            <w:tcW w:w="1002" w:type="pct"/>
            <w:vAlign w:val="center"/>
          </w:tcPr>
          <w:p w14:paraId="0042BF48">
            <w:pPr>
              <w:pStyle w:val="51"/>
              <w:jc w:val="center"/>
              <w:rPr>
                <w:rFonts w:hint="eastAsia" w:ascii="宋体" w:hAnsi="宋体" w:eastAsia="宋体" w:cs="宋体"/>
                <w:color w:val="auto"/>
                <w:sz w:val="21"/>
                <w:szCs w:val="21"/>
                <w:highlight w:val="none"/>
              </w:rPr>
            </w:pPr>
          </w:p>
        </w:tc>
        <w:tc>
          <w:tcPr>
            <w:tcW w:w="1090" w:type="pct"/>
            <w:vAlign w:val="center"/>
          </w:tcPr>
          <w:p w14:paraId="101256FD">
            <w:pPr>
              <w:pStyle w:val="51"/>
              <w:jc w:val="center"/>
              <w:rPr>
                <w:rFonts w:hint="eastAsia" w:ascii="宋体" w:hAnsi="宋体" w:eastAsia="宋体" w:cs="宋体"/>
                <w:color w:val="auto"/>
                <w:sz w:val="21"/>
                <w:szCs w:val="21"/>
                <w:highlight w:val="none"/>
              </w:rPr>
            </w:pPr>
          </w:p>
        </w:tc>
        <w:tc>
          <w:tcPr>
            <w:tcW w:w="1090" w:type="pct"/>
            <w:vAlign w:val="center"/>
          </w:tcPr>
          <w:p w14:paraId="1C7FF8A5">
            <w:pPr>
              <w:pStyle w:val="51"/>
              <w:jc w:val="center"/>
              <w:rPr>
                <w:rFonts w:hint="eastAsia" w:ascii="宋体" w:hAnsi="宋体" w:eastAsia="宋体" w:cs="宋体"/>
                <w:color w:val="auto"/>
                <w:sz w:val="21"/>
                <w:szCs w:val="21"/>
                <w:highlight w:val="none"/>
              </w:rPr>
            </w:pPr>
          </w:p>
        </w:tc>
      </w:tr>
      <w:tr w14:paraId="02F1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458511A">
            <w:pPr>
              <w:pStyle w:val="51"/>
              <w:jc w:val="center"/>
              <w:rPr>
                <w:rFonts w:hint="eastAsia" w:ascii="宋体" w:hAnsi="宋体" w:eastAsia="宋体" w:cs="宋体"/>
                <w:color w:val="auto"/>
                <w:sz w:val="21"/>
                <w:szCs w:val="21"/>
                <w:highlight w:val="none"/>
              </w:rPr>
            </w:pPr>
          </w:p>
        </w:tc>
        <w:tc>
          <w:tcPr>
            <w:tcW w:w="1395" w:type="pct"/>
            <w:vAlign w:val="center"/>
          </w:tcPr>
          <w:p w14:paraId="5682E2D1">
            <w:pPr>
              <w:pStyle w:val="51"/>
              <w:jc w:val="center"/>
              <w:rPr>
                <w:rFonts w:hint="eastAsia" w:ascii="宋体" w:hAnsi="宋体" w:eastAsia="宋体" w:cs="宋体"/>
                <w:color w:val="auto"/>
                <w:sz w:val="21"/>
                <w:szCs w:val="21"/>
                <w:highlight w:val="none"/>
              </w:rPr>
            </w:pPr>
          </w:p>
        </w:tc>
        <w:tc>
          <w:tcPr>
            <w:tcW w:w="1002" w:type="pct"/>
            <w:vAlign w:val="center"/>
          </w:tcPr>
          <w:p w14:paraId="76E9879E">
            <w:pPr>
              <w:pStyle w:val="51"/>
              <w:jc w:val="center"/>
              <w:rPr>
                <w:rFonts w:hint="eastAsia" w:ascii="宋体" w:hAnsi="宋体" w:eastAsia="宋体" w:cs="宋体"/>
                <w:color w:val="auto"/>
                <w:sz w:val="21"/>
                <w:szCs w:val="21"/>
                <w:highlight w:val="none"/>
              </w:rPr>
            </w:pPr>
          </w:p>
        </w:tc>
        <w:tc>
          <w:tcPr>
            <w:tcW w:w="1090" w:type="pct"/>
            <w:vAlign w:val="center"/>
          </w:tcPr>
          <w:p w14:paraId="63343BAE">
            <w:pPr>
              <w:pStyle w:val="51"/>
              <w:jc w:val="center"/>
              <w:rPr>
                <w:rFonts w:hint="eastAsia" w:ascii="宋体" w:hAnsi="宋体" w:eastAsia="宋体" w:cs="宋体"/>
                <w:color w:val="auto"/>
                <w:sz w:val="21"/>
                <w:szCs w:val="21"/>
                <w:highlight w:val="none"/>
              </w:rPr>
            </w:pPr>
          </w:p>
        </w:tc>
        <w:tc>
          <w:tcPr>
            <w:tcW w:w="1090" w:type="pct"/>
            <w:vAlign w:val="center"/>
          </w:tcPr>
          <w:p w14:paraId="2F4D9BEC">
            <w:pPr>
              <w:pStyle w:val="51"/>
              <w:jc w:val="center"/>
              <w:rPr>
                <w:rFonts w:hint="eastAsia" w:ascii="宋体" w:hAnsi="宋体" w:eastAsia="宋体" w:cs="宋体"/>
                <w:color w:val="auto"/>
                <w:sz w:val="21"/>
                <w:szCs w:val="21"/>
                <w:highlight w:val="none"/>
              </w:rPr>
            </w:pPr>
          </w:p>
        </w:tc>
      </w:tr>
      <w:tr w14:paraId="650A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D23FA22">
            <w:pPr>
              <w:pStyle w:val="51"/>
              <w:jc w:val="center"/>
              <w:rPr>
                <w:rFonts w:hint="eastAsia" w:ascii="宋体" w:hAnsi="宋体" w:eastAsia="宋体" w:cs="宋体"/>
                <w:color w:val="auto"/>
                <w:sz w:val="21"/>
                <w:szCs w:val="21"/>
                <w:highlight w:val="none"/>
              </w:rPr>
            </w:pPr>
          </w:p>
        </w:tc>
        <w:tc>
          <w:tcPr>
            <w:tcW w:w="1395" w:type="pct"/>
            <w:vAlign w:val="center"/>
          </w:tcPr>
          <w:p w14:paraId="582C2856">
            <w:pPr>
              <w:pStyle w:val="51"/>
              <w:jc w:val="center"/>
              <w:rPr>
                <w:rFonts w:hint="eastAsia" w:ascii="宋体" w:hAnsi="宋体" w:eastAsia="宋体" w:cs="宋体"/>
                <w:color w:val="auto"/>
                <w:sz w:val="21"/>
                <w:szCs w:val="21"/>
                <w:highlight w:val="none"/>
              </w:rPr>
            </w:pPr>
          </w:p>
        </w:tc>
        <w:tc>
          <w:tcPr>
            <w:tcW w:w="1002" w:type="pct"/>
            <w:vAlign w:val="center"/>
          </w:tcPr>
          <w:p w14:paraId="324F9122">
            <w:pPr>
              <w:pStyle w:val="51"/>
              <w:jc w:val="center"/>
              <w:rPr>
                <w:rFonts w:hint="eastAsia" w:ascii="宋体" w:hAnsi="宋体" w:eastAsia="宋体" w:cs="宋体"/>
                <w:color w:val="auto"/>
                <w:sz w:val="21"/>
                <w:szCs w:val="21"/>
                <w:highlight w:val="none"/>
              </w:rPr>
            </w:pPr>
          </w:p>
        </w:tc>
        <w:tc>
          <w:tcPr>
            <w:tcW w:w="1090" w:type="pct"/>
            <w:vAlign w:val="center"/>
          </w:tcPr>
          <w:p w14:paraId="2C83C7AC">
            <w:pPr>
              <w:pStyle w:val="51"/>
              <w:jc w:val="center"/>
              <w:rPr>
                <w:rFonts w:hint="eastAsia" w:ascii="宋体" w:hAnsi="宋体" w:eastAsia="宋体" w:cs="宋体"/>
                <w:color w:val="auto"/>
                <w:sz w:val="21"/>
                <w:szCs w:val="21"/>
                <w:highlight w:val="none"/>
              </w:rPr>
            </w:pPr>
          </w:p>
        </w:tc>
        <w:tc>
          <w:tcPr>
            <w:tcW w:w="1090" w:type="pct"/>
            <w:vAlign w:val="center"/>
          </w:tcPr>
          <w:p w14:paraId="23B6861A">
            <w:pPr>
              <w:pStyle w:val="51"/>
              <w:jc w:val="center"/>
              <w:rPr>
                <w:rFonts w:hint="eastAsia" w:ascii="宋体" w:hAnsi="宋体" w:eastAsia="宋体" w:cs="宋体"/>
                <w:color w:val="auto"/>
                <w:sz w:val="21"/>
                <w:szCs w:val="21"/>
                <w:highlight w:val="none"/>
              </w:rPr>
            </w:pPr>
          </w:p>
        </w:tc>
      </w:tr>
      <w:tr w14:paraId="53B1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06D2AB5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799470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460CD4A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6A23004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68EC7DE5">
            <w:pPr>
              <w:pStyle w:val="51"/>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307BC303">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1A3EAC71">
      <w:pPr>
        <w:rPr>
          <w:rFonts w:cs="仿宋_GB2312"/>
          <w:color w:val="auto"/>
          <w:szCs w:val="24"/>
          <w:highlight w:val="none"/>
        </w:rPr>
      </w:pPr>
    </w:p>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598C43A6">
      <w:pPr>
        <w:ind w:firstLine="420"/>
        <w:rPr>
          <w:rFonts w:cs="仿宋_GB2312"/>
          <w:color w:val="auto"/>
          <w:szCs w:val="24"/>
          <w:highlight w:val="none"/>
        </w:rPr>
      </w:pP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22" w:name="_Toc32582"/>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922"/>
    </w:p>
    <w:p w14:paraId="7DB08DA5">
      <w:pPr>
        <w:spacing w:line="240" w:lineRule="auto"/>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lang w:eastAsia="zh-CN"/>
        </w:rPr>
        <w:t>项目名称：</w:t>
      </w:r>
      <w:r>
        <w:rPr>
          <w:rFonts w:hint="eastAsia" w:cs="仿宋_GB2312"/>
          <w:color w:val="auto"/>
          <w:szCs w:val="24"/>
          <w:highlight w:val="none"/>
        </w:rPr>
        <w:t xml:space="preserve">                                        </w:t>
      </w:r>
    </w:p>
    <w:p w14:paraId="4A687997">
      <w:pPr>
        <w:spacing w:line="240" w:lineRule="auto"/>
        <w:rPr>
          <w:rFonts w:cs="Arial"/>
          <w:bCs/>
          <w:color w:val="auto"/>
          <w:szCs w:val="21"/>
          <w:highlight w:val="none"/>
        </w:rPr>
      </w:pPr>
      <w:r>
        <w:rPr>
          <w:rFonts w:hint="eastAsia" w:cs="仿宋_GB2312"/>
          <w:color w:val="auto"/>
          <w:szCs w:val="24"/>
          <w:highlight w:val="none"/>
          <w:lang w:eastAsia="zh-CN"/>
        </w:rPr>
        <w:t>项目编号/包号：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1"/>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0BB3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7278D52">
            <w:pPr>
              <w:jc w:val="center"/>
              <w:rPr>
                <w:rFonts w:hint="eastAsia" w:ascii="宋体" w:hAnsi="宋体" w:eastAsia="宋体" w:cs="宋体"/>
                <w:color w:val="auto"/>
                <w:sz w:val="21"/>
                <w:szCs w:val="21"/>
                <w:highlight w:val="none"/>
              </w:rPr>
            </w:pPr>
            <w:bookmarkStart w:id="923" w:name="_Hlk46779239"/>
            <w:r>
              <w:rPr>
                <w:rFonts w:hint="eastAsia" w:ascii="宋体" w:hAnsi="宋体" w:eastAsia="宋体" w:cs="宋体"/>
                <w:color w:val="auto"/>
                <w:sz w:val="21"/>
                <w:szCs w:val="21"/>
                <w:highlight w:val="none"/>
              </w:rPr>
              <w:t>序号</w:t>
            </w:r>
          </w:p>
        </w:tc>
        <w:tc>
          <w:tcPr>
            <w:tcW w:w="1080" w:type="dxa"/>
            <w:vAlign w:val="center"/>
          </w:tcPr>
          <w:p w14:paraId="5EA65C0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15F7119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7F2B957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56A8775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55D436A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0DD0D2D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607D7E4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49BD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1F1D1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5A72089">
            <w:pPr>
              <w:rPr>
                <w:rFonts w:hint="eastAsia" w:ascii="宋体" w:hAnsi="宋体" w:eastAsia="宋体" w:cs="宋体"/>
                <w:color w:val="auto"/>
                <w:sz w:val="21"/>
                <w:szCs w:val="21"/>
                <w:highlight w:val="none"/>
              </w:rPr>
            </w:pPr>
          </w:p>
        </w:tc>
        <w:tc>
          <w:tcPr>
            <w:tcW w:w="1248" w:type="dxa"/>
            <w:vAlign w:val="center"/>
          </w:tcPr>
          <w:p w14:paraId="6F3805E3">
            <w:pPr>
              <w:rPr>
                <w:rFonts w:hint="eastAsia" w:ascii="宋体" w:hAnsi="宋体" w:eastAsia="宋体" w:cs="宋体"/>
                <w:color w:val="auto"/>
                <w:sz w:val="21"/>
                <w:szCs w:val="21"/>
                <w:highlight w:val="none"/>
              </w:rPr>
            </w:pPr>
          </w:p>
        </w:tc>
        <w:tc>
          <w:tcPr>
            <w:tcW w:w="1129" w:type="dxa"/>
            <w:vAlign w:val="center"/>
          </w:tcPr>
          <w:p w14:paraId="7CB7C00C">
            <w:pPr>
              <w:rPr>
                <w:rFonts w:hint="eastAsia" w:ascii="宋体" w:hAnsi="宋体" w:eastAsia="宋体" w:cs="宋体"/>
                <w:color w:val="auto"/>
                <w:sz w:val="21"/>
                <w:szCs w:val="21"/>
                <w:highlight w:val="none"/>
              </w:rPr>
            </w:pPr>
          </w:p>
        </w:tc>
        <w:tc>
          <w:tcPr>
            <w:tcW w:w="1283" w:type="dxa"/>
            <w:vAlign w:val="center"/>
          </w:tcPr>
          <w:p w14:paraId="60DAC622">
            <w:pPr>
              <w:rPr>
                <w:rFonts w:hint="eastAsia" w:ascii="宋体" w:hAnsi="宋体" w:eastAsia="宋体" w:cs="宋体"/>
                <w:color w:val="auto"/>
                <w:sz w:val="21"/>
                <w:szCs w:val="21"/>
                <w:highlight w:val="none"/>
              </w:rPr>
            </w:pPr>
          </w:p>
        </w:tc>
        <w:tc>
          <w:tcPr>
            <w:tcW w:w="1368" w:type="dxa"/>
            <w:vAlign w:val="center"/>
          </w:tcPr>
          <w:p w14:paraId="5436BEC1">
            <w:pPr>
              <w:rPr>
                <w:rFonts w:hint="eastAsia" w:ascii="宋体" w:hAnsi="宋体" w:eastAsia="宋体" w:cs="宋体"/>
                <w:color w:val="auto"/>
                <w:sz w:val="21"/>
                <w:szCs w:val="21"/>
                <w:highlight w:val="none"/>
              </w:rPr>
            </w:pPr>
          </w:p>
        </w:tc>
        <w:tc>
          <w:tcPr>
            <w:tcW w:w="960" w:type="dxa"/>
            <w:vAlign w:val="center"/>
          </w:tcPr>
          <w:p w14:paraId="4A8D26BB">
            <w:pPr>
              <w:rPr>
                <w:rFonts w:hint="eastAsia" w:ascii="宋体" w:hAnsi="宋体" w:eastAsia="宋体" w:cs="宋体"/>
                <w:color w:val="auto"/>
                <w:sz w:val="21"/>
                <w:szCs w:val="21"/>
                <w:highlight w:val="none"/>
              </w:rPr>
            </w:pPr>
          </w:p>
        </w:tc>
        <w:tc>
          <w:tcPr>
            <w:tcW w:w="1176" w:type="dxa"/>
            <w:vAlign w:val="center"/>
          </w:tcPr>
          <w:p w14:paraId="6799D8A5">
            <w:pPr>
              <w:rPr>
                <w:rFonts w:hint="eastAsia" w:ascii="宋体" w:hAnsi="宋体" w:eastAsia="宋体" w:cs="宋体"/>
                <w:color w:val="auto"/>
                <w:sz w:val="21"/>
                <w:szCs w:val="21"/>
                <w:highlight w:val="none"/>
              </w:rPr>
            </w:pPr>
          </w:p>
        </w:tc>
      </w:tr>
      <w:tr w14:paraId="4367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317484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3C7437EA">
            <w:pPr>
              <w:rPr>
                <w:rFonts w:hint="eastAsia" w:ascii="宋体" w:hAnsi="宋体" w:eastAsia="宋体" w:cs="宋体"/>
                <w:color w:val="auto"/>
                <w:sz w:val="21"/>
                <w:szCs w:val="21"/>
                <w:highlight w:val="none"/>
              </w:rPr>
            </w:pPr>
          </w:p>
        </w:tc>
        <w:tc>
          <w:tcPr>
            <w:tcW w:w="1248" w:type="dxa"/>
            <w:vAlign w:val="center"/>
          </w:tcPr>
          <w:p w14:paraId="753A8A2D">
            <w:pPr>
              <w:rPr>
                <w:rFonts w:hint="eastAsia" w:ascii="宋体" w:hAnsi="宋体" w:eastAsia="宋体" w:cs="宋体"/>
                <w:color w:val="auto"/>
                <w:sz w:val="21"/>
                <w:szCs w:val="21"/>
                <w:highlight w:val="none"/>
              </w:rPr>
            </w:pPr>
          </w:p>
        </w:tc>
        <w:tc>
          <w:tcPr>
            <w:tcW w:w="1129" w:type="dxa"/>
            <w:vAlign w:val="center"/>
          </w:tcPr>
          <w:p w14:paraId="02634890">
            <w:pPr>
              <w:rPr>
                <w:rFonts w:hint="eastAsia" w:ascii="宋体" w:hAnsi="宋体" w:eastAsia="宋体" w:cs="宋体"/>
                <w:color w:val="auto"/>
                <w:sz w:val="21"/>
                <w:szCs w:val="21"/>
                <w:highlight w:val="none"/>
              </w:rPr>
            </w:pPr>
          </w:p>
        </w:tc>
        <w:tc>
          <w:tcPr>
            <w:tcW w:w="1283" w:type="dxa"/>
            <w:vAlign w:val="center"/>
          </w:tcPr>
          <w:p w14:paraId="3563AED4">
            <w:pPr>
              <w:rPr>
                <w:rFonts w:hint="eastAsia" w:ascii="宋体" w:hAnsi="宋体" w:eastAsia="宋体" w:cs="宋体"/>
                <w:color w:val="auto"/>
                <w:sz w:val="21"/>
                <w:szCs w:val="21"/>
                <w:highlight w:val="none"/>
              </w:rPr>
            </w:pPr>
          </w:p>
        </w:tc>
        <w:tc>
          <w:tcPr>
            <w:tcW w:w="1368" w:type="dxa"/>
            <w:vAlign w:val="center"/>
          </w:tcPr>
          <w:p w14:paraId="4ED6DFCE">
            <w:pPr>
              <w:rPr>
                <w:rFonts w:hint="eastAsia" w:ascii="宋体" w:hAnsi="宋体" w:eastAsia="宋体" w:cs="宋体"/>
                <w:color w:val="auto"/>
                <w:sz w:val="21"/>
                <w:szCs w:val="21"/>
                <w:highlight w:val="none"/>
              </w:rPr>
            </w:pPr>
          </w:p>
        </w:tc>
        <w:tc>
          <w:tcPr>
            <w:tcW w:w="960" w:type="dxa"/>
            <w:vAlign w:val="center"/>
          </w:tcPr>
          <w:p w14:paraId="3DDF15B1">
            <w:pPr>
              <w:rPr>
                <w:rFonts w:hint="eastAsia" w:ascii="宋体" w:hAnsi="宋体" w:eastAsia="宋体" w:cs="宋体"/>
                <w:color w:val="auto"/>
                <w:sz w:val="21"/>
                <w:szCs w:val="21"/>
                <w:highlight w:val="none"/>
              </w:rPr>
            </w:pPr>
          </w:p>
        </w:tc>
        <w:tc>
          <w:tcPr>
            <w:tcW w:w="1176" w:type="dxa"/>
            <w:vAlign w:val="center"/>
          </w:tcPr>
          <w:p w14:paraId="069D1E24">
            <w:pPr>
              <w:rPr>
                <w:rFonts w:hint="eastAsia" w:ascii="宋体" w:hAnsi="宋体" w:eastAsia="宋体" w:cs="宋体"/>
                <w:color w:val="auto"/>
                <w:sz w:val="21"/>
                <w:szCs w:val="21"/>
                <w:highlight w:val="none"/>
              </w:rPr>
            </w:pPr>
          </w:p>
        </w:tc>
      </w:tr>
      <w:tr w14:paraId="026F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CB6EA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5AFF132B">
            <w:pPr>
              <w:rPr>
                <w:rFonts w:hint="eastAsia" w:ascii="宋体" w:hAnsi="宋体" w:eastAsia="宋体" w:cs="宋体"/>
                <w:color w:val="auto"/>
                <w:sz w:val="21"/>
                <w:szCs w:val="21"/>
                <w:highlight w:val="none"/>
              </w:rPr>
            </w:pPr>
          </w:p>
        </w:tc>
        <w:tc>
          <w:tcPr>
            <w:tcW w:w="1248" w:type="dxa"/>
            <w:vAlign w:val="center"/>
          </w:tcPr>
          <w:p w14:paraId="40DFA463">
            <w:pPr>
              <w:rPr>
                <w:rFonts w:hint="eastAsia" w:ascii="宋体" w:hAnsi="宋体" w:eastAsia="宋体" w:cs="宋体"/>
                <w:color w:val="auto"/>
                <w:sz w:val="21"/>
                <w:szCs w:val="21"/>
                <w:highlight w:val="none"/>
              </w:rPr>
            </w:pPr>
          </w:p>
        </w:tc>
        <w:tc>
          <w:tcPr>
            <w:tcW w:w="1129" w:type="dxa"/>
            <w:vAlign w:val="center"/>
          </w:tcPr>
          <w:p w14:paraId="192188BA">
            <w:pPr>
              <w:rPr>
                <w:rFonts w:hint="eastAsia" w:ascii="宋体" w:hAnsi="宋体" w:eastAsia="宋体" w:cs="宋体"/>
                <w:color w:val="auto"/>
                <w:sz w:val="21"/>
                <w:szCs w:val="21"/>
                <w:highlight w:val="none"/>
              </w:rPr>
            </w:pPr>
          </w:p>
        </w:tc>
        <w:tc>
          <w:tcPr>
            <w:tcW w:w="1283" w:type="dxa"/>
            <w:vAlign w:val="center"/>
          </w:tcPr>
          <w:p w14:paraId="58044B96">
            <w:pPr>
              <w:rPr>
                <w:rFonts w:hint="eastAsia" w:ascii="宋体" w:hAnsi="宋体" w:eastAsia="宋体" w:cs="宋体"/>
                <w:color w:val="auto"/>
                <w:sz w:val="21"/>
                <w:szCs w:val="21"/>
                <w:highlight w:val="none"/>
              </w:rPr>
            </w:pPr>
          </w:p>
        </w:tc>
        <w:tc>
          <w:tcPr>
            <w:tcW w:w="1368" w:type="dxa"/>
            <w:vAlign w:val="center"/>
          </w:tcPr>
          <w:p w14:paraId="10BAB04D">
            <w:pPr>
              <w:rPr>
                <w:rFonts w:hint="eastAsia" w:ascii="宋体" w:hAnsi="宋体" w:eastAsia="宋体" w:cs="宋体"/>
                <w:color w:val="auto"/>
                <w:sz w:val="21"/>
                <w:szCs w:val="21"/>
                <w:highlight w:val="none"/>
              </w:rPr>
            </w:pPr>
          </w:p>
        </w:tc>
        <w:tc>
          <w:tcPr>
            <w:tcW w:w="960" w:type="dxa"/>
            <w:vAlign w:val="center"/>
          </w:tcPr>
          <w:p w14:paraId="38FE3D5D">
            <w:pPr>
              <w:rPr>
                <w:rFonts w:hint="eastAsia" w:ascii="宋体" w:hAnsi="宋体" w:eastAsia="宋体" w:cs="宋体"/>
                <w:color w:val="auto"/>
                <w:sz w:val="21"/>
                <w:szCs w:val="21"/>
                <w:highlight w:val="none"/>
              </w:rPr>
            </w:pPr>
          </w:p>
        </w:tc>
        <w:tc>
          <w:tcPr>
            <w:tcW w:w="1176" w:type="dxa"/>
            <w:vAlign w:val="center"/>
          </w:tcPr>
          <w:p w14:paraId="048AC4DE">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129" w:type="dxa"/>
            <w:vAlign w:val="center"/>
          </w:tcPr>
          <w:p w14:paraId="502FE2B6">
            <w:pPr>
              <w:rPr>
                <w:rFonts w:hint="eastAsia" w:ascii="宋体" w:hAnsi="宋体" w:eastAsia="宋体" w:cs="宋体"/>
                <w:color w:val="auto"/>
                <w:sz w:val="21"/>
                <w:szCs w:val="21"/>
                <w:highlight w:val="none"/>
              </w:rPr>
            </w:pPr>
          </w:p>
        </w:tc>
        <w:tc>
          <w:tcPr>
            <w:tcW w:w="1283" w:type="dxa"/>
            <w:vAlign w:val="center"/>
          </w:tcPr>
          <w:p w14:paraId="44F7BE63">
            <w:pPr>
              <w:rPr>
                <w:rFonts w:hint="eastAsia" w:ascii="宋体" w:hAnsi="宋体" w:eastAsia="宋体" w:cs="宋体"/>
                <w:color w:val="auto"/>
                <w:sz w:val="21"/>
                <w:szCs w:val="21"/>
                <w:highlight w:val="none"/>
              </w:rPr>
            </w:pPr>
          </w:p>
        </w:tc>
        <w:tc>
          <w:tcPr>
            <w:tcW w:w="1368" w:type="dxa"/>
            <w:vAlign w:val="center"/>
          </w:tcPr>
          <w:p w14:paraId="463BDC1B">
            <w:pPr>
              <w:rPr>
                <w:rFonts w:hint="eastAsia" w:ascii="宋体" w:hAnsi="宋体" w:eastAsia="宋体" w:cs="宋体"/>
                <w:color w:val="auto"/>
                <w:sz w:val="21"/>
                <w:szCs w:val="21"/>
                <w:highlight w:val="none"/>
              </w:rPr>
            </w:pPr>
          </w:p>
        </w:tc>
        <w:tc>
          <w:tcPr>
            <w:tcW w:w="960" w:type="dxa"/>
            <w:vAlign w:val="center"/>
          </w:tcPr>
          <w:p w14:paraId="5208210B">
            <w:pPr>
              <w:rPr>
                <w:rFonts w:hint="eastAsia" w:ascii="宋体" w:hAnsi="宋体" w:eastAsia="宋体" w:cs="宋体"/>
                <w:color w:val="auto"/>
                <w:sz w:val="21"/>
                <w:szCs w:val="21"/>
                <w:highlight w:val="none"/>
              </w:rPr>
            </w:pPr>
          </w:p>
        </w:tc>
        <w:tc>
          <w:tcPr>
            <w:tcW w:w="1176"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129" w:type="dxa"/>
            <w:vAlign w:val="center"/>
          </w:tcPr>
          <w:p w14:paraId="0BFD5658">
            <w:pPr>
              <w:rPr>
                <w:rFonts w:hint="eastAsia" w:ascii="宋体" w:hAnsi="宋体" w:eastAsia="宋体" w:cs="宋体"/>
                <w:color w:val="auto"/>
                <w:sz w:val="21"/>
                <w:szCs w:val="21"/>
                <w:highlight w:val="none"/>
              </w:rPr>
            </w:pPr>
          </w:p>
        </w:tc>
        <w:tc>
          <w:tcPr>
            <w:tcW w:w="1283" w:type="dxa"/>
            <w:vAlign w:val="center"/>
          </w:tcPr>
          <w:p w14:paraId="56955758">
            <w:pPr>
              <w:rPr>
                <w:rFonts w:hint="eastAsia" w:ascii="宋体" w:hAnsi="宋体" w:eastAsia="宋体" w:cs="宋体"/>
                <w:color w:val="auto"/>
                <w:sz w:val="21"/>
                <w:szCs w:val="21"/>
                <w:highlight w:val="none"/>
              </w:rPr>
            </w:pPr>
          </w:p>
        </w:tc>
        <w:tc>
          <w:tcPr>
            <w:tcW w:w="1368" w:type="dxa"/>
            <w:vAlign w:val="center"/>
          </w:tcPr>
          <w:p w14:paraId="6AF4F252">
            <w:pPr>
              <w:rPr>
                <w:rFonts w:hint="eastAsia" w:ascii="宋体" w:hAnsi="宋体" w:eastAsia="宋体" w:cs="宋体"/>
                <w:color w:val="auto"/>
                <w:sz w:val="21"/>
                <w:szCs w:val="21"/>
                <w:highlight w:val="none"/>
              </w:rPr>
            </w:pPr>
          </w:p>
        </w:tc>
        <w:tc>
          <w:tcPr>
            <w:tcW w:w="960" w:type="dxa"/>
            <w:vAlign w:val="center"/>
          </w:tcPr>
          <w:p w14:paraId="0E461DD3">
            <w:pPr>
              <w:rPr>
                <w:rFonts w:hint="eastAsia" w:ascii="宋体" w:hAnsi="宋体" w:eastAsia="宋体" w:cs="宋体"/>
                <w:color w:val="auto"/>
                <w:sz w:val="21"/>
                <w:szCs w:val="21"/>
                <w:highlight w:val="none"/>
              </w:rPr>
            </w:pPr>
          </w:p>
        </w:tc>
        <w:tc>
          <w:tcPr>
            <w:tcW w:w="1176" w:type="dxa"/>
            <w:vAlign w:val="center"/>
          </w:tcPr>
          <w:p w14:paraId="5804A0BF">
            <w:pPr>
              <w:rPr>
                <w:rFonts w:hint="eastAsia" w:ascii="宋体" w:hAnsi="宋体" w:eastAsia="宋体" w:cs="宋体"/>
                <w:color w:val="auto"/>
                <w:sz w:val="21"/>
                <w:szCs w:val="21"/>
                <w:highlight w:val="none"/>
              </w:rPr>
            </w:pPr>
          </w:p>
        </w:tc>
      </w:tr>
      <w:tr w14:paraId="682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EB02E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30E7C832">
            <w:pPr>
              <w:rPr>
                <w:rFonts w:hint="eastAsia" w:ascii="宋体" w:hAnsi="宋体" w:eastAsia="宋体" w:cs="宋体"/>
                <w:color w:val="auto"/>
                <w:sz w:val="21"/>
                <w:szCs w:val="21"/>
                <w:highlight w:val="none"/>
              </w:rPr>
            </w:pPr>
          </w:p>
        </w:tc>
        <w:tc>
          <w:tcPr>
            <w:tcW w:w="1248" w:type="dxa"/>
            <w:vAlign w:val="center"/>
          </w:tcPr>
          <w:p w14:paraId="147B2F98">
            <w:pPr>
              <w:rPr>
                <w:rFonts w:hint="eastAsia" w:ascii="宋体" w:hAnsi="宋体" w:eastAsia="宋体" w:cs="宋体"/>
                <w:color w:val="auto"/>
                <w:sz w:val="21"/>
                <w:szCs w:val="21"/>
                <w:highlight w:val="none"/>
              </w:rPr>
            </w:pPr>
          </w:p>
        </w:tc>
        <w:tc>
          <w:tcPr>
            <w:tcW w:w="1129" w:type="dxa"/>
            <w:vAlign w:val="center"/>
          </w:tcPr>
          <w:p w14:paraId="61B0E0D4">
            <w:pPr>
              <w:rPr>
                <w:rFonts w:hint="eastAsia" w:ascii="宋体" w:hAnsi="宋体" w:eastAsia="宋体" w:cs="宋体"/>
                <w:color w:val="auto"/>
                <w:sz w:val="21"/>
                <w:szCs w:val="21"/>
                <w:highlight w:val="none"/>
              </w:rPr>
            </w:pPr>
          </w:p>
        </w:tc>
        <w:tc>
          <w:tcPr>
            <w:tcW w:w="1283" w:type="dxa"/>
            <w:vAlign w:val="center"/>
          </w:tcPr>
          <w:p w14:paraId="6B918799">
            <w:pPr>
              <w:rPr>
                <w:rFonts w:hint="eastAsia" w:ascii="宋体" w:hAnsi="宋体" w:eastAsia="宋体" w:cs="宋体"/>
                <w:color w:val="auto"/>
                <w:sz w:val="21"/>
                <w:szCs w:val="21"/>
                <w:highlight w:val="none"/>
              </w:rPr>
            </w:pPr>
          </w:p>
        </w:tc>
        <w:tc>
          <w:tcPr>
            <w:tcW w:w="1368" w:type="dxa"/>
            <w:vAlign w:val="center"/>
          </w:tcPr>
          <w:p w14:paraId="1BCEEA1A">
            <w:pPr>
              <w:rPr>
                <w:rFonts w:hint="eastAsia" w:ascii="宋体" w:hAnsi="宋体" w:eastAsia="宋体" w:cs="宋体"/>
                <w:color w:val="auto"/>
                <w:sz w:val="21"/>
                <w:szCs w:val="21"/>
                <w:highlight w:val="none"/>
              </w:rPr>
            </w:pPr>
          </w:p>
        </w:tc>
        <w:tc>
          <w:tcPr>
            <w:tcW w:w="960" w:type="dxa"/>
            <w:vAlign w:val="center"/>
          </w:tcPr>
          <w:p w14:paraId="4A3F6BEC">
            <w:pPr>
              <w:rPr>
                <w:rFonts w:hint="eastAsia" w:ascii="宋体" w:hAnsi="宋体" w:eastAsia="宋体" w:cs="宋体"/>
                <w:color w:val="auto"/>
                <w:sz w:val="21"/>
                <w:szCs w:val="21"/>
                <w:highlight w:val="none"/>
              </w:rPr>
            </w:pPr>
          </w:p>
        </w:tc>
        <w:tc>
          <w:tcPr>
            <w:tcW w:w="1176" w:type="dxa"/>
            <w:vAlign w:val="center"/>
          </w:tcPr>
          <w:p w14:paraId="459FE74C">
            <w:pPr>
              <w:rPr>
                <w:rFonts w:hint="eastAsia" w:ascii="宋体" w:hAnsi="宋体" w:eastAsia="宋体" w:cs="宋体"/>
                <w:color w:val="auto"/>
                <w:sz w:val="21"/>
                <w:szCs w:val="21"/>
                <w:highlight w:val="none"/>
              </w:rPr>
            </w:pPr>
          </w:p>
        </w:tc>
      </w:tr>
      <w:bookmarkEnd w:id="923"/>
    </w:tbl>
    <w:p w14:paraId="0D2F5038">
      <w:pPr>
        <w:rPr>
          <w:rFonts w:hint="eastAsia" w:cs="仿宋_GB2312"/>
          <w:color w:val="auto"/>
          <w:szCs w:val="24"/>
          <w:highlight w:val="none"/>
        </w:rPr>
      </w:pPr>
    </w:p>
    <w:p w14:paraId="088168D4">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7D75AD1">
      <w:pPr>
        <w:rPr>
          <w:rFonts w:cs="仿宋_GB2312"/>
          <w:color w:val="auto"/>
          <w:szCs w:val="24"/>
          <w:highlight w:val="none"/>
        </w:rPr>
      </w:pPr>
    </w:p>
    <w:p w14:paraId="5DB99613">
      <w:pPr>
        <w:widowControl/>
        <w:spacing w:before="100" w:beforeAutospacing="1" w:after="100" w:afterAutospacing="1"/>
        <w:rPr>
          <w:rFonts w:cs="Arial"/>
          <w:color w:val="auto"/>
          <w:szCs w:val="21"/>
          <w:highlight w:val="none"/>
        </w:rPr>
      </w:pPr>
    </w:p>
    <w:p w14:paraId="68FCBA1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24" w:name="_Toc24853"/>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924"/>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4" w:hRule="atLeast"/>
        </w:trPr>
        <w:tc>
          <w:tcPr>
            <w:tcW w:w="773" w:type="dxa"/>
            <w:vAlign w:val="center"/>
          </w:tcPr>
          <w:p w14:paraId="6B0F782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0940B260">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1"/>
              <w:jc w:val="center"/>
              <w:rPr>
                <w:rFonts w:hint="eastAsia" w:ascii="宋体" w:hAnsi="宋体" w:eastAsia="宋体" w:cs="宋体"/>
                <w:color w:val="auto"/>
                <w:sz w:val="21"/>
                <w:szCs w:val="21"/>
                <w:highlight w:val="none"/>
              </w:rPr>
            </w:pPr>
            <w:bookmarkStart w:id="925" w:name="_Toc99533292"/>
            <w:bookmarkStart w:id="926" w:name="_Toc100090784"/>
            <w:r>
              <w:rPr>
                <w:rFonts w:hint="eastAsia" w:ascii="宋体" w:hAnsi="宋体" w:eastAsia="宋体" w:cs="宋体"/>
                <w:color w:val="auto"/>
                <w:sz w:val="21"/>
                <w:szCs w:val="21"/>
                <w:highlight w:val="none"/>
              </w:rPr>
              <w:t>1</w:t>
            </w:r>
            <w:bookmarkEnd w:id="925"/>
            <w:bookmarkEnd w:id="926"/>
          </w:p>
        </w:tc>
        <w:tc>
          <w:tcPr>
            <w:tcW w:w="1267" w:type="dxa"/>
            <w:vAlign w:val="center"/>
          </w:tcPr>
          <w:p w14:paraId="04D72608">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1"/>
              <w:jc w:val="center"/>
              <w:rPr>
                <w:rFonts w:hint="eastAsia" w:ascii="宋体" w:hAnsi="宋体" w:eastAsia="宋体" w:cs="宋体"/>
                <w:color w:val="auto"/>
                <w:sz w:val="21"/>
                <w:szCs w:val="21"/>
                <w:highlight w:val="none"/>
              </w:rPr>
            </w:pPr>
          </w:p>
        </w:tc>
        <w:tc>
          <w:tcPr>
            <w:tcW w:w="1860" w:type="dxa"/>
            <w:vAlign w:val="center"/>
          </w:tcPr>
          <w:p w14:paraId="7F355EC3">
            <w:pPr>
              <w:pStyle w:val="51"/>
              <w:jc w:val="center"/>
              <w:rPr>
                <w:rFonts w:hint="eastAsia" w:ascii="宋体" w:hAnsi="宋体" w:eastAsia="宋体" w:cs="宋体"/>
                <w:color w:val="auto"/>
                <w:sz w:val="21"/>
                <w:szCs w:val="21"/>
                <w:highlight w:val="none"/>
              </w:rPr>
            </w:pPr>
          </w:p>
        </w:tc>
        <w:tc>
          <w:tcPr>
            <w:tcW w:w="1356" w:type="dxa"/>
            <w:vAlign w:val="center"/>
          </w:tcPr>
          <w:p w14:paraId="11476DCE">
            <w:pPr>
              <w:pStyle w:val="51"/>
              <w:jc w:val="center"/>
              <w:rPr>
                <w:rFonts w:hint="eastAsia" w:ascii="宋体" w:hAnsi="宋体" w:eastAsia="宋体" w:cs="宋体"/>
                <w:color w:val="auto"/>
                <w:sz w:val="21"/>
                <w:szCs w:val="21"/>
                <w:highlight w:val="none"/>
              </w:rPr>
            </w:pPr>
          </w:p>
        </w:tc>
        <w:tc>
          <w:tcPr>
            <w:tcW w:w="816" w:type="dxa"/>
            <w:vAlign w:val="center"/>
          </w:tcPr>
          <w:p w14:paraId="30F5864D">
            <w:pPr>
              <w:pStyle w:val="51"/>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1"/>
              <w:jc w:val="center"/>
              <w:rPr>
                <w:rFonts w:hint="eastAsia" w:ascii="宋体" w:hAnsi="宋体" w:eastAsia="宋体" w:cs="宋体"/>
                <w:color w:val="auto"/>
                <w:sz w:val="21"/>
                <w:szCs w:val="21"/>
                <w:highlight w:val="none"/>
              </w:rPr>
            </w:pPr>
            <w:bookmarkStart w:id="927" w:name="_Toc100090785"/>
            <w:bookmarkStart w:id="928" w:name="_Toc99533293"/>
            <w:r>
              <w:rPr>
                <w:rFonts w:hint="eastAsia" w:ascii="宋体" w:hAnsi="宋体" w:eastAsia="宋体" w:cs="宋体"/>
                <w:color w:val="auto"/>
                <w:sz w:val="21"/>
                <w:szCs w:val="21"/>
                <w:highlight w:val="none"/>
              </w:rPr>
              <w:t>2</w:t>
            </w:r>
            <w:bookmarkEnd w:id="927"/>
            <w:bookmarkEnd w:id="928"/>
          </w:p>
        </w:tc>
        <w:tc>
          <w:tcPr>
            <w:tcW w:w="1267" w:type="dxa"/>
            <w:vAlign w:val="center"/>
          </w:tcPr>
          <w:p w14:paraId="3AE14FF6">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1"/>
              <w:jc w:val="center"/>
              <w:rPr>
                <w:rFonts w:hint="eastAsia" w:ascii="宋体" w:hAnsi="宋体" w:eastAsia="宋体" w:cs="宋体"/>
                <w:color w:val="auto"/>
                <w:sz w:val="21"/>
                <w:szCs w:val="21"/>
                <w:highlight w:val="none"/>
              </w:rPr>
            </w:pPr>
          </w:p>
        </w:tc>
        <w:tc>
          <w:tcPr>
            <w:tcW w:w="1860" w:type="dxa"/>
            <w:vAlign w:val="center"/>
          </w:tcPr>
          <w:p w14:paraId="390E678F">
            <w:pPr>
              <w:pStyle w:val="51"/>
              <w:jc w:val="center"/>
              <w:rPr>
                <w:rFonts w:hint="eastAsia" w:ascii="宋体" w:hAnsi="宋体" w:eastAsia="宋体" w:cs="宋体"/>
                <w:color w:val="auto"/>
                <w:sz w:val="21"/>
                <w:szCs w:val="21"/>
                <w:highlight w:val="none"/>
              </w:rPr>
            </w:pPr>
          </w:p>
        </w:tc>
        <w:tc>
          <w:tcPr>
            <w:tcW w:w="1356" w:type="dxa"/>
            <w:vAlign w:val="center"/>
          </w:tcPr>
          <w:p w14:paraId="44B4146B">
            <w:pPr>
              <w:pStyle w:val="51"/>
              <w:jc w:val="center"/>
              <w:rPr>
                <w:rFonts w:hint="eastAsia" w:ascii="宋体" w:hAnsi="宋体" w:eastAsia="宋体" w:cs="宋体"/>
                <w:color w:val="auto"/>
                <w:sz w:val="21"/>
                <w:szCs w:val="21"/>
                <w:highlight w:val="none"/>
              </w:rPr>
            </w:pPr>
          </w:p>
        </w:tc>
        <w:tc>
          <w:tcPr>
            <w:tcW w:w="816" w:type="dxa"/>
            <w:vAlign w:val="center"/>
          </w:tcPr>
          <w:p w14:paraId="3D8C0BFB">
            <w:pPr>
              <w:pStyle w:val="51"/>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1"/>
              <w:jc w:val="center"/>
              <w:rPr>
                <w:rFonts w:hint="eastAsia" w:ascii="宋体" w:hAnsi="宋体" w:eastAsia="宋体" w:cs="宋体"/>
                <w:color w:val="auto"/>
                <w:sz w:val="21"/>
                <w:szCs w:val="21"/>
                <w:highlight w:val="none"/>
              </w:rPr>
            </w:pPr>
            <w:bookmarkStart w:id="929" w:name="_Toc99533294"/>
            <w:bookmarkStart w:id="930" w:name="_Toc100090786"/>
            <w:r>
              <w:rPr>
                <w:rFonts w:hint="eastAsia" w:ascii="宋体" w:hAnsi="宋体" w:eastAsia="宋体" w:cs="宋体"/>
                <w:color w:val="auto"/>
                <w:sz w:val="21"/>
                <w:szCs w:val="21"/>
                <w:highlight w:val="none"/>
              </w:rPr>
              <w:t>3</w:t>
            </w:r>
            <w:bookmarkEnd w:id="929"/>
            <w:bookmarkEnd w:id="930"/>
          </w:p>
        </w:tc>
        <w:tc>
          <w:tcPr>
            <w:tcW w:w="1267" w:type="dxa"/>
            <w:vAlign w:val="center"/>
          </w:tcPr>
          <w:p w14:paraId="19C12411">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1"/>
              <w:jc w:val="center"/>
              <w:rPr>
                <w:rFonts w:hint="eastAsia" w:ascii="宋体" w:hAnsi="宋体" w:eastAsia="宋体" w:cs="宋体"/>
                <w:color w:val="auto"/>
                <w:sz w:val="21"/>
                <w:szCs w:val="21"/>
                <w:highlight w:val="none"/>
              </w:rPr>
            </w:pPr>
          </w:p>
        </w:tc>
        <w:tc>
          <w:tcPr>
            <w:tcW w:w="1860" w:type="dxa"/>
            <w:vAlign w:val="center"/>
          </w:tcPr>
          <w:p w14:paraId="3F31D2CD">
            <w:pPr>
              <w:pStyle w:val="51"/>
              <w:jc w:val="center"/>
              <w:rPr>
                <w:rFonts w:hint="eastAsia" w:ascii="宋体" w:hAnsi="宋体" w:eastAsia="宋体" w:cs="宋体"/>
                <w:color w:val="auto"/>
                <w:sz w:val="21"/>
                <w:szCs w:val="21"/>
                <w:highlight w:val="none"/>
              </w:rPr>
            </w:pPr>
          </w:p>
        </w:tc>
        <w:tc>
          <w:tcPr>
            <w:tcW w:w="1356" w:type="dxa"/>
            <w:vAlign w:val="center"/>
          </w:tcPr>
          <w:p w14:paraId="3A9D9DD7">
            <w:pPr>
              <w:pStyle w:val="51"/>
              <w:jc w:val="center"/>
              <w:rPr>
                <w:rFonts w:hint="eastAsia" w:ascii="宋体" w:hAnsi="宋体" w:eastAsia="宋体" w:cs="宋体"/>
                <w:color w:val="auto"/>
                <w:sz w:val="21"/>
                <w:szCs w:val="21"/>
                <w:highlight w:val="none"/>
              </w:rPr>
            </w:pPr>
          </w:p>
        </w:tc>
        <w:tc>
          <w:tcPr>
            <w:tcW w:w="816" w:type="dxa"/>
            <w:vAlign w:val="center"/>
          </w:tcPr>
          <w:p w14:paraId="0ED9D4FB">
            <w:pPr>
              <w:pStyle w:val="51"/>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1"/>
              <w:jc w:val="center"/>
              <w:rPr>
                <w:rFonts w:hint="eastAsia" w:ascii="宋体" w:hAnsi="宋体" w:eastAsia="宋体" w:cs="宋体"/>
                <w:color w:val="auto"/>
                <w:sz w:val="21"/>
                <w:szCs w:val="21"/>
                <w:highlight w:val="none"/>
              </w:rPr>
            </w:pPr>
            <w:bookmarkStart w:id="931" w:name="_Toc100090787"/>
            <w:bookmarkStart w:id="932" w:name="_Toc99533295"/>
            <w:r>
              <w:rPr>
                <w:rFonts w:hint="eastAsia" w:ascii="宋体" w:hAnsi="宋体" w:eastAsia="宋体" w:cs="宋体"/>
                <w:color w:val="auto"/>
                <w:sz w:val="21"/>
                <w:szCs w:val="21"/>
                <w:highlight w:val="none"/>
              </w:rPr>
              <w:t>4</w:t>
            </w:r>
            <w:bookmarkEnd w:id="931"/>
            <w:bookmarkEnd w:id="932"/>
          </w:p>
        </w:tc>
        <w:tc>
          <w:tcPr>
            <w:tcW w:w="1267" w:type="dxa"/>
            <w:vAlign w:val="center"/>
          </w:tcPr>
          <w:p w14:paraId="42DE0F63">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1"/>
              <w:jc w:val="center"/>
              <w:rPr>
                <w:rFonts w:hint="eastAsia" w:ascii="宋体" w:hAnsi="宋体" w:eastAsia="宋体" w:cs="宋体"/>
                <w:color w:val="auto"/>
                <w:sz w:val="21"/>
                <w:szCs w:val="21"/>
                <w:highlight w:val="none"/>
              </w:rPr>
            </w:pPr>
          </w:p>
        </w:tc>
        <w:tc>
          <w:tcPr>
            <w:tcW w:w="1860" w:type="dxa"/>
            <w:vAlign w:val="center"/>
          </w:tcPr>
          <w:p w14:paraId="068007BF">
            <w:pPr>
              <w:pStyle w:val="51"/>
              <w:jc w:val="center"/>
              <w:rPr>
                <w:rFonts w:hint="eastAsia" w:ascii="宋体" w:hAnsi="宋体" w:eastAsia="宋体" w:cs="宋体"/>
                <w:color w:val="auto"/>
                <w:sz w:val="21"/>
                <w:szCs w:val="21"/>
                <w:highlight w:val="none"/>
              </w:rPr>
            </w:pPr>
          </w:p>
        </w:tc>
        <w:tc>
          <w:tcPr>
            <w:tcW w:w="1356" w:type="dxa"/>
            <w:vAlign w:val="center"/>
          </w:tcPr>
          <w:p w14:paraId="5A94DC72">
            <w:pPr>
              <w:pStyle w:val="51"/>
              <w:jc w:val="center"/>
              <w:rPr>
                <w:rFonts w:hint="eastAsia" w:ascii="宋体" w:hAnsi="宋体" w:eastAsia="宋体" w:cs="宋体"/>
                <w:color w:val="auto"/>
                <w:sz w:val="21"/>
                <w:szCs w:val="21"/>
                <w:highlight w:val="none"/>
              </w:rPr>
            </w:pPr>
          </w:p>
        </w:tc>
        <w:tc>
          <w:tcPr>
            <w:tcW w:w="816" w:type="dxa"/>
            <w:vAlign w:val="center"/>
          </w:tcPr>
          <w:p w14:paraId="01F1E6DB">
            <w:pPr>
              <w:pStyle w:val="51"/>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1"/>
              <w:jc w:val="center"/>
              <w:rPr>
                <w:rFonts w:hint="eastAsia" w:ascii="宋体" w:hAnsi="宋体" w:eastAsia="宋体" w:cs="宋体"/>
                <w:color w:val="auto"/>
                <w:sz w:val="21"/>
                <w:szCs w:val="21"/>
                <w:highlight w:val="none"/>
              </w:rPr>
            </w:pPr>
            <w:bookmarkStart w:id="933" w:name="_Toc100090788"/>
            <w:bookmarkStart w:id="934" w:name="_Toc99533296"/>
            <w:r>
              <w:rPr>
                <w:rFonts w:hint="eastAsia" w:ascii="宋体" w:hAnsi="宋体" w:eastAsia="宋体" w:cs="宋体"/>
                <w:color w:val="auto"/>
                <w:sz w:val="21"/>
                <w:szCs w:val="21"/>
                <w:highlight w:val="none"/>
              </w:rPr>
              <w:t>5</w:t>
            </w:r>
            <w:bookmarkEnd w:id="933"/>
            <w:bookmarkEnd w:id="934"/>
          </w:p>
        </w:tc>
        <w:tc>
          <w:tcPr>
            <w:tcW w:w="1267" w:type="dxa"/>
            <w:vAlign w:val="center"/>
          </w:tcPr>
          <w:p w14:paraId="3241008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1"/>
              <w:jc w:val="center"/>
              <w:rPr>
                <w:rFonts w:hint="eastAsia" w:ascii="宋体" w:hAnsi="宋体" w:eastAsia="宋体" w:cs="宋体"/>
                <w:color w:val="auto"/>
                <w:sz w:val="21"/>
                <w:szCs w:val="21"/>
                <w:highlight w:val="none"/>
              </w:rPr>
            </w:pPr>
          </w:p>
        </w:tc>
        <w:tc>
          <w:tcPr>
            <w:tcW w:w="1860" w:type="dxa"/>
            <w:vAlign w:val="center"/>
          </w:tcPr>
          <w:p w14:paraId="12AB49C0">
            <w:pPr>
              <w:pStyle w:val="51"/>
              <w:jc w:val="center"/>
              <w:rPr>
                <w:rFonts w:hint="eastAsia" w:ascii="宋体" w:hAnsi="宋体" w:eastAsia="宋体" w:cs="宋体"/>
                <w:color w:val="auto"/>
                <w:sz w:val="21"/>
                <w:szCs w:val="21"/>
                <w:highlight w:val="none"/>
              </w:rPr>
            </w:pPr>
          </w:p>
        </w:tc>
        <w:tc>
          <w:tcPr>
            <w:tcW w:w="1356" w:type="dxa"/>
            <w:vAlign w:val="center"/>
          </w:tcPr>
          <w:p w14:paraId="1659A511">
            <w:pPr>
              <w:pStyle w:val="51"/>
              <w:jc w:val="center"/>
              <w:rPr>
                <w:rFonts w:hint="eastAsia" w:ascii="宋体" w:hAnsi="宋体" w:eastAsia="宋体" w:cs="宋体"/>
                <w:color w:val="auto"/>
                <w:sz w:val="21"/>
                <w:szCs w:val="21"/>
                <w:highlight w:val="none"/>
              </w:rPr>
            </w:pPr>
          </w:p>
        </w:tc>
        <w:tc>
          <w:tcPr>
            <w:tcW w:w="816" w:type="dxa"/>
            <w:vAlign w:val="center"/>
          </w:tcPr>
          <w:p w14:paraId="5FBE7410">
            <w:pPr>
              <w:pStyle w:val="51"/>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1"/>
              <w:jc w:val="center"/>
              <w:rPr>
                <w:rFonts w:hint="eastAsia" w:ascii="宋体" w:hAnsi="宋体" w:eastAsia="宋体" w:cs="宋体"/>
                <w:color w:val="auto"/>
                <w:sz w:val="21"/>
                <w:szCs w:val="21"/>
                <w:highlight w:val="none"/>
              </w:rPr>
            </w:pPr>
            <w:bookmarkStart w:id="935" w:name="_Toc100090789"/>
            <w:bookmarkStart w:id="936" w:name="_Toc99533297"/>
            <w:r>
              <w:rPr>
                <w:rFonts w:hint="eastAsia" w:ascii="宋体" w:hAnsi="宋体" w:eastAsia="宋体" w:cs="宋体"/>
                <w:color w:val="auto"/>
                <w:sz w:val="21"/>
                <w:szCs w:val="21"/>
                <w:highlight w:val="none"/>
              </w:rPr>
              <w:t>6</w:t>
            </w:r>
            <w:bookmarkEnd w:id="935"/>
            <w:bookmarkEnd w:id="936"/>
          </w:p>
        </w:tc>
        <w:tc>
          <w:tcPr>
            <w:tcW w:w="1267" w:type="dxa"/>
            <w:vAlign w:val="center"/>
          </w:tcPr>
          <w:p w14:paraId="40527E11">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1"/>
              <w:jc w:val="center"/>
              <w:rPr>
                <w:rFonts w:hint="eastAsia" w:ascii="宋体" w:hAnsi="宋体" w:eastAsia="宋体" w:cs="宋体"/>
                <w:color w:val="auto"/>
                <w:sz w:val="21"/>
                <w:szCs w:val="21"/>
                <w:highlight w:val="none"/>
              </w:rPr>
            </w:pPr>
          </w:p>
        </w:tc>
        <w:tc>
          <w:tcPr>
            <w:tcW w:w="1860" w:type="dxa"/>
            <w:vAlign w:val="center"/>
          </w:tcPr>
          <w:p w14:paraId="51ADEB68">
            <w:pPr>
              <w:pStyle w:val="51"/>
              <w:jc w:val="center"/>
              <w:rPr>
                <w:rFonts w:hint="eastAsia" w:ascii="宋体" w:hAnsi="宋体" w:eastAsia="宋体" w:cs="宋体"/>
                <w:color w:val="auto"/>
                <w:sz w:val="21"/>
                <w:szCs w:val="21"/>
                <w:highlight w:val="none"/>
              </w:rPr>
            </w:pPr>
          </w:p>
        </w:tc>
        <w:tc>
          <w:tcPr>
            <w:tcW w:w="1356" w:type="dxa"/>
            <w:vAlign w:val="center"/>
          </w:tcPr>
          <w:p w14:paraId="1CED2476">
            <w:pPr>
              <w:pStyle w:val="51"/>
              <w:jc w:val="center"/>
              <w:rPr>
                <w:rFonts w:hint="eastAsia" w:ascii="宋体" w:hAnsi="宋体" w:eastAsia="宋体" w:cs="宋体"/>
                <w:color w:val="auto"/>
                <w:sz w:val="21"/>
                <w:szCs w:val="21"/>
                <w:highlight w:val="none"/>
              </w:rPr>
            </w:pPr>
          </w:p>
        </w:tc>
        <w:tc>
          <w:tcPr>
            <w:tcW w:w="816" w:type="dxa"/>
            <w:vAlign w:val="center"/>
          </w:tcPr>
          <w:p w14:paraId="4EF8AB8A">
            <w:pPr>
              <w:pStyle w:val="51"/>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1"/>
              <w:jc w:val="center"/>
              <w:rPr>
                <w:rFonts w:hint="eastAsia" w:ascii="宋体" w:hAnsi="宋体" w:eastAsia="宋体" w:cs="宋体"/>
                <w:color w:val="auto"/>
                <w:sz w:val="21"/>
                <w:szCs w:val="21"/>
                <w:highlight w:val="none"/>
              </w:rPr>
            </w:pPr>
            <w:bookmarkStart w:id="937" w:name="_Toc99533298"/>
            <w:bookmarkStart w:id="938" w:name="_Toc100090790"/>
            <w:r>
              <w:rPr>
                <w:rFonts w:hint="eastAsia" w:ascii="宋体" w:hAnsi="宋体" w:eastAsia="宋体" w:cs="宋体"/>
                <w:color w:val="auto"/>
                <w:sz w:val="21"/>
                <w:szCs w:val="21"/>
                <w:highlight w:val="none"/>
              </w:rPr>
              <w:t>7</w:t>
            </w:r>
            <w:bookmarkEnd w:id="937"/>
            <w:bookmarkEnd w:id="938"/>
          </w:p>
        </w:tc>
        <w:tc>
          <w:tcPr>
            <w:tcW w:w="1267" w:type="dxa"/>
            <w:vAlign w:val="center"/>
          </w:tcPr>
          <w:p w14:paraId="3F3B684D">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1"/>
              <w:jc w:val="center"/>
              <w:rPr>
                <w:rFonts w:hint="eastAsia" w:ascii="宋体" w:hAnsi="宋体" w:eastAsia="宋体" w:cs="宋体"/>
                <w:color w:val="auto"/>
                <w:sz w:val="21"/>
                <w:szCs w:val="21"/>
                <w:highlight w:val="none"/>
              </w:rPr>
            </w:pPr>
          </w:p>
        </w:tc>
        <w:tc>
          <w:tcPr>
            <w:tcW w:w="1860" w:type="dxa"/>
            <w:vAlign w:val="center"/>
          </w:tcPr>
          <w:p w14:paraId="7E9B2A2D">
            <w:pPr>
              <w:pStyle w:val="51"/>
              <w:jc w:val="center"/>
              <w:rPr>
                <w:rFonts w:hint="eastAsia" w:ascii="宋体" w:hAnsi="宋体" w:eastAsia="宋体" w:cs="宋体"/>
                <w:color w:val="auto"/>
                <w:sz w:val="21"/>
                <w:szCs w:val="21"/>
                <w:highlight w:val="none"/>
              </w:rPr>
            </w:pPr>
          </w:p>
        </w:tc>
        <w:tc>
          <w:tcPr>
            <w:tcW w:w="1356" w:type="dxa"/>
            <w:vAlign w:val="center"/>
          </w:tcPr>
          <w:p w14:paraId="4A11C356">
            <w:pPr>
              <w:pStyle w:val="51"/>
              <w:jc w:val="center"/>
              <w:rPr>
                <w:rFonts w:hint="eastAsia" w:ascii="宋体" w:hAnsi="宋体" w:eastAsia="宋体" w:cs="宋体"/>
                <w:color w:val="auto"/>
                <w:sz w:val="21"/>
                <w:szCs w:val="21"/>
                <w:highlight w:val="none"/>
              </w:rPr>
            </w:pPr>
          </w:p>
        </w:tc>
        <w:tc>
          <w:tcPr>
            <w:tcW w:w="816" w:type="dxa"/>
            <w:vAlign w:val="center"/>
          </w:tcPr>
          <w:p w14:paraId="718DD530">
            <w:pPr>
              <w:pStyle w:val="51"/>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1"/>
              <w:jc w:val="center"/>
              <w:rPr>
                <w:rFonts w:hint="eastAsia" w:ascii="宋体" w:hAnsi="宋体" w:eastAsia="宋体" w:cs="宋体"/>
                <w:color w:val="auto"/>
                <w:sz w:val="21"/>
                <w:szCs w:val="21"/>
                <w:highlight w:val="none"/>
              </w:rPr>
            </w:pPr>
            <w:bookmarkStart w:id="939" w:name="_Toc99533299"/>
            <w:bookmarkStart w:id="940" w:name="_Toc100090791"/>
            <w:r>
              <w:rPr>
                <w:rFonts w:hint="eastAsia" w:ascii="宋体" w:hAnsi="宋体" w:eastAsia="宋体" w:cs="宋体"/>
                <w:color w:val="auto"/>
                <w:sz w:val="21"/>
                <w:szCs w:val="21"/>
                <w:highlight w:val="none"/>
              </w:rPr>
              <w:t>8</w:t>
            </w:r>
            <w:bookmarkEnd w:id="939"/>
            <w:bookmarkEnd w:id="940"/>
          </w:p>
        </w:tc>
        <w:tc>
          <w:tcPr>
            <w:tcW w:w="1267" w:type="dxa"/>
            <w:vAlign w:val="center"/>
          </w:tcPr>
          <w:p w14:paraId="20BD29D0">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1"/>
              <w:jc w:val="center"/>
              <w:rPr>
                <w:rFonts w:hint="eastAsia" w:ascii="宋体" w:hAnsi="宋体" w:eastAsia="宋体" w:cs="宋体"/>
                <w:color w:val="auto"/>
                <w:sz w:val="21"/>
                <w:szCs w:val="21"/>
                <w:highlight w:val="none"/>
              </w:rPr>
            </w:pPr>
          </w:p>
        </w:tc>
        <w:tc>
          <w:tcPr>
            <w:tcW w:w="1860" w:type="dxa"/>
            <w:vAlign w:val="center"/>
          </w:tcPr>
          <w:p w14:paraId="292DF220">
            <w:pPr>
              <w:pStyle w:val="51"/>
              <w:jc w:val="center"/>
              <w:rPr>
                <w:rFonts w:hint="eastAsia" w:ascii="宋体" w:hAnsi="宋体" w:eastAsia="宋体" w:cs="宋体"/>
                <w:color w:val="auto"/>
                <w:sz w:val="21"/>
                <w:szCs w:val="21"/>
                <w:highlight w:val="none"/>
              </w:rPr>
            </w:pPr>
          </w:p>
        </w:tc>
        <w:tc>
          <w:tcPr>
            <w:tcW w:w="1356" w:type="dxa"/>
            <w:vAlign w:val="center"/>
          </w:tcPr>
          <w:p w14:paraId="70F58594">
            <w:pPr>
              <w:pStyle w:val="51"/>
              <w:jc w:val="center"/>
              <w:rPr>
                <w:rFonts w:hint="eastAsia" w:ascii="宋体" w:hAnsi="宋体" w:eastAsia="宋体" w:cs="宋体"/>
                <w:color w:val="auto"/>
                <w:sz w:val="21"/>
                <w:szCs w:val="21"/>
                <w:highlight w:val="none"/>
              </w:rPr>
            </w:pPr>
          </w:p>
        </w:tc>
        <w:tc>
          <w:tcPr>
            <w:tcW w:w="816" w:type="dxa"/>
            <w:vAlign w:val="center"/>
          </w:tcPr>
          <w:p w14:paraId="247AF589">
            <w:pPr>
              <w:pStyle w:val="51"/>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1"/>
              <w:jc w:val="center"/>
              <w:rPr>
                <w:rFonts w:hint="eastAsia" w:ascii="宋体" w:hAnsi="宋体" w:eastAsia="宋体" w:cs="宋体"/>
                <w:color w:val="auto"/>
                <w:sz w:val="21"/>
                <w:szCs w:val="21"/>
                <w:highlight w:val="none"/>
              </w:rPr>
            </w:pPr>
            <w:bookmarkStart w:id="941" w:name="_Toc99533300"/>
            <w:bookmarkStart w:id="942" w:name="_Toc100090792"/>
            <w:r>
              <w:rPr>
                <w:rFonts w:hint="eastAsia" w:ascii="宋体" w:hAnsi="宋体" w:eastAsia="宋体" w:cs="宋体"/>
                <w:color w:val="auto"/>
                <w:sz w:val="21"/>
                <w:szCs w:val="21"/>
                <w:highlight w:val="none"/>
              </w:rPr>
              <w:t>9</w:t>
            </w:r>
            <w:bookmarkEnd w:id="941"/>
            <w:bookmarkEnd w:id="942"/>
          </w:p>
        </w:tc>
        <w:tc>
          <w:tcPr>
            <w:tcW w:w="1267" w:type="dxa"/>
            <w:vAlign w:val="center"/>
          </w:tcPr>
          <w:p w14:paraId="6C5090E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1"/>
              <w:jc w:val="center"/>
              <w:rPr>
                <w:rFonts w:hint="eastAsia" w:ascii="宋体" w:hAnsi="宋体" w:eastAsia="宋体" w:cs="宋体"/>
                <w:color w:val="auto"/>
                <w:sz w:val="21"/>
                <w:szCs w:val="21"/>
                <w:highlight w:val="none"/>
              </w:rPr>
            </w:pPr>
          </w:p>
        </w:tc>
        <w:tc>
          <w:tcPr>
            <w:tcW w:w="1860" w:type="dxa"/>
            <w:vAlign w:val="center"/>
          </w:tcPr>
          <w:p w14:paraId="337B4053">
            <w:pPr>
              <w:pStyle w:val="51"/>
              <w:jc w:val="center"/>
              <w:rPr>
                <w:rFonts w:hint="eastAsia" w:ascii="宋体" w:hAnsi="宋体" w:eastAsia="宋体" w:cs="宋体"/>
                <w:color w:val="auto"/>
                <w:sz w:val="21"/>
                <w:szCs w:val="21"/>
                <w:highlight w:val="none"/>
              </w:rPr>
            </w:pPr>
          </w:p>
        </w:tc>
        <w:tc>
          <w:tcPr>
            <w:tcW w:w="1356" w:type="dxa"/>
            <w:vAlign w:val="center"/>
          </w:tcPr>
          <w:p w14:paraId="7D6C0C38">
            <w:pPr>
              <w:pStyle w:val="51"/>
              <w:jc w:val="center"/>
              <w:rPr>
                <w:rFonts w:hint="eastAsia" w:ascii="宋体" w:hAnsi="宋体" w:eastAsia="宋体" w:cs="宋体"/>
                <w:color w:val="auto"/>
                <w:sz w:val="21"/>
                <w:szCs w:val="21"/>
                <w:highlight w:val="none"/>
              </w:rPr>
            </w:pPr>
          </w:p>
        </w:tc>
        <w:tc>
          <w:tcPr>
            <w:tcW w:w="816" w:type="dxa"/>
            <w:vAlign w:val="center"/>
          </w:tcPr>
          <w:p w14:paraId="45D99552">
            <w:pPr>
              <w:pStyle w:val="51"/>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1"/>
              <w:jc w:val="center"/>
              <w:rPr>
                <w:rFonts w:hint="eastAsia" w:ascii="宋体" w:hAnsi="宋体" w:eastAsia="宋体" w:cs="宋体"/>
                <w:color w:val="auto"/>
                <w:sz w:val="21"/>
                <w:szCs w:val="21"/>
                <w:highlight w:val="none"/>
              </w:rPr>
            </w:pPr>
            <w:bookmarkStart w:id="943" w:name="_Toc99533301"/>
            <w:bookmarkStart w:id="944" w:name="_Toc100090793"/>
            <w:r>
              <w:rPr>
                <w:rFonts w:hint="eastAsia" w:ascii="宋体" w:hAnsi="宋体" w:eastAsia="宋体" w:cs="宋体"/>
                <w:color w:val="auto"/>
                <w:sz w:val="21"/>
                <w:szCs w:val="21"/>
                <w:highlight w:val="none"/>
              </w:rPr>
              <w:t>10</w:t>
            </w:r>
            <w:bookmarkEnd w:id="943"/>
            <w:bookmarkEnd w:id="944"/>
          </w:p>
        </w:tc>
        <w:tc>
          <w:tcPr>
            <w:tcW w:w="1267" w:type="dxa"/>
            <w:vAlign w:val="center"/>
          </w:tcPr>
          <w:p w14:paraId="0D84E205">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1"/>
              <w:jc w:val="center"/>
              <w:rPr>
                <w:rFonts w:hint="eastAsia" w:ascii="宋体" w:hAnsi="宋体" w:eastAsia="宋体" w:cs="宋体"/>
                <w:color w:val="auto"/>
                <w:sz w:val="21"/>
                <w:szCs w:val="21"/>
                <w:highlight w:val="none"/>
              </w:rPr>
            </w:pPr>
          </w:p>
        </w:tc>
        <w:tc>
          <w:tcPr>
            <w:tcW w:w="1860" w:type="dxa"/>
            <w:vAlign w:val="center"/>
          </w:tcPr>
          <w:p w14:paraId="7790D037">
            <w:pPr>
              <w:pStyle w:val="51"/>
              <w:jc w:val="center"/>
              <w:rPr>
                <w:rFonts w:hint="eastAsia" w:ascii="宋体" w:hAnsi="宋体" w:eastAsia="宋体" w:cs="宋体"/>
                <w:color w:val="auto"/>
                <w:sz w:val="21"/>
                <w:szCs w:val="21"/>
                <w:highlight w:val="none"/>
              </w:rPr>
            </w:pPr>
          </w:p>
        </w:tc>
        <w:tc>
          <w:tcPr>
            <w:tcW w:w="1356" w:type="dxa"/>
            <w:vAlign w:val="center"/>
          </w:tcPr>
          <w:p w14:paraId="7B74B27D">
            <w:pPr>
              <w:pStyle w:val="51"/>
              <w:jc w:val="center"/>
              <w:rPr>
                <w:rFonts w:hint="eastAsia" w:ascii="宋体" w:hAnsi="宋体" w:eastAsia="宋体" w:cs="宋体"/>
                <w:color w:val="auto"/>
                <w:sz w:val="21"/>
                <w:szCs w:val="21"/>
                <w:highlight w:val="none"/>
              </w:rPr>
            </w:pPr>
          </w:p>
        </w:tc>
        <w:tc>
          <w:tcPr>
            <w:tcW w:w="816" w:type="dxa"/>
            <w:vAlign w:val="center"/>
          </w:tcPr>
          <w:p w14:paraId="77E1C162">
            <w:pPr>
              <w:pStyle w:val="51"/>
              <w:jc w:val="center"/>
              <w:rPr>
                <w:rFonts w:hint="eastAsia" w:ascii="宋体" w:hAnsi="宋体" w:eastAsia="宋体" w:cs="宋体"/>
                <w:color w:val="auto"/>
                <w:sz w:val="21"/>
                <w:szCs w:val="21"/>
                <w:highlight w:val="none"/>
              </w:rPr>
            </w:pPr>
          </w:p>
        </w:tc>
      </w:tr>
    </w:tbl>
    <w:p w14:paraId="51ED7B0D">
      <w:pPr>
        <w:rPr>
          <w:color w:val="auto"/>
          <w:highlight w:val="none"/>
        </w:rPr>
      </w:pPr>
      <w:r>
        <w:rPr>
          <w:color w:val="auto"/>
          <w:highlight w:val="none"/>
        </w:rPr>
        <w:br w:type="page"/>
      </w:r>
    </w:p>
    <w:p w14:paraId="1358285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45" w:name="_Toc3666"/>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945"/>
    </w:p>
    <w:p w14:paraId="7EE50E6A">
      <w:pPr>
        <w:rPr>
          <w:rFonts w:cs="仿宋_GB2312"/>
          <w:color w:val="auto"/>
          <w:szCs w:val="24"/>
          <w:highlight w:val="none"/>
        </w:rPr>
      </w:pPr>
      <w:r>
        <w:rPr>
          <w:rFonts w:hint="eastAsia" w:cs="仿宋_GB2312"/>
          <w:color w:val="auto"/>
          <w:szCs w:val="24"/>
          <w:highlight w:val="none"/>
          <w:lang w:eastAsia="zh-CN"/>
        </w:rPr>
        <w:t>项目名称：</w:t>
      </w:r>
      <w:r>
        <w:rPr>
          <w:rFonts w:hint="eastAsia" w:cs="仿宋_GB2312"/>
          <w:color w:val="auto"/>
          <w:szCs w:val="24"/>
          <w:highlight w:val="none"/>
          <w:lang w:val="en-US" w:eastAsia="zh-CN"/>
        </w:rPr>
        <w:t xml:space="preserve"> </w:t>
      </w:r>
      <w:r>
        <w:rPr>
          <w:rFonts w:hint="eastAsia" w:cs="仿宋_GB2312"/>
          <w:color w:val="auto"/>
          <w:szCs w:val="24"/>
          <w:highlight w:val="none"/>
        </w:rPr>
        <w:t xml:space="preserve">                                         </w:t>
      </w:r>
    </w:p>
    <w:p w14:paraId="3BECE8B1">
      <w:pPr>
        <w:rPr>
          <w:rFonts w:cs="仿宋_GB2312"/>
          <w:color w:val="auto"/>
          <w:szCs w:val="24"/>
          <w:highlight w:val="none"/>
        </w:rPr>
      </w:pPr>
      <w:r>
        <w:rPr>
          <w:rFonts w:hint="eastAsia" w:cs="仿宋_GB2312"/>
          <w:color w:val="auto"/>
          <w:szCs w:val="24"/>
          <w:highlight w:val="none"/>
          <w:lang w:eastAsia="zh-CN"/>
        </w:rPr>
        <w:t>项目编号/包号：</w:t>
      </w:r>
      <w:r>
        <w:rPr>
          <w:rFonts w:hint="eastAsia" w:cs="仿宋_GB2312"/>
          <w:color w:val="auto"/>
          <w:szCs w:val="24"/>
          <w:highlight w:val="none"/>
          <w:lang w:val="en-US" w:eastAsia="zh-CN"/>
        </w:rPr>
        <w:t xml:space="preserve"> </w:t>
      </w:r>
      <w:r>
        <w:rPr>
          <w:rFonts w:hint="eastAsia" w:cs="仿宋_GB2312"/>
          <w:color w:val="auto"/>
          <w:szCs w:val="24"/>
          <w:highlight w:val="none"/>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7644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0FCCCEA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69669C7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71DD4B6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AB54F2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1F49E7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3F1EB79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5" w:type="pct"/>
            <w:vAlign w:val="center"/>
          </w:tcPr>
          <w:p w14:paraId="3E3F1E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7F92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390C61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23DD644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466927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C5A608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3F3AE223">
            <w:pPr>
              <w:pStyle w:val="51"/>
              <w:jc w:val="center"/>
              <w:rPr>
                <w:rFonts w:hint="eastAsia" w:ascii="宋体" w:hAnsi="宋体" w:eastAsia="宋体" w:cs="宋体"/>
                <w:color w:val="auto"/>
                <w:sz w:val="21"/>
                <w:szCs w:val="21"/>
                <w:highlight w:val="none"/>
              </w:rPr>
            </w:pPr>
          </w:p>
        </w:tc>
      </w:tr>
      <w:tr w14:paraId="16F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681E1A2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1B1CC67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3CDA845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1753229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1786AA8B">
            <w:pPr>
              <w:pStyle w:val="51"/>
              <w:jc w:val="center"/>
              <w:rPr>
                <w:rFonts w:hint="eastAsia" w:ascii="宋体" w:hAnsi="宋体" w:eastAsia="宋体" w:cs="宋体"/>
                <w:color w:val="auto"/>
                <w:sz w:val="21"/>
                <w:szCs w:val="21"/>
                <w:highlight w:val="none"/>
              </w:rPr>
            </w:pPr>
          </w:p>
        </w:tc>
      </w:tr>
      <w:tr w14:paraId="3346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ADFE13">
            <w:pPr>
              <w:pStyle w:val="51"/>
              <w:jc w:val="center"/>
              <w:rPr>
                <w:rFonts w:hint="eastAsia" w:ascii="宋体" w:hAnsi="宋体" w:eastAsia="宋体" w:cs="宋体"/>
                <w:color w:val="auto"/>
                <w:sz w:val="21"/>
                <w:szCs w:val="21"/>
                <w:highlight w:val="none"/>
              </w:rPr>
            </w:pPr>
          </w:p>
        </w:tc>
        <w:tc>
          <w:tcPr>
            <w:tcW w:w="1159" w:type="pct"/>
            <w:vAlign w:val="center"/>
          </w:tcPr>
          <w:p w14:paraId="7EAC22E8">
            <w:pPr>
              <w:pStyle w:val="51"/>
              <w:jc w:val="center"/>
              <w:rPr>
                <w:rFonts w:hint="eastAsia" w:ascii="宋体" w:hAnsi="宋体" w:eastAsia="宋体" w:cs="宋体"/>
                <w:color w:val="auto"/>
                <w:sz w:val="21"/>
                <w:szCs w:val="21"/>
                <w:highlight w:val="none"/>
              </w:rPr>
            </w:pPr>
          </w:p>
        </w:tc>
        <w:tc>
          <w:tcPr>
            <w:tcW w:w="1031" w:type="pct"/>
            <w:vAlign w:val="center"/>
          </w:tcPr>
          <w:p w14:paraId="1261D841">
            <w:pPr>
              <w:pStyle w:val="51"/>
              <w:jc w:val="center"/>
              <w:rPr>
                <w:rFonts w:hint="eastAsia" w:ascii="宋体" w:hAnsi="宋体" w:eastAsia="宋体" w:cs="宋体"/>
                <w:color w:val="auto"/>
                <w:sz w:val="21"/>
                <w:szCs w:val="21"/>
                <w:highlight w:val="none"/>
              </w:rPr>
            </w:pPr>
          </w:p>
        </w:tc>
        <w:tc>
          <w:tcPr>
            <w:tcW w:w="1265" w:type="pct"/>
            <w:vAlign w:val="center"/>
          </w:tcPr>
          <w:p w14:paraId="21AB0CEA">
            <w:pPr>
              <w:pStyle w:val="51"/>
              <w:jc w:val="center"/>
              <w:rPr>
                <w:rFonts w:hint="eastAsia" w:ascii="宋体" w:hAnsi="宋体" w:eastAsia="宋体" w:cs="宋体"/>
                <w:color w:val="auto"/>
                <w:sz w:val="21"/>
                <w:szCs w:val="21"/>
                <w:highlight w:val="none"/>
              </w:rPr>
            </w:pPr>
          </w:p>
        </w:tc>
        <w:tc>
          <w:tcPr>
            <w:tcW w:w="1135" w:type="pct"/>
            <w:vAlign w:val="center"/>
          </w:tcPr>
          <w:p w14:paraId="02205EF5">
            <w:pPr>
              <w:pStyle w:val="51"/>
              <w:jc w:val="center"/>
              <w:rPr>
                <w:rFonts w:hint="eastAsia" w:ascii="宋体" w:hAnsi="宋体" w:eastAsia="宋体" w:cs="宋体"/>
                <w:color w:val="auto"/>
                <w:sz w:val="21"/>
                <w:szCs w:val="21"/>
                <w:highlight w:val="none"/>
              </w:rPr>
            </w:pPr>
          </w:p>
        </w:tc>
      </w:tr>
      <w:tr w14:paraId="547E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2615990F">
            <w:pPr>
              <w:pStyle w:val="51"/>
              <w:jc w:val="center"/>
              <w:rPr>
                <w:rFonts w:hint="eastAsia" w:ascii="宋体" w:hAnsi="宋体" w:eastAsia="宋体" w:cs="宋体"/>
                <w:color w:val="auto"/>
                <w:sz w:val="21"/>
                <w:szCs w:val="21"/>
                <w:highlight w:val="none"/>
              </w:rPr>
            </w:pPr>
          </w:p>
        </w:tc>
        <w:tc>
          <w:tcPr>
            <w:tcW w:w="1159" w:type="pct"/>
            <w:vAlign w:val="center"/>
          </w:tcPr>
          <w:p w14:paraId="4EFDD3F7">
            <w:pPr>
              <w:pStyle w:val="51"/>
              <w:jc w:val="center"/>
              <w:rPr>
                <w:rFonts w:hint="eastAsia" w:ascii="宋体" w:hAnsi="宋体" w:eastAsia="宋体" w:cs="宋体"/>
                <w:color w:val="auto"/>
                <w:sz w:val="21"/>
                <w:szCs w:val="21"/>
                <w:highlight w:val="none"/>
              </w:rPr>
            </w:pPr>
          </w:p>
        </w:tc>
        <w:tc>
          <w:tcPr>
            <w:tcW w:w="1031" w:type="pct"/>
            <w:vAlign w:val="center"/>
          </w:tcPr>
          <w:p w14:paraId="6F3FE338">
            <w:pPr>
              <w:pStyle w:val="51"/>
              <w:jc w:val="center"/>
              <w:rPr>
                <w:rFonts w:hint="eastAsia" w:ascii="宋体" w:hAnsi="宋体" w:eastAsia="宋体" w:cs="宋体"/>
                <w:color w:val="auto"/>
                <w:sz w:val="21"/>
                <w:szCs w:val="21"/>
                <w:highlight w:val="none"/>
              </w:rPr>
            </w:pPr>
          </w:p>
        </w:tc>
        <w:tc>
          <w:tcPr>
            <w:tcW w:w="1265" w:type="pct"/>
            <w:vAlign w:val="center"/>
          </w:tcPr>
          <w:p w14:paraId="1DE7F15C">
            <w:pPr>
              <w:pStyle w:val="51"/>
              <w:jc w:val="center"/>
              <w:rPr>
                <w:rFonts w:hint="eastAsia" w:ascii="宋体" w:hAnsi="宋体" w:eastAsia="宋体" w:cs="宋体"/>
                <w:color w:val="auto"/>
                <w:sz w:val="21"/>
                <w:szCs w:val="21"/>
                <w:highlight w:val="none"/>
              </w:rPr>
            </w:pPr>
          </w:p>
        </w:tc>
        <w:tc>
          <w:tcPr>
            <w:tcW w:w="1135" w:type="pct"/>
            <w:vAlign w:val="center"/>
          </w:tcPr>
          <w:p w14:paraId="7E461BBA">
            <w:pPr>
              <w:pStyle w:val="51"/>
              <w:jc w:val="center"/>
              <w:rPr>
                <w:rFonts w:hint="eastAsia" w:ascii="宋体" w:hAnsi="宋体" w:eastAsia="宋体" w:cs="宋体"/>
                <w:color w:val="auto"/>
                <w:sz w:val="21"/>
                <w:szCs w:val="21"/>
                <w:highlight w:val="none"/>
              </w:rPr>
            </w:pPr>
          </w:p>
        </w:tc>
      </w:tr>
      <w:tr w14:paraId="054E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21914A14">
            <w:pPr>
              <w:pStyle w:val="51"/>
              <w:jc w:val="center"/>
              <w:rPr>
                <w:rFonts w:hint="eastAsia" w:ascii="宋体" w:hAnsi="宋体" w:eastAsia="宋体" w:cs="宋体"/>
                <w:color w:val="auto"/>
                <w:sz w:val="21"/>
                <w:szCs w:val="21"/>
                <w:highlight w:val="none"/>
              </w:rPr>
            </w:pPr>
          </w:p>
        </w:tc>
        <w:tc>
          <w:tcPr>
            <w:tcW w:w="1159" w:type="pct"/>
            <w:vAlign w:val="center"/>
          </w:tcPr>
          <w:p w14:paraId="01FAF6FF">
            <w:pPr>
              <w:pStyle w:val="51"/>
              <w:jc w:val="center"/>
              <w:rPr>
                <w:rFonts w:hint="eastAsia" w:ascii="宋体" w:hAnsi="宋体" w:eastAsia="宋体" w:cs="宋体"/>
                <w:color w:val="auto"/>
                <w:sz w:val="21"/>
                <w:szCs w:val="21"/>
                <w:highlight w:val="none"/>
              </w:rPr>
            </w:pPr>
          </w:p>
        </w:tc>
        <w:tc>
          <w:tcPr>
            <w:tcW w:w="1031" w:type="pct"/>
            <w:vAlign w:val="center"/>
          </w:tcPr>
          <w:p w14:paraId="7C7F56A7">
            <w:pPr>
              <w:pStyle w:val="51"/>
              <w:jc w:val="center"/>
              <w:rPr>
                <w:rFonts w:hint="eastAsia" w:ascii="宋体" w:hAnsi="宋体" w:eastAsia="宋体" w:cs="宋体"/>
                <w:color w:val="auto"/>
                <w:sz w:val="21"/>
                <w:szCs w:val="21"/>
                <w:highlight w:val="none"/>
              </w:rPr>
            </w:pPr>
          </w:p>
        </w:tc>
        <w:tc>
          <w:tcPr>
            <w:tcW w:w="1265" w:type="pct"/>
            <w:vAlign w:val="center"/>
          </w:tcPr>
          <w:p w14:paraId="611127F1">
            <w:pPr>
              <w:pStyle w:val="51"/>
              <w:jc w:val="center"/>
              <w:rPr>
                <w:rFonts w:hint="eastAsia" w:ascii="宋体" w:hAnsi="宋体" w:eastAsia="宋体" w:cs="宋体"/>
                <w:color w:val="auto"/>
                <w:sz w:val="21"/>
                <w:szCs w:val="21"/>
                <w:highlight w:val="none"/>
              </w:rPr>
            </w:pPr>
          </w:p>
        </w:tc>
        <w:tc>
          <w:tcPr>
            <w:tcW w:w="1135" w:type="pct"/>
            <w:vAlign w:val="center"/>
          </w:tcPr>
          <w:p w14:paraId="0E4A26B6">
            <w:pPr>
              <w:pStyle w:val="51"/>
              <w:jc w:val="center"/>
              <w:rPr>
                <w:rFonts w:hint="eastAsia" w:ascii="宋体" w:hAnsi="宋体" w:eastAsia="宋体" w:cs="宋体"/>
                <w:color w:val="auto"/>
                <w:sz w:val="21"/>
                <w:szCs w:val="21"/>
                <w:highlight w:val="none"/>
              </w:rPr>
            </w:pPr>
          </w:p>
        </w:tc>
      </w:tr>
      <w:tr w14:paraId="6E8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0C5ED4E">
            <w:pPr>
              <w:pStyle w:val="51"/>
              <w:jc w:val="center"/>
              <w:rPr>
                <w:rFonts w:hint="eastAsia" w:ascii="宋体" w:hAnsi="宋体" w:eastAsia="宋体" w:cs="宋体"/>
                <w:color w:val="auto"/>
                <w:sz w:val="21"/>
                <w:szCs w:val="21"/>
                <w:highlight w:val="none"/>
              </w:rPr>
            </w:pPr>
          </w:p>
        </w:tc>
        <w:tc>
          <w:tcPr>
            <w:tcW w:w="1159" w:type="pct"/>
            <w:vAlign w:val="center"/>
          </w:tcPr>
          <w:p w14:paraId="5C4DD07B">
            <w:pPr>
              <w:pStyle w:val="51"/>
              <w:jc w:val="center"/>
              <w:rPr>
                <w:rFonts w:hint="eastAsia" w:ascii="宋体" w:hAnsi="宋体" w:eastAsia="宋体" w:cs="宋体"/>
                <w:color w:val="auto"/>
                <w:sz w:val="21"/>
                <w:szCs w:val="21"/>
                <w:highlight w:val="none"/>
              </w:rPr>
            </w:pPr>
          </w:p>
        </w:tc>
        <w:tc>
          <w:tcPr>
            <w:tcW w:w="1031" w:type="pct"/>
            <w:vAlign w:val="center"/>
          </w:tcPr>
          <w:p w14:paraId="26683DD4">
            <w:pPr>
              <w:pStyle w:val="51"/>
              <w:jc w:val="center"/>
              <w:rPr>
                <w:rFonts w:hint="eastAsia" w:ascii="宋体" w:hAnsi="宋体" w:eastAsia="宋体" w:cs="宋体"/>
                <w:color w:val="auto"/>
                <w:sz w:val="21"/>
                <w:szCs w:val="21"/>
                <w:highlight w:val="none"/>
              </w:rPr>
            </w:pPr>
          </w:p>
        </w:tc>
        <w:tc>
          <w:tcPr>
            <w:tcW w:w="1265" w:type="pct"/>
            <w:vAlign w:val="center"/>
          </w:tcPr>
          <w:p w14:paraId="4D8C3BA1">
            <w:pPr>
              <w:pStyle w:val="51"/>
              <w:jc w:val="center"/>
              <w:rPr>
                <w:rFonts w:hint="eastAsia" w:ascii="宋体" w:hAnsi="宋体" w:eastAsia="宋体" w:cs="宋体"/>
                <w:color w:val="auto"/>
                <w:sz w:val="21"/>
                <w:szCs w:val="21"/>
                <w:highlight w:val="none"/>
              </w:rPr>
            </w:pPr>
          </w:p>
        </w:tc>
        <w:tc>
          <w:tcPr>
            <w:tcW w:w="1135" w:type="pct"/>
            <w:vAlign w:val="center"/>
          </w:tcPr>
          <w:p w14:paraId="2E8B5F67">
            <w:pPr>
              <w:pStyle w:val="51"/>
              <w:jc w:val="center"/>
              <w:rPr>
                <w:rFonts w:hint="eastAsia" w:ascii="宋体" w:hAnsi="宋体" w:eastAsia="宋体" w:cs="宋体"/>
                <w:color w:val="auto"/>
                <w:sz w:val="21"/>
                <w:szCs w:val="21"/>
                <w:highlight w:val="none"/>
              </w:rPr>
            </w:pPr>
          </w:p>
        </w:tc>
      </w:tr>
      <w:tr w14:paraId="2B10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EE038ED">
            <w:pPr>
              <w:pStyle w:val="51"/>
              <w:jc w:val="center"/>
              <w:rPr>
                <w:rFonts w:hint="eastAsia" w:ascii="宋体" w:hAnsi="宋体" w:eastAsia="宋体" w:cs="宋体"/>
                <w:color w:val="auto"/>
                <w:sz w:val="21"/>
                <w:szCs w:val="21"/>
                <w:highlight w:val="none"/>
              </w:rPr>
            </w:pPr>
          </w:p>
        </w:tc>
        <w:tc>
          <w:tcPr>
            <w:tcW w:w="1159" w:type="pct"/>
            <w:vAlign w:val="center"/>
          </w:tcPr>
          <w:p w14:paraId="1568BE63">
            <w:pPr>
              <w:pStyle w:val="51"/>
              <w:jc w:val="center"/>
              <w:rPr>
                <w:rFonts w:hint="eastAsia" w:ascii="宋体" w:hAnsi="宋体" w:eastAsia="宋体" w:cs="宋体"/>
                <w:color w:val="auto"/>
                <w:sz w:val="21"/>
                <w:szCs w:val="21"/>
                <w:highlight w:val="none"/>
              </w:rPr>
            </w:pPr>
          </w:p>
        </w:tc>
        <w:tc>
          <w:tcPr>
            <w:tcW w:w="1031" w:type="pct"/>
            <w:vAlign w:val="center"/>
          </w:tcPr>
          <w:p w14:paraId="73EB38B3">
            <w:pPr>
              <w:pStyle w:val="51"/>
              <w:jc w:val="center"/>
              <w:rPr>
                <w:rFonts w:hint="eastAsia" w:ascii="宋体" w:hAnsi="宋体" w:eastAsia="宋体" w:cs="宋体"/>
                <w:color w:val="auto"/>
                <w:sz w:val="21"/>
                <w:szCs w:val="21"/>
                <w:highlight w:val="none"/>
              </w:rPr>
            </w:pPr>
          </w:p>
        </w:tc>
        <w:tc>
          <w:tcPr>
            <w:tcW w:w="1265" w:type="pct"/>
            <w:vAlign w:val="center"/>
          </w:tcPr>
          <w:p w14:paraId="75F9A705">
            <w:pPr>
              <w:pStyle w:val="51"/>
              <w:jc w:val="center"/>
              <w:rPr>
                <w:rFonts w:hint="eastAsia" w:ascii="宋体" w:hAnsi="宋体" w:eastAsia="宋体" w:cs="宋体"/>
                <w:color w:val="auto"/>
                <w:sz w:val="21"/>
                <w:szCs w:val="21"/>
                <w:highlight w:val="none"/>
              </w:rPr>
            </w:pPr>
          </w:p>
        </w:tc>
        <w:tc>
          <w:tcPr>
            <w:tcW w:w="1135" w:type="pct"/>
            <w:vAlign w:val="center"/>
          </w:tcPr>
          <w:p w14:paraId="7B4E9707">
            <w:pPr>
              <w:pStyle w:val="51"/>
              <w:jc w:val="center"/>
              <w:rPr>
                <w:rFonts w:hint="eastAsia" w:ascii="宋体" w:hAnsi="宋体" w:eastAsia="宋体" w:cs="宋体"/>
                <w:color w:val="auto"/>
                <w:sz w:val="21"/>
                <w:szCs w:val="21"/>
                <w:highlight w:val="none"/>
              </w:rPr>
            </w:pPr>
          </w:p>
        </w:tc>
      </w:tr>
      <w:tr w14:paraId="5B46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7A9FD9CF">
            <w:pPr>
              <w:pStyle w:val="51"/>
              <w:jc w:val="center"/>
              <w:rPr>
                <w:rFonts w:hint="eastAsia" w:ascii="宋体" w:hAnsi="宋体" w:eastAsia="宋体" w:cs="宋体"/>
                <w:color w:val="auto"/>
                <w:sz w:val="21"/>
                <w:szCs w:val="21"/>
                <w:highlight w:val="none"/>
              </w:rPr>
            </w:pPr>
          </w:p>
        </w:tc>
        <w:tc>
          <w:tcPr>
            <w:tcW w:w="1159" w:type="pct"/>
            <w:vAlign w:val="center"/>
          </w:tcPr>
          <w:p w14:paraId="3873E5B8">
            <w:pPr>
              <w:pStyle w:val="51"/>
              <w:jc w:val="center"/>
              <w:rPr>
                <w:rFonts w:hint="eastAsia" w:ascii="宋体" w:hAnsi="宋体" w:eastAsia="宋体" w:cs="宋体"/>
                <w:color w:val="auto"/>
                <w:sz w:val="21"/>
                <w:szCs w:val="21"/>
                <w:highlight w:val="none"/>
              </w:rPr>
            </w:pPr>
          </w:p>
        </w:tc>
        <w:tc>
          <w:tcPr>
            <w:tcW w:w="1031" w:type="pct"/>
            <w:vAlign w:val="center"/>
          </w:tcPr>
          <w:p w14:paraId="4BFC552A">
            <w:pPr>
              <w:pStyle w:val="51"/>
              <w:jc w:val="center"/>
              <w:rPr>
                <w:rFonts w:hint="eastAsia" w:ascii="宋体" w:hAnsi="宋体" w:eastAsia="宋体" w:cs="宋体"/>
                <w:color w:val="auto"/>
                <w:sz w:val="21"/>
                <w:szCs w:val="21"/>
                <w:highlight w:val="none"/>
              </w:rPr>
            </w:pPr>
          </w:p>
        </w:tc>
        <w:tc>
          <w:tcPr>
            <w:tcW w:w="1265" w:type="pct"/>
            <w:vAlign w:val="center"/>
          </w:tcPr>
          <w:p w14:paraId="6752E62F">
            <w:pPr>
              <w:pStyle w:val="51"/>
              <w:jc w:val="center"/>
              <w:rPr>
                <w:rFonts w:hint="eastAsia" w:ascii="宋体" w:hAnsi="宋体" w:eastAsia="宋体" w:cs="宋体"/>
                <w:color w:val="auto"/>
                <w:sz w:val="21"/>
                <w:szCs w:val="21"/>
                <w:highlight w:val="none"/>
              </w:rPr>
            </w:pPr>
          </w:p>
        </w:tc>
        <w:tc>
          <w:tcPr>
            <w:tcW w:w="1135" w:type="pct"/>
            <w:vAlign w:val="center"/>
          </w:tcPr>
          <w:p w14:paraId="0D508B80">
            <w:pPr>
              <w:pStyle w:val="51"/>
              <w:jc w:val="center"/>
              <w:rPr>
                <w:rFonts w:hint="eastAsia" w:ascii="宋体" w:hAnsi="宋体" w:eastAsia="宋体" w:cs="宋体"/>
                <w:color w:val="auto"/>
                <w:sz w:val="21"/>
                <w:szCs w:val="21"/>
                <w:highlight w:val="none"/>
              </w:rPr>
            </w:pPr>
          </w:p>
        </w:tc>
      </w:tr>
      <w:tr w14:paraId="1A2A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5F4BFC8">
            <w:pPr>
              <w:pStyle w:val="51"/>
              <w:jc w:val="center"/>
              <w:rPr>
                <w:rFonts w:hint="eastAsia" w:ascii="宋体" w:hAnsi="宋体" w:eastAsia="宋体" w:cs="宋体"/>
                <w:color w:val="auto"/>
                <w:sz w:val="21"/>
                <w:szCs w:val="21"/>
                <w:highlight w:val="none"/>
              </w:rPr>
            </w:pPr>
          </w:p>
        </w:tc>
        <w:tc>
          <w:tcPr>
            <w:tcW w:w="1159" w:type="pct"/>
            <w:vAlign w:val="center"/>
          </w:tcPr>
          <w:p w14:paraId="63890973">
            <w:pPr>
              <w:pStyle w:val="51"/>
              <w:jc w:val="center"/>
              <w:rPr>
                <w:rFonts w:hint="eastAsia" w:ascii="宋体" w:hAnsi="宋体" w:eastAsia="宋体" w:cs="宋体"/>
                <w:color w:val="auto"/>
                <w:sz w:val="21"/>
                <w:szCs w:val="21"/>
                <w:highlight w:val="none"/>
              </w:rPr>
            </w:pPr>
          </w:p>
        </w:tc>
        <w:tc>
          <w:tcPr>
            <w:tcW w:w="1031" w:type="pct"/>
            <w:vAlign w:val="center"/>
          </w:tcPr>
          <w:p w14:paraId="09F5DB10">
            <w:pPr>
              <w:pStyle w:val="51"/>
              <w:jc w:val="center"/>
              <w:rPr>
                <w:rFonts w:hint="eastAsia" w:ascii="宋体" w:hAnsi="宋体" w:eastAsia="宋体" w:cs="宋体"/>
                <w:color w:val="auto"/>
                <w:sz w:val="21"/>
                <w:szCs w:val="21"/>
                <w:highlight w:val="none"/>
              </w:rPr>
            </w:pPr>
          </w:p>
        </w:tc>
        <w:tc>
          <w:tcPr>
            <w:tcW w:w="1265" w:type="pct"/>
            <w:vAlign w:val="center"/>
          </w:tcPr>
          <w:p w14:paraId="59B50D42">
            <w:pPr>
              <w:pStyle w:val="51"/>
              <w:jc w:val="center"/>
              <w:rPr>
                <w:rFonts w:hint="eastAsia" w:ascii="宋体" w:hAnsi="宋体" w:eastAsia="宋体" w:cs="宋体"/>
                <w:color w:val="auto"/>
                <w:sz w:val="21"/>
                <w:szCs w:val="21"/>
                <w:highlight w:val="none"/>
              </w:rPr>
            </w:pPr>
          </w:p>
        </w:tc>
        <w:tc>
          <w:tcPr>
            <w:tcW w:w="1135" w:type="pct"/>
            <w:vAlign w:val="center"/>
          </w:tcPr>
          <w:p w14:paraId="15BCCC48">
            <w:pPr>
              <w:pStyle w:val="51"/>
              <w:jc w:val="center"/>
              <w:rPr>
                <w:rFonts w:hint="eastAsia" w:ascii="宋体" w:hAnsi="宋体" w:eastAsia="宋体" w:cs="宋体"/>
                <w:color w:val="auto"/>
                <w:sz w:val="21"/>
                <w:szCs w:val="21"/>
                <w:highlight w:val="none"/>
              </w:rPr>
            </w:pPr>
          </w:p>
        </w:tc>
      </w:tr>
      <w:tr w14:paraId="361F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1F51D1EA">
            <w:pPr>
              <w:pStyle w:val="51"/>
              <w:jc w:val="center"/>
              <w:rPr>
                <w:rFonts w:hint="eastAsia" w:ascii="宋体" w:hAnsi="宋体" w:eastAsia="宋体" w:cs="宋体"/>
                <w:color w:val="auto"/>
                <w:sz w:val="21"/>
                <w:szCs w:val="21"/>
                <w:highlight w:val="none"/>
              </w:rPr>
            </w:pPr>
          </w:p>
        </w:tc>
        <w:tc>
          <w:tcPr>
            <w:tcW w:w="1159" w:type="pct"/>
            <w:vAlign w:val="center"/>
          </w:tcPr>
          <w:p w14:paraId="1204324D">
            <w:pPr>
              <w:pStyle w:val="51"/>
              <w:jc w:val="center"/>
              <w:rPr>
                <w:rFonts w:hint="eastAsia" w:ascii="宋体" w:hAnsi="宋体" w:eastAsia="宋体" w:cs="宋体"/>
                <w:color w:val="auto"/>
                <w:sz w:val="21"/>
                <w:szCs w:val="21"/>
                <w:highlight w:val="none"/>
              </w:rPr>
            </w:pPr>
          </w:p>
        </w:tc>
        <w:tc>
          <w:tcPr>
            <w:tcW w:w="1031" w:type="pct"/>
            <w:vAlign w:val="center"/>
          </w:tcPr>
          <w:p w14:paraId="36FD0F55">
            <w:pPr>
              <w:pStyle w:val="51"/>
              <w:jc w:val="center"/>
              <w:rPr>
                <w:rFonts w:hint="eastAsia" w:ascii="宋体" w:hAnsi="宋体" w:eastAsia="宋体" w:cs="宋体"/>
                <w:color w:val="auto"/>
                <w:sz w:val="21"/>
                <w:szCs w:val="21"/>
                <w:highlight w:val="none"/>
              </w:rPr>
            </w:pPr>
          </w:p>
        </w:tc>
        <w:tc>
          <w:tcPr>
            <w:tcW w:w="1265" w:type="pct"/>
            <w:vAlign w:val="center"/>
          </w:tcPr>
          <w:p w14:paraId="6D3AA7E1">
            <w:pPr>
              <w:pStyle w:val="51"/>
              <w:jc w:val="center"/>
              <w:rPr>
                <w:rFonts w:hint="eastAsia" w:ascii="宋体" w:hAnsi="宋体" w:eastAsia="宋体" w:cs="宋体"/>
                <w:color w:val="auto"/>
                <w:sz w:val="21"/>
                <w:szCs w:val="21"/>
                <w:highlight w:val="none"/>
              </w:rPr>
            </w:pPr>
          </w:p>
        </w:tc>
        <w:tc>
          <w:tcPr>
            <w:tcW w:w="1135" w:type="pct"/>
            <w:vAlign w:val="center"/>
          </w:tcPr>
          <w:p w14:paraId="449BE1FC">
            <w:pPr>
              <w:pStyle w:val="51"/>
              <w:jc w:val="center"/>
              <w:rPr>
                <w:rFonts w:hint="eastAsia" w:ascii="宋体" w:hAnsi="宋体" w:eastAsia="宋体" w:cs="宋体"/>
                <w:color w:val="auto"/>
                <w:sz w:val="21"/>
                <w:szCs w:val="21"/>
                <w:highlight w:val="none"/>
              </w:rPr>
            </w:pPr>
          </w:p>
        </w:tc>
      </w:tr>
      <w:tr w14:paraId="7E84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6ECE9C6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69EDFD2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D19C04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16652C7B">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5" w:type="pct"/>
            <w:vAlign w:val="center"/>
          </w:tcPr>
          <w:p w14:paraId="7E732B44">
            <w:pPr>
              <w:pStyle w:val="51"/>
              <w:jc w:val="center"/>
              <w:rPr>
                <w:rFonts w:hint="eastAsia" w:ascii="宋体" w:hAnsi="宋体" w:eastAsia="宋体" w:cs="宋体"/>
                <w:color w:val="auto"/>
                <w:sz w:val="21"/>
                <w:szCs w:val="21"/>
                <w:highlight w:val="none"/>
              </w:rPr>
            </w:pPr>
          </w:p>
        </w:tc>
      </w:tr>
    </w:tbl>
    <w:p w14:paraId="7A96DC4C">
      <w:pPr>
        <w:ind w:firstLine="420" w:firstLineChars="200"/>
        <w:rPr>
          <w:rFonts w:hint="eastAsia" w:cs="仿宋_GB2312"/>
          <w:color w:val="auto"/>
          <w:sz w:val="21"/>
          <w:szCs w:val="21"/>
          <w:highlight w:val="none"/>
        </w:rPr>
      </w:pPr>
    </w:p>
    <w:p w14:paraId="2F5D40B2">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w:t>
      </w:r>
      <w:r>
        <w:rPr>
          <w:rFonts w:hint="eastAsia" w:cs="仿宋_GB2312"/>
          <w:color w:val="auto"/>
          <w:sz w:val="21"/>
          <w:szCs w:val="21"/>
          <w:highlight w:val="none"/>
        </w:rPr>
        <w:t>。</w:t>
      </w:r>
    </w:p>
    <w:p w14:paraId="7D87EEFE">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1685FB85">
      <w:pPr>
        <w:ind w:firstLine="420"/>
        <w:rPr>
          <w:rFonts w:cs="仿宋_GB2312"/>
          <w:color w:val="auto"/>
          <w:szCs w:val="24"/>
          <w:highlight w:val="none"/>
        </w:rPr>
      </w:pPr>
    </w:p>
    <w:p w14:paraId="3095974B">
      <w:pPr>
        <w:ind w:firstLine="420"/>
        <w:rPr>
          <w:rFonts w:cs="仿宋_GB2312"/>
          <w:color w:val="auto"/>
          <w:szCs w:val="24"/>
          <w:highlight w:val="none"/>
        </w:rPr>
      </w:pPr>
    </w:p>
    <w:p w14:paraId="5228E054">
      <w:pPr>
        <w:ind w:firstLine="420"/>
        <w:rPr>
          <w:rFonts w:hint="eastAsia" w:cs="仿宋_GB2312"/>
          <w:color w:val="auto"/>
          <w:szCs w:val="24"/>
          <w:highlight w:val="none"/>
          <w:lang w:val="en-US" w:eastAsia="zh-CN"/>
        </w:rPr>
      </w:pPr>
      <w:r>
        <w:rPr>
          <w:rFonts w:hint="eastAsia" w:cs="仿宋_GB2312"/>
          <w:color w:val="auto"/>
          <w:sz w:val="21"/>
          <w:szCs w:val="21"/>
          <w:highlight w:val="none"/>
          <w:lang w:val="en-US" w:eastAsia="zh-CN"/>
        </w:rPr>
        <w:t>备注：投标人在本表中须标注技术响应的实际数值或内容，照搬照抄采购文件内容、不注明实际响应内容者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49A1A5E5">
      <w:pPr>
        <w:ind w:firstLine="420"/>
        <w:rPr>
          <w:rFonts w:cs="仿宋_GB2312"/>
          <w:color w:val="auto"/>
          <w:szCs w:val="24"/>
          <w:highlight w:val="none"/>
        </w:rPr>
      </w:pPr>
      <w:r>
        <w:rPr>
          <w:rFonts w:cs="仿宋_GB2312"/>
          <w:color w:val="auto"/>
          <w:szCs w:val="24"/>
          <w:highlight w:val="none"/>
        </w:rPr>
        <w:br w:type="page"/>
      </w:r>
    </w:p>
    <w:p w14:paraId="600EA7EE">
      <w:pPr>
        <w:pStyle w:val="19"/>
        <w:spacing w:line="360" w:lineRule="auto"/>
        <w:jc w:val="center"/>
        <w:rPr>
          <w:rFonts w:hint="eastAsia" w:ascii="方正小标宋_GBK" w:hAnsi="方正小标宋_GBK" w:eastAsia="方正小标宋_GBK" w:cs="方正小标宋_GBK"/>
          <w:bCs/>
          <w:color w:val="auto"/>
          <w:sz w:val="36"/>
          <w:szCs w:val="36"/>
          <w:highlight w:val="none"/>
          <w:lang w:val="en-US" w:eastAsia="zh-CN"/>
        </w:rPr>
      </w:pPr>
    </w:p>
    <w:p w14:paraId="06C98EB9">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46" w:name="_Toc15309"/>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、技术方案</w:t>
      </w:r>
      <w:bookmarkEnd w:id="946"/>
    </w:p>
    <w:p w14:paraId="7078B366">
      <w:pPr>
        <w:pStyle w:val="39"/>
        <w:rPr>
          <w:rFonts w:hint="eastAsia"/>
          <w:color w:val="auto"/>
          <w:highlight w:val="none"/>
        </w:rPr>
      </w:pPr>
      <w:r>
        <w:rPr>
          <w:rFonts w:hint="eastAsia"/>
          <w:color w:val="auto"/>
          <w:highlight w:val="none"/>
        </w:rPr>
        <w:t>投标人应按照招标文件的要求，提供详细的服务方案，包括文字描述或图表显示。格式自拟。</w:t>
      </w:r>
    </w:p>
    <w:p w14:paraId="7EE77353">
      <w:pPr>
        <w:pStyle w:val="39"/>
        <w:rPr>
          <w:color w:val="auto"/>
          <w:highlight w:val="none"/>
        </w:rPr>
      </w:pPr>
      <w:r>
        <w:rPr>
          <w:color w:val="auto"/>
          <w:highlight w:val="none"/>
        </w:rPr>
        <w:br w:type="page"/>
      </w:r>
    </w:p>
    <w:p w14:paraId="01EB5657">
      <w:pPr>
        <w:ind w:firstLine="420"/>
        <w:rPr>
          <w:rFonts w:hint="eastAsia" w:cs="仿宋_GB2312"/>
          <w:color w:val="auto"/>
          <w:sz w:val="21"/>
          <w:szCs w:val="21"/>
          <w:highlight w:val="none"/>
          <w:lang w:val="en-US" w:eastAsia="zh-CN"/>
        </w:rPr>
      </w:pPr>
    </w:p>
    <w:p w14:paraId="3D755871">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947" w:name="_Toc19507"/>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一</w:t>
      </w:r>
      <w:r>
        <w:rPr>
          <w:rFonts w:hint="eastAsia" w:eastAsia="宋体" w:asciiTheme="majorHAnsi" w:hAnsiTheme="majorHAnsi" w:cstheme="majorBidi"/>
          <w:b/>
          <w:bCs/>
          <w:color w:val="auto"/>
          <w:kern w:val="2"/>
          <w:sz w:val="32"/>
          <w:szCs w:val="32"/>
          <w:highlight w:val="none"/>
          <w:lang w:val="en-US" w:eastAsia="zh-CN" w:bidi="ar-SA"/>
        </w:rPr>
        <w:t>、其他文件</w:t>
      </w:r>
      <w:bookmarkEnd w:id="947"/>
    </w:p>
    <w:p w14:paraId="6EF40482">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09B7BCDB">
      <w:pPr>
        <w:pStyle w:val="39"/>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399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DAB5D76">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7E8BFF2C">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27FEC6CB">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C82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0EF63A6">
            <w:pPr>
              <w:pStyle w:val="39"/>
              <w:rPr>
                <w:rFonts w:hint="eastAsia" w:ascii="宋体" w:hAnsi="宋体" w:eastAsia="宋体" w:cs="宋体"/>
                <w:color w:val="auto"/>
                <w:sz w:val="24"/>
                <w:szCs w:val="24"/>
                <w:highlight w:val="none"/>
                <w:vertAlign w:val="baseline"/>
                <w:lang w:val="en-US" w:eastAsia="zh-CN"/>
              </w:rPr>
            </w:pPr>
          </w:p>
        </w:tc>
        <w:tc>
          <w:tcPr>
            <w:tcW w:w="2841" w:type="dxa"/>
          </w:tcPr>
          <w:p w14:paraId="2C8A474B">
            <w:pPr>
              <w:pStyle w:val="39"/>
              <w:rPr>
                <w:rFonts w:hint="eastAsia" w:ascii="宋体" w:hAnsi="宋体" w:eastAsia="宋体" w:cs="宋体"/>
                <w:color w:val="auto"/>
                <w:sz w:val="24"/>
                <w:szCs w:val="24"/>
                <w:highlight w:val="none"/>
                <w:vertAlign w:val="baseline"/>
                <w:lang w:val="en-US" w:eastAsia="zh-CN"/>
              </w:rPr>
            </w:pPr>
          </w:p>
        </w:tc>
        <w:tc>
          <w:tcPr>
            <w:tcW w:w="2743" w:type="dxa"/>
          </w:tcPr>
          <w:p w14:paraId="2F4800D6">
            <w:pPr>
              <w:pStyle w:val="39"/>
              <w:rPr>
                <w:rFonts w:hint="eastAsia" w:ascii="宋体" w:hAnsi="宋体" w:eastAsia="宋体" w:cs="宋体"/>
                <w:color w:val="auto"/>
                <w:sz w:val="24"/>
                <w:szCs w:val="24"/>
                <w:highlight w:val="none"/>
                <w:vertAlign w:val="baseline"/>
                <w:lang w:val="en-US" w:eastAsia="zh-CN"/>
              </w:rPr>
            </w:pPr>
          </w:p>
        </w:tc>
      </w:tr>
      <w:tr w14:paraId="2A15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8538042">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5D28C08">
            <w:pPr>
              <w:pStyle w:val="39"/>
              <w:rPr>
                <w:rFonts w:hint="eastAsia" w:ascii="宋体" w:hAnsi="宋体" w:eastAsia="宋体" w:cs="宋体"/>
                <w:color w:val="auto"/>
                <w:sz w:val="24"/>
                <w:szCs w:val="24"/>
                <w:highlight w:val="none"/>
                <w:vertAlign w:val="baseline"/>
                <w:lang w:val="en-US" w:eastAsia="zh-CN"/>
              </w:rPr>
            </w:pPr>
          </w:p>
        </w:tc>
        <w:tc>
          <w:tcPr>
            <w:tcW w:w="2743" w:type="dxa"/>
          </w:tcPr>
          <w:p w14:paraId="31FE53FE">
            <w:pPr>
              <w:pStyle w:val="39"/>
              <w:rPr>
                <w:rFonts w:hint="eastAsia" w:ascii="宋体" w:hAnsi="宋体" w:eastAsia="宋体" w:cs="宋体"/>
                <w:color w:val="auto"/>
                <w:sz w:val="24"/>
                <w:szCs w:val="24"/>
                <w:highlight w:val="none"/>
                <w:vertAlign w:val="baseline"/>
                <w:lang w:val="en-US" w:eastAsia="zh-CN"/>
              </w:rPr>
            </w:pPr>
          </w:p>
        </w:tc>
      </w:tr>
      <w:tr w14:paraId="74D5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EF0ABBA">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5A0EA10">
            <w:pPr>
              <w:pStyle w:val="39"/>
              <w:rPr>
                <w:rFonts w:hint="eastAsia" w:ascii="宋体" w:hAnsi="宋体" w:eastAsia="宋体" w:cs="宋体"/>
                <w:color w:val="auto"/>
                <w:sz w:val="24"/>
                <w:szCs w:val="24"/>
                <w:highlight w:val="none"/>
                <w:vertAlign w:val="baseline"/>
                <w:lang w:val="en-US" w:eastAsia="zh-CN"/>
              </w:rPr>
            </w:pPr>
          </w:p>
        </w:tc>
        <w:tc>
          <w:tcPr>
            <w:tcW w:w="2743" w:type="dxa"/>
          </w:tcPr>
          <w:p w14:paraId="4DD25543">
            <w:pPr>
              <w:pStyle w:val="39"/>
              <w:rPr>
                <w:rFonts w:hint="eastAsia" w:ascii="宋体" w:hAnsi="宋体" w:eastAsia="宋体" w:cs="宋体"/>
                <w:color w:val="auto"/>
                <w:sz w:val="24"/>
                <w:szCs w:val="24"/>
                <w:highlight w:val="none"/>
                <w:vertAlign w:val="baseline"/>
                <w:lang w:val="en-US" w:eastAsia="zh-CN"/>
              </w:rPr>
            </w:pPr>
          </w:p>
        </w:tc>
      </w:tr>
      <w:tr w14:paraId="000F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B6D0E2F">
            <w:pPr>
              <w:pStyle w:val="39"/>
              <w:rPr>
                <w:rFonts w:hint="eastAsia" w:ascii="宋体" w:hAnsi="宋体" w:eastAsia="宋体" w:cs="宋体"/>
                <w:color w:val="auto"/>
                <w:sz w:val="24"/>
                <w:szCs w:val="24"/>
                <w:highlight w:val="none"/>
                <w:vertAlign w:val="baseline"/>
                <w:lang w:val="en-US" w:eastAsia="zh-CN"/>
              </w:rPr>
            </w:pPr>
          </w:p>
        </w:tc>
        <w:tc>
          <w:tcPr>
            <w:tcW w:w="2841" w:type="dxa"/>
          </w:tcPr>
          <w:p w14:paraId="7437EC56">
            <w:pPr>
              <w:pStyle w:val="39"/>
              <w:rPr>
                <w:rFonts w:hint="eastAsia" w:ascii="宋体" w:hAnsi="宋体" w:eastAsia="宋体" w:cs="宋体"/>
                <w:color w:val="auto"/>
                <w:sz w:val="24"/>
                <w:szCs w:val="24"/>
                <w:highlight w:val="none"/>
                <w:vertAlign w:val="baseline"/>
                <w:lang w:val="en-US" w:eastAsia="zh-CN"/>
              </w:rPr>
            </w:pPr>
          </w:p>
        </w:tc>
        <w:tc>
          <w:tcPr>
            <w:tcW w:w="2743" w:type="dxa"/>
          </w:tcPr>
          <w:p w14:paraId="769E8F28">
            <w:pPr>
              <w:pStyle w:val="39"/>
              <w:rPr>
                <w:rFonts w:hint="eastAsia" w:ascii="宋体" w:hAnsi="宋体" w:eastAsia="宋体" w:cs="宋体"/>
                <w:color w:val="auto"/>
                <w:sz w:val="24"/>
                <w:szCs w:val="24"/>
                <w:highlight w:val="none"/>
                <w:vertAlign w:val="baseline"/>
                <w:lang w:val="en-US" w:eastAsia="zh-CN"/>
              </w:rPr>
            </w:pPr>
          </w:p>
        </w:tc>
      </w:tr>
    </w:tbl>
    <w:p w14:paraId="3318F9F0">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53D1AE7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51%以上绝对所有权的性；绝对所有权拥有者可以是一个人，也可以是多人合计计算。</w:t>
      </w:r>
    </w:p>
    <w:p w14:paraId="6C85D95C">
      <w:pPr>
        <w:pStyle w:val="39"/>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9"/>
        <w:rPr>
          <w:rFonts w:hint="eastAsia"/>
          <w:color w:val="auto"/>
          <w:sz w:val="28"/>
          <w:szCs w:val="28"/>
          <w:highlight w:val="none"/>
          <w:lang w:val="en-US" w:eastAsia="zh-CN"/>
        </w:rPr>
      </w:pPr>
    </w:p>
    <w:p w14:paraId="3CD7B018">
      <w:pPr>
        <w:pStyle w:val="39"/>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45C8EB48">
      <w:pPr>
        <w:pStyle w:val="39"/>
        <w:ind w:left="0" w:leftChars="0" w:firstLine="0" w:firstLineChars="0"/>
        <w:rPr>
          <w:rFonts w:hint="eastAsia"/>
          <w:b/>
          <w:bCs/>
          <w:color w:val="auto"/>
          <w:sz w:val="24"/>
          <w:szCs w:val="24"/>
          <w:highlight w:val="none"/>
          <w:lang w:eastAsia="zh-CN"/>
        </w:rPr>
      </w:pPr>
    </w:p>
    <w:p w14:paraId="7DF13FE9">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6DA29BFF">
      <w:pPr>
        <w:pStyle w:val="39"/>
        <w:rPr>
          <w:rFonts w:hint="eastAsia"/>
          <w:color w:val="auto"/>
          <w:highlight w:val="none"/>
        </w:rPr>
      </w:pPr>
    </w:p>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8AEA75-E3AE-4458-92BC-E454DE6EBCD3}"/>
  </w:font>
  <w:font w:name="Arial">
    <w:panose1 w:val="020B0604020202020204"/>
    <w:charset w:val="01"/>
    <w:family w:val="swiss"/>
    <w:pitch w:val="default"/>
    <w:sig w:usb0="E0002EFF" w:usb1="C000785B" w:usb2="00000009" w:usb3="00000000" w:csb0="400001FF" w:csb1="FFFF0000"/>
    <w:embedRegular r:id="rId2" w:fontKey="{CA90C95C-32A6-4CC0-B05C-DBDF57F8DEEC}"/>
  </w:font>
  <w:font w:name="黑体">
    <w:panose1 w:val="02010609060101010101"/>
    <w:charset w:val="86"/>
    <w:family w:val="auto"/>
    <w:pitch w:val="default"/>
    <w:sig w:usb0="800002BF" w:usb1="38CF7CFA" w:usb2="00000016" w:usb3="00000000" w:csb0="00040001" w:csb1="00000000"/>
    <w:embedRegular r:id="rId3" w:fontKey="{76E588EB-B86E-42B9-846F-98307284E638}"/>
  </w:font>
  <w:font w:name="Courier New">
    <w:panose1 w:val="02070309020205020404"/>
    <w:charset w:val="01"/>
    <w:family w:val="modern"/>
    <w:pitch w:val="default"/>
    <w:sig w:usb0="E0002EFF" w:usb1="C0007843" w:usb2="00000009" w:usb3="00000000" w:csb0="400001FF" w:csb1="FFFF0000"/>
    <w:embedRegular r:id="rId4" w:fontKey="{8E8A8E76-75EF-4405-9414-6B38C084642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3B9709E4-F932-4516-8F5A-BABC11F0B46F}"/>
  </w:font>
  <w:font w:name="仿宋">
    <w:panose1 w:val="02010609060101010101"/>
    <w:charset w:val="86"/>
    <w:family w:val="auto"/>
    <w:pitch w:val="default"/>
    <w:sig w:usb0="800002BF" w:usb1="38CF7CFA" w:usb2="00000016" w:usb3="00000000" w:csb0="00040001" w:csb1="00000000"/>
    <w:embedRegular r:id="rId6" w:fontKey="{D16BAC9D-9F85-4E7B-A6CA-91789E96AD8F}"/>
  </w:font>
  <w:font w:name="等线">
    <w:panose1 w:val="02010600030101010101"/>
    <w:charset w:val="86"/>
    <w:family w:val="auto"/>
    <w:pitch w:val="default"/>
    <w:sig w:usb0="A00002BF" w:usb1="38CF7CFA" w:usb2="00000016" w:usb3="00000000" w:csb0="0004000F" w:csb1="00000000"/>
    <w:embedRegular r:id="rId7" w:fontKey="{26B268B1-37A5-4A7B-B4E4-B48A44ACD2C8}"/>
  </w:font>
  <w:font w:name="仿宋_GB2312">
    <w:altName w:val="仿宋"/>
    <w:panose1 w:val="02010609030101010101"/>
    <w:charset w:val="86"/>
    <w:family w:val="modern"/>
    <w:pitch w:val="default"/>
    <w:sig w:usb0="00000000" w:usb1="00000000" w:usb2="00000000" w:usb3="00000000" w:csb0="00040000" w:csb1="00000000"/>
    <w:embedRegular r:id="rId8" w:fontKey="{D584EDAF-536B-4369-BB04-9DCFC812AC45}"/>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embedRegular r:id="rId9" w:fontKey="{C17BD579-1CAC-445E-BB4F-69C5BEDC1AE3}"/>
  </w:font>
  <w:font w:name="方正小标宋简体">
    <w:panose1 w:val="02000000000000000000"/>
    <w:charset w:val="86"/>
    <w:family w:val="auto"/>
    <w:pitch w:val="default"/>
    <w:sig w:usb0="00000001" w:usb1="08000000" w:usb2="00000000" w:usb3="00000000" w:csb0="00040000" w:csb1="00000000"/>
    <w:embedRegular r:id="rId10" w:fontKey="{6B898931-3D5D-4A6C-A202-52AB5E9A927A}"/>
  </w:font>
  <w:font w:name="方正小标宋_GBK">
    <w:panose1 w:val="02000000000000000000"/>
    <w:charset w:val="86"/>
    <w:family w:val="auto"/>
    <w:pitch w:val="default"/>
    <w:sig w:usb0="A00002BF" w:usb1="38CF7CFA" w:usb2="00082016" w:usb3="00000000" w:csb0="00040001" w:csb1="00000000"/>
    <w:embedRegular r:id="rId11" w:fontKey="{AC7BAD69-1AF7-4101-97BA-7AB3B384B3C3}"/>
  </w:font>
  <w:font w:name="方正仿宋_GBK">
    <w:panose1 w:val="02000000000000000000"/>
    <w:charset w:val="86"/>
    <w:family w:val="script"/>
    <w:pitch w:val="default"/>
    <w:sig w:usb0="A00002BF" w:usb1="38CF7CFA" w:usb2="00082016" w:usb3="00000000" w:csb0="00040001" w:csb1="00000000"/>
    <w:embedRegular r:id="rId12" w:fontKey="{D7933DB6-B4CF-404D-8FC7-08ED135D5C07}"/>
  </w:font>
  <w:font w:name="Helvetica">
    <w:altName w:val="Arial"/>
    <w:panose1 w:val="020B0504020202020204"/>
    <w:charset w:val="00"/>
    <w:family w:val="swiss"/>
    <w:pitch w:val="default"/>
    <w:sig w:usb0="00000000" w:usb1="00000000" w:usb2="00000000" w:usb3="00000000" w:csb0="00000001" w:csb1="00000000"/>
    <w:embedRegular r:id="rId13" w:fontKey="{A6F6B15E-2398-428A-8AD1-978EFE557C4A}"/>
  </w:font>
  <w:font w:name="Tahoma">
    <w:panose1 w:val="020B0604030504040204"/>
    <w:charset w:val="00"/>
    <w:family w:val="swiss"/>
    <w:pitch w:val="default"/>
    <w:sig w:usb0="E1002EFF" w:usb1="C000605B" w:usb2="00000029" w:usb3="00000000" w:csb0="200101FF" w:csb1="20280000"/>
    <w:embedRegular r:id="rId14" w:fontKey="{0D3949C7-4DCB-4C78-876A-00012B20BCF7}"/>
  </w:font>
  <w:font w:name="微软雅黑">
    <w:panose1 w:val="020B0503020204020204"/>
    <w:charset w:val="86"/>
    <w:family w:val="auto"/>
    <w:pitch w:val="default"/>
    <w:sig w:usb0="80000287" w:usb1="2ACF3C50" w:usb2="00000016" w:usb3="00000000" w:csb0="0004001F" w:csb1="00000000"/>
    <w:embedRegular r:id="rId15" w:fontKey="{284972F9-EE22-4FF6-8308-FCDD24370EA7}"/>
  </w:font>
  <w:font w:name="DejaVuSans">
    <w:altName w:val="Segoe Print"/>
    <w:panose1 w:val="00000000000000000000"/>
    <w:charset w:val="00"/>
    <w:family w:val="auto"/>
    <w:pitch w:val="default"/>
    <w:sig w:usb0="00000000" w:usb1="00000000" w:usb2="00000000" w:usb3="00000000" w:csb0="00000000" w:csb1="00000000"/>
    <w:embedRegular r:id="rId16" w:fontKey="{BEA12E3E-222D-4FB7-B8C4-BE37C717D61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EEBB">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2C40C">
                          <w:pPr>
                            <w:pStyle w:val="21"/>
                            <w:keepNext w:val="0"/>
                            <w:keepLines w:val="0"/>
                            <w:pageBreakBefore w:val="0"/>
                            <w:widowControl w:val="0"/>
                            <w:kinsoku/>
                            <w:wordWrap/>
                            <w:overflowPunct/>
                            <w:topLinePunct w:val="0"/>
                            <w:bidi w:val="0"/>
                            <w:adjustRightInd/>
                            <w:snapToGrid w:val="0"/>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692C40C">
                    <w:pPr>
                      <w:pStyle w:val="21"/>
                      <w:keepNext w:val="0"/>
                      <w:keepLines w:val="0"/>
                      <w:pageBreakBefore w:val="0"/>
                      <w:widowControl w:val="0"/>
                      <w:kinsoku/>
                      <w:wordWrap/>
                      <w:overflowPunct/>
                      <w:topLinePunct w:val="0"/>
                      <w:bidi w:val="0"/>
                      <w:adjustRightInd/>
                      <w:snapToGrid w:val="0"/>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416"/>
                            <w:showingPlcHdr/>
                          </w:sdtPr>
                          <w:sdtContent>
                            <w:p w14:paraId="5178AC84">
                              <w:pPr>
                                <w:pStyle w:val="21"/>
                                <w:jc w:val="center"/>
                              </w:pPr>
                              <w:r>
                                <w:rPr>
                                  <w:rFonts w:hint="eastAsia"/>
                                  <w:lang w:eastAsia="zh-CN"/>
                                </w:rPr>
                                <w:t xml:space="preserve">     </w:t>
                              </w:r>
                            </w:p>
                          </w:sdtContent>
                        </w:sdt>
                        <w:p w14:paraId="1172ED4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47480416"/>
                      <w:showingPlcHdr/>
                    </w:sdtPr>
                    <w:sdtContent>
                      <w:p w14:paraId="5178AC84">
                        <w:pPr>
                          <w:pStyle w:val="21"/>
                          <w:jc w:val="center"/>
                        </w:pPr>
                        <w:r>
                          <w:rPr>
                            <w:rFonts w:hint="eastAsia"/>
                            <w:lang w:eastAsia="zh-CN"/>
                          </w:rPr>
                          <w:t xml:space="preserve">     </w:t>
                        </w:r>
                      </w:p>
                    </w:sdtContent>
                  </w:sdt>
                  <w:p w14:paraId="1172ED4B"/>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DBDA7">
    <w:pPr>
      <w:pStyle w:val="21"/>
      <w:jc w:val="right"/>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A4F25">
    <w:pPr>
      <w:pStyle w:val="21"/>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A267">
    <w:pPr>
      <w:pStyle w:val="21"/>
      <w:jc w:val="right"/>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hint="eastAsia" w:ascii="宋体" w:hAnsi="宋体"/>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2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548"/>
                          </w:sdtPr>
                          <w:sdtContent>
                            <w:p w14:paraId="4AE1F8CD">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EF235D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61548"/>
                    </w:sdtPr>
                    <w:sdtContent>
                      <w:p w14:paraId="4AE1F8CD">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EF235DF"/>
                </w:txbxContent>
              </v:textbox>
            </v:shape>
          </w:pict>
        </mc:Fallback>
      </mc:AlternateContent>
    </w:r>
  </w:p>
  <w:p w14:paraId="23975237">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1"/>
      <w:keepNext w:val="0"/>
      <w:keepLines w:val="0"/>
      <w:pageBreakBefore w:val="0"/>
      <w:widowControl w:val="0"/>
      <w:kinsoku/>
      <w:wordWrap/>
      <w:overflowPunct/>
      <w:topLinePunct w:val="0"/>
      <w:bidi w:val="0"/>
      <w:adjustRightInd/>
      <w:snapToGrid w:val="0"/>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2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383F">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E85C">
    <w:pPr>
      <w:pStyle w:val="22"/>
      <w:keepNext w:val="0"/>
      <w:keepLines w:val="0"/>
      <w:pageBreakBefore w:val="0"/>
      <w:widowControl w:val="0"/>
      <w:kinsoku/>
      <w:wordWrap/>
      <w:overflowPunct/>
      <w:topLinePunct w:val="0"/>
      <w:bidi w:val="0"/>
      <w:adjustRightInd/>
      <w:snapToGrid w:val="0"/>
      <w:jc w:val="right"/>
      <w:textAlignment w:val="auto"/>
    </w:pPr>
    <w:r>
      <w:rPr>
        <w:rFonts w:hint="eastAsia"/>
        <w:sz w:val="18"/>
        <w:szCs w:val="18"/>
        <w:lang w:val="en-US" w:eastAsia="zh-CN"/>
      </w:rPr>
      <w:t>兵团政府采购项目</w:t>
    </w:r>
    <w:r>
      <w:rPr>
        <w:rFonts w:hint="eastAsia"/>
        <w:sz w:val="18"/>
        <w:szCs w:val="18"/>
      </w:rPr>
      <w:t>公开招标文件</w:t>
    </w:r>
    <w:r>
      <w:rPr>
        <w:rFonts w:hint="eastAsia"/>
        <w:sz w:val="18"/>
        <w:szCs w:val="18"/>
        <w:lang w:val="en-US" w:eastAsia="zh-CN"/>
      </w:rPr>
      <w:t>示范文本（服务）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2"/>
      <w:jc w:val="right"/>
      <w:rPr>
        <w:sz w:val="24"/>
        <w:szCs w:val="24"/>
      </w:rPr>
    </w:pPr>
    <w:r>
      <w:rPr>
        <w:rFonts w:hint="eastAsia"/>
        <w:sz w:val="18"/>
        <w:szCs w:val="18"/>
        <w:lang w:val="en-US" w:eastAsia="zh-CN"/>
      </w:rPr>
      <w:t>兵团政府采购项目</w:t>
    </w:r>
    <w:r>
      <w:rPr>
        <w:rFonts w:hint="eastAsia"/>
        <w:sz w:val="18"/>
        <w:szCs w:val="18"/>
      </w:rPr>
      <w:t>公开招标文件</w:t>
    </w:r>
    <w:r>
      <w:rPr>
        <w:rFonts w:hint="eastAsia"/>
        <w:sz w:val="18"/>
        <w:szCs w:val="18"/>
        <w:lang w:val="en-US" w:eastAsia="zh-CN"/>
      </w:rPr>
      <w:t>示范文本（服务）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2"/>
    </w:pPr>
    <w:r>
      <w:rPr>
        <w:rFonts w:hint="eastAsia"/>
        <w:sz w:val="24"/>
        <w:szCs w:val="24"/>
        <w:lang w:val="en-US" w:eastAsia="zh-CN"/>
      </w:rPr>
      <w:t xml:space="preserve">                                    </w:t>
    </w:r>
    <w:r>
      <w:rPr>
        <w:rFonts w:hint="eastAsia"/>
        <w:sz w:val="18"/>
        <w:szCs w:val="18"/>
        <w:lang w:val="en-US" w:eastAsia="zh-CN"/>
      </w:rPr>
      <w:t>兵团政府采购项目</w:t>
    </w:r>
    <w:r>
      <w:rPr>
        <w:rFonts w:hint="eastAsia"/>
        <w:sz w:val="18"/>
        <w:szCs w:val="18"/>
      </w:rPr>
      <w:t>公开招标文件</w:t>
    </w:r>
    <w:r>
      <w:rPr>
        <w:rFonts w:hint="eastAsia"/>
        <w:sz w:val="18"/>
        <w:szCs w:val="18"/>
        <w:lang w:val="en-US" w:eastAsia="zh-CN"/>
      </w:rPr>
      <w:t>示范文本（服务）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3480"/>
    <w:rsid w:val="00181988"/>
    <w:rsid w:val="00182557"/>
    <w:rsid w:val="0018304A"/>
    <w:rsid w:val="001904E9"/>
    <w:rsid w:val="001A77DE"/>
    <w:rsid w:val="001B36EC"/>
    <w:rsid w:val="001D7B23"/>
    <w:rsid w:val="001E2F56"/>
    <w:rsid w:val="002062E6"/>
    <w:rsid w:val="00207131"/>
    <w:rsid w:val="0022214D"/>
    <w:rsid w:val="00223585"/>
    <w:rsid w:val="002235CA"/>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29A"/>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C3A"/>
    <w:rsid w:val="004851CA"/>
    <w:rsid w:val="0048656E"/>
    <w:rsid w:val="00493221"/>
    <w:rsid w:val="004A302C"/>
    <w:rsid w:val="004B539D"/>
    <w:rsid w:val="004C1FA1"/>
    <w:rsid w:val="004C3DCC"/>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7FFD"/>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3C36"/>
    <w:rsid w:val="00924B8E"/>
    <w:rsid w:val="00930024"/>
    <w:rsid w:val="009344DE"/>
    <w:rsid w:val="009357E5"/>
    <w:rsid w:val="00936087"/>
    <w:rsid w:val="00945D1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C7C64"/>
    <w:rsid w:val="00ED00D6"/>
    <w:rsid w:val="00EE26DC"/>
    <w:rsid w:val="00EE3FF1"/>
    <w:rsid w:val="00EE5816"/>
    <w:rsid w:val="00EF3D7E"/>
    <w:rsid w:val="00F03292"/>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15448"/>
    <w:rsid w:val="013E61E2"/>
    <w:rsid w:val="014F4893"/>
    <w:rsid w:val="01541EA9"/>
    <w:rsid w:val="01580C56"/>
    <w:rsid w:val="01781929"/>
    <w:rsid w:val="01877B89"/>
    <w:rsid w:val="019E3125"/>
    <w:rsid w:val="01D0068D"/>
    <w:rsid w:val="01D775B9"/>
    <w:rsid w:val="02026E30"/>
    <w:rsid w:val="020B6A0C"/>
    <w:rsid w:val="02132174"/>
    <w:rsid w:val="02186A33"/>
    <w:rsid w:val="0224187C"/>
    <w:rsid w:val="023130F5"/>
    <w:rsid w:val="024737BC"/>
    <w:rsid w:val="024C2B81"/>
    <w:rsid w:val="028604AE"/>
    <w:rsid w:val="029D33DC"/>
    <w:rsid w:val="02AD3196"/>
    <w:rsid w:val="02AE1145"/>
    <w:rsid w:val="02C44E0D"/>
    <w:rsid w:val="02DA63DE"/>
    <w:rsid w:val="02ED7EC0"/>
    <w:rsid w:val="03200295"/>
    <w:rsid w:val="035E2B6B"/>
    <w:rsid w:val="0361440A"/>
    <w:rsid w:val="036D7252"/>
    <w:rsid w:val="03773C2D"/>
    <w:rsid w:val="03922815"/>
    <w:rsid w:val="03C350C4"/>
    <w:rsid w:val="03E2554B"/>
    <w:rsid w:val="03EA08A3"/>
    <w:rsid w:val="03EE2141"/>
    <w:rsid w:val="03F51722"/>
    <w:rsid w:val="03F62DA4"/>
    <w:rsid w:val="04066E90"/>
    <w:rsid w:val="045126D0"/>
    <w:rsid w:val="045D72C7"/>
    <w:rsid w:val="047A5783"/>
    <w:rsid w:val="04820ADC"/>
    <w:rsid w:val="0487418D"/>
    <w:rsid w:val="04893C18"/>
    <w:rsid w:val="04B14F1D"/>
    <w:rsid w:val="04C17856"/>
    <w:rsid w:val="04F01EE9"/>
    <w:rsid w:val="04F574FF"/>
    <w:rsid w:val="04F72882"/>
    <w:rsid w:val="04FF212C"/>
    <w:rsid w:val="05235E1B"/>
    <w:rsid w:val="052D0A47"/>
    <w:rsid w:val="052E656D"/>
    <w:rsid w:val="053E0EA6"/>
    <w:rsid w:val="053F247C"/>
    <w:rsid w:val="05595CE0"/>
    <w:rsid w:val="057C377D"/>
    <w:rsid w:val="05812B41"/>
    <w:rsid w:val="05AA653C"/>
    <w:rsid w:val="05C72C4A"/>
    <w:rsid w:val="05CB2336"/>
    <w:rsid w:val="05D15877"/>
    <w:rsid w:val="05D215EF"/>
    <w:rsid w:val="05D2339D"/>
    <w:rsid w:val="05D37841"/>
    <w:rsid w:val="05DB04A3"/>
    <w:rsid w:val="05E530D0"/>
    <w:rsid w:val="06127C3D"/>
    <w:rsid w:val="061A4B24"/>
    <w:rsid w:val="06231E4A"/>
    <w:rsid w:val="06253E14"/>
    <w:rsid w:val="0633208D"/>
    <w:rsid w:val="06587D46"/>
    <w:rsid w:val="067032E2"/>
    <w:rsid w:val="067E3A29"/>
    <w:rsid w:val="06856661"/>
    <w:rsid w:val="069114AA"/>
    <w:rsid w:val="06AE7966"/>
    <w:rsid w:val="06B07B82"/>
    <w:rsid w:val="06DD649D"/>
    <w:rsid w:val="06EC66E0"/>
    <w:rsid w:val="06F04422"/>
    <w:rsid w:val="070005F5"/>
    <w:rsid w:val="07020C1A"/>
    <w:rsid w:val="0709089A"/>
    <w:rsid w:val="071C5217"/>
    <w:rsid w:val="071D4AEC"/>
    <w:rsid w:val="07210A39"/>
    <w:rsid w:val="072242D3"/>
    <w:rsid w:val="072440CC"/>
    <w:rsid w:val="0737795B"/>
    <w:rsid w:val="073F4A62"/>
    <w:rsid w:val="07442078"/>
    <w:rsid w:val="076C53FA"/>
    <w:rsid w:val="076D22AC"/>
    <w:rsid w:val="0784404A"/>
    <w:rsid w:val="078608E3"/>
    <w:rsid w:val="07880132"/>
    <w:rsid w:val="07941252"/>
    <w:rsid w:val="07A25DD3"/>
    <w:rsid w:val="07A64AE1"/>
    <w:rsid w:val="07B55348"/>
    <w:rsid w:val="07EA70C4"/>
    <w:rsid w:val="07F0083A"/>
    <w:rsid w:val="08687FE8"/>
    <w:rsid w:val="08850B9A"/>
    <w:rsid w:val="08935065"/>
    <w:rsid w:val="08997D8A"/>
    <w:rsid w:val="08A76D63"/>
    <w:rsid w:val="08AD2074"/>
    <w:rsid w:val="08BB45BC"/>
    <w:rsid w:val="08C6368D"/>
    <w:rsid w:val="08D306C7"/>
    <w:rsid w:val="08D538D0"/>
    <w:rsid w:val="08D77648"/>
    <w:rsid w:val="08E04023"/>
    <w:rsid w:val="08EE4992"/>
    <w:rsid w:val="09077801"/>
    <w:rsid w:val="091C32AD"/>
    <w:rsid w:val="09212671"/>
    <w:rsid w:val="0926010A"/>
    <w:rsid w:val="09664528"/>
    <w:rsid w:val="09970B85"/>
    <w:rsid w:val="09975029"/>
    <w:rsid w:val="09AC1C5B"/>
    <w:rsid w:val="09AD03A9"/>
    <w:rsid w:val="09CE174C"/>
    <w:rsid w:val="09E613EC"/>
    <w:rsid w:val="09EA6F07"/>
    <w:rsid w:val="09F23B8C"/>
    <w:rsid w:val="09FE29B2"/>
    <w:rsid w:val="0A1C108A"/>
    <w:rsid w:val="0A2148F3"/>
    <w:rsid w:val="0A391C3C"/>
    <w:rsid w:val="0A3D172D"/>
    <w:rsid w:val="0A3E680D"/>
    <w:rsid w:val="0A831432"/>
    <w:rsid w:val="0A9B6453"/>
    <w:rsid w:val="0AAB338B"/>
    <w:rsid w:val="0AAF1EFF"/>
    <w:rsid w:val="0ABF0394"/>
    <w:rsid w:val="0AD84599"/>
    <w:rsid w:val="0B05734A"/>
    <w:rsid w:val="0B0E131B"/>
    <w:rsid w:val="0B115FB9"/>
    <w:rsid w:val="0B1A381C"/>
    <w:rsid w:val="0B352404"/>
    <w:rsid w:val="0B381347"/>
    <w:rsid w:val="0B386398"/>
    <w:rsid w:val="0B536D2E"/>
    <w:rsid w:val="0B5C2086"/>
    <w:rsid w:val="0B6727D9"/>
    <w:rsid w:val="0B674587"/>
    <w:rsid w:val="0B6B4077"/>
    <w:rsid w:val="0B6E5916"/>
    <w:rsid w:val="0B745622"/>
    <w:rsid w:val="0B76679F"/>
    <w:rsid w:val="0B7F5D75"/>
    <w:rsid w:val="0B8C422C"/>
    <w:rsid w:val="0BB24C22"/>
    <w:rsid w:val="0BE45BD8"/>
    <w:rsid w:val="0BF202F5"/>
    <w:rsid w:val="0BFE313E"/>
    <w:rsid w:val="0C02649C"/>
    <w:rsid w:val="0C0A3890"/>
    <w:rsid w:val="0C1E6205"/>
    <w:rsid w:val="0C28640C"/>
    <w:rsid w:val="0C3C5A14"/>
    <w:rsid w:val="0C41302A"/>
    <w:rsid w:val="0C5A4DAC"/>
    <w:rsid w:val="0C874EE1"/>
    <w:rsid w:val="0C88488C"/>
    <w:rsid w:val="0C8A677F"/>
    <w:rsid w:val="0CC04897"/>
    <w:rsid w:val="0CD520F0"/>
    <w:rsid w:val="0CD67C16"/>
    <w:rsid w:val="0CD81BE1"/>
    <w:rsid w:val="0D0C53E6"/>
    <w:rsid w:val="0D1C7D1F"/>
    <w:rsid w:val="0D2210AE"/>
    <w:rsid w:val="0D2766C4"/>
    <w:rsid w:val="0D6B6E82"/>
    <w:rsid w:val="0D9D0734"/>
    <w:rsid w:val="0DA90E87"/>
    <w:rsid w:val="0DAF0B93"/>
    <w:rsid w:val="0DB241E0"/>
    <w:rsid w:val="0DB74AC1"/>
    <w:rsid w:val="0DC14423"/>
    <w:rsid w:val="0DC83A03"/>
    <w:rsid w:val="0DCD1019"/>
    <w:rsid w:val="0DE10B00"/>
    <w:rsid w:val="0DEF71E2"/>
    <w:rsid w:val="0DF93F30"/>
    <w:rsid w:val="0E0D58BA"/>
    <w:rsid w:val="0E0F1632"/>
    <w:rsid w:val="0E342E47"/>
    <w:rsid w:val="0E460DCC"/>
    <w:rsid w:val="0E464928"/>
    <w:rsid w:val="0E651252"/>
    <w:rsid w:val="0E653000"/>
    <w:rsid w:val="0E6D45AA"/>
    <w:rsid w:val="0E72396F"/>
    <w:rsid w:val="0E796AAB"/>
    <w:rsid w:val="0E7C0027"/>
    <w:rsid w:val="0E7F6315"/>
    <w:rsid w:val="0E9543D1"/>
    <w:rsid w:val="0EA33B28"/>
    <w:rsid w:val="0EB208AB"/>
    <w:rsid w:val="0EB36461"/>
    <w:rsid w:val="0EB45D35"/>
    <w:rsid w:val="0EBD75FE"/>
    <w:rsid w:val="0EC817E1"/>
    <w:rsid w:val="0ECA5559"/>
    <w:rsid w:val="0ED53B2A"/>
    <w:rsid w:val="0EF600FC"/>
    <w:rsid w:val="0F096081"/>
    <w:rsid w:val="0F1B5913"/>
    <w:rsid w:val="0F2442A2"/>
    <w:rsid w:val="0F3D21CF"/>
    <w:rsid w:val="0F4C0664"/>
    <w:rsid w:val="0F5A5835"/>
    <w:rsid w:val="0F9D4A1B"/>
    <w:rsid w:val="0FA638D0"/>
    <w:rsid w:val="0FAB538A"/>
    <w:rsid w:val="0FD33C3D"/>
    <w:rsid w:val="0FE8213B"/>
    <w:rsid w:val="0FF52AA9"/>
    <w:rsid w:val="10047D52"/>
    <w:rsid w:val="10150A56"/>
    <w:rsid w:val="10240C99"/>
    <w:rsid w:val="102723E9"/>
    <w:rsid w:val="102B64CB"/>
    <w:rsid w:val="107439CE"/>
    <w:rsid w:val="1090632E"/>
    <w:rsid w:val="109220A6"/>
    <w:rsid w:val="109B71AD"/>
    <w:rsid w:val="10A92DD3"/>
    <w:rsid w:val="10AF4A06"/>
    <w:rsid w:val="10BD54A5"/>
    <w:rsid w:val="10C55FD8"/>
    <w:rsid w:val="10C85AC8"/>
    <w:rsid w:val="11036B00"/>
    <w:rsid w:val="11082369"/>
    <w:rsid w:val="11357D2A"/>
    <w:rsid w:val="113849FC"/>
    <w:rsid w:val="113A4C18"/>
    <w:rsid w:val="11457119"/>
    <w:rsid w:val="1147614B"/>
    <w:rsid w:val="11592BC4"/>
    <w:rsid w:val="11643A43"/>
    <w:rsid w:val="116E48C1"/>
    <w:rsid w:val="11785740"/>
    <w:rsid w:val="11845E93"/>
    <w:rsid w:val="11867E5D"/>
    <w:rsid w:val="11A2456B"/>
    <w:rsid w:val="11AE5258"/>
    <w:rsid w:val="11B30526"/>
    <w:rsid w:val="11DA1F57"/>
    <w:rsid w:val="11DF30C9"/>
    <w:rsid w:val="11FA6155"/>
    <w:rsid w:val="12130FC5"/>
    <w:rsid w:val="12371157"/>
    <w:rsid w:val="12483364"/>
    <w:rsid w:val="127001C5"/>
    <w:rsid w:val="12771554"/>
    <w:rsid w:val="127759F8"/>
    <w:rsid w:val="127A0C92"/>
    <w:rsid w:val="127F48AC"/>
    <w:rsid w:val="129E4D32"/>
    <w:rsid w:val="12AD766B"/>
    <w:rsid w:val="12B91B6C"/>
    <w:rsid w:val="12BA769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E62E35"/>
    <w:rsid w:val="14065285"/>
    <w:rsid w:val="143F42F3"/>
    <w:rsid w:val="144731A8"/>
    <w:rsid w:val="1457788F"/>
    <w:rsid w:val="14717C9A"/>
    <w:rsid w:val="147F2942"/>
    <w:rsid w:val="14942891"/>
    <w:rsid w:val="14AF7789"/>
    <w:rsid w:val="14BF5434"/>
    <w:rsid w:val="14D50D33"/>
    <w:rsid w:val="14EF1875"/>
    <w:rsid w:val="14F50E56"/>
    <w:rsid w:val="151E65FF"/>
    <w:rsid w:val="152030DE"/>
    <w:rsid w:val="1537321C"/>
    <w:rsid w:val="154020D1"/>
    <w:rsid w:val="15A840F3"/>
    <w:rsid w:val="15C9656A"/>
    <w:rsid w:val="15FB249C"/>
    <w:rsid w:val="15FF3D3A"/>
    <w:rsid w:val="1602382A"/>
    <w:rsid w:val="16565924"/>
    <w:rsid w:val="16640041"/>
    <w:rsid w:val="16646293"/>
    <w:rsid w:val="16685D83"/>
    <w:rsid w:val="167C182F"/>
    <w:rsid w:val="167D1103"/>
    <w:rsid w:val="167D2FDD"/>
    <w:rsid w:val="168B406D"/>
    <w:rsid w:val="169052DA"/>
    <w:rsid w:val="16AE5760"/>
    <w:rsid w:val="16AE750E"/>
    <w:rsid w:val="16B40FC8"/>
    <w:rsid w:val="16BE3BF5"/>
    <w:rsid w:val="16C46D32"/>
    <w:rsid w:val="16C47B75"/>
    <w:rsid w:val="16D84122"/>
    <w:rsid w:val="16E1737A"/>
    <w:rsid w:val="16E3540A"/>
    <w:rsid w:val="16E442B3"/>
    <w:rsid w:val="16F37A89"/>
    <w:rsid w:val="16F969DB"/>
    <w:rsid w:val="1711641B"/>
    <w:rsid w:val="1719707D"/>
    <w:rsid w:val="17215F32"/>
    <w:rsid w:val="172872C1"/>
    <w:rsid w:val="17457E73"/>
    <w:rsid w:val="174C1201"/>
    <w:rsid w:val="174F6F43"/>
    <w:rsid w:val="176821F4"/>
    <w:rsid w:val="17710C68"/>
    <w:rsid w:val="177C760C"/>
    <w:rsid w:val="177E1C86"/>
    <w:rsid w:val="179B7A92"/>
    <w:rsid w:val="17AD77C6"/>
    <w:rsid w:val="17CB7119"/>
    <w:rsid w:val="17D2722C"/>
    <w:rsid w:val="17FB49D5"/>
    <w:rsid w:val="18041ADC"/>
    <w:rsid w:val="182E6B59"/>
    <w:rsid w:val="187C5B16"/>
    <w:rsid w:val="189246B5"/>
    <w:rsid w:val="18A706B9"/>
    <w:rsid w:val="18C272A1"/>
    <w:rsid w:val="18CB43A7"/>
    <w:rsid w:val="18DA283C"/>
    <w:rsid w:val="18F733EE"/>
    <w:rsid w:val="18F90F15"/>
    <w:rsid w:val="19197809"/>
    <w:rsid w:val="192D6E10"/>
    <w:rsid w:val="1934019F"/>
    <w:rsid w:val="19373862"/>
    <w:rsid w:val="19520625"/>
    <w:rsid w:val="19526877"/>
    <w:rsid w:val="195471D4"/>
    <w:rsid w:val="195E2798"/>
    <w:rsid w:val="19D2300F"/>
    <w:rsid w:val="1A0214BE"/>
    <w:rsid w:val="1A0E5C74"/>
    <w:rsid w:val="1A197394"/>
    <w:rsid w:val="1A352420"/>
    <w:rsid w:val="1A512FD2"/>
    <w:rsid w:val="1A5D54D3"/>
    <w:rsid w:val="1A5F124B"/>
    <w:rsid w:val="1A6124EF"/>
    <w:rsid w:val="1A710493"/>
    <w:rsid w:val="1AB33908"/>
    <w:rsid w:val="1ADA2FC8"/>
    <w:rsid w:val="1AE259D8"/>
    <w:rsid w:val="1AE35507"/>
    <w:rsid w:val="1AEB2ADF"/>
    <w:rsid w:val="1B3E3557"/>
    <w:rsid w:val="1B4B17D0"/>
    <w:rsid w:val="1B636B19"/>
    <w:rsid w:val="1B6805D3"/>
    <w:rsid w:val="1B7E1468"/>
    <w:rsid w:val="1B825739"/>
    <w:rsid w:val="1B83540D"/>
    <w:rsid w:val="1BC17CE4"/>
    <w:rsid w:val="1BCC0B62"/>
    <w:rsid w:val="1BDD4B1E"/>
    <w:rsid w:val="1BE718C7"/>
    <w:rsid w:val="1C146065"/>
    <w:rsid w:val="1C4032FE"/>
    <w:rsid w:val="1C406E5A"/>
    <w:rsid w:val="1C495921"/>
    <w:rsid w:val="1C744D56"/>
    <w:rsid w:val="1C7A6810"/>
    <w:rsid w:val="1C7B7E93"/>
    <w:rsid w:val="1C9C6787"/>
    <w:rsid w:val="1CA05B4B"/>
    <w:rsid w:val="1CA90EA4"/>
    <w:rsid w:val="1CAA6093"/>
    <w:rsid w:val="1CD770EC"/>
    <w:rsid w:val="1CE43C8A"/>
    <w:rsid w:val="1D183933"/>
    <w:rsid w:val="1D1B3B0E"/>
    <w:rsid w:val="1D210A3A"/>
    <w:rsid w:val="1D214EDE"/>
    <w:rsid w:val="1D4A4435"/>
    <w:rsid w:val="1D524C10"/>
    <w:rsid w:val="1D61177E"/>
    <w:rsid w:val="1D7E7C3A"/>
    <w:rsid w:val="1D8D4321"/>
    <w:rsid w:val="1D9C27B6"/>
    <w:rsid w:val="1DAA4ED3"/>
    <w:rsid w:val="1DC53ABB"/>
    <w:rsid w:val="1DC835AB"/>
    <w:rsid w:val="1DE2466D"/>
    <w:rsid w:val="1E206F43"/>
    <w:rsid w:val="1E2F7187"/>
    <w:rsid w:val="1E340C41"/>
    <w:rsid w:val="1E401394"/>
    <w:rsid w:val="1E4E3AB1"/>
    <w:rsid w:val="1E51534F"/>
    <w:rsid w:val="1E5310C7"/>
    <w:rsid w:val="1E6908EA"/>
    <w:rsid w:val="1E766B63"/>
    <w:rsid w:val="1E9B2A6E"/>
    <w:rsid w:val="1EAC07D7"/>
    <w:rsid w:val="1EBA1146"/>
    <w:rsid w:val="1EC45B21"/>
    <w:rsid w:val="1EC73863"/>
    <w:rsid w:val="1ED63AA6"/>
    <w:rsid w:val="1EDF295B"/>
    <w:rsid w:val="1F046865"/>
    <w:rsid w:val="1F0A70F1"/>
    <w:rsid w:val="1F1D16D5"/>
    <w:rsid w:val="1F4536E0"/>
    <w:rsid w:val="1F525822"/>
    <w:rsid w:val="1F58270D"/>
    <w:rsid w:val="1F5D7D23"/>
    <w:rsid w:val="1F5F1CED"/>
    <w:rsid w:val="1F7237CF"/>
    <w:rsid w:val="1F770DE5"/>
    <w:rsid w:val="1F8D0609"/>
    <w:rsid w:val="1FA96FA3"/>
    <w:rsid w:val="1FB82BC8"/>
    <w:rsid w:val="1FE31481"/>
    <w:rsid w:val="1FF468DA"/>
    <w:rsid w:val="200B6E05"/>
    <w:rsid w:val="200F101E"/>
    <w:rsid w:val="200F54C2"/>
    <w:rsid w:val="201B5C14"/>
    <w:rsid w:val="202D1DEC"/>
    <w:rsid w:val="2039253E"/>
    <w:rsid w:val="204607B7"/>
    <w:rsid w:val="204A02A8"/>
    <w:rsid w:val="204D7D98"/>
    <w:rsid w:val="20690166"/>
    <w:rsid w:val="207B2DC6"/>
    <w:rsid w:val="20803CC9"/>
    <w:rsid w:val="208328DB"/>
    <w:rsid w:val="209239FD"/>
    <w:rsid w:val="20B47E17"/>
    <w:rsid w:val="20DA3F99"/>
    <w:rsid w:val="20E71F9A"/>
    <w:rsid w:val="20E97AC1"/>
    <w:rsid w:val="20EA2A65"/>
    <w:rsid w:val="20EF2BFD"/>
    <w:rsid w:val="210112AE"/>
    <w:rsid w:val="212F12B7"/>
    <w:rsid w:val="214E2A84"/>
    <w:rsid w:val="21817CF9"/>
    <w:rsid w:val="21884BA0"/>
    <w:rsid w:val="219519F6"/>
    <w:rsid w:val="2197576F"/>
    <w:rsid w:val="219C4B33"/>
    <w:rsid w:val="21A659B2"/>
    <w:rsid w:val="21B55BF5"/>
    <w:rsid w:val="21DE15EF"/>
    <w:rsid w:val="22105521"/>
    <w:rsid w:val="2217240B"/>
    <w:rsid w:val="222039B6"/>
    <w:rsid w:val="2228094B"/>
    <w:rsid w:val="222B5EB7"/>
    <w:rsid w:val="224A27E1"/>
    <w:rsid w:val="227635D6"/>
    <w:rsid w:val="22794E74"/>
    <w:rsid w:val="22AF6B26"/>
    <w:rsid w:val="22BB723B"/>
    <w:rsid w:val="22C87E24"/>
    <w:rsid w:val="22C95DFC"/>
    <w:rsid w:val="22EE06E2"/>
    <w:rsid w:val="22F84FC6"/>
    <w:rsid w:val="22FD3CF7"/>
    <w:rsid w:val="23250B58"/>
    <w:rsid w:val="23411E36"/>
    <w:rsid w:val="234D0B5D"/>
    <w:rsid w:val="235C6C70"/>
    <w:rsid w:val="23614286"/>
    <w:rsid w:val="23966B15"/>
    <w:rsid w:val="23CC5B62"/>
    <w:rsid w:val="23CD510E"/>
    <w:rsid w:val="24170DE9"/>
    <w:rsid w:val="24237370"/>
    <w:rsid w:val="243472A5"/>
    <w:rsid w:val="2440076D"/>
    <w:rsid w:val="24A563F4"/>
    <w:rsid w:val="24B228BF"/>
    <w:rsid w:val="24C15199"/>
    <w:rsid w:val="24CE288D"/>
    <w:rsid w:val="24EF7670"/>
    <w:rsid w:val="24F46A34"/>
    <w:rsid w:val="25034EC9"/>
    <w:rsid w:val="251946ED"/>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143832"/>
    <w:rsid w:val="262275D1"/>
    <w:rsid w:val="263712CE"/>
    <w:rsid w:val="264B4D7A"/>
    <w:rsid w:val="264D6D44"/>
    <w:rsid w:val="26644EA7"/>
    <w:rsid w:val="266A3452"/>
    <w:rsid w:val="26977FBF"/>
    <w:rsid w:val="26AF355A"/>
    <w:rsid w:val="26B50445"/>
    <w:rsid w:val="26DA55FB"/>
    <w:rsid w:val="26DC11F6"/>
    <w:rsid w:val="26EC191F"/>
    <w:rsid w:val="26F251F5"/>
    <w:rsid w:val="270C62B7"/>
    <w:rsid w:val="271E5FEA"/>
    <w:rsid w:val="272F7095"/>
    <w:rsid w:val="276B56D3"/>
    <w:rsid w:val="276E687B"/>
    <w:rsid w:val="27802801"/>
    <w:rsid w:val="278A123C"/>
    <w:rsid w:val="279F537D"/>
    <w:rsid w:val="27CB7F20"/>
    <w:rsid w:val="27D52B4D"/>
    <w:rsid w:val="27D843EB"/>
    <w:rsid w:val="27E7339F"/>
    <w:rsid w:val="27EE00B2"/>
    <w:rsid w:val="27FC457D"/>
    <w:rsid w:val="2802590C"/>
    <w:rsid w:val="280451E0"/>
    <w:rsid w:val="280E7BD2"/>
    <w:rsid w:val="28153891"/>
    <w:rsid w:val="28177609"/>
    <w:rsid w:val="281C077C"/>
    <w:rsid w:val="28245427"/>
    <w:rsid w:val="28247630"/>
    <w:rsid w:val="282615FA"/>
    <w:rsid w:val="283E4B96"/>
    <w:rsid w:val="28414686"/>
    <w:rsid w:val="2849353B"/>
    <w:rsid w:val="284D6B87"/>
    <w:rsid w:val="28550131"/>
    <w:rsid w:val="28612632"/>
    <w:rsid w:val="287064F9"/>
    <w:rsid w:val="28757E8C"/>
    <w:rsid w:val="287E4F92"/>
    <w:rsid w:val="28887BBF"/>
    <w:rsid w:val="28AB1AFF"/>
    <w:rsid w:val="28CB21A2"/>
    <w:rsid w:val="28E62B38"/>
    <w:rsid w:val="28F96D0F"/>
    <w:rsid w:val="290B7A2E"/>
    <w:rsid w:val="292A6EC8"/>
    <w:rsid w:val="293B10D5"/>
    <w:rsid w:val="2944442E"/>
    <w:rsid w:val="294550C5"/>
    <w:rsid w:val="29493E9D"/>
    <w:rsid w:val="294F2293"/>
    <w:rsid w:val="29606D8E"/>
    <w:rsid w:val="2964062C"/>
    <w:rsid w:val="29787C34"/>
    <w:rsid w:val="29927747"/>
    <w:rsid w:val="29A749BD"/>
    <w:rsid w:val="29C9048F"/>
    <w:rsid w:val="29CB06AB"/>
    <w:rsid w:val="2A0108B7"/>
    <w:rsid w:val="2A04596B"/>
    <w:rsid w:val="2A0E67EA"/>
    <w:rsid w:val="2A133E00"/>
    <w:rsid w:val="2A1536D4"/>
    <w:rsid w:val="2A1A0CEB"/>
    <w:rsid w:val="2A202079"/>
    <w:rsid w:val="2A30050E"/>
    <w:rsid w:val="2A3A788C"/>
    <w:rsid w:val="2A3B6D1B"/>
    <w:rsid w:val="2A411154"/>
    <w:rsid w:val="2A506E02"/>
    <w:rsid w:val="2A526D38"/>
    <w:rsid w:val="2A88659C"/>
    <w:rsid w:val="2A954815"/>
    <w:rsid w:val="2AD0584D"/>
    <w:rsid w:val="2AEE4B12"/>
    <w:rsid w:val="2AFE685E"/>
    <w:rsid w:val="2B027774"/>
    <w:rsid w:val="2B0D0850"/>
    <w:rsid w:val="2B116592"/>
    <w:rsid w:val="2B122D8D"/>
    <w:rsid w:val="2B193698"/>
    <w:rsid w:val="2B1C4F36"/>
    <w:rsid w:val="2B2160A9"/>
    <w:rsid w:val="2B3202B6"/>
    <w:rsid w:val="2B361B54"/>
    <w:rsid w:val="2B367DA6"/>
    <w:rsid w:val="2B400C25"/>
    <w:rsid w:val="2B4714A0"/>
    <w:rsid w:val="2B606BD1"/>
    <w:rsid w:val="2B6C5576"/>
    <w:rsid w:val="2B717030"/>
    <w:rsid w:val="2B74267D"/>
    <w:rsid w:val="2B93739B"/>
    <w:rsid w:val="2B994370"/>
    <w:rsid w:val="2BA50A88"/>
    <w:rsid w:val="2BB60EE7"/>
    <w:rsid w:val="2BC034DB"/>
    <w:rsid w:val="2BEF4305"/>
    <w:rsid w:val="2C04340A"/>
    <w:rsid w:val="2C077995"/>
    <w:rsid w:val="2C235EB7"/>
    <w:rsid w:val="2C2B5431"/>
    <w:rsid w:val="2C3C763E"/>
    <w:rsid w:val="2C610E53"/>
    <w:rsid w:val="2C646B95"/>
    <w:rsid w:val="2C6646BB"/>
    <w:rsid w:val="2C83526D"/>
    <w:rsid w:val="2C9A0B92"/>
    <w:rsid w:val="2C9A6113"/>
    <w:rsid w:val="2C9F3729"/>
    <w:rsid w:val="2CB73169"/>
    <w:rsid w:val="2CE47D2A"/>
    <w:rsid w:val="2CED0939"/>
    <w:rsid w:val="2CED6B8B"/>
    <w:rsid w:val="2CF27CFD"/>
    <w:rsid w:val="2CFA3055"/>
    <w:rsid w:val="2D012636"/>
    <w:rsid w:val="2D016C6B"/>
    <w:rsid w:val="2D0B5263"/>
    <w:rsid w:val="2D0D2D89"/>
    <w:rsid w:val="2D284A2A"/>
    <w:rsid w:val="2D2B1461"/>
    <w:rsid w:val="2D2D1B91"/>
    <w:rsid w:val="2D360531"/>
    <w:rsid w:val="2D404F0C"/>
    <w:rsid w:val="2D5B3AF4"/>
    <w:rsid w:val="2D8D7A26"/>
    <w:rsid w:val="2DA2135E"/>
    <w:rsid w:val="2DB9081B"/>
    <w:rsid w:val="2DCB70CE"/>
    <w:rsid w:val="2DCE2518"/>
    <w:rsid w:val="2DD218DC"/>
    <w:rsid w:val="2DDB0526"/>
    <w:rsid w:val="2DDB69E3"/>
    <w:rsid w:val="2DEF7457"/>
    <w:rsid w:val="2E045F3A"/>
    <w:rsid w:val="2E093AD9"/>
    <w:rsid w:val="2E2A34C6"/>
    <w:rsid w:val="2E426A62"/>
    <w:rsid w:val="2E6C48D9"/>
    <w:rsid w:val="2E786928"/>
    <w:rsid w:val="2E8F4F19"/>
    <w:rsid w:val="2EA63495"/>
    <w:rsid w:val="2EB57234"/>
    <w:rsid w:val="2ED7364E"/>
    <w:rsid w:val="2EF35FAE"/>
    <w:rsid w:val="2EFA6A37"/>
    <w:rsid w:val="2F167CA6"/>
    <w:rsid w:val="2F1A353B"/>
    <w:rsid w:val="2F452CAE"/>
    <w:rsid w:val="2F5051AF"/>
    <w:rsid w:val="2F5D70AC"/>
    <w:rsid w:val="2F8B61E7"/>
    <w:rsid w:val="2F997048"/>
    <w:rsid w:val="2FA36C75"/>
    <w:rsid w:val="2FBE036A"/>
    <w:rsid w:val="302428C3"/>
    <w:rsid w:val="30297EDA"/>
    <w:rsid w:val="302C5C1C"/>
    <w:rsid w:val="303074BA"/>
    <w:rsid w:val="30405223"/>
    <w:rsid w:val="306929CC"/>
    <w:rsid w:val="306B405E"/>
    <w:rsid w:val="30832D34"/>
    <w:rsid w:val="30872E52"/>
    <w:rsid w:val="308C4B30"/>
    <w:rsid w:val="30A75681"/>
    <w:rsid w:val="30BF3918"/>
    <w:rsid w:val="30C714A1"/>
    <w:rsid w:val="30F41419"/>
    <w:rsid w:val="30FC114A"/>
    <w:rsid w:val="310D77FB"/>
    <w:rsid w:val="310E0E7D"/>
    <w:rsid w:val="314A68DF"/>
    <w:rsid w:val="315620B8"/>
    <w:rsid w:val="317F1D7B"/>
    <w:rsid w:val="31841AC8"/>
    <w:rsid w:val="31A737AC"/>
    <w:rsid w:val="31A87524"/>
    <w:rsid w:val="31B00187"/>
    <w:rsid w:val="31CB6D6E"/>
    <w:rsid w:val="31D200FD"/>
    <w:rsid w:val="31E64732"/>
    <w:rsid w:val="31EA5447"/>
    <w:rsid w:val="32140715"/>
    <w:rsid w:val="32230959"/>
    <w:rsid w:val="324059AE"/>
    <w:rsid w:val="326351F9"/>
    <w:rsid w:val="327D078A"/>
    <w:rsid w:val="3284589B"/>
    <w:rsid w:val="32933D30"/>
    <w:rsid w:val="32B31CDC"/>
    <w:rsid w:val="32C75788"/>
    <w:rsid w:val="32CC7242"/>
    <w:rsid w:val="32E165BD"/>
    <w:rsid w:val="32FA3DAF"/>
    <w:rsid w:val="334F40FB"/>
    <w:rsid w:val="33641229"/>
    <w:rsid w:val="337B243F"/>
    <w:rsid w:val="338673F1"/>
    <w:rsid w:val="339D48A3"/>
    <w:rsid w:val="33BF2903"/>
    <w:rsid w:val="33CF6FEA"/>
    <w:rsid w:val="33EA3E24"/>
    <w:rsid w:val="33F64577"/>
    <w:rsid w:val="33FB1B8D"/>
    <w:rsid w:val="34056568"/>
    <w:rsid w:val="34525525"/>
    <w:rsid w:val="346040E6"/>
    <w:rsid w:val="34945B3E"/>
    <w:rsid w:val="34A0589E"/>
    <w:rsid w:val="34A67F96"/>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CE6E2D"/>
    <w:rsid w:val="35DB7EC8"/>
    <w:rsid w:val="35EE2046"/>
    <w:rsid w:val="35F41640"/>
    <w:rsid w:val="362A0508"/>
    <w:rsid w:val="364652E8"/>
    <w:rsid w:val="36603F29"/>
    <w:rsid w:val="36617CA1"/>
    <w:rsid w:val="36653C36"/>
    <w:rsid w:val="366A4DA8"/>
    <w:rsid w:val="36897924"/>
    <w:rsid w:val="369116D0"/>
    <w:rsid w:val="36941E25"/>
    <w:rsid w:val="3699568D"/>
    <w:rsid w:val="369F7E9A"/>
    <w:rsid w:val="36B67FED"/>
    <w:rsid w:val="36C46BAE"/>
    <w:rsid w:val="36CC15BF"/>
    <w:rsid w:val="370E607B"/>
    <w:rsid w:val="37112969"/>
    <w:rsid w:val="37180CA8"/>
    <w:rsid w:val="372907BF"/>
    <w:rsid w:val="37294C63"/>
    <w:rsid w:val="373830F8"/>
    <w:rsid w:val="374D6BA3"/>
    <w:rsid w:val="375647D6"/>
    <w:rsid w:val="377A726D"/>
    <w:rsid w:val="377E4FAF"/>
    <w:rsid w:val="37893954"/>
    <w:rsid w:val="37971BCD"/>
    <w:rsid w:val="37A75B88"/>
    <w:rsid w:val="37D921E5"/>
    <w:rsid w:val="37F92887"/>
    <w:rsid w:val="37FC2378"/>
    <w:rsid w:val="380C2A2C"/>
    <w:rsid w:val="384B3FA8"/>
    <w:rsid w:val="3854528C"/>
    <w:rsid w:val="38565141"/>
    <w:rsid w:val="38602906"/>
    <w:rsid w:val="389F176C"/>
    <w:rsid w:val="38A00F55"/>
    <w:rsid w:val="38B95B73"/>
    <w:rsid w:val="38C509BB"/>
    <w:rsid w:val="38CF183A"/>
    <w:rsid w:val="38E30E42"/>
    <w:rsid w:val="38EF5A38"/>
    <w:rsid w:val="39036257"/>
    <w:rsid w:val="390F1199"/>
    <w:rsid w:val="39367F12"/>
    <w:rsid w:val="394538AA"/>
    <w:rsid w:val="39495149"/>
    <w:rsid w:val="394D5E49"/>
    <w:rsid w:val="39553AED"/>
    <w:rsid w:val="3986014B"/>
    <w:rsid w:val="39993E51"/>
    <w:rsid w:val="39AD02F7"/>
    <w:rsid w:val="39B5458C"/>
    <w:rsid w:val="39B60304"/>
    <w:rsid w:val="39DA2245"/>
    <w:rsid w:val="39DA3FF3"/>
    <w:rsid w:val="39DF3CFF"/>
    <w:rsid w:val="39E81075"/>
    <w:rsid w:val="39F71049"/>
    <w:rsid w:val="3A013C75"/>
    <w:rsid w:val="3A12378C"/>
    <w:rsid w:val="3A2B6F44"/>
    <w:rsid w:val="3A322081"/>
    <w:rsid w:val="3A331955"/>
    <w:rsid w:val="3A361B71"/>
    <w:rsid w:val="3A456E52"/>
    <w:rsid w:val="3A463AB7"/>
    <w:rsid w:val="3A4B6C9E"/>
    <w:rsid w:val="3A631110"/>
    <w:rsid w:val="3A7C32FC"/>
    <w:rsid w:val="3AC70A1B"/>
    <w:rsid w:val="3AD66EB0"/>
    <w:rsid w:val="3AEA64B7"/>
    <w:rsid w:val="3AF92B9E"/>
    <w:rsid w:val="3AFA0DF0"/>
    <w:rsid w:val="3B236ECD"/>
    <w:rsid w:val="3B337E5E"/>
    <w:rsid w:val="3B343BD6"/>
    <w:rsid w:val="3B3C653D"/>
    <w:rsid w:val="3B497682"/>
    <w:rsid w:val="3B49769C"/>
    <w:rsid w:val="3B53405D"/>
    <w:rsid w:val="3B691AD2"/>
    <w:rsid w:val="3B6E533A"/>
    <w:rsid w:val="3B7F30A4"/>
    <w:rsid w:val="3B8561E0"/>
    <w:rsid w:val="3B8B1A48"/>
    <w:rsid w:val="3B9A415A"/>
    <w:rsid w:val="3BA2244B"/>
    <w:rsid w:val="3BB07701"/>
    <w:rsid w:val="3BB2349B"/>
    <w:rsid w:val="3BB865B6"/>
    <w:rsid w:val="3BBF7944"/>
    <w:rsid w:val="3BC82C9D"/>
    <w:rsid w:val="3BEE1F9C"/>
    <w:rsid w:val="3C0D4B53"/>
    <w:rsid w:val="3C2105FF"/>
    <w:rsid w:val="3C372D23"/>
    <w:rsid w:val="3C447E49"/>
    <w:rsid w:val="3C4B380F"/>
    <w:rsid w:val="3C4F6F1A"/>
    <w:rsid w:val="3C511E12"/>
    <w:rsid w:val="3C5F2ED5"/>
    <w:rsid w:val="3C97441D"/>
    <w:rsid w:val="3CA408E8"/>
    <w:rsid w:val="3CA64660"/>
    <w:rsid w:val="3CBD0327"/>
    <w:rsid w:val="3CC14C1F"/>
    <w:rsid w:val="3CD0758C"/>
    <w:rsid w:val="3CDE6FFD"/>
    <w:rsid w:val="3CE55188"/>
    <w:rsid w:val="3CF56BC9"/>
    <w:rsid w:val="3D0A4BEF"/>
    <w:rsid w:val="3D1F37E4"/>
    <w:rsid w:val="3D211F38"/>
    <w:rsid w:val="3D235CB1"/>
    <w:rsid w:val="3D31113A"/>
    <w:rsid w:val="3D37175C"/>
    <w:rsid w:val="3D695DB9"/>
    <w:rsid w:val="3D762284"/>
    <w:rsid w:val="3D864BBD"/>
    <w:rsid w:val="3DBD7EB3"/>
    <w:rsid w:val="3DDD67A7"/>
    <w:rsid w:val="3DE23DBE"/>
    <w:rsid w:val="3E1A70B4"/>
    <w:rsid w:val="3E1F291C"/>
    <w:rsid w:val="3E330175"/>
    <w:rsid w:val="3E655E3A"/>
    <w:rsid w:val="3E667746"/>
    <w:rsid w:val="3E885B96"/>
    <w:rsid w:val="3E8E35FE"/>
    <w:rsid w:val="3EB43064"/>
    <w:rsid w:val="3EB92D70"/>
    <w:rsid w:val="3ECD4126"/>
    <w:rsid w:val="3EF1250A"/>
    <w:rsid w:val="3F0C66A8"/>
    <w:rsid w:val="3F143684"/>
    <w:rsid w:val="3F163D1F"/>
    <w:rsid w:val="3F281CA4"/>
    <w:rsid w:val="3F2B709E"/>
    <w:rsid w:val="3F4500E9"/>
    <w:rsid w:val="3F450160"/>
    <w:rsid w:val="3F4C14EF"/>
    <w:rsid w:val="3F692622"/>
    <w:rsid w:val="3F7153F9"/>
    <w:rsid w:val="3F720A50"/>
    <w:rsid w:val="3F917849"/>
    <w:rsid w:val="3F9B0612"/>
    <w:rsid w:val="3F9D1D4A"/>
    <w:rsid w:val="3FA241A2"/>
    <w:rsid w:val="3FAA4467"/>
    <w:rsid w:val="3FAC01DF"/>
    <w:rsid w:val="3FB4343D"/>
    <w:rsid w:val="3FD85478"/>
    <w:rsid w:val="40155D85"/>
    <w:rsid w:val="403A57EB"/>
    <w:rsid w:val="404B3E9C"/>
    <w:rsid w:val="4061546E"/>
    <w:rsid w:val="4079067E"/>
    <w:rsid w:val="4093139F"/>
    <w:rsid w:val="409343AF"/>
    <w:rsid w:val="409A0980"/>
    <w:rsid w:val="40AC655D"/>
    <w:rsid w:val="40D75730"/>
    <w:rsid w:val="40E63BC5"/>
    <w:rsid w:val="40FA4F7A"/>
    <w:rsid w:val="41017856"/>
    <w:rsid w:val="41362456"/>
    <w:rsid w:val="413C37E5"/>
    <w:rsid w:val="41487F61"/>
    <w:rsid w:val="414A5F02"/>
    <w:rsid w:val="415648A7"/>
    <w:rsid w:val="415A71E1"/>
    <w:rsid w:val="41630D72"/>
    <w:rsid w:val="419B675D"/>
    <w:rsid w:val="419F484B"/>
    <w:rsid w:val="41AA69A0"/>
    <w:rsid w:val="41B15F81"/>
    <w:rsid w:val="41C31810"/>
    <w:rsid w:val="41E225DE"/>
    <w:rsid w:val="41F14083"/>
    <w:rsid w:val="41F8595E"/>
    <w:rsid w:val="420C600C"/>
    <w:rsid w:val="42100EF9"/>
    <w:rsid w:val="4214206C"/>
    <w:rsid w:val="421B164C"/>
    <w:rsid w:val="422246E7"/>
    <w:rsid w:val="422B5D33"/>
    <w:rsid w:val="42312D26"/>
    <w:rsid w:val="42454372"/>
    <w:rsid w:val="42573796"/>
    <w:rsid w:val="426E5C20"/>
    <w:rsid w:val="42786A9F"/>
    <w:rsid w:val="428B67D2"/>
    <w:rsid w:val="428E0070"/>
    <w:rsid w:val="42943344"/>
    <w:rsid w:val="42975177"/>
    <w:rsid w:val="42C615B8"/>
    <w:rsid w:val="42D77C69"/>
    <w:rsid w:val="42EB2B81"/>
    <w:rsid w:val="42FC322C"/>
    <w:rsid w:val="43046BE3"/>
    <w:rsid w:val="43171E14"/>
    <w:rsid w:val="4329542D"/>
    <w:rsid w:val="43484F88"/>
    <w:rsid w:val="43502511"/>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64BBE"/>
    <w:rsid w:val="44641089"/>
    <w:rsid w:val="446948F1"/>
    <w:rsid w:val="44C11AA6"/>
    <w:rsid w:val="44D04970"/>
    <w:rsid w:val="44D426B2"/>
    <w:rsid w:val="44E346A3"/>
    <w:rsid w:val="44E67CEF"/>
    <w:rsid w:val="44F3240C"/>
    <w:rsid w:val="45110AAC"/>
    <w:rsid w:val="45123CB8"/>
    <w:rsid w:val="451A208F"/>
    <w:rsid w:val="45350C77"/>
    <w:rsid w:val="45415D40"/>
    <w:rsid w:val="45435142"/>
    <w:rsid w:val="45451DF1"/>
    <w:rsid w:val="45490111"/>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E14C12"/>
    <w:rsid w:val="470D3C59"/>
    <w:rsid w:val="472B1462"/>
    <w:rsid w:val="473B0E1B"/>
    <w:rsid w:val="473F27FF"/>
    <w:rsid w:val="476017C6"/>
    <w:rsid w:val="476B0980"/>
    <w:rsid w:val="47745A86"/>
    <w:rsid w:val="477A0BC3"/>
    <w:rsid w:val="47811F51"/>
    <w:rsid w:val="47833F1C"/>
    <w:rsid w:val="478E2D76"/>
    <w:rsid w:val="47A65E5C"/>
    <w:rsid w:val="47AB6FCE"/>
    <w:rsid w:val="47B71E17"/>
    <w:rsid w:val="47E67FE2"/>
    <w:rsid w:val="47F0014A"/>
    <w:rsid w:val="481903DC"/>
    <w:rsid w:val="486C0E54"/>
    <w:rsid w:val="48740AF8"/>
    <w:rsid w:val="487B247F"/>
    <w:rsid w:val="48907EB9"/>
    <w:rsid w:val="48B56357"/>
    <w:rsid w:val="48B955C2"/>
    <w:rsid w:val="48B9571B"/>
    <w:rsid w:val="48BA396D"/>
    <w:rsid w:val="48F30C2D"/>
    <w:rsid w:val="48F86243"/>
    <w:rsid w:val="490177EE"/>
    <w:rsid w:val="49025314"/>
    <w:rsid w:val="490270C2"/>
    <w:rsid w:val="490D6193"/>
    <w:rsid w:val="490E1F0B"/>
    <w:rsid w:val="492B090F"/>
    <w:rsid w:val="4932003B"/>
    <w:rsid w:val="49382AE4"/>
    <w:rsid w:val="49417BEA"/>
    <w:rsid w:val="496164DE"/>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421E6C"/>
    <w:rsid w:val="4A730023"/>
    <w:rsid w:val="4A8833F8"/>
    <w:rsid w:val="4A8A619F"/>
    <w:rsid w:val="4AA2290B"/>
    <w:rsid w:val="4AD46AF0"/>
    <w:rsid w:val="4ADF76BB"/>
    <w:rsid w:val="4AE1272C"/>
    <w:rsid w:val="4B125FF6"/>
    <w:rsid w:val="4B2B2900"/>
    <w:rsid w:val="4B3F45FD"/>
    <w:rsid w:val="4B4614E8"/>
    <w:rsid w:val="4B6C4CC7"/>
    <w:rsid w:val="4B7D0C82"/>
    <w:rsid w:val="4B8057E5"/>
    <w:rsid w:val="4B8B339F"/>
    <w:rsid w:val="4B92472D"/>
    <w:rsid w:val="4BA97CC9"/>
    <w:rsid w:val="4BBA741A"/>
    <w:rsid w:val="4BD016F9"/>
    <w:rsid w:val="4BF47196"/>
    <w:rsid w:val="4C0575F5"/>
    <w:rsid w:val="4C0D46FC"/>
    <w:rsid w:val="4C2B503E"/>
    <w:rsid w:val="4C312198"/>
    <w:rsid w:val="4C3253A4"/>
    <w:rsid w:val="4C481290"/>
    <w:rsid w:val="4C5C4D3B"/>
    <w:rsid w:val="4C63273B"/>
    <w:rsid w:val="4C787DC7"/>
    <w:rsid w:val="4C8449BE"/>
    <w:rsid w:val="4C987D10"/>
    <w:rsid w:val="4CA94424"/>
    <w:rsid w:val="4CAA3CF8"/>
    <w:rsid w:val="4CBE77A4"/>
    <w:rsid w:val="4CD62D3F"/>
    <w:rsid w:val="4CE0771A"/>
    <w:rsid w:val="4CE4720A"/>
    <w:rsid w:val="4CF051AC"/>
    <w:rsid w:val="4D0C050F"/>
    <w:rsid w:val="4D275349"/>
    <w:rsid w:val="4D331F40"/>
    <w:rsid w:val="4D3B0DF4"/>
    <w:rsid w:val="4D7F6F33"/>
    <w:rsid w:val="4D8409ED"/>
    <w:rsid w:val="4D9549A9"/>
    <w:rsid w:val="4D9D16E6"/>
    <w:rsid w:val="4DB017E2"/>
    <w:rsid w:val="4DB82445"/>
    <w:rsid w:val="4DC25072"/>
    <w:rsid w:val="4DC96400"/>
    <w:rsid w:val="4DE106CB"/>
    <w:rsid w:val="4DEB281B"/>
    <w:rsid w:val="4E10402F"/>
    <w:rsid w:val="4E121B55"/>
    <w:rsid w:val="4E28581D"/>
    <w:rsid w:val="4E2B2C17"/>
    <w:rsid w:val="4E505C68"/>
    <w:rsid w:val="4E573A0C"/>
    <w:rsid w:val="4E5C1022"/>
    <w:rsid w:val="4E760336"/>
    <w:rsid w:val="4E7C16C5"/>
    <w:rsid w:val="4EAC6FD6"/>
    <w:rsid w:val="4EB250E6"/>
    <w:rsid w:val="4EBE1CDD"/>
    <w:rsid w:val="4EC05A55"/>
    <w:rsid w:val="4ECA0682"/>
    <w:rsid w:val="4ECD0674"/>
    <w:rsid w:val="4EE47996"/>
    <w:rsid w:val="4EE74D90"/>
    <w:rsid w:val="4EEF633A"/>
    <w:rsid w:val="4EFB083B"/>
    <w:rsid w:val="4F1D6A04"/>
    <w:rsid w:val="4F2935FA"/>
    <w:rsid w:val="4F495A4B"/>
    <w:rsid w:val="4F587A3C"/>
    <w:rsid w:val="4F6C6BDA"/>
    <w:rsid w:val="4F7E394E"/>
    <w:rsid w:val="4F7F2029"/>
    <w:rsid w:val="4F870321"/>
    <w:rsid w:val="4F9071D6"/>
    <w:rsid w:val="4F9547EC"/>
    <w:rsid w:val="4FE6773D"/>
    <w:rsid w:val="4FF43AC5"/>
    <w:rsid w:val="4FF77255"/>
    <w:rsid w:val="4FFE4A87"/>
    <w:rsid w:val="50106568"/>
    <w:rsid w:val="501222E0"/>
    <w:rsid w:val="501F0559"/>
    <w:rsid w:val="5023629C"/>
    <w:rsid w:val="503A5393"/>
    <w:rsid w:val="503F29AA"/>
    <w:rsid w:val="5043249A"/>
    <w:rsid w:val="505521CD"/>
    <w:rsid w:val="50827466"/>
    <w:rsid w:val="50A078EC"/>
    <w:rsid w:val="50B679A2"/>
    <w:rsid w:val="50D21A70"/>
    <w:rsid w:val="50D457E8"/>
    <w:rsid w:val="50D51D5C"/>
    <w:rsid w:val="50D75B0C"/>
    <w:rsid w:val="50FB4B23"/>
    <w:rsid w:val="51163F32"/>
    <w:rsid w:val="51183927"/>
    <w:rsid w:val="51226553"/>
    <w:rsid w:val="51441CAF"/>
    <w:rsid w:val="514E7348"/>
    <w:rsid w:val="51516E38"/>
    <w:rsid w:val="519A433C"/>
    <w:rsid w:val="51AE366B"/>
    <w:rsid w:val="51D05FAF"/>
    <w:rsid w:val="51D823BF"/>
    <w:rsid w:val="51DF0427"/>
    <w:rsid w:val="51E67581"/>
    <w:rsid w:val="51F83758"/>
    <w:rsid w:val="520B3E30"/>
    <w:rsid w:val="521A547C"/>
    <w:rsid w:val="521F6F37"/>
    <w:rsid w:val="5246001F"/>
    <w:rsid w:val="52972F71"/>
    <w:rsid w:val="52B0193D"/>
    <w:rsid w:val="52BC29D7"/>
    <w:rsid w:val="52C8312A"/>
    <w:rsid w:val="52DB5A27"/>
    <w:rsid w:val="52DC6BD6"/>
    <w:rsid w:val="52DD4E28"/>
    <w:rsid w:val="52DE4AD3"/>
    <w:rsid w:val="52E70521"/>
    <w:rsid w:val="52FB52AE"/>
    <w:rsid w:val="52FE08FA"/>
    <w:rsid w:val="531F04EC"/>
    <w:rsid w:val="532145E9"/>
    <w:rsid w:val="53220A8C"/>
    <w:rsid w:val="532E2213"/>
    <w:rsid w:val="533026AA"/>
    <w:rsid w:val="53487DC7"/>
    <w:rsid w:val="534C78B7"/>
    <w:rsid w:val="534D3630"/>
    <w:rsid w:val="53536E98"/>
    <w:rsid w:val="535B5606"/>
    <w:rsid w:val="53807561"/>
    <w:rsid w:val="5382152B"/>
    <w:rsid w:val="538708F0"/>
    <w:rsid w:val="538E7D0E"/>
    <w:rsid w:val="53A56FC8"/>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F3CBD"/>
    <w:rsid w:val="54AA0D3A"/>
    <w:rsid w:val="54AB6860"/>
    <w:rsid w:val="54BB2F47"/>
    <w:rsid w:val="54BE216E"/>
    <w:rsid w:val="54BF40B9"/>
    <w:rsid w:val="54D73AF9"/>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B3175"/>
    <w:rsid w:val="55EE4C56"/>
    <w:rsid w:val="55F61D5C"/>
    <w:rsid w:val="56051FA0"/>
    <w:rsid w:val="56222B52"/>
    <w:rsid w:val="562A1B91"/>
    <w:rsid w:val="562B40FC"/>
    <w:rsid w:val="562B5B9A"/>
    <w:rsid w:val="56331D5B"/>
    <w:rsid w:val="5637484F"/>
    <w:rsid w:val="563D3E2F"/>
    <w:rsid w:val="5640122A"/>
    <w:rsid w:val="56570A4D"/>
    <w:rsid w:val="565E627F"/>
    <w:rsid w:val="568A7075"/>
    <w:rsid w:val="56AB7BA5"/>
    <w:rsid w:val="56AF3861"/>
    <w:rsid w:val="56B85264"/>
    <w:rsid w:val="56CA56C3"/>
    <w:rsid w:val="56CF0F2B"/>
    <w:rsid w:val="56DC53F6"/>
    <w:rsid w:val="571406EC"/>
    <w:rsid w:val="5714693E"/>
    <w:rsid w:val="573F67D1"/>
    <w:rsid w:val="575C2093"/>
    <w:rsid w:val="576D604E"/>
    <w:rsid w:val="57706229"/>
    <w:rsid w:val="578C2978"/>
    <w:rsid w:val="57BE4AFC"/>
    <w:rsid w:val="57C2639A"/>
    <w:rsid w:val="57CE11E3"/>
    <w:rsid w:val="57CF2865"/>
    <w:rsid w:val="57E07028"/>
    <w:rsid w:val="57E207EA"/>
    <w:rsid w:val="57EC78BB"/>
    <w:rsid w:val="57F549C2"/>
    <w:rsid w:val="580764A3"/>
    <w:rsid w:val="58260F8E"/>
    <w:rsid w:val="582C5F09"/>
    <w:rsid w:val="586C6306"/>
    <w:rsid w:val="58737694"/>
    <w:rsid w:val="587F072F"/>
    <w:rsid w:val="58BA1767"/>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D4E28"/>
    <w:rsid w:val="59BD150F"/>
    <w:rsid w:val="59BE0DE3"/>
    <w:rsid w:val="59C53F20"/>
    <w:rsid w:val="59D535F0"/>
    <w:rsid w:val="5A0228E9"/>
    <w:rsid w:val="5A146C55"/>
    <w:rsid w:val="5A151F73"/>
    <w:rsid w:val="5A582FE6"/>
    <w:rsid w:val="5AA77AC9"/>
    <w:rsid w:val="5AA91A93"/>
    <w:rsid w:val="5ABE4B07"/>
    <w:rsid w:val="5AC266B1"/>
    <w:rsid w:val="5AE42ACB"/>
    <w:rsid w:val="5AEE74A6"/>
    <w:rsid w:val="5AFA409D"/>
    <w:rsid w:val="5AFA5E4B"/>
    <w:rsid w:val="5B0354AA"/>
    <w:rsid w:val="5B307ABF"/>
    <w:rsid w:val="5B321A89"/>
    <w:rsid w:val="5B32273E"/>
    <w:rsid w:val="5B353327"/>
    <w:rsid w:val="5B386973"/>
    <w:rsid w:val="5B4602DF"/>
    <w:rsid w:val="5B4A6DD2"/>
    <w:rsid w:val="5B57329D"/>
    <w:rsid w:val="5B6F6839"/>
    <w:rsid w:val="5B751975"/>
    <w:rsid w:val="5B765E19"/>
    <w:rsid w:val="5B8147BE"/>
    <w:rsid w:val="5B920779"/>
    <w:rsid w:val="5B977B3E"/>
    <w:rsid w:val="5BB74B2C"/>
    <w:rsid w:val="5BBB382C"/>
    <w:rsid w:val="5BCC1E57"/>
    <w:rsid w:val="5BD41E6E"/>
    <w:rsid w:val="5BEA2363"/>
    <w:rsid w:val="5BEA5EBF"/>
    <w:rsid w:val="5BF64864"/>
    <w:rsid w:val="5C2C64D8"/>
    <w:rsid w:val="5C3A6E47"/>
    <w:rsid w:val="5C3B1922"/>
    <w:rsid w:val="5C537F09"/>
    <w:rsid w:val="5C5477DD"/>
    <w:rsid w:val="5C5E2B95"/>
    <w:rsid w:val="5C9A5B38"/>
    <w:rsid w:val="5C9C18B0"/>
    <w:rsid w:val="5CA17B70"/>
    <w:rsid w:val="5CA40764"/>
    <w:rsid w:val="5CAB5170"/>
    <w:rsid w:val="5CBD5382"/>
    <w:rsid w:val="5CD1185B"/>
    <w:rsid w:val="5CD32DF8"/>
    <w:rsid w:val="5CE62B2B"/>
    <w:rsid w:val="5D0C07A2"/>
    <w:rsid w:val="5D290C69"/>
    <w:rsid w:val="5D467A6D"/>
    <w:rsid w:val="5DA0717E"/>
    <w:rsid w:val="5DB42C29"/>
    <w:rsid w:val="5DBD1FCA"/>
    <w:rsid w:val="5DD15589"/>
    <w:rsid w:val="5DEF65CC"/>
    <w:rsid w:val="5E192A8C"/>
    <w:rsid w:val="5E1C432A"/>
    <w:rsid w:val="5E257683"/>
    <w:rsid w:val="5E282CCF"/>
    <w:rsid w:val="5E4D0988"/>
    <w:rsid w:val="5E510478"/>
    <w:rsid w:val="5E714676"/>
    <w:rsid w:val="5E8425FB"/>
    <w:rsid w:val="5E8C6F99"/>
    <w:rsid w:val="5E8E347A"/>
    <w:rsid w:val="5ECF75EF"/>
    <w:rsid w:val="5ED54C05"/>
    <w:rsid w:val="5EF2352E"/>
    <w:rsid w:val="5EF57055"/>
    <w:rsid w:val="5EF763C6"/>
    <w:rsid w:val="5F08322C"/>
    <w:rsid w:val="5F436A23"/>
    <w:rsid w:val="5F4E6765"/>
    <w:rsid w:val="5F5D7160"/>
    <w:rsid w:val="5F7206A6"/>
    <w:rsid w:val="5F7408C2"/>
    <w:rsid w:val="5F887EC9"/>
    <w:rsid w:val="5F893C41"/>
    <w:rsid w:val="5F8B79B9"/>
    <w:rsid w:val="5FB23198"/>
    <w:rsid w:val="5FD70E51"/>
    <w:rsid w:val="5FEF7F48"/>
    <w:rsid w:val="5FF217E7"/>
    <w:rsid w:val="5FF27A39"/>
    <w:rsid w:val="5FF76DFD"/>
    <w:rsid w:val="5FFE1F39"/>
    <w:rsid w:val="60060FEE"/>
    <w:rsid w:val="602A0F80"/>
    <w:rsid w:val="60462E90"/>
    <w:rsid w:val="60536729"/>
    <w:rsid w:val="608368E3"/>
    <w:rsid w:val="608F7035"/>
    <w:rsid w:val="60A30D33"/>
    <w:rsid w:val="60A96349"/>
    <w:rsid w:val="60C2740B"/>
    <w:rsid w:val="60CB21A4"/>
    <w:rsid w:val="60D94755"/>
    <w:rsid w:val="60F021CA"/>
    <w:rsid w:val="611834CF"/>
    <w:rsid w:val="61530A39"/>
    <w:rsid w:val="6183303E"/>
    <w:rsid w:val="61923281"/>
    <w:rsid w:val="61AC3CD1"/>
    <w:rsid w:val="61B054B5"/>
    <w:rsid w:val="61FA4982"/>
    <w:rsid w:val="61FE695C"/>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FB09B2"/>
    <w:rsid w:val="62FE04A2"/>
    <w:rsid w:val="631D29EB"/>
    <w:rsid w:val="633C6169"/>
    <w:rsid w:val="63500CFE"/>
    <w:rsid w:val="637A3FCD"/>
    <w:rsid w:val="63822EAD"/>
    <w:rsid w:val="63B70D7D"/>
    <w:rsid w:val="63D23E09"/>
    <w:rsid w:val="63E234B7"/>
    <w:rsid w:val="63F773CC"/>
    <w:rsid w:val="64047D3A"/>
    <w:rsid w:val="64236413"/>
    <w:rsid w:val="64300F47"/>
    <w:rsid w:val="64483336"/>
    <w:rsid w:val="644F0FB6"/>
    <w:rsid w:val="645E38EF"/>
    <w:rsid w:val="646C600B"/>
    <w:rsid w:val="64942E6C"/>
    <w:rsid w:val="64AC6408"/>
    <w:rsid w:val="64AE53F9"/>
    <w:rsid w:val="64D63485"/>
    <w:rsid w:val="6500647B"/>
    <w:rsid w:val="65085608"/>
    <w:rsid w:val="65091AAC"/>
    <w:rsid w:val="65110961"/>
    <w:rsid w:val="6518767F"/>
    <w:rsid w:val="65237AC1"/>
    <w:rsid w:val="653603C7"/>
    <w:rsid w:val="65362175"/>
    <w:rsid w:val="656767D3"/>
    <w:rsid w:val="65801643"/>
    <w:rsid w:val="6598698C"/>
    <w:rsid w:val="65A13CC9"/>
    <w:rsid w:val="65E120E1"/>
    <w:rsid w:val="660D737A"/>
    <w:rsid w:val="661A38C3"/>
    <w:rsid w:val="661E2CB4"/>
    <w:rsid w:val="6632293D"/>
    <w:rsid w:val="664E603D"/>
    <w:rsid w:val="666F1DE3"/>
    <w:rsid w:val="66A870A3"/>
    <w:rsid w:val="66AD46B9"/>
    <w:rsid w:val="66C1550E"/>
    <w:rsid w:val="66C739CD"/>
    <w:rsid w:val="66CD4D5B"/>
    <w:rsid w:val="66DD6797"/>
    <w:rsid w:val="66F66060"/>
    <w:rsid w:val="66F67E0E"/>
    <w:rsid w:val="670818F0"/>
    <w:rsid w:val="671D183F"/>
    <w:rsid w:val="67293782"/>
    <w:rsid w:val="673646AF"/>
    <w:rsid w:val="675114E9"/>
    <w:rsid w:val="675863D3"/>
    <w:rsid w:val="679703E1"/>
    <w:rsid w:val="67A17496"/>
    <w:rsid w:val="67A965FC"/>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F570FB"/>
    <w:rsid w:val="69227DA0"/>
    <w:rsid w:val="694110E9"/>
    <w:rsid w:val="69456E2B"/>
    <w:rsid w:val="694A2693"/>
    <w:rsid w:val="69531548"/>
    <w:rsid w:val="696F3EA8"/>
    <w:rsid w:val="69731BEA"/>
    <w:rsid w:val="69765236"/>
    <w:rsid w:val="69790883"/>
    <w:rsid w:val="697A2F79"/>
    <w:rsid w:val="69935DE8"/>
    <w:rsid w:val="69A47FF6"/>
    <w:rsid w:val="69A87C65"/>
    <w:rsid w:val="69EE301F"/>
    <w:rsid w:val="69FB1963"/>
    <w:rsid w:val="6A3F35DF"/>
    <w:rsid w:val="6A5D1F52"/>
    <w:rsid w:val="6A7C062B"/>
    <w:rsid w:val="6A8D08F9"/>
    <w:rsid w:val="6AA25BA0"/>
    <w:rsid w:val="6AA3205B"/>
    <w:rsid w:val="6AAB0F10"/>
    <w:rsid w:val="6AAD2EDA"/>
    <w:rsid w:val="6AB8548E"/>
    <w:rsid w:val="6ABC577D"/>
    <w:rsid w:val="6ABF49BB"/>
    <w:rsid w:val="6ACD70D8"/>
    <w:rsid w:val="6AE12B83"/>
    <w:rsid w:val="6AE42367"/>
    <w:rsid w:val="6AFE7291"/>
    <w:rsid w:val="6B054AC4"/>
    <w:rsid w:val="6B106FC5"/>
    <w:rsid w:val="6B225676"/>
    <w:rsid w:val="6B3A462E"/>
    <w:rsid w:val="6B422808"/>
    <w:rsid w:val="6B476E8A"/>
    <w:rsid w:val="6B4B5217"/>
    <w:rsid w:val="6B680BAF"/>
    <w:rsid w:val="6B8A1717"/>
    <w:rsid w:val="6B8C6F93"/>
    <w:rsid w:val="6BC03E52"/>
    <w:rsid w:val="6BC56001"/>
    <w:rsid w:val="6BCC7390"/>
    <w:rsid w:val="6BD36970"/>
    <w:rsid w:val="6BD526E8"/>
    <w:rsid w:val="6C092392"/>
    <w:rsid w:val="6C17069E"/>
    <w:rsid w:val="6C2225DD"/>
    <w:rsid w:val="6C2830FF"/>
    <w:rsid w:val="6C5850C7"/>
    <w:rsid w:val="6C6B0957"/>
    <w:rsid w:val="6C832144"/>
    <w:rsid w:val="6C89702F"/>
    <w:rsid w:val="6C9C18EB"/>
    <w:rsid w:val="6CCD7863"/>
    <w:rsid w:val="6CD504C6"/>
    <w:rsid w:val="6CD52274"/>
    <w:rsid w:val="6CDD364E"/>
    <w:rsid w:val="6CF46B9E"/>
    <w:rsid w:val="6CF92406"/>
    <w:rsid w:val="6CFC3CA5"/>
    <w:rsid w:val="6D147240"/>
    <w:rsid w:val="6D196605"/>
    <w:rsid w:val="6D21370B"/>
    <w:rsid w:val="6D3200BB"/>
    <w:rsid w:val="6D3B18E0"/>
    <w:rsid w:val="6D3B18E9"/>
    <w:rsid w:val="6D57537F"/>
    <w:rsid w:val="6D617EE0"/>
    <w:rsid w:val="6D6C42DF"/>
    <w:rsid w:val="6D77332B"/>
    <w:rsid w:val="6D800432"/>
    <w:rsid w:val="6D940381"/>
    <w:rsid w:val="6D9C3AFC"/>
    <w:rsid w:val="6DAC1227"/>
    <w:rsid w:val="6DBB76BC"/>
    <w:rsid w:val="6DD469CF"/>
    <w:rsid w:val="6E22773B"/>
    <w:rsid w:val="6E2A4841"/>
    <w:rsid w:val="6E443B55"/>
    <w:rsid w:val="6E4E0530"/>
    <w:rsid w:val="6E5B2C4D"/>
    <w:rsid w:val="6E5F44EB"/>
    <w:rsid w:val="6E6164B5"/>
    <w:rsid w:val="6E6236E7"/>
    <w:rsid w:val="6E6935BC"/>
    <w:rsid w:val="6E91041D"/>
    <w:rsid w:val="6E9F4B86"/>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C14D32"/>
    <w:rsid w:val="6FCD1928"/>
    <w:rsid w:val="6FD902CD"/>
    <w:rsid w:val="6FDE58E3"/>
    <w:rsid w:val="6FE61F3E"/>
    <w:rsid w:val="6FF9428D"/>
    <w:rsid w:val="70161521"/>
    <w:rsid w:val="702F613F"/>
    <w:rsid w:val="703244E4"/>
    <w:rsid w:val="705636CC"/>
    <w:rsid w:val="70BA5135"/>
    <w:rsid w:val="70CC53D1"/>
    <w:rsid w:val="70D31B19"/>
    <w:rsid w:val="70D80585"/>
    <w:rsid w:val="70FD0CB3"/>
    <w:rsid w:val="71105F71"/>
    <w:rsid w:val="711E0B5E"/>
    <w:rsid w:val="712A5284"/>
    <w:rsid w:val="7130216F"/>
    <w:rsid w:val="713C4FB8"/>
    <w:rsid w:val="71687AE4"/>
    <w:rsid w:val="718F158B"/>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B50B7E"/>
    <w:rsid w:val="72C139C6"/>
    <w:rsid w:val="72C62D8B"/>
    <w:rsid w:val="72D57833"/>
    <w:rsid w:val="72DC25AE"/>
    <w:rsid w:val="72FC49FE"/>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3796C"/>
    <w:rsid w:val="73E95EE8"/>
    <w:rsid w:val="73EA4857"/>
    <w:rsid w:val="73F6144E"/>
    <w:rsid w:val="73F97190"/>
    <w:rsid w:val="74085625"/>
    <w:rsid w:val="74185868"/>
    <w:rsid w:val="742023C5"/>
    <w:rsid w:val="744C3764"/>
    <w:rsid w:val="74534AF2"/>
    <w:rsid w:val="74766D79"/>
    <w:rsid w:val="747E57F8"/>
    <w:rsid w:val="74850A24"/>
    <w:rsid w:val="748D1686"/>
    <w:rsid w:val="74F040EF"/>
    <w:rsid w:val="751122B7"/>
    <w:rsid w:val="75157FF9"/>
    <w:rsid w:val="75360DBC"/>
    <w:rsid w:val="75387844"/>
    <w:rsid w:val="756920F3"/>
    <w:rsid w:val="756B5E6B"/>
    <w:rsid w:val="756D0E75"/>
    <w:rsid w:val="756D573F"/>
    <w:rsid w:val="757C5983"/>
    <w:rsid w:val="75866801"/>
    <w:rsid w:val="758807CB"/>
    <w:rsid w:val="759F78C3"/>
    <w:rsid w:val="75BA64AB"/>
    <w:rsid w:val="75E35A02"/>
    <w:rsid w:val="75EA3234"/>
    <w:rsid w:val="762027B2"/>
    <w:rsid w:val="7630676D"/>
    <w:rsid w:val="76312C11"/>
    <w:rsid w:val="763224E5"/>
    <w:rsid w:val="76361FD5"/>
    <w:rsid w:val="76391AC6"/>
    <w:rsid w:val="76505878"/>
    <w:rsid w:val="767945B8"/>
    <w:rsid w:val="76794AF8"/>
    <w:rsid w:val="76850C08"/>
    <w:rsid w:val="76BB24DB"/>
    <w:rsid w:val="76C84BF7"/>
    <w:rsid w:val="76D11CFE"/>
    <w:rsid w:val="76D67314"/>
    <w:rsid w:val="76FC6DDC"/>
    <w:rsid w:val="772E2227"/>
    <w:rsid w:val="77302EC9"/>
    <w:rsid w:val="7731279D"/>
    <w:rsid w:val="77533CC6"/>
    <w:rsid w:val="775748F9"/>
    <w:rsid w:val="7760252B"/>
    <w:rsid w:val="776058DA"/>
    <w:rsid w:val="77626DFA"/>
    <w:rsid w:val="777032C5"/>
    <w:rsid w:val="777803CC"/>
    <w:rsid w:val="777D1E86"/>
    <w:rsid w:val="779276DF"/>
    <w:rsid w:val="77B70517"/>
    <w:rsid w:val="77D575CC"/>
    <w:rsid w:val="77E043E3"/>
    <w:rsid w:val="77F40160"/>
    <w:rsid w:val="78342545"/>
    <w:rsid w:val="78412EB3"/>
    <w:rsid w:val="785030F6"/>
    <w:rsid w:val="78550E5C"/>
    <w:rsid w:val="78632E2A"/>
    <w:rsid w:val="78654DF4"/>
    <w:rsid w:val="787B0173"/>
    <w:rsid w:val="787D0429"/>
    <w:rsid w:val="78B24F5D"/>
    <w:rsid w:val="78C87131"/>
    <w:rsid w:val="78EF46BD"/>
    <w:rsid w:val="790740FD"/>
    <w:rsid w:val="791660EE"/>
    <w:rsid w:val="791D122B"/>
    <w:rsid w:val="791F31F5"/>
    <w:rsid w:val="79265756"/>
    <w:rsid w:val="793F5645"/>
    <w:rsid w:val="794511BD"/>
    <w:rsid w:val="794A5D98"/>
    <w:rsid w:val="794C38BE"/>
    <w:rsid w:val="794E7636"/>
    <w:rsid w:val="79892D64"/>
    <w:rsid w:val="798E037A"/>
    <w:rsid w:val="79960FDD"/>
    <w:rsid w:val="79997202"/>
    <w:rsid w:val="799E680F"/>
    <w:rsid w:val="7A1B3962"/>
    <w:rsid w:val="7A2111EE"/>
    <w:rsid w:val="7A2F56B9"/>
    <w:rsid w:val="7A6D48C0"/>
    <w:rsid w:val="7A7268AA"/>
    <w:rsid w:val="7A765096"/>
    <w:rsid w:val="7A974046"/>
    <w:rsid w:val="7AAD65DE"/>
    <w:rsid w:val="7AC53928"/>
    <w:rsid w:val="7AC878BC"/>
    <w:rsid w:val="7ACA7190"/>
    <w:rsid w:val="7AEF309B"/>
    <w:rsid w:val="7AFD2AA0"/>
    <w:rsid w:val="7AFD57B8"/>
    <w:rsid w:val="7AFF1FD8"/>
    <w:rsid w:val="7B007056"/>
    <w:rsid w:val="7B02692A"/>
    <w:rsid w:val="7B2368A0"/>
    <w:rsid w:val="7B627C76"/>
    <w:rsid w:val="7B705F89"/>
    <w:rsid w:val="7B735A7A"/>
    <w:rsid w:val="7B887EC5"/>
    <w:rsid w:val="7B8C6B3B"/>
    <w:rsid w:val="7B914152"/>
    <w:rsid w:val="7BAE0860"/>
    <w:rsid w:val="7BB17EFC"/>
    <w:rsid w:val="7BC60184"/>
    <w:rsid w:val="7BD5403F"/>
    <w:rsid w:val="7BE349AD"/>
    <w:rsid w:val="7BE73A8B"/>
    <w:rsid w:val="7BEC3136"/>
    <w:rsid w:val="7BF471EA"/>
    <w:rsid w:val="7C011556"/>
    <w:rsid w:val="7C18217D"/>
    <w:rsid w:val="7C3C40BE"/>
    <w:rsid w:val="7C507B69"/>
    <w:rsid w:val="7C596A1E"/>
    <w:rsid w:val="7C5E2286"/>
    <w:rsid w:val="7C701FB9"/>
    <w:rsid w:val="7C817D22"/>
    <w:rsid w:val="7CD24A22"/>
    <w:rsid w:val="7CEA1D6C"/>
    <w:rsid w:val="7CF95D03"/>
    <w:rsid w:val="7D0C3A90"/>
    <w:rsid w:val="7D0E5A5A"/>
    <w:rsid w:val="7D360B0D"/>
    <w:rsid w:val="7D406A1E"/>
    <w:rsid w:val="7D494CE4"/>
    <w:rsid w:val="7D637428"/>
    <w:rsid w:val="7D717D97"/>
    <w:rsid w:val="7D7653AD"/>
    <w:rsid w:val="7D823D52"/>
    <w:rsid w:val="7D851A94"/>
    <w:rsid w:val="7D8E1E41"/>
    <w:rsid w:val="7D9121E7"/>
    <w:rsid w:val="7D965A4F"/>
    <w:rsid w:val="7DC73E5B"/>
    <w:rsid w:val="7DCB56F9"/>
    <w:rsid w:val="7DF34C50"/>
    <w:rsid w:val="7E0D00F2"/>
    <w:rsid w:val="7E105802"/>
    <w:rsid w:val="7E1A21DD"/>
    <w:rsid w:val="7E212942"/>
    <w:rsid w:val="7E486D4A"/>
    <w:rsid w:val="7E5F22E5"/>
    <w:rsid w:val="7E7C7B82"/>
    <w:rsid w:val="7E960CC1"/>
    <w:rsid w:val="7EA36676"/>
    <w:rsid w:val="7EAD12A3"/>
    <w:rsid w:val="7EB702F4"/>
    <w:rsid w:val="7ED625A7"/>
    <w:rsid w:val="7EDA196C"/>
    <w:rsid w:val="7EE56707"/>
    <w:rsid w:val="7EED715E"/>
    <w:rsid w:val="7EF42A2E"/>
    <w:rsid w:val="7EF46ED2"/>
    <w:rsid w:val="7EFD7F37"/>
    <w:rsid w:val="7F2271E4"/>
    <w:rsid w:val="7F2D7CEE"/>
    <w:rsid w:val="7F313C82"/>
    <w:rsid w:val="7F4A61E1"/>
    <w:rsid w:val="7F596D35"/>
    <w:rsid w:val="7F967F89"/>
    <w:rsid w:val="7F9935D5"/>
    <w:rsid w:val="7FA51F7A"/>
    <w:rsid w:val="7FB073FA"/>
    <w:rsid w:val="7FB328E9"/>
    <w:rsid w:val="7FD30895"/>
    <w:rsid w:val="7FDD1714"/>
    <w:rsid w:val="7FE231CE"/>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40"/>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7"/>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8"/>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adjustRightInd w:val="0"/>
      <w:snapToGrid w:val="0"/>
    </w:pPr>
    <w:rPr>
      <w:rFonts w:ascii="Times New Roman" w:hAnsi="Times New Roman" w:cs="Times New Roman"/>
      <w:lang w:val="zh-CN"/>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szCs w:val="22"/>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5"/>
    <w:autoRedefine/>
    <w:qFormat/>
    <w:uiPriority w:val="0"/>
    <w:pPr>
      <w:spacing w:line="240" w:lineRule="auto"/>
    </w:pPr>
    <w:rPr>
      <w:rFonts w:eastAsiaTheme="minorEastAsia"/>
      <w:sz w:val="21"/>
      <w:szCs w:val="24"/>
    </w:rPr>
  </w:style>
  <w:style w:type="paragraph" w:styleId="14">
    <w:name w:val="Body Text"/>
    <w:basedOn w:val="1"/>
    <w:next w:val="1"/>
    <w:link w:val="49"/>
    <w:autoRedefine/>
    <w:qFormat/>
    <w:uiPriority w:val="99"/>
    <w:pPr>
      <w:spacing w:after="120" w:line="240" w:lineRule="auto"/>
      <w:jc w:val="both"/>
    </w:pPr>
    <w:rPr>
      <w:rFonts w:eastAsiaTheme="minorEastAsia"/>
      <w:sz w:val="21"/>
      <w:szCs w:val="24"/>
    </w:rPr>
  </w:style>
  <w:style w:type="paragraph" w:styleId="15">
    <w:name w:val="Body Text Indent"/>
    <w:basedOn w:val="1"/>
    <w:next w:val="16"/>
    <w:autoRedefine/>
    <w:unhideWhenUsed/>
    <w:qFormat/>
    <w:uiPriority w:val="0"/>
    <w:pPr>
      <w:ind w:firstLine="630"/>
    </w:pPr>
    <w:rPr>
      <w:rFonts w:eastAsia="仿宋_GB2312"/>
      <w:kern w:val="0"/>
      <w:sz w:val="32"/>
      <w:szCs w:val="20"/>
    </w:rPr>
  </w:style>
  <w:style w:type="paragraph" w:styleId="16">
    <w:name w:val="envelope return"/>
    <w:basedOn w:val="1"/>
    <w:qFormat/>
    <w:uiPriority w:val="0"/>
    <w:rPr>
      <w:rFonts w:ascii="Arial" w:hAnsi="Arial"/>
    </w:rPr>
  </w:style>
  <w:style w:type="paragraph" w:styleId="17">
    <w:name w:val="toc 5"/>
    <w:basedOn w:val="1"/>
    <w:next w:val="1"/>
    <w:autoRedefine/>
    <w:unhideWhenUsed/>
    <w:qFormat/>
    <w:uiPriority w:val="39"/>
    <w:pPr>
      <w:ind w:left="960"/>
    </w:pPr>
    <w:rPr>
      <w:rFonts w:asciiTheme="minorHAnsi" w:eastAsiaTheme="minorHAnsi"/>
      <w:sz w:val="18"/>
      <w:szCs w:val="18"/>
    </w:rPr>
  </w:style>
  <w:style w:type="paragraph" w:styleId="18">
    <w:name w:val="toc 3"/>
    <w:basedOn w:val="1"/>
    <w:next w:val="1"/>
    <w:autoRedefine/>
    <w:unhideWhenUsed/>
    <w:qFormat/>
    <w:uiPriority w:val="39"/>
    <w:pPr>
      <w:ind w:left="480"/>
    </w:pPr>
    <w:rPr>
      <w:rFonts w:asciiTheme="minorHAnsi" w:eastAsiaTheme="minorHAnsi"/>
      <w:i/>
      <w:iCs/>
      <w:sz w:val="20"/>
      <w:szCs w:val="20"/>
    </w:rPr>
  </w:style>
  <w:style w:type="paragraph" w:styleId="19">
    <w:name w:val="Plain Text"/>
    <w:basedOn w:val="1"/>
    <w:autoRedefine/>
    <w:unhideWhenUsed/>
    <w:qFormat/>
    <w:uiPriority w:val="0"/>
    <w:rPr>
      <w:rFonts w:ascii="宋体" w:hAnsi="Courier New"/>
      <w:kern w:val="0"/>
      <w:sz w:val="20"/>
      <w:szCs w:val="20"/>
    </w:rPr>
  </w:style>
  <w:style w:type="paragraph" w:styleId="20">
    <w:name w:val="toc 8"/>
    <w:basedOn w:val="1"/>
    <w:next w:val="1"/>
    <w:autoRedefine/>
    <w:unhideWhenUsed/>
    <w:qFormat/>
    <w:uiPriority w:val="39"/>
    <w:pPr>
      <w:ind w:left="1680"/>
    </w:pPr>
    <w:rPr>
      <w:rFonts w:asciiTheme="minorHAnsi" w:eastAsiaTheme="minorHAnsi"/>
      <w:sz w:val="18"/>
      <w:szCs w:val="18"/>
    </w:rPr>
  </w:style>
  <w:style w:type="paragraph" w:styleId="21">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4">
    <w:name w:val="toc 4"/>
    <w:basedOn w:val="1"/>
    <w:next w:val="1"/>
    <w:autoRedefine/>
    <w:unhideWhenUsed/>
    <w:qFormat/>
    <w:uiPriority w:val="39"/>
    <w:pPr>
      <w:ind w:left="720"/>
    </w:pPr>
    <w:rPr>
      <w:rFonts w:asciiTheme="minorHAnsi" w:eastAsiaTheme="minorHAnsi"/>
      <w:sz w:val="18"/>
      <w:szCs w:val="18"/>
    </w:rPr>
  </w:style>
  <w:style w:type="paragraph" w:styleId="25">
    <w:name w:val="footnote text"/>
    <w:basedOn w:val="1"/>
    <w:qFormat/>
    <w:uiPriority w:val="0"/>
    <w:pPr>
      <w:widowControl/>
      <w:jc w:val="left"/>
    </w:pPr>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3"/>
    <w:next w:val="13"/>
    <w:link w:val="53"/>
    <w:autoRedefine/>
    <w:semiHidden/>
    <w:unhideWhenUsed/>
    <w:qFormat/>
    <w:uiPriority w:val="99"/>
    <w:pPr>
      <w:spacing w:line="360" w:lineRule="auto"/>
    </w:pPr>
    <w:rPr>
      <w:rFonts w:eastAsia="宋体"/>
      <w:b/>
      <w:bCs/>
      <w:sz w:val="24"/>
      <w:szCs w:val="22"/>
    </w:rPr>
  </w:style>
  <w:style w:type="paragraph" w:styleId="30">
    <w:name w:val="Body Text First Indent 2"/>
    <w:basedOn w:val="15"/>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page number"/>
    <w:basedOn w:val="33"/>
    <w:qFormat/>
    <w:uiPriority w:val="0"/>
  </w:style>
  <w:style w:type="character" w:styleId="36">
    <w:name w:val="Hyperlink"/>
    <w:basedOn w:val="33"/>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3"/>
    <w:autoRedefine/>
    <w:qFormat/>
    <w:uiPriority w:val="0"/>
    <w:rPr>
      <w:sz w:val="21"/>
      <w:szCs w:val="21"/>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字符"/>
    <w:basedOn w:val="33"/>
    <w:link w:val="3"/>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pPr>
  </w:style>
  <w:style w:type="character" w:customStyle="1" w:styleId="42">
    <w:name w:val="页眉 字符"/>
    <w:basedOn w:val="33"/>
    <w:link w:val="22"/>
    <w:autoRedefine/>
    <w:qFormat/>
    <w:uiPriority w:val="99"/>
    <w:rPr>
      <w:rFonts w:eastAsia="宋体"/>
      <w:sz w:val="18"/>
      <w:szCs w:val="18"/>
    </w:rPr>
  </w:style>
  <w:style w:type="character" w:customStyle="1" w:styleId="43">
    <w:name w:val="页脚 字符"/>
    <w:basedOn w:val="33"/>
    <w:link w:val="21"/>
    <w:autoRedefine/>
    <w:qFormat/>
    <w:uiPriority w:val="99"/>
    <w:rPr>
      <w:rFonts w:eastAsia="宋体"/>
      <w:sz w:val="18"/>
      <w:szCs w:val="18"/>
    </w:rPr>
  </w:style>
  <w:style w:type="character" w:customStyle="1" w:styleId="44">
    <w:name w:val="标题 2 字符"/>
    <w:basedOn w:val="33"/>
    <w:link w:val="4"/>
    <w:autoRedefine/>
    <w:qFormat/>
    <w:uiPriority w:val="0"/>
    <w:rPr>
      <w:rFonts w:eastAsia="宋体" w:asciiTheme="majorHAnsi" w:hAnsiTheme="majorHAnsi" w:cstheme="majorBidi"/>
      <w:b/>
      <w:bCs/>
      <w:sz w:val="32"/>
      <w:szCs w:val="32"/>
    </w:rPr>
  </w:style>
  <w:style w:type="character" w:customStyle="1" w:styleId="45">
    <w:name w:val="批注文字 字符"/>
    <w:basedOn w:val="33"/>
    <w:link w:val="13"/>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字符"/>
    <w:basedOn w:val="33"/>
    <w:link w:val="5"/>
    <w:autoRedefine/>
    <w:qFormat/>
    <w:uiPriority w:val="9"/>
    <w:rPr>
      <w:rFonts w:eastAsia="宋体"/>
      <w:b/>
      <w:bCs/>
      <w:sz w:val="30"/>
      <w:szCs w:val="32"/>
    </w:rPr>
  </w:style>
  <w:style w:type="character" w:customStyle="1" w:styleId="48">
    <w:name w:val="标题 4 字符"/>
    <w:basedOn w:val="33"/>
    <w:link w:val="6"/>
    <w:autoRedefine/>
    <w:qFormat/>
    <w:uiPriority w:val="9"/>
    <w:rPr>
      <w:rFonts w:eastAsia="宋体" w:asciiTheme="majorHAnsi" w:hAnsiTheme="majorHAnsi" w:cstheme="majorBidi"/>
      <w:b/>
      <w:bCs/>
      <w:sz w:val="28"/>
      <w:szCs w:val="28"/>
    </w:rPr>
  </w:style>
  <w:style w:type="character" w:customStyle="1" w:styleId="49">
    <w:name w:val="正文文本 字符"/>
    <w:basedOn w:val="33"/>
    <w:link w:val="14"/>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3"/>
    <w:autoRedefine/>
    <w:semiHidden/>
    <w:unhideWhenUsed/>
    <w:qFormat/>
    <w:uiPriority w:val="99"/>
    <w:rPr>
      <w:color w:val="605E5C"/>
      <w:shd w:val="clear" w:color="auto" w:fill="E1DFDD"/>
    </w:rPr>
  </w:style>
  <w:style w:type="character" w:customStyle="1" w:styleId="53">
    <w:name w:val="批注主题 字符"/>
    <w:basedOn w:val="45"/>
    <w:link w:val="29"/>
    <w:autoRedefine/>
    <w:semiHidden/>
    <w:qFormat/>
    <w:uiPriority w:val="99"/>
    <w:rPr>
      <w:rFonts w:ascii="宋体" w:hAnsi="宋体" w:cstheme="minorBidi"/>
      <w:b/>
      <w:bCs/>
      <w:kern w:val="2"/>
      <w:sz w:val="24"/>
      <w:szCs w:val="22"/>
    </w:rPr>
  </w:style>
  <w:style w:type="character" w:customStyle="1" w:styleId="54">
    <w:name w:val="未处理的提及2"/>
    <w:basedOn w:val="33"/>
    <w:autoRedefine/>
    <w:semiHidden/>
    <w:unhideWhenUsed/>
    <w:qFormat/>
    <w:uiPriority w:val="99"/>
    <w:rPr>
      <w:color w:val="605E5C"/>
      <w:shd w:val="clear" w:color="auto" w:fill="E1DFDD"/>
    </w:rPr>
  </w:style>
  <w:style w:type="paragraph" w:customStyle="1" w:styleId="55">
    <w:name w:val="正文_2"/>
    <w:basedOn w:val="56"/>
    <w:next w:val="62"/>
    <w:autoRedefine/>
    <w:qFormat/>
    <w:uiPriority w:val="0"/>
    <w:pPr>
      <w:widowControl w:val="0"/>
      <w:jc w:val="both"/>
    </w:pPr>
    <w:rPr>
      <w:rFonts w:ascii="Calibri" w:hAnsi="Calibri" w:eastAsia="宋体" w:cs="Times New Roman"/>
      <w:lang w:val="en-US" w:eastAsia="zh-CN" w:bidi="ar-SA"/>
    </w:rPr>
  </w:style>
  <w:style w:type="paragraph" w:customStyle="1" w:styleId="56">
    <w:name w:val="正文_1_0"/>
    <w:basedOn w:val="57"/>
    <w:next w:val="59"/>
    <w:qFormat/>
    <w:uiPriority w:val="0"/>
    <w:rPr>
      <w:rFonts w:ascii="Calibri" w:hAnsi="Calibri" w:cs="Calibri"/>
      <w:szCs w:val="21"/>
      <w:lang w:bidi="ug-CN"/>
    </w:rPr>
  </w:style>
  <w:style w:type="paragraph" w:customStyle="1" w:styleId="57">
    <w:name w:val="Normal"/>
    <w:basedOn w:val="58"/>
    <w:next w:val="30"/>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首行缩进 2_0"/>
    <w:basedOn w:val="60"/>
    <w:qFormat/>
    <w:uiPriority w:val="0"/>
    <w:pPr>
      <w:tabs>
        <w:tab w:val="left" w:pos="0"/>
        <w:tab w:val="left" w:pos="993"/>
        <w:tab w:val="left" w:pos="1134"/>
      </w:tabs>
      <w:ind w:firstLine="420"/>
    </w:pPr>
    <w:rPr>
      <w:rFonts w:ascii="宋体" w:hAnsi="Calibri" w:eastAsia="Calibri" w:cs="宋体"/>
      <w:kern w:val="0"/>
      <w:szCs w:val="21"/>
    </w:rPr>
  </w:style>
  <w:style w:type="paragraph" w:customStyle="1" w:styleId="60">
    <w:name w:val="正文文本缩进_1"/>
    <w:basedOn w:val="61"/>
    <w:qFormat/>
    <w:uiPriority w:val="0"/>
    <w:pPr>
      <w:spacing w:line="500" w:lineRule="exact"/>
      <w:ind w:left="1588" w:leftChars="832" w:firstLine="433" w:firstLineChars="196"/>
    </w:pPr>
    <w:rPr>
      <w:rFonts w:ascii="Calibri" w:hAnsi="Calibri"/>
      <w:sz w:val="24"/>
    </w:rPr>
  </w:style>
  <w:style w:type="paragraph" w:customStyle="1" w:styleId="61">
    <w:name w:val="正文_5_0"/>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正文文本_1"/>
    <w:basedOn w:val="56"/>
    <w:qFormat/>
    <w:uiPriority w:val="0"/>
    <w:pPr>
      <w:spacing w:after="120"/>
    </w:pPr>
    <w:rPr>
      <w:rFonts w:ascii="Calibri" w:hAnsi="Calibri" w:eastAsia="宋体"/>
    </w:rPr>
  </w:style>
  <w:style w:type="paragraph" w:customStyle="1" w:styleId="63">
    <w:name w:val="Footnote Text"/>
    <w:basedOn w:val="57"/>
    <w:qFormat/>
    <w:uiPriority w:val="0"/>
    <w:pPr>
      <w:snapToGrid w:val="0"/>
      <w:jc w:val="left"/>
    </w:pPr>
    <w:rPr>
      <w:sz w:val="18"/>
      <w:szCs w:val="18"/>
    </w:rPr>
  </w:style>
  <w:style w:type="paragraph" w:customStyle="1" w:styleId="64">
    <w:name w:val="正文_1"/>
    <w:basedOn w:val="55"/>
    <w:next w:val="5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6">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7">
    <w:name w:val="Normal Indent1"/>
    <w:basedOn w:val="1"/>
    <w:autoRedefine/>
    <w:qFormat/>
    <w:uiPriority w:val="0"/>
    <w:pPr>
      <w:ind w:firstLine="420" w:firstLineChars="200"/>
    </w:pPr>
  </w:style>
  <w:style w:type="paragraph" w:customStyle="1" w:styleId="68">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9">
    <w:name w:val="Normal_22"/>
    <w:autoRedefine/>
    <w:qFormat/>
    <w:uiPriority w:val="0"/>
    <w:rPr>
      <w:rFonts w:ascii="Times New Roman" w:hAnsi="Times New Roman" w:eastAsia="Times New Roman" w:cs="Times New Roman"/>
      <w:sz w:val="24"/>
      <w:szCs w:val="24"/>
      <w:lang w:bidi="ar-SA"/>
    </w:rPr>
  </w:style>
  <w:style w:type="paragraph" w:customStyle="1" w:styleId="70">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1">
    <w:name w:val="正文_0_0_0 Char"/>
    <w:link w:val="72"/>
    <w:autoRedefine/>
    <w:qFormat/>
    <w:locked/>
    <w:uiPriority w:val="0"/>
    <w:rPr>
      <w:rFonts w:ascii="Calibri" w:hAnsi="Calibri" w:cs="Calibri"/>
      <w:kern w:val="2"/>
      <w:sz w:val="28"/>
      <w:szCs w:val="22"/>
      <w:lang w:val="en-US" w:eastAsia="zh-CN" w:bidi="ar-SA"/>
    </w:rPr>
  </w:style>
  <w:style w:type="paragraph" w:customStyle="1" w:styleId="72">
    <w:name w:val="正文_0_0_0_0_0"/>
    <w:link w:val="71"/>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3">
    <w:name w:val="正文文本_0_1"/>
    <w:basedOn w:val="74"/>
    <w:autoRedefine/>
    <w:qFormat/>
    <w:uiPriority w:val="99"/>
    <w:pPr>
      <w:spacing w:after="120"/>
    </w:pPr>
    <w:rPr>
      <w:rFonts w:ascii="Calibri" w:hAnsi="Calibri" w:eastAsia="宋体"/>
      <w:kern w:val="0"/>
      <w:sz w:val="24"/>
      <w:szCs w:val="20"/>
    </w:rPr>
  </w:style>
  <w:style w:type="paragraph" w:customStyle="1" w:styleId="74">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Table Paragraph_1"/>
    <w:basedOn w:val="74"/>
    <w:autoRedefine/>
    <w:qFormat/>
    <w:uiPriority w:val="0"/>
    <w:pPr>
      <w:jc w:val="left"/>
    </w:pPr>
    <w:rPr>
      <w:rFonts w:ascii="Calibri" w:hAnsi="Calibri" w:eastAsia="宋体"/>
      <w:kern w:val="0"/>
      <w:sz w:val="22"/>
      <w:lang w:eastAsia="en-US"/>
    </w:rPr>
  </w:style>
  <w:style w:type="paragraph" w:customStyle="1" w:styleId="76">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正文1"/>
    <w:autoRedefine/>
    <w:qFormat/>
    <w:uiPriority w:val="0"/>
    <w:pPr>
      <w:widowControl w:val="0"/>
      <w:jc w:val="both"/>
    </w:pPr>
    <w:rPr>
      <w:rFonts w:ascii="Calibri" w:hAnsi="Calibri" w:eastAsia="宋体" w:cs="Times New Roman"/>
      <w:lang w:val="en-US" w:eastAsia="zh-CN" w:bidi="ar-SA"/>
    </w:rPr>
  </w:style>
  <w:style w:type="paragraph" w:customStyle="1" w:styleId="78">
    <w:name w:val="列出段落1"/>
    <w:basedOn w:val="1"/>
    <w:autoRedefine/>
    <w:qFormat/>
    <w:uiPriority w:val="0"/>
    <w:pPr>
      <w:ind w:firstLine="420" w:firstLineChars="200"/>
    </w:pPr>
    <w:rPr>
      <w:szCs w:val="21"/>
    </w:rPr>
  </w:style>
  <w:style w:type="paragraph" w:customStyle="1" w:styleId="7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0">
    <w:name w:val="正文2"/>
    <w:basedOn w:val="1"/>
    <w:qFormat/>
    <w:uiPriority w:val="0"/>
    <w:pPr>
      <w:spacing w:before="156" w:line="360" w:lineRule="auto"/>
      <w:ind w:firstLine="510" w:firstLineChars="200"/>
    </w:pPr>
    <w:rPr>
      <w:sz w:val="24"/>
      <w:szCs w:val="20"/>
    </w:rPr>
  </w:style>
  <w:style w:type="paragraph" w:customStyle="1" w:styleId="81">
    <w:name w:val="Char Char Char Char Char Char Char1 Char"/>
    <w:basedOn w:val="1"/>
    <w:autoRedefine/>
    <w:qFormat/>
    <w:uiPriority w:val="0"/>
    <w:rPr>
      <w:rFonts w:ascii="Arial" w:hAnsi="Arial" w:eastAsia="宋体" w:cs="Arial"/>
      <w:sz w:val="24"/>
    </w:rPr>
  </w:style>
  <w:style w:type="paragraph" w:customStyle="1" w:styleId="82">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83">
    <w:name w:val="Table Text"/>
    <w:basedOn w:val="1"/>
    <w:semiHidden/>
    <w:qFormat/>
    <w:uiPriority w:val="0"/>
    <w:rPr>
      <w:rFonts w:ascii="宋体" w:hAnsi="宋体" w:eastAsia="宋体" w:cs="宋体"/>
      <w:sz w:val="24"/>
      <w:szCs w:val="24"/>
      <w:lang w:val="en-US" w:eastAsia="en-US" w:bidi="ar-SA"/>
    </w:rPr>
  </w:style>
  <w:style w:type="paragraph" w:customStyle="1" w:styleId="84">
    <w:name w:val="Table Paragraph"/>
    <w:basedOn w:val="56"/>
    <w:qFormat/>
    <w:uiPriority w:val="0"/>
    <w:rPr>
      <w:rFonts w:ascii="宋体" w:hAnsi="宋体" w:cs="Times New Roman"/>
      <w:lang w:bidi="ar-SA"/>
    </w:rPr>
  </w:style>
  <w:style w:type="paragraph" w:customStyle="1" w:styleId="85">
    <w:name w:val="Body text|1"/>
    <w:basedOn w:val="1"/>
    <w:qFormat/>
    <w:uiPriority w:val="0"/>
    <w:pPr>
      <w:widowControl w:val="0"/>
      <w:shd w:val="clear" w:color="auto" w:fill="auto"/>
      <w:spacing w:line="382"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6493</Words>
  <Characters>7430</Characters>
  <Lines>328</Lines>
  <Paragraphs>92</Paragraphs>
  <TotalTime>18</TotalTime>
  <ScaleCrop>false</ScaleCrop>
  <LinksUpToDate>false</LinksUpToDate>
  <CharactersWithSpaces>8048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梁兴源的电脑</cp:lastModifiedBy>
  <cp:lastPrinted>2024-12-28T09:34:00Z</cp:lastPrinted>
  <dcterms:modified xsi:type="dcterms:W3CDTF">2025-07-08T05:56:52Z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567D064B5D54495C82D4C0326422CF3B_13</vt:lpwstr>
  </property>
  <property fmtid="{D5CDD505-2E9C-101B-9397-08002B2CF9AE}" pid="4" name="KSOTemplateDocerSaveRecord">
    <vt:lpwstr>eyJoZGlkIjoiYTQ3NmNmMzA5NjA5Y2VkNmU5Y2E4NjBmZWZhOTUyYTQiLCJ1c2VySWQiOiI1MzcxNTA5MzAifQ==</vt:lpwstr>
  </property>
</Properties>
</file>