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63" w:rsidRPr="00EE7DB1" w:rsidRDefault="007D09E0" w:rsidP="007D09E0">
      <w:pPr>
        <w:ind w:left="360" w:hangingChars="100" w:hanging="360"/>
        <w:jc w:val="center"/>
        <w:rPr>
          <w:rFonts w:ascii="Times New Roman" w:hAnsi="Times New Roman"/>
          <w:sz w:val="36"/>
          <w:szCs w:val="36"/>
        </w:rPr>
      </w:pPr>
      <w:r w:rsidRPr="00EE7DB1">
        <w:rPr>
          <w:rFonts w:ascii="Times New Roman" w:hAnsi="Times New Roman"/>
          <w:sz w:val="36"/>
          <w:szCs w:val="36"/>
        </w:rPr>
        <w:t>招标文件更正内容</w:t>
      </w:r>
    </w:p>
    <w:p w:rsidR="001317BE" w:rsidRDefault="001317BE" w:rsidP="007D09E0">
      <w:pPr>
        <w:rPr>
          <w:rFonts w:ascii="Times New Roman" w:hAnsi="Times New Roman" w:hint="eastAsia"/>
          <w:sz w:val="28"/>
          <w:szCs w:val="28"/>
        </w:rPr>
      </w:pPr>
    </w:p>
    <w:p w:rsidR="007D09E0" w:rsidRPr="00EE7DB1" w:rsidRDefault="001317BE" w:rsidP="001317BE">
      <w:pPr>
        <w:ind w:left="280" w:hangingChars="100" w:hanging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、将</w:t>
      </w:r>
      <w:r w:rsidRPr="001317BE">
        <w:rPr>
          <w:rFonts w:ascii="Times New Roman" w:hAnsi="Times New Roman" w:hint="eastAsia"/>
          <w:sz w:val="28"/>
          <w:szCs w:val="28"/>
        </w:rPr>
        <w:t>投标截止时间及开标时间</w:t>
      </w:r>
      <w:r>
        <w:rPr>
          <w:rFonts w:ascii="Times New Roman" w:hAnsi="Times New Roman" w:hint="eastAsia"/>
          <w:sz w:val="28"/>
          <w:szCs w:val="28"/>
        </w:rPr>
        <w:t>由“</w:t>
      </w:r>
      <w:r w:rsidRPr="001317BE">
        <w:rPr>
          <w:rFonts w:ascii="Times New Roman" w:hAnsi="Times New Roman" w:hint="eastAsia"/>
          <w:sz w:val="28"/>
          <w:szCs w:val="28"/>
        </w:rPr>
        <w:t>2021</w:t>
      </w:r>
      <w:r w:rsidRPr="001317BE">
        <w:rPr>
          <w:rFonts w:ascii="Times New Roman" w:hAnsi="Times New Roman" w:hint="eastAsia"/>
          <w:sz w:val="28"/>
          <w:szCs w:val="28"/>
        </w:rPr>
        <w:t>年</w:t>
      </w:r>
      <w:r w:rsidRPr="001317BE">
        <w:rPr>
          <w:rFonts w:ascii="Times New Roman" w:hAnsi="Times New Roman" w:hint="eastAsia"/>
          <w:sz w:val="28"/>
          <w:szCs w:val="28"/>
        </w:rPr>
        <w:t>09</w:t>
      </w:r>
      <w:r w:rsidRPr="001317BE">
        <w:rPr>
          <w:rFonts w:ascii="Times New Roman" w:hAnsi="Times New Roman" w:hint="eastAsia"/>
          <w:sz w:val="28"/>
          <w:szCs w:val="28"/>
        </w:rPr>
        <w:t>月</w:t>
      </w:r>
      <w:r w:rsidRPr="001317BE">
        <w:rPr>
          <w:rFonts w:ascii="Times New Roman" w:hAnsi="Times New Roman" w:hint="eastAsia"/>
          <w:sz w:val="28"/>
          <w:szCs w:val="28"/>
        </w:rPr>
        <w:t>23</w:t>
      </w:r>
      <w:r w:rsidRPr="001317BE">
        <w:rPr>
          <w:rFonts w:ascii="Times New Roman" w:hAnsi="Times New Roman" w:hint="eastAsia"/>
          <w:sz w:val="28"/>
          <w:szCs w:val="28"/>
        </w:rPr>
        <w:t>日</w:t>
      </w:r>
      <w:r w:rsidRPr="001317BE">
        <w:rPr>
          <w:rFonts w:ascii="Times New Roman" w:hAnsi="Times New Roman" w:hint="eastAsia"/>
          <w:sz w:val="28"/>
          <w:szCs w:val="28"/>
        </w:rPr>
        <w:t>10</w:t>
      </w:r>
      <w:r w:rsidRPr="001317BE">
        <w:rPr>
          <w:rFonts w:ascii="Times New Roman" w:hAnsi="Times New Roman" w:hint="eastAsia"/>
          <w:sz w:val="28"/>
          <w:szCs w:val="28"/>
        </w:rPr>
        <w:t>时</w:t>
      </w:r>
      <w:r w:rsidRPr="001317BE">
        <w:rPr>
          <w:rFonts w:ascii="Times New Roman" w:hAnsi="Times New Roman" w:hint="eastAsia"/>
          <w:sz w:val="28"/>
          <w:szCs w:val="28"/>
        </w:rPr>
        <w:t>00</w:t>
      </w:r>
      <w:r w:rsidRPr="001317BE">
        <w:rPr>
          <w:rFonts w:ascii="Times New Roman" w:hAnsi="Times New Roman" w:hint="eastAsia"/>
          <w:sz w:val="28"/>
          <w:szCs w:val="28"/>
        </w:rPr>
        <w:t>分（北京时间）</w:t>
      </w:r>
      <w:r>
        <w:rPr>
          <w:rFonts w:ascii="Times New Roman" w:hAnsi="Times New Roman" w:hint="eastAsia"/>
          <w:sz w:val="28"/>
          <w:szCs w:val="28"/>
        </w:rPr>
        <w:t>”更正为“</w:t>
      </w:r>
      <w:r w:rsidRPr="001317BE">
        <w:rPr>
          <w:rFonts w:ascii="Times New Roman" w:hAnsi="Times New Roman" w:hint="eastAsia"/>
          <w:sz w:val="28"/>
          <w:szCs w:val="28"/>
        </w:rPr>
        <w:t>2021</w:t>
      </w:r>
      <w:r w:rsidRPr="001317BE">
        <w:rPr>
          <w:rFonts w:ascii="Times New Roman" w:hAnsi="Times New Roman" w:hint="eastAsia"/>
          <w:sz w:val="28"/>
          <w:szCs w:val="28"/>
        </w:rPr>
        <w:t>年</w:t>
      </w:r>
      <w:r w:rsidRPr="001317BE">
        <w:rPr>
          <w:rFonts w:ascii="Times New Roman" w:hAnsi="Times New Roman" w:hint="eastAsia"/>
          <w:sz w:val="28"/>
          <w:szCs w:val="28"/>
        </w:rPr>
        <w:t>10</w:t>
      </w:r>
      <w:r w:rsidRPr="001317BE">
        <w:rPr>
          <w:rFonts w:ascii="Times New Roman" w:hAnsi="Times New Roman" w:hint="eastAsia"/>
          <w:sz w:val="28"/>
          <w:szCs w:val="28"/>
        </w:rPr>
        <w:t>月</w:t>
      </w:r>
      <w:r w:rsidRPr="001317BE">
        <w:rPr>
          <w:rFonts w:ascii="Times New Roman" w:hAnsi="Times New Roman" w:hint="eastAsia"/>
          <w:sz w:val="28"/>
          <w:szCs w:val="28"/>
        </w:rPr>
        <w:t>09</w:t>
      </w:r>
      <w:r w:rsidRPr="001317BE">
        <w:rPr>
          <w:rFonts w:ascii="Times New Roman" w:hAnsi="Times New Roman" w:hint="eastAsia"/>
          <w:sz w:val="28"/>
          <w:szCs w:val="28"/>
        </w:rPr>
        <w:t>日</w:t>
      </w:r>
      <w:r w:rsidRPr="001317BE">
        <w:rPr>
          <w:rFonts w:ascii="Times New Roman" w:hAnsi="Times New Roman" w:hint="eastAsia"/>
          <w:sz w:val="28"/>
          <w:szCs w:val="28"/>
        </w:rPr>
        <w:t>10</w:t>
      </w:r>
      <w:r w:rsidRPr="001317BE">
        <w:rPr>
          <w:rFonts w:ascii="Times New Roman" w:hAnsi="Times New Roman" w:hint="eastAsia"/>
          <w:sz w:val="28"/>
          <w:szCs w:val="28"/>
        </w:rPr>
        <w:t>时</w:t>
      </w:r>
      <w:r w:rsidRPr="001317BE">
        <w:rPr>
          <w:rFonts w:ascii="Times New Roman" w:hAnsi="Times New Roman" w:hint="eastAsia"/>
          <w:sz w:val="28"/>
          <w:szCs w:val="28"/>
        </w:rPr>
        <w:t>00</w:t>
      </w:r>
      <w:r w:rsidRPr="001317BE">
        <w:rPr>
          <w:rFonts w:ascii="Times New Roman" w:hAnsi="Times New Roman" w:hint="eastAsia"/>
          <w:sz w:val="28"/>
          <w:szCs w:val="28"/>
        </w:rPr>
        <w:t>分（北京时间）</w:t>
      </w:r>
      <w:r>
        <w:rPr>
          <w:rFonts w:ascii="Times New Roman" w:hAnsi="Times New Roman" w:hint="eastAsia"/>
          <w:sz w:val="28"/>
          <w:szCs w:val="28"/>
        </w:rPr>
        <w:t>”。</w:t>
      </w:r>
    </w:p>
    <w:p w:rsidR="007D09E0" w:rsidRPr="001317BE" w:rsidRDefault="001317BE" w:rsidP="001317BE">
      <w:pPr>
        <w:ind w:left="420" w:hangingChars="150" w:hanging="420"/>
        <w:rPr>
          <w:rFonts w:ascii="Times New Roman" w:hAnsi="Times New Roman"/>
          <w:sz w:val="28"/>
          <w:szCs w:val="28"/>
        </w:rPr>
      </w:pPr>
      <w:bookmarkStart w:id="0" w:name="_GoBack"/>
      <w:r w:rsidRPr="001317BE">
        <w:rPr>
          <w:rFonts w:ascii="Times New Roman" w:hAnsi="Times New Roman" w:hint="eastAsia"/>
          <w:sz w:val="28"/>
          <w:szCs w:val="28"/>
        </w:rPr>
        <w:t>2</w:t>
      </w:r>
      <w:r w:rsidRPr="001317BE">
        <w:rPr>
          <w:rFonts w:ascii="Times New Roman" w:hAnsi="Times New Roman" w:hint="eastAsia"/>
          <w:sz w:val="28"/>
          <w:szCs w:val="28"/>
        </w:rPr>
        <w:t>、</w:t>
      </w:r>
      <w:r w:rsidR="007D09E0" w:rsidRPr="001317BE">
        <w:rPr>
          <w:rFonts w:ascii="Times New Roman" w:hAnsi="Times New Roman"/>
          <w:sz w:val="28"/>
          <w:szCs w:val="28"/>
        </w:rPr>
        <w:t>将本项目招标文件</w:t>
      </w:r>
      <w:r w:rsidR="007D09E0" w:rsidRPr="001317BE">
        <w:rPr>
          <w:rFonts w:ascii="Times New Roman" w:hAnsi="Times New Roman"/>
          <w:sz w:val="28"/>
          <w:szCs w:val="28"/>
        </w:rPr>
        <w:t>第七章《综合评分明细表》</w:t>
      </w:r>
      <w:r w:rsidR="007D09E0" w:rsidRPr="001317BE">
        <w:rPr>
          <w:rFonts w:ascii="Times New Roman" w:hAnsi="Times New Roman"/>
          <w:sz w:val="28"/>
          <w:szCs w:val="28"/>
        </w:rPr>
        <w:t>做以</w:t>
      </w:r>
      <w:r w:rsidR="007D09E0" w:rsidRPr="001317BE">
        <w:rPr>
          <w:rFonts w:ascii="Times New Roman" w:hAnsi="Times New Roman"/>
          <w:sz w:val="28"/>
          <w:szCs w:val="28"/>
        </w:rPr>
        <w:t>下更</w:t>
      </w:r>
      <w:r w:rsidR="007D09E0" w:rsidRPr="001317BE">
        <w:rPr>
          <w:rFonts w:ascii="Times New Roman" w:hAnsi="Times New Roman"/>
          <w:sz w:val="28"/>
          <w:szCs w:val="28"/>
        </w:rPr>
        <w:t>正</w:t>
      </w:r>
      <w:r w:rsidR="007D09E0" w:rsidRPr="001317BE">
        <w:rPr>
          <w:rFonts w:ascii="Times New Roman" w:hAnsi="Times New Roman"/>
          <w:sz w:val="28"/>
          <w:szCs w:val="28"/>
        </w:rPr>
        <w:t>：</w:t>
      </w:r>
    </w:p>
    <w:bookmarkEnd w:id="0"/>
    <w:p w:rsidR="007D09E0" w:rsidRPr="00EE7DB1" w:rsidRDefault="00EE7DB1" w:rsidP="007D09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更正前</w:t>
      </w:r>
      <w:r w:rsidR="007D09E0" w:rsidRPr="00EE7DB1">
        <w:rPr>
          <w:rFonts w:ascii="Times New Roman" w:hAnsi="Times New Roman"/>
          <w:b/>
          <w:sz w:val="24"/>
        </w:rPr>
        <w:t>内容：</w:t>
      </w:r>
    </w:p>
    <w:tbl>
      <w:tblPr>
        <w:tblpPr w:leftFromText="180" w:rightFromText="180" w:vertAnchor="text" w:horzAnchor="page" w:tblpX="1857" w:tblpY="13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4369"/>
        <w:gridCol w:w="1918"/>
      </w:tblGrid>
      <w:tr w:rsidR="007D09E0" w:rsidRPr="00EE7DB1" w:rsidTr="00EE7DB1">
        <w:trPr>
          <w:trHeight w:val="647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评分因素及权重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评分细则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说明</w:t>
            </w:r>
          </w:p>
        </w:tc>
      </w:tr>
      <w:tr w:rsidR="007D09E0" w:rsidRPr="00EE7DB1" w:rsidTr="00EE7DB1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服务能力</w:t>
            </w: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13.5%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（共同评分因素）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rightChars="-51" w:right="-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.5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对投标人具有设备原厂售后服务授权或具有原厂指定售后服务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代理商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针对本项目出具的售后维保的授权情况进行评审：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1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①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获得奥林巴斯内窥镜维保授权得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2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②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 xml:space="preserve">GE 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多排螺旋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CT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3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③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 xml:space="preserve">GE 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双板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DR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4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④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获得飞利浦核磁维保授权得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5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⑤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获得西门子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 xml:space="preserve"> 32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排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CT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6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⑥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获得东软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 xml:space="preserve"> 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车载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CT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7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⑦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 xml:space="preserve">GE 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超声维保授权得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8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⑧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获得开立超声维保授权得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begin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instrText xml:space="preserve"> = 9 \* GB3 \* MERGEFORMAT </w:instrTex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separate"/>
            </w:r>
            <w:r w:rsidRPr="00EE7DB1">
              <w:rPr>
                <w:rFonts w:ascii="宋体" w:hAnsi="宋体" w:cs="宋体" w:hint="eastAsia"/>
                <w:color w:val="000000"/>
                <w:sz w:val="24"/>
              </w:rPr>
              <w:t>⑨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fldChar w:fldCharType="end"/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获得德尔格麻醉机维保授权得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；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共计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13.5</w:t>
            </w:r>
            <w:r w:rsidRPr="00EE7DB1"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zh-Hans"/>
              </w:rPr>
              <w:t>分。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提供授权文件证明材料复印件，未提供不得分。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D09E0" w:rsidRPr="00EE7DB1" w:rsidTr="00EE7DB1">
        <w:trPr>
          <w:trHeight w:val="3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业绩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8%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（共同评分因素）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rightChars="-51" w:right="-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根据投标人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2017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月至递交投标文件截止日的维保业绩情况进行评审，投标人提供一个类似业绩得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.8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分，最多得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分。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注：同一服务用户的合同，得分可累计。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类似业绩指投标人合同中至少包含内窥镜、</w:t>
            </w: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CT</w:t>
            </w: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、核磁、</w:t>
            </w: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DR</w:t>
            </w:r>
            <w:r w:rsidRPr="00EE7DB1">
              <w:rPr>
                <w:rFonts w:ascii="Times New Roman" w:hAnsi="Times New Roman"/>
                <w:color w:val="000000"/>
                <w:sz w:val="24"/>
                <w:lang w:eastAsia="zh-Hans"/>
              </w:rPr>
              <w:t>、超声、麻醉机六种设备其中一种设备维保（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提供合同复印件加盖投标人公章。）</w:t>
            </w:r>
          </w:p>
        </w:tc>
      </w:tr>
      <w:tr w:rsidR="007D09E0" w:rsidRPr="00EE7DB1" w:rsidTr="00EE7DB1">
        <w:trPr>
          <w:trHeight w:val="1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leftChars="-25" w:left="-53" w:rightChars="-25" w:right="-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扶持少数民族或不发达地区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0.9%</w:t>
            </w:r>
          </w:p>
          <w:p w:rsidR="007D09E0" w:rsidRPr="00EE7DB1" w:rsidRDefault="007D09E0" w:rsidP="008372D2">
            <w:pPr>
              <w:ind w:leftChars="-25" w:left="-53" w:rightChars="-25" w:right="-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（共同评分因素）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leftChars="-25" w:left="-53" w:rightChars="-25" w:right="-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0.9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leftChars="-25" w:left="-53" w:rightChars="-25" w:right="-53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供应</w:t>
            </w:r>
            <w:proofErr w:type="gramStart"/>
            <w:r w:rsidRPr="00EE7DB1">
              <w:rPr>
                <w:rFonts w:ascii="Times New Roman" w:hAnsi="Times New Roman"/>
                <w:color w:val="000000"/>
                <w:sz w:val="24"/>
              </w:rPr>
              <w:t>商注册</w:t>
            </w:r>
            <w:proofErr w:type="gramEnd"/>
            <w:r w:rsidRPr="00EE7DB1">
              <w:rPr>
                <w:rFonts w:ascii="Times New Roman" w:hAnsi="Times New Roman"/>
                <w:color w:val="000000"/>
                <w:sz w:val="24"/>
              </w:rPr>
              <w:t>地为少数民族或不发达地区的得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0.9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分，不是不得分。（提供声明书，未提供不得分）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D09E0" w:rsidRPr="00EE7DB1" w:rsidRDefault="007D09E0" w:rsidP="007D09E0">
      <w:pPr>
        <w:rPr>
          <w:rFonts w:ascii="Times New Roman" w:hAnsi="Times New Roman"/>
          <w:b/>
          <w:sz w:val="24"/>
        </w:rPr>
      </w:pPr>
      <w:r w:rsidRPr="00EE7DB1">
        <w:rPr>
          <w:rFonts w:ascii="Times New Roman" w:hAnsi="Times New Roman"/>
          <w:b/>
          <w:sz w:val="24"/>
        </w:rPr>
        <w:t>更正后内容：</w:t>
      </w:r>
    </w:p>
    <w:p w:rsidR="00EE7DB1" w:rsidRDefault="00EE7DB1" w:rsidP="00EE7DB1">
      <w:pPr>
        <w:ind w:firstLineChars="50" w:firstLine="120"/>
        <w:rPr>
          <w:rFonts w:ascii="Times New Roman" w:hAnsi="Times New Roman" w:hint="eastAsia"/>
          <w:sz w:val="24"/>
        </w:rPr>
      </w:pPr>
    </w:p>
    <w:p w:rsidR="007D09E0" w:rsidRPr="00EE7DB1" w:rsidRDefault="007D09E0" w:rsidP="00EE7DB1">
      <w:pPr>
        <w:ind w:firstLineChars="200" w:firstLine="480"/>
        <w:rPr>
          <w:rFonts w:ascii="Times New Roman" w:hAnsi="Times New Roman"/>
          <w:sz w:val="24"/>
        </w:rPr>
      </w:pPr>
      <w:r w:rsidRPr="00EE7DB1">
        <w:rPr>
          <w:rFonts w:ascii="Times New Roman" w:hAnsi="Times New Roman"/>
          <w:sz w:val="24"/>
        </w:rPr>
        <w:t>将评审因素</w:t>
      </w:r>
      <w:r w:rsidRPr="00EE7DB1">
        <w:rPr>
          <w:rFonts w:asciiTheme="majorEastAsia" w:eastAsiaTheme="majorEastAsia" w:hAnsiTheme="majorEastAsia"/>
          <w:sz w:val="24"/>
        </w:rPr>
        <w:t>“</w:t>
      </w:r>
      <w:r w:rsidRPr="00EE7DB1">
        <w:rPr>
          <w:rFonts w:ascii="Times New Roman" w:hAnsi="Times New Roman"/>
          <w:sz w:val="24"/>
        </w:rPr>
        <w:t>服务能力（分值</w:t>
      </w:r>
      <w:r w:rsidRPr="00EE7DB1">
        <w:rPr>
          <w:rFonts w:ascii="Times New Roman" w:hAnsi="Times New Roman"/>
          <w:sz w:val="24"/>
        </w:rPr>
        <w:t>13.5</w:t>
      </w:r>
      <w:r w:rsidRPr="00EE7DB1">
        <w:rPr>
          <w:rFonts w:ascii="Times New Roman" w:hAnsi="Times New Roman"/>
          <w:sz w:val="24"/>
        </w:rPr>
        <w:t>分）</w:t>
      </w:r>
      <w:r w:rsidRPr="00EE7DB1">
        <w:rPr>
          <w:rFonts w:asciiTheme="minorEastAsia" w:eastAsiaTheme="minorEastAsia" w:hAnsiTheme="minorEastAsia"/>
          <w:sz w:val="24"/>
        </w:rPr>
        <w:t>”</w:t>
      </w:r>
      <w:r w:rsidRPr="00EE7DB1">
        <w:rPr>
          <w:rFonts w:ascii="Times New Roman" w:hAnsi="Times New Roman"/>
          <w:sz w:val="24"/>
        </w:rPr>
        <w:t>项删除</w:t>
      </w:r>
      <w:r w:rsidRPr="00EE7DB1">
        <w:rPr>
          <w:rFonts w:ascii="Times New Roman" w:hAnsi="Times New Roman"/>
          <w:sz w:val="24"/>
        </w:rPr>
        <w:t>；并将业绩及</w:t>
      </w:r>
      <w:r w:rsidRPr="00EE7DB1">
        <w:rPr>
          <w:rFonts w:ascii="Times New Roman" w:hAnsi="Times New Roman"/>
          <w:sz w:val="24"/>
        </w:rPr>
        <w:t>扶持少数民族或不发达地区</w:t>
      </w:r>
      <w:r w:rsidRPr="00EE7DB1">
        <w:rPr>
          <w:rFonts w:ascii="Times New Roman" w:hAnsi="Times New Roman"/>
          <w:sz w:val="24"/>
        </w:rPr>
        <w:t>的评分更正为：</w:t>
      </w:r>
    </w:p>
    <w:tbl>
      <w:tblPr>
        <w:tblpPr w:leftFromText="180" w:rightFromText="180" w:vertAnchor="text" w:horzAnchor="page" w:tblpX="1857" w:tblpY="13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65"/>
        <w:gridCol w:w="567"/>
        <w:gridCol w:w="5245"/>
        <w:gridCol w:w="901"/>
      </w:tblGrid>
      <w:tr w:rsidR="007D09E0" w:rsidRPr="00EE7DB1" w:rsidTr="00EE7DB1">
        <w:trPr>
          <w:trHeight w:val="647"/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评分因素及权重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评分细则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bCs/>
                <w:color w:val="000000"/>
                <w:sz w:val="24"/>
              </w:rPr>
              <w:t>说明</w:t>
            </w:r>
          </w:p>
        </w:tc>
      </w:tr>
      <w:tr w:rsidR="007D09E0" w:rsidRPr="00EE7DB1" w:rsidTr="00EE7DB1">
        <w:trPr>
          <w:trHeight w:val="3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EE7DB1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业绩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21.6%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（共同评分因素）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rightChars="-51" w:right="-10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21.6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left="240" w:hangingChars="100" w:hanging="240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、根据投标人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2018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月至递交投标文件截止日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  <w:lang w:eastAsia="zh-Hans"/>
              </w:rPr>
              <w:t>内窥镜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的维保业绩情况进行评审，投标人提供一个类似业绩得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分，最多得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3.6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分。</w:t>
            </w:r>
          </w:p>
          <w:p w:rsidR="007D09E0" w:rsidRPr="00EE7DB1" w:rsidRDefault="007D09E0" w:rsidP="008372D2">
            <w:pPr>
              <w:ind w:left="240" w:hangingChars="100" w:hanging="240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、根据投标人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2018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月至递交投标文件截止日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  <w:lang w:eastAsia="zh-Hans"/>
              </w:rPr>
              <w:t>CT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的维保业绩情况进行评审，投标人提供一个类似业绩得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分，最多得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3.6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分。</w:t>
            </w:r>
          </w:p>
          <w:p w:rsidR="007D09E0" w:rsidRPr="00EE7DB1" w:rsidRDefault="007D09E0" w:rsidP="008372D2">
            <w:pPr>
              <w:ind w:left="240" w:hangingChars="100" w:hanging="240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、根据投标人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2018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月至递交投标文件截止日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  <w:lang w:eastAsia="zh-Hans"/>
              </w:rPr>
              <w:t>核磁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的维保业绩情况进行评审，投标人提供一个类似业绩得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分，最多得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3.6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分。</w:t>
            </w:r>
          </w:p>
          <w:p w:rsidR="007D09E0" w:rsidRPr="00EE7DB1" w:rsidRDefault="007D09E0" w:rsidP="008372D2">
            <w:pPr>
              <w:ind w:left="240" w:hangingChars="100" w:hanging="240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、根据投标人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2018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月至递交投标文件截止日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  <w:lang w:eastAsia="zh-Hans"/>
              </w:rPr>
              <w:t>DR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的维保业绩情况进行评审，投标人提供一个类似业绩得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分，最多得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3.6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分。</w:t>
            </w:r>
          </w:p>
          <w:p w:rsidR="007D09E0" w:rsidRPr="00EE7DB1" w:rsidRDefault="007D09E0" w:rsidP="008372D2">
            <w:pPr>
              <w:ind w:left="240" w:hangingChars="100" w:hanging="240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、根据投标人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2018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月至递交投标文件截止日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  <w:lang w:eastAsia="zh-Hans"/>
              </w:rPr>
              <w:t>超声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的维保业绩情况进行评审，投标人提供一个类似业绩得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分，最多得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3.6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分。</w:t>
            </w:r>
          </w:p>
          <w:p w:rsidR="007D09E0" w:rsidRPr="00EE7DB1" w:rsidRDefault="007D09E0" w:rsidP="008372D2">
            <w:pPr>
              <w:ind w:left="240" w:hangingChars="100" w:hanging="240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、根据投标人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2018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月至递交投标文件截止日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  <w:lang w:eastAsia="zh-Hans"/>
              </w:rPr>
              <w:t>麻醉机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的维保业绩情况进行评审，投标人提供一个类似业绩得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分，最多得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3.6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分。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注：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、同一用户不同年份的同类设备的维保合同，</w:t>
            </w:r>
            <w:proofErr w:type="gramStart"/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不</w:t>
            </w:r>
            <w:proofErr w:type="gramEnd"/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累计计分。</w:t>
            </w:r>
          </w:p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、投标人同一维保合同中含有内窥镜、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CT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、核磁、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DR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、超声、麻醉机六类设备中任意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个或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EE7DB1">
              <w:rPr>
                <w:rFonts w:ascii="Times New Roman" w:hAnsi="Times New Roman"/>
                <w:b/>
                <w:color w:val="000000"/>
                <w:sz w:val="24"/>
              </w:rPr>
              <w:t>个以上维保内容的可分别计分。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ind w:leftChars="-51" w:left="-107" w:rightChars="-35" w:right="-73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提供合同复印件加盖投标人公章。</w:t>
            </w:r>
          </w:p>
        </w:tc>
      </w:tr>
      <w:tr w:rsidR="007D09E0" w:rsidRPr="00EE7DB1" w:rsidTr="00EE7DB1">
        <w:trPr>
          <w:trHeight w:val="13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EE7DB1" w:rsidP="008372D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EE7DB1">
            <w:pPr>
              <w:ind w:leftChars="-25" w:left="-53" w:rightChars="-25" w:right="-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扶持少数民族或不发达地区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0.</w:t>
            </w:r>
            <w:r w:rsidR="00EE7DB1" w:rsidRPr="00EE7DB1">
              <w:rPr>
                <w:rFonts w:ascii="Times New Roman" w:hAnsi="Times New Roman"/>
                <w:color w:val="000000"/>
                <w:sz w:val="24"/>
              </w:rPr>
              <w:t>8</w:t>
            </w:r>
            <w:r w:rsidR="00EE7DB1">
              <w:rPr>
                <w:rFonts w:ascii="Times New Roman" w:hAnsi="Times New Roman"/>
                <w:color w:val="000000"/>
                <w:sz w:val="24"/>
              </w:rPr>
              <w:t>%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（共同评分因素）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EE7DB1">
            <w:pPr>
              <w:ind w:leftChars="-25" w:left="-53" w:rightChars="-25" w:right="-5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0.</w:t>
            </w:r>
            <w:r w:rsidR="00EE7DB1" w:rsidRPr="00EE7DB1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EE7DB1">
            <w:pPr>
              <w:ind w:leftChars="-25" w:left="-53" w:rightChars="-25" w:right="-53"/>
              <w:rPr>
                <w:rFonts w:ascii="Times New Roman" w:hAnsi="Times New Roman"/>
                <w:color w:val="000000"/>
                <w:sz w:val="24"/>
              </w:rPr>
            </w:pPr>
            <w:r w:rsidRPr="00EE7DB1">
              <w:rPr>
                <w:rFonts w:ascii="Times New Roman" w:hAnsi="Times New Roman"/>
                <w:color w:val="000000"/>
                <w:sz w:val="24"/>
              </w:rPr>
              <w:t>供应</w:t>
            </w:r>
            <w:proofErr w:type="gramStart"/>
            <w:r w:rsidRPr="00EE7DB1">
              <w:rPr>
                <w:rFonts w:ascii="Times New Roman" w:hAnsi="Times New Roman"/>
                <w:color w:val="000000"/>
                <w:sz w:val="24"/>
              </w:rPr>
              <w:t>商注册</w:t>
            </w:r>
            <w:proofErr w:type="gramEnd"/>
            <w:r w:rsidRPr="00EE7DB1">
              <w:rPr>
                <w:rFonts w:ascii="Times New Roman" w:hAnsi="Times New Roman"/>
                <w:color w:val="000000"/>
                <w:sz w:val="24"/>
              </w:rPr>
              <w:t>地为少数民族或不发达地区的得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0.</w:t>
            </w:r>
            <w:r w:rsidR="00EE7DB1" w:rsidRPr="00EE7DB1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EE7DB1">
              <w:rPr>
                <w:rFonts w:ascii="Times New Roman" w:hAnsi="Times New Roman"/>
                <w:color w:val="000000"/>
                <w:sz w:val="24"/>
              </w:rPr>
              <w:t>分，不是不得分。（提供声明书，未提供不得分）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E0" w:rsidRPr="00EE7DB1" w:rsidRDefault="007D09E0" w:rsidP="008372D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D09E0" w:rsidRPr="00EE7DB1" w:rsidRDefault="007D09E0" w:rsidP="007D09E0">
      <w:pPr>
        <w:ind w:firstLineChars="50" w:firstLine="140"/>
        <w:rPr>
          <w:rFonts w:ascii="Times New Roman" w:hAnsi="Times New Roman"/>
          <w:sz w:val="28"/>
          <w:szCs w:val="28"/>
        </w:rPr>
      </w:pPr>
    </w:p>
    <w:p w:rsidR="007D09E0" w:rsidRPr="00EE7DB1" w:rsidRDefault="007D09E0" w:rsidP="001317BE">
      <w:pPr>
        <w:ind w:left="360" w:hangingChars="100" w:hanging="360"/>
        <w:jc w:val="center"/>
        <w:rPr>
          <w:rFonts w:ascii="Times New Roman" w:hAnsi="Times New Roman"/>
          <w:sz w:val="36"/>
          <w:szCs w:val="36"/>
        </w:rPr>
      </w:pPr>
    </w:p>
    <w:sectPr w:rsidR="007D09E0" w:rsidRPr="00EE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1ECB"/>
    <w:multiLevelType w:val="multilevel"/>
    <w:tmpl w:val="2E191EC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95E57AF"/>
    <w:multiLevelType w:val="hybridMultilevel"/>
    <w:tmpl w:val="C1FEC972"/>
    <w:lvl w:ilvl="0" w:tplc="7D72F11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63"/>
    <w:rsid w:val="001317BE"/>
    <w:rsid w:val="0058020C"/>
    <w:rsid w:val="006F3563"/>
    <w:rsid w:val="006F705C"/>
    <w:rsid w:val="007D09E0"/>
    <w:rsid w:val="0080374E"/>
    <w:rsid w:val="00B76DBC"/>
    <w:rsid w:val="00E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6F3563"/>
    <w:pPr>
      <w:ind w:firstLineChars="200" w:firstLine="420"/>
    </w:pPr>
  </w:style>
  <w:style w:type="character" w:customStyle="1" w:styleId="Char">
    <w:name w:val="列出段落 Char"/>
    <w:link w:val="a3"/>
    <w:uiPriority w:val="34"/>
    <w:qFormat/>
    <w:rsid w:val="006F3563"/>
    <w:rPr>
      <w:rFonts w:ascii="Calibri" w:eastAsia="宋体" w:hAnsi="Calibri" w:cs="Times New Roman"/>
      <w:szCs w:val="24"/>
    </w:rPr>
  </w:style>
  <w:style w:type="character" w:customStyle="1" w:styleId="Char0">
    <w:name w:val="正文文本 Char"/>
    <w:link w:val="a4"/>
    <w:uiPriority w:val="99"/>
    <w:rsid w:val="007D09E0"/>
  </w:style>
  <w:style w:type="paragraph" w:styleId="a4">
    <w:name w:val="Body Text"/>
    <w:basedOn w:val="a"/>
    <w:link w:val="Char0"/>
    <w:uiPriority w:val="99"/>
    <w:unhideWhenUsed/>
    <w:rsid w:val="007D09E0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1"/>
    <w:basedOn w:val="a0"/>
    <w:uiPriority w:val="99"/>
    <w:semiHidden/>
    <w:rsid w:val="007D09E0"/>
    <w:rPr>
      <w:rFonts w:ascii="Calibri" w:eastAsia="宋体" w:hAnsi="Calibri" w:cs="Times New Roman"/>
      <w:szCs w:val="24"/>
    </w:rPr>
  </w:style>
  <w:style w:type="character" w:customStyle="1" w:styleId="CharChar">
    <w:name w:val="正文首行缩进两字符 Char Char"/>
    <w:link w:val="a5"/>
    <w:uiPriority w:val="99"/>
    <w:qFormat/>
    <w:locked/>
    <w:rsid w:val="001317BE"/>
    <w:rPr>
      <w:szCs w:val="24"/>
    </w:rPr>
  </w:style>
  <w:style w:type="paragraph" w:customStyle="1" w:styleId="a5">
    <w:name w:val="正文首行缩进两字符"/>
    <w:basedOn w:val="a"/>
    <w:link w:val="CharChar"/>
    <w:uiPriority w:val="99"/>
    <w:qFormat/>
    <w:rsid w:val="001317BE"/>
    <w:pPr>
      <w:spacing w:line="360" w:lineRule="auto"/>
      <w:ind w:firstLineChars="200" w:firstLine="20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6F3563"/>
    <w:pPr>
      <w:ind w:firstLineChars="200" w:firstLine="420"/>
    </w:pPr>
  </w:style>
  <w:style w:type="character" w:customStyle="1" w:styleId="Char">
    <w:name w:val="列出段落 Char"/>
    <w:link w:val="a3"/>
    <w:uiPriority w:val="34"/>
    <w:qFormat/>
    <w:rsid w:val="006F3563"/>
    <w:rPr>
      <w:rFonts w:ascii="Calibri" w:eastAsia="宋体" w:hAnsi="Calibri" w:cs="Times New Roman"/>
      <w:szCs w:val="24"/>
    </w:rPr>
  </w:style>
  <w:style w:type="character" w:customStyle="1" w:styleId="Char0">
    <w:name w:val="正文文本 Char"/>
    <w:link w:val="a4"/>
    <w:uiPriority w:val="99"/>
    <w:rsid w:val="007D09E0"/>
  </w:style>
  <w:style w:type="paragraph" w:styleId="a4">
    <w:name w:val="Body Text"/>
    <w:basedOn w:val="a"/>
    <w:link w:val="Char0"/>
    <w:uiPriority w:val="99"/>
    <w:unhideWhenUsed/>
    <w:rsid w:val="007D09E0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 Char1"/>
    <w:basedOn w:val="a0"/>
    <w:uiPriority w:val="99"/>
    <w:semiHidden/>
    <w:rsid w:val="007D09E0"/>
    <w:rPr>
      <w:rFonts w:ascii="Calibri" w:eastAsia="宋体" w:hAnsi="Calibri" w:cs="Times New Roman"/>
      <w:szCs w:val="24"/>
    </w:rPr>
  </w:style>
  <w:style w:type="character" w:customStyle="1" w:styleId="CharChar">
    <w:name w:val="正文首行缩进两字符 Char Char"/>
    <w:link w:val="a5"/>
    <w:uiPriority w:val="99"/>
    <w:qFormat/>
    <w:locked/>
    <w:rsid w:val="001317BE"/>
    <w:rPr>
      <w:szCs w:val="24"/>
    </w:rPr>
  </w:style>
  <w:style w:type="paragraph" w:customStyle="1" w:styleId="a5">
    <w:name w:val="正文首行缩进两字符"/>
    <w:basedOn w:val="a"/>
    <w:link w:val="CharChar"/>
    <w:uiPriority w:val="99"/>
    <w:qFormat/>
    <w:rsid w:val="001317BE"/>
    <w:pPr>
      <w:spacing w:line="360" w:lineRule="auto"/>
      <w:ind w:firstLineChars="200" w:firstLine="2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2021-09-16T07:29:00Z</cp:lastPrinted>
  <dcterms:created xsi:type="dcterms:W3CDTF">2021-09-16T07:02:00Z</dcterms:created>
  <dcterms:modified xsi:type="dcterms:W3CDTF">2021-09-16T07:34:00Z</dcterms:modified>
</cp:coreProperties>
</file>