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40"/>
        </w:tabs>
        <w:jc w:val="right"/>
        <w:rPr>
          <w:color w:val="000000" w:themeColor="text1"/>
          <w:highlight w:val="none"/>
          <w14:textFill>
            <w14:solidFill>
              <w14:schemeClr w14:val="tx1"/>
            </w14:solidFill>
          </w14:textFill>
        </w:rPr>
      </w:pPr>
      <w:bookmarkStart w:id="674" w:name="_GoBack"/>
      <w:bookmarkEnd w:id="674"/>
      <w:r>
        <w:rPr>
          <w:color w:val="000000" w:themeColor="text1"/>
          <w:highlight w:val="none"/>
          <w14:textFill>
            <w14:solidFill>
              <w14:schemeClr w14:val="tx1"/>
            </w14:solidFill>
          </w14:textFill>
        </w:rPr>
        <w:drawing>
          <wp:inline distT="0" distB="0" distL="114300" distR="114300">
            <wp:extent cx="694690" cy="419100"/>
            <wp:effectExtent l="0" t="0" r="1016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94690" cy="419100"/>
                    </a:xfrm>
                    <a:prstGeom prst="rect">
                      <a:avLst/>
                    </a:prstGeom>
                    <a:noFill/>
                    <a:ln>
                      <a:noFill/>
                    </a:ln>
                  </pic:spPr>
                </pic:pic>
              </a:graphicData>
            </a:graphic>
          </wp:inline>
        </w:drawing>
      </w:r>
    </w:p>
    <w:p>
      <w:pPr>
        <w:ind w:right="105"/>
        <w:jc w:val="right"/>
        <w:rPr>
          <w:rFonts w:ascii="楷体_GB2312" w:eastAsia="楷体_GB2312"/>
          <w:b/>
          <w:color w:val="000000" w:themeColor="text1"/>
          <w:highlight w:val="none"/>
          <w14:textFill>
            <w14:solidFill>
              <w14:schemeClr w14:val="tx1"/>
            </w14:solidFill>
          </w14:textFill>
        </w:rPr>
      </w:pPr>
      <w:r>
        <w:rPr>
          <w:rFonts w:hint="eastAsia" w:ascii="楷体_GB2312" w:eastAsia="楷体_GB2312"/>
          <w:b/>
          <w:color w:val="000000" w:themeColor="text1"/>
          <w:highlight w:val="none"/>
          <w14:textFill>
            <w14:solidFill>
              <w14:schemeClr w14:val="tx1"/>
            </w14:solidFill>
          </w14:textFill>
        </w:rPr>
        <w:t>新疆天麒</w:t>
      </w:r>
    </w:p>
    <w:p>
      <w:pPr>
        <w:spacing w:line="360" w:lineRule="auto"/>
        <w:ind w:left="420" w:leftChars="200"/>
        <w:jc w:val="center"/>
        <w:rPr>
          <w:rFonts w:ascii="仿宋_GB2312" w:eastAsia="仿宋_GB2312"/>
          <w:b/>
          <w:color w:val="000000" w:themeColor="text1"/>
          <w:sz w:val="36"/>
          <w:szCs w:val="36"/>
          <w:highlight w:val="none"/>
          <w14:textFill>
            <w14:solidFill>
              <w14:schemeClr w14:val="tx1"/>
            </w14:solidFill>
          </w14:textFill>
        </w:rPr>
      </w:pPr>
    </w:p>
    <w:p>
      <w:pPr>
        <w:spacing w:line="360" w:lineRule="auto"/>
        <w:jc w:val="center"/>
        <w:rPr>
          <w:rFonts w:ascii="仿宋_GB2312" w:eastAsia="仿宋_GB2312"/>
          <w:b/>
          <w:color w:val="000000" w:themeColor="text1"/>
          <w:sz w:val="44"/>
          <w:szCs w:val="44"/>
          <w:highlight w:val="none"/>
          <w14:textFill>
            <w14:solidFill>
              <w14:schemeClr w14:val="tx1"/>
            </w14:solidFill>
          </w14:textFill>
        </w:rPr>
      </w:pPr>
      <w:bookmarkStart w:id="0" w:name="_Toc225166185"/>
      <w:r>
        <w:rPr>
          <w:rFonts w:hint="eastAsia" w:ascii="宋体" w:hAnsi="宋体" w:cs="宋体"/>
          <w:b/>
          <w:color w:val="000000" w:themeColor="text1"/>
          <w:sz w:val="48"/>
          <w:szCs w:val="48"/>
          <w:highlight w:val="none"/>
          <w:lang w:eastAsia="zh-CN"/>
          <w14:textFill>
            <w14:solidFill>
              <w14:schemeClr w14:val="tx1"/>
            </w14:solidFill>
          </w14:textFill>
        </w:rPr>
        <w:t>某支队2021年度秋季绿化项目</w:t>
      </w:r>
    </w:p>
    <w:p>
      <w:pPr>
        <w:spacing w:line="360" w:lineRule="auto"/>
        <w:jc w:val="center"/>
        <w:rPr>
          <w:rFonts w:ascii="仿宋_GB2312" w:eastAsia="仿宋_GB2312"/>
          <w:b/>
          <w:color w:val="000000" w:themeColor="text1"/>
          <w:sz w:val="72"/>
          <w:szCs w:val="72"/>
          <w:highlight w:val="none"/>
          <w14:textFill>
            <w14:solidFill>
              <w14:schemeClr w14:val="tx1"/>
            </w14:solidFill>
          </w14:textFill>
        </w:rPr>
      </w:pPr>
    </w:p>
    <w:p>
      <w:pPr>
        <w:spacing w:line="360" w:lineRule="auto"/>
        <w:jc w:val="center"/>
        <w:rPr>
          <w:rFonts w:ascii="仿宋_GB2312" w:eastAsia="仿宋_GB2312"/>
          <w:b/>
          <w:color w:val="000000" w:themeColor="text1"/>
          <w:sz w:val="72"/>
          <w:szCs w:val="7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招</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标</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文</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件</w:t>
      </w:r>
      <w:bookmarkEnd w:id="0"/>
    </w:p>
    <w:p>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招标文件编号：</w:t>
      </w:r>
      <w:r>
        <w:rPr>
          <w:rFonts w:hint="eastAsia" w:ascii="宋体" w:hAnsi="宋体" w:cs="宋体"/>
          <w:b/>
          <w:color w:val="000000" w:themeColor="text1"/>
          <w:sz w:val="28"/>
          <w:szCs w:val="28"/>
          <w:highlight w:val="none"/>
          <w:lang w:val="en-US" w:eastAsia="zh-CN"/>
          <w14:textFill>
            <w14:solidFill>
              <w14:schemeClr w14:val="tx1"/>
            </w14:solidFill>
          </w14:textFill>
        </w:rPr>
        <w:t>MZDQJLV2021-01</w:t>
      </w: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pStyle w:val="3"/>
        <w:keepNext w:val="0"/>
        <w:keepLines w:val="0"/>
        <w:widowControl/>
        <w:suppressLineNumbers w:val="0"/>
        <w:spacing w:line="450" w:lineRule="atLeast"/>
        <w:ind w:left="0" w:firstLine="602" w:firstLineChars="200"/>
        <w:jc w:val="both"/>
        <w:rPr>
          <w:rFonts w:hint="eastAsia" w:ascii="宋体" w:hAnsi="宋体" w:eastAsia="宋体" w:cs="宋体"/>
          <w:b/>
          <w:bCs w:val="0"/>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30"/>
          <w:szCs w:val="30"/>
          <w:highlight w:val="none"/>
          <w:lang w:val="en-US" w:eastAsia="zh-CN" w:bidi="ar-SA"/>
          <w14:textFill>
            <w14:solidFill>
              <w14:schemeClr w14:val="tx1"/>
            </w14:solidFill>
          </w14:textFill>
        </w:rPr>
        <w:t>采购人：</w:t>
      </w:r>
      <w:r>
        <w:rPr>
          <w:rFonts w:hint="eastAsia" w:ascii="宋体" w:hAnsi="宋体" w:cs="宋体"/>
          <w:b/>
          <w:bCs w:val="0"/>
          <w:color w:val="000000" w:themeColor="text1"/>
          <w:kern w:val="2"/>
          <w:sz w:val="30"/>
          <w:szCs w:val="30"/>
          <w:highlight w:val="none"/>
          <w:lang w:val="en-US" w:eastAsia="zh-CN" w:bidi="ar-SA"/>
          <w14:textFill>
            <w14:solidFill>
              <w14:schemeClr w14:val="tx1"/>
            </w14:solidFill>
          </w14:textFill>
        </w:rPr>
        <w:t>某支队</w:t>
      </w:r>
    </w:p>
    <w:p>
      <w:pPr>
        <w:spacing w:line="360" w:lineRule="auto"/>
        <w:ind w:firstLine="602" w:firstLineChars="20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p>
    <w:p>
      <w:pPr>
        <w:spacing w:line="360" w:lineRule="auto"/>
        <w:ind w:firstLine="602" w:firstLineChars="20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招标代理：新疆天麒工程项目管理咨询有限责任公司</w:t>
      </w:r>
    </w:p>
    <w:p>
      <w:pPr>
        <w:spacing w:line="360" w:lineRule="auto"/>
        <w:ind w:firstLine="602" w:firstLineChars="200"/>
        <w:jc w:val="center"/>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jc w:val="center"/>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二零二</w:t>
      </w:r>
      <w:r>
        <w:rPr>
          <w:rFonts w:hint="eastAsia" w:ascii="宋体" w:hAnsi="宋体" w:eastAsia="宋体" w:cs="宋体"/>
          <w:b/>
          <w:color w:val="000000" w:themeColor="text1"/>
          <w:sz w:val="30"/>
          <w:szCs w:val="30"/>
          <w:highlight w:val="none"/>
          <w:lang w:eastAsia="zh-CN"/>
          <w14:textFill>
            <w14:solidFill>
              <w14:schemeClr w14:val="tx1"/>
            </w14:solidFill>
          </w14:textFill>
        </w:rPr>
        <w:t>一</w:t>
      </w:r>
      <w:r>
        <w:rPr>
          <w:rFonts w:hint="eastAsia" w:ascii="宋体" w:hAnsi="宋体" w:eastAsia="宋体" w:cs="宋体"/>
          <w:b/>
          <w:color w:val="000000" w:themeColor="text1"/>
          <w:sz w:val="30"/>
          <w:szCs w:val="30"/>
          <w:highlight w:val="none"/>
          <w14:textFill>
            <w14:solidFill>
              <w14:schemeClr w14:val="tx1"/>
            </w14:solidFill>
          </w14:textFill>
        </w:rPr>
        <w:t>年</w:t>
      </w:r>
      <w:r>
        <w:rPr>
          <w:rFonts w:hint="eastAsia" w:ascii="宋体" w:hAnsi="宋体" w:cs="宋体"/>
          <w:b/>
          <w:color w:val="000000" w:themeColor="text1"/>
          <w:sz w:val="30"/>
          <w:szCs w:val="30"/>
          <w:highlight w:val="none"/>
          <w:lang w:eastAsia="zh-CN"/>
          <w14:textFill>
            <w14:solidFill>
              <w14:schemeClr w14:val="tx1"/>
            </w14:solidFill>
          </w14:textFill>
        </w:rPr>
        <w:t>九</w:t>
      </w:r>
      <w:r>
        <w:rPr>
          <w:rFonts w:hint="eastAsia" w:ascii="宋体" w:hAnsi="宋体" w:eastAsia="宋体" w:cs="宋体"/>
          <w:b/>
          <w:color w:val="000000" w:themeColor="text1"/>
          <w:sz w:val="30"/>
          <w:szCs w:val="30"/>
          <w:highlight w:val="none"/>
          <w14:textFill>
            <w14:solidFill>
              <w14:schemeClr w14:val="tx1"/>
            </w14:solidFill>
          </w14:textFill>
        </w:rPr>
        <w:t>月</w:t>
      </w: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sectPr>
          <w:headerReference r:id="rId3" w:type="default"/>
          <w:footerReference r:id="rId4" w:type="default"/>
          <w:pgSz w:w="11906" w:h="16838"/>
          <w:pgMar w:top="1134" w:right="1134" w:bottom="1134" w:left="1134" w:header="851" w:footer="992" w:gutter="0"/>
          <w:pgNumType w:start="1"/>
          <w:cols w:space="425" w:num="1"/>
          <w:docGrid w:type="lines" w:linePitch="312" w:charSpace="0"/>
        </w:sectPr>
      </w:pP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总目录</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第一章</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招标公告--------------------------------------第2页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第二章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投标人须知------------------------------------第4页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第三章项目采购需求----------------------------------第</w:t>
      </w:r>
      <w:r>
        <w:rPr>
          <w:rFonts w:hint="eastAsia" w:ascii="宋体" w:hAnsi="宋体" w:cs="宋体"/>
          <w:color w:val="000000" w:themeColor="text1"/>
          <w:sz w:val="28"/>
          <w:szCs w:val="28"/>
          <w:highlight w:val="none"/>
          <w:lang w:val="en-US" w:eastAsia="zh-CN"/>
          <w14:textFill>
            <w14:solidFill>
              <w14:schemeClr w14:val="tx1"/>
            </w14:solidFill>
          </w14:textFill>
        </w:rPr>
        <w:t>30</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第四章</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eastAsia="zh-CN"/>
          <w14:textFill>
            <w14:solidFill>
              <w14:schemeClr w14:val="tx1"/>
            </w14:solidFill>
          </w14:textFill>
        </w:rPr>
        <w:t>通用</w:t>
      </w:r>
      <w:r>
        <w:rPr>
          <w:rFonts w:hint="eastAsia" w:ascii="宋体" w:hAnsi="宋体" w:eastAsia="宋体" w:cs="宋体"/>
          <w:color w:val="000000" w:themeColor="text1"/>
          <w:sz w:val="28"/>
          <w:szCs w:val="28"/>
          <w:highlight w:val="none"/>
          <w14:textFill>
            <w14:solidFill>
              <w14:schemeClr w14:val="tx1"/>
            </w14:solidFill>
          </w14:textFill>
        </w:rPr>
        <w:t>合同条款---------------------------------第</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numPr>
          <w:ilvl w:val="0"/>
          <w:numId w:val="0"/>
        </w:num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第五章</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lang w:eastAsia="zh-CN"/>
          <w14:textFill>
            <w14:solidFill>
              <w14:schemeClr w14:val="tx1"/>
            </w14:solidFill>
          </w14:textFill>
        </w:rPr>
        <w:t>专用</w:t>
      </w:r>
      <w:r>
        <w:rPr>
          <w:rFonts w:hint="eastAsia" w:ascii="宋体" w:hAnsi="宋体" w:eastAsia="宋体" w:cs="宋体"/>
          <w:color w:val="000000" w:themeColor="text1"/>
          <w:sz w:val="28"/>
          <w:szCs w:val="28"/>
          <w:highlight w:val="none"/>
          <w14:textFill>
            <w14:solidFill>
              <w14:schemeClr w14:val="tx1"/>
            </w14:solidFill>
          </w14:textFill>
        </w:rPr>
        <w:t>合同条款---------------------------------第</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页</w:t>
      </w:r>
    </w:p>
    <w:p>
      <w:pPr>
        <w:numPr>
          <w:ilvl w:val="0"/>
          <w:numId w:val="0"/>
        </w:num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pPr>
        <w:numPr>
          <w:ilvl w:val="0"/>
          <w:numId w:val="0"/>
        </w:num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cs="宋体"/>
          <w:color w:val="000000" w:themeColor="text1"/>
          <w:sz w:val="28"/>
          <w:szCs w:val="28"/>
          <w:highlight w:val="none"/>
          <w:lang w:eastAsia="zh-CN"/>
          <w14:textFill>
            <w14:solidFill>
              <w14:schemeClr w14:val="tx1"/>
            </w14:solidFill>
          </w14:textFill>
        </w:rPr>
        <w:t>六</w:t>
      </w:r>
      <w:r>
        <w:rPr>
          <w:rFonts w:hint="eastAsia" w:ascii="宋体" w:hAnsi="宋体" w:eastAsia="宋体" w:cs="宋体"/>
          <w:color w:val="000000" w:themeColor="text1"/>
          <w:sz w:val="28"/>
          <w:szCs w:val="28"/>
          <w:highlight w:val="none"/>
          <w14:textFill>
            <w14:solidFill>
              <w14:schemeClr w14:val="tx1"/>
            </w14:solidFill>
          </w14:textFill>
        </w:rPr>
        <w:t>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投标文件格式---------------------------------第</w:t>
      </w:r>
      <w:r>
        <w:rPr>
          <w:rFonts w:hint="eastAsia" w:ascii="宋体" w:hAnsi="宋体" w:cs="宋体"/>
          <w:color w:val="000000" w:themeColor="text1"/>
          <w:sz w:val="28"/>
          <w:szCs w:val="28"/>
          <w:highlight w:val="none"/>
          <w:lang w:val="en-US" w:eastAsia="zh-CN"/>
          <w14:textFill>
            <w14:solidFill>
              <w14:schemeClr w14:val="tx1"/>
            </w14:solidFill>
          </w14:textFill>
        </w:rPr>
        <w:t>67</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cs="宋体"/>
          <w:color w:val="000000" w:themeColor="text1"/>
          <w:sz w:val="28"/>
          <w:szCs w:val="28"/>
          <w:highlight w:val="none"/>
          <w:lang w:eastAsia="zh-CN"/>
          <w14:textFill>
            <w14:solidFill>
              <w14:schemeClr w14:val="tx1"/>
            </w14:solidFill>
          </w14:textFill>
        </w:rPr>
        <w:t>七</w:t>
      </w:r>
      <w:r>
        <w:rPr>
          <w:rFonts w:hint="eastAsia" w:ascii="宋体" w:hAnsi="宋体" w:eastAsia="宋体" w:cs="宋体"/>
          <w:color w:val="000000" w:themeColor="text1"/>
          <w:sz w:val="28"/>
          <w:szCs w:val="28"/>
          <w:highlight w:val="none"/>
          <w14:textFill>
            <w14:solidFill>
              <w14:schemeClr w14:val="tx1"/>
            </w14:solidFill>
          </w14:textFill>
        </w:rPr>
        <w:t>章评标办法（综合评分法）------------------------第</w:t>
      </w:r>
      <w:r>
        <w:rPr>
          <w:rFonts w:hint="eastAsia" w:ascii="宋体" w:hAnsi="宋体" w:cs="宋体"/>
          <w:color w:val="000000" w:themeColor="text1"/>
          <w:sz w:val="28"/>
          <w:szCs w:val="28"/>
          <w:highlight w:val="none"/>
          <w:lang w:val="en-US" w:eastAsia="zh-CN"/>
          <w14:textFill>
            <w14:solidFill>
              <w14:schemeClr w14:val="tx1"/>
            </w14:solidFill>
          </w14:textFill>
        </w:rPr>
        <w:t>99</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p>
    <w:p>
      <w:pPr>
        <w:widowControl/>
        <w:spacing w:after="121"/>
        <w:jc w:val="center"/>
        <w:rPr>
          <w:rFonts w:hint="eastAsia" w:ascii="Arial" w:hAnsi="Arial" w:cs="Arial"/>
          <w:color w:val="000000" w:themeColor="text1"/>
          <w:kern w:val="0"/>
          <w:sz w:val="19"/>
          <w:szCs w:val="19"/>
          <w:highlight w:val="none"/>
          <w:lang w:eastAsia="zh-CN"/>
          <w14:textFill>
            <w14:solidFill>
              <w14:schemeClr w14:val="tx1"/>
            </w14:solidFill>
          </w14:textFill>
        </w:rPr>
      </w:pPr>
    </w:p>
    <w:p>
      <w:pPr>
        <w:widowControl/>
        <w:spacing w:after="121"/>
        <w:jc w:val="center"/>
        <w:rPr>
          <w:rFonts w:hint="eastAsia" w:ascii="Arial" w:hAnsi="Arial" w:cs="Arial"/>
          <w:color w:val="000000" w:themeColor="text1"/>
          <w:kern w:val="0"/>
          <w:sz w:val="19"/>
          <w:szCs w:val="19"/>
          <w:highlight w:val="none"/>
          <w:lang w:eastAsia="zh-CN"/>
          <w14:textFill>
            <w14:solidFill>
              <w14:schemeClr w14:val="tx1"/>
            </w14:solidFill>
          </w14:textFill>
        </w:rPr>
      </w:pPr>
    </w:p>
    <w:p>
      <w:pPr>
        <w:widowControl/>
        <w:spacing w:before="61" w:after="61"/>
        <w:jc w:val="left"/>
        <w:rPr>
          <w:rFonts w:hint="eastAsia" w:ascii="Arial" w:hAnsi="Arial" w:cs="Arial"/>
          <w:color w:val="000000" w:themeColor="text1"/>
          <w:kern w:val="0"/>
          <w:sz w:val="19"/>
          <w:highlight w:val="none"/>
          <w:lang w:eastAsia="zh-CN"/>
          <w14:textFill>
            <w14:solidFill>
              <w14:schemeClr w14:val="tx1"/>
            </w14:solidFill>
          </w14:textFill>
        </w:rPr>
      </w:pPr>
    </w:p>
    <w:p>
      <w:pPr>
        <w:pStyle w:val="3"/>
        <w:numPr>
          <w:ilvl w:val="0"/>
          <w:numId w:val="0"/>
        </w:numPr>
        <w:spacing w:line="360" w:lineRule="auto"/>
        <w:jc w:val="center"/>
        <w:rPr>
          <w:rFonts w:hint="eastAsia" w:ascii="宋体" w:hAnsi="宋体" w:eastAsia="宋体" w:cs="宋体"/>
          <w:b/>
          <w:bCs w:val="0"/>
          <w:color w:val="000000" w:themeColor="text1"/>
          <w:kern w:val="2"/>
          <w:sz w:val="28"/>
          <w:szCs w:val="28"/>
          <w:highlight w:val="none"/>
          <w:lang w:val="en-US" w:eastAsia="zh-CN" w:bidi="ar-SA"/>
          <w14:textFill>
            <w14:solidFill>
              <w14:schemeClr w14:val="tx1"/>
            </w14:solidFill>
          </w14:textFill>
        </w:rPr>
      </w:pPr>
      <w:bookmarkStart w:id="1" w:name="_Toc154996575"/>
      <w:r>
        <w:rPr>
          <w:rFonts w:hint="eastAsia" w:ascii="宋体" w:hAnsi="宋体" w:eastAsia="宋体" w:cs="宋体"/>
          <w:b/>
          <w:bCs w:val="0"/>
          <w:color w:val="000000" w:themeColor="text1"/>
          <w:kern w:val="2"/>
          <w:sz w:val="28"/>
          <w:szCs w:val="28"/>
          <w:highlight w:val="none"/>
          <w:lang w:val="en-US" w:eastAsia="zh-CN" w:bidi="ar-SA"/>
          <w14:textFill>
            <w14:solidFill>
              <w14:schemeClr w14:val="tx1"/>
            </w14:solidFill>
          </w14:textFill>
        </w:rPr>
        <w:t>第一章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bCs/>
          <w:color w:val="000000" w:themeColor="text1"/>
          <w:sz w:val="24"/>
          <w:szCs w:val="24"/>
          <w:highlight w:val="none"/>
          <w:u w:val="single"/>
          <w:lang w:val="en-US" w:eastAsia="zh-CN"/>
          <w14:textFill>
            <w14:solidFill>
              <w14:schemeClr w14:val="tx1"/>
            </w14:solidFill>
          </w14:textFill>
        </w:rPr>
        <w:t>某支队2021年度秋季绿化项目</w:t>
      </w:r>
      <w:r>
        <w:rPr>
          <w:rFonts w:hint="eastAsia" w:ascii="宋体" w:hAnsi="宋体" w:eastAsia="宋体" w:cs="宋体"/>
          <w:color w:val="000000" w:themeColor="text1"/>
          <w:sz w:val="24"/>
          <w:szCs w:val="24"/>
          <w:highlight w:val="none"/>
          <w14:textFill>
            <w14:solidFill>
              <w14:schemeClr w14:val="tx1"/>
            </w14:solidFill>
          </w14:textFill>
        </w:rPr>
        <w:t>招标项目的潜在投标人应在</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线下</w:t>
      </w:r>
      <w:r>
        <w:rPr>
          <w:rFonts w:hint="eastAsia" w:ascii="宋体" w:hAnsi="宋体" w:eastAsia="宋体" w:cs="宋体"/>
          <w:color w:val="000000" w:themeColor="text1"/>
          <w:sz w:val="24"/>
          <w:szCs w:val="24"/>
          <w:highlight w:val="none"/>
          <w14:textFill>
            <w14:solidFill>
              <w14:schemeClr w14:val="tx1"/>
            </w14:solidFill>
          </w14:textFill>
        </w:rPr>
        <w:t>获取招标文件，并于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u w:val="single"/>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u w:val="single"/>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bCs/>
          <w:color w:val="000000" w:themeColor="text1"/>
          <w:sz w:val="24"/>
          <w:szCs w:val="24"/>
          <w:highlight w:val="none"/>
          <w:u w:val="single"/>
          <w14:textFill>
            <w14:solidFill>
              <w14:schemeClr w14:val="tx1"/>
            </w14:solidFill>
          </w14:textFill>
        </w:rPr>
        <w:t>日</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u w:val="single"/>
          <w14:textFill>
            <w14:solidFill>
              <w14:schemeClr w14:val="tx1"/>
            </w14:solidFill>
          </w14:textFill>
        </w:rPr>
        <w:t>点</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3</w:t>
      </w:r>
      <w:r>
        <w:rPr>
          <w:rFonts w:hint="eastAsia" w:ascii="宋体" w:hAnsi="宋体" w:cs="宋体"/>
          <w:bCs/>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u w:val="single"/>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北京时间）前递交投标文件</w:t>
      </w:r>
      <w:r>
        <w:rPr>
          <w:rFonts w:hint="eastAsia" w:ascii="宋体" w:hAnsi="宋体" w:eastAsia="宋体" w:cs="宋体"/>
          <w:color w:val="000000" w:themeColor="text1"/>
          <w:sz w:val="24"/>
          <w:szCs w:val="24"/>
          <w:highlight w:val="none"/>
          <w14:textFill>
            <w14:solidFill>
              <w14:schemeClr w14:val="tx1"/>
            </w14:solidFill>
          </w14:textFill>
        </w:rPr>
        <w:t>。</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bookmarkStart w:id="2" w:name="_Toc35393790"/>
      <w:bookmarkStart w:id="3" w:name="_Toc28359002"/>
      <w:bookmarkStart w:id="4" w:name="_Toc35393621"/>
      <w:bookmarkStart w:id="5" w:name="_Toc28359079"/>
      <w:bookmarkStart w:id="6" w:name="_Hlk24379207"/>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一、项目基本情况</w:t>
      </w:r>
      <w:bookmarkEnd w:id="2"/>
      <w:bookmarkEnd w:id="3"/>
      <w:bookmarkEnd w:id="4"/>
      <w:bookmarkEnd w:id="5"/>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项目编号：</w:t>
      </w:r>
      <w:r>
        <w:rPr>
          <w:rFonts w:hint="eastAsia" w:cs="宋体"/>
          <w:b w:val="0"/>
          <w:bCs w:val="0"/>
          <w:color w:val="000000" w:themeColor="text1"/>
          <w:kern w:val="44"/>
          <w:sz w:val="24"/>
          <w:szCs w:val="24"/>
          <w:highlight w:val="none"/>
          <w:lang w:val="en-US" w:eastAsia="zh-CN" w:bidi="ar-SA"/>
          <w14:textFill>
            <w14:solidFill>
              <w14:schemeClr w14:val="tx1"/>
            </w14:solidFill>
          </w14:textFill>
        </w:rPr>
        <w:t>MZDQJLV2021-01</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项目名称：</w:t>
      </w:r>
      <w:r>
        <w:rPr>
          <w:rFonts w:hint="eastAsia" w:cs="宋体"/>
          <w:b w:val="0"/>
          <w:bCs w:val="0"/>
          <w:color w:val="000000" w:themeColor="text1"/>
          <w:kern w:val="44"/>
          <w:sz w:val="24"/>
          <w:szCs w:val="24"/>
          <w:highlight w:val="none"/>
          <w:lang w:val="en-US" w:eastAsia="zh-CN" w:bidi="ar-SA"/>
          <w14:textFill>
            <w14:solidFill>
              <w14:schemeClr w14:val="tx1"/>
            </w14:solidFill>
          </w14:textFill>
        </w:rPr>
        <w:t>某支队2021年度秋季绿化项目</w:t>
      </w:r>
    </w:p>
    <w:bookmarkEnd w:id="6"/>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预算金额：</w:t>
      </w:r>
      <w:r>
        <w:rPr>
          <w:rFonts w:hint="eastAsia" w:cs="宋体"/>
          <w:b w:val="0"/>
          <w:bCs w:val="0"/>
          <w:color w:val="000000" w:themeColor="text1"/>
          <w:kern w:val="44"/>
          <w:sz w:val="24"/>
          <w:szCs w:val="24"/>
          <w:highlight w:val="none"/>
          <w:lang w:val="en-US" w:eastAsia="zh-CN" w:bidi="ar-SA"/>
          <w14:textFill>
            <w14:solidFill>
              <w14:schemeClr w14:val="tx1"/>
            </w14:solidFill>
          </w14:textFill>
        </w:rPr>
        <w:t>105</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万元</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最高限价：</w:t>
      </w:r>
      <w:r>
        <w:rPr>
          <w:rFonts w:hint="eastAsia" w:cs="宋体"/>
          <w:b w:val="0"/>
          <w:bCs w:val="0"/>
          <w:color w:val="000000" w:themeColor="text1"/>
          <w:kern w:val="44"/>
          <w:sz w:val="24"/>
          <w:szCs w:val="24"/>
          <w:highlight w:val="none"/>
          <w:lang w:val="en-US" w:eastAsia="zh-CN" w:bidi="ar-SA"/>
          <w14:textFill>
            <w14:solidFill>
              <w14:schemeClr w14:val="tx1"/>
            </w14:solidFill>
          </w14:textFill>
        </w:rPr>
        <w:t>详见招标文件</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采购需求：详见招标文件</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合同履行期限：详见招标文件</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本项目</w:t>
      </w:r>
      <w:r>
        <w:rPr>
          <w:rFonts w:hint="eastAsia" w:cs="宋体"/>
          <w:b w:val="0"/>
          <w:bCs w:val="0"/>
          <w:color w:val="000000" w:themeColor="text1"/>
          <w:kern w:val="44"/>
          <w:sz w:val="24"/>
          <w:szCs w:val="24"/>
          <w:highlight w:val="none"/>
          <w:lang w:val="en-US" w:eastAsia="zh-CN" w:bidi="ar-SA"/>
          <w14:textFill>
            <w14:solidFill>
              <w14:schemeClr w14:val="tx1"/>
            </w14:solidFill>
          </w14:textFill>
        </w:rPr>
        <w:t>不</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接受联合体投标。</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2"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bookmarkStart w:id="7" w:name="_Toc28359003"/>
      <w:bookmarkStart w:id="8" w:name="_Toc35393791"/>
      <w:bookmarkStart w:id="9" w:name="_Toc35393622"/>
      <w:bookmarkStart w:id="10" w:name="_Toc28359080"/>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二、申请人的资格要求：</w:t>
      </w:r>
      <w:bookmarkEnd w:id="7"/>
      <w:bookmarkEnd w:id="8"/>
      <w:bookmarkEnd w:id="9"/>
      <w:bookmarkEnd w:id="10"/>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1</w:t>
      </w:r>
      <w:r>
        <w:rPr>
          <w:rFonts w:hint="eastAsia" w:cs="宋体"/>
          <w:b w:val="0"/>
          <w:bCs w:val="0"/>
          <w:color w:val="000000" w:themeColor="text1"/>
          <w:kern w:val="44"/>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满足《中华人民共和国政府采购法》第二十二条规定；</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bookmarkStart w:id="11" w:name="_Toc28359004"/>
      <w:bookmarkStart w:id="12" w:name="_Toc28359081"/>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2、落实政府采购政策需满足的资格要求：按照《财政部 工业和信息化部关于印发&lt;政府采购促进中小企业发展管理办法&gt;的通知》（财库〔2020〕46号）的规定，落实促进中小企业发展政策</w:t>
      </w:r>
      <w:r>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   </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3、本项目的特定资格要求</w:t>
      </w:r>
      <w:bookmarkStart w:id="13" w:name="_Toc35393623"/>
      <w:bookmarkStart w:id="14" w:name="_Toc35393792"/>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：拟派项目负责人应具有建设行政主管部门核发的市政公用工程贰级及以上建造师注册证书，并取得有效期内的安全生产考核合格证（A类或B类）</w:t>
      </w:r>
      <w:r>
        <w:rPr>
          <w:rFonts w:hint="eastAsia" w:cs="宋体"/>
          <w:b w:val="0"/>
          <w:bCs w:val="0"/>
          <w:color w:val="000000" w:themeColor="text1"/>
          <w:kern w:val="44"/>
          <w:sz w:val="24"/>
          <w:szCs w:val="24"/>
          <w:highlight w:val="none"/>
          <w:lang w:val="en-US" w:eastAsia="zh-CN" w:bidi="ar-SA"/>
          <w14:textFill>
            <w14:solidFill>
              <w14:schemeClr w14:val="tx1"/>
            </w14:solidFill>
          </w14:textFill>
        </w:rPr>
        <w:t>。</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三、获取招标文件</w:t>
      </w:r>
      <w:bookmarkEnd w:id="11"/>
      <w:bookmarkEnd w:id="12"/>
      <w:bookmarkEnd w:id="13"/>
      <w:bookmarkEnd w:id="14"/>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pPr>
      <w:bookmarkStart w:id="15" w:name="_Toc28359005"/>
      <w:bookmarkStart w:id="16" w:name="_Toc28359082"/>
      <w:bookmarkStart w:id="17" w:name="_Toc35393624"/>
      <w:bookmarkStart w:id="18" w:name="_Toc35393793"/>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时间：</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202</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1</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年</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9</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月</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24</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日至</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202</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1</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年</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9</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月</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30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日</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 xml:space="preserve"> 1</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9</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:00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（提供期限自本公告发布之日起不得少于5个工作日），每天上午</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10:00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至</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13:00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下午16:00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至</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19:00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（北京时间，法定节假日除外）</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地点：新疆天麒工程项目管理咨询有限责任公司二楼招标代理部205室（克拉玛依市通讯路44号）</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方式：</w:t>
      </w:r>
      <w:r>
        <w:rPr>
          <w:rFonts w:hint="eastAsia" w:cs="宋体"/>
          <w:b w:val="0"/>
          <w:bCs w:val="0"/>
          <w:color w:val="000000" w:themeColor="text1"/>
          <w:kern w:val="44"/>
          <w:sz w:val="24"/>
          <w:szCs w:val="24"/>
          <w:highlight w:val="none"/>
          <w:lang w:val="en-US" w:eastAsia="zh-CN" w:bidi="ar-SA"/>
          <w14:textFill>
            <w14:solidFill>
              <w14:schemeClr w14:val="tx1"/>
            </w14:solidFill>
          </w14:textFill>
        </w:rPr>
        <w:t>线下获取</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售价：</w:t>
      </w:r>
      <w:r>
        <w:rPr>
          <w:rFonts w:hint="eastAsia" w:eastAsia="宋体" w:cs="宋体"/>
          <w:b w:val="0"/>
          <w:bCs w:val="0"/>
          <w:color w:val="000000" w:themeColor="text1"/>
          <w:kern w:val="44"/>
          <w:sz w:val="24"/>
          <w:szCs w:val="24"/>
          <w:highlight w:val="none"/>
          <w:lang w:val="en-US" w:eastAsia="zh-CN" w:bidi="ar-SA"/>
          <w14:textFill>
            <w14:solidFill>
              <w14:schemeClr w14:val="tx1"/>
            </w14:solidFill>
          </w14:textFill>
        </w:rPr>
        <w:t>300元/份</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四、提交投标文件</w:t>
      </w:r>
      <w:bookmarkEnd w:id="15"/>
      <w:bookmarkEnd w:id="16"/>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截止时间、开标时间和地点</w:t>
      </w:r>
      <w:bookmarkEnd w:id="17"/>
      <w:bookmarkEnd w:id="18"/>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pP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202</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1</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年</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10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月</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15</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日</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10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点</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3</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分</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（北京时间）</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（自招标文件开始发出之日起至投标人提交投标文件截止之日止，不得少于20日）</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地点：新疆天麒工程项目管理咨询有限责任公司一楼评标室（克拉玛依市通讯路44号）</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bookmarkStart w:id="19" w:name="_Toc28359007"/>
      <w:bookmarkStart w:id="20" w:name="_Toc35393794"/>
      <w:bookmarkStart w:id="21" w:name="_Toc28359084"/>
      <w:bookmarkStart w:id="22" w:name="_Toc35393625"/>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五、公告期限</w:t>
      </w:r>
      <w:bookmarkEnd w:id="19"/>
      <w:bookmarkEnd w:id="20"/>
      <w:bookmarkEnd w:id="21"/>
      <w:bookmarkEnd w:id="22"/>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自本公告发布之日起5个工作日。</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bookmarkStart w:id="23" w:name="_Toc35393626"/>
      <w:bookmarkStart w:id="24" w:name="_Toc35393795"/>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六、其他补充事宜</w:t>
      </w:r>
      <w:bookmarkEnd w:id="23"/>
      <w:bookmarkEnd w:id="24"/>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bookmarkStart w:id="25" w:name="_Toc28359085"/>
      <w:bookmarkStart w:id="26" w:name="_Toc28359008"/>
      <w:bookmarkStart w:id="27" w:name="_Toc35393796"/>
      <w:bookmarkStart w:id="28" w:name="_Toc35393627"/>
      <w:r>
        <w:rPr>
          <w:rFonts w:hint="eastAsia" w:cs="宋体"/>
          <w:b w:val="0"/>
          <w:bCs w:val="0"/>
          <w:color w:val="000000" w:themeColor="text1"/>
          <w:kern w:val="44"/>
          <w:sz w:val="24"/>
          <w:szCs w:val="24"/>
          <w:highlight w:val="none"/>
          <w:lang w:val="en-US" w:eastAsia="zh-CN" w:bidi="ar-SA"/>
          <w14:textFill>
            <w14:solidFill>
              <w14:schemeClr w14:val="tx1"/>
            </w14:solidFill>
          </w14:textFill>
        </w:rPr>
        <w:t>1、填</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写《</w:t>
      </w:r>
      <w:r>
        <w:rPr>
          <w:rFonts w:hint="eastAsia" w:cs="宋体"/>
          <w:b w:val="0"/>
          <w:bCs w:val="0"/>
          <w:color w:val="000000" w:themeColor="text1"/>
          <w:kern w:val="44"/>
          <w:sz w:val="24"/>
          <w:szCs w:val="24"/>
          <w:highlight w:val="none"/>
          <w:lang w:val="en-US" w:eastAsia="zh-CN" w:bidi="ar-SA"/>
          <w14:textFill>
            <w14:solidFill>
              <w14:schemeClr w14:val="tx1"/>
            </w14:solidFill>
          </w14:textFill>
        </w:rPr>
        <w:t>投标人</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参加政府采购项目申请表》和《政府采购诚信承诺书》，将《申请表》、《政府采购诚信承诺书》及采购文件费交纳凭证扫描件一同发送至邮箱</w:t>
      </w:r>
      <w:r>
        <w:rPr>
          <w:rFonts w:hint="eastAsia" w:cs="宋体"/>
          <w:b w:val="0"/>
          <w:bCs w:val="0"/>
          <w:color w:val="000000" w:themeColor="text1"/>
          <w:kern w:val="44"/>
          <w:sz w:val="24"/>
          <w:szCs w:val="24"/>
          <w:highlight w:val="none"/>
          <w:lang w:val="en-US" w:eastAsia="zh-CN" w:bidi="ar-SA"/>
          <w14:textFill>
            <w14:solidFill>
              <w14:schemeClr w14:val="tx1"/>
            </w14:solidFill>
          </w14:textFill>
        </w:rPr>
        <w:t>2547416947</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@qq.com，邮件名称必须为：项目名称+项目编号+投标人名称，未提交申请表及文件费交纳凭证的投标人不得参加采购活动。申请表必须填写完整并加盖公章。</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cs="宋体"/>
          <w:b w:val="0"/>
          <w:bCs w:val="0"/>
          <w:color w:val="000000" w:themeColor="text1"/>
          <w:kern w:val="44"/>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参加现场交易活动的所有人员须自行全程佩戴口罩，配合进行体温检测和身份登记，符合疫情防控要求方可参加现场交易活动。</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七、对本次招标提出询问，请按以下方式联系。</w:t>
      </w:r>
      <w:bookmarkEnd w:id="25"/>
      <w:bookmarkEnd w:id="26"/>
      <w:bookmarkEnd w:id="27"/>
      <w:bookmarkEnd w:id="28"/>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1.采购人信息</w:t>
      </w:r>
    </w:p>
    <w:p>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某支队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w:t>
      </w:r>
    </w:p>
    <w:p>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克拉玛依市</w:t>
      </w:r>
    </w:p>
    <w:p>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0990-6280079</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　　</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 xml:space="preserve">　　　　　　　　　 </w:t>
      </w:r>
      <w:bookmarkStart w:id="29" w:name="_Toc28359086"/>
      <w:bookmarkStart w:id="30" w:name="_Toc28359009"/>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2.采购代理机构信息</w:t>
      </w:r>
      <w:bookmarkEnd w:id="29"/>
      <w:bookmarkEnd w:id="30"/>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bookmarkStart w:id="31" w:name="_Toc28359010"/>
      <w:bookmarkStart w:id="32" w:name="_Toc28359087"/>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s="宋体"/>
          <w:color w:val="000000" w:themeColor="text1"/>
          <w:sz w:val="24"/>
          <w:szCs w:val="24"/>
          <w:highlight w:val="none"/>
          <w:u w:val="single"/>
          <w14:textFill>
            <w14:solidFill>
              <w14:schemeClr w14:val="tx1"/>
            </w14:solidFill>
          </w14:textFill>
        </w:rPr>
        <w:t>新疆天麒工程项目管理咨询有限责任公司</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新疆克拉玛依市通讯路44号</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0990-6222961</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　　　　　　　　　　</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3.项目联系方式</w:t>
      </w:r>
      <w:bookmarkEnd w:id="31"/>
      <w:bookmarkEnd w:id="32"/>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字太龙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（采购人）   王敏、</w:t>
      </w:r>
      <w:r>
        <w:rPr>
          <w:rFonts w:hint="eastAsia" w:ascii="宋体" w:hAnsi="宋体" w:cs="宋体"/>
          <w:color w:val="000000" w:themeColor="text1"/>
          <w:sz w:val="24"/>
          <w:szCs w:val="24"/>
          <w:highlight w:val="none"/>
          <w:u w:val="single"/>
          <w:lang w:val="en-US" w:eastAsia="zh-CN"/>
          <w14:textFill>
            <w14:solidFill>
              <w14:schemeClr w14:val="tx1"/>
            </w14:solidFill>
          </w14:textFill>
        </w:rPr>
        <w:t>巴音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（采购代理机构）</w:t>
      </w:r>
    </w:p>
    <w:p>
      <w:pPr>
        <w:keepNext w:val="0"/>
        <w:keepLines w:val="0"/>
        <w:widowControl/>
        <w:suppressLineNumbers w:val="0"/>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0990-6280079、0990-6222961</w:t>
      </w:r>
    </w:p>
    <w:p>
      <w:pPr>
        <w:pStyle w:val="51"/>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spacing w:line="300" w:lineRule="exact"/>
        <w:jc w:val="center"/>
        <w:rPr>
          <w:rFonts w:hint="eastAsia"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eastAsia="宋体" w:cs="宋体"/>
          <w:b w:val="0"/>
          <w:bCs w:val="0"/>
          <w:color w:val="000000" w:themeColor="text1"/>
          <w:kern w:val="44"/>
          <w:sz w:val="24"/>
          <w:szCs w:val="24"/>
          <w:highlight w:val="none"/>
          <w:lang w:val="en-US" w:eastAsia="zh-CN" w:bidi="ar-SA"/>
          <w14:textFill>
            <w14:solidFill>
              <w14:schemeClr w14:val="tx1"/>
            </w14:solidFill>
          </w14:textFill>
        </w:rPr>
        <w:t> </w:t>
      </w:r>
    </w:p>
    <w:p>
      <w:pPr>
        <w:keepNext w:val="0"/>
        <w:keepLines w:val="0"/>
        <w:pageBreakBefore w:val="0"/>
        <w:numPr>
          <w:ilvl w:val="0"/>
          <w:numId w:val="0"/>
        </w:numPr>
        <w:kinsoku/>
        <w:wordWrap/>
        <w:overflowPunct/>
        <w:topLinePunct w:val="0"/>
        <w:autoSpaceDE/>
        <w:autoSpaceDN/>
        <w:bidi w:val="0"/>
        <w:spacing w:line="360" w:lineRule="auto"/>
        <w:jc w:val="center"/>
        <w:rPr>
          <w:rFonts w:hint="eastAsia" w:ascii="宋体" w:hAnsi="宋体" w:cs="宋体"/>
          <w:b/>
          <w:bCs/>
          <w:color w:val="000000" w:themeColor="text1"/>
          <w:sz w:val="28"/>
          <w:szCs w:val="28"/>
          <w:highlight w:val="none"/>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pacing w:line="360" w:lineRule="auto"/>
        <w:jc w:val="center"/>
        <w:rPr>
          <w:rFonts w:hint="eastAsia" w:ascii="宋体" w:hAnsi="宋体" w:cs="宋体"/>
          <w:b/>
          <w:bCs/>
          <w:color w:val="000000" w:themeColor="text1"/>
          <w:sz w:val="28"/>
          <w:szCs w:val="28"/>
          <w:highlight w:val="none"/>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第二章</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 xml:space="preserve"> 投标人须知前</w:t>
      </w:r>
    </w:p>
    <w:p>
      <w:pPr>
        <w:keepNext w:val="0"/>
        <w:keepLines w:val="0"/>
        <w:pageBreakBefore w:val="0"/>
        <w:numPr>
          <w:ilvl w:val="0"/>
          <w:numId w:val="0"/>
        </w:numPr>
        <w:kinsoku/>
        <w:wordWrap/>
        <w:overflowPunct/>
        <w:topLinePunct w:val="0"/>
        <w:autoSpaceDE/>
        <w:autoSpaceDN/>
        <w:bidi w:val="0"/>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  表</w:t>
      </w:r>
    </w:p>
    <w:tbl>
      <w:tblPr>
        <w:tblStyle w:val="57"/>
        <w:tblpPr w:leftFromText="180" w:rightFromText="180" w:vertAnchor="text" w:horzAnchor="page" w:tblpX="719" w:tblpY="76"/>
        <w:tblW w:w="11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0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7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023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70" w:type="dxa"/>
            <w:vAlign w:val="center"/>
          </w:tcPr>
          <w:p>
            <w:pPr>
              <w:pStyle w:val="35"/>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231" w:type="dxa"/>
            <w:vAlign w:val="center"/>
          </w:tcPr>
          <w:p>
            <w:pPr>
              <w:pStyle w:val="51"/>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项目名称：某支队2021年度秋季绿化项目</w:t>
            </w:r>
          </w:p>
          <w:p>
            <w:pPr>
              <w:pStyle w:val="51"/>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default"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招标文件编号：</w:t>
            </w:r>
            <w:r>
              <w:rPr>
                <w:rFonts w:hint="eastAsia" w:cs="宋体"/>
                <w:color w:val="000000" w:themeColor="text1"/>
                <w:highlight w:val="none"/>
                <w:lang w:val="en-US" w:eastAsia="zh-CN"/>
                <w14:textFill>
                  <w14:solidFill>
                    <w14:schemeClr w14:val="tx1"/>
                  </w14:solidFill>
                </w14:textFill>
              </w:rPr>
              <w:t>MZDQJLV2021-01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770" w:type="dxa"/>
            <w:vAlign w:val="center"/>
          </w:tcPr>
          <w:p>
            <w:pPr>
              <w:pStyle w:val="33"/>
              <w:keepNext w:val="0"/>
              <w:keepLines w:val="0"/>
              <w:pageBreakBefore w:val="0"/>
              <w:kinsoku/>
              <w:wordWrap/>
              <w:overflowPunct/>
              <w:topLinePunct w:val="0"/>
              <w:autoSpaceDE/>
              <w:autoSpaceDN/>
              <w:bidi w:val="0"/>
              <w:adjustRightInd/>
              <w:snapToGrid/>
              <w:spacing w:line="400" w:lineRule="exact"/>
              <w:jc w:val="center"/>
              <w:textAlignment w:val="auto"/>
              <w:rPr>
                <w:rFonts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p>
        </w:tc>
        <w:tc>
          <w:tcPr>
            <w:tcW w:w="10231" w:type="dxa"/>
            <w:vAlign w:val="center"/>
          </w:tcPr>
          <w:p>
            <w:pPr>
              <w:pStyle w:val="33"/>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采购人：</w:t>
            </w:r>
            <w:r>
              <w:rPr>
                <w:rFonts w:hint="eastAsia" w:hAnsi="宋体" w:cs="宋体"/>
                <w:color w:val="000000" w:themeColor="text1"/>
                <w:kern w:val="0"/>
                <w:sz w:val="24"/>
                <w:szCs w:val="24"/>
                <w:highlight w:val="none"/>
                <w:lang w:val="en-US" w:eastAsia="zh-CN" w:bidi="ar-SA"/>
                <w14:textFill>
                  <w14:solidFill>
                    <w14:schemeClr w14:val="tx1"/>
                  </w14:solidFill>
                </w14:textFill>
              </w:rPr>
              <w:t>某支队</w:t>
            </w:r>
          </w:p>
          <w:p>
            <w:pPr>
              <w:pStyle w:val="33"/>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地  址：克拉玛依市         邮政编码：</w:t>
            </w:r>
            <w:r>
              <w:rPr>
                <w:rFonts w:hint="eastAsia" w:hAnsi="宋体" w:cs="宋体"/>
                <w:color w:val="000000" w:themeColor="text1"/>
                <w:kern w:val="0"/>
                <w:sz w:val="24"/>
                <w:szCs w:val="24"/>
                <w:highlight w:val="none"/>
                <w:lang w:val="en-US" w:eastAsia="zh-CN" w:bidi="ar-SA"/>
                <w14:textFill>
                  <w14:solidFill>
                    <w14:schemeClr w14:val="tx1"/>
                  </w14:solidFill>
                </w14:textFill>
              </w:rPr>
              <w:t>834000</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p>
          <w:p>
            <w:pPr>
              <w:pStyle w:val="33"/>
              <w:keepNext w:val="0"/>
              <w:keepLines w:val="0"/>
              <w:pageBreakBefore w:val="0"/>
              <w:kinsoku/>
              <w:wordWrap/>
              <w:overflowPunct/>
              <w:topLinePunct w:val="0"/>
              <w:autoSpaceDE/>
              <w:autoSpaceDN/>
              <w:bidi w:val="0"/>
              <w:adjustRightInd/>
              <w:snapToGrid/>
              <w:spacing w:line="400" w:lineRule="exact"/>
              <w:textAlignment w:val="auto"/>
              <w:outlineLvl w:val="9"/>
              <w:rPr>
                <w:rFonts w:hint="default"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联系人：</w:t>
            </w:r>
            <w:r>
              <w:rPr>
                <w:rFonts w:hint="eastAsia" w:hAnsi="宋体" w:cs="宋体"/>
                <w:color w:val="000000" w:themeColor="text1"/>
                <w:kern w:val="0"/>
                <w:sz w:val="24"/>
                <w:szCs w:val="24"/>
                <w:highlight w:val="none"/>
                <w:lang w:val="en-US" w:eastAsia="zh-CN" w:bidi="ar-SA"/>
                <w14:textFill>
                  <w14:solidFill>
                    <w14:schemeClr w14:val="tx1"/>
                  </w14:solidFill>
                </w14:textFill>
              </w:rPr>
              <w:t>字太龙</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r>
              <w:rPr>
                <w:rFonts w:hint="eastAsia" w:hAnsi="宋体" w:cs="宋体"/>
                <w:color w:val="000000" w:themeColor="text1"/>
                <w:kern w:val="0"/>
                <w:sz w:val="24"/>
                <w:szCs w:val="24"/>
                <w:highlight w:val="none"/>
                <w:lang w:val="en-US" w:eastAsia="zh-CN" w:bidi="ar-SA"/>
                <w14:textFill>
                  <w14:solidFill>
                    <w14:schemeClr w14:val="tx1"/>
                  </w14:solidFill>
                </w14:textFill>
              </w:rPr>
              <w:t xml:space="preserve">       联系电话：</w:t>
            </w:r>
            <w:r>
              <w:rPr>
                <w:rFonts w:hint="eastAsia" w:ascii="仿宋_GB2312" w:eastAsia="仿宋_GB2312"/>
                <w:b w:val="0"/>
                <w:bCs w:val="0"/>
                <w:color w:val="000000" w:themeColor="text1"/>
                <w:sz w:val="24"/>
                <w:highlight w:val="none"/>
                <w:lang w:val="en-US" w:eastAsia="zh-CN"/>
                <w14:textFill>
                  <w14:solidFill>
                    <w14:schemeClr w14:val="tx1"/>
                  </w14:solidFill>
                </w14:textFill>
              </w:rPr>
              <w:t>0990-6280079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770" w:type="dxa"/>
            <w:vAlign w:val="center"/>
          </w:tcPr>
          <w:p>
            <w:pPr>
              <w:pStyle w:val="3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p>
        </w:tc>
        <w:tc>
          <w:tcPr>
            <w:tcW w:w="10231" w:type="dxa"/>
            <w:vAlign w:val="center"/>
          </w:tcPr>
          <w:p>
            <w:pPr>
              <w:pStyle w:val="3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采购代理机构：新疆天麒工程项目管理咨询有限责任公司</w:t>
            </w:r>
          </w:p>
          <w:p>
            <w:pPr>
              <w:pStyle w:val="3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地址：克拉玛依市通讯路44号     邮政编码：834000</w:t>
            </w:r>
          </w:p>
          <w:p>
            <w:pPr>
              <w:pStyle w:val="3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联系人：王敏 </w:t>
            </w:r>
            <w:r>
              <w:rPr>
                <w:rFonts w:hint="eastAsia" w:hAnsi="宋体" w:cs="宋体"/>
                <w:color w:val="000000" w:themeColor="text1"/>
                <w:kern w:val="2"/>
                <w:sz w:val="24"/>
                <w:szCs w:val="24"/>
                <w:highlight w:val="none"/>
                <w:lang w:val="en-US" w:eastAsia="zh-CN"/>
                <w14:textFill>
                  <w14:solidFill>
                    <w14:schemeClr w14:val="tx1"/>
                  </w14:solidFill>
                </w14:textFill>
              </w:rPr>
              <w:t xml:space="preserve">  巴音</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联系电话：0990-</w:t>
            </w:r>
            <w:r>
              <w:rPr>
                <w:rFonts w:hint="eastAsia" w:hAnsi="宋体" w:cs="宋体"/>
                <w:color w:val="000000" w:themeColor="text1"/>
                <w:kern w:val="2"/>
                <w:sz w:val="24"/>
                <w:szCs w:val="24"/>
                <w:highlight w:val="none"/>
                <w:lang w:val="en-US" w:eastAsia="zh-CN"/>
                <w14:textFill>
                  <w14:solidFill>
                    <w14:schemeClr w14:val="tx1"/>
                  </w14:solidFill>
                </w14:textFill>
              </w:rPr>
              <w:t>6222961</w:t>
            </w:r>
          </w:p>
          <w:p>
            <w:pPr>
              <w:pStyle w:val="3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开户行：中国工商银行股份有限公司克拉玛依石油分行</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br w:type="textWrapping"/>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行号：102882000037</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br w:type="textWrapping"/>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银行账号：3003020209024539038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023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投标有效期：递交投标文件截止日起</w:t>
            </w:r>
            <w:r>
              <w:rPr>
                <w:rFonts w:hint="eastAsia" w:ascii="宋体" w:hAnsi="宋体" w:cs="宋体"/>
                <w:color w:val="000000" w:themeColor="text1"/>
                <w:sz w:val="24"/>
                <w:highlight w:val="none"/>
                <w:lang w:val="en-US" w:eastAsia="zh-CN"/>
                <w14:textFill>
                  <w14:solidFill>
                    <w14:schemeClr w14:val="tx1"/>
                  </w14:solidFill>
                </w14:textFill>
              </w:rPr>
              <w:t>90天</w:t>
            </w:r>
            <w:r>
              <w:rPr>
                <w:rFonts w:hint="eastAsia" w:ascii="宋体" w:hAnsi="宋体" w:cs="宋体"/>
                <w:color w:val="000000" w:themeColor="text1"/>
                <w:sz w:val="24"/>
                <w:highlight w:val="none"/>
                <w14:textFill>
                  <w14:solidFill>
                    <w14:schemeClr w14:val="tx1"/>
                  </w14:solidFill>
                </w14:textFill>
              </w:rPr>
              <w:t>（日历日）</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0" w:type="dxa"/>
            <w:vAlign w:val="center"/>
          </w:tcPr>
          <w:p>
            <w:pPr>
              <w:pStyle w:val="33"/>
              <w:keepNext w:val="0"/>
              <w:keepLines w:val="0"/>
              <w:pageBreakBefore w:val="0"/>
              <w:kinsoku/>
              <w:wordWrap/>
              <w:overflowPunct/>
              <w:topLinePunct w:val="0"/>
              <w:autoSpaceDE/>
              <w:autoSpaceDN/>
              <w:bidi w:val="0"/>
              <w:adjustRightInd/>
              <w:snapToGrid/>
              <w:spacing w:line="400" w:lineRule="exact"/>
              <w:jc w:val="center"/>
              <w:textAlignment w:val="auto"/>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5</w:t>
            </w:r>
          </w:p>
        </w:tc>
        <w:tc>
          <w:tcPr>
            <w:tcW w:w="10231" w:type="dxa"/>
            <w:vAlign w:val="center"/>
          </w:tcPr>
          <w:p>
            <w:pPr>
              <w:pStyle w:val="33"/>
              <w:keepNext w:val="0"/>
              <w:keepLines w:val="0"/>
              <w:pageBreakBefore w:val="0"/>
              <w:kinsoku/>
              <w:wordWrap/>
              <w:overflowPunct/>
              <w:topLinePunct w:val="0"/>
              <w:autoSpaceDE/>
              <w:autoSpaceDN/>
              <w:bidi w:val="0"/>
              <w:adjustRightInd/>
              <w:snapToGrid/>
              <w:spacing w:line="400" w:lineRule="exact"/>
              <w:jc w:val="left"/>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投标文件的份数：</w:t>
            </w:r>
            <w:r>
              <w:rPr>
                <w:rFonts w:hint="eastAsia" w:hAnsi="宋体" w:cs="宋体"/>
                <w:b/>
                <w:color w:val="000000" w:themeColor="text1"/>
                <w:kern w:val="2"/>
                <w:sz w:val="24"/>
                <w:szCs w:val="24"/>
                <w:highlight w:val="none"/>
                <w14:textFill>
                  <w14:solidFill>
                    <w14:schemeClr w14:val="tx1"/>
                  </w14:solidFill>
                </w14:textFill>
              </w:rPr>
              <w:t>一式</w:t>
            </w:r>
            <w:r>
              <w:rPr>
                <w:rFonts w:hint="eastAsia" w:hAnsi="宋体" w:cs="宋体"/>
                <w:b/>
                <w:color w:val="000000" w:themeColor="text1"/>
                <w:kern w:val="2"/>
                <w:sz w:val="24"/>
                <w:szCs w:val="24"/>
                <w:highlight w:val="none"/>
                <w:lang w:eastAsia="zh-CN"/>
                <w14:textFill>
                  <w14:solidFill>
                    <w14:schemeClr w14:val="tx1"/>
                  </w14:solidFill>
                </w14:textFill>
              </w:rPr>
              <w:t>陆</w:t>
            </w:r>
            <w:r>
              <w:rPr>
                <w:rFonts w:hint="eastAsia" w:hAnsi="宋体" w:cs="宋体"/>
                <w:b/>
                <w:color w:val="000000" w:themeColor="text1"/>
                <w:kern w:val="2"/>
                <w:sz w:val="24"/>
                <w:szCs w:val="24"/>
                <w:highlight w:val="none"/>
                <w14:textFill>
                  <w14:solidFill>
                    <w14:schemeClr w14:val="tx1"/>
                  </w14:solidFill>
                </w14:textFill>
              </w:rPr>
              <w:t>份，其中正本壹份，副本</w:t>
            </w:r>
            <w:r>
              <w:rPr>
                <w:rFonts w:hint="eastAsia" w:hAnsi="宋体" w:cs="宋体"/>
                <w:b/>
                <w:color w:val="000000" w:themeColor="text1"/>
                <w:kern w:val="2"/>
                <w:sz w:val="24"/>
                <w:szCs w:val="24"/>
                <w:highlight w:val="none"/>
                <w:lang w:eastAsia="zh-CN"/>
                <w14:textFill>
                  <w14:solidFill>
                    <w14:schemeClr w14:val="tx1"/>
                  </w14:solidFill>
                </w14:textFill>
              </w:rPr>
              <w:t>伍</w:t>
            </w:r>
            <w:r>
              <w:rPr>
                <w:rFonts w:hint="eastAsia" w:hAnsi="宋体" w:cs="宋体"/>
                <w:b/>
                <w:color w:val="000000" w:themeColor="text1"/>
                <w:kern w:val="2"/>
                <w:sz w:val="24"/>
                <w:szCs w:val="24"/>
                <w:highlight w:val="none"/>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770" w:type="dxa"/>
            <w:vAlign w:val="center"/>
          </w:tcPr>
          <w:p>
            <w:pPr>
              <w:pStyle w:val="3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6</w:t>
            </w:r>
          </w:p>
        </w:tc>
        <w:tc>
          <w:tcPr>
            <w:tcW w:w="10231" w:type="dxa"/>
            <w:vAlign w:val="center"/>
          </w:tcPr>
          <w:p>
            <w:pPr>
              <w:pStyle w:val="5"/>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采购人不统一组织考察，各</w:t>
            </w:r>
            <w:r>
              <w:rPr>
                <w:rFonts w:hint="eastAsia" w:ascii="宋体" w:hAnsi="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lang w:eastAsia="zh-CN"/>
                <w14:textFill>
                  <w14:solidFill>
                    <w14:schemeClr w14:val="tx1"/>
                  </w14:solidFill>
                </w14:textFill>
              </w:rPr>
              <w:t>须</w:t>
            </w:r>
            <w:r>
              <w:rPr>
                <w:rFonts w:hint="eastAsia" w:ascii="宋体" w:hAnsi="宋体" w:eastAsia="宋体" w:cs="宋体"/>
                <w:b/>
                <w:bCs/>
                <w:color w:val="000000" w:themeColor="text1"/>
                <w:sz w:val="24"/>
                <w:szCs w:val="24"/>
                <w:highlight w:val="none"/>
                <w14:textFill>
                  <w14:solidFill>
                    <w14:schemeClr w14:val="tx1"/>
                  </w14:solidFill>
                </w14:textFill>
              </w:rPr>
              <w:t>自行对采购项目进行考察。</w:t>
            </w:r>
          </w:p>
          <w:p>
            <w:pPr>
              <w:pStyle w:val="5"/>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如有疑问，于20</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日1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：00前将有关疑问以</w:t>
            </w:r>
            <w:r>
              <w:rPr>
                <w:rFonts w:hint="eastAsia" w:ascii="宋体" w:hAnsi="宋体" w:eastAsia="宋体" w:cs="宋体"/>
                <w:color w:val="000000" w:themeColor="text1"/>
                <w:sz w:val="24"/>
                <w:szCs w:val="24"/>
                <w:highlight w:val="none"/>
                <w:lang w:eastAsia="zh-CN"/>
                <w14:textFill>
                  <w14:solidFill>
                    <w14:schemeClr w14:val="tx1"/>
                  </w14:solidFill>
                </w14:textFill>
              </w:rPr>
              <w:t>扫描件</w:t>
            </w:r>
            <w:r>
              <w:rPr>
                <w:rFonts w:hint="eastAsia" w:ascii="宋体" w:hAnsi="宋体" w:eastAsia="宋体" w:cs="宋体"/>
                <w:color w:val="000000" w:themeColor="text1"/>
                <w:sz w:val="24"/>
                <w:szCs w:val="24"/>
                <w:highlight w:val="none"/>
                <w14:textFill>
                  <w14:solidFill>
                    <w14:schemeClr w14:val="tx1"/>
                  </w14:solidFill>
                </w14:textFill>
              </w:rPr>
              <w:t>形式（必须加盖</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b/>
                <w:color w:val="000000" w:themeColor="text1"/>
                <w:sz w:val="24"/>
                <w:szCs w:val="24"/>
                <w:highlight w:val="none"/>
                <w14:textFill>
                  <w14:solidFill>
                    <w14:schemeClr w14:val="tx1"/>
                  </w14:solidFill>
                </w14:textFill>
              </w:rPr>
              <w:t>发至</w:t>
            </w:r>
            <w:r>
              <w:rPr>
                <w:rFonts w:hint="eastAsia" w:ascii="宋体" w:hAnsi="宋体" w:eastAsia="宋体" w:cs="宋体"/>
                <w:b/>
                <w:color w:val="000000" w:themeColor="text1"/>
                <w:sz w:val="24"/>
                <w:szCs w:val="24"/>
                <w:highlight w:val="none"/>
                <w:lang w:eastAsia="zh-CN"/>
                <w14:textFill>
                  <w14:solidFill>
                    <w14:schemeClr w14:val="tx1"/>
                  </w14:solidFill>
                </w14:textFill>
              </w:rPr>
              <w:t>邮箱</w:t>
            </w:r>
            <w:r>
              <w:rPr>
                <w:rFonts w:hint="eastAsia" w:ascii="宋体" w:hAnsi="宋体" w:cs="宋体"/>
                <w:b/>
                <w:color w:val="000000" w:themeColor="text1"/>
                <w:sz w:val="24"/>
                <w:szCs w:val="24"/>
                <w:highlight w:val="none"/>
                <w:lang w:eastAsia="zh-CN"/>
                <w14:textFill>
                  <w14:solidFill>
                    <w14:schemeClr w14:val="tx1"/>
                  </w14:solidFill>
                </w14:textFill>
              </w:rPr>
              <w:t>2547416947@qq.com</w:t>
            </w:r>
            <w:r>
              <w:rPr>
                <w:rFonts w:hint="eastAsia" w:ascii="宋体" w:hAnsi="宋体" w:eastAsia="宋体" w:cs="宋体"/>
                <w:color w:val="000000" w:themeColor="text1"/>
                <w:sz w:val="24"/>
                <w:szCs w:val="24"/>
                <w:highlight w:val="none"/>
                <w14:textFill>
                  <w14:solidFill>
                    <w14:schemeClr w14:val="tx1"/>
                  </w14:solidFill>
                </w14:textFill>
              </w:rPr>
              <w:t>，采购人将对所提疑问以书面形式发至领取</w:t>
            </w:r>
            <w:r>
              <w:rPr>
                <w:rFonts w:hint="eastAsia" w:ascii="宋体" w:hAnsi="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文件的每位</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，超过此时间所提疑问采购人或采购代理机构均不予答复。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书面提问传真截止时间：20</w:t>
            </w:r>
            <w:r>
              <w:rPr>
                <w:rFonts w:hint="eastAsia" w:ascii="宋体" w:hAnsi="宋体" w:eastAsia="宋体" w:cs="宋体"/>
                <w:color w:val="000000" w:themeColor="text1"/>
                <w:sz w:val="24"/>
                <w:highlight w:val="none"/>
                <w:lang w:val="en-US" w:eastAsia="zh-CN"/>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日 </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w:t>
            </w:r>
            <w:r>
              <w:rPr>
                <w:rFonts w:hint="eastAsia" w:ascii="宋体" w:hAnsi="宋体" w:eastAsia="宋体" w:cs="宋体"/>
                <w:color w:val="000000" w:themeColor="text1"/>
                <w:sz w:val="24"/>
                <w:highlight w:val="none"/>
                <w14:textFill>
                  <w14:solidFill>
                    <w14:schemeClr w14:val="tx1"/>
                  </w14:solidFill>
                </w14:textFill>
              </w:rPr>
              <w:t>电话： 0990－6</w:t>
            </w:r>
            <w:r>
              <w:rPr>
                <w:rFonts w:hint="eastAsia" w:ascii="宋体" w:hAnsi="宋体" w:eastAsia="宋体" w:cs="宋体"/>
                <w:color w:val="000000" w:themeColor="text1"/>
                <w:sz w:val="24"/>
                <w:highlight w:val="none"/>
                <w:lang w:val="en-US" w:eastAsia="zh-CN"/>
                <w14:textFill>
                  <w14:solidFill>
                    <w14:schemeClr w14:val="tx1"/>
                  </w14:solidFill>
                </w14:textFill>
              </w:rPr>
              <w:t>222961</w:t>
            </w:r>
            <w:r>
              <w:rPr>
                <w:rFonts w:hint="eastAsia" w:ascii="宋体" w:hAnsi="宋体" w:eastAsia="宋体" w:cs="宋体"/>
                <w:color w:val="000000" w:themeColor="text1"/>
                <w:sz w:val="24"/>
                <w:highlight w:val="none"/>
                <w14:textFill>
                  <w14:solidFill>
                    <w14:schemeClr w14:val="tx1"/>
                  </w14:solidFill>
                </w14:textFill>
              </w:rPr>
              <w:t xml:space="preserve">   联系人：</w:t>
            </w:r>
            <w:r>
              <w:rPr>
                <w:rFonts w:hint="eastAsia" w:ascii="宋体" w:hAnsi="宋体" w:eastAsia="宋体" w:cs="宋体"/>
                <w:color w:val="000000" w:themeColor="text1"/>
                <w:sz w:val="24"/>
                <w:szCs w:val="24"/>
                <w:highlight w:val="none"/>
                <w:lang w:eastAsia="zh-CN"/>
                <w14:textFill>
                  <w14:solidFill>
                    <w14:schemeClr w14:val="tx1"/>
                  </w14:solidFill>
                </w14:textFill>
              </w:rPr>
              <w:t>王敏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kern w:val="2"/>
                <w:sz w:val="24"/>
                <w:szCs w:val="24"/>
                <w:highlight w:val="none"/>
                <w:lang w:val="en-US" w:eastAsia="zh-CN"/>
                <w14:textFill>
                  <w14:solidFill>
                    <w14:schemeClr w14:val="tx1"/>
                  </w14:solidFill>
                </w14:textFill>
              </w:rPr>
              <w:t>巴音</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77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10231"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递交投标文件截止时间：202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0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递交投标文件时间：202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日1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0  </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点：</w:t>
            </w:r>
            <w:r>
              <w:rPr>
                <w:rFonts w:hint="eastAsia" w:ascii="宋体" w:hAnsi="宋体" w:cs="宋体"/>
                <w:color w:val="000000" w:themeColor="text1"/>
                <w:sz w:val="24"/>
                <w:highlight w:val="none"/>
                <w:lang w:eastAsia="zh-CN"/>
                <w14:textFill>
                  <w14:solidFill>
                    <w14:schemeClr w14:val="tx1"/>
                  </w14:solidFill>
                </w14:textFill>
              </w:rPr>
              <w:t>新疆天麒工程项目管理咨询有限责任公司一楼评标室（克拉玛依市通讯路44号）</w:t>
            </w:r>
            <w:r>
              <w:rPr>
                <w:rFonts w:hint="eastAsia" w:ascii="宋体" w:hAnsi="宋体" w:cs="宋体"/>
                <w:color w:val="000000" w:themeColor="text1"/>
                <w:sz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77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10231"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 xml:space="preserve"> 15</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10:30</w:t>
            </w:r>
            <w:r>
              <w:rPr>
                <w:rFonts w:hint="eastAsia" w:ascii="宋体" w:hAnsi="宋体" w:cs="宋体"/>
                <w:color w:val="000000" w:themeColor="text1"/>
                <w:sz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点：</w:t>
            </w:r>
            <w:r>
              <w:rPr>
                <w:rFonts w:hint="eastAsia" w:ascii="宋体" w:hAnsi="宋体" w:cs="宋体"/>
                <w:color w:val="000000" w:themeColor="text1"/>
                <w:sz w:val="24"/>
                <w:highlight w:val="none"/>
                <w:lang w:eastAsia="zh-CN"/>
                <w14:textFill>
                  <w14:solidFill>
                    <w14:schemeClr w14:val="tx1"/>
                  </w14:solidFill>
                </w14:textFill>
              </w:rPr>
              <w:t>新疆天麒工程项目管理咨询有限责任公司一楼评标室（克拉玛依市通讯路44号）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770" w:type="dxa"/>
            <w:vAlign w:val="center"/>
          </w:tcPr>
          <w:p>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9</w:t>
            </w:r>
          </w:p>
        </w:tc>
        <w:tc>
          <w:tcPr>
            <w:tcW w:w="1023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jc w:val="both"/>
              <w:textAlignment w:val="auto"/>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本工程招标控制总价为</w:t>
            </w:r>
            <w:r>
              <w:rPr>
                <w:rFonts w:hint="default"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99.475564</w:t>
            </w:r>
            <w:r>
              <w:rPr>
                <w:rFonts w:hint="eastAsia" w:ascii="宋体" w:hAnsi="宋体" w:eastAsia="宋体" w:cs="宋体"/>
                <w:b/>
                <w:color w:val="000000" w:themeColor="text1"/>
                <w:sz w:val="24"/>
                <w:szCs w:val="24"/>
                <w:highlight w:val="none"/>
                <w:lang w:eastAsia="zh-CN"/>
                <w14:textFill>
                  <w14:solidFill>
                    <w14:schemeClr w14:val="tx1"/>
                  </w14:solidFill>
                </w14:textFill>
              </w:rPr>
              <w:t>万元（大写：人民币</w:t>
            </w:r>
            <w:r>
              <w:rPr>
                <w:rFonts w:hint="eastAsia" w:ascii="宋体" w:hAnsi="宋体" w:cs="宋体"/>
                <w:b/>
                <w:color w:val="000000" w:themeColor="text1"/>
                <w:sz w:val="24"/>
                <w:szCs w:val="24"/>
                <w:highlight w:val="none"/>
                <w:lang w:eastAsia="zh-CN"/>
                <w14:textFill>
                  <w14:solidFill>
                    <w14:schemeClr w14:val="tx1"/>
                  </w14:solidFill>
                </w14:textFill>
              </w:rPr>
              <w:t>玖拾玖万肆仟柒佰伍拾伍元陆角肆分</w:t>
            </w:r>
            <w:r>
              <w:rPr>
                <w:rFonts w:hint="eastAsia" w:ascii="宋体" w:hAnsi="宋体" w:eastAsia="宋体" w:cs="宋体"/>
                <w:b/>
                <w:color w:val="000000" w:themeColor="text1"/>
                <w:sz w:val="24"/>
                <w:szCs w:val="24"/>
                <w:highlight w:val="none"/>
                <w:lang w:eastAsia="zh-CN"/>
                <w14:textFill>
                  <w14:solidFill>
                    <w14:schemeClr w14:val="tx1"/>
                  </w14:solidFill>
                </w14:textFill>
              </w:rPr>
              <w:t>），其中招标控制价为</w:t>
            </w:r>
            <w:r>
              <w:rPr>
                <w:rFonts w:hint="default"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99.014369</w:t>
            </w:r>
            <w:r>
              <w:rPr>
                <w:rFonts w:hint="eastAsia" w:ascii="宋体" w:hAnsi="宋体" w:eastAsia="宋体" w:cs="宋体"/>
                <w:b/>
                <w:color w:val="000000" w:themeColor="text1"/>
                <w:sz w:val="24"/>
                <w:szCs w:val="24"/>
                <w:highlight w:val="none"/>
                <w:lang w:eastAsia="zh-CN"/>
                <w14:textFill>
                  <w14:solidFill>
                    <w14:schemeClr w14:val="tx1"/>
                  </w14:solidFill>
                </w14:textFill>
              </w:rPr>
              <w:t>万元（大写：人民币</w:t>
            </w:r>
            <w:r>
              <w:rPr>
                <w:rFonts w:hint="eastAsia" w:ascii="宋体" w:hAnsi="宋体" w:cs="宋体"/>
                <w:b/>
                <w:color w:val="000000" w:themeColor="text1"/>
                <w:sz w:val="24"/>
                <w:szCs w:val="24"/>
                <w:highlight w:val="none"/>
                <w:lang w:val="en-US" w:eastAsia="zh-CN"/>
                <w14:textFill>
                  <w14:solidFill>
                    <w14:schemeClr w14:val="tx1"/>
                  </w14:solidFill>
                </w14:textFill>
              </w:rPr>
              <w:t>玖拾玖万零壹仟肆佰叁拾元陆角玖分</w:t>
            </w:r>
            <w:r>
              <w:rPr>
                <w:rFonts w:hint="eastAsia" w:ascii="宋体" w:hAnsi="宋体" w:eastAsia="宋体" w:cs="宋体"/>
                <w:b/>
                <w:color w:val="000000" w:themeColor="text1"/>
                <w:sz w:val="24"/>
                <w:szCs w:val="24"/>
                <w:highlight w:val="none"/>
                <w:lang w:eastAsia="zh-CN"/>
                <w14:textFill>
                  <w14:solidFill>
                    <w14:schemeClr w14:val="tx1"/>
                  </w14:solidFill>
                </w14:textFill>
              </w:rPr>
              <w:t>），安全文明施工费为</w:t>
            </w:r>
            <w:r>
              <w:rPr>
                <w:rFonts w:hint="default"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0.461195</w:t>
            </w:r>
            <w:r>
              <w:rPr>
                <w:rFonts w:hint="eastAsia" w:ascii="宋体" w:hAnsi="宋体" w:eastAsia="宋体" w:cs="宋体"/>
                <w:b/>
                <w:color w:val="000000" w:themeColor="text1"/>
                <w:sz w:val="24"/>
                <w:szCs w:val="24"/>
                <w:highlight w:val="none"/>
                <w:lang w:eastAsia="zh-CN"/>
                <w14:textFill>
                  <w14:solidFill>
                    <w14:schemeClr w14:val="tx1"/>
                  </w14:solidFill>
                </w14:textFill>
              </w:rPr>
              <w:t>万元（大写：人民币</w:t>
            </w:r>
            <w:r>
              <w:rPr>
                <w:rFonts w:hint="eastAsia" w:ascii="宋体" w:hAnsi="宋体" w:cs="宋体"/>
                <w:b/>
                <w:color w:val="000000" w:themeColor="text1"/>
                <w:sz w:val="24"/>
                <w:szCs w:val="24"/>
                <w:highlight w:val="none"/>
                <w:lang w:val="en-US" w:eastAsia="zh-CN"/>
                <w14:textFill>
                  <w14:solidFill>
                    <w14:schemeClr w14:val="tx1"/>
                  </w14:solidFill>
                </w14:textFill>
              </w:rPr>
              <w:t>肆仟陆佰壹拾壹元玖角伍分</w:t>
            </w:r>
            <w:r>
              <w:rPr>
                <w:rFonts w:hint="eastAsia" w:ascii="宋体" w:hAnsi="宋体" w:eastAsia="宋体" w:cs="宋体"/>
                <w:b/>
                <w:color w:val="000000" w:themeColor="text1"/>
                <w:sz w:val="24"/>
                <w:szCs w:val="24"/>
                <w:highlight w:val="none"/>
                <w:lang w:eastAsia="zh-CN"/>
                <w14:textFill>
                  <w14:solidFill>
                    <w14:schemeClr w14:val="tx1"/>
                  </w14:solidFill>
                </w14:textFill>
              </w:rPr>
              <w:t>）。投标人的投标总价及投标报价不得高于公布的招标控制总价及招标控制报价。否则则该投标人的投标文件作无效响应处理。</w:t>
            </w:r>
          </w:p>
        </w:tc>
      </w:tr>
    </w:tbl>
    <w:p>
      <w:pPr>
        <w:spacing w:line="300" w:lineRule="exact"/>
        <w:jc w:val="center"/>
        <w:rPr>
          <w:rFonts w:ascii="宋体" w:hAnsi="宋体" w:cs="宋体"/>
          <w:b/>
          <w:bCs/>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A</w:t>
      </w:r>
      <w:bookmarkEnd w:id="1"/>
      <w:bookmarkStart w:id="33" w:name="_Toc154996576"/>
      <w:r>
        <w:rPr>
          <w:rFonts w:hint="eastAsia" w:ascii="宋体" w:hAnsi="宋体" w:cs="宋体"/>
          <w:b/>
          <w:bCs/>
          <w:color w:val="000000" w:themeColor="text1"/>
          <w:sz w:val="28"/>
          <w:szCs w:val="28"/>
          <w:highlight w:val="none"/>
          <w14:textFill>
            <w14:solidFill>
              <w14:schemeClr w14:val="tx1"/>
            </w14:solidFill>
          </w14:textFill>
        </w:rPr>
        <w:t>说明</w:t>
      </w:r>
      <w:bookmarkStart w:id="34" w:name="_Toc243906311"/>
      <w:bookmarkStart w:id="35" w:name="_Toc246216180"/>
      <w:bookmarkStart w:id="36" w:name="_Toc233274811"/>
      <w:bookmarkStart w:id="37" w:name="_Toc243907571"/>
    </w:p>
    <w:p>
      <w:pPr>
        <w:pStyle w:val="33"/>
        <w:keepNext w:val="0"/>
        <w:keepLines w:val="0"/>
        <w:pageBreakBefore w:val="0"/>
        <w:tabs>
          <w:tab w:val="right" w:pos="8306"/>
        </w:tabs>
        <w:kinsoku/>
        <w:wordWrap/>
        <w:overflowPunct/>
        <w:topLinePunct w:val="0"/>
        <w:autoSpaceDE/>
        <w:autoSpaceDN/>
        <w:bidi w:val="0"/>
        <w:spacing w:line="360" w:lineRule="auto"/>
        <w:ind w:firstLine="480" w:firstLineChars="200"/>
        <w:outlineLvl w:val="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1、适用范围</w:t>
      </w:r>
      <w:bookmarkEnd w:id="34"/>
      <w:bookmarkEnd w:id="35"/>
      <w:bookmarkEnd w:id="36"/>
      <w:bookmarkEnd w:id="37"/>
      <w:r>
        <w:rPr>
          <w:rFonts w:hint="eastAsia" w:hAnsi="宋体" w:cs="宋体"/>
          <w:color w:val="000000" w:themeColor="text1"/>
          <w:sz w:val="24"/>
          <w:highlight w:val="none"/>
          <w14:textFill>
            <w14:solidFill>
              <w14:schemeClr w14:val="tx1"/>
            </w14:solidFill>
          </w14:textFill>
        </w:rPr>
        <w:t>及招标依据</w:t>
      </w:r>
      <w:r>
        <w:rPr>
          <w:rFonts w:hint="eastAsia" w:hAnsi="宋体" w:cs="宋体"/>
          <w:color w:val="000000" w:themeColor="text1"/>
          <w:sz w:val="24"/>
          <w:highlight w:val="none"/>
          <w14:textFill>
            <w14:solidFill>
              <w14:schemeClr w14:val="tx1"/>
            </w14:solidFill>
          </w14:textFill>
        </w:rPr>
        <w:tab/>
      </w:r>
    </w:p>
    <w:p>
      <w:pPr>
        <w:pStyle w:val="33"/>
        <w:keepNext w:val="0"/>
        <w:keepLines w:val="0"/>
        <w:pageBreakBefore w:val="0"/>
        <w:kinsoku/>
        <w:wordWrap/>
        <w:overflowPunct/>
        <w:topLinePunct w:val="0"/>
        <w:autoSpaceDE/>
        <w:autoSpaceDN/>
        <w:bidi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 适用范围</w:t>
      </w:r>
    </w:p>
    <w:p>
      <w:pPr>
        <w:pStyle w:val="51"/>
        <w:keepNext w:val="0"/>
        <w:keepLines w:val="0"/>
        <w:pageBreakBefore w:val="0"/>
        <w:kinsoku/>
        <w:wordWrap/>
        <w:overflowPunct/>
        <w:topLinePunct w:val="0"/>
        <w:autoSpaceDE/>
        <w:autoSpaceDN/>
        <w:bidi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本招标文件仅针对于</w:t>
      </w:r>
      <w:r>
        <w:rPr>
          <w:rFonts w:hint="eastAsia" w:cs="宋体"/>
          <w:color w:val="000000" w:themeColor="text1"/>
          <w:highlight w:val="none"/>
          <w:lang w:eastAsia="zh-CN"/>
          <w14:textFill>
            <w14:solidFill>
              <w14:schemeClr w14:val="tx1"/>
            </w14:solidFill>
          </w14:textFill>
        </w:rPr>
        <w:t>某支队2021年度秋季绿化项目</w:t>
      </w:r>
      <w:r>
        <w:rPr>
          <w:rFonts w:hint="eastAsia" w:cs="宋体"/>
          <w:color w:val="000000" w:themeColor="text1"/>
          <w:highlight w:val="none"/>
          <w14:textFill>
            <w14:solidFill>
              <w14:schemeClr w14:val="tx1"/>
            </w14:solidFill>
          </w14:textFill>
        </w:rPr>
        <w:t>的招标。</w:t>
      </w:r>
    </w:p>
    <w:p>
      <w:pPr>
        <w:pStyle w:val="33"/>
        <w:keepNext w:val="0"/>
        <w:keepLines w:val="0"/>
        <w:pageBreakBefore w:val="0"/>
        <w:kinsoku/>
        <w:wordWrap/>
        <w:overflowPunct/>
        <w:topLinePunct w:val="0"/>
        <w:autoSpaceDE/>
        <w:autoSpaceDN/>
        <w:bidi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1.2招标依据</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根据《中华人民共和国政府采购法》、《中华人民共和国政府采购法实施条例》、《政府采购货物和服务招标投标管理办法》及有关法律、法规。</w:t>
      </w:r>
    </w:p>
    <w:p>
      <w:pPr>
        <w:pStyle w:val="33"/>
        <w:keepNext w:val="0"/>
        <w:keepLines w:val="0"/>
        <w:pageBreakBefore w:val="0"/>
        <w:kinsoku/>
        <w:wordWrap/>
        <w:overflowPunct/>
        <w:topLinePunct w:val="0"/>
        <w:autoSpaceDE/>
        <w:autoSpaceDN/>
        <w:bidi w:val="0"/>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38" w:name="_Toc243906312"/>
      <w:bookmarkStart w:id="39" w:name="_Toc246216181"/>
      <w:bookmarkStart w:id="40" w:name="_Toc243907572"/>
      <w:bookmarkStart w:id="41" w:name="_Toc233274812"/>
      <w:r>
        <w:rPr>
          <w:rFonts w:hint="eastAsia" w:hAnsi="宋体" w:cs="宋体"/>
          <w:color w:val="000000" w:themeColor="text1"/>
          <w:sz w:val="24"/>
          <w:highlight w:val="none"/>
          <w14:textFill>
            <w14:solidFill>
              <w14:schemeClr w14:val="tx1"/>
            </w14:solidFill>
          </w14:textFill>
        </w:rPr>
        <w:t>2、定义</w:t>
      </w:r>
      <w:bookmarkEnd w:id="38"/>
      <w:bookmarkEnd w:id="39"/>
      <w:bookmarkEnd w:id="40"/>
      <w:bookmarkEnd w:id="41"/>
    </w:p>
    <w:p>
      <w:pPr>
        <w:pStyle w:val="33"/>
        <w:keepNext w:val="0"/>
        <w:keepLines w:val="0"/>
        <w:pageBreakBefore w:val="0"/>
        <w:kinsoku/>
        <w:wordWrap/>
        <w:overflowPunct/>
        <w:topLinePunct w:val="0"/>
        <w:autoSpaceDE/>
        <w:autoSpaceDN/>
        <w:bidi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2.1 “采购人”系指</w:t>
      </w:r>
      <w:r>
        <w:rPr>
          <w:rFonts w:hint="eastAsia" w:hAnsi="宋体" w:cs="宋体"/>
          <w:color w:val="000000" w:themeColor="text1"/>
          <w:sz w:val="24"/>
          <w:highlight w:val="none"/>
          <w:lang w:eastAsia="zh-CN"/>
          <w14:textFill>
            <w14:solidFill>
              <w14:schemeClr w14:val="tx1"/>
            </w14:solidFill>
          </w14:textFill>
        </w:rPr>
        <w:t>某支队</w:t>
      </w:r>
      <w:r>
        <w:rPr>
          <w:rFonts w:hint="eastAsia" w:hAnsi="宋体" w:cs="宋体"/>
          <w:color w:val="000000" w:themeColor="text1"/>
          <w:sz w:val="24"/>
          <w:highlight w:val="none"/>
          <w14:textFill>
            <w14:solidFill>
              <w14:schemeClr w14:val="tx1"/>
            </w14:solidFill>
          </w14:textFill>
        </w:rPr>
        <w:t>，在签订和执行合同阶段称“</w:t>
      </w:r>
      <w:r>
        <w:rPr>
          <w:rFonts w:hint="eastAsia" w:hAnsi="宋体" w:cs="宋体"/>
          <w:color w:val="000000" w:themeColor="text1"/>
          <w:sz w:val="24"/>
          <w:highlight w:val="none"/>
          <w:lang w:eastAsia="zh-CN"/>
          <w14:textFill>
            <w14:solidFill>
              <w14:schemeClr w14:val="tx1"/>
            </w14:solidFill>
          </w14:textFill>
        </w:rPr>
        <w:t>发包人</w:t>
      </w:r>
      <w:r>
        <w:rPr>
          <w:rFonts w:hint="eastAsia" w:hAnsi="宋体" w:cs="宋体"/>
          <w:color w:val="000000" w:themeColor="text1"/>
          <w:sz w:val="24"/>
          <w:highlight w:val="none"/>
          <w14:textFill>
            <w14:solidFill>
              <w14:schemeClr w14:val="tx1"/>
            </w14:solidFill>
          </w14:textFill>
        </w:rPr>
        <w:t>”。</w:t>
      </w:r>
    </w:p>
    <w:p>
      <w:pPr>
        <w:pStyle w:val="33"/>
        <w:keepNext w:val="0"/>
        <w:keepLines w:val="0"/>
        <w:pageBreakBefore w:val="0"/>
        <w:kinsoku/>
        <w:wordWrap/>
        <w:overflowPunct/>
        <w:topLinePunct w:val="0"/>
        <w:autoSpaceDE/>
        <w:autoSpaceDN/>
        <w:bidi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2.2 </w:t>
      </w:r>
      <w:r>
        <w:rPr>
          <w:rFonts w:hint="eastAsia" w:hAnsi="宋体" w:cs="宋体"/>
          <w:color w:val="000000" w:themeColor="text1"/>
          <w:sz w:val="24"/>
          <w:szCs w:val="24"/>
          <w:highlight w:val="none"/>
          <w14:textFill>
            <w14:solidFill>
              <w14:schemeClr w14:val="tx1"/>
            </w14:solidFill>
          </w14:textFill>
        </w:rPr>
        <w:t>“招标代理机构”</w:t>
      </w:r>
      <w:r>
        <w:rPr>
          <w:rFonts w:hint="eastAsia" w:hAnsi="宋体" w:cs="宋体"/>
          <w:color w:val="000000" w:themeColor="text1"/>
          <w:sz w:val="24"/>
          <w:highlight w:val="none"/>
          <w14:textFill>
            <w14:solidFill>
              <w14:schemeClr w14:val="tx1"/>
            </w14:solidFill>
          </w14:textFill>
        </w:rPr>
        <w:t>系指新疆天麒工程项目管理咨询有限责任公司。</w:t>
      </w:r>
    </w:p>
    <w:p>
      <w:pPr>
        <w:pStyle w:val="33"/>
        <w:keepNext w:val="0"/>
        <w:keepLines w:val="0"/>
        <w:pageBreakBefore w:val="0"/>
        <w:kinsoku/>
        <w:wordWrap/>
        <w:overflowPunct/>
        <w:topLinePunct w:val="0"/>
        <w:autoSpaceDE/>
        <w:autoSpaceDN/>
        <w:bidi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2.3 “投标人”系指具备资格并按招标文件要求提交投标文件的法人，投标人若</w:t>
      </w:r>
      <w:r>
        <w:rPr>
          <w:rFonts w:hint="eastAsia" w:hAnsi="宋体" w:cs="宋体"/>
          <w:color w:val="000000" w:themeColor="text1"/>
          <w:sz w:val="24"/>
          <w:highlight w:val="none"/>
          <w:lang w:eastAsia="zh-CN"/>
          <w14:textFill>
            <w14:solidFill>
              <w14:schemeClr w14:val="tx1"/>
            </w14:solidFill>
          </w14:textFill>
        </w:rPr>
        <w:t>中标</w:t>
      </w:r>
      <w:r>
        <w:rPr>
          <w:rFonts w:hint="eastAsia" w:hAnsi="宋体" w:cs="宋体"/>
          <w:color w:val="000000" w:themeColor="text1"/>
          <w:sz w:val="24"/>
          <w:highlight w:val="none"/>
          <w14:textFill>
            <w14:solidFill>
              <w14:schemeClr w14:val="tx1"/>
            </w14:solidFill>
          </w14:textFill>
        </w:rPr>
        <w:t>，在签订和执行合同阶段称“</w:t>
      </w:r>
      <w:r>
        <w:rPr>
          <w:rFonts w:hint="eastAsia" w:hAnsi="宋体" w:cs="宋体"/>
          <w:color w:val="000000" w:themeColor="text1"/>
          <w:sz w:val="24"/>
          <w:highlight w:val="none"/>
          <w:lang w:eastAsia="zh-CN"/>
          <w14:textFill>
            <w14:solidFill>
              <w14:schemeClr w14:val="tx1"/>
            </w14:solidFill>
          </w14:textFill>
        </w:rPr>
        <w:t>承包人</w:t>
      </w:r>
      <w:r>
        <w:rPr>
          <w:rFonts w:hint="eastAsia" w:hAnsi="宋体" w:cs="宋体"/>
          <w:color w:val="000000" w:themeColor="text1"/>
          <w:sz w:val="24"/>
          <w:highlight w:val="none"/>
          <w14:textFill>
            <w14:solidFill>
              <w14:schemeClr w14:val="tx1"/>
            </w14:solidFill>
          </w14:textFill>
        </w:rPr>
        <w:t>”。</w:t>
      </w:r>
    </w:p>
    <w:p>
      <w:pPr>
        <w:pStyle w:val="33"/>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2.4 “招标文件”系指由采购人向投标人发出的本招标项目的全部文件（包括项目采购</w:t>
      </w:r>
      <w:r>
        <w:rPr>
          <w:rFonts w:hint="eastAsia" w:ascii="宋体" w:hAnsi="宋体" w:eastAsia="宋体" w:cs="宋体"/>
          <w:color w:val="000000" w:themeColor="text1"/>
          <w:sz w:val="24"/>
          <w:highlight w:val="none"/>
          <w14:textFill>
            <w14:solidFill>
              <w14:schemeClr w14:val="tx1"/>
            </w14:solidFill>
          </w14:textFill>
        </w:rPr>
        <w:t>需求、修改文件、补充文件、答疑纪要、各种通知和附件等）。</w:t>
      </w:r>
    </w:p>
    <w:p>
      <w:pPr>
        <w:pStyle w:val="33"/>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 “投标文件”系指投标人根据招标文件提交的所有文件。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42" w:name="_Toc233274814"/>
      <w:bookmarkStart w:id="43" w:name="_Toc246216183"/>
      <w:bookmarkStart w:id="44" w:name="_Toc243906314"/>
      <w:bookmarkStart w:id="45" w:name="_Toc243907574"/>
      <w:r>
        <w:rPr>
          <w:rFonts w:hint="eastAsia" w:ascii="宋体" w:hAnsi="宋体" w:eastAsia="宋体" w:cs="宋体"/>
          <w:color w:val="000000" w:themeColor="text1"/>
          <w:sz w:val="24"/>
          <w:highlight w:val="none"/>
          <w14:textFill>
            <w14:solidFill>
              <w14:schemeClr w14:val="tx1"/>
            </w14:solidFill>
          </w14:textFill>
        </w:rPr>
        <w:t>2.6“服务”系指合同条款、技术规范及标准、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w:t>
      </w:r>
      <w:r>
        <w:rPr>
          <w:rFonts w:hint="eastAsia" w:ascii="宋体" w:hAnsi="宋体" w:cs="宋体"/>
          <w:color w:val="000000" w:themeColor="text1"/>
          <w:sz w:val="24"/>
          <w:highlight w:val="none"/>
          <w:lang w:eastAsia="zh-CN"/>
          <w14:textFill>
            <w14:solidFill>
              <w14:schemeClr w14:val="tx1"/>
            </w14:solidFill>
          </w14:textFill>
        </w:rPr>
        <w:t>施工设计图纸、</w:t>
      </w:r>
      <w:r>
        <w:rPr>
          <w:rFonts w:hint="eastAsia" w:ascii="宋体" w:hAnsi="宋体" w:eastAsia="宋体" w:cs="宋体"/>
          <w:color w:val="000000" w:themeColor="text1"/>
          <w:sz w:val="24"/>
          <w:highlight w:val="none"/>
          <w14:textFill>
            <w14:solidFill>
              <w14:schemeClr w14:val="tx1"/>
            </w14:solidFill>
          </w14:textFill>
        </w:rPr>
        <w:t>项目采购需求、本招标文件规定，中标人</w:t>
      </w:r>
      <w:r>
        <w:rPr>
          <w:rFonts w:hint="eastAsia" w:ascii="宋体" w:hAnsi="宋体" w:eastAsia="宋体" w:cs="宋体"/>
          <w:color w:val="000000" w:themeColor="text1"/>
          <w:sz w:val="24"/>
          <w:highlight w:val="none"/>
          <w:lang w:eastAsia="zh-CN"/>
          <w14:textFill>
            <w14:solidFill>
              <w14:schemeClr w14:val="tx1"/>
            </w14:solidFill>
          </w14:textFill>
        </w:rPr>
        <w:t>完成</w:t>
      </w:r>
      <w:r>
        <w:rPr>
          <w:rFonts w:hint="eastAsia" w:ascii="宋体" w:hAnsi="宋体" w:cs="宋体"/>
          <w:color w:val="000000" w:themeColor="text1"/>
          <w:sz w:val="24"/>
          <w:highlight w:val="none"/>
          <w:lang w:eastAsia="zh-CN"/>
          <w14:textFill>
            <w14:solidFill>
              <w14:schemeClr w14:val="tx1"/>
            </w14:solidFill>
          </w14:textFill>
        </w:rPr>
        <w:t>某支队2021年度秋季绿化项目</w:t>
      </w:r>
      <w:r>
        <w:rPr>
          <w:rFonts w:hint="eastAsia" w:ascii="宋体" w:hAnsi="宋体" w:eastAsia="宋体" w:cs="宋体"/>
          <w:color w:val="000000" w:themeColor="text1"/>
          <w:sz w:val="24"/>
          <w:highlight w:val="none"/>
          <w:lang w:val="en-US" w:eastAsia="zh-CN"/>
          <w14:textFill>
            <w14:solidFill>
              <w14:schemeClr w14:val="tx1"/>
            </w14:solidFill>
          </w14:textFill>
        </w:rPr>
        <w:t>施工设计图纸范围内所包括的绿化养护（养护期为三年）、土方工程（含平整场地、垫方、树穴开挖、种植土换填等）、苗木采购（卸至招标人指定施工地点）、施肥以及建设配套的绿化灌溉系统等全部施工内容</w:t>
      </w:r>
      <w:r>
        <w:rPr>
          <w:rFonts w:hint="eastAsia" w:ascii="宋体" w:hAnsi="宋体" w:eastAsia="宋体" w:cs="宋体"/>
          <w:color w:val="000000" w:themeColor="text1"/>
          <w:sz w:val="24"/>
          <w:highlight w:val="none"/>
          <w:lang w:eastAsia="zh-CN"/>
          <w14:textFill>
            <w14:solidFill>
              <w14:schemeClr w14:val="tx1"/>
            </w14:solidFill>
          </w14:textFill>
        </w:rPr>
        <w:t>以及</w:t>
      </w:r>
      <w:r>
        <w:rPr>
          <w:rFonts w:hint="eastAsia" w:ascii="宋体" w:hAnsi="宋体" w:eastAsia="宋体" w:cs="宋体"/>
          <w:color w:val="000000" w:themeColor="text1"/>
          <w:sz w:val="24"/>
          <w:highlight w:val="none"/>
          <w14:textFill>
            <w14:solidFill>
              <w14:schemeClr w14:val="tx1"/>
            </w14:solidFill>
          </w14:textFill>
        </w:rPr>
        <w:t>合同条款、技术规范及标准、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w:t>
      </w:r>
      <w:r>
        <w:rPr>
          <w:rFonts w:hint="eastAsia" w:ascii="宋体" w:hAnsi="宋体" w:cs="宋体"/>
          <w:color w:val="000000" w:themeColor="text1"/>
          <w:sz w:val="24"/>
          <w:highlight w:val="none"/>
          <w:lang w:eastAsia="zh-CN"/>
          <w14:textFill>
            <w14:solidFill>
              <w14:schemeClr w14:val="tx1"/>
            </w14:solidFill>
          </w14:textFill>
        </w:rPr>
        <w:t>施工设计图纸、</w:t>
      </w:r>
      <w:r>
        <w:rPr>
          <w:rFonts w:hint="eastAsia" w:ascii="宋体" w:hAnsi="宋体" w:eastAsia="宋体" w:cs="宋体"/>
          <w:color w:val="000000" w:themeColor="text1"/>
          <w:sz w:val="24"/>
          <w:highlight w:val="none"/>
          <w14:textFill>
            <w14:solidFill>
              <w14:schemeClr w14:val="tx1"/>
            </w14:solidFill>
          </w14:textFill>
        </w:rPr>
        <w:t>项目采购需求、本</w:t>
      </w:r>
      <w:r>
        <w:rPr>
          <w:rFonts w:hint="eastAsia" w:ascii="宋体" w:hAnsi="宋体" w:eastAsia="宋体" w:cs="宋体"/>
          <w:color w:val="000000" w:themeColor="text1"/>
          <w:sz w:val="24"/>
          <w:highlight w:val="none"/>
          <w:lang w:eastAsia="zh-CN"/>
          <w14:textFill>
            <w14:solidFill>
              <w14:schemeClr w14:val="tx1"/>
            </w14:solidFill>
          </w14:textFill>
        </w:rPr>
        <w:t>招标</w:t>
      </w:r>
      <w:r>
        <w:rPr>
          <w:rFonts w:hint="eastAsia" w:ascii="宋体" w:hAnsi="宋体" w:eastAsia="宋体" w:cs="宋体"/>
          <w:color w:val="000000" w:themeColor="text1"/>
          <w:sz w:val="24"/>
          <w:highlight w:val="none"/>
          <w14:textFill>
            <w14:solidFill>
              <w14:schemeClr w14:val="tx1"/>
            </w14:solidFill>
          </w14:textFill>
        </w:rPr>
        <w:t>文件约定的全部内容及责任和义务。</w:t>
      </w:r>
    </w:p>
    <w:p>
      <w:pPr>
        <w:pStyle w:val="3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w:t>
      </w:r>
      <w:r>
        <w:rPr>
          <w:rFonts w:hint="eastAsia"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eastAsia="zh-CN"/>
          <w14:textFill>
            <w14:solidFill>
              <w14:schemeClr w14:val="tx1"/>
            </w14:solidFill>
          </w14:textFill>
        </w:rPr>
        <w:t>凡提及的“天、日期、星期、月份和年份”系指公历日历的日历天、日期、星期、月份和年份。</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3、项目概况、招标范围、要求、质量目标、工期及要求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3.1项目概况（与施工设计图纸不一致之处，以施工设计图纸为准）：本次绿化主要对营区北侧林带进行绿化种植，绿化面积约8021.66 ㎡</w:t>
      </w:r>
      <w:r>
        <w:rPr>
          <w:rFonts w:hint="eastAsia" w:ascii="宋体" w:hAnsi="宋体" w:cs="宋体"/>
          <w:b/>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主要是种植乔木以及建设相配套的绿化灌溉系统。</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3.2招标范围：完成某支队2021年度秋季绿化项目施工设计图纸范围内</w:t>
      </w:r>
      <w:r>
        <w:rPr>
          <w:rFonts w:hint="eastAsia" w:ascii="宋体" w:hAnsi="宋体" w:cs="宋体"/>
          <w:b/>
          <w:color w:val="000000" w:themeColor="text1"/>
          <w:kern w:val="0"/>
          <w:sz w:val="24"/>
          <w:szCs w:val="24"/>
          <w:highlight w:val="none"/>
          <w:lang w:val="en-US" w:eastAsia="zh-CN" w:bidi="ar-SA"/>
          <w14:textFill>
            <w14:solidFill>
              <w14:schemeClr w14:val="tx1"/>
            </w14:solidFill>
          </w14:textFill>
        </w:rPr>
        <w:t>所包括的绿化养护（养护期为三年）、土方工程（含平整场地、垫方、树穴开挖、种植土换填等）、苗木采购（卸至招标人指定施工地点）、施肥以及建设配套的绿化灌溉系统等全部施工内容以及合同条款、技术规范及标准、技术规格及要求、施工设计图纸、项目采购需求、本招标文件约定的全部内容及责任和义务。</w:t>
      </w:r>
    </w:p>
    <w:p>
      <w:pPr>
        <w:spacing w:line="360" w:lineRule="auto"/>
        <w:ind w:firstLine="482" w:firstLineChars="200"/>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3.3要求</w:t>
      </w:r>
    </w:p>
    <w:p>
      <w:pPr>
        <w:spacing w:line="360" w:lineRule="auto"/>
        <w:ind w:firstLine="482" w:firstLineChars="200"/>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
          <w:color w:val="000000" w:themeColor="text1"/>
          <w:kern w:val="0"/>
          <w:sz w:val="24"/>
          <w:szCs w:val="24"/>
          <w:highlight w:val="none"/>
          <w:lang w:val="en-US" w:eastAsia="zh-CN" w:bidi="ar-SA"/>
          <w14:textFill>
            <w14:solidFill>
              <w14:schemeClr w14:val="tx1"/>
            </w14:solidFill>
          </w14:textFill>
        </w:rPr>
        <w:t>3.3.1</w:t>
      </w: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绿化种植养护期为三年（以工程竣工验收合格签字之日起计算），在养护期内植物丢失、损坏或枯死的苗木、无法成活的树种等均由中标人负责，并按不小于相邻同种类成活苗木、树种的规格按照招标人要求的工期进行补种并包成活，自行承担相关费用。</w:t>
      </w:r>
    </w:p>
    <w:p>
      <w:pPr>
        <w:spacing w:line="360" w:lineRule="auto"/>
        <w:ind w:firstLine="482" w:firstLineChars="200"/>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
          <w:color w:val="000000" w:themeColor="text1"/>
          <w:kern w:val="0"/>
          <w:sz w:val="24"/>
          <w:szCs w:val="24"/>
          <w:highlight w:val="none"/>
          <w:lang w:val="en-US" w:eastAsia="zh-CN" w:bidi="ar-SA"/>
          <w14:textFill>
            <w14:solidFill>
              <w14:schemeClr w14:val="tx1"/>
            </w14:solidFill>
          </w14:textFill>
        </w:rPr>
        <w:t>3.3.2</w:t>
      </w: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投标人选用的材料、设备均须符合相关产权部门的要求，且保证工程最终通过产权单位验收合格，如因中标人选择的材料、设备不符合相关产权部门的要求，造成的一切损失及费用均由中标人自行承担，竣工结算时不予调整。</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default"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3.4质量目标</w:t>
      </w: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：合格，苗木成活率达100%，养护等级为三级养护。</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hAnsi="宋体" w:cs="宋体"/>
          <w:b/>
          <w:color w:val="000000" w:themeColor="text1"/>
          <w:sz w:val="24"/>
          <w:szCs w:val="24"/>
          <w:highlight w:val="none"/>
          <w:lang w:val="en-US" w:eastAsia="zh-CN"/>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3.5工期：自成交之日起25天（日历日）工程竣工验收合格。工程竣工验收合格签字之日起绿化工程进入绿化养护期，养护期为三年。投标人可根据采购人要求工期及自身实力并结合本项目规模自报合理施工工期，中标后以中标人自报工期签订合同。</w:t>
      </w:r>
    </w:p>
    <w:bookmarkEnd w:id="33"/>
    <w:bookmarkEnd w:id="42"/>
    <w:bookmarkEnd w:id="43"/>
    <w:bookmarkEnd w:id="44"/>
    <w:bookmarkEnd w:id="45"/>
    <w:p>
      <w:pPr>
        <w:keepNext w:val="0"/>
        <w:keepLines w:val="0"/>
        <w:pageBreakBefore w:val="0"/>
        <w:kinsoku/>
        <w:wordWrap/>
        <w:overflowPunct/>
        <w:topLinePunct w:val="0"/>
        <w:autoSpaceDE/>
        <w:autoSpaceDN/>
        <w:bidi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、合格投标人资格要求</w:t>
      </w:r>
    </w:p>
    <w:p>
      <w:pPr>
        <w:keepNext w:val="0"/>
        <w:keepLines w:val="0"/>
        <w:pageBreakBefore w:val="0"/>
        <w:kinsoku/>
        <w:wordWrap/>
        <w:overflowPunct/>
        <w:topLinePunct w:val="0"/>
        <w:autoSpaceDE/>
        <w:autoSpaceDN/>
        <w:bidi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4.1详见第一章“招标公告”中的投标人资格及相关要求。</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46" w:name="_Toc245897275"/>
      <w:bookmarkStart w:id="47" w:name="_Toc243907575"/>
      <w:bookmarkStart w:id="48" w:name="_Toc243906315"/>
      <w:bookmarkStart w:id="49" w:name="_Toc233274815"/>
      <w:r>
        <w:rPr>
          <w:rFonts w:hint="eastAsia" w:ascii="宋体" w:hAnsi="宋体" w:cs="宋体"/>
          <w:b/>
          <w:color w:val="000000" w:themeColor="text1"/>
          <w:sz w:val="24"/>
          <w:highlight w:val="none"/>
          <w14:textFill>
            <w14:solidFill>
              <w14:schemeClr w14:val="tx1"/>
            </w14:solidFill>
          </w14:textFill>
        </w:rPr>
        <w:t>4.2单位负责人为同一人或者存在直接控股、管理关系的不同投标人，不得参加同一合同项下的政府采购活动。</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4.3为采购项目提供整体设计、规范编制或者项目管理、监理、检测等服务的投标人，不得再参加该采购项目的其他采购活动。</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4.4在单一品目的货物采购招标中，同一品牌同一型号的产品有多家投标人参加采购，只能按照一家投标人计算。</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4.5同一分包的货物，制造商参与采购的，不得再委托代理商参与采购。</w:t>
      </w:r>
    </w:p>
    <w:p>
      <w:pPr>
        <w:pStyle w:val="520"/>
        <w:keepNext w:val="0"/>
        <w:keepLines w:val="0"/>
        <w:pageBreakBefore w:val="0"/>
        <w:kinsoku/>
        <w:wordWrap/>
        <w:overflowPunct/>
        <w:topLinePunct w:val="0"/>
        <w:autoSpaceDE/>
        <w:autoSpaceDN/>
        <w:bidi w:val="0"/>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5、回避。政府采购活动中，采购人员及相关人员与投标人有下列利害关系之一的，应当回避：</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5.1参加采购活动前3年内与投标人存在劳动关系；</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5.2参加采购活动前3年内担任投标人的董事、监事；</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5.3参加采购活动前3年内是投标人的控股股东或者实际控制人；</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5.4与投标人的法定代表人或者负责人有夫妻、直系血亲、三代以内旁系血亲或者近姻亲关系；</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5.5与投标人有其他可能影响政府采购活动公平、公正进行的关系。</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本项目政府采购活动中需要依法回避的采购人员是指采购人内部负责采购项目的具体经办工作人员和直接分管采购项目的负责人，以及招标代理机构负责采购项目的具体经办工作人员和直接分管采购活动的负责人。本项目政府采购活动中需要依法回避的相关人员是指评标小组成员。</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投标人认为采购人员及相关人员与其他投标人有利害关系的，可以向招标代理机构书面提出回避申请，并说明理由。招标代理机构将及时询问被申请回避人员，有利害关系的被申请回避人员应当回避。</w:t>
      </w:r>
    </w:p>
    <w:bookmarkEnd w:id="46"/>
    <w:bookmarkEnd w:id="47"/>
    <w:bookmarkEnd w:id="48"/>
    <w:bookmarkEnd w:id="49"/>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6、实地考察和费用</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6.1实地考察</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不统一组织投标人的实地考察。投标人须自行对招标项目的现场及招标项目所涉及的国家、自治区、克拉玛依地区、相关部门等与此相关的政策进行充分的调查、研究，参观并勘察现场及其周围环境（包括当地气候条件及自然环境等）以取得所有与准备公开招标和实施公开招标有关的必要资料及信息。实地考察所发生的任何费用均由投标人自理。</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6.2参与公开招标费用</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6.2.1投标人应承担所有与公开招标准备和公开招标有关的全部费用，不论公开招标结果如何，采购人和招标代理机构无义务和责任承担投标人所发生的一切费用。</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6.2.2投标人在公开招标准备、实地考察和公开招标的全过程中，如果发生人身伤亡、财物或其它任何损失，不论何种原因所造成，均由投标人自行承担全部责任和损失。</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50" w:name="_Toc243907576"/>
      <w:bookmarkStart w:id="51" w:name="_Toc243906316"/>
      <w:bookmarkStart w:id="52" w:name="_Toc245897276"/>
      <w:bookmarkStart w:id="53" w:name="_Toc233274816"/>
      <w:r>
        <w:rPr>
          <w:rFonts w:hint="eastAsia" w:hAnsi="宋体" w:cs="宋体"/>
          <w:color w:val="000000" w:themeColor="text1"/>
          <w:sz w:val="24"/>
          <w:szCs w:val="24"/>
          <w:highlight w:val="none"/>
          <w14:textFill>
            <w14:solidFill>
              <w14:schemeClr w14:val="tx1"/>
            </w14:solidFill>
          </w14:textFill>
        </w:rPr>
        <w:t>7、法律适用</w:t>
      </w:r>
      <w:bookmarkEnd w:id="50"/>
      <w:bookmarkEnd w:id="51"/>
      <w:bookmarkEnd w:id="52"/>
      <w:bookmarkEnd w:id="53"/>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7.1本次公开招标活动及由本次公开招标产生的合同受中国法律制约和保护。</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54" w:name="_Toc243907577"/>
      <w:bookmarkStart w:id="55" w:name="_Toc245897277"/>
      <w:bookmarkStart w:id="56" w:name="_Toc243906317"/>
      <w:bookmarkStart w:id="57" w:name="_Toc233274817"/>
      <w:r>
        <w:rPr>
          <w:rFonts w:hint="eastAsia" w:hAnsi="宋体" w:cs="宋体"/>
          <w:color w:val="000000" w:themeColor="text1"/>
          <w:sz w:val="24"/>
          <w:szCs w:val="24"/>
          <w:highlight w:val="none"/>
          <w14:textFill>
            <w14:solidFill>
              <w14:schemeClr w14:val="tx1"/>
            </w14:solidFill>
          </w14:textFill>
        </w:rPr>
        <w:t>8、招标文件的约束力</w:t>
      </w:r>
      <w:bookmarkEnd w:id="54"/>
      <w:bookmarkEnd w:id="55"/>
      <w:bookmarkEnd w:id="56"/>
      <w:bookmarkEnd w:id="57"/>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8.1投标人若</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，即被认为接受了本招标文件中的所有条件和规定。是采购人与</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单位签订合同的依据且是合同的组成部分。</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9、费用报价内容</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9.1采购范围、本招标文件及合同约定等完成本采购项目的全部费用（包括：运输费、人工费、保管费、税费等所有相关费用）。</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9.2投标人认为需包含的其它费用。</w:t>
      </w:r>
    </w:p>
    <w:p>
      <w:pPr>
        <w:pStyle w:val="33"/>
        <w:keepNext w:val="0"/>
        <w:keepLines w:val="0"/>
        <w:pageBreakBefore w:val="0"/>
        <w:widowControl w:val="0"/>
        <w:kinsoku/>
        <w:wordWrap/>
        <w:overflowPunct/>
        <w:topLinePunct w:val="0"/>
        <w:autoSpaceDE/>
        <w:autoSpaceDN/>
        <w:bidi w:val="0"/>
        <w:snapToGrid/>
        <w:spacing w:line="36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p>
    <w:p>
      <w:pPr>
        <w:pStyle w:val="33"/>
        <w:keepNext w:val="0"/>
        <w:keepLines w:val="0"/>
        <w:pageBreakBefore w:val="0"/>
        <w:widowControl w:val="0"/>
        <w:kinsoku/>
        <w:wordWrap/>
        <w:overflowPunct/>
        <w:topLinePunct w:val="0"/>
        <w:autoSpaceDE/>
        <w:autoSpaceDN/>
        <w:bidi w:val="0"/>
        <w:snapToGrid/>
        <w:spacing w:line="36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B  招标文件</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ascii="仿宋_GB2312" w:eastAsia="仿宋_GB2312"/>
          <w:color w:val="000000" w:themeColor="text1"/>
          <w:sz w:val="24"/>
          <w:highlight w:val="none"/>
          <w14:textFill>
            <w14:solidFill>
              <w14:schemeClr w14:val="tx1"/>
            </w14:solidFill>
          </w14:textFill>
        </w:rPr>
      </w:pPr>
      <w:bookmarkStart w:id="58" w:name="_Toc246216188"/>
      <w:bookmarkStart w:id="59" w:name="_Toc243906319"/>
      <w:bookmarkStart w:id="60" w:name="_Toc233274819"/>
      <w:bookmarkStart w:id="61" w:name="_Toc243907579"/>
    </w:p>
    <w:bookmarkEnd w:id="58"/>
    <w:bookmarkEnd w:id="59"/>
    <w:bookmarkEnd w:id="60"/>
    <w:bookmarkEnd w:id="61"/>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62" w:name="_Toc243907582"/>
      <w:bookmarkStart w:id="63" w:name="_Toc243906322"/>
      <w:bookmarkStart w:id="64" w:name="_Toc233274822"/>
      <w:bookmarkStart w:id="65" w:name="_Toc246216191"/>
      <w:bookmarkStart w:id="66" w:name="_Toc154996580"/>
      <w:r>
        <w:rPr>
          <w:rFonts w:hint="eastAsia" w:hAnsi="宋体" w:cs="宋体"/>
          <w:color w:val="000000" w:themeColor="text1"/>
          <w:sz w:val="24"/>
          <w:highlight w:val="none"/>
          <w14:textFill>
            <w14:solidFill>
              <w14:schemeClr w14:val="tx1"/>
            </w14:solidFill>
          </w14:textFill>
        </w:rPr>
        <w:t>10、招标文件的组成</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 本招标文件是对</w:t>
      </w:r>
      <w:r>
        <w:rPr>
          <w:rFonts w:hint="eastAsia" w:ascii="宋体" w:hAnsi="宋体" w:cs="宋体"/>
          <w:color w:val="000000" w:themeColor="text1"/>
          <w:sz w:val="24"/>
          <w:highlight w:val="none"/>
          <w:lang w:eastAsia="zh-CN"/>
          <w14:textFill>
            <w14:solidFill>
              <w14:schemeClr w14:val="tx1"/>
            </w14:solidFill>
          </w14:textFill>
        </w:rPr>
        <w:t>某支队2021年度秋季绿化项目</w:t>
      </w:r>
      <w:r>
        <w:rPr>
          <w:rFonts w:hint="eastAsia" w:ascii="宋体" w:hAnsi="宋体" w:cs="宋体"/>
          <w:color w:val="000000" w:themeColor="text1"/>
          <w:sz w:val="24"/>
          <w:highlight w:val="none"/>
          <w14:textFill>
            <w14:solidFill>
              <w14:schemeClr w14:val="tx1"/>
            </w14:solidFill>
          </w14:textFill>
        </w:rPr>
        <w:t>公开招标程序、合同条款进行说明。招标文件包括下列内容：</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第一章  招标公告</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第二章  投标人须知</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第三章  项目采购需求</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第四章  </w:t>
      </w:r>
      <w:r>
        <w:rPr>
          <w:rFonts w:hint="eastAsia" w:ascii="宋体" w:hAnsi="宋体" w:cs="宋体"/>
          <w:color w:val="000000" w:themeColor="text1"/>
          <w:sz w:val="24"/>
          <w:highlight w:val="none"/>
          <w:lang w:eastAsia="zh-CN"/>
          <w14:textFill>
            <w14:solidFill>
              <w14:schemeClr w14:val="tx1"/>
            </w14:solidFill>
          </w14:textFill>
        </w:rPr>
        <w:t>通用</w:t>
      </w:r>
      <w:r>
        <w:rPr>
          <w:rFonts w:hint="eastAsia" w:ascii="宋体" w:hAnsi="宋体" w:cs="宋体"/>
          <w:color w:val="000000" w:themeColor="text1"/>
          <w:sz w:val="24"/>
          <w:highlight w:val="none"/>
          <w14:textFill>
            <w14:solidFill>
              <w14:schemeClr w14:val="tx1"/>
            </w14:solidFill>
          </w14:textFill>
        </w:rPr>
        <w:t>合同条款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lang w:eastAsia="zh-CN"/>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 xml:space="preserve">章  </w:t>
      </w:r>
      <w:r>
        <w:rPr>
          <w:rFonts w:hint="eastAsia" w:ascii="宋体" w:hAnsi="宋体" w:cs="宋体"/>
          <w:color w:val="000000" w:themeColor="text1"/>
          <w:sz w:val="24"/>
          <w:highlight w:val="none"/>
          <w:lang w:eastAsia="zh-CN"/>
          <w14:textFill>
            <w14:solidFill>
              <w14:schemeClr w14:val="tx1"/>
            </w14:solidFill>
          </w14:textFill>
        </w:rPr>
        <w:t>专用</w:t>
      </w:r>
      <w:r>
        <w:rPr>
          <w:rFonts w:hint="eastAsia" w:ascii="宋体" w:hAnsi="宋体" w:cs="宋体"/>
          <w:color w:val="000000" w:themeColor="text1"/>
          <w:sz w:val="24"/>
          <w:highlight w:val="none"/>
          <w14:textFill>
            <w14:solidFill>
              <w14:schemeClr w14:val="tx1"/>
            </w14:solidFill>
          </w14:textFill>
        </w:rPr>
        <w:t>合同条款</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lang w:eastAsia="zh-CN"/>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章  投标文件格式</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lang w:eastAsia="zh-CN"/>
          <w14:textFill>
            <w14:solidFill>
              <w14:schemeClr w14:val="tx1"/>
            </w14:solidFill>
          </w14:textFill>
        </w:rPr>
        <w:t>七</w:t>
      </w:r>
      <w:r>
        <w:rPr>
          <w:rFonts w:hint="eastAsia" w:ascii="宋体" w:hAnsi="宋体" w:cs="宋体"/>
          <w:color w:val="000000" w:themeColor="text1"/>
          <w:sz w:val="24"/>
          <w:highlight w:val="none"/>
          <w14:textFill>
            <w14:solidFill>
              <w14:schemeClr w14:val="tx1"/>
            </w14:solidFill>
          </w14:textFill>
        </w:rPr>
        <w:t>章  评标办法（综合评分法）</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10.2 招标文件以中文编印，以中文文本为准。</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10.3 除非有特殊要求，招标文件不单独提供招标项目使用地的自然环境、气候条件、劳动力及公用设施等情况，投标人被视为熟悉上述条件或若</w:t>
      </w:r>
      <w:r>
        <w:rPr>
          <w:rFonts w:hint="eastAsia" w:hAnsi="宋体" w:cs="宋体"/>
          <w:color w:val="000000" w:themeColor="text1"/>
          <w:sz w:val="24"/>
          <w:highlight w:val="none"/>
          <w:lang w:eastAsia="zh-CN"/>
          <w14:textFill>
            <w14:solidFill>
              <w14:schemeClr w14:val="tx1"/>
            </w14:solidFill>
          </w14:textFill>
        </w:rPr>
        <w:t>中标</w:t>
      </w:r>
      <w:r>
        <w:rPr>
          <w:rFonts w:hint="eastAsia" w:hAnsi="宋体" w:cs="宋体"/>
          <w:color w:val="000000" w:themeColor="text1"/>
          <w:sz w:val="24"/>
          <w:highlight w:val="none"/>
          <w14:textFill>
            <w14:solidFill>
              <w14:schemeClr w14:val="tx1"/>
            </w14:solidFill>
          </w14:textFill>
        </w:rPr>
        <w:t>履行合同有关的一切情况。</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10.4采购人向投标人提供的有关数据和资料，是采购人现有的能被投标人利用的资料，投标人对此做出的推论、理解和结论自行负责。</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67" w:name="_Toc233274820"/>
      <w:bookmarkStart w:id="68" w:name="_Toc245897280"/>
      <w:bookmarkStart w:id="69" w:name="_Toc243906320"/>
      <w:bookmarkStart w:id="70" w:name="_Toc243907580"/>
      <w:r>
        <w:rPr>
          <w:rFonts w:hint="eastAsia" w:hAnsi="宋体" w:cs="宋体"/>
          <w:color w:val="000000" w:themeColor="text1"/>
          <w:sz w:val="24"/>
          <w:highlight w:val="none"/>
          <w14:textFill>
            <w14:solidFill>
              <w14:schemeClr w14:val="tx1"/>
            </w14:solidFill>
          </w14:textFill>
        </w:rPr>
        <w:t>11、招标文件的澄清</w:t>
      </w:r>
      <w:bookmarkEnd w:id="67"/>
      <w:bookmarkEnd w:id="68"/>
      <w:bookmarkEnd w:id="69"/>
      <w:bookmarkEnd w:id="70"/>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11.1 投标人对招标文件如有疑问，可要求澄清，应按</w:t>
      </w:r>
      <w:r>
        <w:rPr>
          <w:rFonts w:hint="eastAsia" w:hAnsi="宋体" w:cs="宋体"/>
          <w:b/>
          <w:bCs/>
          <w:color w:val="000000" w:themeColor="text1"/>
          <w:sz w:val="24"/>
          <w:highlight w:val="none"/>
          <w14:textFill>
            <w14:solidFill>
              <w14:schemeClr w14:val="tx1"/>
            </w14:solidFill>
          </w14:textFill>
        </w:rPr>
        <w:t>招标文件“投标人须知前附表第</w:t>
      </w:r>
      <w:r>
        <w:rPr>
          <w:rFonts w:hint="eastAsia" w:hAnsi="宋体" w:cs="宋体"/>
          <w:b/>
          <w:bCs/>
          <w:color w:val="000000" w:themeColor="text1"/>
          <w:sz w:val="24"/>
          <w:highlight w:val="none"/>
          <w:lang w:val="en-US" w:eastAsia="zh-CN"/>
          <w14:textFill>
            <w14:solidFill>
              <w14:schemeClr w14:val="tx1"/>
            </w14:solidFill>
          </w14:textFill>
        </w:rPr>
        <w:t>6</w:t>
      </w:r>
      <w:r>
        <w:rPr>
          <w:rFonts w:hint="eastAsia" w:hAnsi="宋体" w:cs="宋体"/>
          <w:b/>
          <w:bCs/>
          <w:color w:val="000000" w:themeColor="text1"/>
          <w:sz w:val="24"/>
          <w:highlight w:val="none"/>
          <w14:textFill>
            <w14:solidFill>
              <w14:schemeClr w14:val="tx1"/>
            </w14:solidFill>
          </w14:textFill>
        </w:rPr>
        <w:t>条”以</w:t>
      </w:r>
      <w:r>
        <w:rPr>
          <w:rFonts w:hint="eastAsia" w:hAnsi="宋体" w:cs="宋体"/>
          <w:b/>
          <w:bCs/>
          <w:color w:val="000000" w:themeColor="text1"/>
          <w:sz w:val="24"/>
          <w:highlight w:val="none"/>
          <w:lang w:eastAsia="zh-CN"/>
          <w14:textFill>
            <w14:solidFill>
              <w14:schemeClr w14:val="tx1"/>
            </w14:solidFill>
          </w14:textFill>
        </w:rPr>
        <w:t>扫描件</w:t>
      </w:r>
      <w:r>
        <w:rPr>
          <w:rFonts w:hint="eastAsia" w:hAnsi="宋体" w:cs="宋体"/>
          <w:b/>
          <w:bCs/>
          <w:color w:val="000000" w:themeColor="text1"/>
          <w:sz w:val="24"/>
          <w:highlight w:val="none"/>
          <w14:textFill>
            <w14:solidFill>
              <w14:schemeClr w14:val="tx1"/>
            </w14:solidFill>
          </w14:textFill>
        </w:rPr>
        <w:t>形式（必须加盖</w:t>
      </w:r>
      <w:r>
        <w:rPr>
          <w:rFonts w:hint="eastAsia" w:hAnsi="宋体" w:cs="宋体"/>
          <w:b/>
          <w:bCs/>
          <w:color w:val="000000" w:themeColor="text1"/>
          <w:sz w:val="24"/>
          <w:highlight w:val="none"/>
          <w:lang w:eastAsia="zh-CN"/>
          <w14:textFill>
            <w14:solidFill>
              <w14:schemeClr w14:val="tx1"/>
            </w14:solidFill>
          </w14:textFill>
        </w:rPr>
        <w:t>投标人</w:t>
      </w:r>
      <w:r>
        <w:rPr>
          <w:rFonts w:hint="eastAsia" w:hAnsi="宋体" w:cs="宋体"/>
          <w:b/>
          <w:bCs/>
          <w:color w:val="000000" w:themeColor="text1"/>
          <w:sz w:val="24"/>
          <w:highlight w:val="none"/>
          <w14:textFill>
            <w14:solidFill>
              <w14:schemeClr w14:val="tx1"/>
            </w14:solidFill>
          </w14:textFill>
        </w:rPr>
        <w:t>公章）发至</w:t>
      </w:r>
      <w:r>
        <w:rPr>
          <w:rFonts w:hint="eastAsia" w:hAnsi="宋体" w:cs="宋体"/>
          <w:b/>
          <w:bCs/>
          <w:color w:val="000000" w:themeColor="text1"/>
          <w:sz w:val="24"/>
          <w:highlight w:val="none"/>
          <w:lang w:eastAsia="zh-CN"/>
          <w14:textFill>
            <w14:solidFill>
              <w14:schemeClr w14:val="tx1"/>
            </w14:solidFill>
          </w14:textFill>
        </w:rPr>
        <w:t>邮箱2547416947@qq.com</w:t>
      </w:r>
      <w:r>
        <w:rPr>
          <w:rFonts w:hint="eastAsia" w:hAnsi="宋体" w:cs="宋体"/>
          <w:b/>
          <w:bCs/>
          <w:color w:val="000000" w:themeColor="text1"/>
          <w:sz w:val="24"/>
          <w:highlight w:val="non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采购人和招标代理机构将视情况以书面形式予以答复，并发至领取招标文件的每位投标人。答复中包括所提问题，但不包括问题的来源。</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11.2 如果上述答复涉及对招标文件的修改或补充，则它将被视为招标文件的组成部分。凡原先所发招标文件中的内容与答复中的内容不一致之处，以最后书面答复为准。任何电话或口头咨询和答复的意思解释均不具有法律约束力。</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bookmarkStart w:id="71" w:name="_Toc233274821"/>
      <w:bookmarkStart w:id="72" w:name="_Toc245897281"/>
      <w:bookmarkStart w:id="73" w:name="_Toc243907581"/>
      <w:bookmarkStart w:id="74" w:name="_Toc243906321"/>
      <w:r>
        <w:rPr>
          <w:rFonts w:hint="eastAsia" w:hAnsi="宋体" w:cs="宋体"/>
          <w:color w:val="000000" w:themeColor="text1"/>
          <w:sz w:val="24"/>
          <w:highlight w:val="none"/>
          <w14:textFill>
            <w14:solidFill>
              <w14:schemeClr w14:val="tx1"/>
            </w14:solidFill>
          </w14:textFill>
        </w:rPr>
        <w:t>12、招标文件的修改和补充</w:t>
      </w:r>
      <w:bookmarkEnd w:id="71"/>
      <w:bookmarkEnd w:id="72"/>
      <w:bookmarkEnd w:id="73"/>
      <w:bookmarkEnd w:id="74"/>
      <w:r>
        <w:rPr>
          <w:rFonts w:hint="eastAsia" w:hAnsi="宋体" w:cs="宋体"/>
          <w:color w:val="000000" w:themeColor="text1"/>
          <w:sz w:val="24"/>
          <w:highlight w:val="none"/>
          <w14:textFill>
            <w14:solidFill>
              <w14:schemeClr w14:val="tx1"/>
            </w14:solidFill>
          </w14:textFill>
        </w:rPr>
        <w:tab/>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12.1澄清或者修改的内容可能影响投标文件编制的，采购人或者招标代理机构应当在投标截止时间至少15日前，以书面形式通知所有获取招标文件的潜在投标人；不足15日的，采购人或者招标代理机构应当顺延提交投标文件的截止时间。修改或补充文件将作为招标文件的组成部分，对所有投标人具有约束力。</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12.2投标人在每次收到招标代理机构发至的书面文件后，应在收到后24小时内以书面形式并加盖投标人公章予以确认。</w:t>
      </w:r>
    </w:p>
    <w:p>
      <w:pPr>
        <w:pStyle w:val="33"/>
        <w:keepNext w:val="0"/>
        <w:keepLines w:val="0"/>
        <w:pageBreakBefore w:val="0"/>
        <w:widowControl w:val="0"/>
        <w:kinsoku/>
        <w:wordWrap/>
        <w:overflowPunct/>
        <w:topLinePunct w:val="0"/>
        <w:autoSpaceDE/>
        <w:autoSpaceDN/>
        <w:bidi w:val="0"/>
        <w:snapToGrid/>
        <w:spacing w:line="360" w:lineRule="auto"/>
        <w:ind w:firstLine="562" w:firstLineChars="200"/>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C 投标文件的编写</w:t>
      </w:r>
      <w:bookmarkEnd w:id="62"/>
      <w:bookmarkEnd w:id="63"/>
      <w:bookmarkEnd w:id="64"/>
      <w:bookmarkEnd w:id="65"/>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75" w:name="_Toc233274823"/>
      <w:bookmarkStart w:id="76" w:name="_Toc243906323"/>
      <w:bookmarkStart w:id="77" w:name="_Toc243907583"/>
      <w:bookmarkStart w:id="78" w:name="_Toc245897283"/>
      <w:r>
        <w:rPr>
          <w:rFonts w:hint="eastAsia" w:hAnsi="宋体" w:cs="宋体"/>
          <w:color w:val="000000" w:themeColor="text1"/>
          <w:sz w:val="24"/>
          <w:highlight w:val="none"/>
          <w14:textFill>
            <w14:solidFill>
              <w14:schemeClr w14:val="tx1"/>
            </w14:solidFill>
          </w14:textFill>
        </w:rPr>
        <w:t>13、投标文件的编写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投标人必须详细阅读招标文件的章、节、条款、格式等所有内容，按招标文件的要求提交投标文件，并保证所提供的全部文件及相关资料的真实性，以使其对招标文件做出实质性投标。投标人应仔细阅读并充分理解招标文件、技术规范及标准、项目采购需求、合同条款后</w:t>
      </w:r>
      <w:r>
        <w:rPr>
          <w:rFonts w:hint="eastAsia" w:ascii="宋体" w:hAnsi="宋体" w:cs="宋体"/>
          <w:b/>
          <w:color w:val="000000" w:themeColor="text1"/>
          <w:sz w:val="24"/>
          <w:highlight w:val="none"/>
          <w14:textFill>
            <w14:solidFill>
              <w14:schemeClr w14:val="tx1"/>
            </w14:solidFill>
          </w14:textFill>
        </w:rPr>
        <w:t>编制投标文件</w:t>
      </w:r>
      <w:r>
        <w:rPr>
          <w:rFonts w:hint="eastAsia" w:ascii="宋体" w:hAnsi="宋体" w:cs="宋体"/>
          <w:color w:val="000000" w:themeColor="text1"/>
          <w:sz w:val="24"/>
          <w:highlight w:val="none"/>
          <w14:textFill>
            <w14:solidFill>
              <w14:schemeClr w14:val="tx1"/>
            </w14:solidFill>
          </w14:textFill>
        </w:rPr>
        <w:t>。</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14、投标文件的语言及计量单位</w:t>
      </w:r>
    </w:p>
    <w:p>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14.1 投标文件及投标人和采购人及招标代理机构就有关公开的所有文件和来往函件，应以中文书写。投标人可以提交用其他语言（原文）打印的资料，但必须翻译成中文，当原文和译文（中文）之间存有差异和/或矛盾时，以中文为准。</w:t>
      </w:r>
    </w:p>
    <w:p>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14.2 除在招标文件的项目采购需求中另有规定外，计量单位应使用中华人民共和国法定计量单位（国际单位制和国家选定的其它计量单位）。如投标人采用其它计量单位，需事先得到采购人的同意。</w:t>
      </w:r>
    </w:p>
    <w:p>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15、知识产权</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15.1投标人应保证在本项目使用的任何产品和服务时，不会产生因第三方提出侵犯其专利权、商标权或其它知识产权而引起的法律和经济纠纷，如因专利权、商标权或其它知识产权而引起法律和经济纠纷，由投标人承担所有相关责任。</w:t>
      </w:r>
    </w:p>
    <w:p>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14.2 采购人享有本项目实施过程中产生的知识成果及知识产权。</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15.3投标人如欲在项目实施过程中采用自有知识成果，需在投标文件中声明，并提供相关知识产权证明文件。使用该知识成果后，投标人需承诺提供无限期技术支持，采购人享有永久使用权。</w:t>
      </w:r>
    </w:p>
    <w:p>
      <w:pPr>
        <w:spacing w:line="360" w:lineRule="auto"/>
        <w:ind w:firstLine="460" w:firstLineChars="19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15.4 投标人如采用其所不拥有的知识产权，则在其商务报价中必须包括合法获取该知识产权的相关费用。 </w:t>
      </w:r>
    </w:p>
    <w:p>
      <w:pPr>
        <w:pStyle w:val="33"/>
        <w:spacing w:line="360" w:lineRule="auto"/>
        <w:ind w:firstLine="482" w:firstLineChars="2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16、投标文件的组成：</w:t>
      </w:r>
      <w:r>
        <w:rPr>
          <w:rFonts w:hint="eastAsia" w:hAnsi="宋体" w:cs="宋体"/>
          <w:b/>
          <w:color w:val="000000" w:themeColor="text1"/>
          <w:sz w:val="24"/>
          <w:szCs w:val="24"/>
          <w:highlight w:val="none"/>
          <w14:textFill>
            <w14:solidFill>
              <w14:schemeClr w14:val="tx1"/>
            </w14:solidFill>
          </w14:textFill>
        </w:rPr>
        <w:t>由</w:t>
      </w:r>
      <w:r>
        <w:rPr>
          <w:rFonts w:hint="eastAsia" w:hAnsi="宋体" w:cs="宋体"/>
          <w:b/>
          <w:color w:val="000000" w:themeColor="text1"/>
          <w:sz w:val="24"/>
          <w:highlight w:val="none"/>
          <w14:textFill>
            <w14:solidFill>
              <w14:schemeClr w14:val="tx1"/>
            </w14:solidFill>
          </w14:textFill>
        </w:rPr>
        <w:t>资格证明文件、</w:t>
      </w:r>
      <w:r>
        <w:rPr>
          <w:rFonts w:hint="eastAsia" w:hAnsi="宋体" w:cs="宋体"/>
          <w:b/>
          <w:color w:val="000000" w:themeColor="text1"/>
          <w:sz w:val="24"/>
          <w:szCs w:val="24"/>
          <w:highlight w:val="none"/>
          <w14:textFill>
            <w14:solidFill>
              <w14:schemeClr w14:val="tx1"/>
            </w14:solidFill>
          </w14:textFill>
        </w:rPr>
        <w:t>商务文件、技术文件组成，分别打印、装订、密封，均须编制目录及页码。</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各投标人应对照第三章“项目采购需求”及第</w:t>
      </w:r>
      <w:r>
        <w:rPr>
          <w:rFonts w:hint="eastAsia" w:ascii="宋体" w:hAnsi="宋体" w:cs="宋体"/>
          <w:b/>
          <w:color w:val="000000" w:themeColor="text1"/>
          <w:sz w:val="24"/>
          <w:highlight w:val="none"/>
          <w:lang w:eastAsia="zh-CN"/>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章“评标办法（综合评分法）”提供必要的证明资料，投标文件应包括但不限于以下内容：</w:t>
      </w:r>
    </w:p>
    <w:p>
      <w:pPr>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16.1资格证明文件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投标人资格证明文件应简要客观反映企业面貌，使</w:t>
      </w:r>
      <w:r>
        <w:rPr>
          <w:rFonts w:hint="eastAsia" w:ascii="宋体" w:hAnsi="宋体" w:cs="宋体"/>
          <w:b/>
          <w:bCs/>
          <w:color w:val="000000" w:themeColor="text1"/>
          <w:sz w:val="24"/>
          <w:highlight w:val="none"/>
          <w:lang w:eastAsia="zh-CN"/>
          <w14:textFill>
            <w14:solidFill>
              <w14:schemeClr w14:val="tx1"/>
            </w14:solidFill>
          </w14:textFill>
        </w:rPr>
        <w:t>采购人</w:t>
      </w:r>
      <w:r>
        <w:rPr>
          <w:rFonts w:hint="eastAsia" w:ascii="宋体" w:hAnsi="宋体" w:cs="宋体"/>
          <w:b/>
          <w:bCs/>
          <w:color w:val="000000" w:themeColor="text1"/>
          <w:sz w:val="24"/>
          <w:highlight w:val="none"/>
          <w14:textFill>
            <w14:solidFill>
              <w14:schemeClr w14:val="tx1"/>
            </w14:solidFill>
          </w14:textFill>
        </w:rPr>
        <w:t>对其有感性了解，必须如实提供，如发现失实之处将影响其</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。资格证明文件包括但不仅限于以下内容，投标人对照第六章“1</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1资格性审查”提供必要的证明材料：</w:t>
      </w:r>
    </w:p>
    <w:p>
      <w:pPr>
        <w:tabs>
          <w:tab w:val="left" w:pos="360"/>
          <w:tab w:val="left" w:pos="1800"/>
        </w:tabs>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（1）法定代表人资格证明书</w:t>
      </w:r>
      <w:r>
        <w:rPr>
          <w:rFonts w:hint="eastAsia" w:ascii="宋体" w:hAnsi="宋体" w:cs="宋体"/>
          <w:color w:val="000000" w:themeColor="text1"/>
          <w:sz w:val="24"/>
          <w:highlight w:val="none"/>
          <w14:textFill>
            <w14:solidFill>
              <w14:schemeClr w14:val="tx1"/>
            </w14:solidFill>
          </w14:textFill>
        </w:rPr>
        <w:t>（详见格式1）；</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（2）法定代表人授权书</w:t>
      </w:r>
      <w:r>
        <w:rPr>
          <w:rFonts w:hint="eastAsia" w:ascii="宋体" w:hAnsi="宋体" w:cs="宋体"/>
          <w:color w:val="000000" w:themeColor="text1"/>
          <w:sz w:val="24"/>
          <w:highlight w:val="none"/>
          <w14:textFill>
            <w14:solidFill>
              <w14:schemeClr w14:val="tx1"/>
            </w14:solidFill>
          </w14:textFill>
        </w:rPr>
        <w:t>（详见格式2）；</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（3）投标人资格声明（详见格式3）；</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）中小企业声明函（详见格式</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）有效的三证合一营业执照（复印件）；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）项目负责人简历表（详见格式</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），项目负责人提供建设行政主管部门核发的有效期内的</w:t>
      </w:r>
      <w:r>
        <w:rPr>
          <w:rFonts w:hint="eastAsia" w:ascii="宋体" w:hAnsi="宋体" w:cs="宋体"/>
          <w:color w:val="000000" w:themeColor="text1"/>
          <w:sz w:val="24"/>
          <w:highlight w:val="none"/>
          <w:lang w:eastAsia="zh-CN"/>
          <w14:textFill>
            <w14:solidFill>
              <w14:schemeClr w14:val="tx1"/>
            </w14:solidFill>
          </w14:textFill>
        </w:rPr>
        <w:t>市政公用</w:t>
      </w:r>
      <w:r>
        <w:rPr>
          <w:rFonts w:hint="eastAsia" w:ascii="宋体" w:hAnsi="宋体" w:eastAsia="宋体" w:cs="宋体"/>
          <w:color w:val="000000" w:themeColor="text1"/>
          <w:sz w:val="24"/>
          <w:highlight w:val="none"/>
          <w14:textFill>
            <w14:solidFill>
              <w14:schemeClr w14:val="tx1"/>
            </w14:solidFill>
          </w14:textFill>
        </w:rPr>
        <w:t>工程贰级及以上建造师注册证书，并提供有效期内的安全生产考核合格证（A类或B类）；</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）主要施工管理人员表（详见格式</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eastAsia="宋体" w:cs="宋体"/>
          <w:bCs/>
          <w:color w:val="000000" w:themeColor="text1"/>
          <w:sz w:val="24"/>
          <w:highlight w:val="none"/>
          <w14:textFill>
            <w14:solidFill>
              <w14:schemeClr w14:val="tx1"/>
            </w14:solidFill>
          </w14:textFill>
        </w:rPr>
        <w:t>）投标人应提供具有完成本工程所需的施工机械和设备，提供《拟投入本工程的主要机械、设备及检测仪器表》（详见格式</w:t>
      </w:r>
      <w:r>
        <w:rPr>
          <w:rFonts w:hint="eastAsia" w:ascii="宋体" w:hAnsi="宋体" w:eastAsia="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投标人根据《中华人民共和国政府采购法》第二十二条相关规定（共5条）提供相应的证明材料；</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10</w:t>
      </w:r>
      <w:r>
        <w:rPr>
          <w:rFonts w:hint="eastAsia" w:ascii="宋体" w:hAnsi="宋体" w:cs="宋体"/>
          <w:b/>
          <w:color w:val="000000" w:themeColor="text1"/>
          <w:sz w:val="24"/>
          <w:highlight w:val="none"/>
          <w14:textFill>
            <w14:solidFill>
              <w14:schemeClr w14:val="tx1"/>
            </w14:solidFill>
          </w14:textFill>
        </w:rPr>
        <w:t>）提供其完整并在有效期内的信合联服信用报告,并且综合信用等级为C级以上（含C级）（复印件）；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11</w:t>
      </w:r>
      <w:r>
        <w:rPr>
          <w:rFonts w:hint="eastAsia" w:ascii="宋体" w:hAnsi="宋体" w:cs="宋体"/>
          <w:bCs/>
          <w:color w:val="000000" w:themeColor="text1"/>
          <w:sz w:val="24"/>
          <w:highlight w:val="none"/>
          <w14:textFill>
            <w14:solidFill>
              <w14:schemeClr w14:val="tx1"/>
            </w14:solidFill>
          </w14:textFill>
        </w:rPr>
        <w:t>）资格性/符合性自查表</w:t>
      </w:r>
      <w:r>
        <w:rPr>
          <w:rFonts w:hint="eastAsia" w:ascii="宋体" w:hAnsi="宋体" w:cs="宋体"/>
          <w:color w:val="000000" w:themeColor="text1"/>
          <w:sz w:val="24"/>
          <w:highlight w:val="none"/>
          <w14:textFill>
            <w14:solidFill>
              <w14:schemeClr w14:val="tx1"/>
            </w14:solidFill>
          </w14:textFill>
        </w:rPr>
        <w:t>（详见格式</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w:t>
      </w:r>
    </w:p>
    <w:p>
      <w:pPr>
        <w:pStyle w:val="5"/>
        <w:tabs>
          <w:tab w:val="left" w:pos="0"/>
        </w:tabs>
        <w:overflowPunct w:val="0"/>
        <w:spacing w:line="360" w:lineRule="auto"/>
        <w:ind w:firstLine="480" w:firstLineChars="200"/>
        <w:jc w:val="both"/>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（1</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提供近</w:t>
      </w:r>
      <w:r>
        <w:rPr>
          <w:rFonts w:hint="eastAsia" w:ascii="宋体" w:hAnsi="宋体" w:cs="宋体"/>
          <w:color w:val="000000" w:themeColor="text1"/>
          <w:sz w:val="24"/>
          <w:szCs w:val="24"/>
          <w:highlight w:val="none"/>
          <w:lang w:eastAsia="zh-CN"/>
          <w14:textFill>
            <w14:solidFill>
              <w14:schemeClr w14:val="tx1"/>
            </w14:solidFill>
          </w14:textFill>
        </w:rPr>
        <w:t>上一年度</w:t>
      </w:r>
      <w:r>
        <w:rPr>
          <w:rFonts w:hint="eastAsia" w:ascii="宋体" w:hAnsi="宋体" w:cs="宋体"/>
          <w:color w:val="000000" w:themeColor="text1"/>
          <w:sz w:val="24"/>
          <w:szCs w:val="24"/>
          <w:highlight w:val="none"/>
          <w14:textFill>
            <w14:solidFill>
              <w14:schemeClr w14:val="tx1"/>
            </w14:solidFill>
          </w14:textFill>
        </w:rPr>
        <w:t>的财务审计报告复印件</w:t>
      </w:r>
      <w:r>
        <w:rPr>
          <w:rFonts w:hint="eastAsia" w:ascii="宋体" w:hAnsi="宋体" w:eastAsia="宋体" w:cs="宋体"/>
          <w:color w:val="000000" w:themeColor="text1"/>
          <w:sz w:val="24"/>
          <w:szCs w:val="24"/>
          <w:highlight w:val="none"/>
          <w14:textFill>
            <w14:solidFill>
              <w14:schemeClr w14:val="tx1"/>
            </w14:solidFill>
          </w14:textFill>
        </w:rPr>
        <w:t>（包括资产负债表、现金流量表、利润表、财务审计报告，</w:t>
      </w:r>
      <w:r>
        <w:rPr>
          <w:rFonts w:hint="eastAsia" w:ascii="宋体" w:hAnsi="宋体" w:eastAsia="宋体" w:cs="宋体"/>
          <w:b/>
          <w:bCs/>
          <w:color w:val="000000" w:themeColor="text1"/>
          <w:sz w:val="24"/>
          <w:szCs w:val="24"/>
          <w:highlight w:val="none"/>
          <w14:textFill>
            <w14:solidFill>
              <w14:schemeClr w14:val="tx1"/>
            </w14:solidFill>
          </w14:textFill>
        </w:rPr>
        <w:t>新成立的公司提供情况说明</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5"/>
        <w:tabs>
          <w:tab w:val="left" w:pos="0"/>
        </w:tabs>
        <w:overflowPunct w:val="0"/>
        <w:spacing w:line="360" w:lineRule="auto"/>
        <w:ind w:firstLine="480" w:firstLineChars="200"/>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）提供近三个月依法缴纳税收和社会保障资金的良好记录的证明材料（附复印件）；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）企业近三年（201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年1月1日至今）的获奖、荣誉证书等能够体现企业信誉及其它与本项目有关的能证明企业实力的各项证明资料；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）体现企业生产能力、管理水平、技术力量、设备配备的相关证明资料；</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）在本行业相关的技术领域的技术创新和技术突破情况。</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16.2商务文件</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（1）投标函（详见格式</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）投标文件附录（详见格式</w:t>
      </w:r>
      <w:r>
        <w:rPr>
          <w:rFonts w:hint="eastAsia" w:ascii="宋体" w:hAnsi="宋体" w:cs="宋体"/>
          <w:color w:val="000000" w:themeColor="text1"/>
          <w:sz w:val="24"/>
          <w:highlight w:val="none"/>
          <w:lang w:val="en-US" w:eastAsia="zh-CN"/>
          <w14:textFill>
            <w14:solidFill>
              <w14:schemeClr w14:val="tx1"/>
            </w14:solidFill>
          </w14:textFill>
        </w:rPr>
        <w:t>9-1</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）投标总价封面（详见格式</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）投标总价（详见格式</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）安全文明施工费明细表（详</w:t>
      </w:r>
      <w:r>
        <w:rPr>
          <w:rFonts w:hint="eastAsia" w:ascii="宋体" w:hAnsi="宋体" w:cs="宋体"/>
          <w:color w:val="000000" w:themeColor="text1"/>
          <w:sz w:val="24"/>
          <w:highlight w:val="none"/>
          <w14:textFill>
            <w14:solidFill>
              <w14:schemeClr w14:val="tx1"/>
            </w14:solidFill>
          </w14:textFill>
        </w:rPr>
        <w:t>见格式</w:t>
      </w:r>
      <w:r>
        <w:rPr>
          <w:rFonts w:hint="eastAsia" w:ascii="宋体" w:hAnsi="宋体" w:cs="宋体"/>
          <w:color w:val="000000" w:themeColor="text1"/>
          <w:sz w:val="24"/>
          <w:highlight w:val="none"/>
          <w:lang w:val="en-US" w:eastAsia="zh-CN"/>
          <w14:textFill>
            <w14:solidFill>
              <w14:schemeClr w14:val="tx1"/>
            </w14:solidFill>
          </w14:textFill>
        </w:rPr>
        <w:t>11-1</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投标总价总说明（详见格式</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建设项目投标报价汇总表（详见格式</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单项工程投标报价汇总表（详见格式</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单位工程投标报价汇总表（详见格式</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分部分项工程和单价措施项目清单与计价表（详见格式</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综合单价分析表（详见格式</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总价措施项目清单与计价表（详见格式</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措施项目汇总表（详见格式</w:t>
      </w:r>
      <w:r>
        <w:rPr>
          <w:rFonts w:hint="eastAsia" w:ascii="宋体" w:hAnsi="宋体" w:cs="宋体"/>
          <w:color w:val="000000" w:themeColor="text1"/>
          <w:sz w:val="24"/>
          <w:highlight w:val="none"/>
          <w:lang w:val="en-US" w:eastAsia="zh-CN"/>
          <w14:textFill>
            <w14:solidFill>
              <w14:schemeClr w14:val="tx1"/>
            </w14:solidFill>
          </w14:textFill>
        </w:rPr>
        <w:t>18-1</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其他项目清单与计价汇总表（详见格式</w:t>
      </w:r>
      <w:r>
        <w:rPr>
          <w:rFonts w:hint="eastAsia" w:ascii="宋体" w:hAnsi="宋体" w:cs="宋体"/>
          <w:color w:val="000000" w:themeColor="text1"/>
          <w:sz w:val="24"/>
          <w:highlight w:val="none"/>
          <w:lang w:val="en-US" w:eastAsia="zh-CN"/>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暂列金额明细表（详见格式</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材料（工程设备）暂估单价及调整表（详见格式</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专业工程暂估表及结算价表（详见格式</w:t>
      </w: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计日工表（详见格式</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总承包服务费计价表（详见格式</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规费、税金项目计价表（</w:t>
      </w:r>
      <w:r>
        <w:rPr>
          <w:rFonts w:hint="eastAsia" w:ascii="宋体" w:hAnsi="宋体" w:cs="宋体"/>
          <w:color w:val="000000" w:themeColor="text1"/>
          <w:sz w:val="24"/>
          <w:highlight w:val="none"/>
          <w:lang w:eastAsia="zh-CN"/>
          <w14:textFill>
            <w14:solidFill>
              <w14:schemeClr w14:val="tx1"/>
            </w14:solidFill>
          </w14:textFill>
        </w:rPr>
        <w:t>园林绿化工程</w:t>
      </w:r>
      <w:r>
        <w:rPr>
          <w:rFonts w:hint="eastAsia" w:ascii="宋体" w:hAnsi="宋体" w:cs="宋体"/>
          <w:color w:val="000000" w:themeColor="text1"/>
          <w:sz w:val="24"/>
          <w:highlight w:val="none"/>
          <w14:textFill>
            <w14:solidFill>
              <w14:schemeClr w14:val="tx1"/>
            </w14:solidFill>
          </w14:textFill>
        </w:rPr>
        <w:t>）（详见格式</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主要材料、设备价格表（</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提供）》（详见格式</w:t>
      </w:r>
      <w:r>
        <w:rPr>
          <w:rFonts w:hint="eastAsia" w:ascii="宋体" w:hAnsi="宋体" w:cs="宋体"/>
          <w:color w:val="000000" w:themeColor="text1"/>
          <w:sz w:val="24"/>
          <w:highlight w:val="none"/>
          <w:lang w:val="en-US" w:eastAsia="zh-CN"/>
          <w14:textFill>
            <w14:solidFill>
              <w14:schemeClr w14:val="tx1"/>
            </w14:solidFill>
          </w14:textFill>
        </w:rPr>
        <w:t>26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）商务条款偏离表（详见格式</w:t>
      </w:r>
      <w:r>
        <w:rPr>
          <w:rFonts w:hint="eastAsia" w:ascii="宋体" w:hAnsi="宋体" w:cs="宋体"/>
          <w:color w:val="000000" w:themeColor="text1"/>
          <w:sz w:val="24"/>
          <w:highlight w:val="none"/>
          <w:lang w:val="en-US" w:eastAsia="zh-CN"/>
          <w14:textFill>
            <w14:solidFill>
              <w14:schemeClr w14:val="tx1"/>
            </w14:solidFill>
          </w14:textFill>
        </w:rPr>
        <w:t>27</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24</w:t>
      </w:r>
      <w:r>
        <w:rPr>
          <w:rFonts w:hint="eastAsia" w:ascii="宋体" w:hAnsi="宋体" w:cs="宋体"/>
          <w:b/>
          <w:bCs/>
          <w:color w:val="000000" w:themeColor="text1"/>
          <w:sz w:val="24"/>
          <w:highlight w:val="none"/>
          <w14:textFill>
            <w14:solidFill>
              <w14:schemeClr w14:val="tx1"/>
            </w14:solidFill>
          </w14:textFill>
        </w:rPr>
        <w:t>）项目采购需求及评审、评分所需提供的其它资料。</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16.3技术文件</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）企业实力、信誉及业绩：投标人情况简介、投标人近三年（201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 xml:space="preserve">年1月1日日至今）类似工程业绩。 </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）施工组织设计：施工部署是否全面、主要工序衔接是否合理，关键节点控制措施是否可行。</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）工机械设备投入：主要针对施工机械投入与施工进度计划是否相呼应且能满足工序衔接的要求及施工机械搭配周全是否合理</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 xml:space="preserve">）劳动力安排计划及其保证措施：主要针对调配投入计划合理性及劳动力安排计划。 </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）材料(周转材料)投入计划：主要针对调配投入计划的合理性,材料组织供应计划及保证措施及是否与施工进度计划相呼应。</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管理人员投入：主要针对项目管理人员对工程实际配置是否合理，项目管理人员配置是否能够满足该工程管理需要。</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施工技术方案：主要针对施工技术方案的合理性,施工部署全面性、是否对本项目的针对性强,对工程施工具有较强的指导性。</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施工进度计划：主要针对工程总进度计划是否合理且留有余地、对施工进度安排是否有切实可行的保证措施。</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质量安全文明施工保证措施：主要针对是否有具体可行的质量、安全、文明保证措施，具体的违约责任、管理机构及管理制度是否健全、质量检测能力与手段是否完善。</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技术难点及相应解决方案：主要针对技术难点及相应解决方案、施工重点难点解决的方案。</w:t>
      </w:r>
    </w:p>
    <w:p>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企业使用劳务工工资发放到位的保证措施是否合理。</w:t>
      </w:r>
    </w:p>
    <w:p>
      <w:pPr>
        <w:spacing w:line="360" w:lineRule="auto"/>
        <w:ind w:firstLine="480" w:firstLineChars="200"/>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lang w:val="zh-CN" w:eastAsia="zh-CN"/>
          <w14:textFill>
            <w14:solidFill>
              <w14:schemeClr w14:val="tx1"/>
            </w14:solidFill>
          </w14:textFill>
        </w:rPr>
        <w:t>）技术规格响应偏离表（详见格式</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lang w:val="zh-CN" w:eastAsia="zh-CN"/>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）招标文件要求提供的其它材料以及投标人认为需要提交的材料。</w:t>
      </w:r>
    </w:p>
    <w:p>
      <w:pPr>
        <w:pStyle w:val="33"/>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特别说明：①上述各种证件、证书复印件须加盖投标人公章。</w:t>
      </w:r>
    </w:p>
    <w:p>
      <w:pPr>
        <w:pStyle w:val="33"/>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② 投标人应如实提供投标资料，并保证真实可靠，不得弄虚作假。如投标人隐瞒事实真相、弄虚作假，一经查实，取消该投标人的投标资格。</w:t>
      </w:r>
    </w:p>
    <w:p>
      <w:pPr>
        <w:pStyle w:val="33"/>
        <w:spacing w:line="360" w:lineRule="auto"/>
        <w:ind w:firstLine="48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17、投标文件格式</w:t>
      </w:r>
    </w:p>
    <w:p>
      <w:pPr>
        <w:pStyle w:val="33"/>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.1投标人应按招标文件提供的格式及商务报价说明完整地填写所提供的合同项目、服务以及单价等内容。</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b/>
          <w:color w:val="000000" w:themeColor="text1"/>
          <w:sz w:val="24"/>
          <w:highlight w:val="none"/>
          <w:lang w:val="en-US" w:eastAsia="zh-CN"/>
          <w14:textFill>
            <w14:solidFill>
              <w14:schemeClr w14:val="tx1"/>
            </w14:solidFill>
          </w14:textFill>
        </w:rPr>
        <w:t>8</w:t>
      </w:r>
      <w:r>
        <w:rPr>
          <w:rFonts w:hint="eastAsia" w:ascii="宋体" w:hAnsi="宋体" w:eastAsia="宋体" w:cs="宋体"/>
          <w:b/>
          <w:color w:val="000000" w:themeColor="text1"/>
          <w:sz w:val="24"/>
          <w:highlight w:val="none"/>
          <w14:textFill>
            <w14:solidFill>
              <w14:schemeClr w14:val="tx1"/>
            </w14:solidFill>
          </w14:textFill>
        </w:rPr>
        <w:t>、编制招标控制价，投标报价的依据及要求</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本工程设定招标控制总价及招标控制价报价，公布招标控制价的时间详见前附表，投标人的投标总价、招标控制价总价为分部分项工程费用+措施项目费用（不含安全文明施工费）+其他项目费用（含暂列金额）+规费+税金+安全文明施工费（</w:t>
      </w:r>
      <w:r>
        <w:rPr>
          <w:rFonts w:hint="eastAsia" w:ascii="宋体" w:hAnsi="宋体" w:eastAsia="宋体" w:cs="宋体"/>
          <w:b/>
          <w:color w:val="000000" w:themeColor="text1"/>
          <w:sz w:val="24"/>
          <w:szCs w:val="24"/>
          <w:highlight w:val="none"/>
          <w:lang w:eastAsia="zh-CN"/>
          <w14:textFill>
            <w14:solidFill>
              <w14:schemeClr w14:val="tx1"/>
            </w14:solidFill>
          </w14:textFill>
        </w:rPr>
        <w:t>格式</w:t>
      </w:r>
      <w:r>
        <w:rPr>
          <w:rFonts w:hint="eastAsia" w:ascii="宋体" w:hAnsi="宋体" w:cs="宋体"/>
          <w:b/>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）的合计。投标人投标总价及投标报价不得高于公布的招标控制价总价及招标控制价报价。</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.2计价方式</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.2.1采用工程量清单计价方式</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.2.2工程量清单计价方式是指按《建设工程工程量清单计价规范》（GB50500-2013）、新疆维吾尔自治区及克拉玛依市相关规定，由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提供工程量清单，投标人根据企业自身实力自主报价的计价方式。</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.2.3工程量清单的编制：由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委托有相应资质的中介机构按照《建设工程工程量清单计价规范》（GB50500-2013）及《工程量计算规范》（GB50854-2013至GB50862-2013）以及新疆维吾尔自治区及克拉玛依市相关计价依据及规定和招标范围，根据施工设计图纸及施工现场实际情况进行编制，随招标文件一同发至各投标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2.4招标工程量清单格式：包括招标工程量清单封面、招标工程量清单扉页、工程量清单总说明、分部分项工程和单价措施项目清单与计价表、总价措施项目清单与计价表、其他项目清单与计价汇总表【包括暂列金额明细表、材料（工程设备）暂估单价及调整表、专业工程暂估价及结算价表、计日工表、总承包服务费计价表】，规费、税金项目清单与计价表等。</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2.5工程量清单投标报价计价格式：包括投标总价封面、投标总价扉页、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.3投标报价编制要求：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.3.1投标人必须按照</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提供的招标工程量清单、招标文件、招标答疑纪要等在招标过程中发至各投标人所有文件、施工设计图纸及相应的技术规范、标准内容以及合同约定的相关内容，依据《建设工程工程量清单计价规范》（GB50500-2013）及《工程量计算规范》（GB50854-2013至GB50862-2013）以及新疆维吾尔自治区、克拉玛依市相关计价依据及规定和招标范围，根据施工设计图纸及施工现场实际情况编制的施工组织设计（或施工方案），结合市场情况报出各项综合单价和合价。</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.3.2投标人应按照招标工程量清单逐项填写单价及合价，招标工程量清单中的</w:t>
      </w:r>
      <w:r>
        <w:rPr>
          <w:rFonts w:hint="eastAsia" w:ascii="宋体" w:hAnsi="宋体" w:eastAsia="宋体" w:cs="宋体"/>
          <w:b/>
          <w:color w:val="000000" w:themeColor="text1"/>
          <w:sz w:val="24"/>
          <w:szCs w:val="24"/>
          <w:highlight w:val="none"/>
          <w14:textFill>
            <w14:solidFill>
              <w14:schemeClr w14:val="tx1"/>
            </w14:solidFill>
          </w14:textFill>
        </w:rPr>
        <w:t>每一项只允许有一个报价，任何有选择性的报价将不予接受。</w:t>
      </w:r>
      <w:r>
        <w:rPr>
          <w:rFonts w:hint="eastAsia" w:ascii="宋体" w:hAnsi="宋体" w:eastAsia="宋体" w:cs="宋体"/>
          <w:color w:val="000000" w:themeColor="text1"/>
          <w:sz w:val="24"/>
          <w:szCs w:val="24"/>
          <w:highlight w:val="none"/>
          <w14:textFill>
            <w14:solidFill>
              <w14:schemeClr w14:val="tx1"/>
            </w14:solidFill>
          </w14:textFill>
        </w:rPr>
        <w:t>投标人未报出综合单价或合价的分项工程，若中标，在实施过程中，</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将不予支付并视为该分项费用已含在已标价工程量清单中其他项目单价和合价内。竣工结算时，此项目不得重新组价予以调整。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3.3投标人应依据《建设工程工程量清单计价规范》（GB50500-2013）及《工程量计算规范》（GB50854-2013至GB50862-2013）以及新疆维吾尔自治区、克拉玛依市相关计价依据及规定、招标范围编制投标报价，投标报价中所填写的单价、合价、各项费率、规费、税金应被视为是对本招标文件、施工设计图纸及相应的技术规范、标准所述的所有条款考虑清楚后所填写的价格，并以综合单价形式确定。本工程所涉及的范围必须按施工设计图纸、招标文件、协议书及合同条款、施工及验收技术规范标准要求进行，任何投标人在投标时出现的减少工程量或漏填工程量清单的风险，一律由投标人自行承担。中标单价不会因投标人的少算和/或漏算而做出调整。</w:t>
      </w:r>
      <w:r>
        <w:rPr>
          <w:rFonts w:hint="eastAsia" w:ascii="宋体" w:hAnsi="宋体" w:eastAsia="宋体" w:cs="宋体"/>
          <w:color w:val="000000" w:themeColor="text1"/>
          <w:sz w:val="24"/>
          <w:highlight w:val="none"/>
          <w14:textFill>
            <w14:solidFill>
              <w14:schemeClr w14:val="tx1"/>
            </w14:solidFill>
          </w14:textFill>
        </w:rPr>
        <w:t>综合单价中一切在投标时没有加入综合单价的项目，而该项为招标文件、招标工程量清单、施工设计图纸、施工验收及技术规范、标准或为完成某项工程或安装所需者，均被视为已包含在报价内</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14:textFill>
            <w14:solidFill>
              <w14:schemeClr w14:val="tx1"/>
            </w14:solidFill>
          </w14:textFill>
        </w:rPr>
        <w:t>4设备、材料</w:t>
      </w:r>
      <w:r>
        <w:rPr>
          <w:rFonts w:hint="eastAsia" w:ascii="宋体" w:hAnsi="宋体" w:cs="宋体"/>
          <w:b/>
          <w:bCs/>
          <w:color w:val="000000" w:themeColor="text1"/>
          <w:sz w:val="24"/>
          <w:szCs w:val="24"/>
          <w:highlight w:val="none"/>
          <w:lang w:eastAsia="zh-CN"/>
          <w14:textFill>
            <w14:solidFill>
              <w14:schemeClr w14:val="tx1"/>
            </w14:solidFill>
          </w14:textFill>
        </w:rPr>
        <w:t>、苗木</w:t>
      </w:r>
      <w:r>
        <w:rPr>
          <w:rFonts w:hint="eastAsia" w:ascii="宋体" w:hAnsi="宋体" w:eastAsia="宋体" w:cs="宋体"/>
          <w:b/>
          <w:bCs/>
          <w:color w:val="000000" w:themeColor="text1"/>
          <w:sz w:val="24"/>
          <w:szCs w:val="24"/>
          <w:highlight w:val="none"/>
          <w14:textFill>
            <w14:solidFill>
              <w14:schemeClr w14:val="tx1"/>
            </w14:solidFill>
          </w14:textFill>
        </w:rPr>
        <w:t>价格均由投标人参考《关于实施建筑业增值税新税率调整克拉玛依地区建设工程计价依据的通知》（克住建发[2018]59号附件1-克拉玛依地区建设工程材料除税预算价格表），并结合市场价并考虑风险自行报价，其余设备、材料</w:t>
      </w:r>
      <w:r>
        <w:rPr>
          <w:rFonts w:hint="eastAsia" w:ascii="宋体" w:hAnsi="宋体" w:cs="宋体"/>
          <w:b/>
          <w:bCs/>
          <w:color w:val="000000" w:themeColor="text1"/>
          <w:sz w:val="24"/>
          <w:szCs w:val="24"/>
          <w:highlight w:val="none"/>
          <w:lang w:eastAsia="zh-CN"/>
          <w14:textFill>
            <w14:solidFill>
              <w14:schemeClr w14:val="tx1"/>
            </w14:solidFill>
          </w14:textFill>
        </w:rPr>
        <w:t>、苗木</w:t>
      </w:r>
      <w:r>
        <w:rPr>
          <w:rFonts w:hint="eastAsia" w:ascii="宋体" w:hAnsi="宋体" w:eastAsia="宋体" w:cs="宋体"/>
          <w:b/>
          <w:bCs/>
          <w:color w:val="000000" w:themeColor="text1"/>
          <w:sz w:val="24"/>
          <w:szCs w:val="24"/>
          <w:highlight w:val="none"/>
          <w14:textFill>
            <w14:solidFill>
              <w14:schemeClr w14:val="tx1"/>
            </w14:solidFill>
          </w14:textFill>
        </w:rPr>
        <w:t>价格在竣工结算时均不予调整。</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《关于实施建筑业增值税新税率调整克拉玛依地区建设工程计价依据的通知》（克住建发[2018]59号附件1-克拉玛依地区建设工程材料除税预算价格表）中无价格的设备、材料</w:t>
      </w:r>
      <w:r>
        <w:rPr>
          <w:rFonts w:hint="eastAsia" w:ascii="宋体" w:hAnsi="宋体" w:cs="宋体"/>
          <w:b/>
          <w:bCs/>
          <w:color w:val="000000" w:themeColor="text1"/>
          <w:sz w:val="24"/>
          <w:szCs w:val="24"/>
          <w:highlight w:val="none"/>
          <w:lang w:eastAsia="zh-CN"/>
          <w14:textFill>
            <w14:solidFill>
              <w14:schemeClr w14:val="tx1"/>
            </w14:solidFill>
          </w14:textFill>
        </w:rPr>
        <w:t>、苗木</w:t>
      </w:r>
      <w:r>
        <w:rPr>
          <w:rFonts w:hint="eastAsia" w:ascii="宋体" w:hAnsi="宋体" w:eastAsia="宋体" w:cs="宋体"/>
          <w:b/>
          <w:bCs/>
          <w:color w:val="000000" w:themeColor="text1"/>
          <w:sz w:val="24"/>
          <w:szCs w:val="24"/>
          <w:highlight w:val="none"/>
          <w14:textFill>
            <w14:solidFill>
              <w14:schemeClr w14:val="tx1"/>
            </w14:solidFill>
          </w14:textFill>
        </w:rPr>
        <w:t>均由投标人结合市场价自行考虑进入投标报价，设备、材料</w:t>
      </w:r>
      <w:r>
        <w:rPr>
          <w:rFonts w:hint="eastAsia" w:ascii="宋体" w:hAnsi="宋体" w:cs="宋体"/>
          <w:b/>
          <w:bCs/>
          <w:color w:val="000000" w:themeColor="text1"/>
          <w:sz w:val="24"/>
          <w:szCs w:val="24"/>
          <w:highlight w:val="none"/>
          <w:lang w:eastAsia="zh-CN"/>
          <w14:textFill>
            <w14:solidFill>
              <w14:schemeClr w14:val="tx1"/>
            </w14:solidFill>
          </w14:textFill>
        </w:rPr>
        <w:t>、苗木</w:t>
      </w:r>
      <w:r>
        <w:rPr>
          <w:rFonts w:hint="eastAsia" w:ascii="宋体" w:hAnsi="宋体" w:eastAsia="宋体" w:cs="宋体"/>
          <w:b/>
          <w:bCs/>
          <w:color w:val="000000" w:themeColor="text1"/>
          <w:sz w:val="24"/>
          <w:szCs w:val="24"/>
          <w:highlight w:val="none"/>
          <w14:textFill>
            <w14:solidFill>
              <w14:schemeClr w14:val="tx1"/>
            </w14:solidFill>
          </w14:textFill>
        </w:rPr>
        <w:t>价格均应为除税价格，竣工结算时不予调整。</w:t>
      </w:r>
    </w:p>
    <w:p>
      <w:pPr>
        <w:spacing w:line="360" w:lineRule="auto"/>
        <w:ind w:right="240" w:firstLine="482"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人工费单价执行克拉玛依市克拉玛依区住房和城乡建设局2020年9月27日下发的《关于发布克拉玛依市2020年4-9月建设工程定额内市场人工单价信息的通知》</w:t>
      </w:r>
      <w:r>
        <w:rPr>
          <w:rFonts w:hint="eastAsia" w:ascii="宋体" w:hAnsi="宋体" w:eastAsia="宋体" w:cs="宋体"/>
          <w:b/>
          <w:bCs/>
          <w:color w:val="000000" w:themeColor="text1"/>
          <w:sz w:val="24"/>
          <w:szCs w:val="24"/>
          <w:highlight w:val="none"/>
          <w14:textFill>
            <w14:solidFill>
              <w14:schemeClr w14:val="tx1"/>
            </w14:solidFill>
          </w14:textFill>
        </w:rPr>
        <w:t>。</w:t>
      </w:r>
    </w:p>
    <w:p>
      <w:pPr>
        <w:spacing w:line="360" w:lineRule="auto"/>
        <w:ind w:right="240" w:firstLine="482" w:firstLineChars="20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18.6税金、税率调整执行克住建发【2019】21号文《关于实施建筑业增值税新税率调整克拉玛依地区建设工程计价依据的通知》规定。</w:t>
      </w:r>
    </w:p>
    <w:p>
      <w:pPr>
        <w:spacing w:line="360" w:lineRule="auto"/>
        <w:ind w:right="240" w:firstLine="482" w:firstLineChars="20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18.7本工程涉及营改增的费率调整按调整费率执行，详见《关于建筑业营业税改增值税调整克拉玛依市建设工程计价依据的通知》（克建发[2016]65号）附件1-建筑业营改增建设工程费用调整表的规定。除此之外的其他费用执行《新疆维吾尔自治区园林绿化工程费用定额》（2014年）。</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.8投标人计取的企业管理费费率及利润率均不得超过本工程类别的区间范围,否则经评标委员会评审，在该投标人</w:t>
      </w:r>
      <w:r>
        <w:rPr>
          <w:rFonts w:hint="eastAsia" w:ascii="宋体" w:hAnsi="宋体" w:eastAsia="宋体" w:cs="宋体"/>
          <w:b/>
          <w:color w:val="000000" w:themeColor="text1"/>
          <w:sz w:val="24"/>
          <w:szCs w:val="24"/>
          <w:highlight w:val="none"/>
          <w:lang w:eastAsia="zh-CN"/>
          <w14:textFill>
            <w14:solidFill>
              <w14:schemeClr w14:val="tx1"/>
            </w14:solidFill>
          </w14:textFill>
        </w:rPr>
        <w:t>商务报价</w:t>
      </w:r>
      <w:r>
        <w:rPr>
          <w:rFonts w:hint="eastAsia" w:ascii="宋体" w:hAnsi="宋体" w:eastAsia="宋体" w:cs="宋体"/>
          <w:b/>
          <w:color w:val="000000" w:themeColor="text1"/>
          <w:sz w:val="24"/>
          <w:szCs w:val="24"/>
          <w:highlight w:val="none"/>
          <w14:textFill>
            <w14:solidFill>
              <w14:schemeClr w14:val="tx1"/>
            </w14:solidFill>
          </w14:textFill>
        </w:rPr>
        <w:t xml:space="preserve">得分中扣3分。 </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垃圾（含弃土）由各投标人按就近原则选择环保部门指定的垃圾倾倒地点，自行踏勘现场测算垃圾（含弃土）外运运距进入投标报价，竣工结算时不予调整。</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本工程的取土</w:t>
      </w:r>
      <w:r>
        <w:rPr>
          <w:rFonts w:hint="eastAsia" w:ascii="宋体" w:hAnsi="宋体" w:eastAsia="宋体" w:cs="宋体"/>
          <w:b/>
          <w:color w:val="000000" w:themeColor="text1"/>
          <w:sz w:val="24"/>
          <w:szCs w:val="24"/>
          <w:highlight w:val="none"/>
          <w:lang w:eastAsia="zh-CN"/>
          <w14:textFill>
            <w14:solidFill>
              <w14:schemeClr w14:val="tx1"/>
            </w14:solidFill>
          </w14:textFill>
        </w:rPr>
        <w:t>（含种植土）</w:t>
      </w:r>
      <w:r>
        <w:rPr>
          <w:rFonts w:hint="eastAsia" w:ascii="宋体" w:hAnsi="宋体" w:eastAsia="宋体" w:cs="宋体"/>
          <w:b/>
          <w:color w:val="000000" w:themeColor="text1"/>
          <w:sz w:val="24"/>
          <w:szCs w:val="24"/>
          <w:highlight w:val="none"/>
          <w14:textFill>
            <w14:solidFill>
              <w14:schemeClr w14:val="tx1"/>
            </w14:solidFill>
          </w14:textFill>
        </w:rPr>
        <w:t>运距均由各投标人根据国土、城管部门等相关规定按就近原则自行踏勘现场测算取土点运距进入投标报价，竣工结算时不予调整。</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如发现不按就近原则计算运距或不符合实事求是情况的，将在工程竣工结算时予以扣减。</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.10</w:t>
      </w:r>
      <w:r>
        <w:rPr>
          <w:rFonts w:hint="eastAsia" w:ascii="宋体" w:hAnsi="宋体" w:eastAsia="宋体" w:cs="宋体"/>
          <w:b/>
          <w:bCs/>
          <w:color w:val="000000" w:themeColor="text1"/>
          <w:sz w:val="24"/>
          <w:szCs w:val="24"/>
          <w:highlight w:val="none"/>
          <w14:textFill>
            <w14:solidFill>
              <w14:schemeClr w14:val="tx1"/>
            </w14:solidFill>
          </w14:textFill>
        </w:rPr>
        <w:t>本项目施工现场有水源、电源，接水、接电由各投标人自行</w:t>
      </w:r>
      <w:r>
        <w:rPr>
          <w:rFonts w:hint="eastAsia" w:ascii="宋体" w:hAnsi="宋体" w:eastAsia="宋体" w:cs="宋体"/>
          <w:b/>
          <w:color w:val="000000" w:themeColor="text1"/>
          <w:sz w:val="24"/>
          <w:highlight w:val="none"/>
          <w14:textFill>
            <w14:solidFill>
              <w14:schemeClr w14:val="tx1"/>
            </w14:solidFill>
          </w14:textFill>
        </w:rPr>
        <w:t>考虑进行报价，用水、用电费用由各投标人自行考虑计入相应工程量清单综合单价中</w:t>
      </w:r>
      <w:r>
        <w:rPr>
          <w:rFonts w:hint="eastAsia" w:ascii="宋体" w:hAnsi="宋体" w:eastAsia="宋体" w:cs="宋体"/>
          <w:b/>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18.11</w:t>
      </w:r>
      <w:r>
        <w:rPr>
          <w:rFonts w:hint="eastAsia" w:ascii="宋体" w:hAnsi="宋体" w:eastAsia="宋体" w:cs="宋体"/>
          <w:b/>
          <w:color w:val="000000" w:themeColor="text1"/>
          <w:sz w:val="24"/>
          <w:szCs w:val="24"/>
          <w:highlight w:val="none"/>
          <w:lang w:eastAsia="zh-CN"/>
          <w14:textFill>
            <w14:solidFill>
              <w14:schemeClr w14:val="tx1"/>
            </w14:solidFill>
          </w14:textFill>
        </w:rPr>
        <w:t>根据新疆维吾尔自治区住房和城乡建设厅文件新建标【</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2020</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1号文件相关要求，因疫情防控增加的防疫物资费用（包括口罩、酒精、消毒水、手套、体温监测器、电动喷雾器等物品费用）、防护人员费用等，由发承包双方按时签证。</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安全文明施工费</w:t>
      </w:r>
      <w:r>
        <w:rPr>
          <w:rFonts w:hint="eastAsia" w:ascii="宋体" w:hAnsi="宋体" w:cs="宋体"/>
          <w:b/>
          <w:color w:val="000000" w:themeColor="text1"/>
          <w:sz w:val="24"/>
          <w:highlight w:val="none"/>
          <w:lang w:eastAsia="zh-CN"/>
          <w14:textFill>
            <w14:solidFill>
              <w14:schemeClr w14:val="tx1"/>
            </w14:solidFill>
          </w14:textFill>
        </w:rPr>
        <w:t>（含扬尘污染防治增加费）</w:t>
      </w:r>
      <w:r>
        <w:rPr>
          <w:rFonts w:hint="eastAsia" w:ascii="宋体" w:hAnsi="宋体" w:eastAsia="宋体" w:cs="宋体"/>
          <w:b/>
          <w:color w:val="000000" w:themeColor="text1"/>
          <w:sz w:val="24"/>
          <w:highlight w:val="none"/>
          <w14:textFill>
            <w14:solidFill>
              <w14:schemeClr w14:val="tx1"/>
            </w14:solidFill>
          </w14:textFill>
        </w:rPr>
        <w:t>在按《</w:t>
      </w:r>
      <w:r>
        <w:rPr>
          <w:rFonts w:hint="eastAsia" w:ascii="宋体" w:hAnsi="宋体" w:eastAsia="宋体" w:cs="宋体"/>
          <w:b/>
          <w:color w:val="000000" w:themeColor="text1"/>
          <w:sz w:val="24"/>
          <w:highlight w:val="none"/>
          <w:lang w:eastAsia="zh-CN"/>
          <w14:textFill>
            <w14:solidFill>
              <w14:schemeClr w14:val="tx1"/>
            </w14:solidFill>
          </w14:textFill>
        </w:rPr>
        <w:t>格式</w:t>
      </w: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 xml:space="preserve"> 安全文明施工费明细表》单独列出，不计入投标报价，计入投标总价。安全文明施工费的计取应执行《关于建筑业营业税改增值税调整克拉玛依市建设工程计价依据的通知》（克建发[2016]65号）附件1-建筑业营改增建设工程费用调整表，竣工结算时均按建设行政主管部门核定的等级标准调整和</w:t>
      </w:r>
      <w:r>
        <w:rPr>
          <w:rFonts w:hint="eastAsia" w:ascii="宋体" w:hAnsi="宋体" w:eastAsia="宋体" w:cs="宋体"/>
          <w:b/>
          <w:color w:val="000000" w:themeColor="text1"/>
          <w:sz w:val="24"/>
          <w:highlight w:val="none"/>
          <w:lang w:eastAsia="zh-CN"/>
          <w14:textFill>
            <w14:solidFill>
              <w14:schemeClr w14:val="tx1"/>
            </w14:solidFill>
          </w14:textFill>
        </w:rPr>
        <w:t>采购人</w:t>
      </w:r>
      <w:r>
        <w:rPr>
          <w:rFonts w:hint="eastAsia" w:ascii="宋体" w:hAnsi="宋体" w:eastAsia="宋体" w:cs="宋体"/>
          <w:b/>
          <w:color w:val="000000" w:themeColor="text1"/>
          <w:sz w:val="24"/>
          <w:highlight w:val="none"/>
          <w14:textFill>
            <w14:solidFill>
              <w14:schemeClr w14:val="tx1"/>
            </w14:solidFill>
          </w14:textFill>
        </w:rPr>
        <w:t>、现场监理共同确认的实际发生的工程量进行结算。中标人在实施过程中应严格按安全文明施工规范做到安全、文明施工。</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合同价格调整范围：（1）工程变更引起已标价工程量清单项目或其工程数量的变化；（2）招标工程量清单项目特征描述与实际施工要求不符；（3）因设计变更或施工条件改变或工程量清单编制错误造成工程量清单缺项；（4）实际完成工程量与招标工程量清单的工程量偏差。</w:t>
      </w:r>
    </w:p>
    <w:p>
      <w:pPr>
        <w:spacing w:line="360" w:lineRule="auto"/>
        <w:ind w:left="-1"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本工程所涉及到的设计变更内容，在实施前须经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、设计单位及监理单位签字确认后方可执行。未经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、设计单位及监理单位签字确认的调整内容部分，不予调整合同价格。</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本工程所涉及到的工程经济签证或工程经济洽商单内容，在实施前须经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及监理单位签字确认后方可执行。未经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及监理单位确认的调整内容部分，不予调整合同价款。</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合同价款调整事项发生后，中标人应在14天内，将调整原因、金额以书面形式向</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提出，经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审核同意后作为调整合同价款的结算依据。14天内未申报书面调整合同价款金额及明细预算的，竣工结算时不予调整。</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合同价款调整方法详见专用合同条款中的合同价款调整方法。</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投标总价：</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.1自报投标报价</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各投标人根据招标范围内的施工内容和具体情况，施工图设计文件及投标总价的编制依据及要求，依据招标工程量清单及施工设计图纸所示全部内容、拟定的施工方案或施工组织设计、合同条款约定的内容等有关要求，按照企业定额或参照现行新计价依据以及工程造价管理机构发布的价格信息及结合市场价格，在保证工期、质量、安全、环境保护的前提下结合企业自身的实力，自报投标报价。</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的投标报价均包括本工程招标范围和招标工程量清单、施工设计图纸、合同条款约定等所述的全部工作内容和完成该工程的全部费用，包括分部分项工程和单价措施项目清单费用、总价措施项目清单费用、其他项目清单费用和规费及税金等所有费用，各级建设主管部门颁发的现行有关建设工程施工验收规范、技术标准、质量、安全、环境保护规程、规范、标准，以及新疆维吾尔自治区建设厅、克拉玛依市建设行政主管部门规定应由投标人支付的其它应缴纳的全部费用。</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.2分部分项工程和措施项目中的单价项目清单费用</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分部分项工程和措施项目中的单价项目清单综合单价包括分部分项工程和措施项目中的单价项目所发生的人工费、材料费、机械费、管理费、利润及投标人承担的风险等全部费用。投标人漏报或少报，</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将视为其费用已包括在工程量清单项目的其它单价及合价中，若中标，</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将不予支付。</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.3措施项目中的总价项目费用</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各投标人应根据本工程的规模、项目复杂程度、施工难易程度、项目特点及施工现场实际情况，结合投标时自身编制的施工组织设计或施工方案确定措施项目，充分考虑完成本工程全部施工内容所需的各项措施项目费用。投标人漏报或少报，</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将视为其费用已包括在其它费用内而不予调整。</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.4其他项目费用</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Cs/>
          <w:color w:val="000000" w:themeColor="text1"/>
          <w:sz w:val="24"/>
          <w:szCs w:val="24"/>
          <w:highlight w:val="none"/>
          <w14:textFill>
            <w14:solidFill>
              <w14:schemeClr w14:val="tx1"/>
            </w14:solidFill>
          </w14:textFill>
        </w:rPr>
        <w:t>.4.1暂列金额</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.4.1.1</w:t>
      </w:r>
      <w:r>
        <w:rPr>
          <w:rFonts w:hint="eastAsia" w:ascii="宋体" w:hAnsi="宋体" w:eastAsia="宋体" w:cs="宋体"/>
          <w:bCs/>
          <w:color w:val="000000" w:themeColor="text1"/>
          <w:sz w:val="24"/>
          <w:szCs w:val="24"/>
          <w:highlight w:val="none"/>
          <w14:textFill>
            <w14:solidFill>
              <w14:schemeClr w14:val="tx1"/>
            </w14:solidFill>
          </w14:textFill>
        </w:rPr>
        <w:t>暂列金额的作用：暂列金额是</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在工程量清单中暂定并包括在合同价格中的一笔款项，用于施工合同签订时尚未确定或者不可预见的所需材料、工程设备、服务的采购，施工中可能发生的工程变更、合同约定调整因素出现时的合同价款调整以及发生的索赔、现场签证确认等费用。投标人应按《</w:t>
      </w:r>
      <w:r>
        <w:rPr>
          <w:rFonts w:hint="eastAsia" w:ascii="宋体" w:hAnsi="宋体" w:eastAsia="宋体" w:cs="宋体"/>
          <w:bCs/>
          <w:color w:val="000000" w:themeColor="text1"/>
          <w:sz w:val="24"/>
          <w:szCs w:val="24"/>
          <w:highlight w:val="none"/>
          <w:lang w:eastAsia="zh-CN"/>
          <w14:textFill>
            <w14:solidFill>
              <w14:schemeClr w14:val="tx1"/>
            </w14:solidFill>
          </w14:textFill>
        </w:rPr>
        <w:t>格式</w:t>
      </w:r>
      <w:r>
        <w:rPr>
          <w:rFonts w:hint="eastAsia" w:ascii="宋体" w:hAnsi="宋体" w:cs="宋体"/>
          <w:bCs/>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bCs/>
          <w:color w:val="000000" w:themeColor="text1"/>
          <w:sz w:val="24"/>
          <w:szCs w:val="24"/>
          <w:highlight w:val="none"/>
          <w14:textFill>
            <w14:solidFill>
              <w14:schemeClr w14:val="tx1"/>
            </w14:solidFill>
          </w14:textFill>
        </w:rPr>
        <w:t xml:space="preserve"> 其他项目清单与计价汇总表》中的金额进行填写，计入投标总价中，暂列金额不得更改。暂列金额减去工程实施过程中发生的合同价格调整、索赔、设计变更等金额后，余额归属于</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Cs/>
          <w:color w:val="000000" w:themeColor="text1"/>
          <w:sz w:val="24"/>
          <w:szCs w:val="24"/>
          <w:highlight w:val="none"/>
          <w14:textFill>
            <w14:solidFill>
              <w14:schemeClr w14:val="tx1"/>
            </w14:solidFill>
          </w14:textFill>
        </w:rPr>
        <w:t>材料、工程设备暂估价应按招标工程量清单中列出的单价计入综合单价。投标人不得改变。</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Cs/>
          <w:color w:val="000000" w:themeColor="text1"/>
          <w:sz w:val="24"/>
          <w:szCs w:val="24"/>
          <w:highlight w:val="none"/>
          <w14:textFill>
            <w14:solidFill>
              <w14:schemeClr w14:val="tx1"/>
            </w14:solidFill>
          </w14:textFill>
        </w:rPr>
        <w:t>专业工程暂估价应按招标工程量清单中列出的金额填写。投标人不得改变。</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Cs/>
          <w:color w:val="000000" w:themeColor="text1"/>
          <w:sz w:val="24"/>
          <w:szCs w:val="24"/>
          <w:highlight w:val="none"/>
          <w14:textFill>
            <w14:solidFill>
              <w14:schemeClr w14:val="tx1"/>
            </w14:solidFill>
          </w14:textFill>
        </w:rPr>
        <w:t>计日工应按招标工程量清单中列出的项目和数量自主确定综合单价并计算计日工金额。</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bCs/>
          <w:color w:val="000000" w:themeColor="text1"/>
          <w:sz w:val="24"/>
          <w:szCs w:val="24"/>
          <w:highlight w:val="none"/>
          <w14:textFill>
            <w14:solidFill>
              <w14:schemeClr w14:val="tx1"/>
            </w14:solidFill>
          </w14:textFill>
        </w:rPr>
        <w:t>总承包服务费应根据招标工程量清单列出的专业工程暂估价内容和供应材料、设备情况，按照</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提出的协调、配合及服务要求和施工现场管理需要自主确定。</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.5规费、税金</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.5.1投标人所报的规费应包括工程排污费、社会保险费（养老保险费、失业保险费、医疗保险费、工伤保险费、生育保险费）、住房公积金、危险作业意外伤害保险费。</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.5.2投标人所报的税金是指国家税法规定应计入建筑安装工程造价内的增值税销项税额。</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投标人在投标报价时应按照国家或省级建设行政主管部门的有关规定标准计算规费、税金，不得作为竞争性费用或随意调整计算标准。</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.6投标报价风险</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.6.1除合同价款调整范围外的所有风险均应由投标人自行考虑在投标报价中。</w:t>
      </w:r>
    </w:p>
    <w:p>
      <w:pPr>
        <w:pStyle w:val="33"/>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、商务报价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.1投标人的商务报价应是为采购人提供全部合同</w:t>
      </w:r>
      <w:r>
        <w:rPr>
          <w:rFonts w:hint="eastAsia" w:ascii="宋体" w:hAnsi="宋体" w:eastAsia="宋体" w:cs="宋体"/>
          <w:color w:val="000000" w:themeColor="text1"/>
          <w:sz w:val="24"/>
          <w:highlight w:val="none"/>
          <w:lang w:eastAsia="zh-CN"/>
          <w14:textFill>
            <w14:solidFill>
              <w14:schemeClr w14:val="tx1"/>
            </w14:solidFill>
          </w14:textFill>
        </w:rPr>
        <w:t>货物及</w:t>
      </w:r>
      <w:r>
        <w:rPr>
          <w:rFonts w:hint="eastAsia" w:ascii="宋体" w:hAnsi="宋体" w:eastAsia="宋体" w:cs="宋体"/>
          <w:color w:val="000000" w:themeColor="text1"/>
          <w:sz w:val="24"/>
          <w:highlight w:val="none"/>
          <w14:textFill>
            <w14:solidFill>
              <w14:schemeClr w14:val="tx1"/>
            </w14:solidFill>
          </w14:textFill>
        </w:rPr>
        <w:t>服务，并保证合同条款、技术规范及标准、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技术规格及要求、施工设计图纸、</w:t>
      </w:r>
      <w:r>
        <w:rPr>
          <w:rFonts w:hint="eastAsia" w:ascii="宋体" w:hAnsi="宋体" w:eastAsia="宋体" w:cs="宋体"/>
          <w:color w:val="000000" w:themeColor="text1"/>
          <w:sz w:val="24"/>
          <w:highlight w:val="none"/>
          <w14:textFill>
            <w14:solidFill>
              <w14:schemeClr w14:val="tx1"/>
            </w14:solidFill>
          </w14:textFill>
        </w:rPr>
        <w:t>项目采购需求、本招标文件约定的所有费用的总和。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任何因投标人忽视或误解采购范围、技术规范及标准、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技术规格及要求、施工设计图纸、</w:t>
      </w:r>
      <w:r>
        <w:rPr>
          <w:rFonts w:hint="eastAsia" w:ascii="宋体" w:hAnsi="宋体" w:eastAsia="宋体" w:cs="宋体"/>
          <w:color w:val="000000" w:themeColor="text1"/>
          <w:sz w:val="24"/>
          <w:highlight w:val="none"/>
          <w14:textFill>
            <w14:solidFill>
              <w14:schemeClr w14:val="tx1"/>
            </w14:solidFill>
          </w14:textFill>
        </w:rPr>
        <w:t>项目采购需求、合同条款和项目现场情况，若</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，采购人将不予批准由此而产生的索赔或</w:t>
      </w:r>
      <w:r>
        <w:rPr>
          <w:rFonts w:hint="eastAsia" w:ascii="宋体" w:hAnsi="宋体" w:eastAsia="宋体" w:cs="宋体"/>
          <w:color w:val="000000" w:themeColor="text1"/>
          <w:sz w:val="24"/>
          <w:highlight w:val="none"/>
          <w:lang w:eastAsia="zh-CN"/>
          <w14:textFill>
            <w14:solidFill>
              <w14:schemeClr w14:val="tx1"/>
            </w14:solidFill>
          </w14:textFill>
        </w:rPr>
        <w:t>工期</w:t>
      </w:r>
      <w:r>
        <w:rPr>
          <w:rFonts w:hint="eastAsia" w:ascii="宋体" w:hAnsi="宋体" w:eastAsia="宋体" w:cs="宋体"/>
          <w:color w:val="000000" w:themeColor="text1"/>
          <w:sz w:val="24"/>
          <w:highlight w:val="none"/>
          <w14:textFill>
            <w14:solidFill>
              <w14:schemeClr w14:val="tx1"/>
            </w14:solidFill>
          </w14:textFill>
        </w:rPr>
        <w:t>延长申请。</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商务报价中不得包含合同条款、技术规范及标准、</w:t>
      </w:r>
      <w:r>
        <w:rPr>
          <w:rFonts w:hint="eastAsia" w:ascii="宋体" w:hAnsi="宋体" w:eastAsia="宋体" w:cs="宋体"/>
          <w:b/>
          <w:color w:val="000000" w:themeColor="text1"/>
          <w:sz w:val="24"/>
          <w:highlight w:val="none"/>
          <w:lang w:eastAsia="zh-CN"/>
          <w14:textFill>
            <w14:solidFill>
              <w14:schemeClr w14:val="tx1"/>
            </w14:solidFill>
          </w14:textFill>
        </w:rPr>
        <w:t>技术规格及要求、施工设计图纸、项目</w:t>
      </w:r>
      <w:r>
        <w:rPr>
          <w:rFonts w:hint="eastAsia" w:ascii="宋体" w:hAnsi="宋体" w:eastAsia="宋体" w:cs="宋体"/>
          <w:b/>
          <w:color w:val="000000" w:themeColor="text1"/>
          <w:sz w:val="24"/>
          <w:highlight w:val="none"/>
          <w14:textFill>
            <w14:solidFill>
              <w14:schemeClr w14:val="tx1"/>
            </w14:solidFill>
          </w14:textFill>
        </w:rPr>
        <w:t>采购需求、本招标文件要求以外的其他内容。</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highlight w:val="none"/>
          <w14:textFill>
            <w14:solidFill>
              <w14:schemeClr w14:val="tx1"/>
            </w14:solidFill>
          </w14:textFill>
        </w:rPr>
        <w:t>.2商务报价总价应包括的内容和计价因素</w:t>
      </w:r>
    </w:p>
    <w:p>
      <w:pPr>
        <w:spacing w:line="360" w:lineRule="auto"/>
        <w:ind w:firstLine="482" w:firstLineChars="200"/>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cs="宋体"/>
          <w:b/>
          <w:color w:val="000000" w:themeColor="text1"/>
          <w:kern w:val="0"/>
          <w:sz w:val="24"/>
          <w:szCs w:val="24"/>
          <w:highlight w:val="none"/>
          <w:lang w:val="en-US" w:eastAsia="zh-CN" w:bidi="ar-SA"/>
          <w14:textFill>
            <w14:solidFill>
              <w14:schemeClr w14:val="tx1"/>
            </w14:solidFill>
          </w14:textFill>
        </w:rPr>
        <w:t>完成某支队2021年度秋季绿化项目施工设计图纸范围内所包括的绿化养护（养护期为三年）、土方工程（含平整场地、垫方、树穴开挖、种植土换填等）、苗木采购（卸至招标人指定施工地点）、施肥以及建设配套的绿化灌溉系统等全部施工内容以及合同条款、技术规范及标准、技术规格及要求、施工设计图纸、项目采购需求、本招标文件约定的全部内容及责任和义务</w:t>
      </w:r>
      <w:r>
        <w:rPr>
          <w:rFonts w:hint="eastAsia" w:hAnsi="宋体" w:cs="宋体"/>
          <w:b/>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（2）投标人根据对本招标文件、技术规范和标准、</w:t>
      </w:r>
      <w:r>
        <w:rPr>
          <w:rFonts w:hint="eastAsia" w:ascii="宋体" w:hAnsi="宋体" w:eastAsia="宋体" w:cs="宋体"/>
          <w:b/>
          <w:bCs/>
          <w:color w:val="000000" w:themeColor="text1"/>
          <w:sz w:val="24"/>
          <w:highlight w:val="none"/>
          <w:lang w:eastAsia="zh-CN"/>
          <w14:textFill>
            <w14:solidFill>
              <w14:schemeClr w14:val="tx1"/>
            </w14:solidFill>
          </w14:textFill>
        </w:rPr>
        <w:t>技术规格及要求、</w:t>
      </w:r>
      <w:r>
        <w:rPr>
          <w:rFonts w:hint="eastAsia" w:ascii="宋体" w:hAnsi="宋体" w:cs="宋体"/>
          <w:b/>
          <w:bCs/>
          <w:color w:val="000000" w:themeColor="text1"/>
          <w:sz w:val="24"/>
          <w:highlight w:val="none"/>
          <w:lang w:eastAsia="zh-CN"/>
          <w14:textFill>
            <w14:solidFill>
              <w14:schemeClr w14:val="tx1"/>
            </w14:solidFill>
          </w14:textFill>
        </w:rPr>
        <w:t>施工设计图纸</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项目采购需求、合同条款的理解，应达到的技术指标、检验及验收标准等要求，结合市场情况进行商务报价。投标人应充分考虑合同执行期内各类市场风险和国家政策性调整风险等因素对商务报价的影响。</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投标人应按照招标文件所附的格式完整地填写商务报价一览表。</w:t>
      </w:r>
      <w:r>
        <w:rPr>
          <w:rFonts w:hint="eastAsia" w:ascii="宋体" w:hAnsi="宋体" w:cs="宋体"/>
          <w:b/>
          <w:color w:val="000000" w:themeColor="text1"/>
          <w:sz w:val="24"/>
          <w:highlight w:val="none"/>
          <w14:textFill>
            <w14:solidFill>
              <w14:schemeClr w14:val="tx1"/>
            </w14:solidFill>
          </w14:textFill>
        </w:rPr>
        <w:t>投标人应对采购范围内的全部内容进行报价。</w:t>
      </w:r>
    </w:p>
    <w:bookmarkEnd w:id="66"/>
    <w:bookmarkEnd w:id="75"/>
    <w:bookmarkEnd w:id="76"/>
    <w:bookmarkEnd w:id="77"/>
    <w:bookmarkEnd w:id="78"/>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79" w:name="_Toc245897288"/>
      <w:r>
        <w:rPr>
          <w:rFonts w:hint="eastAsia" w:hAnsi="宋体" w:cs="宋体"/>
          <w:color w:val="000000" w:themeColor="text1"/>
          <w:sz w:val="24"/>
          <w:szCs w:val="24"/>
          <w:highlight w:val="none"/>
          <w:lang w:val="en-US" w:eastAsia="zh-CN"/>
          <w14:textFill>
            <w14:solidFill>
              <w14:schemeClr w14:val="tx1"/>
            </w14:solidFill>
          </w14:textFill>
        </w:rPr>
        <w:t>20</w:t>
      </w:r>
      <w:r>
        <w:rPr>
          <w:rFonts w:hint="eastAsia" w:hAnsi="宋体" w:cs="宋体"/>
          <w:color w:val="000000" w:themeColor="text1"/>
          <w:sz w:val="24"/>
          <w:szCs w:val="24"/>
          <w:highlight w:val="none"/>
          <w14:textFill>
            <w14:solidFill>
              <w14:schemeClr w14:val="tx1"/>
            </w14:solidFill>
          </w14:textFill>
        </w:rPr>
        <w:t>、商务报价货币</w:t>
      </w:r>
      <w:bookmarkEnd w:id="79"/>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20</w:t>
      </w:r>
      <w:r>
        <w:rPr>
          <w:rFonts w:hint="eastAsia" w:hAnsi="宋体" w:cs="宋体"/>
          <w:color w:val="000000" w:themeColor="text1"/>
          <w:sz w:val="24"/>
          <w:szCs w:val="24"/>
          <w:highlight w:val="none"/>
          <w14:textFill>
            <w14:solidFill>
              <w14:schemeClr w14:val="tx1"/>
            </w14:solidFill>
          </w14:textFill>
        </w:rPr>
        <w:t>.1商务报价一览表和投标文件中的所有报价一律使用人民币（RMB）填报。</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80" w:name="_Toc243907589"/>
      <w:bookmarkStart w:id="81" w:name="_Toc233274829"/>
      <w:bookmarkStart w:id="82" w:name="_Toc243906328"/>
      <w:bookmarkStart w:id="83" w:name="_Toc245897289"/>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、投标人资格证明文件</w:t>
      </w:r>
      <w:bookmarkEnd w:id="80"/>
      <w:bookmarkEnd w:id="81"/>
      <w:bookmarkEnd w:id="82"/>
      <w:bookmarkEnd w:id="83"/>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.1 投标人必须提交证明其有资格参加招标和</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后有能力履行合同的文件。</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84" w:name="_Toc245897290"/>
      <w:bookmarkStart w:id="85" w:name="_Toc233274830"/>
      <w:bookmarkStart w:id="86" w:name="_Toc243906329"/>
      <w:bookmarkStart w:id="87" w:name="_Toc243907590"/>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、提供的服务符合招标文件规定的技术</w:t>
      </w:r>
      <w:bookmarkEnd w:id="84"/>
      <w:bookmarkEnd w:id="85"/>
      <w:bookmarkEnd w:id="86"/>
      <w:bookmarkEnd w:id="87"/>
      <w:r>
        <w:rPr>
          <w:rFonts w:hint="eastAsia" w:hAnsi="宋体" w:cs="宋体"/>
          <w:color w:val="000000" w:themeColor="text1"/>
          <w:sz w:val="24"/>
          <w:szCs w:val="24"/>
          <w:highlight w:val="none"/>
          <w14:textFill>
            <w14:solidFill>
              <w14:schemeClr w14:val="tx1"/>
            </w14:solidFill>
          </w14:textFill>
        </w:rPr>
        <w:t>投标文件</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.1 投标人须提交证明其拟供服务符合招标文件、技术规范及标准、项目采购需求规定的技术投标文件，作为投标文件的一部分；</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.2上述文件可以是文字资料、图纸和数据，并对所提供服务进行详细说明；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.3投标人应逐条对招标文件、项目采购需求、合同条款等进行仔细阅读，提出自己提供的服务是否对其做出了实质性的响应。</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、投标文件有效期</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.1</w:t>
      </w:r>
      <w:r>
        <w:rPr>
          <w:rFonts w:hint="eastAsia" w:hAnsi="宋体" w:cs="宋体"/>
          <w:b/>
          <w:color w:val="000000" w:themeColor="text1"/>
          <w:sz w:val="24"/>
          <w:szCs w:val="24"/>
          <w:highlight w:val="none"/>
          <w14:textFill>
            <w14:solidFill>
              <w14:schemeClr w14:val="tx1"/>
            </w14:solidFill>
          </w14:textFill>
        </w:rPr>
        <w:t>投标文件</w:t>
      </w:r>
      <w:r>
        <w:rPr>
          <w:rFonts w:hint="eastAsia" w:hAnsi="宋体" w:cs="宋体"/>
          <w:color w:val="000000" w:themeColor="text1"/>
          <w:sz w:val="24"/>
          <w:szCs w:val="24"/>
          <w:highlight w:val="none"/>
          <w14:textFill>
            <w14:solidFill>
              <w14:schemeClr w14:val="tx1"/>
            </w14:solidFill>
          </w14:textFill>
        </w:rPr>
        <w:t>有效期为递交投标文件截止之日起90天（日历日）。投标人的投标文件有效期比规定的有效期短的，将被视为非响应而予以拒绝。</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.2 特殊情况下，在原有效期届满之前，采购人可征得投标人的同意延长其有效期，这种要求与答复均应以书面形式。投标人拒绝延长的，其投标文件失效，但投标人有权收回其投标保证金。同意延长有效期的投标人，既不要求也不允许其修改投标文件，但将相应延长投标保证金的有效期。有关退还和不予退还投标保证金的规定在有效期的延长期内继续有效。</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88" w:name="_Toc245897292"/>
      <w:bookmarkStart w:id="89" w:name="_Toc243906331"/>
      <w:bookmarkStart w:id="90" w:name="_Toc233274832"/>
      <w:bookmarkStart w:id="91" w:name="_Toc243907592"/>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、投标文件的签署及规定</w:t>
      </w:r>
      <w:bookmarkEnd w:id="88"/>
      <w:bookmarkEnd w:id="89"/>
      <w:bookmarkEnd w:id="90"/>
      <w:bookmarkEnd w:id="91"/>
    </w:p>
    <w:p>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.1投标人应提交本须知第16条规定的</w:t>
      </w:r>
      <w:r>
        <w:rPr>
          <w:rFonts w:hint="eastAsia" w:ascii="宋体" w:hAnsi="宋体" w:cs="宋体"/>
          <w:b/>
          <w:color w:val="000000" w:themeColor="text1"/>
          <w:sz w:val="24"/>
          <w:highlight w:val="none"/>
          <w14:textFill>
            <w14:solidFill>
              <w14:schemeClr w14:val="tx1"/>
            </w14:solidFill>
          </w14:textFill>
        </w:rPr>
        <w:t>书面投标文件一式</w:t>
      </w:r>
      <w:r>
        <w:rPr>
          <w:rFonts w:hint="eastAsia" w:ascii="宋体" w:hAnsi="宋体" w:cs="宋体"/>
          <w:b/>
          <w:color w:val="000000" w:themeColor="text1"/>
          <w:sz w:val="24"/>
          <w:highlight w:val="none"/>
          <w:u w:val="single"/>
          <w:lang w:eastAsia="zh-CN"/>
          <w14:textFill>
            <w14:solidFill>
              <w14:schemeClr w14:val="tx1"/>
            </w14:solidFill>
          </w14:textFill>
        </w:rPr>
        <w:t>陆</w:t>
      </w:r>
      <w:r>
        <w:rPr>
          <w:rFonts w:hint="eastAsia" w:ascii="宋体" w:hAnsi="宋体" w:cs="宋体"/>
          <w:b/>
          <w:color w:val="000000" w:themeColor="text1"/>
          <w:sz w:val="24"/>
          <w:highlight w:val="non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，其中：</w:t>
      </w:r>
      <w:r>
        <w:rPr>
          <w:rFonts w:hint="eastAsia" w:ascii="宋体" w:hAnsi="宋体" w:cs="宋体"/>
          <w:b/>
          <w:color w:val="000000" w:themeColor="text1"/>
          <w:sz w:val="24"/>
          <w:highlight w:val="none"/>
          <w:u w:val="single"/>
          <w14:textFill>
            <w14:solidFill>
              <w14:schemeClr w14:val="tx1"/>
            </w14:solidFill>
          </w14:textFill>
        </w:rPr>
        <w:t>壹份正本</w:t>
      </w:r>
      <w:r>
        <w:rPr>
          <w:rFonts w:hint="eastAsia" w:ascii="宋体" w:hAnsi="宋体" w:cs="宋体"/>
          <w:b/>
          <w:color w:val="000000" w:themeColor="text1"/>
          <w:sz w:val="24"/>
          <w:highlight w:val="none"/>
          <w14:textFill>
            <w14:solidFill>
              <w14:schemeClr w14:val="tx1"/>
            </w14:solidFill>
          </w14:textFill>
        </w:rPr>
        <w:t>和</w:t>
      </w:r>
      <w:r>
        <w:rPr>
          <w:rFonts w:hint="eastAsia" w:ascii="宋体" w:hAnsi="宋体" w:cs="宋体"/>
          <w:b/>
          <w:color w:val="000000" w:themeColor="text1"/>
          <w:sz w:val="24"/>
          <w:highlight w:val="none"/>
          <w:u w:val="single"/>
          <w:lang w:eastAsia="zh-CN"/>
          <w14:textFill>
            <w14:solidFill>
              <w14:schemeClr w14:val="tx1"/>
            </w14:solidFill>
          </w14:textFill>
        </w:rPr>
        <w:t>伍</w:t>
      </w:r>
      <w:r>
        <w:rPr>
          <w:rFonts w:hint="eastAsia" w:ascii="宋体" w:hAnsi="宋体" w:cs="宋体"/>
          <w:b/>
          <w:color w:val="000000" w:themeColor="text1"/>
          <w:sz w:val="24"/>
          <w:highlight w:val="none"/>
          <w:u w:val="single"/>
          <w14:textFill>
            <w14:solidFill>
              <w14:schemeClr w14:val="tx1"/>
            </w14:solidFill>
          </w14:textFill>
        </w:rPr>
        <w:t>份副本</w:t>
      </w:r>
      <w:r>
        <w:rPr>
          <w:rFonts w:hint="eastAsia" w:ascii="宋体" w:hAnsi="宋体" w:cs="宋体"/>
          <w:color w:val="000000" w:themeColor="text1"/>
          <w:sz w:val="24"/>
          <w:highlight w:val="none"/>
          <w14:textFill>
            <w14:solidFill>
              <w14:schemeClr w14:val="tx1"/>
            </w14:solidFill>
          </w14:textFill>
        </w:rPr>
        <w:t>，在每一份投标文件上应明确注明“正本”或“副本”字样，如正、副本之间有差异，以正本为准。</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.2投标文件正本和副本须打印并由法定代表人或委托代理人签字或盖章。投标文件应加盖投标人的公章。</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.3 除投标人对错误做必要修改外，投标文件中不许有增删、涂改或改写。若确有修改必须由签署投标文件的委托代理人签字或盖章。</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.4投标文件副本的上述签名及盖章之处既可由投标人的投标人代表人或其委托代理人签字或盖章，也可通过复印正本将上述签名及盖章复制到副本上。</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.5 采购人概不接受电报、电传、电话、邮寄以及电子邮件等方式的公开投标。</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92" w:name="_Toc243907593"/>
      <w:bookmarkStart w:id="93" w:name="_Toc243906332"/>
      <w:bookmarkStart w:id="94" w:name="_Toc233274833"/>
      <w:bookmarkStart w:id="95" w:name="_Toc245897293"/>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、投标保证金及退还</w:t>
      </w:r>
      <w:bookmarkEnd w:id="92"/>
      <w:bookmarkEnd w:id="93"/>
      <w:bookmarkEnd w:id="94"/>
      <w:bookmarkEnd w:id="95"/>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.1 投标保证金为投标文件的组成部分之一。投标保证金是为了保护采购人免遭因投标人的行为而蒙受的损失，采购人在因投标人的行为而蒙受损失时，采购人可根据本须知第24.3条的规定对其投标保证金不予退还。</w:t>
      </w:r>
    </w:p>
    <w:p>
      <w:pPr>
        <w:pStyle w:val="33"/>
        <w:spacing w:line="360" w:lineRule="auto"/>
        <w:ind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2</w:t>
      </w:r>
      <w:r>
        <w:rPr>
          <w:rFonts w:hint="eastAsia" w:hAnsi="宋体" w:cs="宋体"/>
          <w:b/>
          <w:bCs/>
          <w:color w:val="000000" w:themeColor="text1"/>
          <w:kern w:val="2"/>
          <w:sz w:val="24"/>
          <w:szCs w:val="24"/>
          <w:highlight w:val="none"/>
          <w:lang w:val="en-US" w:eastAsia="zh-CN"/>
          <w14:textFill>
            <w14:solidFill>
              <w14:schemeClr w14:val="tx1"/>
            </w14:solidFill>
          </w14:textFill>
        </w:rPr>
        <w:t>5</w:t>
      </w:r>
      <w:r>
        <w:rPr>
          <w:rFonts w:hint="eastAsia" w:hAnsi="宋体" w:cs="宋体"/>
          <w:b/>
          <w:bCs/>
          <w:color w:val="000000" w:themeColor="text1"/>
          <w:kern w:val="2"/>
          <w:sz w:val="24"/>
          <w:szCs w:val="24"/>
          <w:highlight w:val="none"/>
          <w14:textFill>
            <w14:solidFill>
              <w14:schemeClr w14:val="tx1"/>
            </w14:solidFill>
          </w14:textFill>
        </w:rPr>
        <w:t>.2投标保证金的退还</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.2.1未</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单位的投标保证金自</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通知书发出之日起5个工作日内一次性无息退还。</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.2.2</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单位的投标保证金应自签订采购合同后5个工作日内一次性无息予以退还。</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.2.3符合退还投标保证金条件的</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单位和未</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的投标人应及时到招标代理机构办理退还手续，如</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单位和未</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的投标人因自身原因逾期办理投标保证金退还的，招标代理机构不承担逾期退还的责任。</w:t>
      </w:r>
    </w:p>
    <w:p>
      <w:pPr>
        <w:pStyle w:val="33"/>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w:t>
      </w:r>
      <w:r>
        <w:rPr>
          <w:rFonts w:hint="eastAsia" w:hAnsi="宋体" w:cs="宋体"/>
          <w:b/>
          <w:color w:val="000000" w:themeColor="text1"/>
          <w:sz w:val="24"/>
          <w:szCs w:val="24"/>
          <w:highlight w:val="none"/>
          <w:lang w:val="en-US" w:eastAsia="zh-CN"/>
          <w14:textFill>
            <w14:solidFill>
              <w14:schemeClr w14:val="tx1"/>
            </w14:solidFill>
          </w14:textFill>
        </w:rPr>
        <w:t>5</w:t>
      </w:r>
      <w:r>
        <w:rPr>
          <w:rFonts w:hint="eastAsia" w:hAnsi="宋体" w:cs="宋体"/>
          <w:b/>
          <w:color w:val="000000" w:themeColor="text1"/>
          <w:sz w:val="24"/>
          <w:szCs w:val="24"/>
          <w:highlight w:val="none"/>
          <w14:textFill>
            <w14:solidFill>
              <w14:schemeClr w14:val="tx1"/>
            </w14:solidFill>
          </w14:textFill>
        </w:rPr>
        <w:t>.3 有下列情形之一者，其投标保证金将不予退还：</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.3.1投标人在提交投标文件截止时间后撤回投标文件；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.3.2投标人在投标文件中提供虚假材料的；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.3.3投标人与采购人、其他投标人或者招标代理机构恶意串通的。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.3.4除因不可抗力或招标文件认可的情形外，</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单位在投标文件有效期内收到</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通知书后，由于</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单位原因未能按照招标文件要求与采购人签订并履行合同；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.3.5《中华人民共和国政府采购法》及相关法律、法规及本招标文件规定不予退还投标保证金的其它情形。</w:t>
      </w:r>
      <w:bookmarkStart w:id="96" w:name="_Toc154996583"/>
    </w:p>
    <w:bookmarkEnd w:id="96"/>
    <w:p>
      <w:pPr>
        <w:pStyle w:val="33"/>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3"/>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D  投标文件的递交、修改和撤回</w:t>
      </w:r>
    </w:p>
    <w:p>
      <w:pPr>
        <w:pStyle w:val="33"/>
        <w:spacing w:line="360" w:lineRule="auto"/>
        <w:ind w:firstLine="482" w:firstLineChars="200"/>
        <w:jc w:val="center"/>
        <w:rPr>
          <w:rFonts w:hAnsi="宋体" w:cs="宋体"/>
          <w:b/>
          <w:bCs/>
          <w:color w:val="000000" w:themeColor="text1"/>
          <w:sz w:val="24"/>
          <w:szCs w:val="24"/>
          <w:highlight w:val="none"/>
          <w14:textFill>
            <w14:solidFill>
              <w14:schemeClr w14:val="tx1"/>
            </w14:solidFill>
          </w14:textFill>
        </w:rPr>
      </w:pP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97" w:name="_Toc245897295"/>
      <w:bookmarkStart w:id="98" w:name="_Toc243907595"/>
      <w:bookmarkStart w:id="99" w:name="_Toc243906334"/>
      <w:bookmarkStart w:id="100" w:name="_Toc233274835"/>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、投标文件的密封和标记</w:t>
      </w:r>
      <w:bookmarkEnd w:id="97"/>
      <w:bookmarkEnd w:id="98"/>
      <w:bookmarkEnd w:id="99"/>
      <w:bookmarkEnd w:id="100"/>
    </w:p>
    <w:p>
      <w:pPr>
        <w:spacing w:line="360" w:lineRule="auto"/>
        <w:ind w:firstLine="480"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投标文件均按A4复印纸页面编制、装订。所有投标文件均为明标。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.2投标人应将投标文件“资格证明文件”“商务文件”“技术文件”分别装订、密封，并在密封处加盖投标人公章。</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.3投标文件密封袋上均应写明“资格证明文件”“商务文件”“技术文件”，并同时写明“采购人”、“ 项目名称”、“ 招标文件编号”、“ 投标人名称”和“地址”等事项并注明“开启前不准启封”等字样。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.4未按本要求密封、标记的投标文件，采购人（或招标代理机构）不对后果负责。</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01" w:name="_Toc245897296"/>
      <w:bookmarkStart w:id="102" w:name="_Toc243906335"/>
      <w:bookmarkStart w:id="103" w:name="_Toc233274836"/>
      <w:bookmarkStart w:id="104" w:name="_Toc243907596"/>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、递交投标文件截止时间</w:t>
      </w:r>
      <w:bookmarkEnd w:id="101"/>
      <w:bookmarkEnd w:id="102"/>
      <w:bookmarkEnd w:id="103"/>
      <w:bookmarkEnd w:id="104"/>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.1 所有投标文件都必须按采购人在投标人须知前附表中规定的截止时间之前送达。</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.2出现因招标文件的修改推迟截止日期时，则按招标代理机构修改通知规定的时间递交投标文件。在此情况下，采购人和招标代理机构与投标人之间受截止期制约的所有权利和义务应延长至新的截止期。</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05" w:name="_Toc245897297"/>
      <w:bookmarkStart w:id="106" w:name="_Toc243906336"/>
      <w:bookmarkStart w:id="107" w:name="_Toc233274837"/>
      <w:bookmarkStart w:id="108" w:name="_Toc243907597"/>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8</w:t>
      </w:r>
      <w:r>
        <w:rPr>
          <w:rFonts w:hint="eastAsia" w:hAnsi="宋体" w:cs="宋体"/>
          <w:color w:val="000000" w:themeColor="text1"/>
          <w:sz w:val="24"/>
          <w:szCs w:val="24"/>
          <w:highlight w:val="none"/>
          <w14:textFill>
            <w14:solidFill>
              <w14:schemeClr w14:val="tx1"/>
            </w14:solidFill>
          </w14:textFill>
        </w:rPr>
        <w:t>、迟交的投标文件</w:t>
      </w:r>
      <w:bookmarkEnd w:id="105"/>
      <w:bookmarkEnd w:id="106"/>
      <w:bookmarkEnd w:id="107"/>
      <w:bookmarkEnd w:id="108"/>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8</w:t>
      </w:r>
      <w:r>
        <w:rPr>
          <w:rFonts w:hint="eastAsia" w:hAnsi="宋体" w:cs="宋体"/>
          <w:color w:val="000000" w:themeColor="text1"/>
          <w:sz w:val="24"/>
          <w:szCs w:val="24"/>
          <w:highlight w:val="none"/>
          <w14:textFill>
            <w14:solidFill>
              <w14:schemeClr w14:val="tx1"/>
            </w14:solidFill>
          </w14:textFill>
        </w:rPr>
        <w:t>.1 采购人将拒绝并原封退回在其规定的截止时间后送达的投标文件。</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09" w:name="_Toc245897298"/>
      <w:bookmarkStart w:id="110" w:name="_Toc233274838"/>
      <w:bookmarkStart w:id="111" w:name="_Toc243906337"/>
      <w:bookmarkStart w:id="112" w:name="_Toc243907598"/>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、投标文件的修改和撤回</w:t>
      </w:r>
      <w:bookmarkEnd w:id="109"/>
      <w:bookmarkEnd w:id="110"/>
      <w:bookmarkEnd w:id="111"/>
      <w:bookmarkEnd w:id="112"/>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.1 投标人在提交投标文件后可在截止时间前对其投标文件进行修改或撤回，但采购人须在截止时间之前收到该修改或撤回的书面通知，该通知须有投标人代表人或经有效授权的委托代理人签字或盖章。</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.2 投标人对投标文件修改的书面材料或撤回的通知应按第2</w:t>
      </w: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条和第2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条规定进行编写、密封、标记和递交，并注明“修改投标文件”或“撤回投标文件”字样。否则采购人将按2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.3款的规定不予退还其全部投标保证金。</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.3截止时间之后，投标人不得对投标文件做任何修改。</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.4 投标人不得在截止时间起至投标文件有效期期满前撤回投标文件。</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13" w:name="_Toc245897299"/>
      <w:bookmarkStart w:id="114" w:name="_Toc233274839"/>
      <w:bookmarkStart w:id="115" w:name="_Toc243906338"/>
      <w:bookmarkStart w:id="116" w:name="_Toc243907599"/>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、递交投标文件</w:t>
      </w:r>
      <w:bookmarkEnd w:id="113"/>
      <w:bookmarkEnd w:id="114"/>
      <w:bookmarkEnd w:id="115"/>
      <w:bookmarkEnd w:id="116"/>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.1投标人应按本投标人须知前附表第</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项规定的时间及地点递交投标文件。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.2有下列情形之一的，采购人不予接收其投标文件：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.2.1投标人在递交投标文件截止时间后送达或未送达到指定地点的投标文件；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.2.2 投标文件未按招标文件要求密封的。</w:t>
      </w:r>
    </w:p>
    <w:p>
      <w:pPr>
        <w:spacing w:line="360" w:lineRule="auto"/>
        <w:ind w:firstLine="482" w:firstLineChars="200"/>
        <w:jc w:val="center"/>
        <w:outlineLvl w:val="1"/>
        <w:rPr>
          <w:rFonts w:ascii="宋体" w:hAnsi="宋体" w:cs="宋体"/>
          <w:b/>
          <w:bCs/>
          <w:color w:val="000000" w:themeColor="text1"/>
          <w:sz w:val="24"/>
          <w:highlight w:val="none"/>
          <w14:textFill>
            <w14:solidFill>
              <w14:schemeClr w14:val="tx1"/>
            </w14:solidFill>
          </w14:textFill>
        </w:rPr>
      </w:pPr>
      <w:bookmarkStart w:id="117" w:name="_Toc243906339"/>
      <w:bookmarkStart w:id="118" w:name="_Toc233274840"/>
      <w:bookmarkStart w:id="119" w:name="_Toc243907600"/>
      <w:bookmarkStart w:id="120" w:name="_Toc246216209"/>
    </w:p>
    <w:p>
      <w:pPr>
        <w:spacing w:line="360" w:lineRule="auto"/>
        <w:ind w:firstLine="482" w:firstLineChars="200"/>
        <w:jc w:val="center"/>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E  开标、评标、</w:t>
      </w:r>
      <w:bookmarkEnd w:id="117"/>
      <w:bookmarkEnd w:id="118"/>
      <w:bookmarkEnd w:id="119"/>
      <w:bookmarkEnd w:id="120"/>
      <w:r>
        <w:rPr>
          <w:rFonts w:hint="eastAsia" w:ascii="宋体" w:hAnsi="宋体" w:cs="宋体"/>
          <w:b/>
          <w:bCs/>
          <w:color w:val="000000" w:themeColor="text1"/>
          <w:sz w:val="24"/>
          <w:highlight w:val="none"/>
          <w14:textFill>
            <w14:solidFill>
              <w14:schemeClr w14:val="tx1"/>
            </w14:solidFill>
          </w14:textFill>
        </w:rPr>
        <w:t>确定</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21" w:name="_Toc243906340"/>
      <w:bookmarkStart w:id="122" w:name="_Toc233274841"/>
      <w:bookmarkStart w:id="123" w:name="_Toc243907601"/>
      <w:bookmarkStart w:id="124" w:name="_Toc245897301"/>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bookmarkEnd w:id="121"/>
      <w:bookmarkEnd w:id="122"/>
      <w:bookmarkEnd w:id="123"/>
      <w:bookmarkEnd w:id="124"/>
      <w:r>
        <w:rPr>
          <w:rFonts w:hint="eastAsia" w:ascii="宋体" w:hAnsi="宋体" w:cs="宋体"/>
          <w:color w:val="000000" w:themeColor="text1"/>
          <w:sz w:val="24"/>
          <w:highlight w:val="none"/>
          <w14:textFill>
            <w14:solidFill>
              <w14:schemeClr w14:val="tx1"/>
            </w14:solidFill>
          </w14:textFill>
        </w:rPr>
        <w:t>开标会议</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.1采购人在本投标人须知前附表第</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项规定的时间和地点组织开标会议。</w:t>
      </w:r>
    </w:p>
    <w:p>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.2各投标人法定代表人或其授权代表应准时参加，开标时</w:t>
      </w:r>
      <w:r>
        <w:rPr>
          <w:rFonts w:hint="eastAsia" w:ascii="宋体" w:hAnsi="宋体" w:cs="宋体"/>
          <w:b/>
          <w:color w:val="000000" w:themeColor="text1"/>
          <w:sz w:val="24"/>
          <w:highlight w:val="none"/>
          <w14:textFill>
            <w14:solidFill>
              <w14:schemeClr w14:val="tx1"/>
            </w14:solidFill>
          </w14:textFill>
        </w:rPr>
        <w:t>参加会议的代表应持有投标人法定代表人授权委托书及委托代理人身份证原件</w:t>
      </w:r>
      <w:r>
        <w:rPr>
          <w:rFonts w:hint="eastAsia" w:ascii="宋体" w:hAnsi="宋体" w:cs="宋体"/>
          <w:color w:val="000000" w:themeColor="text1"/>
          <w:sz w:val="24"/>
          <w:highlight w:val="none"/>
          <w14:textFill>
            <w14:solidFill>
              <w14:schemeClr w14:val="tx1"/>
            </w14:solidFill>
          </w14:textFill>
        </w:rPr>
        <w:t>。投标文件中按要求提供法定代表人授权书。招标代理机构将核验出席开标活动现场的各投标人法定代表人或其授权代表及相关单位人员身份，并组织其分别登记、签到，无关人员不得进入现场。投标人如不派代表参加开标会议的，事后不得对采购相关人员、开标过程和开标结果提出异议</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招标代理机构接收投标文件并予以登记，各投标人法定代表人或其授权代表对投标文件的递交情况进行签字确认。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.4开标会议由招标代理机构组织并主持。开标时，应当由投标人或者其推选的代表检查投标文件的密封情况，也可以由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委托的公证机构检查并公证；经确认无误后，由招标代理机构工作人员当众拆封，按投标人提交投标文件的登记顺序当众拆封、清点投标文件（包括正本、副本）数量，各投标人法定代表人或其授权代表等候招标代理机构拆封商务文件，由招标代理机构工作人员宣读投标人名称、投标价格和招标文件规定的需要宣布的其他内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5开标结束后，采购人、招标代理机构应当依法对投标人的资格进行审查。投标人未按照招标文件要求提供其相应的有效资格证明材料的，视为投标人不具备招标文件中规定的资格要求，其投标无效，不得进入评标程序。</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25" w:name="_Toc243906341"/>
      <w:bookmarkStart w:id="126" w:name="_Toc233274842"/>
      <w:bookmarkStart w:id="127" w:name="_Toc245897302"/>
      <w:bookmarkStart w:id="128" w:name="_Toc243907602"/>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、评标委员会</w:t>
      </w:r>
      <w:bookmarkEnd w:id="125"/>
      <w:bookmarkEnd w:id="126"/>
      <w:bookmarkEnd w:id="127"/>
      <w:bookmarkEnd w:id="128"/>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评标委员会成员组成：按照《中华人民共和国政府采购法》、《中华人民共和国政府采购法实施条例》、《政府采购货物和服务招标投标管理办法》及相关法律、法规规定组建，由采购人代表和评审专家组成。评标委员会将负责对投标人提交的投标文件进行公开、评审，确保公开、评审过程公正、合法、保密，并向采购人推荐</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w:t>
      </w:r>
    </w:p>
    <w:p>
      <w:pPr>
        <w:spacing w:line="360" w:lineRule="auto"/>
        <w:ind w:firstLine="482" w:firstLineChars="200"/>
        <w:outlineLvl w:val="1"/>
        <w:rPr>
          <w:rFonts w:ascii="宋体" w:hAnsi="宋体" w:cs="宋体"/>
          <w:color w:val="000000" w:themeColor="text1"/>
          <w:sz w:val="24"/>
          <w:highlight w:val="none"/>
          <w14:textFill>
            <w14:solidFill>
              <w14:schemeClr w14:val="tx1"/>
            </w14:solidFill>
          </w14:textFill>
        </w:rPr>
      </w:pPr>
      <w:bookmarkStart w:id="129" w:name="_Toc245897306"/>
      <w:bookmarkStart w:id="130" w:name="_Toc243907607"/>
      <w:bookmarkStart w:id="131" w:name="_Toc233274845"/>
      <w:bookmarkStart w:id="132" w:name="_Toc243906346"/>
      <w:bookmarkStart w:id="133" w:name="_Toc245897304"/>
      <w:bookmarkStart w:id="134" w:name="_Toc233274843"/>
      <w:bookmarkStart w:id="135" w:name="_Toc243906344"/>
      <w:bookmarkStart w:id="136" w:name="_Toc243907605"/>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、重大偏离</w:t>
      </w:r>
      <w:bookmarkEnd w:id="129"/>
      <w:bookmarkEnd w:id="130"/>
      <w:bookmarkEnd w:id="131"/>
      <w:bookmarkEnd w:id="132"/>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37" w:name="_Toc243907608"/>
      <w:bookmarkStart w:id="138" w:name="_Toc233274846"/>
      <w:bookmarkStart w:id="139" w:name="_Toc243906347"/>
      <w:bookmarkStart w:id="140" w:name="_Toc245897307"/>
      <w:r>
        <w:rPr>
          <w:rFonts w:hint="eastAsia" w:ascii="宋体" w:hAnsi="宋体" w:cs="宋体"/>
          <w:b/>
          <w:color w:val="000000" w:themeColor="text1"/>
          <w:sz w:val="24"/>
          <w:highlight w:val="none"/>
          <w14:textFill>
            <w14:solidFill>
              <w14:schemeClr w14:val="tx1"/>
            </w14:solidFill>
          </w14:textFill>
        </w:rPr>
        <w:t>重大偏离是指实质上影响合同的招标范围、质量和性能、</w:t>
      </w:r>
      <w:r>
        <w:rPr>
          <w:rFonts w:hint="eastAsia" w:ascii="宋体" w:hAnsi="宋体" w:cs="宋体"/>
          <w:b/>
          <w:color w:val="000000" w:themeColor="text1"/>
          <w:sz w:val="24"/>
          <w:highlight w:val="none"/>
          <w:lang w:eastAsia="zh-CN"/>
          <w14:textFill>
            <w14:solidFill>
              <w14:schemeClr w14:val="tx1"/>
            </w14:solidFill>
          </w14:textFill>
        </w:rPr>
        <w:t>工期</w:t>
      </w:r>
      <w:r>
        <w:rPr>
          <w:rFonts w:hint="eastAsia" w:ascii="宋体" w:hAnsi="宋体" w:cs="宋体"/>
          <w:b/>
          <w:color w:val="000000" w:themeColor="text1"/>
          <w:sz w:val="24"/>
          <w:highlight w:val="none"/>
          <w14:textFill>
            <w14:solidFill>
              <w14:schemeClr w14:val="tx1"/>
            </w14:solidFill>
          </w14:textFill>
        </w:rPr>
        <w:t>等，或者实质上不满足招标文件的要求，而且限制了采购人的权力或减轻了投标人的义务。纠正或承认这些偏离将会对其他实质上投标要求的投标人合理的竞争地位产生不公正的影响。</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bookmarkEnd w:id="137"/>
      <w:bookmarkEnd w:id="138"/>
      <w:bookmarkEnd w:id="139"/>
      <w:bookmarkEnd w:id="140"/>
      <w:r>
        <w:rPr>
          <w:rFonts w:hint="eastAsia" w:ascii="宋体" w:hAnsi="宋体" w:cs="宋体"/>
          <w:b/>
          <w:color w:val="000000" w:themeColor="text1"/>
          <w:sz w:val="24"/>
          <w:highlight w:val="none"/>
          <w14:textFill>
            <w14:solidFill>
              <w14:schemeClr w14:val="tx1"/>
            </w14:solidFill>
          </w14:textFill>
        </w:rPr>
        <w:t>废标</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在招标采购中，出现下列情形之一的，应予废标：</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34.1</w:t>
      </w:r>
      <w:r>
        <w:rPr>
          <w:rFonts w:hint="eastAsia" w:ascii="宋体" w:hAnsi="宋体" w:cs="宋体"/>
          <w:b/>
          <w:color w:val="000000" w:themeColor="text1"/>
          <w:sz w:val="24"/>
          <w:highlight w:val="none"/>
          <w14:textFill>
            <w14:solidFill>
              <w14:schemeClr w14:val="tx1"/>
            </w14:solidFill>
          </w14:textFill>
        </w:rPr>
        <w:t>投标文件无法定代表人或其委托代理人签字或盖章和加盖投标人公章的；</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34.2</w:t>
      </w:r>
      <w:r>
        <w:rPr>
          <w:rFonts w:hint="eastAsia" w:ascii="宋体" w:hAnsi="宋体" w:cs="宋体"/>
          <w:b/>
          <w:color w:val="000000" w:themeColor="text1"/>
          <w:sz w:val="24"/>
          <w:highlight w:val="none"/>
          <w14:textFill>
            <w14:solidFill>
              <w14:schemeClr w14:val="tx1"/>
            </w14:solidFill>
          </w14:textFill>
        </w:rPr>
        <w:t>投标文件《</w:t>
      </w:r>
      <w:r>
        <w:rPr>
          <w:rFonts w:hint="eastAsia" w:ascii="宋体" w:hAnsi="宋体" w:cs="宋体"/>
          <w:b/>
          <w:color w:val="000000" w:themeColor="text1"/>
          <w:sz w:val="24"/>
          <w:highlight w:val="none"/>
          <w:lang w:eastAsia="zh-CN"/>
          <w14:textFill>
            <w14:solidFill>
              <w14:schemeClr w14:val="tx1"/>
            </w14:solidFill>
          </w14:textFill>
        </w:rPr>
        <w:t>格式</w:t>
      </w:r>
      <w:r>
        <w:rPr>
          <w:rFonts w:hint="eastAsia" w:ascii="宋体" w:hAnsi="宋体" w:cs="宋体"/>
          <w:b/>
          <w:color w:val="000000" w:themeColor="text1"/>
          <w:sz w:val="24"/>
          <w:highlight w:val="none"/>
          <w:lang w:val="en-US" w:eastAsia="zh-CN"/>
          <w14:textFill>
            <w14:solidFill>
              <w14:schemeClr w14:val="tx1"/>
            </w14:solidFill>
          </w14:textFill>
        </w:rPr>
        <w:t xml:space="preserve">11  </w:t>
      </w:r>
      <w:r>
        <w:rPr>
          <w:rFonts w:hint="eastAsia" w:ascii="宋体" w:hAnsi="宋体" w:cs="宋体"/>
          <w:b/>
          <w:color w:val="000000" w:themeColor="text1"/>
          <w:sz w:val="24"/>
          <w:highlight w:val="none"/>
          <w14:textFill>
            <w14:solidFill>
              <w14:schemeClr w14:val="tx1"/>
            </w14:solidFill>
          </w14:textFill>
        </w:rPr>
        <w:t>投标总价》未加盖投标人公章及造价人员执业章且签字的；</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34.3</w:t>
      </w:r>
      <w:r>
        <w:rPr>
          <w:rFonts w:hint="eastAsia" w:ascii="宋体" w:hAnsi="宋体" w:cs="宋体"/>
          <w:b/>
          <w:color w:val="000000" w:themeColor="text1"/>
          <w:sz w:val="24"/>
          <w:highlight w:val="none"/>
          <w14:textFill>
            <w14:solidFill>
              <w14:schemeClr w14:val="tx1"/>
            </w14:solidFill>
          </w14:textFill>
        </w:rPr>
        <w:t>投标人的投标总价、投标报价高于公布的招标控制价总价、招标控制价报价的；</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34.4</w:t>
      </w:r>
      <w:r>
        <w:rPr>
          <w:rFonts w:hint="eastAsia" w:ascii="宋体" w:hAnsi="宋体" w:cs="宋体"/>
          <w:b/>
          <w:color w:val="000000" w:themeColor="text1"/>
          <w:sz w:val="24"/>
          <w:highlight w:val="none"/>
          <w14:textFill>
            <w14:solidFill>
              <w14:schemeClr w14:val="tx1"/>
            </w14:solidFill>
          </w14:textFill>
        </w:rPr>
        <w:t>材料、设备</w:t>
      </w:r>
      <w:r>
        <w:rPr>
          <w:rFonts w:hint="eastAsia" w:ascii="宋体" w:hAnsi="宋体" w:cs="宋体"/>
          <w:b/>
          <w:color w:val="000000" w:themeColor="text1"/>
          <w:sz w:val="24"/>
          <w:highlight w:val="none"/>
          <w:lang w:eastAsia="zh-CN"/>
          <w14:textFill>
            <w14:solidFill>
              <w14:schemeClr w14:val="tx1"/>
            </w14:solidFill>
          </w14:textFill>
        </w:rPr>
        <w:t>、苗木</w:t>
      </w:r>
      <w:r>
        <w:rPr>
          <w:rFonts w:hint="eastAsia" w:ascii="宋体" w:hAnsi="宋体" w:cs="宋体"/>
          <w:b/>
          <w:color w:val="000000" w:themeColor="text1"/>
          <w:sz w:val="24"/>
          <w:highlight w:val="none"/>
          <w14:textFill>
            <w14:solidFill>
              <w14:schemeClr w14:val="tx1"/>
            </w14:solidFill>
          </w14:textFill>
        </w:rPr>
        <w:t>价格明显高于市场价格的；</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34.6</w:t>
      </w:r>
      <w:r>
        <w:rPr>
          <w:rFonts w:hint="eastAsia" w:ascii="宋体" w:hAnsi="宋体" w:cs="宋体"/>
          <w:b/>
          <w:color w:val="000000" w:themeColor="text1"/>
          <w:sz w:val="24"/>
          <w:highlight w:val="none"/>
          <w14:textFill>
            <w14:solidFill>
              <w14:schemeClr w14:val="tx1"/>
            </w14:solidFill>
          </w14:textFill>
        </w:rPr>
        <w:t>工程排污费、社会保险费（养老保险费、失业保险费、医疗保险费、工伤保险费、生育保险费）、住房公积金，以及将安全文明施工费列入可竞争性费用的；</w:t>
      </w:r>
    </w:p>
    <w:p>
      <w:pPr>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34.7修改招标文件提供的工程量清单中的计量单位、工程量的；</w:t>
      </w:r>
    </w:p>
    <w:p>
      <w:pPr>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34.8未严格按照招标文件规定的格式填写，内容不全或关键字迹模糊、无法辨认的；</w:t>
      </w:r>
    </w:p>
    <w:p>
      <w:pPr>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34.9不满足招标文件实质性要求的其他情形；</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10</w:t>
      </w:r>
      <w:r>
        <w:rPr>
          <w:rFonts w:hint="eastAsia" w:ascii="宋体" w:hAnsi="宋体" w:cs="宋体"/>
          <w:b/>
          <w:color w:val="000000" w:themeColor="text1"/>
          <w:sz w:val="24"/>
          <w:highlight w:val="none"/>
          <w14:textFill>
            <w14:solidFill>
              <w14:schemeClr w14:val="tx1"/>
            </w14:solidFill>
          </w14:textFill>
        </w:rPr>
        <w:t>符合专业条件的投标人或者对招标文件作实质响应的投标人不足三家的；</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11</w:t>
      </w:r>
      <w:r>
        <w:rPr>
          <w:rFonts w:hint="eastAsia" w:ascii="宋体" w:hAnsi="宋体" w:cs="宋体"/>
          <w:b/>
          <w:color w:val="000000" w:themeColor="text1"/>
          <w:sz w:val="24"/>
          <w:highlight w:val="none"/>
          <w14:textFill>
            <w14:solidFill>
              <w14:schemeClr w14:val="tx1"/>
            </w14:solidFill>
          </w14:textFill>
        </w:rPr>
        <w:t>出现影响采购公正的违法、违规行为的；</w:t>
      </w:r>
    </w:p>
    <w:p>
      <w:pPr>
        <w:pageBreakBefore w:val="0"/>
        <w:kinsoku/>
        <w:topLinePunct w:val="0"/>
        <w:bidi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12</w:t>
      </w:r>
      <w:r>
        <w:rPr>
          <w:rFonts w:hint="eastAsia" w:ascii="宋体" w:hAnsi="宋体" w:eastAsia="宋体" w:cs="宋体"/>
          <w:b/>
          <w:color w:val="000000" w:themeColor="text1"/>
          <w:sz w:val="24"/>
          <w:szCs w:val="24"/>
          <w:highlight w:val="none"/>
          <w14:textFill>
            <w14:solidFill>
              <w14:schemeClr w14:val="tx1"/>
            </w14:solidFill>
          </w14:textFill>
        </w:rPr>
        <w:t>投标人的报价均超过了采购预算，采购人不能支付的</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因重大变故，采购任务取消的；</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14</w:t>
      </w:r>
      <w:r>
        <w:rPr>
          <w:rFonts w:hint="eastAsia" w:ascii="宋体" w:hAnsi="宋体" w:cs="宋体"/>
          <w:b/>
          <w:color w:val="000000" w:themeColor="text1"/>
          <w:sz w:val="24"/>
          <w:highlight w:val="none"/>
          <w14:textFill>
            <w14:solidFill>
              <w14:schemeClr w14:val="tx1"/>
            </w14:solidFill>
          </w14:textFill>
        </w:rPr>
        <w:t>《中华人民共和国政府采购法》及相关法律法规及招标文件明确规定废标的其他情形。</w:t>
      </w:r>
      <w:bookmarkStart w:id="141" w:name="_Toc233274847"/>
      <w:bookmarkStart w:id="142" w:name="_Toc243907609"/>
      <w:bookmarkStart w:id="143" w:name="_Toc245897308"/>
      <w:bookmarkStart w:id="144" w:name="_Toc243906348"/>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、投标人串通投标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有下列情形之一的，视为投标人串通投标，其投标无效：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.1不同投标人的投标文件由同一单位或者个人编制；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.2不同投标人委托同一单位或者个人办理投标事宜；</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.3不同投标人的投标文件载明的项目管理成员或者联系人员为同一人；</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.4不同投标人的投标文件异常一致或者投标报价呈规律性差异；</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.5不同投标人的投标文件相互混装；</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.6不同投标人的投标保证金从同一单位或者个人的账户转出。</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、投标无效：投标人存在下列情况之一的，其投标无效:</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.1未按照招标文件的规定提交投标保证金的；</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.2投标文件未按招标文件要求签署、盖章的；</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.3不具备招标文件中规定的资格要求的；</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.4报价超过招标文件中规定的预算金额或者最高限价的；</w:t>
      </w:r>
    </w:p>
    <w:p>
      <w:pPr>
        <w:spacing w:line="360" w:lineRule="auto"/>
        <w:ind w:firstLine="482" w:firstLineChars="200"/>
        <w:outlineLvl w:val="1"/>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.5投标文件含有采购人不能接受的附加条件的</w:t>
      </w:r>
      <w:r>
        <w:rPr>
          <w:rFonts w:hint="eastAsia" w:ascii="宋体" w:hAnsi="宋体" w:cs="宋体"/>
          <w:b/>
          <w:color w:val="000000" w:themeColor="text1"/>
          <w:sz w:val="24"/>
          <w:highlight w:val="none"/>
          <w:lang w:eastAsia="zh-CN"/>
          <w14:textFill>
            <w14:solidFill>
              <w14:schemeClr w14:val="tx1"/>
            </w14:solidFill>
          </w14:textFill>
        </w:rPr>
        <w:t>；</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.6《中华人民共和国政府采购法》、《中华人民共和国政府采购法实施条例》、《政府采购货物和服务招标投标管理办法》及相关法律法规及招标文件明确规定可以作无效投标文件的其他情形。</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bookmarkEnd w:id="141"/>
      <w:bookmarkEnd w:id="142"/>
      <w:bookmarkEnd w:id="143"/>
      <w:bookmarkEnd w:id="144"/>
      <w:r>
        <w:rPr>
          <w:rFonts w:hint="eastAsia" w:ascii="宋体" w:hAnsi="宋体" w:cs="宋体"/>
          <w:b/>
          <w:color w:val="000000" w:themeColor="text1"/>
          <w:sz w:val="24"/>
          <w:highlight w:val="none"/>
          <w14:textFill>
            <w14:solidFill>
              <w14:schemeClr w14:val="tx1"/>
            </w14:solidFill>
          </w14:textFill>
        </w:rPr>
        <w:t>评标方法</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1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bookmarkEnd w:id="133"/>
    <w:bookmarkEnd w:id="134"/>
    <w:bookmarkEnd w:id="135"/>
    <w:bookmarkEnd w:id="136"/>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.2本项目评审采用综合评分法，并严格按照招标文件的要求和条件进行。</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2.1投标文件符合性审查：由评标委员会评委对符合资格的各投标人投标文件进行符合性审查。符合性审查是从投标文件的有效性、完整性和对招标文件的响应程度进行审查。未通过符合性审查的投标人其投标文件将按照无效投标处理。</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.2.1.1澄清有关问题。对投标文件中含义不明确、同类问题表述不一致或者有明显文</w:t>
      </w:r>
      <w:r>
        <w:rPr>
          <w:rFonts w:hint="eastAsia" w:ascii="宋体" w:hAnsi="宋体" w:eastAsia="宋体" w:cs="宋体"/>
          <w:b/>
          <w:color w:val="000000" w:themeColor="text1"/>
          <w:sz w:val="24"/>
          <w:highlight w:val="none"/>
          <w14:textFill>
            <w14:solidFill>
              <w14:schemeClr w14:val="tx1"/>
            </w14:solidFill>
          </w14:textFill>
        </w:rPr>
        <w:t>字和计算错误的内容，评标委员会可以书面形式要求投标人作出必要的澄清、说明或者纠正。</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eastAsia="宋体" w:cs="宋体"/>
          <w:b/>
          <w:color w:val="000000" w:themeColor="text1"/>
          <w:sz w:val="24"/>
          <w:highlight w:val="none"/>
          <w14:textFill>
            <w14:solidFill>
              <w14:schemeClr w14:val="tx1"/>
            </w14:solidFill>
          </w14:textFill>
        </w:rPr>
        <w:t>.2.1.2比较与评价。评标委员会应当按照招标文件中规定的评标方法和标准，对符合性审查合格的投标文件进行商务和技术评估，综合比较与评价。</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eastAsia="宋体" w:cs="宋体"/>
          <w:b/>
          <w:color w:val="000000" w:themeColor="text1"/>
          <w:sz w:val="24"/>
          <w:highlight w:val="none"/>
          <w14:textFill>
            <w14:solidFill>
              <w14:schemeClr w14:val="tx1"/>
            </w14:solidFill>
          </w14:textFill>
        </w:rPr>
        <w:t>.3综合评分法是指投标文件满足招标文件全部实质性要求，且按照评审因素的量化指标评审得分最高的投标人为中标候选人的评标方法。</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.4评标分值：总分值为</w:t>
      </w:r>
      <w:r>
        <w:rPr>
          <w:rFonts w:hint="eastAsia" w:ascii="宋体" w:hAnsi="宋体" w:cs="宋体"/>
          <w:b/>
          <w:color w:val="000000" w:themeColor="text1"/>
          <w:sz w:val="24"/>
          <w:highlight w:val="none"/>
          <w:lang w:val="en-US" w:eastAsia="zh-CN"/>
          <w14:textFill>
            <w14:solidFill>
              <w14:schemeClr w14:val="tx1"/>
            </w14:solidFill>
          </w14:textFill>
        </w:rPr>
        <w:t>100</w:t>
      </w:r>
      <w:r>
        <w:rPr>
          <w:rFonts w:hint="eastAsia" w:ascii="宋体" w:hAnsi="宋体" w:cs="宋体"/>
          <w:b/>
          <w:color w:val="000000" w:themeColor="text1"/>
          <w:sz w:val="24"/>
          <w:highlight w:val="none"/>
          <w14:textFill>
            <w14:solidFill>
              <w14:schemeClr w14:val="tx1"/>
            </w14:solidFill>
          </w14:textFill>
        </w:rPr>
        <w:t>分，其中商务报价价格分值为</w:t>
      </w:r>
      <w:r>
        <w:rPr>
          <w:rFonts w:hint="eastAsia" w:ascii="宋体" w:hAnsi="宋体" w:cs="宋体"/>
          <w:b/>
          <w:color w:val="000000" w:themeColor="text1"/>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分，其余部分分值为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分，具体评标方法详本招标文件第六章“评标方法（综合评分法）”。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.5商务报价错误的修正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.5.1如果发现商务报价存在计算或表达上错误，则按下列原则进行修正：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（1）开标时，投标文件中开标一览表(报价表)内容与投标文件中相应内容不一致的，以开标一览表(报价表)为准。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45" w:name="_Toc224624767"/>
      <w:bookmarkStart w:id="146" w:name="_Toc224620150"/>
      <w:bookmarkStart w:id="147" w:name="_Toc224623451"/>
      <w:bookmarkStart w:id="148" w:name="_Toc224620071"/>
      <w:bookmarkStart w:id="149" w:name="_Toc245897305"/>
      <w:bookmarkStart w:id="150" w:name="_Toc224623663"/>
      <w:bookmarkStart w:id="151" w:name="_Toc224622928"/>
      <w:bookmarkStart w:id="152" w:name="_Toc224624488"/>
      <w:bookmarkStart w:id="153" w:name="_Toc224624628"/>
      <w:bookmarkStart w:id="154" w:name="_Toc243906345"/>
      <w:bookmarkStart w:id="155" w:name="_Toc224623557"/>
      <w:bookmarkStart w:id="156" w:name="_Toc243907606"/>
      <w:r>
        <w:rPr>
          <w:rFonts w:hint="eastAsia" w:ascii="宋体" w:hAnsi="宋体" w:cs="宋体"/>
          <w:color w:val="000000" w:themeColor="text1"/>
          <w:sz w:val="24"/>
          <w:highlight w:val="none"/>
          <w14:textFill>
            <w14:solidFill>
              <w14:schemeClr w14:val="tx1"/>
            </w14:solidFill>
          </w14:textFill>
        </w:rPr>
        <w:t>（2）投标文件的大写金额和小写金额不一致的，以大写金额为准；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总价金额与按单价汇总金额不一致的，以单价金额计算结果为准；单价金额小数点或者百分比有明显错位的，以开标一览表的总价为准，并修改单价；对不同文字文本投标文件的解释发生异议的，以中文文本为准。</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.5.2同时出现两种以上不一致的，按照前款规定的顺序修正。修正后的报价按照财政部公布第87号令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bookmarkEnd w:id="145"/>
    <w:bookmarkEnd w:id="146"/>
    <w:bookmarkEnd w:id="147"/>
    <w:bookmarkEnd w:id="148"/>
    <w:bookmarkEnd w:id="149"/>
    <w:bookmarkEnd w:id="150"/>
    <w:bookmarkEnd w:id="151"/>
    <w:bookmarkEnd w:id="152"/>
    <w:bookmarkEnd w:id="153"/>
    <w:bookmarkEnd w:id="154"/>
    <w:bookmarkEnd w:id="155"/>
    <w:bookmarkEnd w:id="156"/>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黑体" w:hAnsi="Times New Roman" w:eastAsia="黑体" w:cs="Times New Roman"/>
          <w:b/>
          <w:color w:val="000000" w:themeColor="text1"/>
          <w:sz w:val="24"/>
          <w:highlight w:val="none"/>
          <w14:textFill>
            <w14:solidFill>
              <w14:schemeClr w14:val="tx1"/>
            </w14:solidFill>
          </w14:textFill>
        </w:rPr>
      </w:pPr>
      <w:bookmarkStart w:id="157" w:name="_Toc233274848"/>
      <w:bookmarkStart w:id="158" w:name="_Toc243907610"/>
      <w:bookmarkStart w:id="159" w:name="_Toc245897309"/>
      <w:bookmarkStart w:id="160" w:name="_Toc243906349"/>
      <w:r>
        <w:rPr>
          <w:rFonts w:hint="eastAsia" w:ascii="黑体" w:hAnsi="Times New Roman" w:eastAsia="黑体" w:cs="Times New Roman"/>
          <w:b/>
          <w:color w:val="000000" w:themeColor="text1"/>
          <w:sz w:val="24"/>
          <w:highlight w:val="none"/>
          <w14:textFill>
            <w14:solidFill>
              <w14:schemeClr w14:val="tx1"/>
            </w14:solidFill>
          </w14:textFill>
        </w:rPr>
        <w:t>3</w:t>
      </w:r>
      <w:r>
        <w:rPr>
          <w:rFonts w:hint="eastAsia" w:ascii="黑体" w:eastAsia="黑体" w:cs="Times New Roman"/>
          <w:b/>
          <w:color w:val="000000" w:themeColor="text1"/>
          <w:sz w:val="24"/>
          <w:highlight w:val="none"/>
          <w:lang w:val="en-US" w:eastAsia="zh-CN"/>
          <w14:textFill>
            <w14:solidFill>
              <w14:schemeClr w14:val="tx1"/>
            </w14:solidFill>
          </w14:textFill>
        </w:rPr>
        <w:t>8</w:t>
      </w:r>
      <w:r>
        <w:rPr>
          <w:rFonts w:hint="eastAsia" w:ascii="黑体" w:hAnsi="Times New Roman" w:eastAsia="黑体" w:cs="Times New Roman"/>
          <w:b/>
          <w:color w:val="000000" w:themeColor="text1"/>
          <w:sz w:val="24"/>
          <w:highlight w:val="none"/>
          <w14:textFill>
            <w14:solidFill>
              <w14:schemeClr w14:val="tx1"/>
            </w14:solidFill>
          </w14:textFill>
        </w:rPr>
        <w:t>、推荐中标候选人</w:t>
      </w:r>
    </w:p>
    <w:p>
      <w:pPr>
        <w:spacing w:line="360" w:lineRule="auto"/>
        <w:ind w:firstLine="482" w:firstLineChars="200"/>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3</w:t>
      </w:r>
      <w:r>
        <w:rPr>
          <w:rFonts w:hint="eastAsia" w:ascii="黑体" w:eastAsia="黑体"/>
          <w:b/>
          <w:color w:val="000000" w:themeColor="text1"/>
          <w:sz w:val="24"/>
          <w:highlight w:val="none"/>
          <w:lang w:val="en-US" w:eastAsia="zh-CN"/>
          <w14:textFill>
            <w14:solidFill>
              <w14:schemeClr w14:val="tx1"/>
            </w14:solidFill>
          </w14:textFill>
        </w:rPr>
        <w:t>8</w:t>
      </w:r>
      <w:r>
        <w:rPr>
          <w:rFonts w:hint="eastAsia" w:ascii="黑体" w:eastAsia="黑体"/>
          <w:b/>
          <w:color w:val="000000" w:themeColor="text1"/>
          <w:sz w:val="24"/>
          <w:highlight w:val="none"/>
          <w14:textFill>
            <w14:solidFill>
              <w14:schemeClr w14:val="tx1"/>
            </w14:solidFill>
          </w14:textFill>
        </w:rPr>
        <w:t>.1投标人的综合得分由高至低排序，综合得分排列前3名的投标人被推荐为中标候选</w:t>
      </w:r>
      <w:r>
        <w:rPr>
          <w:rFonts w:hint="eastAsia" w:ascii="宋体" w:hAnsi="宋体" w:eastAsia="宋体" w:cs="宋体"/>
          <w:b/>
          <w:color w:val="000000" w:themeColor="text1"/>
          <w:sz w:val="24"/>
          <w:highlight w:val="none"/>
          <w14:textFill>
            <w14:solidFill>
              <w14:schemeClr w14:val="tx1"/>
            </w14:solidFill>
          </w14:textFill>
        </w:rPr>
        <w:t>人</w:t>
      </w:r>
      <w:r>
        <w:rPr>
          <w:rFonts w:hint="eastAsia" w:ascii="宋体" w:hAnsi="宋体" w:eastAsia="宋体" w:cs="宋体"/>
          <w:b/>
          <w:color w:val="000000" w:themeColor="text1"/>
          <w:sz w:val="24"/>
          <w:szCs w:val="20"/>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注：评分计算保留两位小数，第三位小数四舍五入。</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8</w:t>
      </w:r>
      <w:r>
        <w:rPr>
          <w:rFonts w:hint="eastAsia" w:ascii="宋体" w:hAnsi="宋体" w:eastAsia="宋体" w:cs="宋体"/>
          <w:b/>
          <w:color w:val="000000" w:themeColor="text1"/>
          <w:sz w:val="24"/>
          <w:highlight w:val="none"/>
          <w14:textFill>
            <w14:solidFill>
              <w14:schemeClr w14:val="tx1"/>
            </w14:solidFill>
          </w14:textFill>
        </w:rPr>
        <w:t>.2评标委员会评审专家复核。评标小组评分汇总结束后，评标小组应当进行评审复核，对拟推荐为中标候选人的、报价最低的、投标人资格审查未通过的、投标人投标文件作无效处理的重点复核。</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.3确定中标人</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.3.1招标代理机构应当在评标结束后2个工作日内将评标报告送采购人确认。</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3.2采购人应当在收到评标报告后5个工作日内，按照评标报告中推荐的中标候选人顺序确定中标人；也可以事先授权评标委员会直接确定中标人。中标候选人并列的，由采购人或者采购人委托评标委员会按照招标文件规定的方式确定中标人；招标文件未规定的，采取随机抽取的方式确定。</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3.3中标人因不可抗力或者自身原因不能履行政府采购合同的，采购人可以与排位在中标人之后第一位的中标候选人签订政府采购合同，以此类推。</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w:t>
      </w:r>
      <w:r>
        <w:rPr>
          <w:rFonts w:hint="eastAsia" w:ascii="宋体" w:hAnsi="宋体" w:eastAsia="宋体" w:cs="宋体"/>
          <w:b/>
          <w:color w:val="000000" w:themeColor="text1"/>
          <w:sz w:val="24"/>
          <w:szCs w:val="20"/>
          <w:highlight w:val="none"/>
          <w:lang w:val="en-US" w:eastAsia="zh-CN"/>
          <w14:textFill>
            <w14:solidFill>
              <w14:schemeClr w14:val="tx1"/>
            </w14:solidFill>
          </w14:textFill>
        </w:rPr>
        <w:t>3</w:t>
      </w:r>
      <w:r>
        <w:rPr>
          <w:rFonts w:hint="eastAsia" w:ascii="宋体" w:hAnsi="宋体" w:eastAsia="宋体" w:cs="宋体"/>
          <w:b/>
          <w:color w:val="000000" w:themeColor="text1"/>
          <w:sz w:val="24"/>
          <w:szCs w:val="20"/>
          <w:highlight w:val="none"/>
          <w14:textFill>
            <w14:solidFill>
              <w14:schemeClr w14:val="tx1"/>
            </w14:solidFill>
          </w14:textFill>
        </w:rPr>
        <w:t>.4在确定中标人前，招标采购单位不得与投标投标人就投标价格、投标方案等实质性内容进行谈判。</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eastAsia="zh-CN"/>
          <w14:textFill>
            <w14:solidFill>
              <w14:schemeClr w14:val="tx1"/>
            </w14:solidFill>
          </w14:textFill>
        </w:rPr>
        <w:t>、采购人依法接受和拒绝任一或所有投标人的权力</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采购人保留确定中标人之前的任何时候依法接受或拒绝任一或所有投标人的权力，对受影响的投标人不承担任何责任，也无义务向受影响的投标人解释采取这一行动的理由。</w:t>
      </w:r>
    </w:p>
    <w:p>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w:t>
      </w:r>
      <w:bookmarkEnd w:id="157"/>
      <w:bookmarkEnd w:id="158"/>
      <w:bookmarkEnd w:id="159"/>
      <w:bookmarkEnd w:id="160"/>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.1采购人确定</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单位后，及时通知招标代理机构，招标代理机构将按程序公告</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结果，同时向</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单位发出</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通知书一经发出即发生法律效力。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通知书》将是合同的组成部分。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.3采购人将通知其他未</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的投标人。</w:t>
      </w:r>
    </w:p>
    <w:p>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bookmarkStart w:id="161" w:name="_Toc243907611"/>
      <w:bookmarkStart w:id="162" w:name="_Toc245897310"/>
      <w:bookmarkStart w:id="163" w:name="_Toc243906350"/>
      <w:bookmarkStart w:id="164" w:name="_Toc233274849"/>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、纪律与保密事项</w:t>
      </w:r>
      <w:bookmarkEnd w:id="161"/>
      <w:bookmarkEnd w:id="162"/>
      <w:bookmarkEnd w:id="163"/>
      <w:bookmarkEnd w:id="164"/>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.1凡参与公开招标的有关人员均应自觉接受有关主管部门的监督，不得向他人透露可能影响公平竞争的有关公开的其他情况。</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.2领取本招标文件及其它相关资料者，应对文件进行保密，不得用作本次公开以外的任何用途。由采购人向投标人提供的技术资料和所有其它资料，均视为保密资料，除非得到采购人的同意，不得向第三方透露。</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.3投标人不得与采购人串通公开，不得向采购人或者评标委员会成员行贿谋取</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，不得以他人名义参与公开或者以其它任何方式弄虚作假骗取参与公开；投标人不得以任何方</w:t>
      </w:r>
      <w:r>
        <w:rPr>
          <w:rFonts w:hint="eastAsia" w:ascii="宋体" w:hAnsi="宋体" w:cs="宋体"/>
          <w:color w:val="000000" w:themeColor="text1"/>
          <w:sz w:val="24"/>
          <w:highlight w:val="none"/>
          <w14:textFill>
            <w14:solidFill>
              <w14:schemeClr w14:val="tx1"/>
            </w14:solidFill>
          </w14:textFill>
        </w:rPr>
        <w:t>式干扰、影响评标工作。如果投标人或者其他利害关系人通过捏造事实、伪造证明材料等方式提出质疑，干扰政府采购活动正常进行的，属于严重不良行为，采购人、招标代理机构将提请财政部门将其列入不良行为记录名单，并依法予以处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4投标人不得在公开采购过程中互相串通、结盟、损害公开的公正性和竞争性，或以任何方式影响其他投标人参与正当公开。扰乱公开市场，破坏公平竞争原则。如投标人在公开招标过程中互相串通，一经查实，将取消公开招标资格。</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.5 公开之日起直至授予</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单位合同为止，凡属于对投标文件的审查、澄清、评价、比较有关的资料和</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单位的推荐情况及与评审有关的其他任何情况均严格保密。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.6从公开之日起至授予合同期间，投标人试图向评标委员会、招标代理机构施加任何影响或对采购人的比较及授予合同的决定进行影响，都可能导致其投标文件被拒绝。</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.7除投标人被要求对投标文件进行澄清外，从公开之时起至授予合同期间，投标人不得就与其投标文件有关的事项主动与评标委员会、招标代理机构以及采购人联系。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单位确定后，采购人不对未</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单位就评审过程以及未能</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原因作出任何解释，未</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单位不得向评标委员会或其他有关人员询问评审过程的情况和索取评审过程的资料。</w:t>
      </w:r>
    </w:p>
    <w:p>
      <w:pPr>
        <w:pStyle w:val="33"/>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3"/>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F   授予合同</w:t>
      </w:r>
      <w:bookmarkStart w:id="165" w:name="_Toc233274853"/>
      <w:bookmarkStart w:id="166" w:name="_Toc245897315"/>
      <w:bookmarkStart w:id="167" w:name="_Toc243906355"/>
      <w:bookmarkStart w:id="168" w:name="_Toc243907618"/>
    </w:p>
    <w:bookmarkEnd w:id="165"/>
    <w:bookmarkEnd w:id="166"/>
    <w:bookmarkEnd w:id="167"/>
    <w:bookmarkEnd w:id="168"/>
    <w:p>
      <w:pPr>
        <w:pStyle w:val="33"/>
        <w:spacing w:line="360" w:lineRule="auto"/>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w:t>
      </w:r>
      <w:r>
        <w:rPr>
          <w:rFonts w:hint="eastAsia" w:hAnsi="宋体" w:cs="宋体"/>
          <w:bCs/>
          <w:color w:val="000000" w:themeColor="text1"/>
          <w:sz w:val="24"/>
          <w:szCs w:val="24"/>
          <w:highlight w:val="none"/>
          <w:lang w:val="en-US" w:eastAsia="zh-CN"/>
          <w14:textFill>
            <w14:solidFill>
              <w14:schemeClr w14:val="tx1"/>
            </w14:solidFill>
          </w14:textFill>
        </w:rPr>
        <w:t>2</w:t>
      </w:r>
      <w:r>
        <w:rPr>
          <w:rFonts w:hint="eastAsia" w:hAnsi="宋体" w:cs="宋体"/>
          <w:bCs/>
          <w:color w:val="000000" w:themeColor="text1"/>
          <w:sz w:val="24"/>
          <w:szCs w:val="24"/>
          <w:highlight w:val="none"/>
          <w14:textFill>
            <w14:solidFill>
              <w14:schemeClr w14:val="tx1"/>
            </w14:solidFill>
          </w14:textFill>
        </w:rPr>
        <w:t>、授予合同标准</w:t>
      </w:r>
    </w:p>
    <w:p>
      <w:pPr>
        <w:pStyle w:val="33"/>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w:t>
      </w:r>
      <w:r>
        <w:rPr>
          <w:rFonts w:hint="eastAsia" w:hAnsi="宋体" w:cs="宋体"/>
          <w:bCs/>
          <w:color w:val="000000" w:themeColor="text1"/>
          <w:sz w:val="24"/>
          <w:szCs w:val="24"/>
          <w:highlight w:val="none"/>
          <w:lang w:val="en-US" w:eastAsia="zh-CN"/>
          <w14:textFill>
            <w14:solidFill>
              <w14:schemeClr w14:val="tx1"/>
            </w14:solidFill>
          </w14:textFill>
        </w:rPr>
        <w:t>2</w:t>
      </w:r>
      <w:r>
        <w:rPr>
          <w:rFonts w:hint="eastAsia" w:hAnsi="宋体" w:cs="宋体"/>
          <w:bCs/>
          <w:color w:val="000000" w:themeColor="text1"/>
          <w:sz w:val="24"/>
          <w:szCs w:val="24"/>
          <w:highlight w:val="none"/>
          <w14:textFill>
            <w14:solidFill>
              <w14:schemeClr w14:val="tx1"/>
            </w14:solidFill>
          </w14:textFill>
        </w:rPr>
        <w:t>.1本招标项目的采购合同将授予按本须知第3</w:t>
      </w:r>
      <w:r>
        <w:rPr>
          <w:rFonts w:hint="eastAsia" w:hAnsi="宋体" w:cs="宋体"/>
          <w:bCs/>
          <w:color w:val="000000" w:themeColor="text1"/>
          <w:sz w:val="24"/>
          <w:szCs w:val="24"/>
          <w:highlight w:val="none"/>
          <w:lang w:val="en-US" w:eastAsia="zh-CN"/>
          <w14:textFill>
            <w14:solidFill>
              <w14:schemeClr w14:val="tx1"/>
            </w14:solidFill>
          </w14:textFill>
        </w:rPr>
        <w:t>8</w:t>
      </w:r>
      <w:r>
        <w:rPr>
          <w:rFonts w:hint="eastAsia" w:hAnsi="宋体" w:cs="宋体"/>
          <w:bCs/>
          <w:color w:val="000000" w:themeColor="text1"/>
          <w:sz w:val="24"/>
          <w:szCs w:val="24"/>
          <w:highlight w:val="none"/>
          <w14:textFill>
            <w14:solidFill>
              <w14:schemeClr w14:val="tx1"/>
            </w14:solidFill>
          </w14:textFill>
        </w:rPr>
        <w:t>条所确定</w:t>
      </w:r>
      <w:r>
        <w:rPr>
          <w:rFonts w:hint="eastAsia" w:hAnsi="宋体" w:cs="宋体"/>
          <w:bCs/>
          <w:color w:val="000000" w:themeColor="text1"/>
          <w:sz w:val="24"/>
          <w:szCs w:val="24"/>
          <w:highlight w:val="none"/>
          <w:lang w:eastAsia="zh-CN"/>
          <w14:textFill>
            <w14:solidFill>
              <w14:schemeClr w14:val="tx1"/>
            </w14:solidFill>
          </w14:textFill>
        </w:rPr>
        <w:t>中标</w:t>
      </w:r>
      <w:r>
        <w:rPr>
          <w:rFonts w:hint="eastAsia" w:hAnsi="宋体" w:cs="宋体"/>
          <w:bCs/>
          <w:color w:val="000000" w:themeColor="text1"/>
          <w:sz w:val="24"/>
          <w:szCs w:val="24"/>
          <w:highlight w:val="none"/>
          <w14:textFill>
            <w14:solidFill>
              <w14:schemeClr w14:val="tx1"/>
            </w14:solidFill>
          </w14:textFill>
        </w:rPr>
        <w:t>单位。</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69" w:name="_Toc245897317"/>
      <w:bookmarkStart w:id="170" w:name="_Toc243907620"/>
      <w:bookmarkStart w:id="171" w:name="_Toc233274855"/>
      <w:bookmarkStart w:id="172" w:name="_Toc243906357"/>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、签订合同</w:t>
      </w:r>
      <w:bookmarkEnd w:id="169"/>
      <w:bookmarkEnd w:id="170"/>
      <w:bookmarkEnd w:id="171"/>
      <w:bookmarkEnd w:id="172"/>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单位应当自</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通知书发出之日起三十日内，按照招标文件和</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单位的投标文件订立书面合同。</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单位不得要求订立背离本投标文件合同条款等投标文件实质性内容的其他协议。</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 xml:space="preserve">.2 </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通知书、</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单位的投标文件及其技术规范及标准、项目采购需求、本招标文件（含修改文件或补充文件）及答疑纪要等，均为签订合同的依据。</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.3采购人如不按本须知4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.1条规定与</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单位签订合同，或者采购人、</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单位签订背离合同实质性内容的协议，由监督管理部门责令其改正。</w:t>
      </w:r>
    </w:p>
    <w:p>
      <w:pPr>
        <w:pStyle w:val="33"/>
        <w:tabs>
          <w:tab w:val="left" w:pos="7770"/>
        </w:tabs>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单位如不按本须知4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.1条规定与采购人签订合同，则按违约处理，采购人将有权取消</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单位资格，给采购人造成损失的，还应当予以赔偿，同时依法承担相应的法律责任。</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73" w:name="_Toc243907621"/>
      <w:bookmarkStart w:id="174" w:name="_Toc245897318"/>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、合同的签订准则</w:t>
      </w:r>
      <w:bookmarkEnd w:id="173"/>
      <w:bookmarkEnd w:id="174"/>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.1合同签订必须由采购人、</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单位双方法定代表人或其委托代理人签署并加盖法人公章后方能生效。</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.2合同转包（实质性要求）</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本采购项目严禁</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单位将任何政府采购合同义务转包。本项目所称转包，是指</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单位将政府采购合同义务转让给第三人，并退出现有政府采购合同当事人双方的权利义务关系，受让人（即第三人）成为政府采购合同的另一方当事人的行为。</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单位转包的，视同拒绝履行政府采购合同义务，将依法追究法律责任。</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、验收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.1本项目采购人将严格按照政府采购相关法律法规以及《克拉玛依市政府采购项目需求论证和履约验收管理办法》（克财发〔2016〕9号）的要求进行验收。</w:t>
      </w:r>
    </w:p>
    <w:p>
      <w:pPr>
        <w:snapToGrid w:val="0"/>
        <w:spacing w:line="360" w:lineRule="auto"/>
        <w:ind w:firstLine="482" w:firstLineChars="200"/>
        <w:jc w:val="center"/>
        <w:rPr>
          <w:rFonts w:hint="eastAsia" w:ascii="宋体" w:hAnsi="宋体" w:cs="宋体"/>
          <w:b/>
          <w:bCs/>
          <w:color w:val="000000" w:themeColor="text1"/>
          <w:kern w:val="0"/>
          <w:sz w:val="24"/>
          <w:highlight w:val="none"/>
          <w14:textFill>
            <w14:solidFill>
              <w14:schemeClr w14:val="tx1"/>
            </w14:solidFill>
          </w14:textFill>
        </w:rPr>
      </w:pPr>
    </w:p>
    <w:p>
      <w:pPr>
        <w:snapToGrid w:val="0"/>
        <w:spacing w:line="360" w:lineRule="auto"/>
        <w:ind w:firstLine="482" w:firstLineChars="200"/>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G  询问、质疑、投诉</w:t>
      </w:r>
    </w:p>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、询问</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.1投标人对采购活动事项有疑问的，可以向采购人或招标代理机构提出询问，采购人或招标代理机构应当在三个工作日内对投标人依法提出的询问作出答复，但答复的内容不得涉及商业秘密。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、质疑</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.1 投标人认为招标文件、采购过程和</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结果使自己的合法权益受到损害的，可以在知道或者应知其权益受到损害之日起七个工作日内，将质疑文件原件和必要的证明材料送达招标代理机构。</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2投标人如对招标文件技术指标、参数、评分标准有质疑，向采购人提出，由采购人按相关规定作出答复或委托招标代理代理机构代为答复。投标人如对采购过程和采购结果有质疑，向招标代理代理机构提出，由招标代理机构按相关规定作出答复。</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.3上述应知其权益受到损害之日是指：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（1）对招标文件提出质疑的，为招标文件公告期限届满之日起计算；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（2）对采购过程提出质疑的，自采购程序环节结束之日起计算；</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结果提出质疑的，自</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或者</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结果公告期限届满之日起计算。</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.4质疑投标人在法定质疑期内应当一次性提出针对同一采购环节提出质疑。</w:t>
      </w:r>
    </w:p>
    <w:p>
      <w:pPr>
        <w:pStyle w:val="521"/>
        <w:spacing w:line="360" w:lineRule="auto"/>
        <w:ind w:left="1"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w:t>
      </w:r>
      <w:r>
        <w:rPr>
          <w:rFonts w:hint="eastAsia" w:hAnsi="宋体" w:cs="宋体"/>
          <w:b/>
          <w:color w:val="000000" w:themeColor="text1"/>
          <w:sz w:val="24"/>
          <w:szCs w:val="24"/>
          <w:highlight w:val="none"/>
          <w:lang w:val="en-US" w:eastAsia="zh-CN"/>
          <w14:textFill>
            <w14:solidFill>
              <w14:schemeClr w14:val="tx1"/>
            </w14:solidFill>
          </w14:textFill>
        </w:rPr>
        <w:t>7</w:t>
      </w:r>
      <w:r>
        <w:rPr>
          <w:rFonts w:hint="eastAsia" w:hAnsi="宋体" w:cs="宋体"/>
          <w:b/>
          <w:color w:val="000000" w:themeColor="text1"/>
          <w:sz w:val="24"/>
          <w:szCs w:val="24"/>
          <w:highlight w:val="none"/>
          <w14:textFill>
            <w14:solidFill>
              <w14:schemeClr w14:val="tx1"/>
            </w14:solidFill>
          </w14:textFill>
        </w:rPr>
        <w:t>.5质疑文件应包括以下主要内容，并按照“谁主张、谁举证”的原则，附上相关证明材料。否则，招标代理机构不予受理【财政部发布了《政府采购投标人质疑函范本》和《政府采购投标人投诉书范本》，两范本指投标人提出质疑、投诉人提起投诉时，应提交的质疑函、投诉书和必要的证明材料（下载路径：中国政府采购网→下载专区）】：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（1）投标人的姓名或者名称、地址、邮编、联系人及联系电话（包括座机、手机、传真号码等）；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（2）质疑项目的名称、项目编号、包号、采购公告发布时间、递交投标文件或投标文件截止时间；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（3）具体、明确的质疑事项和与质疑事项相关的请求；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（4）事实依据（具体条款，认为自己合法权益受到损害或可能受到损害的相关证据材料。如涉及到产品功能或技术指标的，应出具相关制造商的证明文件）；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（5）必要的法律依据；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（6）提起质疑的日期；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（7）质疑文件应当署名，质疑人为自然人的，应当由本人签字并附有效身份证明；质疑人为法人或其他组织的，应当由法定代表人签字并加盖单位公章；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（8）投标人委托代理质疑的，应当提交授权委托书，并载明代理人的姓名或者名称、代理事项、 具体权限、期限和相关事项。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.6质疑投标人是指直接参加本项目采购活动的投标人，未参加政府采购活动的投标人或在采购活动中自身权益未受到损害的投标人所提出的质疑不予受理。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.7采购人、招标代理机构在收到投标人的书面质疑后将及时组织调查核实，在七个工作日内作出答复，并以书面形式通知质疑投标人和其他有关投标人，答复的内容不涉及商业秘密。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val="en-US" w:eastAsia="zh-CN"/>
          <w14:textFill>
            <w14:solidFill>
              <w14:schemeClr w14:val="tx1"/>
            </w14:solidFill>
          </w14:textFill>
        </w:rPr>
        <w:t>8</w:t>
      </w:r>
      <w:r>
        <w:rPr>
          <w:rFonts w:hint="eastAsia" w:ascii="宋体" w:hAnsi="宋体" w:cs="宋体"/>
          <w:b/>
          <w:color w:val="000000" w:themeColor="text1"/>
          <w:sz w:val="24"/>
          <w:highlight w:val="none"/>
          <w14:textFill>
            <w14:solidFill>
              <w14:schemeClr w14:val="tx1"/>
            </w14:solidFill>
          </w14:textFill>
        </w:rPr>
        <w:t>、投诉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.1 质疑投标人对采购人、招标代理机构的答复不满意，或采购人、招标代理机构未在规定的时间内作出答复的，可以在答复期满后十五个工作日内向采购项目同级财政部门提起投诉。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.2投标人投诉的事项不得超出已质疑事项的范围，但基于质疑答复内容提出的投诉事项除外。</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val="en-US" w:eastAsia="zh-CN"/>
          <w14:textFill>
            <w14:solidFill>
              <w14:schemeClr w14:val="tx1"/>
            </w14:solidFill>
          </w14:textFill>
        </w:rPr>
        <w:t>9</w:t>
      </w:r>
      <w:r>
        <w:rPr>
          <w:rFonts w:hint="eastAsia" w:ascii="宋体" w:hAnsi="宋体" w:cs="宋体"/>
          <w:b/>
          <w:color w:val="000000" w:themeColor="text1"/>
          <w:sz w:val="24"/>
          <w:highlight w:val="none"/>
          <w14:textFill>
            <w14:solidFill>
              <w14:schemeClr w14:val="tx1"/>
            </w14:solidFill>
          </w14:textFill>
        </w:rPr>
        <w:t>、诚实信用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.1投标人不得虚假质疑和恶意质疑，并对质疑内容的真实性承担责任。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.2 投标人不得虚假承诺，否则，按照提供虚假材料谋取</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firstLine="482" w:firstLineChars="200"/>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H   义务、工作纪律</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、采购人或者招标代理机构负责组织评标工作，并履行下列职责：</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.1核对评审专家身份和采购人代表授权函，对评审专家在政府采购活动中的职责履行情况予以记录，并及时将有关违法违规行为向财政部门报告；</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50.2宣布评标纪律；</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50.3公布投标人名单，告知评审专家应当回避的情形；</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50.4组织评标委员会推选评标组长，采购人代表不得担任组长；</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50.5在评标期间采取必要的通讯管理措施，保证评标活动不受外界干扰；</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50.6根据评标委员会的要求介绍政府采购相关政策法规、招标文件；</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50.7维护评标秩序，监督评标委员</w:t>
      </w:r>
      <w:r>
        <w:rPr>
          <w:rFonts w:hint="eastAsia" w:ascii="宋体" w:hAnsi="宋体" w:cs="宋体"/>
          <w:b/>
          <w:color w:val="000000" w:themeColor="text1"/>
          <w:sz w:val="24"/>
          <w:highlight w:val="none"/>
          <w14:textFill>
            <w14:solidFill>
              <w14:schemeClr w14:val="tx1"/>
            </w14:solidFill>
          </w14:textFill>
        </w:rPr>
        <w:t>会依照招标文件规定的评标程序、方法和标准进行独立评审，及时制止和纠正采购人代表、评审专家的倾向性言论或者违法违规行为；</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.8核对评标结果，有本办法第六十四条规定情形的，要求评标委员会复核或者书面说明理由，评标委员会拒绝的，应予记录并向本级财政部门报告；</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.9评审工作完成后，按照规定向评审专家支付劳务报酬和异地评审差旅费，不得向评审专家以外的其他人员支付评审劳务报酬；</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.10处理与评标有关的其他事项。</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采购人可以在评标前说明项目背景和采购需求，说明内容不得含有歧视性、倾向性意见，不得超出招标文件所述范围。说明应当提交书面材料，并随招标文件一并存档。</w:t>
      </w:r>
    </w:p>
    <w:p>
      <w:pPr>
        <w:tabs>
          <w:tab w:val="left" w:pos="7665"/>
        </w:tabs>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、评标委员会在政府采购活动中应当遵守以下工作纪律</w:t>
      </w:r>
      <w:r>
        <w:rPr>
          <w:rFonts w:hint="eastAsia" w:ascii="宋体" w:hAnsi="宋体" w:cs="宋体"/>
          <w:color w:val="000000" w:themeColor="text1"/>
          <w:sz w:val="24"/>
          <w:highlight w:val="none"/>
          <w14:textFill>
            <w14:solidFill>
              <w14:schemeClr w14:val="tx1"/>
            </w14:solidFill>
          </w14:textFill>
        </w:rPr>
        <w:t>：</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.2评审前，应当将通讯工具或者相关电子设备交由招标代理机构统一保管；</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.3评审过程中，不得与外界联系，因发生不可预见情况，确实需要与外界联系的，应当在监督人员监督之下办理；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4评审过程中，不得发表影响评审公正的倾向性、歧视性言论，不得征询或者接受采购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.5在评审过程中和评审结束后，不得记录、复制或带走任何评审资料，不得向外界透露评审内容；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.6评审现场服从招标代理机构工作人员的管理，接受现场监督人员的合法监督；</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.7遵守有关廉洁自律规定，不得私下接触投标人，不得收受投标人及有关业务单位和个人的财物或好处，不得接受招标代理机构的请托。</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、评标委员会负责具体评标事务，并独立履行下列职责：</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.1审查、评价投标文件是否符合招标文件的商务、技术等实质性要求；</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.2要求投标人对投标文件有关事项作出澄清或者说明；</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.3对投标文件进行比较和评价；</w:t>
      </w:r>
    </w:p>
    <w:p>
      <w:pPr>
        <w:tabs>
          <w:tab w:val="left" w:pos="7665"/>
        </w:tabs>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.4确定</w:t>
      </w:r>
      <w:r>
        <w:rPr>
          <w:rFonts w:hint="eastAsia" w:ascii="宋体" w:hAnsi="宋体" w:cs="宋体"/>
          <w:b/>
          <w:color w:val="000000" w:themeColor="text1"/>
          <w:sz w:val="24"/>
          <w:highlight w:val="none"/>
          <w:lang w:eastAsia="zh-CN"/>
          <w14:textFill>
            <w14:solidFill>
              <w14:schemeClr w14:val="tx1"/>
            </w14:solidFill>
          </w14:textFill>
        </w:rPr>
        <w:t>中标</w:t>
      </w:r>
      <w:r>
        <w:rPr>
          <w:rFonts w:hint="eastAsia" w:ascii="宋体" w:hAnsi="宋体" w:cs="宋体"/>
          <w:b/>
          <w:color w:val="000000" w:themeColor="text1"/>
          <w:sz w:val="24"/>
          <w:highlight w:val="none"/>
          <w14:textFill>
            <w14:solidFill>
              <w14:schemeClr w14:val="tx1"/>
            </w14:solidFill>
          </w14:textFill>
        </w:rPr>
        <w:t>单位名单，以及根据采购人委托直接确定</w:t>
      </w:r>
      <w:r>
        <w:rPr>
          <w:rFonts w:hint="eastAsia" w:ascii="宋体" w:hAnsi="宋体" w:cs="宋体"/>
          <w:b/>
          <w:color w:val="000000" w:themeColor="text1"/>
          <w:sz w:val="24"/>
          <w:highlight w:val="none"/>
          <w:lang w:eastAsia="zh-CN"/>
          <w14:textFill>
            <w14:solidFill>
              <w14:schemeClr w14:val="tx1"/>
            </w14:solidFill>
          </w14:textFill>
        </w:rPr>
        <w:t>中标</w:t>
      </w:r>
      <w:r>
        <w:rPr>
          <w:rFonts w:hint="eastAsia" w:ascii="宋体" w:hAnsi="宋体" w:cs="宋体"/>
          <w:b/>
          <w:color w:val="000000" w:themeColor="text1"/>
          <w:sz w:val="24"/>
          <w:highlight w:val="none"/>
          <w14:textFill>
            <w14:solidFill>
              <w14:schemeClr w14:val="tx1"/>
            </w14:solidFill>
          </w14:textFill>
        </w:rPr>
        <w:t>单位；</w:t>
      </w:r>
    </w:p>
    <w:p>
      <w:pPr>
        <w:tabs>
          <w:tab w:val="left" w:pos="7665"/>
        </w:tabs>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.5向采购人、招标代理机构或者有关部门报告评标中发现的违法行为。</w:t>
      </w:r>
    </w:p>
    <w:p>
      <w:pPr>
        <w:tabs>
          <w:tab w:val="left" w:pos="7665"/>
        </w:tabs>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53、代理服务费：与采购人协商，本项目采购代理服务费由中标单位领取中标通知书同时向采购代理机构支付，采购代理服务费为：¥0.735万元整（大写：人民币柒仟叁佰伍拾元整）。</w:t>
      </w:r>
    </w:p>
    <w:p>
      <w:pPr>
        <w:snapToGrid w:val="0"/>
        <w:spacing w:line="360" w:lineRule="auto"/>
        <w:ind w:firstLine="361" w:firstLineChars="150"/>
        <w:jc w:val="left"/>
        <w:rPr>
          <w:rFonts w:ascii="宋体" w:hAnsi="宋体" w:cs="宋体"/>
          <w:b/>
          <w:bCs/>
          <w:color w:val="000000" w:themeColor="text1"/>
          <w:sz w:val="24"/>
          <w:highlight w:val="none"/>
          <w14:textFill>
            <w14:solidFill>
              <w14:schemeClr w14:val="tx1"/>
            </w14:solidFill>
          </w14:textFill>
        </w:rPr>
      </w:pPr>
    </w:p>
    <w:p>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p>
    <w:p>
      <w:pPr>
        <w:snapToGrid w:val="0"/>
        <w:spacing w:line="360" w:lineRule="auto"/>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t>第三章 项目采购需求</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1、总则</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1.1本章条款仅限于</w:t>
      </w:r>
      <w:r>
        <w:rPr>
          <w:rFonts w:hint="eastAsia" w:ascii="宋体" w:hAnsi="宋体" w:cs="宋体"/>
          <w:color w:val="000000" w:themeColor="text1"/>
          <w:sz w:val="24"/>
          <w:highlight w:val="none"/>
          <w:lang w:eastAsia="zh-CN"/>
          <w14:textFill>
            <w14:solidFill>
              <w14:schemeClr w14:val="tx1"/>
            </w14:solidFill>
          </w14:textFill>
        </w:rPr>
        <w:t>某支队2021年度秋季绿化项目</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本章条款提出的是最低限度的技术要求，并未对一切技术细节做出规定，也未引述有关规范条文，投标人不得以本文件未提出要求为理由而规避国家和行业强制规范、标准的规定，投标人应保证提供符合本章条款和相关标准的服务。</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1.3如果投标人没有以书面形式对本章条款提出异议，采购人就可以认为投标人提供的成果符合本章条款的要求。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1.4投标人在投标文件中，应对招标文件中的服务进行详细的说明。</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1.5在签订合同之后，采购人有权提出因规范标准有变化而产生的一些补充要求。</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1.6本章条款使用标准如与投标人所执行标准发生矛盾时，按较高标准执行。</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2、执行的规范和标准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投标人所提供的设备、材料必须为全新产品，应符合中华人民共和国国家标准、行业标准、制造商的产品验收标准及出厂标准以及招标文件规定的技术要求。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3、采购需求</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3.1</w:t>
      </w:r>
      <w:r>
        <w:rPr>
          <w:rFonts w:hint="eastAsia" w:ascii="宋体" w:hAnsi="宋体" w:eastAsia="宋体" w:cs="宋体"/>
          <w:color w:val="000000" w:themeColor="text1"/>
          <w:sz w:val="24"/>
          <w:highlight w:val="none"/>
          <w:lang w:eastAsia="zh-CN"/>
          <w14:textFill>
            <w14:solidFill>
              <w14:schemeClr w14:val="tx1"/>
            </w14:solidFill>
          </w14:textFill>
        </w:rPr>
        <w:t>施工设计图纸</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3.3.1园林部分</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封皮及目录</w:t>
      </w:r>
      <w:r>
        <w:rPr>
          <w:rFonts w:hint="eastAsia" w:ascii="宋体" w:hAnsi="宋体" w:eastAsia="宋体" w:cs="宋体"/>
          <w:color w:val="000000" w:themeColor="text1"/>
          <w:sz w:val="24"/>
          <w:highlight w:val="none"/>
          <w:lang w:val="en-US" w:eastAsia="zh-CN"/>
          <w14:textFill>
            <w14:solidFill>
              <w14:schemeClr w14:val="tx1"/>
            </w14:solidFill>
          </w14:textFill>
        </w:rPr>
        <w:t>--------------------------------------------------------共1页</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说明书</w:t>
      </w:r>
      <w:r>
        <w:rPr>
          <w:rFonts w:hint="eastAsia" w:ascii="宋体" w:hAnsi="宋体" w:eastAsia="宋体" w:cs="宋体"/>
          <w:color w:val="000000" w:themeColor="text1"/>
          <w:sz w:val="24"/>
          <w:highlight w:val="none"/>
          <w:lang w:val="en-US" w:eastAsia="zh-CN"/>
          <w14:textFill>
            <w14:solidFill>
              <w14:schemeClr w14:val="tx1"/>
            </w14:solidFill>
          </w14:textFill>
        </w:rPr>
        <w:t>-----------------------------------------------------------共1页</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园施01（01-04）</w:t>
      </w:r>
      <w:r>
        <w:rPr>
          <w:rFonts w:hint="eastAsia" w:ascii="宋体" w:hAnsi="宋体" w:eastAsia="宋体" w:cs="宋体"/>
          <w:color w:val="000000" w:themeColor="text1"/>
          <w:sz w:val="24"/>
          <w:highlight w:val="none"/>
          <w:lang w:val="en-US" w:eastAsia="zh-CN"/>
          <w14:textFill>
            <w14:solidFill>
              <w14:schemeClr w14:val="tx1"/>
            </w14:solidFill>
          </w14:textFill>
        </w:rPr>
        <w:t>--------------------------------------------------共</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页</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3.3.2给排水部分</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水施01（01-02）</w:t>
      </w:r>
      <w:r>
        <w:rPr>
          <w:rFonts w:hint="eastAsia" w:ascii="宋体" w:hAnsi="宋体" w:eastAsia="宋体" w:cs="宋体"/>
          <w:color w:val="000000" w:themeColor="text1"/>
          <w:sz w:val="24"/>
          <w:highlight w:val="none"/>
          <w:lang w:val="en-US" w:eastAsia="zh-CN"/>
          <w14:textFill>
            <w14:solidFill>
              <w14:schemeClr w14:val="tx1"/>
            </w14:solidFill>
          </w14:textFill>
        </w:rPr>
        <w:t>-------------------------------------------------共</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页</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水施02（01-02）</w:t>
      </w:r>
      <w:r>
        <w:rPr>
          <w:rFonts w:hint="eastAsia" w:ascii="宋体" w:hAnsi="宋体" w:eastAsia="宋体" w:cs="宋体"/>
          <w:color w:val="000000" w:themeColor="text1"/>
          <w:sz w:val="24"/>
          <w:highlight w:val="none"/>
          <w:lang w:val="en-US" w:eastAsia="zh-CN"/>
          <w14:textFill>
            <w14:solidFill>
              <w14:schemeClr w14:val="tx1"/>
            </w14:solidFill>
          </w14:textFill>
        </w:rPr>
        <w:t>-------------------------------------------------共</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页</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工程量清单</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某支队2021年度秋季绿化项目</w:t>
      </w:r>
      <w:r>
        <w:rPr>
          <w:rFonts w:hint="eastAsia" w:ascii="宋体" w:hAnsi="宋体" w:eastAsia="宋体" w:cs="宋体"/>
          <w:color w:val="000000" w:themeColor="text1"/>
          <w:sz w:val="24"/>
          <w:highlight w:val="none"/>
          <w14:textFill>
            <w14:solidFill>
              <w14:schemeClr w14:val="tx1"/>
            </w14:solidFill>
          </w14:textFill>
        </w:rPr>
        <w:t>工程量清单（共   页）</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某支队2021年度秋季绿化项目</w:t>
      </w:r>
      <w:r>
        <w:rPr>
          <w:rFonts w:hint="eastAsia" w:ascii="宋体" w:hAnsi="宋体" w:eastAsia="宋体" w:cs="宋体"/>
          <w:color w:val="000000" w:themeColor="text1"/>
          <w:sz w:val="24"/>
          <w:highlight w:val="none"/>
          <w14:textFill>
            <w14:solidFill>
              <w14:schemeClr w14:val="tx1"/>
            </w14:solidFill>
          </w14:textFill>
        </w:rPr>
        <w:t>电子版工程量清单随招标文件发至各投标人，招标答疑后发放书面版工程量清单。</w:t>
      </w:r>
      <w:r>
        <w:rPr>
          <w:rFonts w:hint="eastAsia" w:ascii="宋体" w:hAnsi="宋体" w:cs="宋体"/>
          <w:color w:val="000000" w:themeColor="text1"/>
          <w:sz w:val="24"/>
          <w:highlight w:val="none"/>
          <w:lang w:eastAsia="zh-CN"/>
          <w14:textFill>
            <w14:solidFill>
              <w14:schemeClr w14:val="tx1"/>
            </w14:solidFill>
          </w14:textFill>
        </w:rPr>
        <w:t>某支队2021年度秋季绿化项目</w:t>
      </w:r>
      <w:r>
        <w:rPr>
          <w:rFonts w:hint="eastAsia" w:ascii="宋体" w:hAnsi="宋体" w:eastAsia="宋体" w:cs="宋体"/>
          <w:color w:val="000000" w:themeColor="text1"/>
          <w:sz w:val="24"/>
          <w:highlight w:val="none"/>
          <w14:textFill>
            <w14:solidFill>
              <w14:schemeClr w14:val="tx1"/>
            </w14:solidFill>
          </w14:textFill>
        </w:rPr>
        <w:t>电子版工程量清单与书面版工程量清单不符之处，以书面版工程量清单为准。</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eastAsia="宋体" w:cs="宋体"/>
          <w:b/>
          <w:bCs/>
          <w:color w:val="000000" w:themeColor="text1"/>
          <w:sz w:val="28"/>
          <w:szCs w:val="28"/>
          <w:highlight w:val="none"/>
          <w:lang w:eastAsia="zh-CN"/>
          <w14:textFill>
            <w14:solidFill>
              <w14:schemeClr w14:val="tx1"/>
            </w14:solidFill>
          </w14:textFill>
        </w:rPr>
        <w:t>四</w:t>
      </w:r>
      <w:r>
        <w:rPr>
          <w:rFonts w:hint="eastAsia" w:ascii="宋体" w:hAnsi="宋体" w:eastAsia="宋体" w:cs="宋体"/>
          <w:b/>
          <w:bCs/>
          <w:color w:val="000000" w:themeColor="text1"/>
          <w:sz w:val="28"/>
          <w:szCs w:val="28"/>
          <w:highlight w:val="none"/>
          <w14:textFill>
            <w14:solidFill>
              <w14:schemeClr w14:val="tx1"/>
            </w14:solidFill>
          </w14:textFill>
        </w:rPr>
        <w:t>章  通用合同条款</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本工程合同通用条款采用中华人民共和国建设部和国家工商行政管理局颁发的《建设工程施工合同》（GF－201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－0201）的“合同条件”。</w:t>
      </w:r>
    </w:p>
    <w:p>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eastAsia="宋体" w:cs="宋体"/>
          <w:b/>
          <w:bCs/>
          <w:color w:val="000000" w:themeColor="text1"/>
          <w:sz w:val="28"/>
          <w:szCs w:val="28"/>
          <w:highlight w:val="none"/>
          <w:lang w:eastAsia="zh-CN"/>
          <w14:textFill>
            <w14:solidFill>
              <w14:schemeClr w14:val="tx1"/>
            </w14:solidFill>
          </w14:textFill>
        </w:rPr>
        <w:t>五</w:t>
      </w:r>
      <w:r>
        <w:rPr>
          <w:rFonts w:hint="eastAsia" w:ascii="宋体" w:hAnsi="宋体" w:eastAsia="宋体" w:cs="宋体"/>
          <w:b/>
          <w:bCs/>
          <w:color w:val="000000" w:themeColor="text1"/>
          <w:sz w:val="28"/>
          <w:szCs w:val="28"/>
          <w:highlight w:val="none"/>
          <w14:textFill>
            <w14:solidFill>
              <w14:schemeClr w14:val="tx1"/>
            </w14:solidFill>
          </w14:textFill>
        </w:rPr>
        <w:t>章  专用合同条款</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《建设工程施工合同》（GF－201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0201）专用合同条款中的条款号与通用合同条款号相同，适当需要时增加新的条款,两者应对照阅读,若出现矛盾或不一致,则以本条款为准。未补充或修改条款执行通用合同条款。在本条款中未约定的专用合同条款，由发包人、承包人在签订合同时约定。</w:t>
      </w:r>
    </w:p>
    <w:p>
      <w:pPr>
        <w:keepNext w:val="0"/>
        <w:keepLines w:val="0"/>
        <w:pageBreakBefore w:val="0"/>
        <w:widowControl w:val="0"/>
        <w:kinsoku w:val="0"/>
        <w:wordWrap/>
        <w:overflowPunct w:val="0"/>
        <w:topLinePunct w:val="0"/>
        <w:autoSpaceDE w:val="0"/>
        <w:autoSpaceDN w:val="0"/>
        <w:bidi w:val="0"/>
        <w:spacing w:line="540" w:lineRule="exact"/>
        <w:ind w:right="0" w:rightChars="0" w:firstLine="480" w:firstLineChars="200"/>
        <w:jc w:val="left"/>
        <w:textAlignment w:val="auto"/>
        <w:outlineLvl w:val="2"/>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bookmarkStart w:id="175" w:name="_Toc296503156"/>
      <w:bookmarkStart w:id="176" w:name="_Toc296891196"/>
      <w:bookmarkStart w:id="177" w:name="_Toc296347155"/>
      <w:bookmarkStart w:id="178" w:name="_Toc292559866"/>
      <w:bookmarkStart w:id="179" w:name="_Toc297120456"/>
      <w:bookmarkStart w:id="180" w:name="_Toc296890984"/>
      <w:bookmarkStart w:id="181" w:name="_Toc296944495"/>
      <w:bookmarkStart w:id="182" w:name="_Toc297048342"/>
      <w:bookmarkStart w:id="183" w:name="_Toc292559361"/>
      <w:bookmarkStart w:id="184" w:name="_Toc296346657"/>
      <w:r>
        <w:rPr>
          <w:rFonts w:hint="eastAsia" w:ascii="宋体" w:hAnsi="宋体" w:eastAsia="宋体" w:cs="宋体"/>
          <w:bCs/>
          <w:color w:val="000000" w:themeColor="text1"/>
          <w:sz w:val="24"/>
          <w:szCs w:val="24"/>
          <w:highlight w:val="none"/>
          <w14:textFill>
            <w14:solidFill>
              <w14:schemeClr w14:val="tx1"/>
            </w14:solidFill>
          </w14:textFill>
        </w:rPr>
        <w:t>. 一般约定</w:t>
      </w:r>
    </w:p>
    <w:bookmarkEnd w:id="175"/>
    <w:bookmarkEnd w:id="176"/>
    <w:bookmarkEnd w:id="177"/>
    <w:bookmarkEnd w:id="178"/>
    <w:bookmarkEnd w:id="179"/>
    <w:bookmarkEnd w:id="180"/>
    <w:bookmarkEnd w:id="181"/>
    <w:bookmarkEnd w:id="182"/>
    <w:bookmarkEnd w:id="183"/>
    <w:bookmarkEnd w:id="184"/>
    <w:p>
      <w:pPr>
        <w:keepNext w:val="0"/>
        <w:keepLines w:val="0"/>
        <w:pageBreakBefore w:val="0"/>
        <w:widowControl w:val="0"/>
        <w:kinsoku w:val="0"/>
        <w:wordWrap/>
        <w:overflowPunct w:val="0"/>
        <w:topLinePunct w:val="0"/>
        <w:autoSpaceDE w:val="0"/>
        <w:autoSpaceDN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词语定义</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1.1.1合同</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1.1.1.10其他合同文件包括：</w:t>
      </w:r>
      <w:r>
        <w:rPr>
          <w:rFonts w:hint="eastAsia" w:ascii="宋体" w:hAnsi="宋体" w:eastAsia="宋体" w:cs="宋体"/>
          <w:color w:val="000000" w:themeColor="text1"/>
          <w:sz w:val="24"/>
          <w:szCs w:val="24"/>
          <w:highlight w:val="none"/>
          <w:u w:val="single"/>
          <w14:textFill>
            <w14:solidFill>
              <w14:schemeClr w14:val="tx1"/>
            </w14:solidFill>
          </w14:textFill>
        </w:rPr>
        <w:t>招标文件，承包人按照招标文件要求向发包人提交的投标文件[除投标函及其附录、已标价工程量清单或预算书外的其他投标文件]等。</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 工程和设备</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1.1.3.7作为施工现场组成部分的其他场所包括：</w:t>
      </w:r>
      <w:r>
        <w:rPr>
          <w:rFonts w:hint="eastAsia" w:ascii="宋体" w:hAnsi="宋体" w:eastAsia="宋体" w:cs="宋体"/>
          <w:color w:val="000000" w:themeColor="text1"/>
          <w:sz w:val="24"/>
          <w:szCs w:val="24"/>
          <w:highlight w:val="none"/>
          <w:u w:val="single"/>
          <w14:textFill>
            <w14:solidFill>
              <w14:schemeClr w14:val="tx1"/>
            </w14:solidFill>
          </w14:textFill>
        </w:rPr>
        <w:t>无</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1.1.3.9 永久占地包括：</w:t>
      </w:r>
      <w:r>
        <w:rPr>
          <w:rFonts w:hint="eastAsia" w:ascii="宋体" w:hAnsi="宋体" w:eastAsia="宋体" w:cs="宋体"/>
          <w:bCs/>
          <w:color w:val="000000" w:themeColor="text1"/>
          <w:sz w:val="24"/>
          <w:szCs w:val="24"/>
          <w:highlight w:val="none"/>
          <w:u w:val="single"/>
          <w14:textFill>
            <w14:solidFill>
              <w14:schemeClr w14:val="tx1"/>
            </w14:solidFill>
          </w14:textFill>
        </w:rPr>
        <w:t>无</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1.1.3.10 临时占地包括：</w:t>
      </w:r>
      <w:r>
        <w:rPr>
          <w:rFonts w:hint="eastAsia" w:ascii="宋体" w:hAnsi="宋体" w:eastAsia="宋体" w:cs="宋体"/>
          <w:color w:val="000000" w:themeColor="text1"/>
          <w:sz w:val="24"/>
          <w:szCs w:val="24"/>
          <w:highlight w:val="none"/>
          <w:u w:val="single"/>
          <w14:textFill>
            <w14:solidFill>
              <w14:schemeClr w14:val="tx1"/>
            </w14:solidFill>
          </w14:textFill>
        </w:rPr>
        <w:t>承包人在施工现场须临时占用土地时，发包人应按照克拉玛依市的相关规定办理必要的占地审批手续。所发生的费用由发包人承担。</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1.3法律 </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适用于合同的其他规范性文件：</w:t>
      </w:r>
      <w:r>
        <w:rPr>
          <w:rFonts w:hint="eastAsia" w:ascii="宋体" w:hAnsi="宋体" w:eastAsia="宋体" w:cs="宋体"/>
          <w:color w:val="000000" w:themeColor="text1"/>
          <w:sz w:val="24"/>
          <w:szCs w:val="24"/>
          <w:highlight w:val="none"/>
          <w:u w:val="single"/>
          <w14:textFill>
            <w14:solidFill>
              <w14:schemeClr w14:val="tx1"/>
            </w14:solidFill>
          </w14:textFill>
        </w:rPr>
        <w:t>除符合国家、部及行业规范性文件外，还应符合新疆维吾尔自治区和克拉玛依市有关工程建设的管理办法及相关规定。</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 标准和规范</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1.4.1适用于工程的标准规范包括：</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执行通用合同条款本条款。执行有关工程建设的国家、部、行业及地方标准以及相应的规范、规程等，地方标准有高于或严于现行国家、部、行业标准的，承包人应熟悉并遵守。</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1.4.2 发包人提供国外标准、规范的名称：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发包人提供国外标准、规范的份数：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发包人提供国外标准、规范的名称：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1.4.3发包人对工程的技术标准和功能要求的特殊要求：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合同文件的优先顺序</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合同文件组成及优先顺序为：</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（1）合同协议书；</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（2）中标通知书；</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（3）投标函及其附录；</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（4）专用合同条款及其附件；</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（5）通用合同条款；</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（6）技术标准和要求；</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（7）图纸；</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（8）已标价工程量清单或预算书；</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（9）其他合同文件（招标文件，除投标函及其附录、已标价工程量清单或预算书外的其他投标文件等）。</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图纸和承包人文件</w:t>
      </w:r>
      <w:r>
        <w:rPr>
          <w:rFonts w:hint="eastAsia" w:ascii="宋体" w:hAnsi="宋体" w:eastAsia="宋体" w:cs="宋体"/>
          <w:color w:val="000000" w:themeColor="text1"/>
          <w:sz w:val="24"/>
          <w:szCs w:val="24"/>
          <w:highlight w:val="none"/>
          <w14:textFill>
            <w14:solidFill>
              <w14:schemeClr w14:val="tx1"/>
            </w14:solidFill>
          </w14:textFill>
        </w:rPr>
        <w:tab/>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图纸的提供</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发包人向承包人提供图纸的期限：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发包人向承包人提供图纸的数量：</w:t>
      </w:r>
      <w:r>
        <w:rPr>
          <w:rFonts w:hint="eastAsia" w:ascii="宋体" w:hAnsi="宋体" w:eastAsia="宋体" w:cs="宋体"/>
          <w:color w:val="000000" w:themeColor="text1"/>
          <w:sz w:val="24"/>
          <w:szCs w:val="24"/>
          <w:highlight w:val="none"/>
          <w:u w:val="single"/>
          <w14:textFill>
            <w14:solidFill>
              <w14:schemeClr w14:val="tx1"/>
            </w14:solidFill>
          </w14:textFill>
        </w:rPr>
        <w:t>向承包人免费提供完整的施工设计图纸四套，由于承包人自身原因造成需要加晒图纸，承包人应提请发包人加晒，费用由承包人自理。承包人任何时候不得将发包人提供的图纸等所有资料转让给第三方，并承担保密责任，工程竣工验收合格后，其所有资料应返还发包人</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发包人向承包人提供图纸的内容：</w:t>
      </w:r>
      <w:r>
        <w:rPr>
          <w:rFonts w:hint="eastAsia" w:ascii="宋体" w:hAnsi="宋体" w:eastAsia="宋体" w:cs="宋体"/>
          <w:color w:val="000000" w:themeColor="text1"/>
          <w:sz w:val="24"/>
          <w:szCs w:val="24"/>
          <w:highlight w:val="none"/>
          <w:u w:val="single"/>
          <w14:textFill>
            <w14:solidFill>
              <w14:schemeClr w14:val="tx1"/>
            </w14:solidFill>
          </w14:textFill>
        </w:rPr>
        <w:t>提供施工设计图纸的具体内容详见图纸目录清单</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1.6.4 承包人文件</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需要由承包人提供的文件，包括：</w:t>
      </w:r>
      <w:r>
        <w:rPr>
          <w:rFonts w:hint="eastAsia" w:ascii="宋体" w:hAnsi="宋体" w:eastAsia="宋体" w:cs="宋体"/>
          <w:color w:val="000000" w:themeColor="text1"/>
          <w:sz w:val="24"/>
          <w:szCs w:val="24"/>
          <w:highlight w:val="none"/>
          <w:u w:val="single"/>
          <w14:textFill>
            <w14:solidFill>
              <w14:schemeClr w14:val="tx1"/>
            </w14:solidFill>
          </w14:textFill>
        </w:rPr>
        <w:t>施工组织设计（包括安全施工方案）、工程进度计划、专项施工方案、本合同约定的有关文件以及在工程建设过程中所需的相关文件。承包人应根据工程项目特点及技术要求编制适应于本工程项目的各类文件，防止简单套用其他工程的相关文件，以保证工程的质量和施工安全。</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承包人提供的文件的期限为：</w:t>
      </w:r>
      <w:r>
        <w:rPr>
          <w:rFonts w:hint="eastAsia" w:ascii="宋体" w:hAnsi="宋体" w:eastAsia="宋体" w:cs="宋体"/>
          <w:color w:val="000000" w:themeColor="text1"/>
          <w:sz w:val="24"/>
          <w:szCs w:val="24"/>
          <w:highlight w:val="none"/>
          <w:u w:val="single"/>
          <w14:textFill>
            <w14:solidFill>
              <w14:schemeClr w14:val="tx1"/>
            </w14:solidFill>
          </w14:textFill>
        </w:rPr>
        <w:t>按照本合同第7条约定的时间及发包人或监理人的要求提供。</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承包人提供的文件的数量为：</w:t>
      </w:r>
      <w:r>
        <w:rPr>
          <w:rFonts w:hint="eastAsia" w:ascii="宋体" w:hAnsi="宋体" w:eastAsia="宋体" w:cs="宋体"/>
          <w:color w:val="000000" w:themeColor="text1"/>
          <w:sz w:val="24"/>
          <w:szCs w:val="24"/>
          <w:highlight w:val="none"/>
          <w:u w:val="single"/>
          <w14:textFill>
            <w14:solidFill>
              <w14:schemeClr w14:val="tx1"/>
            </w14:solidFill>
          </w14:textFill>
        </w:rPr>
        <w:t>书面文件一式伍份，电子版文件一式壹份</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承包人提供的文件的形式为：</w:t>
      </w:r>
      <w:r>
        <w:rPr>
          <w:rFonts w:hint="eastAsia" w:ascii="宋体" w:hAnsi="宋体" w:eastAsia="宋体" w:cs="宋体"/>
          <w:color w:val="000000" w:themeColor="text1"/>
          <w:sz w:val="24"/>
          <w:szCs w:val="24"/>
          <w:highlight w:val="none"/>
          <w:u w:val="single"/>
          <w14:textFill>
            <w14:solidFill>
              <w14:schemeClr w14:val="tx1"/>
            </w14:solidFill>
          </w14:textFill>
        </w:rPr>
        <w:t>书面文件和电子版文件</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发包人审批承包人文件的期限：</w:t>
      </w:r>
      <w:r>
        <w:rPr>
          <w:rFonts w:hint="eastAsia" w:ascii="宋体" w:hAnsi="宋体" w:eastAsia="宋体" w:cs="宋体"/>
          <w:color w:val="000000" w:themeColor="text1"/>
          <w:sz w:val="24"/>
          <w:szCs w:val="24"/>
          <w:highlight w:val="none"/>
          <w:u w:val="single"/>
          <w14:textFill>
            <w14:solidFill>
              <w14:schemeClr w14:val="tx1"/>
            </w14:solidFill>
          </w14:textFill>
        </w:rPr>
        <w:t>收到承包人文件之日起7日内审查完毕</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 现场图纸准备</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关于现场图纸准备的约定：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承包人在施工现场另行保留一套完整的施工设计图纸及相关的设计变更文件、承包人的文件供发包人、监理人等有关人员使用。本套文件由监理人负责保管。</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联络</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1.7.1发包人和承包人应当在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kern w:val="0"/>
          <w:sz w:val="24"/>
          <w:szCs w:val="24"/>
          <w:highlight w:val="none"/>
          <w14:textFill>
            <w14:solidFill>
              <w14:schemeClr w14:val="tx1"/>
            </w14:solidFill>
          </w14:textFill>
        </w:rPr>
        <w:t>天内将与合同有关的通知、批准、证明、证书、指示、指令、要求、请求、同意、意见、确定和决定等书面函件送达对方当事人。</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 交通运输</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bookmarkStart w:id="185" w:name="_Toc303539100"/>
      <w:bookmarkStart w:id="186" w:name="_Toc304295521"/>
      <w:bookmarkStart w:id="187" w:name="_Toc318581155"/>
      <w:bookmarkStart w:id="188" w:name="_Toc300934943"/>
      <w:bookmarkStart w:id="189" w:name="_Toc312677986"/>
      <w:r>
        <w:rPr>
          <w:rFonts w:hint="eastAsia" w:ascii="宋体" w:hAnsi="宋体" w:eastAsia="宋体" w:cs="宋体"/>
          <w:color w:val="000000" w:themeColor="text1"/>
          <w:sz w:val="24"/>
          <w:szCs w:val="24"/>
          <w:highlight w:val="none"/>
          <w14:textFill>
            <w14:solidFill>
              <w14:schemeClr w14:val="tx1"/>
            </w14:solidFill>
          </w14:textFill>
        </w:rPr>
        <w:t>.10.1 出入现场的权利</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关于出入现场的权利的约定：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bookmarkEnd w:id="185"/>
    <w:bookmarkEnd w:id="186"/>
    <w:bookmarkEnd w:id="187"/>
    <w:bookmarkEnd w:id="188"/>
    <w:bookmarkEnd w:id="189"/>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bookmarkStart w:id="190" w:name="_Toc300934944"/>
      <w:bookmarkStart w:id="191" w:name="_Toc304295522"/>
      <w:bookmarkStart w:id="192" w:name="_Toc318581156"/>
      <w:bookmarkStart w:id="193" w:name="_Toc312677987"/>
      <w:bookmarkStart w:id="194" w:name="_Toc303539101"/>
      <w:r>
        <w:rPr>
          <w:rFonts w:hint="eastAsia" w:ascii="宋体" w:hAnsi="宋体" w:eastAsia="宋体" w:cs="宋体"/>
          <w:color w:val="000000" w:themeColor="text1"/>
          <w:sz w:val="24"/>
          <w:szCs w:val="24"/>
          <w:highlight w:val="none"/>
          <w14:textFill>
            <w14:solidFill>
              <w14:schemeClr w14:val="tx1"/>
            </w14:solidFill>
          </w14:textFill>
        </w:rPr>
        <w:t>.10.3 场内交通</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关于场外交通和场内交通的边界的约定：</w:t>
      </w:r>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关于发包人向承包人免费提供满足工程施工需要的场内道路和交通设施的约定：</w:t>
      </w:r>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bookmarkEnd w:id="190"/>
      <w:bookmarkEnd w:id="191"/>
      <w:bookmarkEnd w:id="192"/>
      <w:bookmarkEnd w:id="193"/>
      <w:bookmarkEnd w:id="194"/>
      <w:bookmarkStart w:id="195" w:name="_Toc318581157"/>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1.10.4超大件和超重件的运输</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sz w:val="24"/>
          <w:szCs w:val="24"/>
          <w:highlight w:val="none"/>
          <w:u w:val="single"/>
          <w14:textFill>
            <w14:solidFill>
              <w14:schemeClr w14:val="tx1"/>
            </w14:solidFill>
          </w14:textFill>
        </w:rPr>
        <w:t>承包人承担。承包人根据工程项目情况应合理预见工程所需超大件或超重件，以及相关采购、运输、仓储等所有可能增加的难度和费用，其费用由承包人自行承担。</w:t>
      </w:r>
    </w:p>
    <w:bookmarkEnd w:id="195"/>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知识产权</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z w:val="24"/>
          <w:szCs w:val="24"/>
          <w:highlight w:val="none"/>
          <w:u w:val="single"/>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关于发包人提供的上述文件的使用限制的要求：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承包人不得将发包人提供的上述文件用于与本合同无关的其他任何事项，如用于承揽其他工程、向第三方出售或用于广告宣传等，否则，发包人有权追究承包人的责任。</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1.11.2 关于承包人为实施工程所编制文件的著作权的归属：</w:t>
      </w:r>
      <w:r>
        <w:rPr>
          <w:rFonts w:hint="eastAsia" w:ascii="宋体" w:hAnsi="宋体" w:eastAsia="宋体" w:cs="宋体"/>
          <w:color w:val="000000" w:themeColor="text1"/>
          <w:sz w:val="24"/>
          <w:szCs w:val="24"/>
          <w:highlight w:val="none"/>
          <w:u w:val="single"/>
          <w14:textFill>
            <w14:solidFill>
              <w14:schemeClr w14:val="tx1"/>
            </w14:solidFill>
          </w14:textFill>
        </w:rPr>
        <w:t>除署名权以外的著作权属于发包人。</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关于承包人提供的上述文件的使用限制的要求：</w:t>
      </w:r>
      <w:r>
        <w:rPr>
          <w:rFonts w:hint="eastAsia" w:ascii="宋体" w:hAnsi="宋体" w:eastAsia="宋体" w:cs="宋体"/>
          <w:color w:val="000000" w:themeColor="text1"/>
          <w:sz w:val="24"/>
          <w:szCs w:val="24"/>
          <w:highlight w:val="none"/>
          <w:u w:val="single"/>
          <w14:textFill>
            <w14:solidFill>
              <w14:schemeClr w14:val="tx1"/>
            </w14:solidFill>
          </w14:textFill>
        </w:rPr>
        <w:t>承包人不得以本工程提供的上述文件用于与本合同无关的其他任何事项，如用于承揽其他工程、向第三方出售或用于广告宣传等，否则，发包人有权追究承包人的责任。</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承包人无论使用第三方的或自有的专利、专有技术和技术秘密等，其费用均由承包人自行承担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1.13工程量清单错误的修正</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出现工程量清单错误时，是否调整合同价格：</w:t>
      </w:r>
      <w:r>
        <w:rPr>
          <w:rFonts w:hint="eastAsia" w:ascii="宋体" w:hAnsi="宋体" w:eastAsia="宋体" w:cs="宋体"/>
          <w:color w:val="000000" w:themeColor="text1"/>
          <w:sz w:val="24"/>
          <w:szCs w:val="24"/>
          <w:highlight w:val="none"/>
          <w:u w:val="single"/>
          <w14:textFill>
            <w14:solidFill>
              <w14:schemeClr w14:val="tx1"/>
            </w14:solidFill>
          </w14:textFill>
        </w:rPr>
        <w:t>调整</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允许调整合同价格的工程量偏差范围：</w:t>
      </w:r>
      <w:bookmarkStart w:id="196" w:name="_Toc351203634"/>
      <w:r>
        <w:rPr>
          <w:rFonts w:hint="eastAsia" w:ascii="宋体" w:hAnsi="宋体" w:eastAsia="宋体" w:cs="宋体"/>
          <w:color w:val="000000" w:themeColor="text1"/>
          <w:sz w:val="24"/>
          <w:szCs w:val="24"/>
          <w:highlight w:val="none"/>
          <w:u w:val="single"/>
          <w14:textFill>
            <w14:solidFill>
              <w14:schemeClr w14:val="tx1"/>
            </w14:solidFill>
          </w14:textFill>
        </w:rPr>
        <w:t>执行2013年《建设工程工程量清单计价规范》的规定，调整的方法执行本专用合同条款第12条的相关规定</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bookmarkStart w:id="197" w:name="_Toc296944496"/>
      <w:bookmarkStart w:id="198" w:name="_Toc296347156"/>
      <w:bookmarkStart w:id="199" w:name="_Toc296890985"/>
      <w:bookmarkStart w:id="200" w:name="_Toc297120457"/>
      <w:bookmarkStart w:id="201" w:name="_Toc296503157"/>
      <w:bookmarkStart w:id="202" w:name="_Toc296891197"/>
      <w:bookmarkStart w:id="203" w:name="_Toc292559362"/>
      <w:bookmarkStart w:id="204" w:name="_Toc292559867"/>
      <w:bookmarkStart w:id="205" w:name="_Toc297048343"/>
      <w:bookmarkStart w:id="206" w:name="_Toc296346658"/>
      <w:r>
        <w:rPr>
          <w:rFonts w:hint="eastAsia" w:ascii="宋体" w:hAnsi="宋体" w:eastAsia="宋体" w:cs="宋体"/>
          <w:color w:val="000000" w:themeColor="text1"/>
          <w:sz w:val="24"/>
          <w:szCs w:val="24"/>
          <w:highlight w:val="none"/>
          <w14:textFill>
            <w14:solidFill>
              <w14:schemeClr w14:val="tx1"/>
            </w14:solidFill>
          </w14:textFill>
        </w:rPr>
        <w:t>. 发包人</w:t>
      </w:r>
      <w:bookmarkEnd w:id="196"/>
    </w:p>
    <w:bookmarkEnd w:id="197"/>
    <w:bookmarkEnd w:id="198"/>
    <w:bookmarkEnd w:id="199"/>
    <w:bookmarkEnd w:id="200"/>
    <w:bookmarkEnd w:id="201"/>
    <w:bookmarkEnd w:id="202"/>
    <w:bookmarkEnd w:id="203"/>
    <w:bookmarkEnd w:id="204"/>
    <w:bookmarkEnd w:id="205"/>
    <w:bookmarkEnd w:id="206"/>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发包人对发包人代表的授权范围如下：</w:t>
      </w:r>
      <w:r>
        <w:rPr>
          <w:rFonts w:hint="eastAsia" w:ascii="宋体" w:hAnsi="宋体" w:eastAsia="宋体" w:cs="宋体"/>
          <w:color w:val="000000" w:themeColor="text1"/>
          <w:sz w:val="24"/>
          <w:szCs w:val="24"/>
          <w:highlight w:val="none"/>
          <w:u w:val="single"/>
          <w14:textFill>
            <w14:solidFill>
              <w14:schemeClr w14:val="tx1"/>
            </w14:solidFill>
          </w14:textFill>
        </w:rPr>
        <w:t>设计变更、工程经济签证等引起工程价款洽商、索赔事项的处理、合同的变更、工期调整等</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 施工现场、施工条件和基础资料的提供</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2.4.1 提供施工现场</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关于发包人移交施工现场的期限要求：</w:t>
      </w:r>
      <w:r>
        <w:rPr>
          <w:rFonts w:hint="eastAsia" w:ascii="宋体" w:hAnsi="宋体" w:eastAsia="宋体" w:cs="宋体"/>
          <w:color w:val="000000" w:themeColor="text1"/>
          <w:sz w:val="24"/>
          <w:szCs w:val="24"/>
          <w:highlight w:val="none"/>
          <w:u w:val="single"/>
          <w14:textFill>
            <w14:solidFill>
              <w14:schemeClr w14:val="tx1"/>
            </w14:solidFill>
          </w14:textFill>
        </w:rPr>
        <w:t>最迟于开工日期7天前</w:t>
      </w:r>
      <w:r>
        <w:rPr>
          <w:rFonts w:hint="eastAsia" w:ascii="宋体" w:hAnsi="宋体" w:eastAsia="宋体" w:cs="宋体"/>
          <w:color w:val="000000" w:themeColor="text1"/>
          <w:sz w:val="24"/>
          <w:szCs w:val="24"/>
          <w:highlight w:val="none"/>
          <w14:textFill>
            <w14:solidFill>
              <w14:schemeClr w14:val="tx1"/>
            </w14:solidFill>
          </w14:textFill>
        </w:rPr>
        <w:t>。</w:t>
      </w:r>
      <w:bookmarkStart w:id="207" w:name="_Toc351203635"/>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2.4.2 提供施工条件</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关于发包人应负责提供施工所需要的条件，包括：</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 资金来源证明及支付担保</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发包人提供资金来源证明的期限要求：</w:t>
      </w:r>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发包人是否提供支付担保：</w:t>
      </w:r>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发包人提供支付担保的形式：</w:t>
      </w:r>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bookmarkStart w:id="208" w:name="_Toc292559868"/>
      <w:bookmarkStart w:id="209" w:name="_Toc296944497"/>
      <w:bookmarkStart w:id="210" w:name="_Toc292559363"/>
      <w:bookmarkStart w:id="211" w:name="_Toc296503158"/>
      <w:bookmarkStart w:id="212" w:name="_Toc296346659"/>
      <w:bookmarkStart w:id="213" w:name="_Toc297048344"/>
      <w:bookmarkStart w:id="214" w:name="_Toc297120458"/>
      <w:bookmarkStart w:id="215" w:name="_Toc296890986"/>
      <w:bookmarkStart w:id="216" w:name="_Toc296891198"/>
      <w:bookmarkStart w:id="217" w:name="_Toc296347157"/>
      <w:r>
        <w:rPr>
          <w:rFonts w:hint="eastAsia" w:ascii="宋体" w:hAnsi="宋体" w:eastAsia="宋体" w:cs="宋体"/>
          <w:color w:val="000000" w:themeColor="text1"/>
          <w:sz w:val="24"/>
          <w:szCs w:val="24"/>
          <w:highlight w:val="none"/>
          <w14:textFill>
            <w14:solidFill>
              <w14:schemeClr w14:val="tx1"/>
            </w14:solidFill>
          </w14:textFill>
        </w:rPr>
        <w:t>. 承包人</w:t>
      </w:r>
      <w:bookmarkEnd w:id="207"/>
    </w:p>
    <w:bookmarkEnd w:id="208"/>
    <w:bookmarkEnd w:id="209"/>
    <w:bookmarkEnd w:id="210"/>
    <w:bookmarkEnd w:id="211"/>
    <w:bookmarkEnd w:id="212"/>
    <w:bookmarkEnd w:id="213"/>
    <w:bookmarkEnd w:id="214"/>
    <w:bookmarkEnd w:id="215"/>
    <w:bookmarkEnd w:id="216"/>
    <w:bookmarkEnd w:id="217"/>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承包人的一般义务</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承包人提交的竣工资料的内容：</w:t>
      </w:r>
      <w:r>
        <w:rPr>
          <w:rFonts w:hint="eastAsia" w:ascii="宋体" w:hAnsi="宋体" w:eastAsia="宋体" w:cs="宋体"/>
          <w:color w:val="000000" w:themeColor="text1"/>
          <w:sz w:val="24"/>
          <w:szCs w:val="24"/>
          <w:highlight w:val="none"/>
          <w:u w:val="single"/>
          <w14:textFill>
            <w14:solidFill>
              <w14:schemeClr w14:val="tx1"/>
            </w14:solidFill>
          </w14:textFill>
        </w:rPr>
        <w:t>按照法律法规及相关规定、</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克拉玛依市城建档案馆</w:t>
      </w:r>
      <w:r>
        <w:rPr>
          <w:rFonts w:hint="eastAsia" w:ascii="宋体" w:hAnsi="宋体" w:eastAsia="宋体" w:cs="宋体"/>
          <w:color w:val="000000" w:themeColor="text1"/>
          <w:sz w:val="24"/>
          <w:szCs w:val="24"/>
          <w:highlight w:val="none"/>
          <w:u w:val="single"/>
          <w14:textFill>
            <w14:solidFill>
              <w14:schemeClr w14:val="tx1"/>
            </w14:solidFill>
          </w14:textFill>
        </w:rPr>
        <w:t>要求以及监理人、发包人要求提供工程建设过程中的各项资料</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承包人需要提交的竣工资料套数：</w:t>
      </w:r>
      <w:r>
        <w:rPr>
          <w:rFonts w:hint="eastAsia" w:ascii="宋体" w:hAnsi="宋体" w:eastAsia="宋体" w:cs="宋体"/>
          <w:bCs/>
          <w:color w:val="000000" w:themeColor="text1"/>
          <w:sz w:val="24"/>
          <w:szCs w:val="24"/>
          <w:highlight w:val="none"/>
          <w:u w:val="single"/>
          <w14:textFill>
            <w14:solidFill>
              <w14:schemeClr w14:val="tx1"/>
            </w14:solidFill>
          </w14:textFill>
        </w:rPr>
        <w:t>一式叁份书面资料（其中二套为原始件），并提供相应光盘3套。</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承包人提交的竣工资料的费用承担：</w:t>
      </w:r>
      <w:r>
        <w:rPr>
          <w:rFonts w:hint="eastAsia" w:ascii="宋体" w:hAnsi="宋体" w:eastAsia="宋体" w:cs="宋体"/>
          <w:color w:val="000000" w:themeColor="text1"/>
          <w:sz w:val="24"/>
          <w:szCs w:val="24"/>
          <w:highlight w:val="none"/>
          <w:u w:val="single"/>
          <w14:textFill>
            <w14:solidFill>
              <w14:schemeClr w14:val="tx1"/>
            </w14:solidFill>
          </w14:textFill>
        </w:rPr>
        <w:t xml:space="preserve">承包人自行承担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承包人提交的竣工资料移交时间：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竣工验收合格签字之日起90日内提供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承包人提交的竣工资料形式要求：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书面版按档案管理要求装订成册并符合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克拉玛依市城建档案馆</w:t>
      </w:r>
      <w:r>
        <w:rPr>
          <w:rFonts w:hint="eastAsia" w:ascii="宋体" w:hAnsi="宋体" w:eastAsia="宋体" w:cs="宋体"/>
          <w:color w:val="000000" w:themeColor="text1"/>
          <w:sz w:val="24"/>
          <w:szCs w:val="24"/>
          <w:highlight w:val="none"/>
          <w:u w:val="single"/>
          <w14:textFill>
            <w14:solidFill>
              <w14:schemeClr w14:val="tx1"/>
            </w14:solidFill>
          </w14:textFill>
        </w:rPr>
        <w:t>对档案资料归档的相关规定；按</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克拉玛依市城建档案馆</w:t>
      </w:r>
      <w:r>
        <w:rPr>
          <w:rFonts w:hint="eastAsia" w:ascii="宋体" w:hAnsi="宋体" w:eastAsia="宋体" w:cs="宋体"/>
          <w:color w:val="000000" w:themeColor="text1"/>
          <w:sz w:val="24"/>
          <w:szCs w:val="24"/>
          <w:highlight w:val="none"/>
          <w:u w:val="single"/>
          <w14:textFill>
            <w14:solidFill>
              <w14:schemeClr w14:val="tx1"/>
            </w14:solidFill>
          </w14:textFill>
        </w:rPr>
        <w:t xml:space="preserve">对电子版竣工资料的相关要求提供且必须包含竣工资料的所有全部内容并与书面版资料一致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2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（6）承包人应履行的其他义务：</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①做好生活设施、料场、临时作业场地的租赁工作（在施工场地之外）。</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协助发包人在7个日历日内做好工程开工前的施工许可证等有关手续的办理并及时提供办理手续所需的相关资料。因承包人责任（承包人未在发包人规定时间内提供资料或提供资料不符合要求等），导致施工许可证手续延迟办理的，按每延误一天向发包人支付合同价款5‰的违约金。</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③按发包人代表要求每月20日递交各类报表，一式伍份。</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④负责协调施工场内、场外与施工有关的各种关系，办理应由承包人办理的各种证件、批件并承担由此所发生的费用。</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⑤施工防护工作：施工期间承包人须对本工程的及其不能影响到的其他专业工程和现场采取必要的措施进行加固、维护、安全防护和损毁修复，并承担由此发生的一切费用。</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⑥</w:t>
      </w:r>
      <w:r>
        <w:rPr>
          <w:rFonts w:hint="eastAsia" w:ascii="宋体" w:hAnsi="宋体" w:eastAsia="宋体" w:cs="宋体"/>
          <w:color w:val="000000" w:themeColor="text1"/>
          <w:sz w:val="24"/>
          <w:highlight w:val="none"/>
          <w:u w:val="single"/>
          <w14:textFill>
            <w14:solidFill>
              <w14:schemeClr w14:val="tx1"/>
            </w14:solidFill>
          </w14:textFill>
        </w:rPr>
        <w:t xml:space="preserve">工地作业和施工方法：承包人应对工地所有作业和施工方法适当性、可靠性及安全性负责。同时根据施工现场的实际情况建立健全的质量保证体系、环境保证体系和职业健康与安全保证体系。 </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⑦</w:t>
      </w:r>
      <w:r>
        <w:rPr>
          <w:rFonts w:hint="eastAsia" w:ascii="宋体" w:hAnsi="宋体" w:eastAsia="宋体" w:cs="宋体"/>
          <w:color w:val="000000" w:themeColor="text1"/>
          <w:sz w:val="24"/>
          <w:highlight w:val="none"/>
          <w:u w:val="single"/>
          <w14:textFill>
            <w14:solidFill>
              <w14:schemeClr w14:val="tx1"/>
            </w14:solidFill>
          </w14:textFill>
        </w:rPr>
        <w:t>对于承包人或其分包人所雇用的工人发生意外事故或伤害和赔偿，应由承包人自行承担。对于此类事故或损害和赔偿，发包人均不予承担任何责任，且发包人不承担涉及此类事故或损害与赔偿或与此有关的索赔、诉讼、损害赔偿、诉讼费、赔偿费及其它所有费用。</w:t>
      </w:r>
    </w:p>
    <w:p>
      <w:pPr>
        <w:keepNext w:val="0"/>
        <w:keepLines w:val="0"/>
        <w:pageBreakBefore w:val="0"/>
        <w:widowControl w:val="0"/>
        <w:wordWrap/>
        <w:topLinePunct w:val="0"/>
        <w:bidi w:val="0"/>
        <w:spacing w:line="540" w:lineRule="exact"/>
        <w:ind w:right="0" w:rightChars="0" w:firstLine="540" w:firstLineChars="225"/>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⑧</w:t>
      </w:r>
      <w:r>
        <w:rPr>
          <w:rFonts w:hint="eastAsia" w:ascii="宋体" w:hAnsi="宋体" w:eastAsia="宋体" w:cs="宋体"/>
          <w:color w:val="000000" w:themeColor="text1"/>
          <w:sz w:val="24"/>
          <w:highlight w:val="none"/>
          <w:u w:val="single"/>
          <w14:textFill>
            <w14:solidFill>
              <w14:schemeClr w14:val="tx1"/>
            </w14:solidFill>
          </w14:textFill>
        </w:rPr>
        <w:t>承包人应当加强工程款管理，做到专款专用，不得拖欠材料、设备货款、农民工和工人工资等费用。监理工程师或发包人对工程款使用情况进行监督检查时，承包人应当积极配合，不得阻扰和拒绝。如承包人发生本款所述拖欠行为，一经查实，发包人责令承包人自行组织资金迅速偿还欠款。对恶意拖欠和拒不按计划偿付时，发包人可以代扣工程款（或保证金），并将有关情况报相关主管部门调查处理必要时可解除合同并依法追究承包人的责任。</w:t>
      </w:r>
    </w:p>
    <w:p>
      <w:pPr>
        <w:keepNext w:val="0"/>
        <w:keepLines w:val="0"/>
        <w:pageBreakBefore w:val="0"/>
        <w:widowControl w:val="0"/>
        <w:wordWrap/>
        <w:topLinePunct w:val="0"/>
        <w:bidi w:val="0"/>
        <w:spacing w:line="540" w:lineRule="exact"/>
        <w:ind w:right="0" w:rightChars="0" w:firstLine="540" w:firstLineChars="225"/>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⑨承包人应按照合同实施完成本工程，并在质量保修期内承担修补工程中的任何质量缺陷等。</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⑩依法纳税：承包人应根据政府相关规定，缴纳相关税费，如需发包人代扣代缴的，发包人有权代扣代缴。</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fldChar w:fldCharType="begin"/>
      </w:r>
      <w:r>
        <w:rPr>
          <w:rFonts w:hint="eastAsia" w:ascii="宋体" w:hAnsi="宋体" w:eastAsia="宋体" w:cs="宋体"/>
          <w:color w:val="000000" w:themeColor="text1"/>
          <w:sz w:val="24"/>
          <w:highlight w:val="none"/>
          <w:u w:val="single"/>
          <w14:textFill>
            <w14:solidFill>
              <w14:schemeClr w14:val="tx1"/>
            </w14:solidFill>
          </w14:textFill>
        </w:rPr>
        <w:instrText xml:space="preserve"> eq \o\ac(○,</w:instrText>
      </w:r>
      <w:r>
        <w:rPr>
          <w:rFonts w:hint="eastAsia" w:ascii="宋体" w:hAnsi="宋体" w:eastAsia="宋体" w:cs="宋体"/>
          <w:color w:val="000000" w:themeColor="text1"/>
          <w:position w:val="2"/>
          <w:sz w:val="16"/>
          <w:highlight w:val="none"/>
          <w14:textFill>
            <w14:solidFill>
              <w14:schemeClr w14:val="tx1"/>
            </w14:solidFill>
          </w14:textFill>
        </w:rPr>
        <w:instrText xml:space="preserve">⑾</w:instrText>
      </w:r>
      <w:r>
        <w:rPr>
          <w:rFonts w:hint="eastAsia" w:ascii="宋体" w:hAnsi="宋体" w:eastAsia="宋体" w:cs="宋体"/>
          <w:color w:val="000000" w:themeColor="text1"/>
          <w:sz w:val="24"/>
          <w:highlight w:val="none"/>
          <w:u w:val="single"/>
          <w14:textFill>
            <w14:solidFill>
              <w14:schemeClr w14:val="tx1"/>
            </w14:solidFill>
          </w14:textFill>
        </w:rPr>
        <w:instrText xml:space="preserve">)</w:instrText>
      </w:r>
      <w:r>
        <w:rPr>
          <w:rFonts w:hint="eastAsia" w:ascii="宋体" w:hAnsi="宋体" w:eastAsia="宋体" w:cs="宋体"/>
          <w:color w:val="000000" w:themeColor="text1"/>
          <w:sz w:val="24"/>
          <w:highlight w:val="none"/>
          <w:u w:val="single"/>
          <w14:textFill>
            <w14:solidFill>
              <w14:schemeClr w14:val="tx1"/>
            </w14:solidFill>
          </w14:textFill>
        </w:rPr>
        <w:fldChar w:fldCharType="end"/>
      </w:r>
      <w:r>
        <w:rPr>
          <w:rFonts w:hint="eastAsia" w:ascii="宋体" w:hAnsi="宋体" w:eastAsia="宋体" w:cs="宋体"/>
          <w:color w:val="000000" w:themeColor="text1"/>
          <w:sz w:val="24"/>
          <w:szCs w:val="24"/>
          <w:highlight w:val="none"/>
          <w:u w:val="single"/>
          <w14:textFill>
            <w14:solidFill>
              <w14:schemeClr w14:val="tx1"/>
            </w14:solidFill>
          </w14:textFill>
        </w:rPr>
        <w:t>配合发包人做好本工程其它相关工作。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18" w:name="_Toc351203636"/>
      <w:r>
        <w:rPr>
          <w:rFonts w:hint="eastAsia" w:ascii="宋体" w:hAnsi="宋体" w:eastAsia="宋体" w:cs="宋体"/>
          <w:color w:val="000000" w:themeColor="text1"/>
          <w:sz w:val="24"/>
          <w:szCs w:val="24"/>
          <w:highlight w:val="none"/>
          <w14:textFill>
            <w14:solidFill>
              <w14:schemeClr w14:val="tx1"/>
            </w14:solidFill>
          </w14:textFill>
        </w:rPr>
        <w:t>3.2 项目经理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3.2.1 </w:t>
      </w:r>
      <w:r>
        <w:rPr>
          <w:rFonts w:hint="eastAsia" w:ascii="宋体" w:hAnsi="宋体" w:eastAsia="宋体" w:cs="宋体"/>
          <w:color w:val="000000" w:themeColor="text1"/>
          <w:sz w:val="24"/>
          <w:szCs w:val="24"/>
          <w:highlight w:val="none"/>
          <w14:textFill>
            <w14:solidFill>
              <w14:schemeClr w14:val="tx1"/>
            </w14:solidFill>
          </w14:textFill>
        </w:rPr>
        <w:t>项目经理：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承包人对项目经理的授权范围如下：</w:t>
      </w:r>
      <w:r>
        <w:rPr>
          <w:rFonts w:hint="eastAsia" w:ascii="宋体" w:hAnsi="宋体" w:eastAsia="宋体" w:cs="宋体"/>
          <w:color w:val="000000" w:themeColor="text1"/>
          <w:sz w:val="24"/>
          <w:szCs w:val="24"/>
          <w:highlight w:val="none"/>
          <w:u w:val="single"/>
          <w14:textFill>
            <w14:solidFill>
              <w14:schemeClr w14:val="tx1"/>
            </w14:solidFill>
          </w14:textFill>
        </w:rPr>
        <w:t>按照承包人的授权范围执行。</w:t>
      </w:r>
    </w:p>
    <w:p>
      <w:pPr>
        <w:spacing w:line="360" w:lineRule="auto"/>
        <w:ind w:firstLine="540" w:firstLineChars="22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关于项目经理每月在施工现场的时间要求：</w:t>
      </w:r>
      <w:r>
        <w:rPr>
          <w:rFonts w:hint="eastAsia" w:ascii="宋体" w:hAnsi="宋体" w:eastAsia="宋体" w:cs="宋体"/>
          <w:color w:val="000000" w:themeColor="text1"/>
          <w:sz w:val="24"/>
          <w:szCs w:val="24"/>
          <w:highlight w:val="none"/>
          <w:u w:val="single"/>
          <w14:textFill>
            <w14:solidFill>
              <w14:schemeClr w14:val="tx1"/>
            </w14:solidFill>
          </w14:textFill>
        </w:rPr>
        <w:t>承包人在项目实施过程中的项目经理应为投标文件中所报的项目经理，并经发包人认可。</w:t>
      </w:r>
      <w:r>
        <w:rPr>
          <w:rFonts w:hint="eastAsia" w:ascii="宋体" w:hAnsi="宋体" w:eastAsia="宋体" w:cs="宋体"/>
          <w:color w:val="000000" w:themeColor="text1"/>
          <w:kern w:val="0"/>
          <w:sz w:val="24"/>
          <w:szCs w:val="24"/>
          <w:highlight w:val="none"/>
          <w:u w:val="single"/>
          <w14:textFill>
            <w14:solidFill>
              <w14:schemeClr w14:val="tx1"/>
            </w14:solidFill>
          </w14:textFill>
        </w:rPr>
        <w:t>常驻施工现场每月</w:t>
      </w:r>
      <w:r>
        <w:rPr>
          <w:rFonts w:hint="eastAsia" w:ascii="宋体" w:hAnsi="宋体" w:eastAsia="宋体" w:cs="宋体"/>
          <w:color w:val="000000" w:themeColor="text1"/>
          <w:sz w:val="24"/>
          <w:szCs w:val="24"/>
          <w:highlight w:val="none"/>
          <w:u w:val="single"/>
          <w14:textFill>
            <w14:solidFill>
              <w14:schemeClr w14:val="tx1"/>
            </w14:solidFill>
          </w14:textFill>
        </w:rPr>
        <w:t>不得少于25天。负责协调承包人在工程建设全过程的各项协调配合工作，随时解决施工过程中出现的问题。承包人项目经理短期（指3日及以下）离开施工现场时，应事先征得发包人同意，并委派代表行其职责。承包人项目经理离开施工现场3天以上的，必须有书面请假报告，并由施工企业法定代表人、建设单位项目负责人以及总监理工程师签字同意，并加盖单位公章。项目经理必须出席由发包人及监理单位主持的每周例会，并书面汇报本周进度完成情况并提出下周进度计划及重要协调会。</w:t>
      </w:r>
    </w:p>
    <w:p>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承包人未提交劳动合同，以及没有为项目经理缴纳社会保险证明的违约责任：</w:t>
      </w:r>
      <w:r>
        <w:rPr>
          <w:rFonts w:hint="eastAsia" w:ascii="宋体" w:hAnsi="宋体" w:eastAsia="宋体" w:cs="宋体"/>
          <w:color w:val="000000" w:themeColor="text1"/>
          <w:sz w:val="24"/>
          <w:szCs w:val="24"/>
          <w:highlight w:val="none"/>
          <w:u w:val="single"/>
          <w14:textFill>
            <w14:solidFill>
              <w14:schemeClr w14:val="tx1"/>
            </w14:solidFill>
          </w14:textFill>
        </w:rPr>
        <w:t>每发生一次，向发包人支付签约合同价格</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‰的违约金，并无条件予以纠正，由此造成的责任和损失由承包人自行承担</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项目经理未经批准，擅自离开施工现场的违约责任：</w:t>
      </w:r>
      <w:r>
        <w:rPr>
          <w:rFonts w:hint="eastAsia" w:ascii="宋体" w:hAnsi="宋体" w:eastAsia="宋体" w:cs="宋体"/>
          <w:color w:val="000000" w:themeColor="text1"/>
          <w:sz w:val="24"/>
          <w:szCs w:val="24"/>
          <w:highlight w:val="none"/>
          <w:u w:val="single"/>
          <w14:textFill>
            <w14:solidFill>
              <w14:schemeClr w14:val="tx1"/>
            </w14:solidFill>
          </w14:textFill>
        </w:rPr>
        <w:t>每发生一次，向发包人支付签约合同价格</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3 </w:t>
      </w:r>
      <w:r>
        <w:rPr>
          <w:rFonts w:hint="eastAsia" w:ascii="宋体" w:hAnsi="宋体" w:eastAsia="宋体" w:cs="宋体"/>
          <w:color w:val="000000" w:themeColor="text1"/>
          <w:sz w:val="24"/>
          <w:szCs w:val="24"/>
          <w:highlight w:val="none"/>
          <w:u w:val="single"/>
          <w14:textFill>
            <w14:solidFill>
              <w14:schemeClr w14:val="tx1"/>
            </w14:solidFill>
          </w14:textFill>
        </w:rPr>
        <w:t>‰的违约金；并无条件予以纠正。由此造成的责任和损失由承包人自行承担。</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 承包人擅自更换项目负责人的违约责任：</w:t>
      </w:r>
      <w:r>
        <w:rPr>
          <w:rFonts w:hint="eastAsia" w:ascii="宋体" w:hAnsi="宋体" w:eastAsia="宋体" w:cs="宋体"/>
          <w:color w:val="000000" w:themeColor="text1"/>
          <w:sz w:val="24"/>
          <w:szCs w:val="24"/>
          <w:highlight w:val="none"/>
          <w:u w:val="single"/>
          <w14:textFill>
            <w14:solidFill>
              <w14:schemeClr w14:val="tx1"/>
            </w14:solidFill>
          </w14:textFill>
        </w:rPr>
        <w:t>承包人不得随意擅自更换项目负责人，承包人确需更换项目负责人时，必须征得发包人同意，并应在更换前14日通知发包人和监理人。</w:t>
      </w:r>
      <w:r>
        <w:rPr>
          <w:rFonts w:hint="eastAsia" w:ascii="宋体" w:hAnsi="宋体" w:eastAsia="宋体" w:cs="宋体"/>
          <w:b/>
          <w:bCs/>
          <w:color w:val="000000" w:themeColor="text1"/>
          <w:kern w:val="0"/>
          <w:sz w:val="24"/>
          <w:highlight w:val="none"/>
          <w:u w:val="single"/>
          <w14:textFill>
            <w14:solidFill>
              <w14:schemeClr w14:val="tx1"/>
            </w14:solidFill>
          </w14:textFill>
        </w:rPr>
        <w:t>项目负责人原则上不得变更，更换项目负责人，承包人向发包人支付壹拾万元/人·次违约金（除特殊原因外）；</w:t>
      </w:r>
      <w:r>
        <w:rPr>
          <w:rFonts w:hint="eastAsia" w:ascii="宋体" w:hAnsi="宋体" w:eastAsia="宋体" w:cs="宋体"/>
          <w:color w:val="000000" w:themeColor="text1"/>
          <w:sz w:val="24"/>
          <w:szCs w:val="24"/>
          <w:highlight w:val="none"/>
          <w:u w:val="single"/>
          <w14:textFill>
            <w14:solidFill>
              <w14:schemeClr w14:val="tx1"/>
            </w14:solidFill>
          </w14:textFill>
        </w:rPr>
        <w:t>并无条件予以纠正。由此造成的责任和损失由承包人自行承担。</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3.2.4 承包人无正当理由拒绝更换项目经理的违约责任：</w:t>
      </w:r>
      <w:r>
        <w:rPr>
          <w:rFonts w:hint="eastAsia" w:ascii="宋体" w:hAnsi="宋体" w:eastAsia="宋体" w:cs="宋体"/>
          <w:color w:val="000000" w:themeColor="text1"/>
          <w:sz w:val="24"/>
          <w:szCs w:val="24"/>
          <w:highlight w:val="none"/>
          <w:u w:val="single"/>
          <w14:textFill>
            <w14:solidFill>
              <w14:schemeClr w14:val="tx1"/>
            </w14:solidFill>
          </w14:textFill>
        </w:rPr>
        <w:t>承包人应对其项目经理进行有效管理，发包人要求撤换不胜任本职工作、行为不端或玩忽职守的项目经理，承包人应无条件予以撤换。由此而产生的一切费用和责任均由承包人承担。且每发生一次，向发包人支付签约合同价格5‰的违约金。并无条件予以更换。由此造成的责任和损失由承包人自行承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 承包人人员</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 承包人提交项目管理机构及施工现场管理人员安排报告的期限：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 承包人无正当理由拒绝撤换主要施工管理人员的违约责任：</w:t>
      </w:r>
      <w:r>
        <w:rPr>
          <w:rFonts w:hint="eastAsia" w:ascii="宋体" w:hAnsi="宋体" w:eastAsia="宋体" w:cs="宋体"/>
          <w:color w:val="000000" w:themeColor="text1"/>
          <w:sz w:val="24"/>
          <w:szCs w:val="24"/>
          <w:highlight w:val="none"/>
          <w:u w:val="single"/>
          <w14:textFill>
            <w14:solidFill>
              <w14:schemeClr w14:val="tx1"/>
            </w14:solidFill>
          </w14:textFill>
        </w:rPr>
        <w:t>承包人应对其项目组织机构人员及其他人员进行有效管理，发包人要求撤换不胜任本职工作、行为不端或玩忽职守的项目组织机构人员及其他人员的，承包人应无条件予以撤换。由此而产生的一切费用和责任均由承包人承担。且每发生一次，向发包人支付签约合同价格5‰的违约金。并无条件予以更换。由此造成的责任和损失由承包人自行承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3.3.4 承包人主要施工管理人员离开施工现场的批准要求：</w:t>
      </w:r>
      <w:r>
        <w:rPr>
          <w:rFonts w:hint="eastAsia" w:ascii="宋体" w:hAnsi="宋体" w:eastAsia="宋体" w:cs="宋体"/>
          <w:color w:val="000000" w:themeColor="text1"/>
          <w:sz w:val="24"/>
          <w:szCs w:val="24"/>
          <w:highlight w:val="none"/>
          <w:u w:val="single"/>
          <w14:textFill>
            <w14:solidFill>
              <w14:schemeClr w14:val="tx1"/>
            </w14:solidFill>
          </w14:textFill>
        </w:rPr>
        <w:t>执行克建发【2011】210号文 。</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3.3.5承包人擅自更换主要施工管理人员的违约责任：</w:t>
      </w:r>
      <w:r>
        <w:rPr>
          <w:rFonts w:hint="eastAsia" w:ascii="宋体" w:hAnsi="宋体" w:eastAsia="宋体" w:cs="宋体"/>
          <w:color w:val="000000" w:themeColor="text1"/>
          <w:sz w:val="24"/>
          <w:szCs w:val="24"/>
          <w:highlight w:val="none"/>
          <w:u w:val="single"/>
          <w14:textFill>
            <w14:solidFill>
              <w14:schemeClr w14:val="tx1"/>
            </w14:solidFill>
          </w14:textFill>
        </w:rPr>
        <w:t>承包人不得随意更换项目负责人及项目组织机构人员，承包人更换项目负责人及项目组织机构人员时，必须征得发包人同意，并应在更换14日前通知发包人和监理人。</w:t>
      </w:r>
      <w:r>
        <w:rPr>
          <w:rFonts w:hint="eastAsia" w:ascii="宋体" w:hAnsi="宋体" w:eastAsia="宋体" w:cs="宋体"/>
          <w:b/>
          <w:color w:val="000000" w:themeColor="text1"/>
          <w:sz w:val="24"/>
          <w:szCs w:val="24"/>
          <w:highlight w:val="none"/>
          <w:u w:val="single"/>
          <w14:textFill>
            <w14:solidFill>
              <w14:schemeClr w14:val="tx1"/>
            </w14:solidFill>
          </w14:textFill>
        </w:rPr>
        <w:t>更换</w:t>
      </w:r>
      <w:r>
        <w:rPr>
          <w:rFonts w:hint="eastAsia" w:ascii="宋体" w:hAnsi="宋体" w:eastAsia="宋体" w:cs="宋体"/>
          <w:color w:val="000000" w:themeColor="text1"/>
          <w:sz w:val="24"/>
          <w:szCs w:val="24"/>
          <w:highlight w:val="none"/>
          <w:u w:val="single"/>
          <w14:textFill>
            <w14:solidFill>
              <w14:schemeClr w14:val="tx1"/>
            </w14:solidFill>
          </w14:textFill>
        </w:rPr>
        <w:t>项目组织机构人员，</w:t>
      </w:r>
      <w:r>
        <w:rPr>
          <w:rFonts w:hint="eastAsia" w:ascii="宋体" w:hAnsi="宋体" w:eastAsia="宋体" w:cs="宋体"/>
          <w:b/>
          <w:color w:val="000000" w:themeColor="text1"/>
          <w:sz w:val="24"/>
          <w:szCs w:val="24"/>
          <w:highlight w:val="none"/>
          <w:u w:val="single"/>
          <w14:textFill>
            <w14:solidFill>
              <w14:schemeClr w14:val="tx1"/>
            </w14:solidFill>
          </w14:textFill>
        </w:rPr>
        <w:t>承包人向发包人支付伍万元/人·次违约金（除特殊原因外），未经发包人同意擅自更换</w:t>
      </w:r>
      <w:r>
        <w:rPr>
          <w:rFonts w:hint="eastAsia" w:ascii="宋体" w:hAnsi="宋体" w:eastAsia="宋体" w:cs="宋体"/>
          <w:color w:val="000000" w:themeColor="text1"/>
          <w:sz w:val="24"/>
          <w:szCs w:val="24"/>
          <w:highlight w:val="none"/>
          <w:u w:val="single"/>
          <w14:textFill>
            <w14:solidFill>
              <w14:schemeClr w14:val="tx1"/>
            </w14:solidFill>
          </w14:textFill>
        </w:rPr>
        <w:t>项目负责人及项目组织机构人员，一经发现，发包人将终止合同，造成的相关损失由承包人承担。监理单位负责划分终止合同前的工程量，并经招标人确定。</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承包人主要施工管理人员擅自离开施工现场的违约责任：</w:t>
      </w:r>
      <w:r>
        <w:rPr>
          <w:rFonts w:hint="eastAsia" w:ascii="宋体" w:hAnsi="宋体" w:eastAsia="宋体" w:cs="宋体"/>
          <w:color w:val="000000" w:themeColor="text1"/>
          <w:sz w:val="24"/>
          <w:szCs w:val="24"/>
          <w:highlight w:val="none"/>
          <w:u w:val="single"/>
          <w14:textFill>
            <w14:solidFill>
              <w14:schemeClr w14:val="tx1"/>
            </w14:solidFill>
          </w14:textFill>
        </w:rPr>
        <w:t>每发生一次，向发包人支付签约合同价格5‰的违约金。并无条件予以纠正。由此造成的责任和损失由承包人自行承担。</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还应执行：</w:t>
      </w:r>
    </w:p>
    <w:p>
      <w:pPr>
        <w:numPr>
          <w:ilvl w:val="0"/>
          <w:numId w:val="1"/>
        </w:numPr>
        <w:spacing w:line="360" w:lineRule="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kern w:val="0"/>
          <w:sz w:val="24"/>
          <w:highlight w:val="none"/>
          <w:u w:val="single"/>
          <w14:textFill>
            <w14:solidFill>
              <w14:schemeClr w14:val="tx1"/>
            </w14:solidFill>
          </w14:textFill>
        </w:rPr>
        <w:t>建筑施工工地作业人员实名制管理执行克劳社发【2012】15号文。</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sz w:val="24"/>
          <w:szCs w:val="24"/>
          <w:highlight w:val="none"/>
          <w:u w:val="single"/>
          <w14:textFill>
            <w14:solidFill>
              <w14:schemeClr w14:val="tx1"/>
            </w14:solidFill>
          </w14:textFill>
        </w:rPr>
        <w:t>承包人配置在本工程的造价人员必须根据工程建设进度随时跟踪、收集工程变更及各项经济签证资料，在合同规定的时间内编制出预算书，并与洽商、签证、变更资料一同报送监理人和发包人审核，以确认变更价款。承包人未在规定时间内提供相应资料的，发包人有权不予确认且</w:t>
      </w:r>
      <w:r>
        <w:rPr>
          <w:rFonts w:hint="eastAsia" w:ascii="宋体" w:hAnsi="宋体" w:eastAsia="宋体" w:cs="宋体"/>
          <w:b/>
          <w:color w:val="000000" w:themeColor="text1"/>
          <w:sz w:val="24"/>
          <w:szCs w:val="24"/>
          <w:highlight w:val="none"/>
          <w:u w:val="single"/>
          <w14:textFill>
            <w14:solidFill>
              <w14:schemeClr w14:val="tx1"/>
            </w14:solidFill>
          </w14:textFill>
        </w:rPr>
        <w:t>每发生一次向发包人支付签约合同价格1%的违约金。并无条件予以纠正，由此造成的一切责任和损失均由承包人承担。</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w:t>
      </w:r>
      <w:r>
        <w:rPr>
          <w:rFonts w:hint="eastAsia" w:ascii="宋体" w:hAnsi="宋体" w:eastAsia="宋体" w:cs="宋体"/>
          <w:color w:val="000000" w:themeColor="text1"/>
          <w:sz w:val="24"/>
          <w:szCs w:val="24"/>
          <w:highlight w:val="none"/>
          <w:u w:val="single"/>
          <w14:textFill>
            <w14:solidFill>
              <w14:schemeClr w14:val="tx1"/>
            </w14:solidFill>
          </w14:textFill>
        </w:rPr>
        <w:t>尽管承包人已按投标文件中所列的数量派遣了施工管理各类人员，但若监理人或发包人认为这些人员仍不足以适应现场施工的需要并不能保证工程进度时，监理人有权要求承包人继续增派或雇用这类人员并书面通知承包人。承包人在接到通知后应立即执行监理人的指示，不得无故拖延。</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④特殊工种（电工、电梯工、起重工、电焊工、驾驶员、爆破工等）必须经过专业培训，并持有效合格证或上岗证上岗。监理人有权随时检查承包人派驻现场人员的上岗资格证明情况。如发现无证上岗人员，每发生一次，向发包人支付签约合同价格5‰的违约金。并无条件予以纠正。由此造成的责任和损失由承包人自行承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bookmarkStart w:id="219" w:name="_Toc296890987"/>
      <w:bookmarkStart w:id="220" w:name="_Toc297123492"/>
      <w:bookmarkStart w:id="221" w:name="_Toc300934945"/>
      <w:bookmarkStart w:id="222" w:name="_Toc292559869"/>
      <w:bookmarkStart w:id="223" w:name="_Toc296944498"/>
      <w:bookmarkStart w:id="224" w:name="_Toc292559364"/>
      <w:bookmarkStart w:id="225" w:name="_Toc296347158"/>
      <w:bookmarkStart w:id="226" w:name="_Toc297048345"/>
      <w:bookmarkStart w:id="227" w:name="_Toc304295523"/>
      <w:bookmarkStart w:id="228" w:name="_Toc312677988"/>
      <w:bookmarkStart w:id="229" w:name="_Toc296346660"/>
      <w:bookmarkStart w:id="230" w:name="_Toc297120459"/>
      <w:bookmarkStart w:id="231" w:name="_Toc303539102"/>
      <w:bookmarkStart w:id="232" w:name="_Toc296891199"/>
      <w:bookmarkStart w:id="233" w:name="_Toc297216151"/>
      <w:bookmarkStart w:id="234" w:name="_Toc296503159"/>
      <w:r>
        <w:rPr>
          <w:rFonts w:hint="eastAsia" w:ascii="宋体" w:hAnsi="宋体" w:eastAsia="宋体" w:cs="宋体"/>
          <w:color w:val="000000" w:themeColor="text1"/>
          <w:sz w:val="24"/>
          <w:szCs w:val="24"/>
          <w:highlight w:val="none"/>
          <w14:textFill>
            <w14:solidFill>
              <w14:schemeClr w14:val="tx1"/>
            </w14:solidFill>
          </w14:textFill>
        </w:rPr>
        <w:t>.5 分包</w:t>
      </w:r>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Pr>
        <w:numPr>
          <w:ilvl w:val="0"/>
          <w:numId w:val="0"/>
        </w:numPr>
        <w:spacing w:line="360" w:lineRule="auto"/>
        <w:ind w:left="480" w:leftChars="0"/>
        <w:rPr>
          <w:rFonts w:hint="eastAsia" w:ascii="宋体" w:hAnsi="宋体" w:eastAsia="宋体" w:cs="宋体"/>
          <w:color w:val="000000" w:themeColor="text1"/>
          <w:sz w:val="24"/>
          <w:szCs w:val="24"/>
          <w:highlight w:val="none"/>
          <w14:textFill>
            <w14:solidFill>
              <w14:schemeClr w14:val="tx1"/>
            </w14:solidFill>
          </w14:textFill>
        </w:rPr>
      </w:pPr>
      <w:bookmarkStart w:id="235" w:name="_Toc292559365"/>
      <w:bookmarkStart w:id="236" w:name="_Toc300934946"/>
      <w:bookmarkStart w:id="237" w:name="_Toc297216152"/>
      <w:bookmarkStart w:id="238" w:name="_Toc296346661"/>
      <w:bookmarkStart w:id="239" w:name="_Toc296890988"/>
      <w:bookmarkStart w:id="240" w:name="_Toc304295524"/>
      <w:bookmarkStart w:id="241" w:name="_Toc297123493"/>
      <w:bookmarkStart w:id="242" w:name="_Toc312677989"/>
      <w:bookmarkStart w:id="243" w:name="_Toc296891200"/>
      <w:bookmarkStart w:id="244" w:name="_Toc296944499"/>
      <w:bookmarkStart w:id="245" w:name="_Toc318581158"/>
      <w:bookmarkStart w:id="246" w:name="_Toc296503160"/>
      <w:bookmarkStart w:id="247" w:name="_Toc297048346"/>
      <w:bookmarkStart w:id="248" w:name="_Toc292559870"/>
      <w:bookmarkStart w:id="249" w:name="_Toc303539103"/>
      <w:bookmarkStart w:id="250" w:name="_Toc297120460"/>
      <w:bookmarkStart w:id="251" w:name="_Toc296347159"/>
      <w:r>
        <w:rPr>
          <w:rFonts w:hint="eastAsia" w:ascii="宋体" w:hAnsi="宋体" w:eastAsia="宋体" w:cs="宋体"/>
          <w:color w:val="000000" w:themeColor="text1"/>
          <w:sz w:val="24"/>
          <w:szCs w:val="24"/>
          <w:highlight w:val="none"/>
          <w:lang w:val="en-US" w:eastAsia="zh-CN"/>
          <w14:textFill>
            <w14:solidFill>
              <w14:schemeClr w14:val="tx1"/>
            </w14:solidFill>
          </w14:textFill>
        </w:rPr>
        <w:t>3.5.1</w:t>
      </w:r>
      <w:r>
        <w:rPr>
          <w:rFonts w:hint="eastAsia" w:ascii="宋体" w:hAnsi="宋体" w:eastAsia="宋体" w:cs="宋体"/>
          <w:color w:val="000000" w:themeColor="text1"/>
          <w:sz w:val="24"/>
          <w:szCs w:val="24"/>
          <w:highlight w:val="none"/>
          <w14:textFill>
            <w14:solidFill>
              <w14:schemeClr w14:val="tx1"/>
            </w14:solidFill>
          </w14:textFill>
        </w:rPr>
        <w:t>分包的一般约定</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Start w:id="252" w:name="_Toc318581159"/>
      <w:bookmarkStart w:id="253" w:name="_Toc312677990"/>
    </w:p>
    <w:bookmarkEnd w:id="252"/>
    <w:bookmarkEnd w:id="253"/>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禁止分包的工程包括：</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承包范围内的所有工作内容禁止分包。</w:t>
      </w:r>
      <w:r>
        <w:rPr>
          <w:rFonts w:hint="eastAsia" w:ascii="宋体" w:hAnsi="宋体" w:eastAsia="宋体" w:cs="宋体"/>
          <w:color w:val="000000" w:themeColor="text1"/>
          <w:sz w:val="24"/>
          <w:szCs w:val="24"/>
          <w:highlight w:val="none"/>
          <w:u w:val="single"/>
          <w14:textFill>
            <w14:solidFill>
              <w14:schemeClr w14:val="tx1"/>
            </w14:solidFill>
          </w14:textFill>
        </w:rPr>
        <w:t>承包人不得转包或转让所承包的全部或部分工程，也不得肢解所承包的工程以分包的名义分别转包给他人。</w:t>
      </w:r>
    </w:p>
    <w:p>
      <w:pPr>
        <w:keepNext w:val="0"/>
        <w:keepLines w:val="0"/>
        <w:pageBreakBefore w:val="0"/>
        <w:widowControl w:val="0"/>
        <w:wordWrap/>
        <w:topLinePunct w:val="0"/>
        <w:bidi w:val="0"/>
        <w:spacing w:line="540" w:lineRule="exact"/>
        <w:ind w:right="0" w:rightChars="0"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3.5.2分包的确定</w:t>
      </w:r>
    </w:p>
    <w:p>
      <w:pPr>
        <w:keepNext w:val="0"/>
        <w:keepLines w:val="0"/>
        <w:pageBreakBefore w:val="0"/>
        <w:widowControl w:val="0"/>
        <w:wordWrap/>
        <w:topLinePunct w:val="0"/>
        <w:bidi w:val="0"/>
        <w:spacing w:line="540" w:lineRule="exact"/>
        <w:ind w:right="0" w:rightChars="0" w:firstLine="480"/>
        <w:textAlignment w:val="auto"/>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允许分包的专业工程包括：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p>
    <w:p>
      <w:pPr>
        <w:keepNext w:val="0"/>
        <w:keepLines w:val="0"/>
        <w:pageBreakBefore w:val="0"/>
        <w:widowControl w:val="0"/>
        <w:numPr>
          <w:ilvl w:val="2"/>
          <w:numId w:val="2"/>
        </w:numPr>
        <w:wordWrap/>
        <w:topLinePunct w:val="0"/>
        <w:bidi w:val="0"/>
        <w:spacing w:line="540" w:lineRule="exact"/>
        <w:ind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分包合同价格</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关于分包合同价格支付的约定：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执行合同通用条款本条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3.6工程照管与成品、半成品保护</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kern w:val="0"/>
          <w:sz w:val="24"/>
          <w:szCs w:val="24"/>
          <w:highlight w:val="none"/>
          <w:u w:val="single"/>
          <w14:textFill>
            <w14:solidFill>
              <w14:schemeClr w14:val="tx1"/>
            </w14:solidFill>
          </w14:textFill>
        </w:rPr>
        <w:t>除</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外，还应执行：①工程竣工验收移交前，承包人负责对工程照管、已完工程成品、半成品保护工作，承包人负责对其采取必要的措施进行维护，使其免于损毁或破坏。如出现损毁或破坏，承包人须及时进行修复并承担由此发生的一切费用。工程接收证书颁发时，尚有部分未竣工工程的，承包人还应负责该未竣工工程的照管和维护工作，直至竣工后移交给发包人为止。②如果在承包人负责照管期间，由于不可抗力以外的原因，致使其工程、货物等发生任何损失或损害，承包人应自行承担风险和费用，并修复该项损失或损害，使其符合合同约定。③承包人不按要求对工程成品进行管护，发包人有权委托其他承包人进行该项工作，费用由承包人承担。</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3.7履约担保</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承包人是否提供履约担保：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承包人提供履约担保的形式金额及期限的：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bookmarkStart w:id="254" w:name="_Toc296347161"/>
      <w:bookmarkStart w:id="255" w:name="_Toc296346663"/>
      <w:bookmarkStart w:id="256" w:name="_Toc296890990"/>
      <w:bookmarkStart w:id="257" w:name="_Toc292559366"/>
      <w:bookmarkStart w:id="258" w:name="_Toc296503162"/>
      <w:bookmarkStart w:id="259" w:name="_Toc296944501"/>
      <w:bookmarkStart w:id="260" w:name="_Toc297048348"/>
      <w:bookmarkStart w:id="261" w:name="_Toc267251413"/>
      <w:bookmarkStart w:id="262" w:name="_Toc296891202"/>
      <w:bookmarkStart w:id="263" w:name="_Toc297120462"/>
      <w:bookmarkStart w:id="264" w:name="_Toc292559871"/>
      <w:r>
        <w:rPr>
          <w:rFonts w:hint="eastAsia" w:ascii="宋体" w:hAnsi="宋体" w:eastAsia="宋体" w:cs="宋体"/>
          <w:color w:val="000000" w:themeColor="text1"/>
          <w:sz w:val="24"/>
          <w:szCs w:val="24"/>
          <w:highlight w:val="none"/>
          <w14:textFill>
            <w14:solidFill>
              <w14:schemeClr w14:val="tx1"/>
            </w14:solidFill>
          </w14:textFill>
        </w:rPr>
        <w:t>. 监</w:t>
      </w:r>
      <w:bookmarkEnd w:id="254"/>
      <w:bookmarkEnd w:id="255"/>
      <w:bookmarkEnd w:id="256"/>
      <w:bookmarkEnd w:id="257"/>
      <w:bookmarkEnd w:id="258"/>
      <w:bookmarkEnd w:id="259"/>
      <w:bookmarkEnd w:id="260"/>
      <w:bookmarkEnd w:id="261"/>
      <w:bookmarkEnd w:id="262"/>
      <w:bookmarkEnd w:id="263"/>
      <w:bookmarkEnd w:id="264"/>
      <w:r>
        <w:rPr>
          <w:rFonts w:hint="eastAsia" w:ascii="宋体" w:hAnsi="宋体" w:eastAsia="宋体" w:cs="宋体"/>
          <w:color w:val="000000" w:themeColor="text1"/>
          <w:sz w:val="24"/>
          <w:szCs w:val="24"/>
          <w:highlight w:val="none"/>
          <w14:textFill>
            <w14:solidFill>
              <w14:schemeClr w14:val="tx1"/>
            </w14:solidFill>
          </w14:textFill>
        </w:rPr>
        <w:t>理人</w:t>
      </w:r>
      <w:bookmarkEnd w:id="218"/>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4.1监理人的一般规定</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关于监理人的监理内容：</w:t>
      </w:r>
      <w:r>
        <w:rPr>
          <w:rFonts w:hint="eastAsia" w:ascii="宋体" w:hAnsi="宋体" w:eastAsia="宋体" w:cs="宋体"/>
          <w:color w:val="000000" w:themeColor="text1"/>
          <w:sz w:val="24"/>
          <w:szCs w:val="24"/>
          <w:highlight w:val="none"/>
          <w:u w:val="single"/>
          <w14:textFill>
            <w14:solidFill>
              <w14:schemeClr w14:val="tx1"/>
            </w14:solidFill>
          </w14:textFill>
        </w:rPr>
        <w:t>监理合同约定的监理工作内容。</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关于监理人的监理权限：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①须经发包人事先批准行使的权力：涉及工程开工、竣工、工期变化、工程变更、工程范围变化、工程计量、工程费用变化等事项须发包人事先批准。发包人在合同履行期间有权根据具体情况调整监理人须经发包人批准的权力范围并及时通知承包人。②当监理人认为出现了危及生命、工程或毗邻财产等安全的紧急事件时，在不免除合同规定的承包人责任的情况下，监理人可以指示承包人实施为消除或减少这种危险所必须进行的工作，即使未经发包人的事先批准，承包人也应立即遵照执行并在事件发生后2日内形成书面材料报发包人审批。③监理人应公正地履行职责，在按合同要求由监理人发出指示、表示意见、审批文件、确定价格以及采取可能涉及发包人或承包人的义务和权利的行动时，应认真查清事实，并与双方充分协商后作出公正的决定。 </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关于监理人在施工现场的办公场所、生活场所的提供和费用承担的约定：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 商定或确定</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65" w:name="_Toc267251418"/>
      <w:r>
        <w:rPr>
          <w:rFonts w:hint="eastAsia" w:ascii="宋体" w:hAnsi="宋体" w:eastAsia="宋体" w:cs="宋体"/>
          <w:color w:val="000000" w:themeColor="text1"/>
          <w:sz w:val="24"/>
          <w:szCs w:val="24"/>
          <w:highlight w:val="none"/>
          <w14:textFill>
            <w14:solidFill>
              <w14:schemeClr w14:val="tx1"/>
            </w14:solidFill>
          </w14:textFill>
        </w:rPr>
        <w:t>在发包人和承包人不能通过协商达成一致意见时，发包人授权监理人对以下事项进行确定：</w:t>
      </w:r>
    </w:p>
    <w:p>
      <w:pPr>
        <w:keepNext w:val="0"/>
        <w:keepLines w:val="0"/>
        <w:pageBreakBefore w:val="0"/>
        <w:widowControl w:val="0"/>
        <w:wordWrap/>
        <w:topLinePunct w:val="0"/>
        <w:bidi w:val="0"/>
        <w:spacing w:line="540" w:lineRule="exact"/>
        <w:ind w:left="480" w:right="0" w:righ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bookmarkStart w:id="266" w:name="_Toc351203637"/>
      <w:r>
        <w:rPr>
          <w:rFonts w:hint="eastAsia" w:ascii="宋体" w:hAnsi="宋体" w:eastAsia="宋体" w:cs="宋体"/>
          <w:color w:val="000000" w:themeColor="text1"/>
          <w:sz w:val="24"/>
          <w:szCs w:val="24"/>
          <w:highlight w:val="none"/>
          <w:u w:val="single"/>
          <w14:textFill>
            <w14:solidFill>
              <w14:schemeClr w14:val="tx1"/>
            </w14:solidFill>
          </w14:textFill>
        </w:rPr>
        <w:t>(1)替代材料价格的确认；</w:t>
      </w:r>
    </w:p>
    <w:p>
      <w:pPr>
        <w:keepNext w:val="0"/>
        <w:keepLines w:val="0"/>
        <w:pageBreakBefore w:val="0"/>
        <w:widowControl w:val="0"/>
        <w:wordWrap/>
        <w:topLinePunct w:val="0"/>
        <w:bidi w:val="0"/>
        <w:spacing w:line="540" w:lineRule="exact"/>
        <w:ind w:left="480" w:right="0" w:righ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(2)变更引起的工期调整；</w:t>
      </w:r>
    </w:p>
    <w:p>
      <w:pPr>
        <w:keepNext w:val="0"/>
        <w:keepLines w:val="0"/>
        <w:pageBreakBefore w:val="0"/>
        <w:widowControl w:val="0"/>
        <w:wordWrap/>
        <w:topLinePunct w:val="0"/>
        <w:bidi w:val="0"/>
        <w:spacing w:line="540" w:lineRule="exact"/>
        <w:ind w:left="480" w:right="0" w:righ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(3)变更估价（变更工作的单价确定）；</w:t>
      </w:r>
    </w:p>
    <w:p>
      <w:pPr>
        <w:keepNext w:val="0"/>
        <w:keepLines w:val="0"/>
        <w:pageBreakBefore w:val="0"/>
        <w:widowControl w:val="0"/>
        <w:wordWrap/>
        <w:topLinePunct w:val="0"/>
        <w:bidi w:val="0"/>
        <w:spacing w:line="540" w:lineRule="exact"/>
        <w:ind w:left="480" w:right="0" w:righ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(4)计日工（变更工作的单价）；</w:t>
      </w:r>
    </w:p>
    <w:p>
      <w:pPr>
        <w:keepNext w:val="0"/>
        <w:keepLines w:val="0"/>
        <w:pageBreakBefore w:val="0"/>
        <w:widowControl w:val="0"/>
        <w:wordWrap/>
        <w:topLinePunct w:val="0"/>
        <w:bidi w:val="0"/>
        <w:spacing w:line="540" w:lineRule="exact"/>
        <w:ind w:left="480" w:right="0" w:righ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(5)法律变化引起的调整（合同价格和工期）；</w:t>
      </w:r>
    </w:p>
    <w:p>
      <w:pPr>
        <w:keepNext w:val="0"/>
        <w:keepLines w:val="0"/>
        <w:pageBreakBefore w:val="0"/>
        <w:widowControl w:val="0"/>
        <w:wordWrap/>
        <w:topLinePunct w:val="0"/>
        <w:bidi w:val="0"/>
        <w:spacing w:line="540" w:lineRule="exact"/>
        <w:ind w:left="480" w:right="0" w:righ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(6)因承包人违约解除合同后，承包人实际完成的工作对应的合同价款等的确定；</w:t>
      </w:r>
    </w:p>
    <w:p>
      <w:pPr>
        <w:keepNext w:val="0"/>
        <w:keepLines w:val="0"/>
        <w:pageBreakBefore w:val="0"/>
        <w:widowControl w:val="0"/>
        <w:wordWrap/>
        <w:topLinePunct w:val="0"/>
        <w:bidi w:val="0"/>
        <w:spacing w:line="540" w:lineRule="exact"/>
        <w:ind w:left="480" w:right="0" w:righ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(7)因不可抗力解除合同后，确定发包人应支付的款项；</w:t>
      </w:r>
    </w:p>
    <w:p>
      <w:pPr>
        <w:keepNext w:val="0"/>
        <w:keepLines w:val="0"/>
        <w:pageBreakBefore w:val="0"/>
        <w:widowControl w:val="0"/>
        <w:wordWrap/>
        <w:topLinePunct w:val="0"/>
        <w:bidi w:val="0"/>
        <w:spacing w:line="540" w:lineRule="exact"/>
        <w:ind w:left="480" w:right="0" w:righ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(8)合同当事人对是否属于不可抗力或其损失的意见不一致的。</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bookmarkEnd w:id="265"/>
      <w:bookmarkStart w:id="267" w:name="_Toc296346664"/>
      <w:bookmarkStart w:id="268" w:name="_Toc296890991"/>
      <w:bookmarkStart w:id="269" w:name="_Toc292559367"/>
      <w:bookmarkStart w:id="270" w:name="_Toc292559872"/>
      <w:bookmarkStart w:id="271" w:name="_Toc296503163"/>
      <w:bookmarkStart w:id="272" w:name="_Toc296891203"/>
      <w:bookmarkStart w:id="273" w:name="_Toc296347162"/>
      <w:bookmarkStart w:id="274" w:name="_Toc297120463"/>
      <w:bookmarkStart w:id="275" w:name="_Toc297048349"/>
      <w:bookmarkStart w:id="276" w:name="_Toc296944502"/>
      <w:r>
        <w:rPr>
          <w:rFonts w:hint="eastAsia" w:ascii="宋体" w:hAnsi="宋体" w:eastAsia="宋体" w:cs="宋体"/>
          <w:color w:val="000000" w:themeColor="text1"/>
          <w:sz w:val="24"/>
          <w:szCs w:val="24"/>
          <w:highlight w:val="none"/>
          <w14:textFill>
            <w14:solidFill>
              <w14:schemeClr w14:val="tx1"/>
            </w14:solidFill>
          </w14:textFill>
        </w:rPr>
        <w:t>. 工程质量</w:t>
      </w:r>
      <w:bookmarkEnd w:id="266"/>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质量要求</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本工程按</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《园林绿化工程施工及验收规范》（</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CJJ82-2012</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）、《给水排水管道工程施工及验收规范》（</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GB50268-2008</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）及</w:t>
      </w:r>
      <w:r>
        <w:rPr>
          <w:rFonts w:hint="eastAsia" w:ascii="宋体" w:hAnsi="宋体" w:eastAsia="宋体" w:cs="宋体"/>
          <w:color w:val="000000" w:themeColor="text1"/>
          <w:sz w:val="24"/>
          <w:szCs w:val="24"/>
          <w:highlight w:val="none"/>
          <w:u w:val="single"/>
          <w14:textFill>
            <w14:solidFill>
              <w14:schemeClr w14:val="tx1"/>
            </w14:solidFill>
          </w14:textFill>
        </w:rPr>
        <w:t>国家、部委和设计要求的规范及标准，同时执行新疆维吾尔自治区、克拉玛依市建设工程竣工备案实施的具体要求。</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bookmarkStart w:id="277" w:name="_Toc297216155"/>
      <w:bookmarkStart w:id="278" w:name="_Toc297123496"/>
      <w:bookmarkStart w:id="279" w:name="_Toc304295527"/>
      <w:bookmarkStart w:id="280" w:name="_Toc300934949"/>
      <w:bookmarkStart w:id="281" w:name="_Toc303539106"/>
      <w:bookmarkStart w:id="282" w:name="_Toc318581164"/>
      <w:bookmarkStart w:id="283" w:name="_Toc312677997"/>
      <w:r>
        <w:rPr>
          <w:rFonts w:hint="eastAsia" w:ascii="宋体" w:hAnsi="宋体" w:eastAsia="宋体" w:cs="宋体"/>
          <w:color w:val="000000" w:themeColor="text1"/>
          <w:sz w:val="24"/>
          <w:szCs w:val="24"/>
          <w:highlight w:val="none"/>
          <w14:textFill>
            <w14:solidFill>
              <w14:schemeClr w14:val="tx1"/>
            </w14:solidFill>
          </w14:textFill>
        </w:rPr>
        <w:t>.1.1 特殊质量标准和要求：</w:t>
      </w:r>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关于工程奖项的约定：</w:t>
      </w:r>
      <w:r>
        <w:rPr>
          <w:rFonts w:hint="eastAsia" w:ascii="宋体" w:hAnsi="宋体" w:eastAsia="宋体" w:cs="宋体"/>
          <w:color w:val="000000" w:themeColor="text1"/>
          <w:sz w:val="24"/>
          <w:szCs w:val="24"/>
          <w:highlight w:val="none"/>
          <w:u w:val="single"/>
          <w14:textFill>
            <w14:solidFill>
              <w14:schemeClr w14:val="tx1"/>
            </w14:solidFill>
          </w14:textFill>
        </w:rPr>
        <w:t>无</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 隐蔽工程检查</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5.3.2承包人提前通知监理人隐蔽工程检查的期限的约定：</w:t>
      </w:r>
      <w:r>
        <w:rPr>
          <w:rFonts w:hint="eastAsia" w:ascii="宋体" w:hAnsi="宋体" w:eastAsia="宋体" w:cs="宋体"/>
          <w:color w:val="000000" w:themeColor="text1"/>
          <w:sz w:val="24"/>
          <w:szCs w:val="24"/>
          <w:highlight w:val="none"/>
          <w:u w:val="single"/>
          <w14:textFill>
            <w14:solidFill>
              <w14:schemeClr w14:val="tx1"/>
            </w14:solidFill>
          </w14:textFill>
        </w:rPr>
        <w:t>除执行通用合同条款本条款外，还应执行：根据工程进度及监理工程师指令及时向监理工程师递交隐蔽工程验收通知、工程质量自检报告、竣工验收申请报告等。</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监理人不能按时进行检查时，应提前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24 </w:t>
      </w:r>
      <w:r>
        <w:rPr>
          <w:rFonts w:hint="eastAsia" w:ascii="宋体" w:hAnsi="宋体" w:eastAsia="宋体" w:cs="宋体"/>
          <w:color w:val="000000" w:themeColor="text1"/>
          <w:sz w:val="24"/>
          <w:szCs w:val="24"/>
          <w:highlight w:val="none"/>
          <w14:textFill>
            <w14:solidFill>
              <w14:schemeClr w14:val="tx1"/>
            </w14:solidFill>
          </w14:textFill>
        </w:rPr>
        <w:t>小时提交书面延期要求。</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关于延期最长不得超过：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48  </w:t>
      </w:r>
      <w:r>
        <w:rPr>
          <w:rFonts w:hint="eastAsia" w:ascii="宋体" w:hAnsi="宋体" w:eastAsia="宋体" w:cs="宋体"/>
          <w:color w:val="000000" w:themeColor="text1"/>
          <w:sz w:val="24"/>
          <w:szCs w:val="24"/>
          <w:highlight w:val="none"/>
          <w14:textFill>
            <w14:solidFill>
              <w14:schemeClr w14:val="tx1"/>
            </w14:solidFill>
          </w14:textFill>
        </w:rPr>
        <w:t>小时。</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5.4不合格工程处理</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除执行通用合同条款外，还应执行：① 由于承包人使用了不合格材料和工程设备造成了工程损害，监理人可以随时发出指示，要求承包人立即采取措施进行补救，直至彻底清除工程的不合格部位以及不合格的材料或工程设备，由此增加的费用和工期延误责任由承包人承担。② 若承包人无故拖延或拒绝执行监理人的指示，则发包人有权委托其它承包人执行该项指示，由此增加的费用和工期延误的责任，均由承包人承担。</w:t>
      </w:r>
      <w:bookmarkStart w:id="284" w:name="_Toc351203638"/>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安全文明施工与环境保护</w:t>
      </w:r>
      <w:bookmarkEnd w:id="284"/>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6.1安全文明施工</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 项目安全生产的达标目标及相应事项的约定：</w:t>
      </w:r>
      <w:r>
        <w:rPr>
          <w:rFonts w:hint="eastAsia" w:ascii="宋体" w:hAnsi="宋体" w:eastAsia="宋体" w:cs="宋体"/>
          <w:color w:val="000000" w:themeColor="text1"/>
          <w:sz w:val="24"/>
          <w:szCs w:val="24"/>
          <w:highlight w:val="none"/>
          <w:u w:val="single"/>
          <w14:textFill>
            <w14:solidFill>
              <w14:schemeClr w14:val="tx1"/>
            </w14:solidFill>
          </w14:textFill>
        </w:rPr>
        <w:t>承包人必须严格执行《中华人民共和国安全生产法》、《建筑安装施工安全检查标准》（JGJ59-2011）、《中华人民共和国建筑法》、《安全生产许可证条例》和《建筑工程安全生产管理条例》等法律、法规及新疆维吾尔自治区、克拉玛依《克拉玛依市建筑工程安全文明施工-标准化指南》等有关安全文明施工管理的相关规定，施工现场由专职持证上岗的安全员负责安全事宜。</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6.1.4 关于治安保卫的特别约定：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关于编制施工场地治安管理计划的约定：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6.1.5 文明施工</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合同当事人对文明施工的要求：除执行通用合同条款外还应执行：</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①承包人应采取有效管理措施，保证施工现场特种作业人员均持有有效证件，经过安全培训合格后持证上岗。</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承包人必须认真组织实施施工组织设计中制定的安全防护、文明施工措施，严格执行《消防法》、《建设工程施工现场消防安全技术规范》及自治区、克拉玛依市的相关安全消防管理规定。承包人必须根据现场情况制定严格的用火、用电制度和消防设施管理制度，严禁现场吸烟和违章用水、用电以及其他可能导致火灾事故和人身伤亡事故的行为。</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③承包人在施工过程中，遵守有关环境保护的法律、法规，履行环境保护义务，并对违反法律、法规所造成的环境破坏、人身伤害和财产损失负责。承包人应按批准的施工环保措施计划有序地堆放和处理施工废弃物，避免对环境造成的破坏，保持现场清洁，不得出现不必要的障碍。各类设备和材料应妥善存放，并随时将废料、垃圾及不再需要的临时设施清运出指定地点内。当承包人未能按要求完成清理工作，发包人可指定他人完成此项工作，其费用从发包人向承包人支付的的任何款项中扣除。</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④承包人加强对噪音、粉尘、废气、废水和废油的控制，降低噪音、控制粉尘和废气浓度，做好废水和废油的治理和排放。</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⑤因承包人任意堆放、排放废水废油或弃置施工废弃物造成妨碍公共交通、影响城镇居民生活、危及居民安全、破坏周边环境等后果，承包人承担一切责任和费用。</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⑥施工场地周围地下管线和邻近建筑物、构筑物（含文物保护建筑）、古树名木的保护要求及费用承担：承包人被认为在送交投标文件之前，已进行了现场考察，对现场和其周围环境以及可得到的有关资料进行了查看和核查，承包人已取得可能对投标有影响或起作用的风险、意外等必要资料。承包人应采取一切合理的措施保护施工场地内外环境并防止由于其作业方法导致的污染、噪音或其它原因造成的对周围地下管线和邻近建筑物、构筑物（文物保护建筑）、古树名木等的伤害和受损。</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⑦做好施工现场（包括进出口附近道路）的整洁卫生，搞好文明施工，工程验收一周前应作好清场工作。</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⑧减少夜间噪声：承包人不得在夜间安排噪声很大的机械施工。若承包人违反有关安全文明施工、扬尘治理的有关规定，情节严重的发包人有权终止合同。由此造成政府相关部门处罚的亦由承包人自行承担。</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⑨安全、文明施工不符合施工要求的，承包人承担一切责任和费用。并向发包人支付合同价款千分之一至千分之五的违约金。违约金可从发包人向承包人支付的任何款项中扣除。同时造成政府相关部门处罚的亦由承包人自行承担。</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6.1.6 关于安全文明施工费支付比例和支付期限的约定：</w:t>
      </w:r>
      <w:bookmarkEnd w:id="277"/>
      <w:bookmarkEnd w:id="278"/>
      <w:bookmarkEnd w:id="279"/>
      <w:bookmarkEnd w:id="280"/>
      <w:bookmarkEnd w:id="281"/>
      <w:bookmarkEnd w:id="282"/>
      <w:bookmarkEnd w:id="283"/>
      <w:bookmarkStart w:id="285" w:name="_Toc351203639"/>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安全文明施工费：a、安全文明施工费包括的内容和使用范围，符合国家现行有关文件和计量规范的规定。b、发包人在工程开工后的28天内预付不低于安全文明施工费总额的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14:textFill>
            <w14:solidFill>
              <w14:schemeClr w14:val="tx1"/>
            </w14:solidFill>
          </w14:textFill>
        </w:rPr>
        <w:t>0%，其余部分按照提前安排的原则进行分解，与进度款同期支付。c、承包人对安全文明施工费应专款专用，在财务账目中应单独列项备查，不得挪作他用，否则发包人有权要求其限期改正；逾期未改正的，造成的损失和延误的工期应由承包人承担。</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工期和进度</w:t>
      </w:r>
      <w:bookmarkEnd w:id="285"/>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 施工组织设计</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7.1.1 合</w:t>
      </w:r>
      <w:r>
        <w:rPr>
          <w:rFonts w:hint="eastAsia" w:ascii="宋体" w:hAnsi="宋体" w:eastAsia="宋体" w:cs="宋体"/>
          <w:color w:val="000000" w:themeColor="text1"/>
          <w:kern w:val="0"/>
          <w:sz w:val="24"/>
          <w:szCs w:val="24"/>
          <w:highlight w:val="none"/>
          <w14:textFill>
            <w14:solidFill>
              <w14:schemeClr w14:val="tx1"/>
            </w14:solidFill>
          </w14:textFill>
        </w:rPr>
        <w:t>同当事人约定的施工组织设计应包括的其他内容：</w:t>
      </w:r>
      <w:r>
        <w:rPr>
          <w:rFonts w:hint="eastAsia" w:ascii="宋体" w:hAnsi="宋体" w:eastAsia="宋体" w:cs="宋体"/>
          <w:color w:val="000000" w:themeColor="text1"/>
          <w:kern w:val="0"/>
          <w:sz w:val="24"/>
          <w:szCs w:val="24"/>
          <w:highlight w:val="none"/>
          <w:u w:val="single"/>
          <w14:textFill>
            <w14:solidFill>
              <w14:schemeClr w14:val="tx1"/>
            </w14:solidFill>
          </w14:textFill>
        </w:rPr>
        <w:t>除执行通用合同条款约定内容外，</w:t>
      </w:r>
      <w:r>
        <w:rPr>
          <w:rFonts w:hint="eastAsia" w:ascii="宋体" w:hAnsi="宋体" w:eastAsia="宋体" w:cs="宋体"/>
          <w:color w:val="000000" w:themeColor="text1"/>
          <w:sz w:val="24"/>
          <w:szCs w:val="24"/>
          <w:highlight w:val="none"/>
          <w:u w:val="single"/>
          <w14:textFill>
            <w14:solidFill>
              <w14:schemeClr w14:val="tx1"/>
            </w14:solidFill>
          </w14:textFill>
        </w:rPr>
        <w:t>承包人应结合本工程实际情况编制涵盖合同范围内全部工作内容的施工组织设计文件。</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7.1.2 </w:t>
      </w:r>
      <w:r>
        <w:rPr>
          <w:rFonts w:hint="eastAsia" w:ascii="宋体" w:hAnsi="宋体" w:eastAsia="宋体" w:cs="宋体"/>
          <w:color w:val="000000" w:themeColor="text1"/>
          <w:kern w:val="0"/>
          <w:sz w:val="24"/>
          <w:szCs w:val="24"/>
          <w:highlight w:val="none"/>
          <w14:textFill>
            <w14:solidFill>
              <w14:schemeClr w14:val="tx1"/>
            </w14:solidFill>
          </w14:textFill>
        </w:rPr>
        <w:t>施工组织设计的提交和修改</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承包人提交详细施工组织设计的期限的约定：</w:t>
      </w:r>
      <w:r>
        <w:rPr>
          <w:rFonts w:hint="eastAsia" w:ascii="宋体" w:hAnsi="宋体" w:eastAsia="宋体" w:cs="宋体"/>
          <w:color w:val="000000" w:themeColor="text1"/>
          <w:sz w:val="24"/>
          <w:szCs w:val="24"/>
          <w:highlight w:val="none"/>
          <w:u w:val="single"/>
          <w14:textFill>
            <w14:solidFill>
              <w14:schemeClr w14:val="tx1"/>
            </w14:solidFill>
          </w14:textFill>
        </w:rPr>
        <w:t>在会审图纸和设计交底完成后7日内向监理人提交详细的施工组织设计、施工进度计划及开工申请报告。其中施工总平面图应在搭设临设前7天提供，分部分项工程施工方案应在该项目开工前14天提供。如未能按期提供，由此引起的延误由承包人负责。当月报表，下月计划应在当月20日提交，否则工程进度款相应延期支付。上述资料应不少于一式伍份。</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发包人和监理人在收到详细的施工组织设计后确认或提出修改意见的期限：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bookmarkStart w:id="286" w:name="_Toc300934966"/>
      <w:bookmarkStart w:id="287" w:name="_Toc303539123"/>
      <w:bookmarkStart w:id="288" w:name="_Toc312677479"/>
      <w:bookmarkStart w:id="289" w:name="_Toc297216173"/>
      <w:bookmarkStart w:id="290" w:name="_Toc304295541"/>
      <w:bookmarkStart w:id="291" w:name="_Toc312678005"/>
      <w:bookmarkStart w:id="292" w:name="_Toc297123514"/>
      <w:r>
        <w:rPr>
          <w:rFonts w:hint="eastAsia" w:ascii="宋体" w:hAnsi="宋体" w:eastAsia="宋体" w:cs="宋体"/>
          <w:color w:val="000000" w:themeColor="text1"/>
          <w:sz w:val="24"/>
          <w:szCs w:val="24"/>
          <w:highlight w:val="none"/>
          <w14:textFill>
            <w14:solidFill>
              <w14:schemeClr w14:val="tx1"/>
            </w14:solidFill>
          </w14:textFill>
        </w:rPr>
        <w:t>.2 施工进度计划</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7.2.2 施工进度计划的修订</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发包人和监理人在收到修订的施工进度计划后确认或提出修改意见的期限：</w:t>
      </w:r>
      <w:r>
        <w:rPr>
          <w:rFonts w:hint="eastAsia" w:ascii="宋体" w:hAnsi="宋体" w:eastAsia="宋体" w:cs="宋体"/>
          <w:color w:val="000000" w:themeColor="text1"/>
          <w:kern w:val="0"/>
          <w:sz w:val="24"/>
          <w:szCs w:val="24"/>
          <w:highlight w:val="none"/>
          <w:u w:val="single"/>
          <w14:textFill>
            <w14:solidFill>
              <w14:schemeClr w14:val="tx1"/>
            </w14:solidFill>
          </w14:textFill>
        </w:rPr>
        <w:t>发包人和监理人应在收到修订的施工进度计划后7天内完成审核和批准或提出修改意见</w:t>
      </w:r>
      <w:r>
        <w:rPr>
          <w:rFonts w:hint="eastAsia" w:ascii="宋体" w:hAnsi="宋体" w:eastAsia="宋体" w:cs="宋体"/>
          <w:color w:val="000000" w:themeColor="text1"/>
          <w:sz w:val="24"/>
          <w:szCs w:val="24"/>
          <w:highlight w:val="none"/>
          <w:u w:val="singl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除执行通用合同条款外，还应执行：</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承包人必须按批准的进度计划组织施工，接受发包人代表和监理人对工程进度的检查监督，无论何种原因造成工程的实际进度与合同进度计划不符时，承包人应按监理人的指示在7天内提交一份修订的进度计划报送监理人审批。批准后的修订进度计划作为实际实施的合同进度计划。承包人无权就加快进度采取措施提出追加合同价格。</w:t>
      </w:r>
    </w:p>
    <w:p>
      <w:pPr>
        <w:keepNext w:val="0"/>
        <w:keepLines w:val="0"/>
        <w:pageBreakBefore w:val="0"/>
        <w:widowControl w:val="0"/>
        <w:kinsoku w:val="0"/>
        <w:wordWrap/>
        <w:overflowPunct w:val="0"/>
        <w:topLinePunct w:val="0"/>
        <w:autoSpaceDE w:val="0"/>
        <w:autoSpaceDN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承包人在施工过程中，不允许以任何理由拖延工程。无论何种原因造成施工进度计划拖后，承包人均应按监理人的指示，采取有效措施加快工程进度。承包人应在向监理人报送修订进度计划的同时，编制一份赶工措施报告报送监理人审批，加快工程进度措施应以保证工程按期完工为前提调整和修改进度计划。承包人无权因此采取此种措施而获得任何追加款项。</w:t>
      </w: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 开工</w:t>
      </w: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7.3.1 开工准备</w:t>
      </w:r>
    </w:p>
    <w:p>
      <w:pPr>
        <w:keepNext w:val="0"/>
        <w:keepLines w:val="0"/>
        <w:pageBreakBefore w:val="0"/>
        <w:widowControl w:val="0"/>
        <w:kinsoku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关于承包人提交</w:t>
      </w:r>
      <w:r>
        <w:rPr>
          <w:rFonts w:hint="eastAsia" w:ascii="宋体" w:hAnsi="宋体" w:eastAsia="宋体" w:cs="宋体"/>
          <w:color w:val="000000" w:themeColor="text1"/>
          <w:kern w:val="0"/>
          <w:sz w:val="24"/>
          <w:szCs w:val="24"/>
          <w:highlight w:val="none"/>
          <w14:textFill>
            <w14:solidFill>
              <w14:schemeClr w14:val="tx1"/>
            </w14:solidFill>
          </w14:textFill>
        </w:rPr>
        <w:t>工程开工报审表的期限：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关于发包人应完成的其他开工准备工作及期限：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开工日期前14天内。 </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关于承包人应完成的其他开工准备工作及期限：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开工日期前14天内。 </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7.3.2开工通知</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因发包人原因造成监理人未能在计划开工日期之日起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90 </w:t>
      </w:r>
      <w:r>
        <w:rPr>
          <w:rFonts w:hint="eastAsia" w:ascii="宋体" w:hAnsi="宋体" w:eastAsia="宋体" w:cs="宋体"/>
          <w:color w:val="000000" w:themeColor="text1"/>
          <w:sz w:val="24"/>
          <w:szCs w:val="24"/>
          <w:highlight w:val="none"/>
          <w14:textFill>
            <w14:solidFill>
              <w14:schemeClr w14:val="tx1"/>
            </w14:solidFill>
          </w14:textFill>
        </w:rPr>
        <w:t>天内发出开工通知的，承包人有权提出价格调整要求，或者解除合同。</w:t>
      </w:r>
    </w:p>
    <w:bookmarkEnd w:id="286"/>
    <w:bookmarkEnd w:id="287"/>
    <w:bookmarkEnd w:id="288"/>
    <w:bookmarkEnd w:id="289"/>
    <w:bookmarkEnd w:id="290"/>
    <w:bookmarkEnd w:id="291"/>
    <w:bookmarkEnd w:id="292"/>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 测量放线</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7.4.1发包人通过监理人向承包人提供测量基准点、基准线和水准点及其书面资料的期限：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还应执行：①承包人应根据本工程中规定的原始基准点、基准线和基准标高进行工程放线。承包人应负责对工程的所有部分正确定位，并应纠正在工程的位置、标高、尺寸或定线中的任何差错。承包人应根据国家测绘基准、测绘系统和工程测量技术规范，按上述基准点（线）以及本工程精度要求，测设施工控制网，并将施工控制网数据报送监理人审批。②承包人应负责管理好施工控制网点，若有丢失或损坏，应及时修复，其所需的管理和修复费用由承包人承担。工程竣工后应完好地移交给发包人。</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bookmarkStart w:id="293" w:name="_Toc303539125"/>
      <w:bookmarkStart w:id="294" w:name="_Toc304295546"/>
      <w:bookmarkStart w:id="295" w:name="_Toc300934968"/>
      <w:bookmarkStart w:id="296" w:name="_Toc297216175"/>
      <w:bookmarkStart w:id="297" w:name="_Toc312678010"/>
      <w:bookmarkStart w:id="298" w:name="_Toc297123516"/>
      <w:bookmarkStart w:id="299" w:name="_Toc312677484"/>
      <w:r>
        <w:rPr>
          <w:rFonts w:hint="eastAsia" w:ascii="宋体" w:hAnsi="宋体" w:eastAsia="宋体" w:cs="宋体"/>
          <w:color w:val="000000" w:themeColor="text1"/>
          <w:sz w:val="24"/>
          <w:szCs w:val="24"/>
          <w:highlight w:val="none"/>
          <w14:textFill>
            <w14:solidFill>
              <w14:schemeClr w14:val="tx1"/>
            </w14:solidFill>
          </w14:textFill>
        </w:rPr>
        <w:t>.5 工期延误</w:t>
      </w:r>
    </w:p>
    <w:bookmarkEnd w:id="293"/>
    <w:bookmarkEnd w:id="294"/>
    <w:bookmarkEnd w:id="295"/>
    <w:bookmarkEnd w:id="296"/>
    <w:bookmarkEnd w:id="297"/>
    <w:bookmarkEnd w:id="298"/>
    <w:bookmarkEnd w:id="299"/>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7.5.1 因发包人原因导致工期延误</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Cs w:val="20"/>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（7）因发包人原因导致工期延误的其他情形：</w:t>
      </w:r>
      <w:r>
        <w:rPr>
          <w:rFonts w:hint="eastAsia" w:ascii="宋体" w:hAnsi="宋体" w:eastAsia="宋体" w:cs="宋体"/>
          <w:color w:val="000000" w:themeColor="text1"/>
          <w:sz w:val="24"/>
          <w:szCs w:val="24"/>
          <w:highlight w:val="none"/>
          <w:u w:val="single"/>
          <w14:textFill>
            <w14:solidFill>
              <w14:schemeClr w14:val="tx1"/>
            </w14:solidFill>
          </w14:textFill>
        </w:rPr>
        <w:t>无</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00" w:name="_Toc297216177"/>
      <w:bookmarkStart w:id="301" w:name="_Toc304295548"/>
      <w:bookmarkStart w:id="302" w:name="_Toc297123518"/>
      <w:bookmarkStart w:id="303" w:name="_Toc312678013"/>
      <w:bookmarkStart w:id="304" w:name="_Toc312677487"/>
      <w:bookmarkStart w:id="305" w:name="_Toc303539127"/>
      <w:bookmarkStart w:id="306" w:name="_Toc318581170"/>
      <w:bookmarkStart w:id="307" w:name="_Toc300934970"/>
      <w:r>
        <w:rPr>
          <w:rFonts w:hint="eastAsia" w:ascii="宋体" w:hAnsi="宋体" w:eastAsia="宋体" w:cs="宋体"/>
          <w:color w:val="000000" w:themeColor="text1"/>
          <w:sz w:val="24"/>
          <w:szCs w:val="24"/>
          <w:highlight w:val="none"/>
          <w14:textFill>
            <w14:solidFill>
              <w14:schemeClr w14:val="tx1"/>
            </w14:solidFill>
          </w14:textFill>
        </w:rPr>
        <w:t>7.5.2 因承包人原因导致工期延误</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因承包人原因造成工期延误，逾期竣工违约金的计算方法为：</w:t>
      </w:r>
      <w:r>
        <w:rPr>
          <w:rFonts w:hint="eastAsia" w:ascii="宋体" w:hAnsi="宋体" w:eastAsia="宋体" w:cs="宋体"/>
          <w:color w:val="000000" w:themeColor="text1"/>
          <w:sz w:val="24"/>
          <w:szCs w:val="24"/>
          <w:highlight w:val="none"/>
          <w:u w:val="single"/>
          <w14:textFill>
            <w14:solidFill>
              <w14:schemeClr w14:val="tx1"/>
            </w14:solidFill>
          </w14:textFill>
        </w:rPr>
        <w:t>每延误一天工期，向发包人支付签约合同价格5‰的违约金。</w:t>
      </w:r>
    </w:p>
    <w:bookmarkEnd w:id="300"/>
    <w:bookmarkEnd w:id="301"/>
    <w:bookmarkEnd w:id="302"/>
    <w:bookmarkEnd w:id="303"/>
    <w:bookmarkEnd w:id="304"/>
    <w:bookmarkEnd w:id="305"/>
    <w:bookmarkEnd w:id="306"/>
    <w:bookmarkEnd w:id="307"/>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bookmarkStart w:id="308" w:name="_Toc312678014"/>
      <w:bookmarkStart w:id="309" w:name="_Toc318581171"/>
      <w:r>
        <w:rPr>
          <w:rFonts w:hint="eastAsia" w:ascii="宋体" w:hAnsi="宋体" w:eastAsia="宋体" w:cs="宋体"/>
          <w:color w:val="000000" w:themeColor="text1"/>
          <w:sz w:val="24"/>
          <w:szCs w:val="24"/>
          <w:highlight w:val="none"/>
          <w14:textFill>
            <w14:solidFill>
              <w14:schemeClr w14:val="tx1"/>
            </w14:solidFill>
          </w14:textFill>
        </w:rPr>
        <w:t>因承包人原因造成工期延误，逾期竣工违约金的上限：</w:t>
      </w:r>
      <w:r>
        <w:rPr>
          <w:rFonts w:hint="eastAsia" w:ascii="宋体" w:hAnsi="宋体" w:eastAsia="宋体" w:cs="宋体"/>
          <w:color w:val="000000" w:themeColor="text1"/>
          <w:sz w:val="24"/>
          <w:szCs w:val="24"/>
          <w:highlight w:val="none"/>
          <w:u w:val="single"/>
          <w14:textFill>
            <w14:solidFill>
              <w14:schemeClr w14:val="tx1"/>
            </w14:solidFill>
          </w14:textFill>
        </w:rPr>
        <w:t>工程审定竣工结算价款的3%。</w:t>
      </w:r>
    </w:p>
    <w:bookmarkEnd w:id="308"/>
    <w:bookmarkEnd w:id="309"/>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bookmarkStart w:id="310" w:name="_Toc297216178"/>
      <w:bookmarkStart w:id="311" w:name="_Toc304295549"/>
      <w:bookmarkStart w:id="312" w:name="_Toc312678015"/>
      <w:bookmarkStart w:id="313" w:name="_Toc297123519"/>
      <w:bookmarkStart w:id="314" w:name="_Toc303539128"/>
      <w:bookmarkStart w:id="315" w:name="_Toc300934971"/>
      <w:r>
        <w:rPr>
          <w:rFonts w:hint="eastAsia" w:ascii="宋体" w:hAnsi="宋体" w:eastAsia="宋体" w:cs="宋体"/>
          <w:color w:val="000000" w:themeColor="text1"/>
          <w:sz w:val="24"/>
          <w:szCs w:val="24"/>
          <w:highlight w:val="none"/>
          <w14:textFill>
            <w14:solidFill>
              <w14:schemeClr w14:val="tx1"/>
            </w14:solidFill>
          </w14:textFill>
        </w:rPr>
        <w:t>.6 不</w:t>
      </w:r>
      <w:bookmarkEnd w:id="310"/>
      <w:bookmarkEnd w:id="311"/>
      <w:bookmarkEnd w:id="312"/>
      <w:bookmarkEnd w:id="313"/>
      <w:bookmarkEnd w:id="314"/>
      <w:bookmarkEnd w:id="315"/>
      <w:r>
        <w:rPr>
          <w:rFonts w:hint="eastAsia" w:ascii="宋体" w:hAnsi="宋体" w:eastAsia="宋体" w:cs="宋体"/>
          <w:color w:val="000000" w:themeColor="text1"/>
          <w:sz w:val="24"/>
          <w:szCs w:val="24"/>
          <w:highlight w:val="none"/>
          <w14:textFill>
            <w14:solidFill>
              <w14:schemeClr w14:val="tx1"/>
            </w14:solidFill>
          </w14:textFill>
        </w:rPr>
        <w:t>利物质条件</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bookmarkStart w:id="316" w:name="_Toc297216179"/>
      <w:bookmarkStart w:id="317" w:name="_Toc297123520"/>
      <w:bookmarkStart w:id="318" w:name="_Toc300934972"/>
      <w:bookmarkStart w:id="319" w:name="_Toc318581172"/>
      <w:bookmarkStart w:id="320" w:name="_Toc304295550"/>
      <w:bookmarkStart w:id="321" w:name="_Toc303539129"/>
      <w:bookmarkStart w:id="322" w:name="_Toc312678016"/>
      <w:r>
        <w:rPr>
          <w:rFonts w:hint="eastAsia" w:ascii="宋体" w:hAnsi="宋体" w:eastAsia="宋体" w:cs="宋体"/>
          <w:color w:val="000000" w:themeColor="text1"/>
          <w:sz w:val="24"/>
          <w:szCs w:val="24"/>
          <w:highlight w:val="none"/>
          <w14:textFill>
            <w14:solidFill>
              <w14:schemeClr w14:val="tx1"/>
            </w14:solidFill>
          </w14:textFill>
        </w:rPr>
        <w:t>不利物质条件的其他情形和有关约定：</w:t>
      </w:r>
      <w:r>
        <w:rPr>
          <w:rFonts w:hint="eastAsia" w:ascii="宋体" w:hAnsi="宋体" w:eastAsia="宋体" w:cs="宋体"/>
          <w:color w:val="000000" w:themeColor="text1"/>
          <w:sz w:val="24"/>
          <w:szCs w:val="24"/>
          <w:highlight w:val="none"/>
          <w:u w:val="single"/>
          <w14:textFill>
            <w14:solidFill>
              <w14:schemeClr w14:val="tx1"/>
            </w14:solidFill>
          </w14:textFill>
        </w:rPr>
        <w:t>无</w:t>
      </w:r>
    </w:p>
    <w:bookmarkEnd w:id="316"/>
    <w:bookmarkEnd w:id="317"/>
    <w:bookmarkEnd w:id="318"/>
    <w:bookmarkEnd w:id="319"/>
    <w:bookmarkEnd w:id="320"/>
    <w:bookmarkEnd w:id="321"/>
    <w:bookmarkEnd w:id="322"/>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bookmarkStart w:id="323" w:name="_Toc297123521"/>
      <w:bookmarkStart w:id="324" w:name="_Toc312678017"/>
      <w:bookmarkStart w:id="325" w:name="_Toc304295551"/>
      <w:bookmarkStart w:id="326" w:name="_Toc303539130"/>
      <w:bookmarkStart w:id="327" w:name="_Toc297216180"/>
      <w:bookmarkStart w:id="328" w:name="_Toc300934973"/>
      <w:r>
        <w:rPr>
          <w:rFonts w:hint="eastAsia" w:ascii="宋体" w:hAnsi="宋体" w:eastAsia="宋体" w:cs="宋体"/>
          <w:color w:val="000000" w:themeColor="text1"/>
          <w:sz w:val="24"/>
          <w:szCs w:val="24"/>
          <w:highlight w:val="none"/>
          <w14:textFill>
            <w14:solidFill>
              <w14:schemeClr w14:val="tx1"/>
            </w14:solidFill>
          </w14:textFill>
        </w:rPr>
        <w:t>.7异常恶劣的气候条件</w:t>
      </w:r>
    </w:p>
    <w:bookmarkEnd w:id="323"/>
    <w:bookmarkEnd w:id="324"/>
    <w:bookmarkEnd w:id="325"/>
    <w:bookmarkEnd w:id="326"/>
    <w:bookmarkEnd w:id="327"/>
    <w:bookmarkEnd w:id="328"/>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发包人和承包人同意以下情形视为异常恶劣的气候条件：</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执行国家的相关规定 。由于异常恶劣气候（按国家有关规定确定）造成的工期误延按国家有关规定执行。</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7.9 提前竣工的奖励</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7.9.2提前竣工的奖励：</w:t>
      </w:r>
      <w:bookmarkStart w:id="329" w:name="_Toc351203640"/>
      <w:r>
        <w:rPr>
          <w:rFonts w:hint="eastAsia" w:ascii="宋体" w:hAnsi="宋体" w:eastAsia="宋体" w:cs="宋体"/>
          <w:color w:val="000000" w:themeColor="text1"/>
          <w:sz w:val="24"/>
          <w:szCs w:val="24"/>
          <w:highlight w:val="none"/>
          <w:u w:val="single"/>
          <w14:textFill>
            <w14:solidFill>
              <w14:schemeClr w14:val="tx1"/>
            </w14:solidFill>
          </w14:textFill>
        </w:rPr>
        <w:t>无</w:t>
      </w:r>
    </w:p>
    <w:bookmarkEnd w:id="267"/>
    <w:bookmarkEnd w:id="268"/>
    <w:bookmarkEnd w:id="269"/>
    <w:bookmarkEnd w:id="270"/>
    <w:bookmarkEnd w:id="271"/>
    <w:bookmarkEnd w:id="272"/>
    <w:bookmarkEnd w:id="273"/>
    <w:bookmarkEnd w:id="274"/>
    <w:bookmarkEnd w:id="275"/>
    <w:bookmarkEnd w:id="276"/>
    <w:bookmarkEnd w:id="329"/>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材料与设备</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8.2承包人采购与工程设备</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除执行通用合同条款外，还应执行：</w:t>
      </w:r>
      <w:r>
        <w:rPr>
          <w:rFonts w:hint="eastAsia" w:ascii="宋体" w:hAnsi="宋体" w:eastAsia="宋体" w:cs="宋体"/>
          <w:color w:val="000000" w:themeColor="text1"/>
          <w:sz w:val="24"/>
          <w:szCs w:val="24"/>
          <w:highlight w:val="none"/>
          <w:u w:val="single"/>
          <w14:textFill>
            <w14:solidFill>
              <w14:schemeClr w14:val="tx1"/>
            </w14:solidFill>
          </w14:textFill>
        </w:rPr>
        <w:t>①承包人用于本工程的材料或设备，必须符合设计文件及相关标准合要求且是合格产品，否则，监理人不予验收，由此造成的损失由承包人自行承担。②对承包人负责采购的材料和设备，承包人应保证完成货物、材料或设备的货款支付，避免因货款支付纠纷给工程建设带来不利影响。如承包人未及时支付材料和设备货款影响工程进度的，发包人有权根据监理人签发的证书，直接向此供货人支付按材料、设备合同应付而承包人未支付的一切款项（扣除保留金），并加收代为支付总金额的10%管理费，且每发生一次，向发包人支付人民币壹万元/次违约金。监理人在签发给承包人下一期或当期支付证书时，应从中扣除已由发包人直接支付的款额及相应管理费。</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bookmarkStart w:id="330" w:name="_Toc312678019"/>
      <w:bookmarkStart w:id="331" w:name="_Toc312677493"/>
      <w:bookmarkStart w:id="332" w:name="_Toc280868654"/>
      <w:bookmarkStart w:id="333" w:name="_Toc296944506"/>
      <w:bookmarkStart w:id="334" w:name="_Toc296503167"/>
      <w:bookmarkStart w:id="335" w:name="_Toc296891207"/>
      <w:bookmarkStart w:id="336" w:name="_Toc296347166"/>
      <w:bookmarkStart w:id="337" w:name="_Toc300934979"/>
      <w:bookmarkStart w:id="338" w:name="_Toc297216186"/>
      <w:bookmarkStart w:id="339" w:name="_Toc292559372"/>
      <w:bookmarkStart w:id="340" w:name="_Toc303539136"/>
      <w:bookmarkStart w:id="341" w:name="_Toc297048353"/>
      <w:bookmarkStart w:id="342" w:name="_Toc297120467"/>
      <w:bookmarkStart w:id="343" w:name="_Toc304295556"/>
      <w:bookmarkStart w:id="344" w:name="_Toc297123527"/>
      <w:bookmarkStart w:id="345" w:name="_Toc296890995"/>
      <w:bookmarkStart w:id="346" w:name="_Toc292559877"/>
      <w:bookmarkStart w:id="347" w:name="_Toc296346668"/>
      <w:bookmarkStart w:id="348" w:name="_Toc280868655"/>
      <w:bookmarkStart w:id="349" w:name="_Toc267251424"/>
      <w:bookmarkStart w:id="350" w:name="_Toc280868656"/>
      <w:r>
        <w:rPr>
          <w:rFonts w:hint="eastAsia" w:ascii="宋体" w:hAnsi="宋体" w:eastAsia="宋体" w:cs="宋体"/>
          <w:color w:val="000000" w:themeColor="text1"/>
          <w:sz w:val="24"/>
          <w:szCs w:val="24"/>
          <w:highlight w:val="none"/>
          <w14:textFill>
            <w14:solidFill>
              <w14:schemeClr w14:val="tx1"/>
            </w14:solidFill>
          </w14:textFill>
        </w:rPr>
        <w:t>.4材料与工程设备的保管与使用</w:t>
      </w: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bookmarkStart w:id="351" w:name="_Toc292559373"/>
      <w:bookmarkStart w:id="352" w:name="_Toc292559878"/>
      <w:bookmarkStart w:id="353" w:name="_Toc303539137"/>
      <w:bookmarkStart w:id="354" w:name="_Toc296347167"/>
      <w:bookmarkStart w:id="355" w:name="_Toc318581173"/>
      <w:bookmarkStart w:id="356" w:name="_Toc296944507"/>
      <w:bookmarkStart w:id="357" w:name="_Toc312677494"/>
      <w:bookmarkStart w:id="358" w:name="_Toc297048354"/>
      <w:bookmarkStart w:id="359" w:name="_Toc297123528"/>
      <w:bookmarkStart w:id="360" w:name="_Toc297120468"/>
      <w:bookmarkStart w:id="361" w:name="_Toc296346669"/>
      <w:bookmarkStart w:id="362" w:name="_Toc304295557"/>
      <w:bookmarkStart w:id="363" w:name="_Toc296891208"/>
      <w:bookmarkStart w:id="364" w:name="_Toc296890996"/>
      <w:bookmarkStart w:id="365" w:name="_Toc297216187"/>
      <w:bookmarkStart w:id="366" w:name="_Toc300934980"/>
      <w:bookmarkStart w:id="367" w:name="_Toc312678020"/>
      <w:bookmarkStart w:id="368" w:name="_Toc296503168"/>
      <w:r>
        <w:rPr>
          <w:rFonts w:hint="eastAsia" w:ascii="宋体" w:hAnsi="宋体" w:eastAsia="宋体" w:cs="宋体"/>
          <w:color w:val="000000" w:themeColor="text1"/>
          <w:sz w:val="24"/>
          <w:szCs w:val="24"/>
          <w:highlight w:val="none"/>
          <w14:textFill>
            <w14:solidFill>
              <w14:schemeClr w14:val="tx1"/>
            </w14:solidFill>
          </w14:textFill>
        </w:rPr>
        <w:t>.4.1发包人供应的材料设备的保管费用的承担：</w:t>
      </w:r>
      <w:r>
        <w:rPr>
          <w:rFonts w:hint="eastAsia" w:ascii="宋体" w:hAnsi="宋体" w:eastAsia="宋体" w:cs="宋体"/>
          <w:color w:val="000000" w:themeColor="text1"/>
          <w:sz w:val="24"/>
          <w:szCs w:val="24"/>
          <w:highlight w:val="none"/>
          <w:u w:val="single"/>
          <w14:textFill>
            <w14:solidFill>
              <w14:schemeClr w14:val="tx1"/>
            </w14:solidFill>
          </w14:textFill>
        </w:rPr>
        <w:t>发包人供应的材料和工程设备，承包人清点后由承包人妥善保管，保管费用由承包人承担。</w:t>
      </w:r>
    </w:p>
    <w:bookmarkEnd w:id="351"/>
    <w:bookmarkEnd w:id="352"/>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8.6 样品</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8.6.1</w:t>
      </w:r>
      <w:r>
        <w:rPr>
          <w:rFonts w:hint="eastAsia" w:ascii="宋体" w:hAnsi="宋体" w:eastAsia="宋体" w:cs="宋体"/>
          <w:color w:val="000000" w:themeColor="text1"/>
          <w:kern w:val="0"/>
          <w:sz w:val="24"/>
          <w:szCs w:val="24"/>
          <w:highlight w:val="none"/>
          <w14:textFill>
            <w14:solidFill>
              <w14:schemeClr w14:val="tx1"/>
            </w14:solidFill>
          </w14:textFill>
        </w:rPr>
        <w:tab/>
      </w:r>
      <w:r>
        <w:rPr>
          <w:rFonts w:hint="eastAsia" w:ascii="宋体" w:hAnsi="宋体" w:eastAsia="宋体" w:cs="宋体"/>
          <w:color w:val="000000" w:themeColor="text1"/>
          <w:kern w:val="0"/>
          <w:sz w:val="24"/>
          <w:szCs w:val="24"/>
          <w:highlight w:val="none"/>
          <w14:textFill>
            <w14:solidFill>
              <w14:schemeClr w14:val="tx1"/>
            </w14:solidFill>
          </w14:textFill>
        </w:rPr>
        <w:t>样品的报送与封存</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需要承包人报送样品的材料或工程设备，样品的种类、名称、规格、数量要求：</w:t>
      </w:r>
      <w:r>
        <w:rPr>
          <w:rFonts w:hint="eastAsia" w:ascii="宋体" w:hAnsi="宋体" w:eastAsia="宋体" w:cs="宋体"/>
          <w:color w:val="000000" w:themeColor="text1"/>
          <w:sz w:val="24"/>
          <w:szCs w:val="24"/>
          <w:highlight w:val="none"/>
          <w:u w:val="single"/>
          <w14:textFill>
            <w14:solidFill>
              <w14:schemeClr w14:val="tx1"/>
            </w14:solidFill>
          </w14:textFill>
        </w:rPr>
        <w:t>无</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8.8 施工设备和临时设施</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8.8.1 承包人提供的施工设备和临时设施</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关于修建临时设施费用承担的约定：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69" w:name="_Toc351203641"/>
      <w:r>
        <w:rPr>
          <w:rFonts w:hint="eastAsia" w:ascii="宋体" w:hAnsi="宋体" w:eastAsia="宋体" w:cs="宋体"/>
          <w:color w:val="000000" w:themeColor="text1"/>
          <w:sz w:val="24"/>
          <w:szCs w:val="24"/>
          <w:highlight w:val="none"/>
          <w:u w:val="single"/>
          <w14:textFill>
            <w14:solidFill>
              <w14:schemeClr w14:val="tx1"/>
            </w14:solidFill>
          </w14:textFill>
        </w:rPr>
        <w:t>。</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bookmarkEnd w:id="348"/>
      <w:bookmarkEnd w:id="349"/>
      <w:bookmarkEnd w:id="350"/>
      <w:bookmarkStart w:id="370" w:name="_Toc300934982"/>
      <w:bookmarkStart w:id="371" w:name="_Toc312677495"/>
      <w:bookmarkStart w:id="372" w:name="_Toc297216192"/>
      <w:bookmarkStart w:id="373" w:name="_Toc304295559"/>
      <w:bookmarkStart w:id="374" w:name="_Toc297123533"/>
      <w:bookmarkStart w:id="375" w:name="_Toc303539139"/>
      <w:bookmarkStart w:id="376" w:name="_Toc312678021"/>
      <w:bookmarkStart w:id="377" w:name="_Toc297048359"/>
      <w:bookmarkStart w:id="378" w:name="_Toc296891213"/>
      <w:bookmarkStart w:id="379" w:name="_Toc267251428"/>
      <w:bookmarkStart w:id="380" w:name="_Toc296503173"/>
      <w:bookmarkStart w:id="381" w:name="_Toc296347172"/>
      <w:bookmarkStart w:id="382" w:name="_Toc297120473"/>
      <w:bookmarkStart w:id="383" w:name="_Toc292559883"/>
      <w:bookmarkStart w:id="384" w:name="_Toc292559378"/>
      <w:bookmarkStart w:id="385" w:name="_Toc296346674"/>
      <w:bookmarkStart w:id="386" w:name="_Toc296944512"/>
      <w:bookmarkStart w:id="387" w:name="_Toc296891001"/>
      <w:bookmarkStart w:id="388" w:name="_Toc267251427"/>
      <w:r>
        <w:rPr>
          <w:rFonts w:hint="eastAsia" w:ascii="宋体" w:hAnsi="宋体" w:eastAsia="宋体" w:cs="宋体"/>
          <w:color w:val="000000" w:themeColor="text1"/>
          <w:sz w:val="24"/>
          <w:szCs w:val="24"/>
          <w:highlight w:val="none"/>
          <w14:textFill>
            <w14:solidFill>
              <w14:schemeClr w14:val="tx1"/>
            </w14:solidFill>
          </w14:textFill>
        </w:rPr>
        <w:t>. 试验与检验</w:t>
      </w:r>
      <w:bookmarkEnd w:id="369"/>
    </w:p>
    <w:bookmarkEnd w:id="370"/>
    <w:bookmarkEnd w:id="371"/>
    <w:bookmarkEnd w:id="372"/>
    <w:bookmarkEnd w:id="373"/>
    <w:bookmarkEnd w:id="374"/>
    <w:bookmarkEnd w:id="375"/>
    <w:bookmarkEnd w:id="376"/>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bookmarkStart w:id="389" w:name="_Toc312677496"/>
      <w:bookmarkStart w:id="390" w:name="_Toc297216193"/>
      <w:bookmarkStart w:id="391" w:name="_Toc303539140"/>
      <w:bookmarkStart w:id="392" w:name="_Toc297123534"/>
      <w:bookmarkStart w:id="393" w:name="_Toc300934983"/>
      <w:bookmarkStart w:id="394" w:name="_Toc304295560"/>
      <w:bookmarkStart w:id="395" w:name="_Toc312678022"/>
      <w:r>
        <w:rPr>
          <w:rFonts w:hint="eastAsia" w:ascii="宋体" w:hAnsi="宋体" w:eastAsia="宋体" w:cs="宋体"/>
          <w:color w:val="000000" w:themeColor="text1"/>
          <w:sz w:val="24"/>
          <w:szCs w:val="24"/>
          <w:highlight w:val="none"/>
          <w14:textFill>
            <w14:solidFill>
              <w14:schemeClr w14:val="tx1"/>
            </w14:solidFill>
          </w14:textFill>
        </w:rPr>
        <w:t>.1试验设备与试验人员</w:t>
      </w:r>
    </w:p>
    <w:bookmarkEnd w:id="389"/>
    <w:bookmarkEnd w:id="390"/>
    <w:bookmarkEnd w:id="391"/>
    <w:bookmarkEnd w:id="392"/>
    <w:bookmarkEnd w:id="393"/>
    <w:bookmarkEnd w:id="394"/>
    <w:bookmarkEnd w:id="395"/>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bookmarkStart w:id="396" w:name="_Toc312677497"/>
      <w:bookmarkStart w:id="397" w:name="_Toc297123535"/>
      <w:bookmarkStart w:id="398" w:name="_Toc303539141"/>
      <w:bookmarkStart w:id="399" w:name="_Toc297216194"/>
      <w:bookmarkStart w:id="400" w:name="_Toc312678023"/>
      <w:bookmarkStart w:id="401" w:name="_Toc304295561"/>
      <w:bookmarkStart w:id="402" w:name="_Toc300934984"/>
      <w:bookmarkStart w:id="403" w:name="_Toc318581174"/>
      <w:r>
        <w:rPr>
          <w:rFonts w:hint="eastAsia" w:ascii="宋体" w:hAnsi="宋体" w:eastAsia="宋体" w:cs="宋体"/>
          <w:color w:val="000000" w:themeColor="text1"/>
          <w:sz w:val="24"/>
          <w:szCs w:val="24"/>
          <w:highlight w:val="none"/>
          <w14:textFill>
            <w14:solidFill>
              <w14:schemeClr w14:val="tx1"/>
            </w14:solidFill>
          </w14:textFill>
        </w:rPr>
        <w:t>.1.2 试验设备</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施工现场需要配置的试验场所：</w:t>
      </w:r>
      <w:bookmarkEnd w:id="396"/>
      <w:bookmarkEnd w:id="397"/>
      <w:bookmarkEnd w:id="398"/>
      <w:bookmarkEnd w:id="399"/>
      <w:bookmarkEnd w:id="400"/>
      <w:bookmarkEnd w:id="401"/>
      <w:bookmarkEnd w:id="402"/>
      <w:bookmarkStart w:id="404" w:name="_Toc297216195"/>
      <w:bookmarkStart w:id="405" w:name="_Toc312677498"/>
      <w:bookmarkStart w:id="406" w:name="_Toc304295562"/>
      <w:bookmarkStart w:id="407" w:name="_Toc300934985"/>
      <w:bookmarkStart w:id="408" w:name="_Toc303539142"/>
      <w:bookmarkStart w:id="409" w:name="_Toc297123536"/>
      <w:bookmarkStart w:id="410" w:name="_Toc312678024"/>
      <w:r>
        <w:rPr>
          <w:rFonts w:hint="eastAsia" w:ascii="宋体" w:hAnsi="宋体" w:eastAsia="宋体" w:cs="宋体"/>
          <w:color w:val="000000" w:themeColor="text1"/>
          <w:sz w:val="24"/>
          <w:szCs w:val="24"/>
          <w:highlight w:val="none"/>
          <w:u w:val="single"/>
          <w14:textFill>
            <w14:solidFill>
              <w14:schemeClr w14:val="tx1"/>
            </w14:solidFill>
          </w14:textFill>
        </w:rPr>
        <w:t xml:space="preserve"> 根据本工程实际情况配置，并满足施工现场的试验需求。</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施工现场需要配备的试验设备：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根据本工程实际情况配置，并满足施工现场的试验需求。如混凝土试验所需设备，砌筑砂浆试验所需设备，回填土试验所需设备等，配置常用器具等。</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施工现场需要具备的其他试验条件：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根据本工程实际情况配置并满足施工现场试验需求。</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9.3材料、工程设备和工程的试验和检验</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除执行通用合同条款外，还应执行：</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承包人负责采购的材料和工程设备，承包人应通知监理人共同进行检验和交货验收，验收时应同时查验材质证明和产品合格证书。承包人还应按国家规范的规定进行材料的抽样检验和工程设备的检验测试，并将检验结果提交监理人，其所需费用由承包人承担。</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②监理人应按合同规定参加交货验收，承包人应为监理人进行交货验收的监督检查提供一切方便。监理人参加交货验收不免除承包人在检验和交货验收中应负的责任。</w:t>
      </w:r>
    </w:p>
    <w:p>
      <w:pPr>
        <w:keepNext w:val="0"/>
        <w:keepLines w:val="0"/>
        <w:pageBreakBefore w:val="0"/>
        <w:widowControl w:val="0"/>
        <w:numPr>
          <w:ilvl w:val="0"/>
          <w:numId w:val="3"/>
        </w:numPr>
        <w:wordWrap/>
        <w:topLinePunct w:val="0"/>
        <w:bidi w:val="0"/>
        <w:adjustRightInd w:val="0"/>
        <w:snapToGrid w:val="0"/>
        <w:spacing w:line="540" w:lineRule="exact"/>
        <w:ind w:right="0" w:righ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额外检验和重新检验：</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若监理人要求承包人对某项材料和工程设备进行的检查和检验在超出国家规范和本合同的规定，监理人可以指示承包人增加额外检验，承包人应遵照执行。若检验结果合格，则相关费用由发包人承担，否则由承包人自行承担。</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承包人不按合同的规定完成监理人指示的检查和检验工作，监理人可以指派自己的人员或委托其它有资质的检验机构或人员进行检查和检验，承包人不得拒绝，并应提供一切方便。由此增加的费用和工期延误责任由承包人承担。</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无论何种原因，若监理人对以往的检验结果有疑问时，可以指示承包人重新检验，承包人不得拒绝。</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9.4 现场工艺试验 </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现场工艺试验的有关约定：</w:t>
      </w:r>
      <w:bookmarkEnd w:id="403"/>
      <w:bookmarkEnd w:id="404"/>
      <w:bookmarkEnd w:id="405"/>
      <w:bookmarkEnd w:id="406"/>
      <w:bookmarkEnd w:id="407"/>
      <w:bookmarkEnd w:id="408"/>
      <w:bookmarkEnd w:id="409"/>
      <w:bookmarkEnd w:id="410"/>
      <w:bookmarkStart w:id="411" w:name="_Toc351203642"/>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bookmarkEnd w:id="377"/>
      <w:bookmarkEnd w:id="378"/>
      <w:bookmarkEnd w:id="379"/>
      <w:bookmarkEnd w:id="380"/>
      <w:bookmarkEnd w:id="381"/>
      <w:bookmarkEnd w:id="382"/>
      <w:bookmarkEnd w:id="383"/>
      <w:bookmarkEnd w:id="384"/>
      <w:bookmarkEnd w:id="385"/>
      <w:bookmarkEnd w:id="386"/>
      <w:bookmarkEnd w:id="387"/>
      <w:bookmarkEnd w:id="388"/>
      <w:bookmarkStart w:id="412" w:name="_Toc297048379"/>
      <w:bookmarkStart w:id="413" w:name="_Toc303539146"/>
      <w:bookmarkStart w:id="414" w:name="_Toc296944532"/>
      <w:bookmarkStart w:id="415" w:name="_Toc297120493"/>
      <w:bookmarkStart w:id="416" w:name="_Toc300934989"/>
      <w:bookmarkStart w:id="417" w:name="_Toc304295566"/>
      <w:bookmarkStart w:id="418" w:name="_Toc296503193"/>
      <w:bookmarkStart w:id="419" w:name="_Toc297216199"/>
      <w:bookmarkStart w:id="420" w:name="_Toc297123540"/>
      <w:bookmarkStart w:id="421" w:name="_Toc296891021"/>
      <w:bookmarkStart w:id="422" w:name="_Toc292559398"/>
      <w:bookmarkStart w:id="423" w:name="_Toc292559903"/>
      <w:bookmarkStart w:id="424" w:name="_Toc296346694"/>
      <w:bookmarkStart w:id="425" w:name="_Toc296347192"/>
      <w:bookmarkStart w:id="426" w:name="_Toc296891233"/>
      <w:bookmarkStart w:id="427" w:name="_Toc312678025"/>
      <w:bookmarkStart w:id="428" w:name="_Toc312677499"/>
      <w:bookmarkStart w:id="429" w:name="_Toc267251441"/>
      <w:bookmarkStart w:id="430" w:name="_Toc267251437"/>
      <w:bookmarkStart w:id="431" w:name="_Toc267251440"/>
      <w:bookmarkStart w:id="432" w:name="_Toc267251435"/>
      <w:bookmarkStart w:id="433" w:name="_Toc267251433"/>
      <w:bookmarkStart w:id="434" w:name="_Toc267251439"/>
      <w:bookmarkStart w:id="435" w:name="_Toc267251442"/>
      <w:r>
        <w:rPr>
          <w:rFonts w:hint="eastAsia" w:ascii="宋体" w:hAnsi="宋体" w:eastAsia="宋体" w:cs="宋体"/>
          <w:color w:val="000000" w:themeColor="text1"/>
          <w:sz w:val="24"/>
          <w:szCs w:val="24"/>
          <w:highlight w:val="none"/>
          <w14:textFill>
            <w14:solidFill>
              <w14:schemeClr w14:val="tx1"/>
            </w14:solidFill>
          </w14:textFill>
        </w:rPr>
        <w:t>0. 变更</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bookmarkEnd w:id="427"/>
    <w:bookmarkEnd w:id="428"/>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436" w:name="_Toc296891234"/>
      <w:bookmarkStart w:id="437" w:name="_Toc297120494"/>
      <w:bookmarkStart w:id="438" w:name="_Toc297123541"/>
      <w:bookmarkStart w:id="439" w:name="_Toc297048380"/>
      <w:bookmarkStart w:id="440" w:name="_Toc296503194"/>
      <w:bookmarkStart w:id="441" w:name="_Toc303539147"/>
      <w:bookmarkStart w:id="442" w:name="_Toc296944533"/>
      <w:bookmarkStart w:id="443" w:name="_Toc292559904"/>
      <w:bookmarkStart w:id="444" w:name="_Toc300934990"/>
      <w:bookmarkStart w:id="445" w:name="_Toc312678026"/>
      <w:bookmarkStart w:id="446" w:name="_Toc296347193"/>
      <w:bookmarkStart w:id="447" w:name="_Toc296891022"/>
      <w:bookmarkStart w:id="448" w:name="_Toc297216200"/>
      <w:bookmarkStart w:id="449" w:name="_Toc292559399"/>
      <w:bookmarkStart w:id="450" w:name="_Toc312677500"/>
      <w:bookmarkStart w:id="451" w:name="_Toc304295567"/>
      <w:bookmarkStart w:id="452" w:name="_Toc296346695"/>
      <w:r>
        <w:rPr>
          <w:rFonts w:hint="eastAsia" w:ascii="宋体" w:hAnsi="宋体" w:eastAsia="宋体" w:cs="宋体"/>
          <w:bCs/>
          <w:color w:val="000000" w:themeColor="text1"/>
          <w:sz w:val="24"/>
          <w:szCs w:val="24"/>
          <w:highlight w:val="none"/>
          <w14:textFill>
            <w14:solidFill>
              <w14:schemeClr w14:val="tx1"/>
            </w14:solidFill>
          </w14:textFill>
        </w:rPr>
        <w:t>10.1变更的范围</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关于变更的范围的约定：</w:t>
      </w:r>
      <w:r>
        <w:rPr>
          <w:rFonts w:hint="eastAsia" w:ascii="宋体" w:hAnsi="宋体" w:eastAsia="宋体" w:cs="宋体"/>
          <w:bCs/>
          <w:color w:val="000000" w:themeColor="text1"/>
          <w:sz w:val="24"/>
          <w:szCs w:val="24"/>
          <w:highlight w:val="none"/>
          <w:u w:val="single"/>
          <w14:textFill>
            <w14:solidFill>
              <w14:schemeClr w14:val="tx1"/>
            </w14:solidFill>
          </w14:textFill>
        </w:rPr>
        <w:t>经发包人、监理共同确认的通用合同条款事项内容。</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10.3变更程序</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除执行通用合同条款外，还应执行：</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①变更指示只能由监理人经发包人批准后发出，否则视为无效，因无效变更导致费用增加和（或）工期延误的，由承包人自行承担。</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②所有变更必须得到发包人的认可且获得发包人的书面确认，否则所有变更视为无效。若是减少金额的变更，未经双方确认，发包人也将在结算及付款时进行扣除。</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③因承包人自身原因而引起的工程变更增加或减少费用的，承包人无权要求增加费用，减少的费用予以扣减。因承包人自身原因而引起工程变更所产生的其它责任和损失均由承包人自行承担。</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 变更估价</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10.4.1 变更估价原则</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关于变更估价的约定: </w:t>
      </w:r>
      <w:r>
        <w:rPr>
          <w:rFonts w:hint="eastAsia" w:ascii="宋体" w:hAnsi="宋体" w:eastAsia="宋体" w:cs="宋体"/>
          <w:color w:val="000000" w:themeColor="text1"/>
          <w:sz w:val="24"/>
          <w:szCs w:val="24"/>
          <w:highlight w:val="none"/>
          <w:u w:val="single"/>
          <w14:textFill>
            <w14:solidFill>
              <w14:schemeClr w14:val="tx1"/>
            </w14:solidFill>
          </w14:textFill>
        </w:rPr>
        <w:t>执行本专用合同条款12.1条的相关规定。</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Start w:id="453" w:name="_Toc300934993"/>
      <w:bookmarkStart w:id="454" w:name="_Toc296944536"/>
      <w:bookmarkStart w:id="455" w:name="_Toc296891025"/>
      <w:bookmarkStart w:id="456" w:name="_Toc296347196"/>
      <w:bookmarkStart w:id="457" w:name="_Toc297048383"/>
      <w:bookmarkStart w:id="458" w:name="_Toc297120497"/>
      <w:bookmarkStart w:id="459" w:name="_Toc297216203"/>
      <w:bookmarkStart w:id="460" w:name="_Toc303539150"/>
      <w:bookmarkStart w:id="461" w:name="_Toc296503197"/>
      <w:bookmarkStart w:id="462" w:name="_Toc296346698"/>
      <w:bookmarkStart w:id="463" w:name="_Toc292559402"/>
      <w:bookmarkStart w:id="464" w:name="_Toc292559907"/>
      <w:bookmarkStart w:id="465" w:name="_Toc297123544"/>
      <w:bookmarkStart w:id="466" w:name="_Toc296891237"/>
      <w:bookmarkStart w:id="467" w:name="_Toc312678029"/>
      <w:bookmarkStart w:id="468" w:name="_Toc312677503"/>
      <w:bookmarkStart w:id="469" w:name="_Toc304295570"/>
      <w:r>
        <w:rPr>
          <w:rFonts w:hint="eastAsia" w:ascii="宋体" w:hAnsi="宋体" w:eastAsia="宋体" w:cs="宋体"/>
          <w:color w:val="000000" w:themeColor="text1"/>
          <w:sz w:val="24"/>
          <w:szCs w:val="24"/>
          <w:highlight w:val="none"/>
          <w14:textFill>
            <w14:solidFill>
              <w14:schemeClr w14:val="tx1"/>
            </w14:solidFill>
          </w14:textFill>
        </w:rPr>
        <w:t>0.5承</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Start w:id="470" w:name="_Toc292559913"/>
      <w:bookmarkStart w:id="471" w:name="_Toc296503203"/>
      <w:bookmarkStart w:id="472" w:name="_Toc296944542"/>
      <w:bookmarkStart w:id="473" w:name="_Toc297048389"/>
      <w:bookmarkStart w:id="474" w:name="_Toc300934994"/>
      <w:bookmarkStart w:id="475" w:name="_Toc296891243"/>
      <w:bookmarkStart w:id="476" w:name="_Toc296347202"/>
      <w:bookmarkStart w:id="477" w:name="_Toc296891031"/>
      <w:bookmarkStart w:id="478" w:name="_Toc292559408"/>
      <w:bookmarkStart w:id="479" w:name="_Toc297123545"/>
      <w:bookmarkStart w:id="480" w:name="_Toc297216204"/>
      <w:bookmarkStart w:id="481" w:name="_Toc297120503"/>
      <w:bookmarkStart w:id="482" w:name="_Toc303539151"/>
      <w:bookmarkStart w:id="483" w:name="_Toc296346704"/>
      <w:r>
        <w:rPr>
          <w:rFonts w:hint="eastAsia" w:ascii="宋体" w:hAnsi="宋体" w:eastAsia="宋体" w:cs="宋体"/>
          <w:color w:val="000000" w:themeColor="text1"/>
          <w:sz w:val="24"/>
          <w:szCs w:val="24"/>
          <w:highlight w:val="none"/>
          <w14:textFill>
            <w14:solidFill>
              <w14:schemeClr w14:val="tx1"/>
            </w14:solidFill>
          </w14:textFill>
        </w:rPr>
        <w:t>包人的合理化建议</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监理人审查承包人合理化建议的期限：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发包人审批承包人合理化建议的期限：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w:t>
      </w:r>
      <w:bookmarkStart w:id="484" w:name="_Toc296891244"/>
      <w:bookmarkStart w:id="485" w:name="_Toc297216205"/>
      <w:bookmarkStart w:id="486" w:name="_Toc296944543"/>
      <w:bookmarkStart w:id="487" w:name="_Toc300934995"/>
      <w:bookmarkStart w:id="488" w:name="_Toc297120504"/>
      <w:bookmarkStart w:id="489" w:name="_Toc318581175"/>
      <w:bookmarkStart w:id="490" w:name="_Toc296503204"/>
      <w:bookmarkStart w:id="491" w:name="_Toc296346705"/>
      <w:bookmarkStart w:id="492" w:name="_Toc304295571"/>
      <w:bookmarkStart w:id="493" w:name="_Toc292559409"/>
      <w:bookmarkStart w:id="494" w:name="_Toc297123546"/>
      <w:bookmarkStart w:id="495" w:name="_Toc292559914"/>
      <w:bookmarkStart w:id="496" w:name="_Toc312678030"/>
      <w:bookmarkStart w:id="497" w:name="_Toc296891032"/>
      <w:bookmarkStart w:id="498" w:name="_Toc297048390"/>
      <w:bookmarkStart w:id="499" w:name="_Toc296347203"/>
      <w:bookmarkStart w:id="500" w:name="_Toc312677504"/>
      <w:bookmarkStart w:id="501" w:name="_Toc303539152"/>
      <w:r>
        <w:rPr>
          <w:rFonts w:hint="eastAsia" w:ascii="宋体" w:hAnsi="宋体" w:eastAsia="宋体" w:cs="宋体"/>
          <w:color w:val="000000" w:themeColor="text1"/>
          <w:sz w:val="24"/>
          <w:szCs w:val="24"/>
          <w:highlight w:val="none"/>
          <w14:textFill>
            <w14:solidFill>
              <w14:schemeClr w14:val="tx1"/>
            </w14:solidFill>
          </w14:textFill>
        </w:rPr>
        <w:t>包人提出的合理化建议降低了合同价格或者提高了工程经济效益的奖励的方法和金额为：</w:t>
      </w:r>
      <w:r>
        <w:rPr>
          <w:rFonts w:hint="eastAsia" w:ascii="宋体" w:hAnsi="宋体" w:eastAsia="宋体" w:cs="宋体"/>
          <w:color w:val="000000" w:themeColor="text1"/>
          <w:sz w:val="24"/>
          <w:szCs w:val="24"/>
          <w:highlight w:val="none"/>
          <w:u w:val="single"/>
          <w14:textFill>
            <w14:solidFill>
              <w14:schemeClr w14:val="tx1"/>
            </w14:solidFill>
          </w14:textFill>
        </w:rPr>
        <w:t>不奖励</w:t>
      </w:r>
      <w:r>
        <w:rPr>
          <w:rFonts w:hint="eastAsia" w:ascii="宋体" w:hAnsi="宋体" w:eastAsia="宋体" w:cs="宋体"/>
          <w:color w:val="000000" w:themeColor="text1"/>
          <w:sz w:val="24"/>
          <w:szCs w:val="24"/>
          <w:highlight w:val="none"/>
          <w14:textFill>
            <w14:solidFill>
              <w14:schemeClr w14:val="tx1"/>
            </w14:solidFill>
          </w14:textFill>
        </w:rPr>
        <w:t>。</w:t>
      </w:r>
    </w:p>
    <w:bookmarkEnd w:id="429"/>
    <w:bookmarkEnd w:id="430"/>
    <w:bookmarkEnd w:id="431"/>
    <w:bookmarkEnd w:id="432"/>
    <w:bookmarkEnd w:id="433"/>
    <w:bookmarkEnd w:id="434"/>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02" w:name="_Toc312678039"/>
      <w:bookmarkStart w:id="503" w:name="_Toc296347200"/>
      <w:bookmarkStart w:id="504" w:name="_Toc300935002"/>
      <w:bookmarkStart w:id="505" w:name="_Toc300935000"/>
      <w:bookmarkStart w:id="506" w:name="_Toc297120505"/>
      <w:bookmarkStart w:id="507" w:name="_Toc297123552"/>
      <w:bookmarkStart w:id="508" w:name="_Toc292559915"/>
      <w:bookmarkStart w:id="509" w:name="_Toc304295579"/>
      <w:bookmarkStart w:id="510" w:name="_Toc292559406"/>
      <w:bookmarkStart w:id="511" w:name="_Toc296503201"/>
      <w:bookmarkStart w:id="512" w:name="_Toc297048387"/>
      <w:bookmarkStart w:id="513" w:name="_Toc296891033"/>
      <w:bookmarkStart w:id="514" w:name="_Toc297216209"/>
      <w:bookmarkStart w:id="515" w:name="_Toc297216211"/>
      <w:bookmarkStart w:id="516" w:name="_Toc351203644"/>
      <w:bookmarkStart w:id="517" w:name="_Toc296891241"/>
      <w:bookmarkStart w:id="518" w:name="_Toc303539157"/>
      <w:bookmarkStart w:id="519" w:name="_Toc297123550"/>
      <w:bookmarkStart w:id="520" w:name="_Toc296346702"/>
      <w:bookmarkStart w:id="521" w:name="_Toc292559410"/>
      <w:bookmarkStart w:id="522" w:name="_Toc297120501"/>
      <w:bookmarkStart w:id="523" w:name="_Toc296891245"/>
      <w:bookmarkStart w:id="524" w:name="_Toc296944544"/>
      <w:bookmarkStart w:id="525" w:name="_Toc292559911"/>
      <w:bookmarkStart w:id="526" w:name="_Toc296944540"/>
      <w:bookmarkStart w:id="527" w:name="_Toc303539159"/>
      <w:bookmarkStart w:id="528" w:name="_Toc296347204"/>
      <w:bookmarkStart w:id="529" w:name="_Toc296891029"/>
      <w:bookmarkStart w:id="530" w:name="_Toc296503205"/>
      <w:bookmarkStart w:id="531" w:name="_Toc304295577"/>
      <w:bookmarkStart w:id="532" w:name="_Toc312678040"/>
      <w:bookmarkStart w:id="533" w:name="_Toc296346706"/>
      <w:bookmarkStart w:id="534" w:name="_Toc297048391"/>
      <w:bookmarkStart w:id="535" w:name="_Toc292559917"/>
      <w:bookmarkStart w:id="536" w:name="_Toc304295581"/>
      <w:bookmarkStart w:id="537" w:name="_Toc296891035"/>
      <w:bookmarkStart w:id="538" w:name="_Toc303539161"/>
      <w:bookmarkStart w:id="539" w:name="_Toc296346708"/>
      <w:bookmarkStart w:id="540" w:name="_Toc297120507"/>
      <w:bookmarkStart w:id="541" w:name="_Toc296347206"/>
      <w:bookmarkStart w:id="542" w:name="_Toc297216213"/>
      <w:bookmarkStart w:id="543" w:name="_Toc300935004"/>
      <w:bookmarkStart w:id="544" w:name="_Toc296944546"/>
      <w:bookmarkStart w:id="545" w:name="_Toc296891247"/>
      <w:bookmarkStart w:id="546" w:name="_Toc312678042"/>
      <w:bookmarkStart w:id="547" w:name="_Toc296503207"/>
      <w:bookmarkStart w:id="548" w:name="_Toc292559412"/>
      <w:bookmarkStart w:id="549" w:name="_Toc297048393"/>
      <w:bookmarkStart w:id="550" w:name="_Toc297123554"/>
      <w:r>
        <w:rPr>
          <w:rFonts w:hint="eastAsia" w:ascii="宋体" w:hAnsi="宋体" w:eastAsia="宋体" w:cs="宋体"/>
          <w:color w:val="000000" w:themeColor="text1"/>
          <w:sz w:val="24"/>
          <w:szCs w:val="24"/>
          <w:highlight w:val="none"/>
          <w14:textFill>
            <w14:solidFill>
              <w14:schemeClr w14:val="tx1"/>
            </w14:solidFill>
          </w14:textFill>
        </w:rPr>
        <w:t>1</w:t>
      </w:r>
      <w:bookmarkStart w:id="551" w:name="_Toc296503199"/>
      <w:bookmarkStart w:id="552" w:name="_Toc296891027"/>
      <w:bookmarkStart w:id="553" w:name="_Toc297216207"/>
      <w:bookmarkStart w:id="554" w:name="_Toc300934997"/>
      <w:bookmarkStart w:id="555" w:name="_Toc312678033"/>
      <w:bookmarkStart w:id="556" w:name="_Toc296346700"/>
      <w:bookmarkStart w:id="557" w:name="_Toc296347198"/>
      <w:bookmarkStart w:id="558" w:name="_Toc296891239"/>
      <w:bookmarkStart w:id="559" w:name="_Toc297120499"/>
      <w:bookmarkStart w:id="560" w:name="_Toc296944538"/>
      <w:bookmarkStart w:id="561" w:name="_Toc312677507"/>
      <w:bookmarkStart w:id="562" w:name="_Toc292559404"/>
      <w:bookmarkStart w:id="563" w:name="_Toc292559909"/>
      <w:bookmarkStart w:id="564" w:name="_Toc303539154"/>
      <w:bookmarkStart w:id="565" w:name="_Toc297123548"/>
      <w:bookmarkStart w:id="566" w:name="_Toc297048385"/>
      <w:bookmarkStart w:id="567" w:name="_Toc304295574"/>
      <w:r>
        <w:rPr>
          <w:rFonts w:hint="eastAsia" w:ascii="宋体" w:hAnsi="宋体" w:eastAsia="宋体" w:cs="宋体"/>
          <w:color w:val="000000" w:themeColor="text1"/>
          <w:sz w:val="24"/>
          <w:szCs w:val="24"/>
          <w:highlight w:val="none"/>
          <w14:textFill>
            <w14:solidFill>
              <w14:schemeClr w14:val="tx1"/>
            </w14:solidFill>
          </w14:textFill>
        </w:rPr>
        <w:t>0.7 暂估价</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暂</w:t>
      </w:r>
      <w:bookmarkStart w:id="568" w:name="_Toc312677508"/>
      <w:bookmarkStart w:id="569" w:name="_Toc312678034"/>
      <w:bookmarkStart w:id="570" w:name="_Toc318581176"/>
      <w:r>
        <w:rPr>
          <w:rFonts w:hint="eastAsia" w:ascii="宋体" w:hAnsi="宋体" w:eastAsia="宋体" w:cs="宋体"/>
          <w:color w:val="000000" w:themeColor="text1"/>
          <w:kern w:val="0"/>
          <w:sz w:val="24"/>
          <w:szCs w:val="24"/>
          <w:highlight w:val="none"/>
          <w14:textFill>
            <w14:solidFill>
              <w14:schemeClr w14:val="tx1"/>
            </w14:solidFill>
          </w14:textFill>
        </w:rPr>
        <w:t>估价材料和工程设备的明细详见附件11：《</w:t>
      </w:r>
      <w:r>
        <w:rPr>
          <w:rFonts w:hint="eastAsia" w:ascii="宋体" w:hAnsi="宋体" w:eastAsia="宋体" w:cs="宋体"/>
          <w:color w:val="000000" w:themeColor="text1"/>
          <w:sz w:val="24"/>
          <w:szCs w:val="24"/>
          <w:highlight w:val="none"/>
          <w14:textFill>
            <w14:solidFill>
              <w14:schemeClr w14:val="tx1"/>
            </w14:solidFill>
          </w14:textFill>
        </w:rPr>
        <w:t>暂估价一览表》</w:t>
      </w:r>
      <w:r>
        <w:rPr>
          <w:rFonts w:hint="eastAsia" w:ascii="宋体" w:hAnsi="宋体" w:eastAsia="宋体" w:cs="宋体"/>
          <w:color w:val="000000" w:themeColor="text1"/>
          <w:kern w:val="0"/>
          <w:sz w:val="24"/>
          <w:szCs w:val="24"/>
          <w:highlight w:val="none"/>
          <w14:textFill>
            <w14:solidFill>
              <w14:schemeClr w14:val="tx1"/>
            </w14:solidFill>
          </w14:textFill>
        </w:rPr>
        <w:t>。</w:t>
      </w:r>
    </w:p>
    <w:bookmarkEnd w:id="568"/>
    <w:bookmarkEnd w:id="569"/>
    <w:bookmarkEnd w:id="570"/>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bookmarkStart w:id="571" w:name="_Toc312677509"/>
      <w:bookmarkStart w:id="572" w:name="_Toc318581177"/>
      <w:bookmarkStart w:id="573" w:name="_Toc312678035"/>
      <w:r>
        <w:rPr>
          <w:rFonts w:hint="eastAsia" w:ascii="宋体" w:hAnsi="宋体" w:eastAsia="宋体" w:cs="宋体"/>
          <w:color w:val="000000" w:themeColor="text1"/>
          <w:sz w:val="24"/>
          <w:szCs w:val="24"/>
          <w:highlight w:val="none"/>
          <w14:textFill>
            <w14:solidFill>
              <w14:schemeClr w14:val="tx1"/>
            </w14:solidFill>
          </w14:textFill>
        </w:rPr>
        <w:t>0.7.1 依法必须招标的暂估价项目</w:t>
      </w:r>
    </w:p>
    <w:bookmarkEnd w:id="571"/>
    <w:bookmarkEnd w:id="572"/>
    <w:bookmarkEnd w:id="573"/>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对于依法必须招标的暂估价项目的确认和批准采取第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种方式确定。</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10.7.2 不属于依法必须招标的暂估价项目</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对于不属于依法必须招标的暂估价项目的确认和批准采取第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种方式确定。</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第3种方式：</w:t>
      </w:r>
      <w:r>
        <w:rPr>
          <w:rFonts w:hint="eastAsia" w:ascii="宋体" w:hAnsi="宋体" w:eastAsia="宋体" w:cs="宋体"/>
          <w:color w:val="000000" w:themeColor="text1"/>
          <w:kern w:val="0"/>
          <w:sz w:val="24"/>
          <w:szCs w:val="24"/>
          <w:highlight w:val="none"/>
          <w14:textFill>
            <w14:solidFill>
              <w14:schemeClr w14:val="tx1"/>
            </w14:solidFill>
          </w14:textFill>
        </w:rPr>
        <w:t>承包人直接实施的暂估价项目</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承包人直接实施的暂估价项目的约定：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10.8 暂列金额</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合同当事人关于暂列金额使用的约定：</w:t>
      </w:r>
      <w:bookmarkStart w:id="574" w:name="_Toc351203643"/>
      <w:r>
        <w:rPr>
          <w:rFonts w:hint="eastAsia" w:ascii="宋体" w:hAnsi="宋体" w:eastAsia="宋体" w:cs="宋体"/>
          <w:bCs/>
          <w:color w:val="000000" w:themeColor="text1"/>
          <w:kern w:val="0"/>
          <w:sz w:val="24"/>
          <w:szCs w:val="24"/>
          <w:highlight w:val="none"/>
          <w:u w:val="single"/>
          <w14:textFill>
            <w14:solidFill>
              <w14:schemeClr w14:val="tx1"/>
            </w14:solidFill>
          </w14:textFill>
        </w:rPr>
        <w:t>工程施工过程中发生的工程变更、合同约定调整因素出现时的合同价款调整以及发生的索赔、现场签证等确认的费用，经发包人审定，执行政府投资管理办法规定的审批程序。使用其他项目费用中的暂列金额支付上述事项所发生的费用时，支付比例按工程进度款支付比例同期进行支付。在合同价格中的暂列金额由发包人掌握使用；暂列金额的余额归发包人所有。</w:t>
      </w:r>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74"/>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市场价格波动引起的调整</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市场价格波动是否调整合同价格的约定：</w:t>
      </w:r>
      <w:r>
        <w:rPr>
          <w:rFonts w:hint="eastAsia" w:ascii="宋体" w:hAnsi="宋体" w:eastAsia="宋体" w:cs="宋体"/>
          <w:color w:val="000000" w:themeColor="text1"/>
          <w:sz w:val="24"/>
          <w:szCs w:val="24"/>
          <w:highlight w:val="none"/>
          <w:u w:val="single"/>
          <w14:textFill>
            <w14:solidFill>
              <w14:schemeClr w14:val="tx1"/>
            </w14:solidFill>
          </w14:textFill>
        </w:rPr>
        <w:t>不调整</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合同价格、计量与支付</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合同价格形式</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1、单价合同。</w:t>
      </w:r>
    </w:p>
    <w:p>
      <w:pPr>
        <w:keepNext w:val="0"/>
        <w:keepLines w:val="0"/>
        <w:pageBreakBefore w:val="0"/>
        <w:widowControl w:val="0"/>
        <w:wordWrap/>
        <w:topLinePunct w:val="0"/>
        <w:bidi w:val="0"/>
        <w:spacing w:line="540" w:lineRule="exact"/>
        <w:ind w:right="0" w:rightChars="0" w:firstLine="48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综合单价包含的风险范围：</w:t>
      </w:r>
      <w:r>
        <w:rPr>
          <w:rFonts w:hint="eastAsia" w:ascii="宋体" w:hAnsi="宋体" w:eastAsia="宋体" w:cs="宋体"/>
          <w:color w:val="000000" w:themeColor="text1"/>
          <w:sz w:val="24"/>
          <w:highlight w:val="none"/>
          <w:u w:val="single"/>
          <w14:textFill>
            <w14:solidFill>
              <w14:schemeClr w14:val="tx1"/>
            </w14:solidFill>
          </w14:textFill>
        </w:rPr>
        <w:t>承包人所填报综合单价</w:t>
      </w:r>
      <w:r>
        <w:rPr>
          <w:rFonts w:hint="eastAsia" w:ascii="宋体" w:hAnsi="宋体" w:eastAsia="宋体" w:cs="宋体"/>
          <w:color w:val="000000" w:themeColor="text1"/>
          <w:sz w:val="24"/>
          <w:highlight w:val="none"/>
          <w:u w:val="single"/>
          <w:lang w:eastAsia="zh-CN"/>
          <w14:textFill>
            <w14:solidFill>
              <w14:schemeClr w14:val="tx1"/>
            </w14:solidFill>
          </w14:textFill>
        </w:rPr>
        <w:t>及合价</w:t>
      </w:r>
      <w:r>
        <w:rPr>
          <w:rFonts w:hint="eastAsia" w:ascii="宋体" w:hAnsi="宋体" w:eastAsia="宋体" w:cs="宋体"/>
          <w:color w:val="000000" w:themeColor="text1"/>
          <w:sz w:val="24"/>
          <w:highlight w:val="none"/>
          <w:u w:val="single"/>
          <w14:textFill>
            <w14:solidFill>
              <w14:schemeClr w14:val="tx1"/>
            </w14:solidFill>
          </w14:textFill>
        </w:rPr>
        <w:t>在合同实施期间除合同约定调整的内容，均不予调整。</w:t>
      </w:r>
    </w:p>
    <w:p>
      <w:pPr>
        <w:keepNext w:val="0"/>
        <w:keepLines w:val="0"/>
        <w:pageBreakBefore w:val="0"/>
        <w:widowControl w:val="0"/>
        <w:wordWrap/>
        <w:topLinePunct w:val="0"/>
        <w:bidi w:val="0"/>
        <w:spacing w:line="540" w:lineRule="exact"/>
        <w:ind w:right="0" w:rightChars="0" w:firstLine="48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风险费用的计算方法：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风险范围以外合同价格的调整方法： </w:t>
      </w:r>
    </w:p>
    <w:p>
      <w:pPr>
        <w:spacing w:line="360" w:lineRule="auto"/>
        <w:ind w:left="-1"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Ⅰ、合同价格调整的范围：（1）工程变更引起已标价工程量清单项目或其工程数量的变化；（2）招标工程量清单项目特征描述与实际施工要求不符；（3）因设计变更或施工条件改变或工程量清单编制错误造成工程量清单缺项；（4）实际完成工程量与招标工程量清单的工程量偏差</w:t>
      </w:r>
      <w:r>
        <w:rPr>
          <w:rFonts w:hint="eastAsia" w:ascii="宋体" w:hAnsi="宋体" w:eastAsia="宋体" w:cs="宋体"/>
          <w:bCs/>
          <w:color w:val="000000" w:themeColor="text1"/>
          <w:sz w:val="24"/>
          <w:szCs w:val="24"/>
          <w:highlight w:val="none"/>
          <w:u w:val="single"/>
          <w14:textFill>
            <w14:solidFill>
              <w14:schemeClr w14:val="tx1"/>
            </w14:solidFill>
          </w14:textFill>
        </w:rPr>
        <w:t>。</w:t>
      </w:r>
    </w:p>
    <w:p>
      <w:pPr>
        <w:keepNext w:val="0"/>
        <w:keepLines w:val="0"/>
        <w:pageBreakBefore w:val="0"/>
        <w:widowControl w:val="0"/>
        <w:wordWrap/>
        <w:topLinePunct w:val="0"/>
        <w:bidi w:val="0"/>
        <w:spacing w:line="540" w:lineRule="exact"/>
        <w:ind w:left="-1"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本工程所涉及到的设计变更内容，在实施前须经发包人、设计单位及监理单位签字确认后方可执行。未经发包人、设计单位及监理单位签字确认的调整内容部分，不予调整合同价格。</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本工程所涉及到的工程经济签证或工程经济洽商单内容，在实施前须经发包人及监理单位签字确认后方可执行。未经发包人及监理单位确认的调整内容部分，不予调整合同价格。</w:t>
      </w:r>
    </w:p>
    <w:p>
      <w:pPr>
        <w:keepNext w:val="0"/>
        <w:keepLines w:val="0"/>
        <w:pageBreakBefore w:val="0"/>
        <w:widowControl w:val="0"/>
        <w:wordWrap/>
        <w:topLinePunct w:val="0"/>
        <w:bidi w:val="0"/>
        <w:spacing w:line="540" w:lineRule="exact"/>
        <w:ind w:right="0" w:rightChars="0" w:firstLine="456" w:firstLineChars="200"/>
        <w:textAlignment w:val="auto"/>
        <w:rPr>
          <w:rFonts w:hint="eastAsia" w:ascii="宋体" w:hAnsi="宋体" w:eastAsia="宋体" w:cs="宋体"/>
          <w:color w:val="000000" w:themeColor="text1"/>
          <w:spacing w:val="-6"/>
          <w:sz w:val="24"/>
          <w:szCs w:val="24"/>
          <w:highlight w:val="none"/>
          <w:u w:val="single"/>
          <w14:textFill>
            <w14:solidFill>
              <w14:schemeClr w14:val="tx1"/>
            </w14:solidFill>
          </w14:textFill>
        </w:rPr>
      </w:pP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合同价格调整事项发生后，承包人应在14天内，将调整原因、金额以书面形式向发包人提出，经发包人审核同意后作为调整合同价格的结算依据。14天内未申报书面调整合同价格金额及明细预算的，竣工结算时不予调整。</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Ⅱ、合同价款调整方法：</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（一）合同价格调整的范围（1）的调整原则：</w:t>
      </w:r>
    </w:p>
    <w:p>
      <w:pPr>
        <w:keepNext w:val="0"/>
        <w:keepLines w:val="0"/>
        <w:pageBreakBefore w:val="0"/>
        <w:widowControl w:val="0"/>
        <w:wordWrap/>
        <w:topLinePunct w:val="0"/>
        <w:bidi w:val="0"/>
        <w:spacing w:line="540" w:lineRule="exact"/>
        <w:ind w:right="0" w:rightChars="0" w:firstLine="454"/>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1、因工程变更引起已标价工程量清单项目或其他工程数量发生变化时，应按照下列规定调整：</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a、已标价工程量清单中有适用于变更工程项目的，应采用该项目的单价；但当工程变更导致该清单项目的工程数量发生变化，且工程量偏差超过15%时，该项目单价的调整原则：</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当工程量减少15%以上时，减少后剩余部分的工程量的综合单价予以调高；当工程量增加15%以上时，增加部分的工程量的综合单价予以调低。</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其计算公式如下：</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①当Q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＞1.15Q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时，S=1.15Q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-1.15Q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②当Q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＜0.85Q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时，S=Q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③当P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×（1-L）×（1-15%）时，该类项目的综合单价：P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按照P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×（1-L）×（1-15%）调整；</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④当P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×（1+15%）时，该类项目的综合单价：P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按照P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×（1+15%）调整；</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⑤当P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×（1-L）×（1-15%）或P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×（1+15%）时，可不调整综合单价。</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式中：S—调整后的某一分部分项工程费结算价；</w:t>
      </w:r>
    </w:p>
    <w:p>
      <w:pPr>
        <w:keepNext w:val="0"/>
        <w:keepLines w:val="0"/>
        <w:pageBreakBefore w:val="0"/>
        <w:widowControl w:val="0"/>
        <w:wordWrap/>
        <w:topLinePunct w:val="0"/>
        <w:bidi w:val="0"/>
        <w:spacing w:line="540" w:lineRule="exact"/>
        <w:ind w:right="0" w:rightChars="0" w:firstLine="1200" w:firstLineChars="5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—最终完成的工程量；</w:t>
      </w:r>
    </w:p>
    <w:p>
      <w:pPr>
        <w:keepNext w:val="0"/>
        <w:keepLines w:val="0"/>
        <w:pageBreakBefore w:val="0"/>
        <w:widowControl w:val="0"/>
        <w:wordWrap/>
        <w:topLinePunct w:val="0"/>
        <w:bidi w:val="0"/>
        <w:spacing w:line="540" w:lineRule="exact"/>
        <w:ind w:right="0" w:rightChars="0" w:firstLine="1200" w:firstLineChars="5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—招标工程量清单中列出的工程量；</w:t>
      </w:r>
    </w:p>
    <w:p>
      <w:pPr>
        <w:keepNext w:val="0"/>
        <w:keepLines w:val="0"/>
        <w:pageBreakBefore w:val="0"/>
        <w:widowControl w:val="0"/>
        <w:wordWrap/>
        <w:topLinePunct w:val="0"/>
        <w:bidi w:val="0"/>
        <w:spacing w:line="540" w:lineRule="exact"/>
        <w:ind w:right="0" w:rightChars="0" w:firstLine="1200" w:firstLineChars="5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—承包人在工程量清单中填报的综合单价；</w:t>
      </w:r>
    </w:p>
    <w:p>
      <w:pPr>
        <w:keepNext w:val="0"/>
        <w:keepLines w:val="0"/>
        <w:pageBreakBefore w:val="0"/>
        <w:widowControl w:val="0"/>
        <w:wordWrap/>
        <w:topLinePunct w:val="0"/>
        <w:bidi w:val="0"/>
        <w:spacing w:line="540" w:lineRule="exact"/>
        <w:ind w:right="0" w:rightChars="0" w:firstLine="1200" w:firstLineChars="5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—按照最终完成工程量重新调整后的综合单价；</w:t>
      </w:r>
    </w:p>
    <w:p>
      <w:pPr>
        <w:keepNext w:val="0"/>
        <w:keepLines w:val="0"/>
        <w:pageBreakBefore w:val="0"/>
        <w:widowControl w:val="0"/>
        <w:wordWrap/>
        <w:topLinePunct w:val="0"/>
        <w:bidi w:val="0"/>
        <w:spacing w:line="540" w:lineRule="exact"/>
        <w:ind w:right="0" w:rightChars="0" w:firstLine="1200" w:firstLineChars="5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—发包人招标控制价相应项目的综合单价；</w:t>
      </w:r>
    </w:p>
    <w:p>
      <w:pPr>
        <w:keepNext w:val="0"/>
        <w:keepLines w:val="0"/>
        <w:pageBreakBefore w:val="0"/>
        <w:widowControl w:val="0"/>
        <w:wordWrap/>
        <w:topLinePunct w:val="0"/>
        <w:bidi w:val="0"/>
        <w:spacing w:line="540" w:lineRule="exact"/>
        <w:ind w:right="0" w:rightChars="0" w:firstLine="1200" w:firstLineChars="5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L—承包人报价浮动率=（1-中标价/招标控制价）×100%。</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b、已标价工程量清单中没有适用于但有类似于变更工程项目的，可在合理范围内参照类似项目的单价。</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c、已标价工程量清单中没有适用也没有类似于变更工程项目的，由承包人根据变更工程资料、计量规则和计价办法，工程造价管理机构发布的信息价格和承包人报价浮动率提出变更工程项目的单价，报发包人确认后调整。</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承包人报价浮动率L =（1-中标价/招标控制价）×100%。</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d、已标价工程量清单中没有适用也没有类似于变更工程项目，且工程造价管理机构发布的信息价格缺价的，由承包人根据变更工程资料、计量规则、计价办法和通过市场调查等取得有合法依据的市场价格提出变更工程项目单价，报发包人确认后调整。</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工程变更引起施工方案改变并使措施项目发生变化时，承包人提出调整措施项目费的，应事先将拟实施的方案提交发包人确认，并应详细说明与原方案措施项目相比的变化情况。拟实施的方案经发承包双方确认后执行，并按下列规定调整措施费：</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a、安全文明措施费按照实际发生变化的措施项目按国家或省级、行业建设主管部门的规定计算；</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b、采用单价计算的措施项目费，按照实际发生变化的措施项目，依照本款（1）的调整原则确定单价；</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c、按总价（或系数）计算的措施项目费，按照实际发生变化的措施项目调整，但应考虑承包人报价浮动因素，即调整金额按实际调整金额乘以承包人报价浮动率计算【承包人报价浮动率L =（1-中标价/招标控制价）×100%】。</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d、如工程变更未引起相关措施项目发生变化，则不予调整。</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如承包人未事先将拟实施的方案提交给发包人确认，则视为工程变更不引起措施项目费的调整或承包人放弃调整措施项目费的权利。</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（二）合同价格调整的范围（2）的调整原则：</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承包人按发包人提供的设计图纸实施合同工程，在合同履行期间出现设计图纸（含设计变更）与招标工程量清单任一项目的特征描述不符，且该变化引起该项目工程造价增减变化的，按照实际施工的项目特征，依据合同价格调整的范围调整（1）的调整原则重新确定相应工程量清单项目的综合单价，并调整合同价格。</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（三）合同价格调整的范围（3）的调整原则：</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1、招标工程量清单中缺项、新增分部分项工程清单项目的，应按照合同价格调整的范围（1）的调整原则中的第1款规定确定单价，并调整合同价格。</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2、新增分部分项工程清单项目后，引起措施项目发生变化的，按合同价格调整的范围（1）的调整原则中的第2款规定，在承包人提交的实际实施方案经发包人批准后调整合同价格。</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3、工程量清单中措施项目的缺项，承包人将新增措施项目实施方案提交发包人批准后，按合同价格调整的范围（1）的调整原则调整合同价格。</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（四）合同价格调整的范围（4）的调整原则：</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1、任一招标工程量清单项目，当工程量偏差和工程变更等原因导致工程量偏差超过15%时，按合同价格调整的范围（1）的调整原则中第1款中a调整。</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当工程量出现本款1的变化，且该变化引起相关措施项目相应发生变化时，按总价（或系数）计算措施项目的，工程量增加的措施项目费调增，工程量减少的措施项目费调减。如未引起相关措施项目发生变化的，则不予调整。</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2、总价合同。</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总价包含的风险范围：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风险费用的计算方法：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风险范围以外合同价格的调整方法：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3、其他价格方式：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bookmarkEnd w:id="435"/>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75" w:name="_Toc351203645"/>
      <w:bookmarkStart w:id="576" w:name="_Toc292559424"/>
      <w:bookmarkStart w:id="577" w:name="_Toc304295593"/>
      <w:bookmarkStart w:id="578" w:name="_Toc297123564"/>
      <w:bookmarkStart w:id="579" w:name="_Toc300935015"/>
      <w:bookmarkStart w:id="580" w:name="_Toc296891259"/>
      <w:bookmarkStart w:id="581" w:name="_Toc296891047"/>
      <w:bookmarkStart w:id="582" w:name="_Toc292559929"/>
      <w:bookmarkStart w:id="583" w:name="_Toc296944558"/>
      <w:bookmarkStart w:id="584" w:name="_Toc297216223"/>
      <w:bookmarkStart w:id="585" w:name="_Toc303539172"/>
      <w:bookmarkStart w:id="586" w:name="_Toc296503219"/>
      <w:bookmarkStart w:id="587" w:name="_Toc296347218"/>
      <w:bookmarkStart w:id="588" w:name="_Toc297120519"/>
      <w:bookmarkStart w:id="589" w:name="_Toc312678053"/>
      <w:bookmarkStart w:id="590" w:name="_Toc296346720"/>
      <w:bookmarkStart w:id="591" w:name="_Toc297048405"/>
      <w:r>
        <w:rPr>
          <w:rFonts w:hint="eastAsia" w:ascii="宋体" w:hAnsi="宋体" w:eastAsia="宋体" w:cs="宋体"/>
          <w:color w:val="000000" w:themeColor="text1"/>
          <w:sz w:val="24"/>
          <w:szCs w:val="24"/>
          <w:highlight w:val="none"/>
          <w14:textFill>
            <w14:solidFill>
              <w14:schemeClr w14:val="tx1"/>
            </w14:solidFill>
          </w14:textFill>
        </w:rPr>
        <w:t>12.2 预付款</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12.2.1 预付款的支付</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预付款支付比例或金额：</w:t>
      </w:r>
      <w:r>
        <w:rPr>
          <w:rFonts w:hint="eastAsia" w:ascii="宋体" w:hAnsi="宋体" w:eastAsia="宋体" w:cs="宋体"/>
          <w:color w:val="000000" w:themeColor="text1"/>
          <w:sz w:val="24"/>
          <w:szCs w:val="24"/>
          <w:highlight w:val="none"/>
          <w:u w:val="single"/>
          <w14:textFill>
            <w14:solidFill>
              <w14:schemeClr w14:val="tx1"/>
            </w14:solidFill>
          </w14:textFill>
        </w:rPr>
        <w:t>本工程预付款为签约合同价款的20％（不含暂列金额</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安全文明施工费</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及养护费</w:t>
      </w:r>
      <w:r>
        <w:rPr>
          <w:rFonts w:hint="eastAsia" w:ascii="宋体" w:hAnsi="宋体" w:eastAsia="宋体" w:cs="宋体"/>
          <w:color w:val="000000" w:themeColor="text1"/>
          <w:sz w:val="24"/>
          <w:szCs w:val="24"/>
          <w:highlight w:val="none"/>
          <w:u w:val="single"/>
          <w14:textFill>
            <w14:solidFill>
              <w14:schemeClr w14:val="tx1"/>
            </w14:solidFill>
          </w14:textFill>
        </w:rPr>
        <w:t>）作为备料款，预付款必须专用于本合同工程。</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预付款支付期限：</w:t>
      </w:r>
      <w:r>
        <w:rPr>
          <w:rFonts w:hint="eastAsia" w:ascii="宋体" w:hAnsi="宋体" w:eastAsia="宋体" w:cs="宋体"/>
          <w:bCs/>
          <w:color w:val="000000" w:themeColor="text1"/>
          <w:sz w:val="24"/>
          <w:szCs w:val="24"/>
          <w:highlight w:val="none"/>
          <w:u w:val="single"/>
          <w14:textFill>
            <w14:solidFill>
              <w14:schemeClr w14:val="tx1"/>
            </w14:solidFill>
          </w14:textFill>
        </w:rPr>
        <w:t>发、承包双方在合同中约定。</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预付款扣回的方式：</w:t>
      </w:r>
      <w:r>
        <w:rPr>
          <w:rFonts w:hint="eastAsia" w:ascii="宋体" w:hAnsi="宋体" w:eastAsia="宋体" w:cs="宋体"/>
          <w:color w:val="000000" w:themeColor="text1"/>
          <w:sz w:val="24"/>
          <w:szCs w:val="24"/>
          <w:highlight w:val="none"/>
          <w:u w:val="single"/>
          <w14:textFill>
            <w14:solidFill>
              <w14:schemeClr w14:val="tx1"/>
            </w14:solidFill>
          </w14:textFill>
        </w:rPr>
        <w:t>预付款的起扣时间为支付工程进度款开始起扣，</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一次性扣完。</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12.2.2 预付款担保</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承包人提交预付款担保的期限：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无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预付款担保的形式为：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 计量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12.3.1 计量原则</w:t>
      </w:r>
    </w:p>
    <w:p>
      <w:pPr>
        <w:spacing w:line="360" w:lineRule="auto"/>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工程量计算规则：《园林绿化工程工程量计算》（GB20858-2013）等相关规定。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12.3.2 计量周期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关于计量周期的约定：</w:t>
      </w:r>
      <w:r>
        <w:rPr>
          <w:rFonts w:hint="eastAsia" w:ascii="宋体" w:hAnsi="宋体" w:eastAsia="宋体" w:cs="宋体"/>
          <w:bCs/>
          <w:color w:val="000000" w:themeColor="text1"/>
          <w:sz w:val="24"/>
          <w:szCs w:val="24"/>
          <w:highlight w:val="none"/>
          <w:u w:val="single"/>
          <w14:textFill>
            <w14:solidFill>
              <w14:schemeClr w14:val="tx1"/>
            </w14:solidFill>
          </w14:textFill>
        </w:rPr>
        <w:t>工程量的计量按月进行</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12.3.3 单价合同的计量</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关于单价合同计量的约定：</w:t>
      </w:r>
      <w:r>
        <w:rPr>
          <w:rFonts w:hint="eastAsia" w:ascii="宋体" w:hAnsi="宋体" w:eastAsia="宋体" w:cs="宋体"/>
          <w:bCs/>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12.3.4 总价合同的计量</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关于总价合同计量的约定</w:t>
      </w:r>
      <w:r>
        <w:rPr>
          <w:rFonts w:hint="eastAsia" w:ascii="宋体" w:hAnsi="宋体" w:eastAsia="宋体" w:cs="宋体"/>
          <w:bCs/>
          <w:color w:val="000000" w:themeColor="text1"/>
          <w:sz w:val="24"/>
          <w:szCs w:val="24"/>
          <w:highlight w:val="none"/>
          <w:u w:val="singl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12.3.5总价合同采用支付分解表计量支付的，是否适用第</w:t>
      </w:r>
      <w:r>
        <w:rPr>
          <w:rFonts w:hint="eastAsia" w:ascii="宋体" w:hAnsi="宋体" w:eastAsia="宋体" w:cs="宋体"/>
          <w:bCs/>
          <w:color w:val="000000" w:themeColor="text1"/>
          <w:kern w:val="0"/>
          <w:sz w:val="24"/>
          <w:szCs w:val="24"/>
          <w:highlight w:val="none"/>
          <w14:textFill>
            <w14:solidFill>
              <w14:schemeClr w14:val="tx1"/>
            </w14:solidFill>
          </w14:textFill>
        </w:rPr>
        <w:t xml:space="preserve">12.3.4 </w:t>
      </w:r>
      <w:r>
        <w:rPr>
          <w:rFonts w:hint="eastAsia" w:ascii="宋体" w:hAnsi="宋体" w:eastAsia="宋体" w:cs="宋体"/>
          <w:bCs/>
          <w:color w:val="000000" w:themeColor="text1"/>
          <w:sz w:val="24"/>
          <w:szCs w:val="24"/>
          <w:highlight w:val="none"/>
          <w14:textFill>
            <w14:solidFill>
              <w14:schemeClr w14:val="tx1"/>
            </w14:solidFill>
          </w14:textFill>
        </w:rPr>
        <w:t>项</w:t>
      </w:r>
      <w:r>
        <w:rPr>
          <w:rFonts w:hint="eastAsia" w:ascii="宋体" w:hAnsi="宋体" w:eastAsia="宋体" w:cs="宋体"/>
          <w:bCs/>
          <w:color w:val="000000" w:themeColor="text1"/>
          <w:kern w:val="0"/>
          <w:sz w:val="24"/>
          <w:szCs w:val="24"/>
          <w:highlight w:val="none"/>
          <w14:textFill>
            <w14:solidFill>
              <w14:schemeClr w14:val="tx1"/>
            </w14:solidFill>
          </w14:textFill>
        </w:rPr>
        <w:t>〔总价合同的计量〕</w:t>
      </w:r>
      <w:r>
        <w:rPr>
          <w:rFonts w:hint="eastAsia" w:ascii="宋体" w:hAnsi="宋体" w:eastAsia="宋体" w:cs="宋体"/>
          <w:bCs/>
          <w:color w:val="000000" w:themeColor="text1"/>
          <w:sz w:val="24"/>
          <w:szCs w:val="24"/>
          <w:highlight w:val="none"/>
          <w14:textFill>
            <w14:solidFill>
              <w14:schemeClr w14:val="tx1"/>
            </w14:solidFill>
          </w14:textFill>
        </w:rPr>
        <w:t>约定进行计量：</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eastAsia="zh-CN"/>
          <w14:textFill>
            <w14:solidFill>
              <w14:schemeClr w14:val="tx1"/>
            </w14:solidFill>
          </w14:textFill>
        </w:rPr>
        <w:t>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12.3.6 其他价格形式合同的计量</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其他价格形式的计量方式和程序：</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12.4 工程进度款支付</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592" w:name="_Toc296891251"/>
      <w:bookmarkStart w:id="593" w:name="_Toc292559416"/>
      <w:bookmarkStart w:id="594" w:name="_Toc303539163"/>
      <w:bookmarkStart w:id="595" w:name="_Toc292559921"/>
      <w:bookmarkStart w:id="596" w:name="_Toc297123556"/>
      <w:bookmarkStart w:id="597" w:name="_Toc296346712"/>
      <w:bookmarkStart w:id="598" w:name="_Toc296944550"/>
      <w:bookmarkStart w:id="599" w:name="_Toc297120511"/>
      <w:bookmarkStart w:id="600" w:name="_Toc300935006"/>
      <w:bookmarkStart w:id="601" w:name="_Toc296891039"/>
      <w:bookmarkStart w:id="602" w:name="_Toc296503211"/>
      <w:bookmarkStart w:id="603" w:name="_Toc297048397"/>
      <w:bookmarkStart w:id="604" w:name="_Toc296347210"/>
      <w:bookmarkStart w:id="605" w:name="_Toc297216215"/>
      <w:r>
        <w:rPr>
          <w:rFonts w:hint="eastAsia" w:ascii="宋体" w:hAnsi="宋体" w:eastAsia="宋体" w:cs="宋体"/>
          <w:bCs/>
          <w:color w:val="000000" w:themeColor="text1"/>
          <w:sz w:val="24"/>
          <w:szCs w:val="24"/>
          <w:highlight w:val="none"/>
          <w14:textFill>
            <w14:solidFill>
              <w14:schemeClr w14:val="tx1"/>
            </w14:solidFill>
          </w14:textFill>
        </w:rPr>
        <w:t>12.4.1 付款周期</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关于付款周期的约定：</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执行本专用合同条款第12.3.2条 </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12.4.2 进度付款申请单的编制</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关于进度付款申请单编制的约定：</w:t>
      </w:r>
      <w:r>
        <w:rPr>
          <w:rFonts w:hint="eastAsia" w:ascii="宋体" w:hAnsi="宋体" w:eastAsia="宋体" w:cs="宋体"/>
          <w:bCs/>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bCs/>
          <w:color w:val="000000" w:themeColor="text1"/>
          <w:sz w:val="24"/>
          <w:szCs w:val="24"/>
          <w:highlight w:val="none"/>
          <w14:textFill>
            <w14:solidFill>
              <w14:schemeClr w14:val="tx1"/>
            </w14:solidFill>
          </w14:textFill>
        </w:rPr>
        <w:t>。</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12.4.3 进度付款申请单的提交</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（1）单价合同进度付款申请单提交的约定：</w:t>
      </w:r>
      <w:r>
        <w:rPr>
          <w:rFonts w:hint="eastAsia" w:ascii="宋体" w:hAnsi="宋体" w:eastAsia="宋体" w:cs="宋体"/>
          <w:bCs/>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（2）总价合同进度付款申请单提交的约定：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（3）其他价格形式合同进度付款申请单提交的约定：</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12.4.4 进度款审核和支付</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（1）监理人审查并报送发包人的期限：</w:t>
      </w:r>
      <w:r>
        <w:rPr>
          <w:rFonts w:hint="eastAsia" w:ascii="宋体" w:hAnsi="宋体" w:eastAsia="宋体" w:cs="宋体"/>
          <w:bCs/>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承包人向发包人移交工程的期限：</w:t>
      </w:r>
      <w:r>
        <w:rPr>
          <w:rFonts w:hint="eastAsia" w:ascii="宋体" w:hAnsi="宋体" w:eastAsia="宋体" w:cs="宋体"/>
          <w:color w:val="000000" w:themeColor="text1"/>
          <w:kern w:val="0"/>
          <w:sz w:val="24"/>
          <w:szCs w:val="24"/>
          <w:highlight w:val="none"/>
          <w:u w:val="single"/>
          <w14:textFill>
            <w14:solidFill>
              <w14:schemeClr w14:val="tx1"/>
            </w14:solidFill>
          </w14:textFill>
        </w:rPr>
        <w:t>应当在工程验收合格后7天内完成工程的移交。</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（2）发包人支付进度款的期限：</w:t>
      </w:r>
      <w:r>
        <w:rPr>
          <w:rFonts w:hint="eastAsia" w:ascii="宋体" w:hAnsi="宋体" w:eastAsia="宋体" w:cs="宋体"/>
          <w:bCs/>
          <w:color w:val="000000" w:themeColor="text1"/>
          <w:sz w:val="24"/>
          <w:szCs w:val="24"/>
          <w:highlight w:val="none"/>
          <w:u w:val="single"/>
          <w14:textFill>
            <w14:solidFill>
              <w14:schemeClr w14:val="tx1"/>
            </w14:solidFill>
          </w14:textFill>
        </w:rPr>
        <w:t>发包人应在进度款支付证书或临时进度款支付证书签发后14天内完成支付。</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bCs/>
          <w:color w:val="000000" w:themeColor="text1"/>
          <w:kern w:val="0"/>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发包人逾期支付进度款的违约金的计算方式：</w:t>
      </w:r>
      <w:r>
        <w:rPr>
          <w:rFonts w:hint="eastAsia" w:ascii="宋体" w:hAnsi="宋体" w:eastAsia="宋体" w:cs="宋体"/>
          <w:bCs/>
          <w:color w:val="000000" w:themeColor="text1"/>
          <w:kern w:val="0"/>
          <w:sz w:val="24"/>
          <w:szCs w:val="24"/>
          <w:highlight w:val="none"/>
          <w:u w:val="single"/>
          <w14:textFill>
            <w14:solidFill>
              <w14:schemeClr w14:val="tx1"/>
            </w14:solidFill>
          </w14:textFill>
        </w:rPr>
        <w:t>应按照中国人民银行发布的同期同类贷款基准利率支付违约金。</w:t>
      </w:r>
    </w:p>
    <w:p>
      <w:pPr>
        <w:keepNext w:val="0"/>
        <w:keepLines w:val="0"/>
        <w:pageBreakBefore w:val="0"/>
        <w:widowControl w:val="0"/>
        <w:kinsoku/>
        <w:wordWrap/>
        <w:overflowPunct/>
        <w:topLinePunct w:val="0"/>
        <w:bidi w:val="0"/>
        <w:snapToGrid/>
        <w:spacing w:line="540" w:lineRule="exact"/>
        <w:ind w:left="0" w:leftChars="0" w:right="0" w:rightChars="0" w:firstLine="480" w:firstLineChars="200"/>
        <w:textAlignment w:val="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还应执行：待工程通过竣工验收，达到质量等级要求，上报结算资料后支付至签约合同价格的80％</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含20%预付款，不含暂列金额</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安全文明施工费</w:t>
      </w:r>
      <w:r>
        <w:rPr>
          <w:rFonts w:hint="eastAsia" w:ascii="宋体" w:hAnsi="宋体" w:eastAsia="宋体" w:cs="宋体"/>
          <w:color w:val="000000" w:themeColor="text1"/>
          <w:sz w:val="24"/>
          <w:highlight w:val="none"/>
          <w:u w:val="single"/>
          <w:lang w:eastAsia="zh-CN"/>
          <w14:textFill>
            <w14:solidFill>
              <w14:schemeClr w14:val="tx1"/>
            </w14:solidFill>
          </w14:textFill>
        </w:rPr>
        <w:t>及养护费）</w:t>
      </w:r>
      <w:r>
        <w:rPr>
          <w:rFonts w:hint="eastAsia" w:ascii="宋体" w:hAnsi="宋体" w:eastAsia="宋体" w:cs="宋体"/>
          <w:color w:val="000000" w:themeColor="text1"/>
          <w:sz w:val="24"/>
          <w:highlight w:val="none"/>
          <w:u w:val="single"/>
          <w14:textFill>
            <w14:solidFill>
              <w14:schemeClr w14:val="tx1"/>
            </w14:solidFill>
          </w14:textFill>
        </w:rPr>
        <w:t>时停止支付; 工程竣工结算经审计完成且工程档案移交至城建档案馆和发包人之后，留取结算价的3％作为工程质量保修金外，余款一次无息付清。暂列金额使用详见本专用合同条款第10.8条。安全文明施工费的支付按本专用合同条款第6.1.6条执行。</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如签约合同价格中含本工程招标范围内招标（或发包人提供）的材料、设备及专业分包的款项，承包人必须按照发包人组织招标的材料、设备中标价（或发包人提供的价格）、专业分包招标价与各自招标文件规定的合同价格与其签订合同，签订合同时间为自接到中标通知书之日起7日内，并交发包人备案。承包人必须在发包人规定时间内办理相关手续并按合同规定支付货款，以避免因货款支付纠纷给工程建设带来不利影响，否则将向发包人支付贰拾万元违约金。</w:t>
      </w:r>
    </w:p>
    <w:p>
      <w:pPr>
        <w:spacing w:line="360" w:lineRule="auto"/>
        <w:ind w:firstLine="482" w:firstLineChars="200"/>
        <w:rPr>
          <w:rFonts w:hint="eastAsia" w:ascii="宋体" w:hAnsi="宋体" w:eastAsia="宋体" w:cs="宋体"/>
          <w:b/>
          <w:color w:val="000000" w:themeColor="text1"/>
          <w:sz w:val="24"/>
          <w:szCs w:val="24"/>
          <w:highlight w:val="none"/>
          <w:u w:val="singl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养护费用支付：养护期满经验收合格并达到养护标准后一次性付清。</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12.4.6 支付分解表的编制</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2、总价合同支付分解表的编制与审批：</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无   </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3、单价合同的总价项目支付分解表的编制与审批：</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执行通用合同条款本条款 </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验收和工程试车</w:t>
      </w:r>
      <w:bookmarkEnd w:id="575"/>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分部分项工程验收</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13.1.2监理人不能按时进行验收时，应提前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24 </w:t>
      </w:r>
      <w:r>
        <w:rPr>
          <w:rFonts w:hint="eastAsia" w:ascii="宋体" w:hAnsi="宋体" w:eastAsia="宋体" w:cs="宋体"/>
          <w:color w:val="000000" w:themeColor="text1"/>
          <w:sz w:val="24"/>
          <w:szCs w:val="24"/>
          <w:highlight w:val="none"/>
          <w14:textFill>
            <w14:solidFill>
              <w14:schemeClr w14:val="tx1"/>
            </w14:solidFill>
          </w14:textFill>
        </w:rPr>
        <w:t>小时提交书面延期要求。</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关于延期最长不得超过：</w:t>
      </w:r>
      <w:r>
        <w:rPr>
          <w:rFonts w:hint="eastAsia" w:ascii="宋体" w:hAnsi="宋体" w:eastAsia="宋体" w:cs="宋体"/>
          <w:color w:val="000000" w:themeColor="text1"/>
          <w:sz w:val="24"/>
          <w:szCs w:val="24"/>
          <w:highlight w:val="none"/>
          <w:u w:val="single"/>
          <w14:textFill>
            <w14:solidFill>
              <w14:schemeClr w14:val="tx1"/>
            </w14:solidFill>
          </w14:textFill>
        </w:rPr>
        <w:t xml:space="preserve">48 </w:t>
      </w:r>
      <w:r>
        <w:rPr>
          <w:rFonts w:hint="eastAsia" w:ascii="宋体" w:hAnsi="宋体" w:eastAsia="宋体" w:cs="宋体"/>
          <w:color w:val="000000" w:themeColor="text1"/>
          <w:sz w:val="24"/>
          <w:szCs w:val="24"/>
          <w:highlight w:val="none"/>
          <w14:textFill>
            <w14:solidFill>
              <w14:schemeClr w14:val="tx1"/>
            </w14:solidFill>
          </w14:textFill>
        </w:rPr>
        <w:t>小时。</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06" w:name="_Toc296503223"/>
      <w:bookmarkStart w:id="607" w:name="_Toc296891051"/>
      <w:bookmarkStart w:id="608" w:name="_Toc297048409"/>
      <w:bookmarkStart w:id="609" w:name="_Toc296944562"/>
      <w:bookmarkStart w:id="610" w:name="_Toc297123565"/>
      <w:bookmarkStart w:id="611" w:name="_Toc296346724"/>
      <w:bookmarkStart w:id="612" w:name="_Toc292559428"/>
      <w:bookmarkStart w:id="613" w:name="_Toc312678056"/>
      <w:bookmarkStart w:id="614" w:name="_Toc296891263"/>
      <w:bookmarkStart w:id="615" w:name="_Toc297120523"/>
      <w:bookmarkStart w:id="616" w:name="_Toc304295596"/>
      <w:bookmarkStart w:id="617" w:name="_Toc297216224"/>
      <w:bookmarkStart w:id="618" w:name="_Toc303539173"/>
      <w:bookmarkStart w:id="619" w:name="_Toc292559933"/>
      <w:bookmarkStart w:id="620" w:name="_Toc300935016"/>
      <w:bookmarkStart w:id="621" w:name="_Toc296347222"/>
      <w:bookmarkStart w:id="622" w:name="_Toc267251475"/>
      <w:bookmarkStart w:id="623" w:name="_Toc267251476"/>
      <w:bookmarkStart w:id="624" w:name="_Toc267251471"/>
      <w:bookmarkStart w:id="625" w:name="_Toc267251472"/>
      <w:bookmarkStart w:id="626" w:name="_Toc267251474"/>
      <w:bookmarkStart w:id="627" w:name="_Toc267251470"/>
      <w:bookmarkStart w:id="628" w:name="_Toc267251473"/>
      <w:r>
        <w:rPr>
          <w:rFonts w:hint="eastAsia" w:ascii="宋体" w:hAnsi="宋体" w:eastAsia="宋体" w:cs="宋体"/>
          <w:color w:val="000000" w:themeColor="text1"/>
          <w:sz w:val="24"/>
          <w:szCs w:val="24"/>
          <w:highlight w:val="none"/>
          <w14:textFill>
            <w14:solidFill>
              <w14:schemeClr w14:val="tx1"/>
            </w14:solidFill>
          </w14:textFill>
        </w:rPr>
        <w:t>13.2 竣工验收</w:t>
      </w:r>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bookmarkStart w:id="629" w:name="_Toc280868705"/>
      <w:bookmarkStart w:id="630" w:name="_Toc280868706"/>
      <w:bookmarkStart w:id="631" w:name="_Toc280868709"/>
      <w:bookmarkStart w:id="632" w:name="_Toc280868704"/>
      <w:bookmarkStart w:id="633" w:name="_Toc280868708"/>
      <w:bookmarkStart w:id="634" w:name="_Toc280868707"/>
      <w:r>
        <w:rPr>
          <w:rFonts w:hint="eastAsia" w:ascii="宋体" w:hAnsi="宋体" w:eastAsia="宋体" w:cs="宋体"/>
          <w:color w:val="000000" w:themeColor="text1"/>
          <w:sz w:val="24"/>
          <w:szCs w:val="24"/>
          <w:highlight w:val="none"/>
          <w:u w:val="single"/>
          <w14:textFill>
            <w14:solidFill>
              <w14:schemeClr w14:val="tx1"/>
            </w14:solidFill>
          </w14:textFill>
        </w:rPr>
        <w:t>除执行通用合同条款外，还应执行：发包人、承包人在办理工程竣工验收申请时，应先到市建设局造价管理站办理竣工结算登记，发包人应确认承包人提交的竣工结算书和结算资料已包括：经批准的施工图纸、设计变更图纸、招标文件、招标答疑纪要、中标的投标总报价组成明细、中标通知书、施工合同、工程签证、设计变更确认文件、双方合同价格调整确认资料、批准的索赔费用明细等一切办理竣工结算核对所需资料，自此另行追加结算资料将不作为竣工结算的依据。如未办理竣工结算登记，克拉玛依市质量监督部门不办理竣工验收。</w:t>
      </w:r>
    </w:p>
    <w:bookmarkEnd w:id="622"/>
    <w:bookmarkEnd w:id="623"/>
    <w:bookmarkEnd w:id="624"/>
    <w:bookmarkEnd w:id="625"/>
    <w:bookmarkEnd w:id="626"/>
    <w:bookmarkEnd w:id="627"/>
    <w:bookmarkEnd w:id="628"/>
    <w:bookmarkEnd w:id="629"/>
    <w:bookmarkEnd w:id="630"/>
    <w:bookmarkEnd w:id="631"/>
    <w:bookmarkEnd w:id="632"/>
    <w:bookmarkEnd w:id="633"/>
    <w:bookmarkEnd w:id="634"/>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35" w:name="_Toc267251484"/>
      <w:bookmarkStart w:id="636" w:name="_Toc267251482"/>
      <w:bookmarkStart w:id="637" w:name="_Toc267251485"/>
      <w:bookmarkStart w:id="638" w:name="_Toc267251488"/>
      <w:bookmarkStart w:id="639" w:name="_Toc267251489"/>
      <w:bookmarkStart w:id="640" w:name="_Toc267251486"/>
      <w:bookmarkStart w:id="641" w:name="_Toc267251490"/>
      <w:bookmarkStart w:id="642" w:name="_Toc267251507"/>
      <w:bookmarkStart w:id="643" w:name="_Toc267251496"/>
      <w:bookmarkStart w:id="644" w:name="_Toc267251498"/>
      <w:bookmarkStart w:id="645" w:name="_Toc267251494"/>
      <w:bookmarkStart w:id="646" w:name="_Toc267251502"/>
      <w:bookmarkStart w:id="647" w:name="_Toc267251495"/>
      <w:bookmarkStart w:id="648" w:name="_Toc267251504"/>
      <w:bookmarkStart w:id="649" w:name="_Toc267251503"/>
      <w:bookmarkStart w:id="650" w:name="_Toc267251499"/>
      <w:bookmarkStart w:id="651" w:name="_Toc267251508"/>
      <w:bookmarkStart w:id="652" w:name="_Toc267251493"/>
      <w:bookmarkStart w:id="653" w:name="_Toc267251510"/>
      <w:bookmarkStart w:id="654" w:name="_Toc267251514"/>
      <w:bookmarkStart w:id="655" w:name="_Toc267251491"/>
      <w:bookmarkStart w:id="656" w:name="_Toc267251497"/>
      <w:bookmarkStart w:id="657" w:name="_Toc267251492"/>
      <w:bookmarkStart w:id="658" w:name="_Toc267251515"/>
      <w:bookmarkStart w:id="659" w:name="_Toc267251506"/>
      <w:bookmarkStart w:id="660" w:name="_Toc267251513"/>
      <w:bookmarkStart w:id="661" w:name="_Toc267251511"/>
      <w:bookmarkStart w:id="662" w:name="_Toc267251501"/>
      <w:bookmarkStart w:id="663" w:name="_Toc267251509"/>
      <w:r>
        <w:rPr>
          <w:rFonts w:hint="eastAsia" w:ascii="宋体" w:hAnsi="宋体" w:eastAsia="宋体" w:cs="宋体"/>
          <w:color w:val="000000" w:themeColor="text1"/>
          <w:sz w:val="24"/>
          <w:szCs w:val="24"/>
          <w:highlight w:val="none"/>
          <w14:textFill>
            <w14:solidFill>
              <w14:schemeClr w14:val="tx1"/>
            </w14:solidFill>
          </w14:textFill>
        </w:rPr>
        <w:t>13.2.2竣工验收程序</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关于竣工验收程序的约定：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发包人不按照本项约定组织竣工验收、颁发工程接收证书的违约金的计算方法：</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13.2.5移交、接收全部与部分工程</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承包人向发包人移交工程的期限：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发包人未按本合同约定接收全部或部分工程的，违约金的计算方法为：</w:t>
      </w:r>
      <w:r>
        <w:rPr>
          <w:rFonts w:hint="eastAsia" w:ascii="宋体" w:hAnsi="宋体" w:eastAsia="宋体" w:cs="宋体"/>
          <w:color w:val="000000" w:themeColor="text1"/>
          <w:sz w:val="24"/>
          <w:szCs w:val="24"/>
          <w:highlight w:val="none"/>
          <w:u w:val="single"/>
          <w14:textFill>
            <w14:solidFill>
              <w14:schemeClr w14:val="tx1"/>
            </w14:solidFill>
          </w14:textFill>
        </w:rPr>
        <w:t>除承担工程照管、成品保护、保管等与工程有关的各项费用外，每延误一天，向承包人支付签约合同价格5‰的违约金。</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承包人未按时移交工程的，违约金的计算方法为：</w:t>
      </w:r>
      <w:r>
        <w:rPr>
          <w:rFonts w:hint="eastAsia" w:ascii="宋体" w:hAnsi="宋体" w:eastAsia="宋体" w:cs="宋体"/>
          <w:color w:val="000000" w:themeColor="text1"/>
          <w:sz w:val="24"/>
          <w:szCs w:val="24"/>
          <w:highlight w:val="none"/>
          <w:u w:val="single"/>
          <w14:textFill>
            <w14:solidFill>
              <w14:schemeClr w14:val="tx1"/>
            </w14:solidFill>
          </w14:textFill>
        </w:rPr>
        <w:t>除承担工程照管、成品保护、保管等与工程有关的各项费用外，每延误一天，向发包人支付签约合同价格5‰的违约金</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 工程试车</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13.3.1 试车程序</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工程试车内容：</w:t>
      </w:r>
      <w:r>
        <w:rPr>
          <w:rFonts w:hint="eastAsia" w:ascii="宋体" w:hAnsi="宋体" w:eastAsia="宋体" w:cs="宋体"/>
          <w:color w:val="000000" w:themeColor="text1"/>
          <w:sz w:val="24"/>
          <w:szCs w:val="24"/>
          <w:highlight w:val="none"/>
          <w:u w:val="single"/>
          <w14:textFill>
            <w14:solidFill>
              <w14:schemeClr w14:val="tx1"/>
            </w14:solidFill>
          </w14:textFill>
        </w:rPr>
        <w:t>与本合同约定的承包范围一致。</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（1）单机无负荷试车费用由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承包人 </w:t>
      </w:r>
      <w:r>
        <w:rPr>
          <w:rFonts w:hint="eastAsia" w:ascii="宋体" w:hAnsi="宋体" w:eastAsia="宋体" w:cs="宋体"/>
          <w:color w:val="000000" w:themeColor="text1"/>
          <w:kern w:val="0"/>
          <w:sz w:val="24"/>
          <w:szCs w:val="24"/>
          <w:highlight w:val="none"/>
          <w14:textFill>
            <w14:solidFill>
              <w14:schemeClr w14:val="tx1"/>
            </w14:solidFill>
          </w14:textFill>
        </w:rPr>
        <w:t>承担；</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（2）无负荷联动试车费用由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发包人 </w:t>
      </w:r>
      <w:r>
        <w:rPr>
          <w:rFonts w:hint="eastAsia" w:ascii="宋体" w:hAnsi="宋体" w:eastAsia="宋体" w:cs="宋体"/>
          <w:color w:val="000000" w:themeColor="text1"/>
          <w:kern w:val="0"/>
          <w:sz w:val="24"/>
          <w:szCs w:val="24"/>
          <w:highlight w:val="none"/>
          <w14:textFill>
            <w14:solidFill>
              <w14:schemeClr w14:val="tx1"/>
            </w14:solidFill>
          </w14:textFill>
        </w:rPr>
        <w:t>承担。</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13.3.3 投料试车</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关于投料试车相关事项的约定：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13.6 竣工退场</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13.6.1 竣工退场</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承包人完成竣工退场的期限：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颁发工程接收证书之日起14日内 </w:t>
      </w:r>
      <w:r>
        <w:rPr>
          <w:rFonts w:hint="eastAsia" w:ascii="宋体" w:hAnsi="宋体" w:eastAsia="宋体" w:cs="宋体"/>
          <w:color w:val="000000" w:themeColor="text1"/>
          <w:kern w:val="0"/>
          <w:sz w:val="24"/>
          <w:szCs w:val="24"/>
          <w:highlight w:val="none"/>
          <w14:textFill>
            <w14:solidFill>
              <w14:schemeClr w14:val="tx1"/>
            </w14:solidFill>
          </w14:textFill>
        </w:rPr>
        <w:t>。</w:t>
      </w:r>
      <w:bookmarkStart w:id="664" w:name="_Toc351203646"/>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除执行通用合同条款外，还应执行：</w:t>
      </w:r>
      <w:r>
        <w:rPr>
          <w:rFonts w:hint="eastAsia" w:ascii="宋体" w:hAnsi="宋体" w:eastAsia="宋体" w:cs="宋体"/>
          <w:color w:val="000000" w:themeColor="text1"/>
          <w:kern w:val="0"/>
          <w:sz w:val="24"/>
          <w:szCs w:val="24"/>
          <w:highlight w:val="none"/>
          <w:u w:val="single"/>
          <w14:textFill>
            <w14:solidFill>
              <w14:schemeClr w14:val="tx1"/>
            </w14:solidFill>
          </w14:textFill>
        </w:rPr>
        <w:t>①承包人应当保留为完成甩尾工作和保修工作的必要人员、工程设备和设施，发包人应为承包人履行上述义务、进出和占用现场提供方便和协助。②在承包人逾期退场，发包人处理承包人遗留在现场的物品时应当慎重。原则上，发包人应事先通知承包人自行处理，承包人在发包人规定的合理期限内仍不处理的，发包人有权出售或另行处理，包括进行拍卖、提存等。</w:t>
      </w:r>
    </w:p>
    <w:bookmarkEnd w:id="664"/>
    <w:p>
      <w:pPr>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 竣工结算</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 竣工结算申请</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承包人提供竣工结算申请单的期限：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竣工</w:t>
      </w:r>
      <w:r>
        <w:rPr>
          <w:rFonts w:hint="eastAsia" w:ascii="宋体" w:hAnsi="宋体" w:eastAsia="宋体" w:cs="宋体"/>
          <w:color w:val="000000" w:themeColor="text1"/>
          <w:sz w:val="24"/>
          <w:szCs w:val="24"/>
          <w:highlight w:val="none"/>
          <w:lang w:eastAsia="zh-CN"/>
          <w14:textFill>
            <w14:solidFill>
              <w14:schemeClr w14:val="tx1"/>
            </w14:solidFill>
          </w14:textFill>
        </w:rPr>
        <w:t>结算</w:t>
      </w:r>
      <w:r>
        <w:rPr>
          <w:rFonts w:hint="eastAsia" w:ascii="宋体" w:hAnsi="宋体" w:eastAsia="宋体" w:cs="宋体"/>
          <w:color w:val="000000" w:themeColor="text1"/>
          <w:sz w:val="24"/>
          <w:szCs w:val="24"/>
          <w:highlight w:val="none"/>
          <w14:textFill>
            <w14:solidFill>
              <w14:schemeClr w14:val="tx1"/>
            </w14:solidFill>
          </w14:textFill>
        </w:rPr>
        <w:t>申请单应包括的内容：</w:t>
      </w:r>
      <w:r>
        <w:rPr>
          <w:rFonts w:hint="eastAsia" w:ascii="宋体" w:hAnsi="宋体" w:eastAsia="宋体" w:cs="宋体"/>
          <w:color w:val="000000" w:themeColor="text1"/>
          <w:sz w:val="24"/>
          <w:szCs w:val="24"/>
          <w:highlight w:val="none"/>
          <w:u w:val="single"/>
          <w14:textFill>
            <w14:solidFill>
              <w14:schemeClr w14:val="tx1"/>
            </w14:solidFill>
          </w14:textFill>
        </w:rPr>
        <w:t>除执行通用合同条款本条款外，按照发包人、监理人及克拉玛依市各管理部门规定和要求提供。</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竣工结算审核</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发包人审批竣工结算申请单的期限：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发包人完成竣工付款的期限：</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关于竣工付款证书异议部分复核的方式和程序：</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14.4 最终结清</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14.4.1 最终结清申请单</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承包人提交最终结清申请单的份数：</w:t>
      </w:r>
      <w:r>
        <w:rPr>
          <w:rFonts w:hint="eastAsia" w:ascii="宋体" w:hAnsi="宋体" w:eastAsia="宋体" w:cs="宋体"/>
          <w:color w:val="000000" w:themeColor="text1"/>
          <w:sz w:val="24"/>
          <w:szCs w:val="24"/>
          <w:highlight w:val="none"/>
          <w:u w:val="single"/>
          <w14:textFill>
            <w14:solidFill>
              <w14:schemeClr w14:val="tx1"/>
            </w14:solidFill>
          </w14:textFill>
        </w:rPr>
        <w:t>一式伍份。</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承包人提交最终结算申请单的期限：</w:t>
      </w:r>
      <w:r>
        <w:rPr>
          <w:rFonts w:hint="eastAsia" w:ascii="宋体" w:hAnsi="宋体" w:eastAsia="宋体" w:cs="宋体"/>
          <w:color w:val="000000" w:themeColor="text1"/>
          <w:sz w:val="24"/>
          <w:szCs w:val="24"/>
          <w:highlight w:val="none"/>
          <w:u w:val="single"/>
          <w14:textFill>
            <w14:solidFill>
              <w14:schemeClr w14:val="tx1"/>
            </w14:solidFill>
          </w14:textFill>
        </w:rPr>
        <w:t>承包人应在缺陷责任期终止证书颁发后7天内。</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65" w:name="_Toc267251483"/>
      <w:bookmarkStart w:id="666" w:name="_Toc351203647"/>
      <w:r>
        <w:rPr>
          <w:rFonts w:hint="eastAsia" w:ascii="宋体" w:hAnsi="宋体" w:eastAsia="宋体" w:cs="宋体"/>
          <w:color w:val="000000" w:themeColor="text1"/>
          <w:sz w:val="24"/>
          <w:szCs w:val="24"/>
          <w:highlight w:val="none"/>
          <w14:textFill>
            <w14:solidFill>
              <w14:schemeClr w14:val="tx1"/>
            </w14:solidFill>
          </w14:textFill>
        </w:rPr>
        <w:t>14.4.2 最终结清证书和支付</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（1）发包人完成最终结清申请单的审批并颁发最终结清证书的期限：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（2）发包人完成支付的期限：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还应执行（与通用合同条款不一致之处，以本约定为准）：</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竣工结算与支付：承包人应在提交竣工验收报告的同时向发包人提交竣工结算报告及完整的结算资料，承包人未在约定时间内递交竣工结算书，经发包人催促后仍未提供或未明确答复的，发包人可以根据已有资料办理结算。发包人按《建设工程价款结算暂行办法》（财建〖2004〗369号文）文件规定时间进行核对，在文件规定时间内不核对竣工结算或未提出核对意见的，视为承包人递交的竣工结算书已经认可，发包人向承包人支付工程结算价款时间应执行财建〖2004〗369号文规定。发包人根据确认的竣工结算报告向承包人支付工程竣工结算价款，保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%的质量保证（保修）金，质保期内如有返修，发生费用应在质量保证（保修）金内扣除。</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②竣工结算审定后发包人按下列方式支付：A、当承包人达到合同要求的工程质量时，发包人按竣工结算造价的9</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扣除养护费）支付给承包人，剩余部分作为工程质量保证（保修）金，依据国家和自治区的有关规定进行返还。B、因发包人原因造成工程质量不合格的，发包人应承担全部经济责任。C、因承包人原因造成工程质量不合格或返工后不合格的，承包人应承担全部经济责任，并依据相关要求进行处理。</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③承包人提供的所有竣工资料应满足工程备案要求，并经</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克拉玛依市城建档案馆</w:t>
      </w:r>
      <w:r>
        <w:rPr>
          <w:rFonts w:hint="eastAsia" w:ascii="宋体" w:hAnsi="宋体" w:eastAsia="宋体" w:cs="宋体"/>
          <w:color w:val="000000" w:themeColor="text1"/>
          <w:sz w:val="24"/>
          <w:szCs w:val="24"/>
          <w:highlight w:val="none"/>
          <w:u w:val="single"/>
          <w14:textFill>
            <w14:solidFill>
              <w14:schemeClr w14:val="tx1"/>
            </w14:solidFill>
          </w14:textFill>
        </w:rPr>
        <w:t>档案验收合格，如未通过</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克拉玛依市城建档案馆</w:t>
      </w:r>
      <w:r>
        <w:rPr>
          <w:rFonts w:hint="eastAsia" w:ascii="宋体" w:hAnsi="宋体" w:eastAsia="宋体" w:cs="宋体"/>
          <w:color w:val="000000" w:themeColor="text1"/>
          <w:sz w:val="24"/>
          <w:szCs w:val="24"/>
          <w:highlight w:val="none"/>
          <w:u w:val="single"/>
          <w14:textFill>
            <w14:solidFill>
              <w14:schemeClr w14:val="tx1"/>
            </w14:solidFill>
          </w14:textFill>
        </w:rPr>
        <w:t>档案验收者，则发包人将停止支付承包人的工程结算款，待档案验收合格后再支付结算款。</w:t>
      </w:r>
    </w:p>
    <w:p>
      <w:pPr>
        <w:keepNext w:val="0"/>
        <w:keepLines w:val="0"/>
        <w:pageBreakBefore w:val="0"/>
        <w:widowControl w:val="0"/>
        <w:wordWrap/>
        <w:topLinePunct w:val="0"/>
        <w:bidi w:val="0"/>
        <w:spacing w:line="540" w:lineRule="exact"/>
        <w:ind w:right="0" w:rightChars="0" w:firstLine="42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④竣工结算完成15日内，发、承包人双方携带核定确认的竣工结算资料，按克建发〖2009〗38号《克拉玛依市建设工程竣工结算备案暂行管理办法》文件要求到克拉玛依市建设局工程造价标准定额管理站备案。</w:t>
      </w:r>
    </w:p>
    <w:p>
      <w:pPr>
        <w:keepNext w:val="0"/>
        <w:keepLines w:val="0"/>
        <w:pageBreakBefore w:val="0"/>
        <w:widowControl w:val="0"/>
        <w:wordWrap/>
        <w:topLinePunct w:val="0"/>
        <w:bidi w:val="0"/>
        <w:spacing w:line="540" w:lineRule="exact"/>
        <w:ind w:right="0" w:rightChars="0" w:firstLine="42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⑤其他相关规定执行《关于印发克拉玛依市建筑工程合同价款管理办法(施行)的通知》（克建发[2016]46号）的相关规定。</w:t>
      </w:r>
    </w:p>
    <w:p>
      <w:pPr>
        <w:keepNext w:val="0"/>
        <w:keepLines w:val="0"/>
        <w:pageBreakBefore w:val="0"/>
        <w:widowControl w:val="0"/>
        <w:wordWrap/>
        <w:topLinePunct w:val="0"/>
        <w:bidi w:val="0"/>
        <w:spacing w:line="540" w:lineRule="exact"/>
        <w:ind w:right="0" w:rightChars="0" w:firstLine="42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⑥承包人如未在规定时间内提供完整的工程竣工结算资料，经发包人催促后14天内仍未提供或没有明确答复，发包人有权根据已有资料进行审查，且每延误一天支付签约合同价格1‰的违约金。</w:t>
      </w:r>
    </w:p>
    <w:bookmarkEnd w:id="665"/>
    <w:bookmarkEnd w:id="666"/>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缺陷责任期与保修</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15.2缺陷责任期</w:t>
      </w:r>
    </w:p>
    <w:p>
      <w:pPr>
        <w:spacing w:line="360" w:lineRule="auto"/>
        <w:ind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缺陷责任期的具体期限：</w:t>
      </w:r>
      <w:r>
        <w:rPr>
          <w:rFonts w:hint="eastAsia" w:ascii="宋体" w:hAnsi="宋体" w:eastAsia="宋体" w:cs="宋体"/>
          <w:color w:val="000000" w:themeColor="text1"/>
          <w:sz w:val="24"/>
          <w:szCs w:val="24"/>
          <w:highlight w:val="none"/>
          <w:u w:val="single"/>
          <w14:textFill>
            <w14:solidFill>
              <w14:schemeClr w14:val="tx1"/>
            </w14:solidFill>
          </w14:textFill>
        </w:rPr>
        <w:t>自工程通过竣工验收之日起24个月。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 质量保证金</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关于是否扣留质量保证金的约定：</w:t>
      </w:r>
      <w:r>
        <w:rPr>
          <w:rFonts w:hint="eastAsia" w:ascii="宋体" w:hAnsi="宋体" w:eastAsia="宋体" w:cs="宋体"/>
          <w:color w:val="000000" w:themeColor="text1"/>
          <w:sz w:val="24"/>
          <w:szCs w:val="24"/>
          <w:highlight w:val="none"/>
          <w:u w:val="single"/>
          <w14:textFill>
            <w14:solidFill>
              <w14:schemeClr w14:val="tx1"/>
            </w14:solidFill>
          </w14:textFill>
        </w:rPr>
        <w:t>扣留质量保证金</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在工程项目竣工前，承包人按本专用合同条款第3.7条提供履约担保的，发包人不得同时预留工程质量保证金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15.3.1 承包人提供质量保证金的方式</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质量保证金采用以下第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种方式：</w:t>
      </w:r>
    </w:p>
    <w:p>
      <w:pPr>
        <w:autoSpaceDE w:val="0"/>
        <w:autoSpaceDN w:val="0"/>
        <w:adjustRightIn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（1）质量保证金保函，保证金额为：</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pPr>
        <w:autoSpaceDE w:val="0"/>
        <w:autoSpaceDN w:val="0"/>
        <w:adjustRightIn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u w:val="single"/>
          <w14:textFill>
            <w14:solidFill>
              <w14:schemeClr w14:val="tx1"/>
            </w14:solidFill>
          </w14:textFill>
        </w:rPr>
        <w:t>经审定的竣工结算价款</w:t>
      </w:r>
      <w:r>
        <w:rPr>
          <w:rFonts w:hint="eastAsia" w:ascii="宋体" w:hAnsi="宋体" w:eastAsia="宋体" w:cs="宋体"/>
          <w:color w:val="000000" w:themeColor="text1"/>
          <w:sz w:val="24"/>
          <w:szCs w:val="24"/>
          <w:highlight w:val="none"/>
          <w:u w:val="single"/>
          <w14:textFill>
            <w14:solidFill>
              <w14:schemeClr w14:val="tx1"/>
            </w14:solidFill>
          </w14:textFill>
        </w:rPr>
        <w:t>（扣除养护费）</w:t>
      </w:r>
      <w:r>
        <w:rPr>
          <w:rFonts w:hint="eastAsia" w:ascii="宋体" w:hAnsi="宋体" w:eastAsia="宋体" w:cs="宋体"/>
          <w:color w:val="000000" w:themeColor="text1"/>
          <w:kern w:val="0"/>
          <w:sz w:val="24"/>
          <w:szCs w:val="24"/>
          <w:highlight w:val="none"/>
          <w:u w:val="single"/>
          <w14:textFill>
            <w14:solidFill>
              <w14:schemeClr w14:val="tx1"/>
            </w14:solidFill>
          </w14:textFill>
        </w:rPr>
        <w:t>的3 %的工程款</w:t>
      </w:r>
      <w:r>
        <w:rPr>
          <w:rFonts w:hint="eastAsia" w:ascii="宋体" w:hAnsi="宋体" w:eastAsia="宋体" w:cs="宋体"/>
          <w:color w:val="000000" w:themeColor="text1"/>
          <w:kern w:val="0"/>
          <w:sz w:val="24"/>
          <w:szCs w:val="24"/>
          <w:highlight w:val="none"/>
          <w14:textFill>
            <w14:solidFill>
              <w14:schemeClr w14:val="tx1"/>
            </w14:solidFill>
          </w14:textFill>
        </w:rPr>
        <w:t>；</w:t>
      </w:r>
    </w:p>
    <w:p>
      <w:pPr>
        <w:autoSpaceDE w:val="0"/>
        <w:autoSpaceDN w:val="0"/>
        <w:adjustRightIn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（3）其他方式:</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15.3.2 质量保证金的扣留 </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质量保证金的扣留采取以下第</w:t>
      </w:r>
      <w:r>
        <w:rPr>
          <w:rFonts w:hint="eastAsia" w:ascii="宋体" w:hAnsi="宋体" w:eastAsia="宋体" w:cs="宋体"/>
          <w:color w:val="000000" w:themeColor="text1"/>
          <w:sz w:val="24"/>
          <w:szCs w:val="24"/>
          <w:highlight w:val="none"/>
          <w:u w:val="singl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种方式：</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（1）在支付工程进度款时逐次扣留，在此情形下，质量保证金的计算基数不包括预付款的支付、扣回以及价格调整的金额；</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（2）工程竣工结算时一次性扣留质量保证金；</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（3）其他扣留方式:</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关于质量保证金的补充约定：</w:t>
      </w:r>
      <w:r>
        <w:rPr>
          <w:rFonts w:hint="eastAsia" w:ascii="宋体" w:hAnsi="宋体" w:eastAsia="宋体" w:cs="宋体"/>
          <w:color w:val="000000" w:themeColor="text1"/>
          <w:kern w:val="0"/>
          <w:sz w:val="24"/>
          <w:szCs w:val="24"/>
          <w:highlight w:val="none"/>
          <w:u w:val="single"/>
          <w14:textFill>
            <w14:solidFill>
              <w14:schemeClr w14:val="tx1"/>
            </w14:solidFill>
          </w14:textFill>
        </w:rPr>
        <w:t>执行质量保证书的相关约定。</w:t>
      </w:r>
    </w:p>
    <w:bookmarkEnd w:id="635"/>
    <w:bookmarkEnd w:id="636"/>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15.4保修</w:t>
      </w:r>
    </w:p>
    <w:bookmarkEnd w:id="637"/>
    <w:p>
      <w:pPr>
        <w:keepNext w:val="0"/>
        <w:keepLines w:val="0"/>
        <w:pageBreakBefore w:val="0"/>
        <w:widowControl w:val="0"/>
        <w:wordWrap/>
        <w:topLinePunct w:val="0"/>
        <w:bidi w:val="0"/>
        <w:spacing w:line="540" w:lineRule="exact"/>
        <w:ind w:right="0" w:rightChars="0" w:firstLine="468" w:firstLineChars="195"/>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15.4.1 保修责任</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工程保修期为：</w:t>
      </w:r>
      <w:r>
        <w:rPr>
          <w:rFonts w:hint="eastAsia" w:ascii="宋体" w:hAnsi="宋体" w:eastAsia="宋体" w:cs="宋体"/>
          <w:color w:val="000000" w:themeColor="text1"/>
          <w:sz w:val="24"/>
          <w:szCs w:val="24"/>
          <w:highlight w:val="none"/>
          <w:u w:val="single"/>
          <w14:textFill>
            <w14:solidFill>
              <w14:schemeClr w14:val="tx1"/>
            </w14:solidFill>
          </w14:textFill>
        </w:rPr>
        <w:t>工程质量保修范围、期限和责任按照《工程质量保修书》和本合同相关条款执行。保修期自实际竣工日期起计算。</w:t>
      </w:r>
    </w:p>
    <w:p>
      <w:pPr>
        <w:keepNext w:val="0"/>
        <w:keepLines w:val="0"/>
        <w:pageBreakBefore w:val="0"/>
        <w:widowControl w:val="0"/>
        <w:wordWrap/>
        <w:topLinePunct w:val="0"/>
        <w:bidi w:val="0"/>
        <w:spacing w:line="540" w:lineRule="exact"/>
        <w:ind w:right="0" w:rightChars="0" w:firstLine="468" w:firstLineChars="195"/>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15.4.3 修复通知</w:t>
      </w:r>
    </w:p>
    <w:p>
      <w:pPr>
        <w:keepNext w:val="0"/>
        <w:keepLines w:val="0"/>
        <w:pageBreakBefore w:val="0"/>
        <w:widowControl w:val="0"/>
        <w:wordWrap/>
        <w:topLinePunct w:val="0"/>
        <w:bidi w:val="0"/>
        <w:spacing w:line="540" w:lineRule="exact"/>
        <w:ind w:right="0" w:rightChars="0" w:firstLine="468" w:firstLineChars="195"/>
        <w:jc w:val="lef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承包人收到保修通知并到达工程现场的合理时间：</w:t>
      </w:r>
      <w:r>
        <w:rPr>
          <w:rFonts w:hint="eastAsia" w:ascii="宋体" w:hAnsi="宋体" w:eastAsia="宋体" w:cs="宋体"/>
          <w:color w:val="000000" w:themeColor="text1"/>
          <w:kern w:val="0"/>
          <w:sz w:val="24"/>
          <w:szCs w:val="24"/>
          <w:highlight w:val="none"/>
          <w:u w:val="single"/>
          <w14:textFill>
            <w14:solidFill>
              <w14:schemeClr w14:val="tx1"/>
            </w14:solidFill>
          </w14:textFill>
        </w:rPr>
        <w:t>接到发包人通知（包括书面和电话通知）之日起8小时内到达工程现场。</w:t>
      </w:r>
    </w:p>
    <w:p>
      <w:pPr>
        <w:keepNext w:val="0"/>
        <w:keepLines w:val="0"/>
        <w:pageBreakBefore w:val="0"/>
        <w:widowControl w:val="0"/>
        <w:wordWrap/>
        <w:topLinePunct w:val="0"/>
        <w:bidi w:val="0"/>
        <w:spacing w:line="540" w:lineRule="exact"/>
        <w:ind w:right="0" w:rightChars="0" w:firstLine="468" w:firstLineChars="195"/>
        <w:jc w:val="lef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还应执行：</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保修期内，承包人应负责未移交工程和工程设备的全部日常维护和质量保修工作，对己移交发包人使用的工程和工程设备，则应由发包人负责日常维护工作，但承包人应按移交证书中所列的质量保修清单进行修复，直至经监理人检验合格为止。</w:t>
      </w:r>
    </w:p>
    <w:p>
      <w:pPr>
        <w:keepNext w:val="0"/>
        <w:keepLines w:val="0"/>
        <w:pageBreakBefore w:val="0"/>
        <w:widowControl w:val="0"/>
        <w:wordWrap/>
        <w:topLinePunct w:val="0"/>
        <w:bidi w:val="0"/>
        <w:adjustRightInd w:val="0"/>
        <w:snapToGrid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发包人在保修期内使用工程和工程设备过程中，发现新的缺陷和损坏或原修复的缺陷部位或部件又遭损坏，则承包人应按监理人的指示负责修复，直至经监理人检验合格为止。监理人应会同发包人和承包人共同进行查验，若经查验确属由于承包人施工中隐存的或其它由于承包人责任造成的缺陷或损坏，应由承包人承担修复费用；若经查验确属发包人使用不当或其它由于发包人责任造成的缺陷或损坏，则应由发包人承担修复费用。</w:t>
      </w:r>
      <w:bookmarkEnd w:id="638"/>
      <w:bookmarkEnd w:id="639"/>
      <w:bookmarkEnd w:id="640"/>
      <w:bookmarkEnd w:id="641"/>
      <w:bookmarkStart w:id="667" w:name="_Toc280868718"/>
      <w:bookmarkStart w:id="668" w:name="_Toc351203648"/>
      <w:bookmarkStart w:id="669" w:name="_Toc280868717"/>
    </w:p>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7"/>
    <w:bookmarkEnd w:id="668"/>
    <w:bookmarkEnd w:id="669"/>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670" w:name="_Toc351203649"/>
      <w:r>
        <w:rPr>
          <w:rFonts w:hint="eastAsia" w:ascii="宋体" w:hAnsi="宋体" w:eastAsia="宋体" w:cs="宋体"/>
          <w:bCs/>
          <w:color w:val="000000" w:themeColor="text1"/>
          <w:sz w:val="24"/>
          <w:szCs w:val="24"/>
          <w:highlight w:val="none"/>
          <w14:textFill>
            <w14:solidFill>
              <w14:schemeClr w14:val="tx1"/>
            </w14:solidFill>
          </w14:textFill>
        </w:rPr>
        <w:t>16. 违约</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16.1 发包人违约</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16.1.1 发包人违约的其他情形：</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540" w:lineRule="exact"/>
        <w:ind w:left="1200" w:right="0" w:rightChars="0" w:hanging="1200" w:hangingChars="5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16.1.2 发包人违约的责任</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发包人违约责任的承担方式和计算方法：</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（1）因发包人原因未能在计划开工日期前7天内下达开工通知的违约责任：</w:t>
      </w:r>
      <w:r>
        <w:rPr>
          <w:rFonts w:hint="eastAsia" w:ascii="宋体" w:hAnsi="宋体" w:eastAsia="宋体" w:cs="宋体"/>
          <w:color w:val="000000" w:themeColor="text1"/>
          <w:kern w:val="0"/>
          <w:sz w:val="24"/>
          <w:szCs w:val="24"/>
          <w:highlight w:val="none"/>
          <w:u w:val="single"/>
          <w14:textFill>
            <w14:solidFill>
              <w14:schemeClr w14:val="tx1"/>
            </w14:solidFill>
          </w14:textFill>
        </w:rPr>
        <w:t>顺延工期，并支付签约合同价格0.5‰的违约金</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（2）因发包人原因未能按合同约定支付合同价格的违约责任：</w:t>
      </w:r>
      <w:r>
        <w:rPr>
          <w:rFonts w:hint="eastAsia" w:ascii="宋体" w:hAnsi="宋体" w:eastAsia="宋体" w:cs="宋体"/>
          <w:bCs/>
          <w:color w:val="000000" w:themeColor="text1"/>
          <w:kern w:val="0"/>
          <w:sz w:val="24"/>
          <w:szCs w:val="24"/>
          <w:highlight w:val="none"/>
          <w:u w:val="single"/>
          <w14:textFill>
            <w14:solidFill>
              <w14:schemeClr w14:val="tx1"/>
            </w14:solidFill>
          </w14:textFill>
        </w:rPr>
        <w:t>除执行通用合同条款本条款外，每逾期一天发包人应按约定应付之日起向承包人支付应付款的同期贷款利息</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eastAsia="宋体" w:cs="宋体"/>
          <w:bCs/>
          <w:color w:val="000000" w:themeColor="text1"/>
          <w:kern w:val="0"/>
          <w:sz w:val="24"/>
          <w:szCs w:val="24"/>
          <w:highlight w:val="none"/>
          <w:u w:val="single"/>
          <w14:textFill>
            <w14:solidFill>
              <w14:schemeClr w14:val="tx1"/>
            </w14:solidFill>
          </w14:textFill>
        </w:rPr>
        <w:t>由此给承包人造成的一切损失由发包人承担</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eastAsia="宋体" w:cs="宋体"/>
          <w:bCs/>
          <w:color w:val="000000" w:themeColor="text1"/>
          <w:kern w:val="0"/>
          <w:sz w:val="24"/>
          <w:szCs w:val="24"/>
          <w:highlight w:val="none"/>
          <w:u w:val="single"/>
          <w14:textFill>
            <w14:solidFill>
              <w14:schemeClr w14:val="tx1"/>
            </w14:solidFill>
          </w14:textFill>
        </w:rPr>
        <w:t>由此造成的工程质量问题及工期延误由发包人承担质量及工期延误责任，同时承担相应的费用；如发包人原因导致交货日期延误和交货地点变更由此引起的一切相关费用由发包人承担</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（5）因发包人违反合同约定造成暂停施工的违约责任：</w:t>
      </w:r>
      <w:r>
        <w:rPr>
          <w:rFonts w:hint="eastAsia" w:ascii="宋体" w:hAnsi="宋体" w:eastAsia="宋体" w:cs="宋体"/>
          <w:bCs/>
          <w:color w:val="000000" w:themeColor="text1"/>
          <w:kern w:val="0"/>
          <w:sz w:val="24"/>
          <w:szCs w:val="24"/>
          <w:highlight w:val="none"/>
          <w:u w:val="single"/>
          <w14:textFill>
            <w14:solidFill>
              <w14:schemeClr w14:val="tx1"/>
            </w14:solidFill>
          </w14:textFill>
        </w:rPr>
        <w:t>由此造成工期延误的责任及相关费用由发包人承担，同时工期相应顺延</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eastAsia="宋体" w:cs="宋体"/>
          <w:bCs/>
          <w:color w:val="000000" w:themeColor="text1"/>
          <w:kern w:val="0"/>
          <w:sz w:val="24"/>
          <w:szCs w:val="24"/>
          <w:highlight w:val="none"/>
          <w:u w:val="single"/>
          <w14:textFill>
            <w14:solidFill>
              <w14:schemeClr w14:val="tx1"/>
            </w14:solidFill>
          </w14:textFill>
        </w:rPr>
        <w:t>由此造成工期延误的责任及相关费用由发包人承担，同时工期相应顺延</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（7）其他：</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left="1199" w:leftChars="228" w:right="0" w:rightChars="0" w:hanging="720" w:hangingChars="3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16.1.3 因发包人违约解除合同</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承包人按16.1.1项〔发包人违约的情形〕约定暂停施工满</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28  </w:t>
      </w:r>
      <w:r>
        <w:rPr>
          <w:rFonts w:hint="eastAsia" w:ascii="宋体" w:hAnsi="宋体" w:eastAsia="宋体" w:cs="宋体"/>
          <w:bCs/>
          <w:color w:val="000000" w:themeColor="text1"/>
          <w:kern w:val="0"/>
          <w:sz w:val="24"/>
          <w:szCs w:val="24"/>
          <w:highlight w:val="none"/>
          <w14:textFill>
            <w14:solidFill>
              <w14:schemeClr w14:val="tx1"/>
            </w14:solidFill>
          </w14:textFill>
        </w:rPr>
        <w:t>天后发包人仍不纠正其违约行为并致使合同目的不能实现的，承包人有权解除合同。</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 承包人违约</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16.2.1 承包人违约的情形</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（1）承包人违反合同约定进行转包或违法分包的；</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（2）承包人违反合同约定采购和使用不合格的材料和工程设备的；</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（3）因承包人原因导致工程质量不符合合同要求的； </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（4）承包人违反第8.9款〔材料与设备专用要求〕的约定，未经批准，私自将已按照合同约定进入施工现场的材料或设备撤离施工现场的；</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（5）承包人未能按施工进度计划及时完成合同约定的工作，造成工期延误的；</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（6）承包人在缺陷责任期及保修期内，未能在合理期限对工程缺陷进行修复，或拒绝按发包人要求进行修复的；</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（7）承包人明确表示或者以其行为表明不履行合同主要义务的；</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（8）承包人未能按照合同约定履行其他义务的。</w:t>
      </w:r>
    </w:p>
    <w:p>
      <w:pPr>
        <w:keepNext w:val="0"/>
        <w:keepLines w:val="0"/>
        <w:pageBreakBefore w:val="0"/>
        <w:widowControl w:val="0"/>
        <w:wordWrap/>
        <w:topLinePunct w:val="0"/>
        <w:autoSpaceDE w:val="0"/>
        <w:autoSpaceDN w:val="0"/>
        <w:bidi w:val="0"/>
        <w:adjustRightInd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承包人发生除本项第（7）目约定以外的其他违约情况时，监理人可向承包人发出整改通知，要求其在指定的期限内改正。</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承包人违约的其他情形：</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16.2.2承包人违约的责任</w:t>
      </w:r>
    </w:p>
    <w:p>
      <w:pPr>
        <w:keepNext w:val="0"/>
        <w:keepLines w:val="0"/>
        <w:pageBreakBefore w:val="0"/>
        <w:widowControl w:val="0"/>
        <w:tabs>
          <w:tab w:val="left" w:pos="700"/>
        </w:tabs>
        <w:wordWrap/>
        <w:topLinePunct w:val="0"/>
        <w:bidi w:val="0"/>
        <w:spacing w:line="540" w:lineRule="exact"/>
        <w:ind w:right="0" w:righ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承包人违约责任的承担方式和计算方法：</w:t>
      </w:r>
    </w:p>
    <w:p>
      <w:pPr>
        <w:keepNext w:val="0"/>
        <w:keepLines w:val="0"/>
        <w:pageBreakBefore w:val="0"/>
        <w:widowControl w:val="0"/>
        <w:tabs>
          <w:tab w:val="left" w:pos="700"/>
        </w:tabs>
        <w:wordWrap/>
        <w:topLinePunct w:val="0"/>
        <w:bidi w:val="0"/>
        <w:spacing w:line="540" w:lineRule="exact"/>
        <w:ind w:right="0" w:rightChars="0" w:firstLine="42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u w:val="single"/>
          <w14:textFill>
            <w14:solidFill>
              <w14:schemeClr w14:val="tx1"/>
            </w14:solidFill>
          </w14:textFill>
        </w:rPr>
        <w:t>承包人有16.2.1条违约行为时，发包人可向承包人发出解除合同通知，且自承包人接到发包人通知之日起，发包人尚未退还承包人的履约保证金不再退还，并保留进一步追究承包人法律责任的权利；由此造成与任意第三方的经济纠纷全部由承包人自行负责解决。其中，造成与承包人有关的第三方阻碍本项目移交使用的，自承包人接到发包人通知之日起10 日内，承包人必须完全完成清场退出工作，每延迟一天，按日向发包人支付签约合同价格5‰的违约金。违约金的计算公式为：本签约合同价格×5‰×延迟天数。同时给发包人及相关单位工作带来不利影响或造成损失的，由承包人承担相应赔偿等法律责任。</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②工程竣工验收未达到合同约定的质量标准，</w:t>
      </w:r>
      <w:bookmarkStart w:id="671" w:name="工程质量达不到合同约定的质量标准承包人违约责任约定"/>
      <w:r>
        <w:rPr>
          <w:rFonts w:hint="eastAsia" w:ascii="宋体" w:hAnsi="宋体" w:eastAsia="宋体" w:cs="宋体"/>
          <w:color w:val="000000" w:themeColor="text1"/>
          <w:sz w:val="24"/>
          <w:szCs w:val="24"/>
          <w:highlight w:val="none"/>
          <w:u w:val="single"/>
          <w14:textFill>
            <w14:solidFill>
              <w14:schemeClr w14:val="tx1"/>
            </w14:solidFill>
          </w14:textFill>
        </w:rPr>
        <w:t>承包人负责免费返修或返工重建，直至达到合同约定的质量标准为止，费用由承包人自行承担并承担由此给发包人造成的损失，工期不顺延，同时承包人向发包人支付经审定的工程竣工结算价款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%的违约金，如给发包人造成损失，由此引起的费用由承包人负责，此费用在应付工程款中扣除。施工过程中出现一般质量事故但不影响结构安全和功能的，每次向发包人支付人民币</w:t>
      </w:r>
      <w:r>
        <w:rPr>
          <w:rFonts w:hint="eastAsia" w:ascii="宋体" w:hAnsi="宋体" w:eastAsia="宋体" w:cs="宋体"/>
          <w:b/>
          <w:color w:val="000000" w:themeColor="text1"/>
          <w:sz w:val="24"/>
          <w:szCs w:val="24"/>
          <w:highlight w:val="none"/>
          <w:u w:val="single"/>
          <w14:textFill>
            <w14:solidFill>
              <w14:schemeClr w14:val="tx1"/>
            </w14:solidFill>
          </w14:textFill>
        </w:rPr>
        <w:t>贰万元</w:t>
      </w:r>
      <w:r>
        <w:rPr>
          <w:rFonts w:hint="eastAsia" w:ascii="宋体" w:hAnsi="宋体" w:eastAsia="宋体" w:cs="宋体"/>
          <w:color w:val="000000" w:themeColor="text1"/>
          <w:sz w:val="24"/>
          <w:szCs w:val="24"/>
          <w:highlight w:val="none"/>
          <w:u w:val="single"/>
          <w14:textFill>
            <w14:solidFill>
              <w14:schemeClr w14:val="tx1"/>
            </w14:solidFill>
          </w14:textFill>
        </w:rPr>
        <w:t>以下违约金;施工过程中出现重大质量事故但不影响结构安全和功能的，每次向发包人支付人民币</w:t>
      </w:r>
      <w:r>
        <w:rPr>
          <w:rFonts w:hint="eastAsia" w:ascii="宋体" w:hAnsi="宋体" w:eastAsia="宋体" w:cs="宋体"/>
          <w:b/>
          <w:color w:val="000000" w:themeColor="text1"/>
          <w:sz w:val="24"/>
          <w:szCs w:val="24"/>
          <w:highlight w:val="none"/>
          <w:u w:val="single"/>
          <w14:textFill>
            <w14:solidFill>
              <w14:schemeClr w14:val="tx1"/>
            </w14:solidFill>
          </w14:textFill>
        </w:rPr>
        <w:t>伍万元</w:t>
      </w:r>
      <w:r>
        <w:rPr>
          <w:rFonts w:hint="eastAsia" w:ascii="宋体" w:hAnsi="宋体" w:eastAsia="宋体" w:cs="宋体"/>
          <w:color w:val="000000" w:themeColor="text1"/>
          <w:sz w:val="24"/>
          <w:szCs w:val="24"/>
          <w:highlight w:val="none"/>
          <w:u w:val="single"/>
          <w14:textFill>
            <w14:solidFill>
              <w14:schemeClr w14:val="tx1"/>
            </w14:solidFill>
          </w14:textFill>
        </w:rPr>
        <w:t>以下违约金;施工过程中出现重大质量事故且影响结构安全和功能的，每次向发包人支付人民币</w:t>
      </w:r>
      <w:r>
        <w:rPr>
          <w:rFonts w:hint="eastAsia" w:ascii="宋体" w:hAnsi="宋体" w:eastAsia="宋体" w:cs="宋体"/>
          <w:b/>
          <w:color w:val="000000" w:themeColor="text1"/>
          <w:sz w:val="24"/>
          <w:szCs w:val="24"/>
          <w:highlight w:val="none"/>
          <w:u w:val="single"/>
          <w14:textFill>
            <w14:solidFill>
              <w14:schemeClr w14:val="tx1"/>
            </w14:solidFill>
          </w14:textFill>
        </w:rPr>
        <w:t>贰拾万</w:t>
      </w:r>
      <w:r>
        <w:rPr>
          <w:rFonts w:hint="eastAsia" w:ascii="宋体" w:hAnsi="宋体" w:eastAsia="宋体" w:cs="宋体"/>
          <w:color w:val="000000" w:themeColor="text1"/>
          <w:sz w:val="24"/>
          <w:szCs w:val="24"/>
          <w:highlight w:val="none"/>
          <w:u w:val="single"/>
          <w14:textFill>
            <w14:solidFill>
              <w14:schemeClr w14:val="tx1"/>
            </w14:solidFill>
          </w14:textFill>
        </w:rPr>
        <w:t>元以下违约金，承包人同时应承担由此带来的一切损失；外观质量差，但不影响结构安全和功能的，每处向发包人支付人民币</w:t>
      </w:r>
      <w:r>
        <w:rPr>
          <w:rFonts w:hint="eastAsia" w:ascii="宋体" w:hAnsi="宋体" w:eastAsia="宋体" w:cs="宋体"/>
          <w:b/>
          <w:color w:val="000000" w:themeColor="text1"/>
          <w:sz w:val="24"/>
          <w:szCs w:val="24"/>
          <w:highlight w:val="none"/>
          <w:u w:val="single"/>
          <w14:textFill>
            <w14:solidFill>
              <w14:schemeClr w14:val="tx1"/>
            </w14:solidFill>
          </w14:textFill>
        </w:rPr>
        <w:t>伍万元</w:t>
      </w:r>
      <w:r>
        <w:rPr>
          <w:rFonts w:hint="eastAsia" w:ascii="宋体" w:hAnsi="宋体" w:eastAsia="宋体" w:cs="宋体"/>
          <w:color w:val="000000" w:themeColor="text1"/>
          <w:sz w:val="24"/>
          <w:szCs w:val="24"/>
          <w:highlight w:val="none"/>
          <w:u w:val="single"/>
          <w14:textFill>
            <w14:solidFill>
              <w14:schemeClr w14:val="tx1"/>
            </w14:solidFill>
          </w14:textFill>
        </w:rPr>
        <w:t>以下违约金;对出现的质量事故必须在监理人、发包人规定的时间内完成整改，否则将按该项违约金的三倍赔偿。</w:t>
      </w:r>
    </w:p>
    <w:bookmarkEnd w:id="671"/>
    <w:p>
      <w:pPr>
        <w:keepNext w:val="0"/>
        <w:keepLines w:val="0"/>
        <w:pageBreakBefore w:val="0"/>
        <w:widowControl w:val="0"/>
        <w:tabs>
          <w:tab w:val="left" w:pos="1440"/>
        </w:tabs>
        <w:wordWrap/>
        <w:topLinePunct w:val="0"/>
        <w:bidi w:val="0"/>
        <w:spacing w:line="540" w:lineRule="exact"/>
        <w:ind w:right="0" w:rightChars="0" w:firstLine="42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③承包人未按施工规范施工或施工质量达不到合同规定要求的，自监理人发出整改通知之日起3日内，承包人必须无条件进行整改，费用自行承担。如整改后，仍达不到规定要求的，承包人应承担人民币</w:t>
      </w:r>
      <w:r>
        <w:rPr>
          <w:rFonts w:hint="eastAsia" w:ascii="宋体" w:hAnsi="宋体" w:eastAsia="宋体" w:cs="宋体"/>
          <w:b/>
          <w:color w:val="000000" w:themeColor="text1"/>
          <w:sz w:val="24"/>
          <w:szCs w:val="24"/>
          <w:highlight w:val="none"/>
          <w:u w:val="single"/>
          <w14:textFill>
            <w14:solidFill>
              <w14:schemeClr w14:val="tx1"/>
            </w14:solidFill>
          </w14:textFill>
        </w:rPr>
        <w:t>贰万元/次</w:t>
      </w:r>
      <w:r>
        <w:rPr>
          <w:rFonts w:hint="eastAsia" w:ascii="宋体" w:hAnsi="宋体" w:eastAsia="宋体" w:cs="宋体"/>
          <w:color w:val="000000" w:themeColor="text1"/>
          <w:sz w:val="24"/>
          <w:szCs w:val="24"/>
          <w:highlight w:val="none"/>
          <w:u w:val="single"/>
          <w14:textFill>
            <w14:solidFill>
              <w14:schemeClr w14:val="tx1"/>
            </w14:solidFill>
          </w14:textFill>
        </w:rPr>
        <w:t>的违约金，发包人有权另行指定施工单位进行整改，其费用由承包人承担。</w:t>
      </w:r>
    </w:p>
    <w:p>
      <w:pPr>
        <w:keepNext w:val="0"/>
        <w:keepLines w:val="0"/>
        <w:pageBreakBefore w:val="0"/>
        <w:widowControl w:val="0"/>
        <w:tabs>
          <w:tab w:val="left" w:pos="1440"/>
        </w:tabs>
        <w:wordWrap/>
        <w:topLinePunct w:val="0"/>
        <w:bidi w:val="0"/>
        <w:spacing w:line="540" w:lineRule="exact"/>
        <w:ind w:right="0" w:rightChars="0" w:firstLine="42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④因承包人提供和使用了不合格的材料和工程设备，限期在12小时内退场，已使用的必须拆除。由此造成的工期延误由承包人承担工期延误责任，造成的损失由承包人自行承担，并向发包人支付所提供和使用不合格材料和工程设备总价10%的违约金。</w:t>
      </w:r>
    </w:p>
    <w:p>
      <w:pPr>
        <w:keepNext w:val="0"/>
        <w:keepLines w:val="0"/>
        <w:pageBreakBefore w:val="0"/>
        <w:widowControl w:val="0"/>
        <w:tabs>
          <w:tab w:val="left" w:pos="1440"/>
        </w:tabs>
        <w:wordWrap/>
        <w:topLinePunct w:val="0"/>
        <w:bidi w:val="0"/>
        <w:spacing w:line="540" w:lineRule="exact"/>
        <w:ind w:right="0" w:rightChars="0" w:firstLine="42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⑤因承包人原因造成的质量事故、工程事故和安全事故，造成人身和财产损害的，承包人承担全部行政、民事和刑事责任，并承担损害赔偿责任。造成人员死亡等重大安全事故的还必须向发包人支付每次人民币贰拾万元的违约金。</w:t>
      </w:r>
    </w:p>
    <w:p>
      <w:pPr>
        <w:keepNext w:val="0"/>
        <w:keepLines w:val="0"/>
        <w:pageBreakBefore w:val="0"/>
        <w:widowControl w:val="0"/>
        <w:tabs>
          <w:tab w:val="left" w:pos="1440"/>
        </w:tabs>
        <w:wordWrap/>
        <w:topLinePunct w:val="0"/>
        <w:bidi w:val="0"/>
        <w:spacing w:line="540" w:lineRule="exact"/>
        <w:ind w:right="0" w:rightChars="0" w:firstLine="42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⑥承包人违反本专用合同条款第6.1.5条相关规定及国家、自治区、克拉玛依市有关文明施工管理、卫生管理、噪声扬尘污染防治等规定，造成后果的，由承包人承担一切责任。一旦被政府有关职能部门处罚、负面通报和媒体负面曝光，除接受相关部门处罚外，还必须向发包人支付签订合同价格5‰的违约金。</w:t>
      </w:r>
    </w:p>
    <w:p>
      <w:pPr>
        <w:keepNext w:val="0"/>
        <w:keepLines w:val="0"/>
        <w:pageBreakBefore w:val="0"/>
        <w:widowControl w:val="0"/>
        <w:tabs>
          <w:tab w:val="left" w:pos="1440"/>
        </w:tabs>
        <w:wordWrap/>
        <w:topLinePunct w:val="0"/>
        <w:bidi w:val="0"/>
        <w:spacing w:line="540" w:lineRule="exact"/>
        <w:ind w:right="0" w:rightChars="0" w:firstLine="42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⑦未按发包人、监理人以及主管部门规定建立、健全安全、文明施工制度、措施等，每发现一处，承包人须向发包人支付人民币壹仟元违约金，出现一般安全事故、重大安全事故的按相关规定进行处罚。</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⑧因承包人提供产品材质或工期不能满足发包人要求的，或承包人提供的材料或设备价格差异过大的，自监理人发出整改通知之日起3日内，承包人必须无条件进行整改，费用由承包人自行承担。如整改后，仍达不到规定要求的，发包人有权另行指定分包，其费用由承包人承担。</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⑨如果发生恶意停工、恶意闹事，每发生一次，承包人向发包人支付￥10万元违约金。</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⑩承包人应严格按照投标文件中的承诺将劳务工工资发放到位，如出现因承包人</w:t>
      </w:r>
      <w:r>
        <w:rPr>
          <w:rFonts w:hint="eastAsia" w:ascii="宋体" w:hAnsi="宋体" w:eastAsia="宋体" w:cs="宋体"/>
          <w:color w:val="000000" w:themeColor="text1"/>
          <w:sz w:val="24"/>
          <w:highlight w:val="none"/>
          <w:u w:val="single"/>
          <w14:textFill>
            <w14:solidFill>
              <w14:schemeClr w14:val="tx1"/>
            </w14:solidFill>
          </w14:textFill>
        </w:rPr>
        <w:t>恶意</w:t>
      </w:r>
      <w:r>
        <w:rPr>
          <w:rFonts w:hint="eastAsia" w:ascii="宋体" w:hAnsi="宋体" w:eastAsia="宋体" w:cs="宋体"/>
          <w:color w:val="000000" w:themeColor="text1"/>
          <w:sz w:val="24"/>
          <w:szCs w:val="24"/>
          <w:highlight w:val="none"/>
          <w:u w:val="single"/>
          <w14:textFill>
            <w14:solidFill>
              <w14:schemeClr w14:val="tx1"/>
            </w14:solidFill>
          </w14:textFill>
        </w:rPr>
        <w:t>拖欠</w:t>
      </w:r>
      <w:r>
        <w:rPr>
          <w:rFonts w:hint="eastAsia" w:ascii="宋体" w:hAnsi="宋体" w:eastAsia="宋体" w:cs="宋体"/>
          <w:color w:val="000000" w:themeColor="text1"/>
          <w:sz w:val="24"/>
          <w:highlight w:val="none"/>
          <w:u w:val="single"/>
          <w14:textFill>
            <w14:solidFill>
              <w14:schemeClr w14:val="tx1"/>
            </w14:solidFill>
          </w14:textFill>
        </w:rPr>
        <w:t>和拒不按计划偿付</w:t>
      </w:r>
      <w:r>
        <w:rPr>
          <w:rFonts w:hint="eastAsia" w:ascii="宋体" w:hAnsi="宋体" w:eastAsia="宋体" w:cs="宋体"/>
          <w:color w:val="000000" w:themeColor="text1"/>
          <w:sz w:val="24"/>
          <w:szCs w:val="24"/>
          <w:highlight w:val="none"/>
          <w:u w:val="single"/>
          <w14:textFill>
            <w14:solidFill>
              <w14:schemeClr w14:val="tx1"/>
            </w14:solidFill>
          </w14:textFill>
        </w:rPr>
        <w:t>民工工资或未能按期足额支付农民工工资，导致民工到政府部门上访或到发包人处索要工资的情况，则每出现一次，发包人将向承包人收取￥20万元违约金；若发包人代为支付民工工资，发包人将按所代付民工工资总金额的10%向承包人收取管理费。并依据国家、自治区、克拉玛依等相关法律、法规、政策文件予以严厉处罚，</w:t>
      </w:r>
      <w:r>
        <w:rPr>
          <w:rFonts w:hint="eastAsia" w:ascii="宋体" w:hAnsi="宋体" w:eastAsia="宋体" w:cs="宋体"/>
          <w:color w:val="000000" w:themeColor="text1"/>
          <w:sz w:val="24"/>
          <w:highlight w:val="none"/>
          <w:u w:val="single"/>
          <w14:textFill>
            <w14:solidFill>
              <w14:schemeClr w14:val="tx1"/>
            </w14:solidFill>
          </w14:textFill>
        </w:rPr>
        <w:t>必要时可解除合同并依法追究承包人的责任。</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⑾承包人不得以材料价格、清单控制价等经济问题未确定而发生威胁发包人或停工或闹事等不良影响，每发生一次，承包人向发包人支付贰拾万元/次违约金。</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⑿承包人如发生二次（含二次）及以上未完成发包人要求的工程进度节点，承包人无条件接受发包人的另行委托，由此造成的损失由承包人承担。</w:t>
      </w:r>
    </w:p>
    <w:p>
      <w:pPr>
        <w:keepNext w:val="0"/>
        <w:keepLines w:val="0"/>
        <w:pageBreakBefore w:val="0"/>
        <w:widowControl w:val="0"/>
        <w:tabs>
          <w:tab w:val="left" w:pos="700"/>
        </w:tabs>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⒀承包人如未按要求参加发包人、监理人及行业主管部门对本项目组织的专题会，在请假未经同意的条件下（须经会议最高负责人同意），按项目经理2000元/次、其他人员500元/次作违约金在当期付款及结算中扣除；若迟到，则项目经理按500元/人.次，其他人员200元/人.次以现金方式向发包人支付。</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⒁承包人违约，发包人可发出整改通知要求承包人限期进行整改，如承包人在规定时间内仍不纠正违约行为的，发包人有权解除合同且向承包人发出解除合同通知。合同解除后，发包人可派员进驻施工场地，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⒂承包人不得转包或转让所承包的全部或部分工程，也不得肢解所承包的工程以分包的名义分别转包给他人。承包人违反本款规定，发包人和监理人向承包人发出整改通知，要求其在指定的期限内改正或解除合同，承包人应承担其违约所引起的费用增加和（或）工期延误及一切责任，并向发包人支付签约合同价格3％的违约金。</w:t>
      </w:r>
    </w:p>
    <w:p>
      <w:pPr>
        <w:keepNext w:val="0"/>
        <w:keepLines w:val="0"/>
        <w:pageBreakBefore w:val="0"/>
        <w:widowControl w:val="0"/>
        <w:wordWrap/>
        <w:topLinePunct w:val="0"/>
        <w:bidi w:val="0"/>
        <w:spacing w:line="540" w:lineRule="exact"/>
        <w:ind w:right="0" w:rightChars="0" w:firstLine="540" w:firstLineChars="225"/>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⒃</w:t>
      </w:r>
      <w:r>
        <w:rPr>
          <w:rFonts w:hint="eastAsia" w:ascii="宋体" w:hAnsi="宋体" w:eastAsia="宋体" w:cs="宋体"/>
          <w:b/>
          <w:color w:val="000000" w:themeColor="text1"/>
          <w:sz w:val="24"/>
          <w:szCs w:val="24"/>
          <w:highlight w:val="none"/>
          <w:u w:val="single"/>
          <w14:textFill>
            <w14:solidFill>
              <w14:schemeClr w14:val="tx1"/>
            </w14:solidFill>
          </w14:textFill>
        </w:rPr>
        <w:t>承包人在投标时拟投入的各类机械设备</w:t>
      </w:r>
      <w:r>
        <w:rPr>
          <w:rFonts w:hint="eastAsia" w:ascii="宋体" w:hAnsi="宋体" w:eastAsia="宋体" w:cs="宋体"/>
          <w:color w:val="000000" w:themeColor="text1"/>
          <w:sz w:val="24"/>
          <w:szCs w:val="24"/>
          <w:highlight w:val="none"/>
          <w:u w:val="single"/>
          <w14:textFill>
            <w14:solidFill>
              <w14:schemeClr w14:val="tx1"/>
            </w14:solidFill>
          </w14:textFill>
        </w:rPr>
        <w:t>应按计划进场，不得拖延、减少或降低标准。各施工阶段所投入的各类机械设备数量、规格及型号应与投标文件中所列的各类机械设备数量、规格及型号一致。</w:t>
      </w:r>
      <w:r>
        <w:rPr>
          <w:rFonts w:hint="eastAsia" w:ascii="宋体" w:hAnsi="宋体" w:eastAsia="宋体" w:cs="宋体"/>
          <w:color w:val="000000" w:themeColor="text1"/>
          <w:sz w:val="24"/>
          <w:highlight w:val="none"/>
          <w:u w:val="single"/>
          <w14:textFill>
            <w14:solidFill>
              <w14:schemeClr w14:val="tx1"/>
            </w14:solidFill>
          </w14:textFill>
        </w:rPr>
        <w:t>承包人开工后按投标文件承诺进场的设备、机械未经监理人或发包人许可，不得擅自撤出现场。</w:t>
      </w:r>
      <w:r>
        <w:rPr>
          <w:rFonts w:hint="eastAsia" w:ascii="宋体" w:hAnsi="宋体" w:eastAsia="宋体" w:cs="宋体"/>
          <w:color w:val="000000" w:themeColor="text1"/>
          <w:sz w:val="24"/>
          <w:szCs w:val="24"/>
          <w:highlight w:val="none"/>
          <w:u w:val="single"/>
          <w14:textFill>
            <w14:solidFill>
              <w14:schemeClr w14:val="tx1"/>
            </w14:solidFill>
          </w14:textFill>
        </w:rPr>
        <w:t>承包人未按投标文件的承诺及监理工程师的指令进场施工机械设备，每延迟一天，承包人向发包人支付签约合同价格1％的违约金。若承包人进场的设备的数量或性能不能满足施工需要，发包人和监理人有权要求承包人更换或补充设备。否则，由此造成的工期延误和费用的增加均由承包人自行承担。</w:t>
      </w:r>
    </w:p>
    <w:p>
      <w:pPr>
        <w:keepNext w:val="0"/>
        <w:keepLines w:val="0"/>
        <w:pageBreakBefore w:val="0"/>
        <w:widowControl w:val="0"/>
        <w:wordWrap/>
        <w:topLinePunct w:val="0"/>
        <w:bidi w:val="0"/>
        <w:spacing w:line="540" w:lineRule="exact"/>
        <w:ind w:right="0" w:rightChars="0" w:firstLine="540" w:firstLineChars="22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⒄在本工程建设过程中，因承包人违约而向发包人支付的违约金，发包人可在应付工程款或承包人履约担保中直接扣除违约金。</w:t>
      </w:r>
    </w:p>
    <w:p>
      <w:pPr>
        <w:keepNext w:val="0"/>
        <w:keepLines w:val="0"/>
        <w:pageBreakBefore w:val="0"/>
        <w:widowControl w:val="0"/>
        <w:wordWrap/>
        <w:topLinePunct w:val="0"/>
        <w:bidi w:val="0"/>
        <w:spacing w:line="540" w:lineRule="exact"/>
        <w:ind w:right="0" w:rightChars="0" w:firstLine="540" w:firstLineChars="22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⒅所有索赔必须向发包人提出，延长审核期限，索赔经发包人书面确任方为有效。</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16.2.3 因承包人违约解除合同</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关于承包人违约解除合同的特别约定：</w:t>
      </w:r>
      <w:r>
        <w:rPr>
          <w:rFonts w:hint="eastAsia" w:ascii="宋体" w:hAnsi="宋体" w:eastAsia="宋体" w:cs="宋体"/>
          <w:color w:val="000000" w:themeColor="text1"/>
          <w:sz w:val="24"/>
          <w:szCs w:val="24"/>
          <w:highlight w:val="none"/>
          <w:u w:val="single"/>
          <w14:textFill>
            <w14:solidFill>
              <w14:schemeClr w14:val="tx1"/>
            </w14:solidFill>
          </w14:textFill>
        </w:rPr>
        <w:t>详见本专用合同条款相关条款。</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color w:val="000000" w:themeColor="text1"/>
          <w:kern w:val="0"/>
          <w:sz w:val="24"/>
          <w:szCs w:val="24"/>
          <w:highlight w:val="none"/>
          <w:u w:val="single"/>
          <w14:textFill>
            <w14:solidFill>
              <w14:schemeClr w14:val="tx1"/>
            </w14:solidFill>
          </w14:textFill>
        </w:rPr>
        <w:t>除按实际使用承包人在施工现场的材料、工程设备数量和发包人确认的价格支付承包人在施工现场的材料、工程设备费 ，其他费用发包人不予支付</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adjustRightInd w:val="0"/>
        <w:snapToGrid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还应执行：发包人和承包人未能就解除合同后的清算和款项支付达成一致而形成争议的，除按第20条的约定办理的程序外，发包人有权对项目进行全面管理，承包人不得以任何借口阻扰或拖延发包人的组织安排。</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承包人在施工过程中必须遵守发包人的相应文件规定。</w:t>
      </w:r>
    </w:p>
    <w:p>
      <w:pPr>
        <w:keepNext w:val="0"/>
        <w:keepLines w:val="0"/>
        <w:pageBreakBefore w:val="0"/>
        <w:widowControl w:val="0"/>
        <w:tabs>
          <w:tab w:val="left" w:pos="700"/>
        </w:tabs>
        <w:wordWrap/>
        <w:topLinePunct w:val="0"/>
        <w:bidi w:val="0"/>
        <w:spacing w:line="540" w:lineRule="exact"/>
        <w:ind w:right="0" w:righ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17. 不可抗力</w:t>
      </w:r>
      <w:bookmarkEnd w:id="670"/>
      <w:r>
        <w:rPr>
          <w:rFonts w:hint="eastAsia" w:ascii="宋体" w:hAnsi="宋体" w:eastAsia="宋体" w:cs="宋体"/>
          <w:b/>
          <w:color w:val="000000" w:themeColor="text1"/>
          <w:sz w:val="24"/>
          <w:szCs w:val="24"/>
          <w:highlight w:val="none"/>
          <w14:textFill>
            <w14:solidFill>
              <w14:schemeClr w14:val="tx1"/>
            </w14:solidFill>
          </w14:textFill>
        </w:rPr>
        <w:t xml:space="preserve"> </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 不可抗力的确认</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除通用合同条款约定的不可抗力事件之外，视为不可抗力的其他情形：</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17.4 因不可抗力解除合同</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合同解除后，发包人应在商定或确定发包人应支付款项后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28 </w:t>
      </w:r>
      <w:r>
        <w:rPr>
          <w:rFonts w:hint="eastAsia" w:ascii="宋体" w:hAnsi="宋体" w:eastAsia="宋体" w:cs="宋体"/>
          <w:color w:val="000000" w:themeColor="text1"/>
          <w:sz w:val="24"/>
          <w:szCs w:val="24"/>
          <w:highlight w:val="none"/>
          <w14:textFill>
            <w14:solidFill>
              <w14:schemeClr w14:val="tx1"/>
            </w14:solidFill>
          </w14:textFill>
        </w:rPr>
        <w:t>天内完成款项的支付。</w:t>
      </w:r>
      <w:bookmarkStart w:id="672" w:name="_Toc351203650"/>
    </w:p>
    <w:p>
      <w:pPr>
        <w:keepNext w:val="0"/>
        <w:keepLines w:val="0"/>
        <w:pageBreakBefore w:val="0"/>
        <w:widowControl w:val="0"/>
        <w:wordWrap/>
        <w:topLinePunct w:val="0"/>
        <w:bidi w:val="0"/>
        <w:spacing w:line="540" w:lineRule="exact"/>
        <w:ind w:right="0" w:rightChars="0"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 保险</w:t>
      </w:r>
      <w:bookmarkEnd w:id="672"/>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 工程保险</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关于工程保险的特别约定：</w:t>
      </w:r>
      <w:r>
        <w:rPr>
          <w:rFonts w:hint="eastAsia" w:ascii="宋体" w:hAnsi="宋体" w:eastAsia="宋体" w:cs="宋体"/>
          <w:color w:val="000000" w:themeColor="text1"/>
          <w:sz w:val="24"/>
          <w:szCs w:val="24"/>
          <w:highlight w:val="none"/>
          <w:u w:val="single"/>
          <w14:textFill>
            <w14:solidFill>
              <w14:schemeClr w14:val="tx1"/>
            </w14:solidFill>
          </w14:textFill>
        </w:rPr>
        <w:t>承包人应以发包人和承包人的共同名义向双方同意的保险人投保建筑工程一切险，保险费用已含在承包人的投标报价中。</w:t>
      </w:r>
    </w:p>
    <w:p>
      <w:pPr>
        <w:keepNext w:val="0"/>
        <w:keepLines w:val="0"/>
        <w:pageBreakBefore w:val="0"/>
        <w:widowControl w:val="0"/>
        <w:wordWrap/>
        <w:topLinePunct w:val="0"/>
        <w:bidi w:val="0"/>
        <w:spacing w:line="540" w:lineRule="exact"/>
        <w:ind w:right="0" w:rightChars="0" w:firstLine="42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（1）投保内容：本工程工地范围内的建筑工程及用于该工程的材料、机械、设备因自然灾害或意外事故造成的损坏或灭失。</w:t>
      </w:r>
    </w:p>
    <w:p>
      <w:pPr>
        <w:keepNext w:val="0"/>
        <w:keepLines w:val="0"/>
        <w:pageBreakBefore w:val="0"/>
        <w:widowControl w:val="0"/>
        <w:wordWrap/>
        <w:topLinePunct w:val="0"/>
        <w:bidi w:val="0"/>
        <w:spacing w:line="540" w:lineRule="exact"/>
        <w:ind w:right="0" w:rightChars="0" w:firstLine="42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（2）保险金额：本工程工地范围内的建筑工程及用于该工程的材料、机械、设备的实际总价值。</w:t>
      </w:r>
    </w:p>
    <w:p>
      <w:pPr>
        <w:keepNext w:val="0"/>
        <w:keepLines w:val="0"/>
        <w:pageBreakBefore w:val="0"/>
        <w:widowControl w:val="0"/>
        <w:wordWrap/>
        <w:topLinePunct w:val="0"/>
        <w:bidi w:val="0"/>
        <w:spacing w:line="540" w:lineRule="exact"/>
        <w:ind w:right="0" w:rightChars="0" w:firstLine="42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（3）保险期限：自被保险工程在工地动工或用于保险工程的材料、机械、设备运抵工地之时起，至发包人签发完工验收证书或验收合格，或发包人实际占有或使用或接收该工程之时止（以最迟者为准）。</w:t>
      </w:r>
    </w:p>
    <w:p>
      <w:pPr>
        <w:keepNext w:val="0"/>
        <w:keepLines w:val="0"/>
        <w:pageBreakBefore w:val="0"/>
        <w:widowControl w:val="0"/>
        <w:wordWrap/>
        <w:topLinePunct w:val="0"/>
        <w:bidi w:val="0"/>
        <w:spacing w:line="540" w:lineRule="exact"/>
        <w:ind w:right="0" w:rightChars="0" w:firstLine="42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（4）保险受益人：按投资主体确定受益人。</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 其他保险</w:t>
      </w:r>
    </w:p>
    <w:p>
      <w:pPr>
        <w:keepNext w:val="0"/>
        <w:keepLines w:val="0"/>
        <w:pageBreakBefore w:val="0"/>
        <w:widowControl w:val="0"/>
        <w:wordWrap/>
        <w:topLinePunct w:val="0"/>
        <w:bidi w:val="0"/>
        <w:spacing w:line="540" w:lineRule="exact"/>
        <w:ind w:right="0" w:righ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关于其他保险的约定：</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承包人是否应为其施工设备等办理财产保险：</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是 </w:t>
      </w:r>
    </w:p>
    <w:p>
      <w:pPr>
        <w:keepNext w:val="0"/>
        <w:keepLines w:val="0"/>
        <w:pageBreakBefore w:val="0"/>
        <w:widowControl w:val="0"/>
        <w:wordWrap/>
        <w:topLinePunct w:val="0"/>
        <w:bidi w:val="0"/>
        <w:spacing w:line="5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18.5保险凭证</w:t>
      </w:r>
    </w:p>
    <w:p>
      <w:pPr>
        <w:keepNext w:val="0"/>
        <w:keepLines w:val="0"/>
        <w:pageBreakBefore w:val="0"/>
        <w:widowControl w:val="0"/>
        <w:kinsoku/>
        <w:wordWrap/>
        <w:overflowPunct/>
        <w:topLinePunct w:val="0"/>
        <w:bidi w:val="0"/>
        <w:snapToGrid/>
        <w:spacing w:line="52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还应执行：①承包人应在开工后一个月内向发包人提交各项保险生效的证据和保险单副本。</w:t>
      </w:r>
    </w:p>
    <w:p>
      <w:pPr>
        <w:keepNext w:val="0"/>
        <w:keepLines w:val="0"/>
        <w:pageBreakBefore w:val="0"/>
        <w:widowControl w:val="0"/>
        <w:kinsoku/>
        <w:wordWrap/>
        <w:overflowPunct/>
        <w:topLinePunct w:val="0"/>
        <w:bidi w:val="0"/>
        <w:snapToGrid/>
        <w:spacing w:line="520" w:lineRule="exact"/>
        <w:ind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保险金不足以补偿损失的，由发包人和承包人协议解决。</w:t>
      </w:r>
    </w:p>
    <w:p>
      <w:pPr>
        <w:keepNext w:val="0"/>
        <w:keepLines w:val="0"/>
        <w:pageBreakBefore w:val="0"/>
        <w:widowControl w:val="0"/>
        <w:kinsoku/>
        <w:wordWrap/>
        <w:overflowPunct/>
        <w:topLinePunct w:val="0"/>
        <w:bidi w:val="0"/>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②保险的延期：</w:t>
      </w:r>
    </w:p>
    <w:p>
      <w:pPr>
        <w:keepNext w:val="0"/>
        <w:keepLines w:val="0"/>
        <w:pageBreakBefore w:val="0"/>
        <w:widowControl w:val="0"/>
        <w:kinsoku/>
        <w:wordWrap/>
        <w:overflowPunct/>
        <w:topLinePunct w:val="0"/>
        <w:bidi w:val="0"/>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若因非承包人原因（除不可抗力）出现工程尚未完工但保险已过期的情况，承包人应主动续保，涉及费用由发包人及承包人双方协商支付。若承包人不主动续保，因保险过期各类损失无法得到保险赔偿，由此造成损失由承包人自行承担。</w:t>
      </w:r>
    </w:p>
    <w:p>
      <w:pPr>
        <w:keepNext w:val="0"/>
        <w:keepLines w:val="0"/>
        <w:pageBreakBefore w:val="0"/>
        <w:widowControl w:val="0"/>
        <w:kinsoku/>
        <w:wordWrap/>
        <w:overflowPunct/>
        <w:topLinePunct w:val="0"/>
        <w:bidi w:val="0"/>
        <w:snapToGrid/>
        <w:spacing w:line="360" w:lineRule="auto"/>
        <w:ind w:right="0" w:rightChars="0" w:firstLine="42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若因不可抗力原因出现工程尚未完工但保险已过期的情况，承包人应主动续保，涉及费用由发包人和承包人双方协商予以支付。若承包人不主动续保，因保险过期各类损失无法得到保险赔偿，由此造成损失由承包人自行承担。</w:t>
      </w:r>
    </w:p>
    <w:p>
      <w:pPr>
        <w:keepNext w:val="0"/>
        <w:keepLines w:val="0"/>
        <w:pageBreakBefore w:val="0"/>
        <w:widowControl w:val="0"/>
        <w:kinsoku/>
        <w:wordWrap/>
        <w:overflowPunct/>
        <w:topLinePunct w:val="0"/>
        <w:bidi w:val="0"/>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18.7 通知义务</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关于变更保险合同时的通知义务的约定：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bidi w:val="0"/>
        <w:snapToGrid/>
        <w:spacing w:line="360" w:lineRule="auto"/>
        <w:ind w:right="0" w:rightChars="0"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 争议解决</w:t>
      </w:r>
    </w:p>
    <w:p>
      <w:pPr>
        <w:keepNext w:val="0"/>
        <w:keepLines w:val="0"/>
        <w:pageBreakBefore w:val="0"/>
        <w:widowControl w:val="0"/>
        <w:kinsoku/>
        <w:wordWrap/>
        <w:overflowPunct/>
        <w:topLinePunct w:val="0"/>
        <w:bidi w:val="0"/>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20.3 争议评审</w:t>
      </w:r>
    </w:p>
    <w:p>
      <w:pPr>
        <w:keepNext w:val="0"/>
        <w:keepLines w:val="0"/>
        <w:pageBreakBefore w:val="0"/>
        <w:widowControl w:val="0"/>
        <w:kinsoku/>
        <w:wordWrap/>
        <w:overflowPunct/>
        <w:topLinePunct w:val="0"/>
        <w:bidi w:val="0"/>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合同当事人是否同意将工程争议提交争议评审小组决定：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同意  </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20.3.1 争议评审小组的确定</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争议评审小组成员的确定：</w:t>
      </w:r>
      <w:r>
        <w:rPr>
          <w:rFonts w:hint="eastAsia" w:ascii="宋体" w:hAnsi="宋体" w:eastAsia="宋体" w:cs="宋体"/>
          <w:color w:val="000000" w:themeColor="text1"/>
          <w:sz w:val="24"/>
          <w:szCs w:val="24"/>
          <w:highlight w:val="none"/>
          <w:u w:val="single"/>
          <w14:textFill>
            <w14:solidFill>
              <w14:schemeClr w14:val="tx1"/>
            </w14:solidFill>
          </w14:textFill>
        </w:rPr>
        <w:t>3名合同当事人各自选1名，第3名成员为首席争议评审员，由合同当事人共同确定或由合同当事人委托已选定的争议评审员共同确定</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选定争议评审员的期限：</w:t>
      </w:r>
      <w:r>
        <w:rPr>
          <w:rFonts w:hint="eastAsia" w:ascii="宋体" w:hAnsi="宋体" w:eastAsia="宋体" w:cs="宋体"/>
          <w:color w:val="000000" w:themeColor="text1"/>
          <w:sz w:val="24"/>
          <w:szCs w:val="24"/>
          <w:highlight w:val="none"/>
          <w:u w:val="single"/>
          <w14:textFill>
            <w14:solidFill>
              <w14:schemeClr w14:val="tx1"/>
            </w14:solidFill>
          </w14:textFill>
        </w:rPr>
        <w:t>争议发生后7天内</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争议评审小组成员的报酬承担方式：</w:t>
      </w:r>
      <w:r>
        <w:rPr>
          <w:rFonts w:hint="eastAsia" w:ascii="宋体" w:hAnsi="宋体" w:eastAsia="宋体" w:cs="宋体"/>
          <w:color w:val="000000" w:themeColor="text1"/>
          <w:sz w:val="24"/>
          <w:szCs w:val="24"/>
          <w:highlight w:val="none"/>
          <w:u w:val="single"/>
          <w14:textFill>
            <w14:solidFill>
              <w14:schemeClr w14:val="tx1"/>
            </w14:solidFill>
          </w14:textFill>
        </w:rPr>
        <w:t>发、承包双方各承担一半</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其他事项的约定：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20.3.2 争议评审小组的决定</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合同当事人关于本项的约定：。</w:t>
      </w:r>
    </w:p>
    <w:p>
      <w:pPr>
        <w:keepNext w:val="0"/>
        <w:keepLines w:val="0"/>
        <w:pageBreakBefore w:val="0"/>
        <w:widowControl w:val="0"/>
        <w:kinsoku/>
        <w:wordWrap/>
        <w:overflowPunct/>
        <w:topLinePunct w:val="0"/>
        <w:bidi w:val="0"/>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20.4仲裁或诉讼</w:t>
      </w:r>
    </w:p>
    <w:p>
      <w:pPr>
        <w:keepNext w:val="0"/>
        <w:keepLines w:val="0"/>
        <w:pageBreakBefore w:val="0"/>
        <w:widowControl w:val="0"/>
        <w:kinsoku/>
        <w:wordWrap/>
        <w:overflowPunct/>
        <w:topLinePunct w:val="0"/>
        <w:bidi w:val="0"/>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因合同及合同有关事项发生的争议，按下列第</w:t>
      </w:r>
      <w:r>
        <w:rPr>
          <w:rFonts w:hint="eastAsia" w:ascii="宋体" w:hAnsi="宋体" w:eastAsia="宋体" w:cs="宋体"/>
          <w:color w:val="000000" w:themeColor="text1"/>
          <w:sz w:val="24"/>
          <w:szCs w:val="24"/>
          <w:highlight w:val="none"/>
          <w:u w:val="singl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种方式解决：</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仲裁委员会申请仲裁；</w:t>
      </w:r>
    </w:p>
    <w:p>
      <w:pPr>
        <w:keepNext w:val="0"/>
        <w:keepLines w:val="0"/>
        <w:pageBreakBefore w:val="0"/>
        <w:widowControl w:val="0"/>
        <w:kinsoku/>
        <w:wordWrap/>
        <w:overflowPunct/>
        <w:topLinePunct w:val="0"/>
        <w:bidi w:val="0"/>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克拉玛依</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人民法院起诉。</w:t>
      </w: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工程质量保修书</w:t>
      </w:r>
    </w:p>
    <w:p>
      <w:pPr>
        <w:spacing w:line="360" w:lineRule="auto"/>
        <w:ind w:firstLine="540" w:firstLineChars="22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540" w:firstLineChars="22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left="21" w:leftChars="10" w:firstLine="487" w:firstLineChars="203"/>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发包人和承包人根据《中华人民共和国建筑法》、《建设工程质量管理条例》，经协商一致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就                          </w:t>
      </w:r>
      <w:r>
        <w:rPr>
          <w:rFonts w:hint="eastAsia" w:ascii="宋体" w:hAnsi="宋体" w:eastAsia="宋体" w:cs="宋体"/>
          <w:color w:val="000000" w:themeColor="text1"/>
          <w:sz w:val="24"/>
          <w:szCs w:val="24"/>
          <w:highlight w:val="none"/>
          <w14:textFill>
            <w14:solidFill>
              <w14:schemeClr w14:val="tx1"/>
            </w14:solidFill>
          </w14:textFill>
        </w:rPr>
        <w:t>（工程全称）签订工程质量保修书。</w:t>
      </w:r>
    </w:p>
    <w:p>
      <w:pPr>
        <w:spacing w:line="360" w:lineRule="auto"/>
        <w:ind w:left="21" w:leftChars="10" w:firstLine="489" w:firstLineChars="203"/>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一、工程质量保修范围和内容</w:t>
      </w:r>
    </w:p>
    <w:p>
      <w:pPr>
        <w:spacing w:line="360" w:lineRule="auto"/>
        <w:ind w:firstLine="530" w:firstLineChars="22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承包人在质量保修期内，按照有关法律规定和合同约定，承担工程质量保修责任。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等，以及双方约定的其他项目。具体质量保修的内容，双方约定如下：</w:t>
      </w:r>
      <w:r>
        <w:rPr>
          <w:rFonts w:hint="eastAsia" w:ascii="宋体" w:hAnsi="宋体" w:eastAsia="宋体" w:cs="宋体"/>
          <w:color w:val="000000" w:themeColor="text1"/>
          <w:sz w:val="24"/>
          <w:szCs w:val="24"/>
          <w:highlight w:val="none"/>
          <w:u w:val="single"/>
          <w14:textFill>
            <w14:solidFill>
              <w14:schemeClr w14:val="tx1"/>
            </w14:solidFill>
          </w14:textFill>
        </w:rPr>
        <w:t>由承包人承建的全部工程项目均在保修范围内</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质量保修期</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根据《建设工程质量管理条例》及有关规定，工程的质量保修期如下：</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1、地基基础工程和主体结构工程为设计文件规定的该工程合理使用年限；</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2、屋面防水工程、有防水要求的卫生间、房间和外墙面的防渗漏为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3、装修工程为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4、电气管线、给排水管道、设备安装工程为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5、供热与供冷系统为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个采暖期、供冷期；</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6、住宅小区内的给排水设施、道路等配套工程为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7、其他项目保修期限约定如下：</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绿化养护期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、质量保修期自工程竣工验收合格签字之日起计算。</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三、缺陷责任期</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工程缺陷责任期为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24 </w:t>
      </w:r>
      <w:r>
        <w:rPr>
          <w:rFonts w:hint="eastAsia" w:ascii="宋体" w:hAnsi="宋体" w:eastAsia="宋体" w:cs="宋体"/>
          <w:color w:val="000000" w:themeColor="text1"/>
          <w:sz w:val="24"/>
          <w:szCs w:val="24"/>
          <w:highlight w:val="none"/>
          <w14:textFill>
            <w14:solidFill>
              <w14:schemeClr w14:val="tx1"/>
            </w14:solidFill>
          </w14:textFill>
        </w:rPr>
        <w:t>个月，缺陷责任期自工程通过竣工验收之日起计算。单位工程先于全部工程进行验收，单位工程缺陷责任期自单位工程验收合格签字之日起算。</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缺陷责任期终止后，发包人应退还剩余的质量保证金。</w:t>
      </w:r>
    </w:p>
    <w:p>
      <w:p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四、质量保修责任</w:t>
      </w:r>
    </w:p>
    <w:p>
      <w:pPr>
        <w:spacing w:line="360" w:lineRule="auto"/>
        <w:ind w:firstLine="405" w:firstLineChars="1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pPr>
        <w:spacing w:line="360" w:lineRule="auto"/>
        <w:ind w:firstLine="405" w:firstLineChars="1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2、发生紧急抢修事故的，承包人在接到事故通知</w:t>
      </w:r>
      <w:r>
        <w:rPr>
          <w:rFonts w:hint="eastAsia" w:ascii="宋体" w:hAnsi="宋体" w:eastAsia="宋体" w:cs="宋体"/>
          <w:color w:val="000000" w:themeColor="text1"/>
          <w:sz w:val="24"/>
          <w:szCs w:val="24"/>
          <w:highlight w:val="none"/>
          <w:u w:val="single"/>
          <w14:textFill>
            <w14:solidFill>
              <w14:schemeClr w14:val="tx1"/>
            </w14:solidFill>
          </w14:textFill>
        </w:rPr>
        <w:t>8小时内</w:t>
      </w:r>
      <w:r>
        <w:rPr>
          <w:rFonts w:hint="eastAsia" w:ascii="宋体" w:hAnsi="宋体" w:eastAsia="宋体" w:cs="宋体"/>
          <w:color w:val="000000" w:themeColor="text1"/>
          <w:sz w:val="24"/>
          <w:szCs w:val="24"/>
          <w:highlight w:val="none"/>
          <w14:textFill>
            <w14:solidFill>
              <w14:schemeClr w14:val="tx1"/>
            </w14:solidFill>
          </w14:textFill>
        </w:rPr>
        <w:t>到达事故现场抢修。</w:t>
      </w:r>
    </w:p>
    <w:p>
      <w:pPr>
        <w:spacing w:line="360" w:lineRule="auto"/>
        <w:ind w:firstLine="405" w:firstLineChars="1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对于涉及结构安全的质量问题，应当按照《建设工程质量管理条例》的规定，立即向当地行政主管部门和有关部门报告，采取安全防范措施；并由原设计人或者具有相应资质等级有设计人提出保修方案，承包人实施保修。</w:t>
      </w:r>
    </w:p>
    <w:p>
      <w:pPr>
        <w:spacing w:line="360" w:lineRule="auto"/>
        <w:ind w:firstLine="405" w:firstLineChars="1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4、质量保修完成后，由发包人组织验收。</w:t>
      </w:r>
    </w:p>
    <w:p>
      <w:pPr>
        <w:spacing w:line="360" w:lineRule="auto"/>
        <w:ind w:firstLine="407" w:firstLineChars="1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五、保修费用</w:t>
      </w:r>
    </w:p>
    <w:p>
      <w:pPr>
        <w:spacing w:line="360" w:lineRule="auto"/>
        <w:ind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保修费用由造成质量缺陷的责任方承担。</w:t>
      </w:r>
    </w:p>
    <w:p>
      <w:pPr>
        <w:spacing w:line="360" w:lineRule="auto"/>
        <w:ind w:firstLine="422" w:firstLineChars="175"/>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六、双方约定的其他工程质量保修事项：</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pPr>
        <w:spacing w:line="360" w:lineRule="auto"/>
        <w:ind w:firstLine="456" w:firstLineChars="19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工程质量保修书由发包人、承包人在工程竣工验收前共同签署，作为施工合同附件，其有效期限至保修期满。</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发包人(公章)：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4"/>
          <w:highlight w:val="none"/>
          <w14:textFill>
            <w14:solidFill>
              <w14:schemeClr w14:val="tx1"/>
            </w14:solidFill>
          </w14:textFill>
        </w:rPr>
        <w:t xml:space="preserve">        承包人(公章)：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 xml:space="preserve">        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法定代表人(签字)：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法定代表人(签字)：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委托代理人(签字)：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委托代理人(签字)：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账  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 xml:space="preserve">          账  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eastAsia="仿宋_GB2312"/>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eastAsia="仿宋_GB2312"/>
          <w:color w:val="000000" w:themeColor="text1"/>
          <w:sz w:val="24"/>
          <w:szCs w:val="24"/>
          <w:highlight w:val="none"/>
          <w:u w:val="single"/>
          <w14:textFill>
            <w14:solidFill>
              <w14:schemeClr w14:val="tx1"/>
            </w14:solidFill>
          </w14:textFill>
        </w:rPr>
        <w:t xml:space="preserve">  </w:t>
      </w:r>
    </w:p>
    <w:p>
      <w:pPr>
        <w:pStyle w:val="33"/>
        <w:kinsoku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cs="宋体"/>
          <w:b/>
          <w:bCs/>
          <w:color w:val="000000" w:themeColor="text1"/>
          <w:sz w:val="28"/>
          <w:szCs w:val="28"/>
          <w:highlight w:val="none"/>
          <w:lang w:eastAsia="zh-CN"/>
          <w14:textFill>
            <w14:solidFill>
              <w14:schemeClr w14:val="tx1"/>
            </w14:solidFill>
          </w14:textFill>
        </w:rPr>
        <w:t>六</w:t>
      </w:r>
      <w:r>
        <w:rPr>
          <w:rFonts w:hint="eastAsia" w:ascii="宋体" w:hAnsi="宋体" w:eastAsia="宋体" w:cs="宋体"/>
          <w:b/>
          <w:bCs/>
          <w:color w:val="000000" w:themeColor="text1"/>
          <w:sz w:val="28"/>
          <w:szCs w:val="28"/>
          <w:highlight w:val="none"/>
          <w14:textFill>
            <w14:solidFill>
              <w14:schemeClr w14:val="tx1"/>
            </w14:solidFill>
          </w14:textFill>
        </w:rPr>
        <w:t>章  投标文件格式</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格式1   法定代表人资格证明书</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格式2   法定代表人授权委托书</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格式3   投标人资格声明</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 xml:space="preserve">   中小企业声明函</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5   项目负责人简历表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6   主要施工管理人员表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7   拟投入本工程的主要机械、设备及检测仪器表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8   资格性/符合性自查表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9   投标函</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lang w:eastAsia="zh-CN"/>
          <w14:textFill>
            <w14:solidFill>
              <w14:schemeClr w14:val="tx1"/>
            </w14:solidFill>
          </w14:textFill>
        </w:rPr>
        <w:t>-1 投标文件附录</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 xml:space="preserve">10   </w:t>
      </w:r>
      <w:r>
        <w:rPr>
          <w:rFonts w:hint="eastAsia" w:ascii="宋体" w:hAnsi="宋体" w:cs="宋体"/>
          <w:bCs/>
          <w:color w:val="000000" w:themeColor="text1"/>
          <w:sz w:val="24"/>
          <w:highlight w:val="none"/>
          <w:lang w:eastAsia="zh-CN"/>
          <w14:textFill>
            <w14:solidFill>
              <w14:schemeClr w14:val="tx1"/>
            </w14:solidFill>
          </w14:textFill>
        </w:rPr>
        <w:t>投标总价封面</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11</w:t>
      </w:r>
      <w:r>
        <w:rPr>
          <w:rFonts w:hint="eastAsia" w:ascii="宋体" w:hAnsi="宋体" w:cs="宋体"/>
          <w:bCs/>
          <w:color w:val="000000" w:themeColor="text1"/>
          <w:sz w:val="24"/>
          <w:highlight w:val="none"/>
          <w:lang w:eastAsia="zh-CN"/>
          <w14:textFill>
            <w14:solidFill>
              <w14:schemeClr w14:val="tx1"/>
            </w14:solidFill>
          </w14:textFill>
        </w:rPr>
        <w:t xml:space="preserve">   投标总价</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-1 安全文明施工费明细表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 xml:space="preserve">   投标总价总说明</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 xml:space="preserve">   建设项目投标报价汇总表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 xml:space="preserve">   单项工程投标报价汇总表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 xml:space="preserve">   单位工程投标报价汇总表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eastAsia="宋体" w:cs="宋体"/>
          <w:bCs/>
          <w:color w:val="000000" w:themeColor="text1"/>
          <w:sz w:val="24"/>
          <w:highlight w:val="none"/>
          <w14:textFill>
            <w14:solidFill>
              <w14:schemeClr w14:val="tx1"/>
            </w14:solidFill>
          </w14:textFill>
        </w:rPr>
        <w:t xml:space="preserve">   分部分项工程和单价措施项目清单与计价表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 xml:space="preserve">   综合单价分析表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eastAsia="宋体" w:cs="宋体"/>
          <w:bCs/>
          <w:color w:val="000000" w:themeColor="text1"/>
          <w:sz w:val="24"/>
          <w:highlight w:val="none"/>
          <w14:textFill>
            <w14:solidFill>
              <w14:schemeClr w14:val="tx1"/>
            </w14:solidFill>
          </w14:textFill>
        </w:rPr>
        <w:t xml:space="preserve">   总价措施项目清单与计价表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eastAsia="宋体" w:cs="宋体"/>
          <w:bCs/>
          <w:color w:val="000000" w:themeColor="text1"/>
          <w:sz w:val="24"/>
          <w:highlight w:val="none"/>
          <w14:textFill>
            <w14:solidFill>
              <w14:schemeClr w14:val="tx1"/>
            </w14:solidFill>
          </w14:textFill>
        </w:rPr>
        <w:t>-1 措施项目汇总表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19</w:t>
      </w:r>
      <w:r>
        <w:rPr>
          <w:rFonts w:hint="eastAsia" w:ascii="宋体" w:hAnsi="宋体" w:eastAsia="宋体" w:cs="宋体"/>
          <w:bCs/>
          <w:color w:val="000000" w:themeColor="text1"/>
          <w:sz w:val="24"/>
          <w:highlight w:val="none"/>
          <w14:textFill>
            <w14:solidFill>
              <w14:schemeClr w14:val="tx1"/>
            </w14:solidFill>
          </w14:textFill>
        </w:rPr>
        <w:t xml:space="preserve">   其他项目清单与计价汇总表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eastAsia="宋体" w:cs="宋体"/>
          <w:bCs/>
          <w:color w:val="000000" w:themeColor="text1"/>
          <w:sz w:val="24"/>
          <w:highlight w:val="none"/>
          <w14:textFill>
            <w14:solidFill>
              <w14:schemeClr w14:val="tx1"/>
            </w14:solidFill>
          </w14:textFill>
        </w:rPr>
        <w:t xml:space="preserve">   暂列金额明细表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 xml:space="preserve">   材料（工程设备）暂估单价及调整表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格式2</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lang w:eastAsia="zh-CN"/>
          <w14:textFill>
            <w14:solidFill>
              <w14:schemeClr w14:val="tx1"/>
            </w14:solidFill>
          </w14:textFill>
        </w:rPr>
        <w:t xml:space="preserve">   专业工程暂估表及结算表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格式2</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lang w:eastAsia="zh-CN"/>
          <w14:textFill>
            <w14:solidFill>
              <w14:schemeClr w14:val="tx1"/>
            </w14:solidFill>
          </w14:textFill>
        </w:rPr>
        <w:t xml:space="preserve">   计日工表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格式2</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lang w:eastAsia="zh-CN"/>
          <w14:textFill>
            <w14:solidFill>
              <w14:schemeClr w14:val="tx1"/>
            </w14:solidFill>
          </w14:textFill>
        </w:rPr>
        <w:t xml:space="preserve">   总承包服务费计价表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格式2</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cs="宋体"/>
          <w:bCs/>
          <w:color w:val="000000" w:themeColor="text1"/>
          <w:sz w:val="24"/>
          <w:highlight w:val="none"/>
          <w:lang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lang w:eastAsia="zh-CN"/>
          <w14:textFill>
            <w14:solidFill>
              <w14:schemeClr w14:val="tx1"/>
            </w14:solidFill>
          </w14:textFill>
        </w:rPr>
        <w:t>规费、税金项目计价表（园林绿化工程）</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格式2</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lang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 xml:space="preserve">  主</w:t>
      </w:r>
      <w:r>
        <w:rPr>
          <w:rFonts w:hint="eastAsia" w:ascii="宋体" w:hAnsi="宋体" w:cs="宋体"/>
          <w:bCs/>
          <w:color w:val="000000" w:themeColor="text1"/>
          <w:sz w:val="24"/>
          <w:highlight w:val="none"/>
          <w:lang w:eastAsia="zh-CN"/>
          <w14:textFill>
            <w14:solidFill>
              <w14:schemeClr w14:val="tx1"/>
            </w14:solidFill>
          </w14:textFill>
        </w:rPr>
        <w:t>要材料、设备价格表（采购人提供）</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附表</w:t>
      </w:r>
      <w:r>
        <w:rPr>
          <w:rFonts w:hint="eastAsia" w:ascii="宋体" w:hAnsi="宋体" w:cs="宋体"/>
          <w:bCs/>
          <w:color w:val="000000" w:themeColor="text1"/>
          <w:sz w:val="24"/>
          <w:highlight w:val="none"/>
          <w:lang w:val="en-US" w:eastAsia="zh-CN"/>
          <w14:textFill>
            <w14:solidFill>
              <w14:schemeClr w14:val="tx1"/>
            </w14:solidFill>
          </w14:textFill>
        </w:rPr>
        <w:t>27</w:t>
      </w:r>
      <w:r>
        <w:rPr>
          <w:rFonts w:hint="eastAsia" w:ascii="宋体" w:hAnsi="宋体" w:cs="宋体"/>
          <w:bCs/>
          <w:color w:val="000000" w:themeColor="text1"/>
          <w:sz w:val="24"/>
          <w:highlight w:val="none"/>
          <w:lang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lang w:eastAsia="zh-CN"/>
          <w14:textFill>
            <w14:solidFill>
              <w14:schemeClr w14:val="tx1"/>
            </w14:solidFill>
          </w14:textFill>
        </w:rPr>
        <w:t>苗木规格及价格表（招标人提供）</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28</w:t>
      </w:r>
      <w:r>
        <w:rPr>
          <w:rFonts w:hint="eastAsia" w:ascii="宋体" w:hAnsi="宋体" w:cs="宋体"/>
          <w:bCs/>
          <w:color w:val="000000" w:themeColor="text1"/>
          <w:sz w:val="24"/>
          <w:highlight w:val="none"/>
          <w:lang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 xml:space="preserve">  商务条款偏离表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29</w:t>
      </w:r>
      <w:r>
        <w:rPr>
          <w:rFonts w:hint="eastAsia" w:ascii="宋体" w:hAnsi="宋体" w:cs="宋体"/>
          <w:bCs/>
          <w:color w:val="000000" w:themeColor="text1"/>
          <w:sz w:val="24"/>
          <w:highlight w:val="none"/>
          <w:lang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 xml:space="preserve">  技术条款偏离表</w:t>
      </w:r>
    </w:p>
    <w:p>
      <w:pPr>
        <w:spacing w:line="360" w:lineRule="auto"/>
        <w:ind w:firstLine="883" w:firstLineChars="200"/>
        <w:jc w:val="center"/>
        <w:rPr>
          <w:rFonts w:hint="eastAsia" w:ascii="宋体" w:hAnsi="宋体" w:eastAsia="宋体" w:cs="宋体"/>
          <w:b/>
          <w:color w:val="000000" w:themeColor="text1"/>
          <w:sz w:val="44"/>
          <w:szCs w:val="44"/>
          <w:highlight w:val="none"/>
          <w:lang w:eastAsia="zh-CN"/>
          <w14:textFill>
            <w14:solidFill>
              <w14:schemeClr w14:val="tx1"/>
            </w14:solidFill>
          </w14:textFill>
        </w:rPr>
      </w:pPr>
      <w:r>
        <w:rPr>
          <w:rFonts w:hint="eastAsia" w:ascii="宋体" w:hAnsi="宋体" w:cs="宋体"/>
          <w:b/>
          <w:color w:val="000000" w:themeColor="text1"/>
          <w:sz w:val="44"/>
          <w:szCs w:val="44"/>
          <w:highlight w:val="none"/>
          <w:lang w:eastAsia="zh-CN"/>
          <w14:textFill>
            <w14:solidFill>
              <w14:schemeClr w14:val="tx1"/>
            </w14:solidFill>
          </w14:textFill>
        </w:rPr>
        <w:t>某支队2021年度秋季绿化项目</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投  标  文  件</w:t>
      </w:r>
    </w:p>
    <w:p>
      <w:pPr>
        <w:spacing w:line="360" w:lineRule="auto"/>
        <w:ind w:firstLine="482" w:firstLineChars="200"/>
        <w:jc w:val="center"/>
        <w:rPr>
          <w:rFonts w:hint="default"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招标文件编号：</w:t>
      </w:r>
      <w:r>
        <w:rPr>
          <w:rFonts w:hint="eastAsia" w:ascii="宋体" w:hAnsi="宋体" w:cs="宋体"/>
          <w:b/>
          <w:color w:val="000000" w:themeColor="text1"/>
          <w:sz w:val="24"/>
          <w:szCs w:val="24"/>
          <w:highlight w:val="none"/>
          <w:lang w:val="en-US" w:eastAsia="zh-CN"/>
          <w14:textFill>
            <w14:solidFill>
              <w14:schemeClr w14:val="tx1"/>
            </w14:solidFill>
          </w14:textFill>
        </w:rPr>
        <w:t>MZDQJLV2021-01</w:t>
      </w:r>
    </w:p>
    <w:p>
      <w:pPr>
        <w:pStyle w:val="6"/>
        <w:spacing w:line="360" w:lineRule="auto"/>
        <w:ind w:firstLine="602" w:firstLineChars="200"/>
        <w:jc w:val="center"/>
        <w:rPr>
          <w:rFonts w:ascii="宋体" w:hAnsi="宋体" w:cs="宋体"/>
          <w:bCs w:val="0"/>
          <w:color w:val="000000" w:themeColor="text1"/>
          <w:sz w:val="30"/>
          <w:szCs w:val="30"/>
          <w:highlight w:val="none"/>
          <w14:textFill>
            <w14:solidFill>
              <w14:schemeClr w14:val="tx1"/>
            </w14:solidFill>
          </w14:textFill>
        </w:rPr>
      </w:pPr>
      <w:r>
        <w:rPr>
          <w:rFonts w:hint="eastAsia" w:ascii="宋体" w:hAnsi="宋体" w:cs="宋体"/>
          <w:bCs w:val="0"/>
          <w:color w:val="000000" w:themeColor="text1"/>
          <w:sz w:val="30"/>
          <w:szCs w:val="30"/>
          <w:highlight w:val="none"/>
          <w14:textFill>
            <w14:solidFill>
              <w14:schemeClr w14:val="tx1"/>
            </w14:solidFill>
          </w14:textFill>
        </w:rPr>
        <w:t>资格证明文件/商务文件/技术文件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 （单位名称）盖章</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单位地址：</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pStyle w:val="33"/>
        <w:spacing w:line="360" w:lineRule="auto"/>
        <w:ind w:firstLine="482" w:firstLineChars="200"/>
        <w:rPr>
          <w:rFonts w:hAnsi="宋体" w:cs="宋体"/>
          <w:b/>
          <w:color w:val="000000" w:themeColor="text1"/>
          <w:sz w:val="24"/>
          <w:szCs w:val="24"/>
          <w:highlight w:val="none"/>
          <w14:textFill>
            <w14:solidFill>
              <w14:schemeClr w14:val="tx1"/>
            </w14:solidFill>
          </w14:textFill>
        </w:rPr>
      </w:pPr>
    </w:p>
    <w:p>
      <w:pPr>
        <w:pStyle w:val="33"/>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联系人：                   联系电话：</w:t>
      </w: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格式1  法定代表人资格证明书</w:t>
      </w:r>
    </w:p>
    <w:p>
      <w:pPr>
        <w:tabs>
          <w:tab w:val="left" w:pos="360"/>
          <w:tab w:val="left" w:pos="1800"/>
        </w:tabs>
        <w:spacing w:line="360" w:lineRule="auto"/>
        <w:ind w:left="540"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姓名：        性别：       年龄：         职务： </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单位）的法定代表人。为的项目，签署上述项目的投标文件、进行合同谈判、签署合同和处理与之有关的一切事务。</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tabs>
          <w:tab w:val="left" w:pos="360"/>
          <w:tab w:val="left" w:pos="1800"/>
        </w:tabs>
        <w:spacing w:line="360" w:lineRule="auto"/>
        <w:ind w:left="45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投标人：（盖章）</w:t>
      </w:r>
    </w:p>
    <w:p>
      <w:pPr>
        <w:tabs>
          <w:tab w:val="left" w:pos="360"/>
          <w:tab w:val="left" w:pos="1800"/>
        </w:tabs>
        <w:spacing w:line="360" w:lineRule="auto"/>
        <w:ind w:left="45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96" w:hRule="atLeast"/>
          <w:jc w:val="center"/>
        </w:trPr>
        <w:tc>
          <w:tcPr>
            <w:tcW w:w="6952" w:type="dxa"/>
            <w:noWrap/>
          </w:tcPr>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法定代表人身份证复印件或扫描件（正、反两面）</w:t>
            </w:r>
          </w:p>
        </w:tc>
      </w:tr>
    </w:tbl>
    <w:p>
      <w:pPr>
        <w:tabs>
          <w:tab w:val="left" w:pos="360"/>
          <w:tab w:val="left" w:pos="1800"/>
        </w:tabs>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注：法定代表人身份证复印件或扫描件应反映出证件有效期等所载内容。</w:t>
      </w:r>
    </w:p>
    <w:p>
      <w:pPr>
        <w:tabs>
          <w:tab w:val="left" w:pos="360"/>
          <w:tab w:val="left" w:pos="1800"/>
        </w:tabs>
        <w:spacing w:line="360" w:lineRule="auto"/>
        <w:ind w:left="1980"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格式2  法定代表人授权书</w:t>
      </w:r>
    </w:p>
    <w:p>
      <w:pPr>
        <w:tabs>
          <w:tab w:val="left" w:pos="360"/>
          <w:tab w:val="left" w:pos="1800"/>
        </w:tabs>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本授权委托书声明：我（姓名）系（投标人名称）的法定代表人，现授权委托（单位名称）的（姓名），其身份证号为，为我公司代理人，以本公司的名义参加</w:t>
      </w:r>
      <w:r>
        <w:rPr>
          <w:rFonts w:hint="eastAsia" w:ascii="宋体" w:hAnsi="宋体" w:cs="宋体"/>
          <w:color w:val="000000" w:themeColor="text1"/>
          <w:sz w:val="24"/>
          <w:highlight w:val="none"/>
          <w:u w:val="single"/>
          <w14:textFill>
            <w14:solidFill>
              <w14:schemeClr w14:val="tx1"/>
            </w14:solidFill>
          </w14:textFill>
        </w:rPr>
        <w:t>（采购人）（招标项目名称）</w:t>
      </w:r>
      <w:r>
        <w:rPr>
          <w:rFonts w:hint="eastAsia" w:ascii="宋体" w:hAnsi="宋体" w:cs="宋体"/>
          <w:color w:val="000000" w:themeColor="text1"/>
          <w:sz w:val="24"/>
          <w:highlight w:val="none"/>
          <w14:textFill>
            <w14:solidFill>
              <w14:schemeClr w14:val="tx1"/>
            </w14:solidFill>
          </w14:textFill>
        </w:rPr>
        <w:t>项目的投标活动。</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代理人在开标、评标、合同谈判过程中所签署的一切文件和处理与之有关的一切事务，我均予以承认。</w:t>
      </w:r>
    </w:p>
    <w:p>
      <w:pPr>
        <w:tabs>
          <w:tab w:val="left" w:pos="360"/>
          <w:tab w:val="left" w:pos="1800"/>
        </w:tabs>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本授权委托书期限自</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日起至</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日止。</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委托代理人无转委权。特此委托。</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            性别：           年龄：</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              部门：           职务：</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投标人：（盖章）</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委托代理人：（签字或盖章）</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9" w:hRule="atLeast"/>
          <w:jc w:val="center"/>
        </w:trPr>
        <w:tc>
          <w:tcPr>
            <w:tcW w:w="6952" w:type="dxa"/>
            <w:noWrap/>
          </w:tcPr>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委托代理人身份证复印件或扫描件（正、反两面）</w:t>
            </w:r>
          </w:p>
        </w:tc>
      </w:tr>
    </w:tbl>
    <w:p>
      <w:pPr>
        <w:tabs>
          <w:tab w:val="left" w:pos="360"/>
          <w:tab w:val="left" w:pos="1800"/>
        </w:tabs>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注：委托代理人身份证复印件或扫描件应反映出证件有效期等所载内容，</w:t>
      </w:r>
      <w:r>
        <w:rPr>
          <w:rFonts w:hint="eastAsia" w:ascii="宋体" w:hAnsi="宋体" w:cs="宋体"/>
          <w:b/>
          <w:color w:val="000000" w:themeColor="text1"/>
          <w:sz w:val="24"/>
          <w:highlight w:val="none"/>
          <w14:textFill>
            <w14:solidFill>
              <w14:schemeClr w14:val="tx1"/>
            </w14:solidFill>
          </w14:textFill>
        </w:rPr>
        <w:t>作为本</w:t>
      </w:r>
      <w:r>
        <w:rPr>
          <w:rFonts w:hint="eastAsia" w:ascii="宋体" w:hAnsi="宋体" w:cs="宋体"/>
          <w:b/>
          <w:bCs/>
          <w:color w:val="000000" w:themeColor="text1"/>
          <w:sz w:val="24"/>
          <w:highlight w:val="none"/>
          <w14:textFill>
            <w14:solidFill>
              <w14:schemeClr w14:val="tx1"/>
            </w14:solidFill>
          </w14:textFill>
        </w:rPr>
        <w:t>法定代表人授权书的附件。</w:t>
      </w:r>
    </w:p>
    <w:p>
      <w:pPr>
        <w:pStyle w:val="33"/>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3"/>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3"/>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3"/>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格式3   投标人资格声明</w:t>
      </w:r>
    </w:p>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投标人名称</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 址</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主管部门</w:t>
            </w: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法定代表</w:t>
            </w:r>
          </w:p>
        </w:tc>
        <w:tc>
          <w:tcPr>
            <w:tcW w:w="1549"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职 务</w:t>
            </w:r>
          </w:p>
        </w:tc>
        <w:tc>
          <w:tcPr>
            <w:tcW w:w="1607"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注册时间</w:t>
            </w:r>
          </w:p>
        </w:tc>
        <w:tc>
          <w:tcPr>
            <w:tcW w:w="2929" w:type="dxa"/>
            <w:gridSpan w:val="2"/>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经济类型</w:t>
            </w:r>
          </w:p>
        </w:tc>
        <w:tc>
          <w:tcPr>
            <w:tcW w:w="3190" w:type="dxa"/>
            <w:gridSpan w:val="2"/>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57"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营业执照号</w:t>
            </w:r>
          </w:p>
        </w:tc>
        <w:tc>
          <w:tcPr>
            <w:tcW w:w="4739"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近三年内（201</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14:textFill>
                  <w14:solidFill>
                    <w14:schemeClr w14:val="tx1"/>
                  </w14:solidFill>
                </w14:textFill>
              </w:rPr>
              <w:t>年至20</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年）经营活动中有无重大违法纪录</w:t>
            </w:r>
          </w:p>
        </w:tc>
        <w:tc>
          <w:tcPr>
            <w:tcW w:w="4739"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是否依法缴纳税收</w:t>
            </w:r>
          </w:p>
        </w:tc>
        <w:tc>
          <w:tcPr>
            <w:tcW w:w="2929" w:type="dxa"/>
            <w:gridSpan w:val="2"/>
            <w:noWrap/>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是否依法缴纳社会保障资金</w:t>
            </w:r>
          </w:p>
        </w:tc>
        <w:tc>
          <w:tcPr>
            <w:tcW w:w="3190" w:type="dxa"/>
            <w:gridSpan w:val="2"/>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位</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概</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况</w:t>
            </w:r>
          </w:p>
        </w:tc>
        <w:tc>
          <w:tcPr>
            <w:tcW w:w="1380" w:type="dxa"/>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注册资本</w:t>
            </w: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万元</w:t>
            </w:r>
          </w:p>
        </w:tc>
        <w:tc>
          <w:tcPr>
            <w:tcW w:w="1549" w:type="dxa"/>
            <w:noWrap/>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占地面积</w:t>
            </w:r>
          </w:p>
        </w:tc>
        <w:tc>
          <w:tcPr>
            <w:tcW w:w="3190" w:type="dxa"/>
            <w:gridSpan w:val="2"/>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职工总数</w:t>
            </w: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人</w:t>
            </w:r>
          </w:p>
        </w:tc>
        <w:tc>
          <w:tcPr>
            <w:tcW w:w="1549" w:type="dxa"/>
            <w:noWrap/>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建筑面积</w:t>
            </w:r>
          </w:p>
        </w:tc>
        <w:tc>
          <w:tcPr>
            <w:tcW w:w="3190" w:type="dxa"/>
            <w:gridSpan w:val="2"/>
            <w:noWrap/>
          </w:tcPr>
          <w:p>
            <w:pPr>
              <w:spacing w:line="360" w:lineRule="auto"/>
              <w:ind w:firstLine="1920" w:firstLineChars="8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vMerge w:val="restart"/>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资产情况</w:t>
            </w:r>
          </w:p>
        </w:tc>
        <w:tc>
          <w:tcPr>
            <w:tcW w:w="3098" w:type="dxa"/>
            <w:gridSpan w:val="2"/>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净资产：        万元</w:t>
            </w:r>
          </w:p>
        </w:tc>
        <w:tc>
          <w:tcPr>
            <w:tcW w:w="3190" w:type="dxa"/>
            <w:gridSpan w:val="2"/>
            <w:vMerge w:val="restart"/>
            <w:noWrap/>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固定资产原值 ：      万元</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3098" w:type="dxa"/>
            <w:gridSpan w:val="2"/>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负 债：         万元</w:t>
            </w:r>
          </w:p>
        </w:tc>
        <w:tc>
          <w:tcPr>
            <w:tcW w:w="3190" w:type="dxa"/>
            <w:gridSpan w:val="2"/>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财务状况（最近三年201</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14:textFill>
                  <w14:solidFill>
                    <w14:schemeClr w14:val="tx1"/>
                  </w14:solidFill>
                </w14:textFill>
              </w:rPr>
              <w:t>年至20</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年）</w:t>
            </w:r>
          </w:p>
        </w:tc>
        <w:tc>
          <w:tcPr>
            <w:tcW w:w="1380" w:type="dxa"/>
            <w:noWrap/>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年份</w:t>
            </w:r>
          </w:p>
        </w:tc>
        <w:tc>
          <w:tcPr>
            <w:tcW w:w="1549"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主营收入</w:t>
            </w:r>
          </w:p>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549"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收入总额</w:t>
            </w:r>
          </w:p>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583"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利润总额</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607" w:type="dxa"/>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净利润</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607"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607"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607"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经营范围</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备注</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bl>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格式</w:t>
      </w:r>
      <w:r>
        <w:rPr>
          <w:rFonts w:hint="eastAsia" w:ascii="宋体" w:hAnsi="宋体" w:eastAsia="宋体" w:cs="宋体"/>
          <w:b/>
          <w:bCs/>
          <w:color w:val="000000" w:themeColor="text1"/>
          <w:sz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highlight w:val="none"/>
          <w14:textFill>
            <w14:solidFill>
              <w14:schemeClr w14:val="tx1"/>
            </w14:solidFill>
          </w14:textFill>
        </w:rPr>
        <w:t xml:space="preserve">  中小企业声明函（工程）</w:t>
      </w:r>
    </w:p>
    <w:p>
      <w:pPr>
        <w:tabs>
          <w:tab w:val="left" w:pos="6300"/>
        </w:tabs>
        <w:snapToGrid w:val="0"/>
        <w:spacing w:line="500" w:lineRule="exact"/>
        <w:ind w:firstLine="720" w:firstLineChars="200"/>
        <w:jc w:val="center"/>
        <w:outlineLvl w:val="0"/>
        <w:rPr>
          <w:rFonts w:hint="eastAsia" w:ascii="宋体" w:hAnsi="宋体" w:eastAsia="宋体" w:cs="宋体"/>
          <w:color w:val="000000" w:themeColor="text1"/>
          <w:sz w:val="36"/>
          <w:szCs w:val="36"/>
          <w:highlight w:val="none"/>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highlight w:val="none"/>
          <w:u w:val="single"/>
          <w14:textFill>
            <w14:solidFill>
              <w14:schemeClr w14:val="tx1"/>
            </w14:solidFill>
          </w14:textFill>
        </w:rPr>
        <w:t xml:space="preserve"> （单位名称）</w:t>
      </w:r>
      <w:r>
        <w:rPr>
          <w:rFonts w:hint="eastAsia" w:ascii="宋体" w:hAnsi="宋体" w:eastAsia="宋体" w:cs="宋体"/>
          <w:color w:val="000000" w:themeColor="text1"/>
          <w:sz w:val="24"/>
          <w:highlight w:val="none"/>
          <w14:textFill>
            <w14:solidFill>
              <w14:schemeClr w14:val="tx1"/>
            </w14:solidFill>
          </w14:textFill>
        </w:rPr>
        <w:t xml:space="preserve"> 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u w:val="single"/>
          <w14:textFill>
            <w14:solidFill>
              <w14:schemeClr w14:val="tx1"/>
            </w14:solidFill>
          </w14:textFill>
        </w:rPr>
        <w:t xml:space="preserve">（标的名称） </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 xml:space="preserve">（企业名称） </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 ，属于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eastAsia="宋体" w:cs="宋体"/>
          <w:color w:val="000000" w:themeColor="text1"/>
          <w:sz w:val="24"/>
          <w:highlight w:val="none"/>
          <w:u w:val="single"/>
          <w14:textFill>
            <w14:solidFill>
              <w14:schemeClr w14:val="tx1"/>
            </w14:solidFill>
          </w14:textFill>
        </w:rPr>
        <w:t xml:space="preserve">（标的名称） </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 xml:space="preserve">（企业名称） </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0" w:firstLineChars="20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w:t>
      </w:r>
    </w:p>
    <w:p>
      <w:pPr>
        <w:spacing w:line="360" w:lineRule="auto"/>
        <w:ind w:firstLine="5040" w:firstLineChars="2100"/>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040" w:firstLineChars="2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pPr>
        <w:spacing w:line="480" w:lineRule="exact"/>
        <w:ind w:firstLine="492" w:firstLineChars="175"/>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注：1、从业人员、营业收入、资产总额填报上一年度数据，无上一年度数据的新成立企业可不填报。</w:t>
      </w:r>
    </w:p>
    <w:p>
      <w:pPr>
        <w:spacing w:line="480" w:lineRule="exact"/>
        <w:ind w:firstLine="492" w:firstLineChars="175"/>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2、各供应商参照《关于印发中小企业划型标准规定的通知 工信部联企业〔2011〕300号》 中小企业划型标准规定中规定的行业以及划型标准对本企业进行划型。</w:t>
      </w:r>
    </w:p>
    <w:p>
      <w:pPr>
        <w:pStyle w:val="33"/>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sectPr>
          <w:footerReference r:id="rId5" w:type="default"/>
          <w:pgSz w:w="11907" w:h="16840"/>
          <w:pgMar w:top="1304" w:right="1077" w:bottom="1304" w:left="1077" w:header="964" w:footer="992" w:gutter="0"/>
          <w:pgNumType w:start="1"/>
          <w:cols w:space="720" w:num="1"/>
          <w:docGrid w:linePitch="354" w:charSpace="0"/>
        </w:sect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格式</w:t>
      </w:r>
      <w:r>
        <w:rPr>
          <w:rFonts w:hint="eastAsia" w:ascii="宋体" w:hAnsi="宋体" w:eastAsia="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14:textFill>
            <w14:solidFill>
              <w14:schemeClr w14:val="tx1"/>
            </w14:solidFill>
          </w14:textFill>
        </w:rPr>
        <w:t xml:space="preserve">    项目负责人简历表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99"/>
        <w:gridCol w:w="798"/>
        <w:gridCol w:w="841"/>
        <w:gridCol w:w="380"/>
        <w:gridCol w:w="877"/>
        <w:gridCol w:w="985"/>
        <w:gridCol w:w="809"/>
        <w:gridCol w:w="1362"/>
        <w:gridCol w:w="7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83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性别</w:t>
            </w:r>
          </w:p>
        </w:tc>
        <w:tc>
          <w:tcPr>
            <w:tcW w:w="17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年龄</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p>
        </w:tc>
        <w:tc>
          <w:tcPr>
            <w:tcW w:w="183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17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拟在本合同担任职务</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96" w:type="dxa"/>
            <w:gridSpan w:val="4"/>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项目负责人建造师专业及等级</w:t>
            </w:r>
          </w:p>
        </w:tc>
        <w:tc>
          <w:tcPr>
            <w:tcW w:w="1257" w:type="dxa"/>
            <w:gridSpan w:val="2"/>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5038" w:type="dxa"/>
            <w:gridSpan w:val="5"/>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96" w:type="dxa"/>
            <w:gridSpan w:val="4"/>
            <w:vMerge w:val="continue"/>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57" w:type="dxa"/>
            <w:gridSpan w:val="2"/>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等级</w:t>
            </w:r>
          </w:p>
        </w:tc>
        <w:tc>
          <w:tcPr>
            <w:tcW w:w="5038" w:type="dxa"/>
            <w:gridSpan w:val="5"/>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96" w:type="dxa"/>
            <w:gridSpan w:val="4"/>
            <w:vMerge w:val="continue"/>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57" w:type="dxa"/>
            <w:gridSpan w:val="2"/>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证书编号</w:t>
            </w:r>
          </w:p>
        </w:tc>
        <w:tc>
          <w:tcPr>
            <w:tcW w:w="5038" w:type="dxa"/>
            <w:gridSpan w:val="5"/>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96" w:type="dxa"/>
            <w:gridSpan w:val="4"/>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安全生产考核合格证</w:t>
            </w:r>
          </w:p>
        </w:tc>
        <w:tc>
          <w:tcPr>
            <w:tcW w:w="1257" w:type="dxa"/>
            <w:gridSpan w:val="2"/>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证书编号</w:t>
            </w:r>
          </w:p>
        </w:tc>
        <w:tc>
          <w:tcPr>
            <w:tcW w:w="5038" w:type="dxa"/>
            <w:gridSpan w:val="5"/>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毕业院校</w:t>
            </w:r>
          </w:p>
        </w:tc>
        <w:tc>
          <w:tcPr>
            <w:tcW w:w="7136"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月毕业于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学校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专业，学制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参加工作时间</w:t>
            </w: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3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从事本专业工作时间</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691"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年～年</w:t>
            </w:r>
          </w:p>
        </w:tc>
        <w:tc>
          <w:tcPr>
            <w:tcW w:w="201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参加过施工的工程项目名称</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建设规模</w:t>
            </w:r>
          </w:p>
        </w:tc>
        <w:tc>
          <w:tcPr>
            <w:tcW w:w="217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担任何职</w:t>
            </w: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35"/>
        <w:tabs>
          <w:tab w:val="left" w:pos="360"/>
          <w:tab w:val="left" w:pos="1800"/>
        </w:tabs>
        <w:spacing w:line="360" w:lineRule="auto"/>
        <w:ind w:left="0" w:leftChars="0"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说明：项目负责人提供建造师注册证书复印件、安全生产考核合格证书复印件附于本表后，作为本表的附件。</w:t>
      </w:r>
    </w:p>
    <w:p>
      <w:pPr>
        <w:tabs>
          <w:tab w:val="left" w:pos="360"/>
          <w:tab w:val="left" w:pos="1800"/>
        </w:tabs>
        <w:spacing w:line="360" w:lineRule="auto"/>
        <w:ind w:right="9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p>
    <w:p>
      <w:pPr>
        <w:tabs>
          <w:tab w:val="left" w:pos="360"/>
          <w:tab w:val="left" w:pos="1800"/>
        </w:tabs>
        <w:spacing w:line="360" w:lineRule="auto"/>
        <w:ind w:right="9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法定代表人或委托代理人：（签字或盖章）</w:t>
      </w:r>
    </w:p>
    <w:p>
      <w:pPr>
        <w:tabs>
          <w:tab w:val="left" w:pos="360"/>
          <w:tab w:val="left" w:pos="1800"/>
        </w:tabs>
        <w:spacing w:line="360" w:lineRule="auto"/>
        <w:ind w:left="1980" w:leftChars="943" w:firstLine="3960" w:firstLineChars="1650"/>
        <w:rPr>
          <w:rFonts w:hint="eastAsia" w:ascii="宋体" w:hAnsi="宋体" w:eastAsia="宋体" w:cs="宋体"/>
          <w:color w:val="000000" w:themeColor="text1"/>
          <w:sz w:val="24"/>
          <w:szCs w:val="24"/>
          <w:highlight w:val="none"/>
          <w14:textFill>
            <w14:solidFill>
              <w14:schemeClr w14:val="tx1"/>
            </w14:solidFill>
          </w14:textFill>
        </w:rPr>
      </w:pPr>
    </w:p>
    <w:p>
      <w:pPr>
        <w:tabs>
          <w:tab w:val="left" w:pos="360"/>
          <w:tab w:val="left" w:pos="1800"/>
        </w:tabs>
        <w:spacing w:line="360" w:lineRule="auto"/>
        <w:ind w:left="1980" w:leftChars="943" w:firstLine="3960" w:firstLineChars="16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pPr>
        <w:tabs>
          <w:tab w:val="left" w:pos="360"/>
          <w:tab w:val="left" w:pos="1800"/>
        </w:tabs>
        <w:spacing w:line="360" w:lineRule="auto"/>
        <w:ind w:right="960" w:firstLine="4935" w:firstLineChars="2350"/>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spacing w:line="360" w:lineRule="auto"/>
        <w:ind w:right="960" w:firstLine="4935" w:firstLineChars="2350"/>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spacing w:line="3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格式</w:t>
      </w:r>
      <w:r>
        <w:rPr>
          <w:rFonts w:hint="eastAsia" w:ascii="宋体" w:hAnsi="宋体" w:eastAsia="宋体" w:cs="宋体"/>
          <w:b/>
          <w:color w:val="000000" w:themeColor="text1"/>
          <w:sz w:val="24"/>
          <w:szCs w:val="24"/>
          <w:highlight w:val="none"/>
          <w14:textFill>
            <w14:solidFill>
              <w14:schemeClr w14:val="tx1"/>
            </w14:solidFill>
          </w14:textFill>
        </w:rPr>
        <w:t>6   主要施工管理人员表</w:t>
      </w:r>
    </w:p>
    <w:tbl>
      <w:tblPr>
        <w:tblStyle w:val="57"/>
        <w:tblpPr w:leftFromText="180" w:rightFromText="180" w:vertAnchor="text" w:horzAnchor="margin" w:tblpXSpec="center" w:tblpY="1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51"/>
        <w:gridCol w:w="992"/>
        <w:gridCol w:w="1417"/>
        <w:gridCol w:w="1134"/>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职务</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职称/岗位证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证书编号</w:t>
            </w:r>
          </w:p>
        </w:tc>
        <w:tc>
          <w:tcPr>
            <w:tcW w:w="321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1、项目负责人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21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、项目技术负责人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21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、绿化工</w:t>
            </w: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21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、花卉工</w:t>
            </w: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21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40" w:lineRule="atLeas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注：技术负责人提供职称证书复印件，绿化工和花卉工需提供岗位证书复印件，其他人员由各投标人根据工程情况拟派管理人员并附管理人员证书复印件。</w:t>
            </w:r>
          </w:p>
        </w:tc>
      </w:tr>
    </w:tbl>
    <w:p>
      <w:pPr>
        <w:tabs>
          <w:tab w:val="left" w:pos="360"/>
          <w:tab w:val="left" w:pos="1800"/>
        </w:tabs>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投标人：（盖章）             </w:t>
      </w:r>
    </w:p>
    <w:p>
      <w:pPr>
        <w:tabs>
          <w:tab w:val="left" w:pos="360"/>
          <w:tab w:val="left" w:pos="1800"/>
        </w:tabs>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360"/>
          <w:tab w:val="left" w:pos="1800"/>
        </w:tabs>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360"/>
          <w:tab w:val="left" w:pos="1800"/>
        </w:tabs>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法定代表人或委托代理人：（签字或盖章）</w:t>
      </w:r>
    </w:p>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360" w:lineRule="auto"/>
        <w:ind w:right="9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日期：     年   月   日</w:t>
      </w:r>
    </w:p>
    <w:p>
      <w:pPr>
        <w:snapToGrid w:val="0"/>
        <w:spacing w:line="240" w:lineRule="atLeast"/>
        <w:jc w:val="center"/>
        <w:outlineLvl w:val="0"/>
        <w:rPr>
          <w:rFonts w:hint="eastAsia" w:ascii="宋体" w:hAnsi="宋体" w:eastAsia="宋体" w:cs="宋体"/>
          <w:b/>
          <w:color w:val="000000" w:themeColor="text1"/>
          <w:sz w:val="24"/>
          <w:szCs w:val="24"/>
          <w:highlight w:val="none"/>
          <w14:textFill>
            <w14:solidFill>
              <w14:schemeClr w14:val="tx1"/>
            </w14:solidFill>
          </w14:textFill>
        </w:rPr>
      </w:pPr>
    </w:p>
    <w:p>
      <w:pPr>
        <w:snapToGrid w:val="0"/>
        <w:spacing w:line="240" w:lineRule="atLeast"/>
        <w:jc w:val="center"/>
        <w:outlineLvl w:val="0"/>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格式</w:t>
      </w: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拟投入本工程的主要机械、设备及检测仪器表</w:t>
      </w:r>
    </w:p>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19"/>
        <w:gridCol w:w="823"/>
        <w:gridCol w:w="822"/>
        <w:gridCol w:w="822"/>
        <w:gridCol w:w="704"/>
        <w:gridCol w:w="704"/>
        <w:gridCol w:w="704"/>
        <w:gridCol w:w="708"/>
        <w:gridCol w:w="570"/>
        <w:gridCol w:w="1064"/>
        <w:gridCol w:w="89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trPr>
        <w:tc>
          <w:tcPr>
            <w:tcW w:w="467"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819"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设备名称</w:t>
            </w:r>
          </w:p>
        </w:tc>
        <w:tc>
          <w:tcPr>
            <w:tcW w:w="823"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规格型号</w:t>
            </w:r>
          </w:p>
        </w:tc>
        <w:tc>
          <w:tcPr>
            <w:tcW w:w="822"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产地</w:t>
            </w:r>
          </w:p>
        </w:tc>
        <w:tc>
          <w:tcPr>
            <w:tcW w:w="822"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出厂时间</w:t>
            </w:r>
          </w:p>
        </w:tc>
        <w:tc>
          <w:tcPr>
            <w:tcW w:w="3390" w:type="dxa"/>
            <w:gridSpan w:val="5"/>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数量（台/套）</w:t>
            </w:r>
          </w:p>
        </w:tc>
        <w:tc>
          <w:tcPr>
            <w:tcW w:w="1064"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进口/国产</w:t>
            </w:r>
          </w:p>
        </w:tc>
        <w:tc>
          <w:tcPr>
            <w:tcW w:w="898"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现状</w:t>
            </w:r>
          </w:p>
        </w:tc>
        <w:tc>
          <w:tcPr>
            <w:tcW w:w="892"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67"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820" w:type="dxa"/>
            <w:gridSpan w:val="4"/>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其中</w:t>
            </w:r>
          </w:p>
        </w:tc>
        <w:tc>
          <w:tcPr>
            <w:tcW w:w="570"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小计</w:t>
            </w:r>
          </w:p>
        </w:tc>
        <w:tc>
          <w:tcPr>
            <w:tcW w:w="1064"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467"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自有</w:t>
            </w: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租赁</w:t>
            </w: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新购</w:t>
            </w: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特别</w:t>
            </w:r>
          </w:p>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制造</w:t>
            </w:r>
          </w:p>
        </w:tc>
        <w:tc>
          <w:tcPr>
            <w:tcW w:w="570"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bl>
    <w:p>
      <w:pPr>
        <w:snapToGrid w:val="0"/>
        <w:spacing w:line="3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 施工机械设备按本工程施工需要的顺序填写；</w:t>
      </w:r>
    </w:p>
    <w:p>
      <w:pPr>
        <w:snapToGrid w:val="0"/>
        <w:spacing w:line="3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 填写拟派于本工程的具体设备；</w:t>
      </w:r>
    </w:p>
    <w:p>
      <w:pPr>
        <w:snapToGrid w:val="0"/>
        <w:spacing w:line="3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注明机械设备出厂日期、目前存放地点、承担工作等内容。</w:t>
      </w:r>
    </w:p>
    <w:p>
      <w:pPr>
        <w:snapToGrid w:val="0"/>
        <w:spacing w:line="360" w:lineRule="exact"/>
        <w:rPr>
          <w:rFonts w:hint="eastAsia" w:ascii="宋体" w:hAnsi="宋体" w:eastAsia="宋体" w:cs="宋体"/>
          <w:color w:val="000000" w:themeColor="text1"/>
          <w:sz w:val="24"/>
          <w:highlight w:val="none"/>
          <w14:textFill>
            <w14:solidFill>
              <w14:schemeClr w14:val="tx1"/>
            </w14:solidFill>
          </w14:textFill>
        </w:rPr>
      </w:pPr>
    </w:p>
    <w:p>
      <w:pPr>
        <w:tabs>
          <w:tab w:val="left" w:pos="360"/>
          <w:tab w:val="left" w:pos="1800"/>
        </w:tabs>
        <w:spacing w:line="48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投标人：（盖章）             </w:t>
      </w:r>
    </w:p>
    <w:p>
      <w:pPr>
        <w:tabs>
          <w:tab w:val="left" w:pos="360"/>
          <w:tab w:val="left" w:pos="1800"/>
        </w:tabs>
        <w:spacing w:line="48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p>
    <w:p>
      <w:pPr>
        <w:tabs>
          <w:tab w:val="left" w:pos="360"/>
          <w:tab w:val="left" w:pos="1800"/>
        </w:tabs>
        <w:spacing w:line="48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法定代表人或委托代理人：（签字或盖章）</w:t>
      </w:r>
    </w:p>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360" w:lineRule="auto"/>
        <w:ind w:right="96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pPr>
        <w:tabs>
          <w:tab w:val="left" w:pos="360"/>
          <w:tab w:val="left" w:pos="1800"/>
        </w:tabs>
        <w:spacing w:line="360" w:lineRule="auto"/>
        <w:ind w:right="960"/>
        <w:jc w:val="center"/>
        <w:rPr>
          <w:rFonts w:hint="eastAsia" w:ascii="宋体" w:hAnsi="宋体" w:eastAsia="宋体" w:cs="宋体"/>
          <w:b/>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仿宋_GB2312" w:eastAsia="仿宋_GB2312"/>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仿宋_GB2312" w:eastAsia="仿宋_GB2312"/>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仿宋_GB2312" w:eastAsia="仿宋_GB2312"/>
          <w:b/>
          <w:bCs/>
          <w:color w:val="000000" w:themeColor="text1"/>
          <w:sz w:val="24"/>
          <w:szCs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8  </w:t>
      </w:r>
      <w:r>
        <w:rPr>
          <w:rFonts w:hint="eastAsia" w:ascii="宋体" w:hAnsi="宋体" w:eastAsia="宋体" w:cs="宋体"/>
          <w:color w:val="000000" w:themeColor="text1"/>
          <w:sz w:val="24"/>
          <w:szCs w:val="24"/>
          <w:highlight w:val="none"/>
          <w14:textFill>
            <w14:solidFill>
              <w14:schemeClr w14:val="tx1"/>
            </w14:solidFill>
          </w14:textFill>
        </w:rPr>
        <w:t xml:space="preserve"> 资格性/符合性自查表</w:t>
      </w:r>
    </w:p>
    <w:tbl>
      <w:tblPr>
        <w:tblStyle w:val="57"/>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532"/>
        <w:gridCol w:w="2133"/>
        <w:gridCol w:w="256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评审内容</w:t>
            </w: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52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采购文件要求</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（详见《资格性和符合性审查表》各项）</w:t>
            </w: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自查结论</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资格性审查</w:t>
            </w: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符合性审查</w:t>
            </w: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bl>
    <w:p>
      <w:pPr>
        <w:spacing w:line="360" w:lineRule="auto"/>
        <w:ind w:firstLine="482" w:firstLineChars="200"/>
        <w:rPr>
          <w:rFonts w:ascii="宋体" w:hAnsi="宋体" w:cs="宋体"/>
          <w:b/>
          <w:color w:val="000000" w:themeColor="text1"/>
          <w:w w:val="9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注：1、以上材料将作为招标投标人有效性审核的重要内容之一，投标人必须严格按照其内容及序列要求在投标文件中对应如</w:t>
      </w:r>
      <w:r>
        <w:rPr>
          <w:rFonts w:hint="eastAsia" w:ascii="宋体" w:hAnsi="宋体" w:cs="宋体"/>
          <w:b/>
          <w:color w:val="000000" w:themeColor="text1"/>
          <w:w w:val="90"/>
          <w:sz w:val="24"/>
          <w:highlight w:val="none"/>
          <w14:textFill>
            <w14:solidFill>
              <w14:schemeClr w14:val="tx1"/>
            </w14:solidFill>
          </w14:textFill>
        </w:rPr>
        <w:t>实提供，对资格性和符合性证明文件的任何缺漏和不符合项将会直接导致投标文件无效！投标人根据自查结论在对应的□打“√”。</w:t>
      </w:r>
    </w:p>
    <w:p>
      <w:pPr>
        <w:spacing w:line="360" w:lineRule="auto"/>
        <w:ind w:firstLine="434" w:firstLineChars="200"/>
        <w:rPr>
          <w:rFonts w:ascii="宋体" w:hAnsi="宋体" w:cs="宋体"/>
          <w:b/>
          <w:color w:val="000000" w:themeColor="text1"/>
          <w:w w:val="90"/>
          <w:sz w:val="24"/>
          <w:highlight w:val="none"/>
          <w14:textFill>
            <w14:solidFill>
              <w14:schemeClr w14:val="tx1"/>
            </w14:solidFill>
          </w14:textFill>
        </w:rPr>
      </w:pPr>
      <w:r>
        <w:rPr>
          <w:rFonts w:hint="eastAsia" w:ascii="宋体" w:hAnsi="宋体" w:cs="宋体"/>
          <w:b/>
          <w:color w:val="000000" w:themeColor="text1"/>
          <w:w w:val="90"/>
          <w:sz w:val="24"/>
          <w:highlight w:val="none"/>
          <w14:textFill>
            <w14:solidFill>
              <w14:schemeClr w14:val="tx1"/>
            </w14:solidFill>
          </w14:textFill>
        </w:rPr>
        <w:t>2、各投标人按此表格式填写，表格不够时可自行添加。</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9  </w:t>
      </w:r>
      <w:r>
        <w:rPr>
          <w:rFonts w:hint="eastAsia" w:ascii="宋体" w:hAnsi="宋体" w:eastAsia="宋体" w:cs="宋体"/>
          <w:color w:val="000000" w:themeColor="text1"/>
          <w:sz w:val="24"/>
          <w:szCs w:val="24"/>
          <w:highlight w:val="none"/>
          <w14:textFill>
            <w14:solidFill>
              <w14:schemeClr w14:val="tx1"/>
            </w14:solidFill>
          </w14:textFill>
        </w:rPr>
        <w:t xml:space="preserve"> 投</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标  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某支队</w:t>
      </w:r>
      <w:r>
        <w:rPr>
          <w:rFonts w:hint="eastAsia" w:ascii="宋体" w:hAnsi="宋体" w:cs="宋体"/>
          <w:bCs/>
          <w:color w:val="000000" w:themeColor="text1"/>
          <w:kern w:val="0"/>
          <w:sz w:val="24"/>
          <w:highlight w:val="none"/>
          <w14:textFill>
            <w14:solidFill>
              <w14:schemeClr w14:val="tx1"/>
            </w14:solidFill>
          </w14:textFill>
        </w:rPr>
        <w:t>：</w:t>
      </w:r>
    </w:p>
    <w:p>
      <w:pPr>
        <w:pStyle w:val="36"/>
        <w:keepNext w:val="0"/>
        <w:keepLines w:val="0"/>
        <w:pageBreakBefore w:val="0"/>
        <w:widowControl w:val="0"/>
        <w:kinsoku/>
        <w:wordWrap/>
        <w:overflowPunct/>
        <w:topLinePunct w:val="0"/>
        <w:autoSpaceDE/>
        <w:autoSpaceDN/>
        <w:bidi w:val="0"/>
        <w:adjustRightInd/>
        <w:snapToGrid/>
        <w:spacing w:line="360" w:lineRule="auto"/>
        <w:ind w:left="479" w:leftChars="22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snapToGrid/>
        <w:spacing w:line="360" w:lineRule="auto"/>
        <w:ind w:left="479" w:leftChars="22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我方全面研究了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”项目招标文件（文件编号：</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），决定参加本项目投标。我方授权（</w:t>
      </w:r>
      <w:r>
        <w:rPr>
          <w:rFonts w:hint="eastAsia" w:ascii="宋体" w:hAnsi="宋体" w:eastAsia="宋体" w:cs="宋体"/>
          <w:b w:val="0"/>
          <w:bCs/>
          <w:color w:val="000000" w:themeColor="text1"/>
          <w:sz w:val="24"/>
          <w:szCs w:val="24"/>
          <w:highlight w:val="none"/>
          <w:u w:val="single"/>
          <w14:textFill>
            <w14:solidFill>
              <w14:schemeClr w14:val="tx1"/>
            </w14:solidFill>
          </w14:textFill>
        </w:rPr>
        <w:t>姓名、职务</w:t>
      </w:r>
      <w:r>
        <w:rPr>
          <w:rFonts w:hint="eastAsia" w:ascii="宋体" w:hAnsi="宋体" w:eastAsia="宋体" w:cs="宋体"/>
          <w:b w:val="0"/>
          <w:bCs/>
          <w:color w:val="000000" w:themeColor="text1"/>
          <w:sz w:val="24"/>
          <w:szCs w:val="24"/>
          <w:highlight w:val="none"/>
          <w14:textFill>
            <w14:solidFill>
              <w14:schemeClr w14:val="tx1"/>
            </w14:solidFill>
          </w14:textFill>
        </w:rPr>
        <w:t>）代表我方</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（投标人的名称）全权处理本项目投标的有关事宜。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经考察现场并研究上述工程的图纸、合同条款、技术规范后，我方愿以：</w:t>
      </w:r>
      <w:r>
        <w:rPr>
          <w:rFonts w:hint="default"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万元（大写：人民币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元）的总价</w:t>
      </w:r>
      <w:r>
        <w:rPr>
          <w:rFonts w:hint="eastAsia" w:ascii="宋体" w:hAnsi="宋体" w:eastAsia="宋体" w:cs="宋体"/>
          <w:b/>
          <w:color w:val="000000" w:themeColor="text1"/>
          <w:sz w:val="24"/>
          <w:szCs w:val="24"/>
          <w:highlight w:val="none"/>
          <w14:textFill>
            <w14:solidFill>
              <w14:schemeClr w14:val="tx1"/>
            </w14:solidFill>
          </w14:textFill>
        </w:rPr>
        <w:t>【投标报价（含暂列金额）+安全文明施工费的合计】</w:t>
      </w:r>
      <w:r>
        <w:rPr>
          <w:rFonts w:hint="eastAsia" w:ascii="宋体" w:hAnsi="宋体" w:eastAsia="宋体" w:cs="宋体"/>
          <w:color w:val="000000" w:themeColor="text1"/>
          <w:sz w:val="24"/>
          <w:szCs w:val="24"/>
          <w:highlight w:val="none"/>
          <w14:textFill>
            <w14:solidFill>
              <w14:schemeClr w14:val="tx1"/>
            </w14:solidFill>
          </w14:textFill>
        </w:rPr>
        <w:t>或按上述合同条款确定的其它总价并按上述图纸、合同条款、技术规范的条件要求承包上述工程的实施</w:t>
      </w:r>
      <w:r>
        <w:rPr>
          <w:rFonts w:hint="eastAsia" w:ascii="宋体" w:hAnsi="宋体" w:eastAsia="宋体" w:cs="宋体"/>
          <w:color w:val="000000" w:themeColor="text1"/>
          <w:sz w:val="24"/>
          <w:szCs w:val="24"/>
          <w:highlight w:val="none"/>
          <w:lang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完工。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2、若我方中标，我方保证在中标通知书中规定的开工日期开始施工，并在中标通知书中规定的预计竣工日期完成和交付全部工程。</w:t>
      </w:r>
    </w:p>
    <w:p>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、其投标自递交投标文件截止日起有效期为</w:t>
      </w:r>
      <w:r>
        <w:rPr>
          <w:rFonts w:hint="eastAsia"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个日历日。如果我们的投标被接受，则至合同生效时止，本投标始终有效，我们将按合同条款、投标承诺及招标文件的规定履行合同责任和义务。</w:t>
      </w:r>
    </w:p>
    <w:p>
      <w:pPr>
        <w:pStyle w:val="36"/>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4</w:t>
      </w:r>
      <w:r>
        <w:rPr>
          <w:rFonts w:hint="eastAsia" w:ascii="宋体" w:hAnsi="宋体" w:eastAsia="宋体" w:cs="宋体"/>
          <w:b/>
          <w:bCs w:val="0"/>
          <w:color w:val="000000" w:themeColor="text1"/>
          <w:sz w:val="24"/>
          <w:szCs w:val="24"/>
          <w:highlight w:val="none"/>
          <w14:textFill>
            <w14:solidFill>
              <w14:schemeClr w14:val="tx1"/>
            </w14:solidFill>
          </w14:textFill>
        </w:rPr>
        <w:t>、我方为本项目提交的投标文件一式</w:t>
      </w:r>
      <w:r>
        <w:rPr>
          <w:rFonts w:hint="eastAsia" w:ascii="宋体" w:hAnsi="宋体" w:cs="宋体"/>
          <w:b/>
          <w:bCs w:val="0"/>
          <w:color w:val="000000" w:themeColor="text1"/>
          <w:sz w:val="24"/>
          <w:szCs w:val="24"/>
          <w:highlight w:val="none"/>
          <w:lang w:val="en-US" w:eastAsia="zh-CN"/>
          <w14:textFill>
            <w14:solidFill>
              <w14:schemeClr w14:val="tx1"/>
            </w14:solidFill>
          </w14:textFill>
        </w:rPr>
        <w:t>陆</w:t>
      </w:r>
      <w:r>
        <w:rPr>
          <w:rFonts w:hint="eastAsia" w:ascii="宋体" w:hAnsi="宋体" w:eastAsia="宋体" w:cs="宋体"/>
          <w:b/>
          <w:bCs w:val="0"/>
          <w:color w:val="000000" w:themeColor="text1"/>
          <w:sz w:val="24"/>
          <w:szCs w:val="24"/>
          <w:highlight w:val="none"/>
          <w14:textFill>
            <w14:solidFill>
              <w14:schemeClr w14:val="tx1"/>
            </w14:solidFill>
          </w14:textFill>
        </w:rPr>
        <w:t>份，其中正本壹份，副本</w:t>
      </w:r>
      <w:r>
        <w:rPr>
          <w:rFonts w:hint="eastAsia" w:ascii="宋体" w:hAnsi="宋体" w:cs="宋体"/>
          <w:b/>
          <w:bCs w:val="0"/>
          <w:color w:val="000000" w:themeColor="text1"/>
          <w:sz w:val="24"/>
          <w:szCs w:val="24"/>
          <w:highlight w:val="none"/>
          <w:lang w:val="en-US" w:eastAsia="zh-CN"/>
          <w14:textFill>
            <w14:solidFill>
              <w14:schemeClr w14:val="tx1"/>
            </w14:solidFill>
          </w14:textFill>
        </w:rPr>
        <w:t>伍</w:t>
      </w:r>
      <w:r>
        <w:rPr>
          <w:rFonts w:hint="eastAsia" w:ascii="宋体" w:hAnsi="宋体" w:eastAsia="宋体" w:cs="宋体"/>
          <w:b/>
          <w:bCs w:val="0"/>
          <w:color w:val="000000" w:themeColor="text1"/>
          <w:sz w:val="24"/>
          <w:szCs w:val="24"/>
          <w:highlight w:val="none"/>
          <w14:textFill>
            <w14:solidFill>
              <w14:schemeClr w14:val="tx1"/>
            </w14:solidFill>
          </w14:textFill>
        </w:rPr>
        <w:t>份。</w:t>
      </w:r>
    </w:p>
    <w:p>
      <w:pPr>
        <w:pStyle w:val="36"/>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、我方愿意提供采购人可能另外要求的，与公开有关的文件资料，并保证我方已提供和将要提供的文件资料是真实、准确的。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14:textFill>
            <w14:solidFill>
              <w14:schemeClr w14:val="tx1"/>
            </w14:solidFill>
          </w14:textFill>
        </w:rPr>
        <w:t>、我方完全理解你们将不受必须接受你们所收到的最低投标价及其它任何投标文件的约束。</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投标人名称：        （盖章）</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法定代表人或授权代表（签字）或盖章：</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通讯地址：</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邮政编码：</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联系电话：</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传    真：</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日    期：</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202</w:t>
      </w: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年  月  日</w:t>
      </w: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格式</w:t>
      </w:r>
      <w:r>
        <w:rPr>
          <w:rFonts w:hint="eastAsia" w:ascii="宋体" w:hAnsi="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投标文件附录</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693"/>
        <w:gridCol w:w="4820"/>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  目  内  容</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招标文件要求</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93" w:type="dxa"/>
            <w:tcBorders>
              <w:top w:val="single" w:color="auto" w:sz="4" w:space="0"/>
              <w:left w:val="single" w:color="auto" w:sz="4" w:space="0"/>
              <w:right w:val="single" w:color="auto" w:sz="4" w:space="0"/>
            </w:tcBorders>
            <w:noWrap w:val="0"/>
            <w:vAlign w:val="center"/>
          </w:tcPr>
          <w:p>
            <w:pPr>
              <w:tabs>
                <w:tab w:val="left" w:pos="360"/>
                <w:tab w:val="left" w:pos="1800"/>
              </w:tabs>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施工工期</w:t>
            </w:r>
          </w:p>
        </w:tc>
        <w:tc>
          <w:tcPr>
            <w:tcW w:w="482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自成交之日起25天（日历日）工程竣工验收合格。工程竣工验收合格签字之日起绿化工程进入绿化养护期，养护期为三年。</w:t>
            </w:r>
          </w:p>
        </w:tc>
        <w:tc>
          <w:tcPr>
            <w:tcW w:w="197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预付款金额</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本工程预付款为签约合同价款（不含暂列金额</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安全文明施工费</w:t>
            </w:r>
            <w:r>
              <w:rPr>
                <w:rFonts w:hint="eastAsia" w:ascii="宋体" w:hAnsi="宋体" w:eastAsia="宋体" w:cs="宋体"/>
                <w:color w:val="000000" w:themeColor="text1"/>
                <w:sz w:val="24"/>
                <w:szCs w:val="24"/>
                <w:highlight w:val="none"/>
                <w:lang w:eastAsia="zh-CN"/>
                <w14:textFill>
                  <w14:solidFill>
                    <w14:schemeClr w14:val="tx1"/>
                  </w14:solidFill>
                </w14:textFill>
              </w:rPr>
              <w:t>及养护费</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无</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逾期竣工违约金</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逾期天数×签约合同价格的5‰</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逾期竣工违约金限额</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工程审定竣工结算价款的</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质量目标</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合格</w:t>
            </w:r>
            <w:r>
              <w:rPr>
                <w:rFonts w:hint="eastAsia" w:ascii="宋体" w:hAnsi="宋体" w:eastAsia="宋体" w:cs="宋体"/>
                <w:color w:val="000000" w:themeColor="text1"/>
                <w:sz w:val="24"/>
                <w:szCs w:val="24"/>
                <w:highlight w:val="none"/>
                <w:lang w:eastAsia="zh-CN"/>
                <w14:textFill>
                  <w14:solidFill>
                    <w14:schemeClr w14:val="tx1"/>
                  </w14:solidFill>
                </w14:textFill>
              </w:rPr>
              <w:t>，绿化养护等级为三级养护</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工程质量达不到合同约定的质量标准违约金</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详见专用合同条款的相关内容</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质量保证金</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经审定的工程竣工结算价款</w:t>
            </w:r>
            <w:r>
              <w:rPr>
                <w:rFonts w:hint="eastAsia" w:ascii="宋体" w:hAnsi="宋体" w:eastAsia="宋体" w:cs="宋体"/>
                <w:color w:val="000000" w:themeColor="text1"/>
                <w:sz w:val="24"/>
                <w:szCs w:val="24"/>
                <w:highlight w:val="none"/>
                <w:lang w:eastAsia="zh-CN"/>
                <w14:textFill>
                  <w14:solidFill>
                    <w14:schemeClr w14:val="tx1"/>
                  </w14:solidFill>
                </w14:textFill>
              </w:rPr>
              <w:t>（扣除养护费）</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承包人转包或转让所承包的全部或部分内容，向发包人支付的违约金金额</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签约合同价格的</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工程预付款及进度款的支付方式及比例</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详见招标文件“第四章 专用合同条款”第12.2条、第12.4条</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其他违约责任</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详见专用合同条款的相关内容</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360"/>
          <w:tab w:val="left" w:pos="1800"/>
        </w:tabs>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注：上述内容，各投标人必须按招标文件的格式填写，各投标人将自报工期和质量承诺均填在《</w:t>
      </w:r>
      <w:r>
        <w:rPr>
          <w:rFonts w:hint="eastAsia" w:ascii="宋体" w:hAnsi="宋体" w:eastAsia="宋体" w:cs="宋体"/>
          <w:b/>
          <w:color w:val="000000" w:themeColor="text1"/>
          <w:sz w:val="24"/>
          <w:szCs w:val="24"/>
          <w:highlight w:val="none"/>
          <w:lang w:eastAsia="zh-CN"/>
          <w14:textFill>
            <w14:solidFill>
              <w14:schemeClr w14:val="tx1"/>
            </w14:solidFill>
          </w14:textFill>
        </w:rPr>
        <w:t>格式</w:t>
      </w:r>
      <w:r>
        <w:rPr>
          <w:rFonts w:hint="eastAsia" w:ascii="宋体" w:hAnsi="宋体" w:cs="宋体"/>
          <w:b/>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投标总价》中，本附录不得出现自报工期和质量承诺。</w:t>
      </w:r>
    </w:p>
    <w:p>
      <w:pPr>
        <w:tabs>
          <w:tab w:val="left" w:pos="360"/>
          <w:tab w:val="left" w:pos="180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p>
    <w:p>
      <w:pPr>
        <w:tabs>
          <w:tab w:val="left" w:pos="360"/>
          <w:tab w:val="left" w:pos="180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p>
      <w:pPr>
        <w:tabs>
          <w:tab w:val="left" w:pos="360"/>
          <w:tab w:val="left" w:pos="180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法定代表人或委托代理人：（签字或盖章）         </w:t>
      </w:r>
    </w:p>
    <w:p>
      <w:pPr>
        <w:tabs>
          <w:tab w:val="left" w:pos="360"/>
          <w:tab w:val="left" w:pos="1800"/>
        </w:tabs>
        <w:spacing w:line="400" w:lineRule="exact"/>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格式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szCs w:val="24"/>
          <w:highlight w:val="none"/>
          <w14:textFill>
            <w14:solidFill>
              <w14:schemeClr w14:val="tx1"/>
            </w14:solidFill>
          </w14:textFill>
        </w:rPr>
        <w:t xml:space="preserve">   投标总价封面</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keepNext w:val="0"/>
        <w:keepLines w:val="0"/>
        <w:pageBreakBefore w:val="0"/>
        <w:widowControl w:val="0"/>
        <w:tabs>
          <w:tab w:val="left" w:pos="360"/>
          <w:tab w:val="left" w:pos="18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48"/>
          <w:szCs w:val="48"/>
          <w:highlight w:val="none"/>
          <w:lang w:eastAsia="zh-CN"/>
          <w14:textFill>
            <w14:solidFill>
              <w14:schemeClr w14:val="tx1"/>
            </w14:solidFill>
          </w14:textFill>
        </w:rPr>
        <w:t>某支队2021年度秋季绿化项目</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投 标 总 价</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8"/>
          <w:szCs w:val="28"/>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8"/>
          <w:szCs w:val="28"/>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投标人：</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（单位名称）</w:t>
      </w:r>
    </w:p>
    <w:p>
      <w:pPr>
        <w:tabs>
          <w:tab w:val="left" w:pos="360"/>
          <w:tab w:val="left" w:pos="1800"/>
        </w:tabs>
        <w:spacing w:line="480" w:lineRule="exact"/>
        <w:ind w:firstLine="4620" w:firstLineChars="165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（单位盖章）</w:t>
      </w:r>
    </w:p>
    <w:p>
      <w:pPr>
        <w:tabs>
          <w:tab w:val="left" w:pos="360"/>
          <w:tab w:val="left" w:pos="1800"/>
        </w:tabs>
        <w:spacing w:line="480" w:lineRule="exact"/>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年      月     日</w:t>
      </w: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bookmarkStart w:id="673" w:name="OLE_LINK13"/>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bookmarkEnd w:id="673"/>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格式</w:t>
      </w:r>
      <w:r>
        <w:rPr>
          <w:rFonts w:hint="eastAsia" w:ascii="宋体" w:hAnsi="宋体" w:cs="宋体"/>
          <w:b/>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bCs/>
          <w:color w:val="000000" w:themeColor="text1"/>
          <w:sz w:val="24"/>
          <w:szCs w:val="24"/>
          <w:highlight w:val="none"/>
          <w14:textFill>
            <w14:solidFill>
              <w14:schemeClr w14:val="tx1"/>
            </w14:solidFill>
          </w14:textFill>
        </w:rPr>
        <w:t xml:space="preserve">  投标总价</w:t>
      </w: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招  标  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 程 名 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投标总价（小写）：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ind w:firstLine="960" w:firstLineChars="4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投标总价=投标报价（含暂列金额）+安全文明施工费</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ind w:firstLine="960" w:firstLineChars="4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投标报价中：分部分项工程费用报价+措施项目费用报价（不含安全文明施工费）+其他项目费用（含暂列金额）=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自成交之日起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天（日历日）工程竣工验收合格。工程竣工验收合格签字之日起绿化工程进入绿化养护期，养护期为三年。</w:t>
      </w:r>
    </w:p>
    <w:p>
      <w:pPr>
        <w:spacing w:line="360" w:lineRule="auto"/>
        <w:ind w:left="960" w:hanging="960" w:hangingChars="4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质量承诺：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项目负责人：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  标  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（单位盖章）</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w:t>
      </w: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或其</w:t>
      </w: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（签字或盖章）</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编  制  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（造价人员签字盖专用章）</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编制时间：        年      月     日</w:t>
      </w: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-1  安全文明施工费明细表</w:t>
      </w:r>
    </w:p>
    <w:p>
      <w:pPr>
        <w:tabs>
          <w:tab w:val="left" w:pos="360"/>
          <w:tab w:val="left" w:pos="1800"/>
        </w:tabs>
        <w:ind w:firstLine="6720" w:firstLineChars="3200"/>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ind w:firstLine="6720" w:firstLineChars="3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金额单位：万元</w:t>
      </w:r>
    </w:p>
    <w:tbl>
      <w:tblPr>
        <w:tblStyle w:val="57"/>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425"/>
        <w:gridCol w:w="2502"/>
        <w:gridCol w:w="2700"/>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9109"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计价内容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w:t>
            </w:r>
          </w:p>
        </w:tc>
        <w:tc>
          <w:tcPr>
            <w:tcW w:w="9109"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临时设施费、环境保护费、文明施工费、安全施工费</w:t>
            </w:r>
            <w:r>
              <w:rPr>
                <w:rFonts w:hint="eastAsia" w:ascii="宋体" w:hAnsi="宋体" w:eastAsia="宋体" w:cs="宋体"/>
                <w:color w:val="000000" w:themeColor="text1"/>
                <w:highlight w:val="none"/>
                <w:lang w:eastAsia="zh-CN"/>
                <w14:textFill>
                  <w14:solidFill>
                    <w14:schemeClr w14:val="tx1"/>
                  </w14:solidFill>
                </w14:textFill>
              </w:rPr>
              <w:t>、扬尘污染防治增加费</w:t>
            </w:r>
            <w:r>
              <w:rPr>
                <w:rFonts w:hint="eastAsia" w:ascii="宋体" w:hAnsi="宋体" w:eastAsia="宋体" w:cs="宋体"/>
                <w:color w:val="000000" w:themeColor="text1"/>
                <w:highlight w:val="none"/>
                <w14:textFill>
                  <w14:solidFill>
                    <w14:schemeClr w14:val="tx1"/>
                  </w14:solidFill>
                </w14:textFill>
              </w:rPr>
              <w:t>（不进入</w:t>
            </w:r>
            <w:r>
              <w:rPr>
                <w:rFonts w:hint="eastAsia" w:ascii="宋体" w:hAnsi="宋体" w:eastAsia="宋体" w:cs="宋体"/>
                <w:color w:val="000000" w:themeColor="text1"/>
                <w:highlight w:val="none"/>
                <w:lang w:eastAsia="zh-CN"/>
                <w14:textFill>
                  <w14:solidFill>
                    <w14:schemeClr w14:val="tx1"/>
                  </w14:solidFill>
                </w14:textFill>
              </w:rPr>
              <w:t>响应</w:t>
            </w:r>
            <w:r>
              <w:rPr>
                <w:rFonts w:hint="eastAsia" w:ascii="宋体" w:hAnsi="宋体" w:eastAsia="宋体" w:cs="宋体"/>
                <w:color w:val="000000" w:themeColor="text1"/>
                <w:highlight w:val="none"/>
                <w14:textFill>
                  <w14:solidFill>
                    <w14:schemeClr w14:val="tx1"/>
                  </w14:solidFill>
                </w14:textFill>
              </w:rPr>
              <w:t>报价，进入</w:t>
            </w:r>
            <w:r>
              <w:rPr>
                <w:rFonts w:hint="eastAsia" w:ascii="宋体" w:hAnsi="宋体" w:eastAsia="宋体" w:cs="宋体"/>
                <w:color w:val="000000" w:themeColor="text1"/>
                <w:highlight w:val="none"/>
                <w:lang w:eastAsia="zh-CN"/>
                <w14:textFill>
                  <w14:solidFill>
                    <w14:schemeClr w14:val="tx1"/>
                  </w14:solidFill>
                </w14:textFill>
              </w:rPr>
              <w:t>响应</w:t>
            </w:r>
            <w:r>
              <w:rPr>
                <w:rFonts w:hint="eastAsia" w:ascii="宋体" w:hAnsi="宋体" w:eastAsia="宋体" w:cs="宋体"/>
                <w:color w:val="000000" w:themeColor="text1"/>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计取基数</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费率</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金额</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48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48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48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48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48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9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  计</w:t>
            </w:r>
          </w:p>
        </w:tc>
        <w:tc>
          <w:tcPr>
            <w:tcW w:w="518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r>
    </w:tbl>
    <w:p>
      <w:pPr>
        <w:tabs>
          <w:tab w:val="left" w:pos="360"/>
          <w:tab w:val="left" w:pos="1800"/>
        </w:tabs>
        <w:spacing w:line="480" w:lineRule="exact"/>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 xml:space="preserve">  投标总价总说明</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99" w:hRule="atLeast"/>
          <w:jc w:val="center"/>
        </w:trPr>
        <w:tc>
          <w:tcPr>
            <w:tcW w:w="9752" w:type="dxa"/>
            <w:noWrap w:val="0"/>
            <w:vAlign w:val="top"/>
          </w:tcPr>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1、工程概况：</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2、投标报价包括范围：</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3、投标报价编制依据：</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4、其他：</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pStyle w:val="33"/>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建设项目投标报价汇总表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572"/>
        <w:gridCol w:w="1223"/>
        <w:gridCol w:w="1505"/>
        <w:gridCol w:w="1932"/>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840"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572"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单项工程名称</w:t>
            </w:r>
          </w:p>
        </w:tc>
        <w:tc>
          <w:tcPr>
            <w:tcW w:w="1223"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金额（元）</w:t>
            </w:r>
          </w:p>
        </w:tc>
        <w:tc>
          <w:tcPr>
            <w:tcW w:w="4550" w:type="dxa"/>
            <w:gridSpan w:val="3"/>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840" w:type="dxa"/>
            <w:vMerge w:val="continue"/>
            <w:noWrap w:val="0"/>
            <w:vAlign w:val="center"/>
          </w:tcPr>
          <w:p>
            <w:pPr>
              <w:pStyle w:val="3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572" w:type="dxa"/>
            <w:vMerge w:val="continue"/>
            <w:noWrap w:val="0"/>
            <w:vAlign w:val="center"/>
          </w:tcPr>
          <w:p>
            <w:pPr>
              <w:pStyle w:val="3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23" w:type="dxa"/>
            <w:vMerge w:val="continue"/>
            <w:noWrap w:val="0"/>
            <w:vAlign w:val="center"/>
          </w:tcPr>
          <w:p>
            <w:pPr>
              <w:pStyle w:val="3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05"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暂估价</w:t>
            </w:r>
          </w:p>
        </w:tc>
        <w:tc>
          <w:tcPr>
            <w:tcW w:w="1932" w:type="dxa"/>
            <w:noWrap w:val="0"/>
            <w:vAlign w:val="center"/>
          </w:tcPr>
          <w:p>
            <w:pPr>
              <w:pStyle w:val="33"/>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安全文明施工费</w:t>
            </w:r>
          </w:p>
        </w:tc>
        <w:tc>
          <w:tcPr>
            <w:tcW w:w="1113"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2" w:hRule="atLeast"/>
        </w:trPr>
        <w:tc>
          <w:tcPr>
            <w:tcW w:w="840"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jc w:val="center"/>
              <w:rPr>
                <w:rFonts w:hint="eastAsia" w:ascii="宋体" w:hAnsi="宋体" w:eastAsia="宋体" w:cs="宋体"/>
                <w:color w:val="000000" w:themeColor="text1"/>
                <w:highlight w:val="none"/>
                <w14:textFill>
                  <w14:solidFill>
                    <w14:schemeClr w14:val="tx1"/>
                  </w14:solidFill>
                </w14:textFill>
              </w:rPr>
            </w:pPr>
          </w:p>
          <w:p>
            <w:pPr>
              <w:pStyle w:val="33"/>
              <w:rPr>
                <w:rFonts w:hint="eastAsia" w:ascii="宋体" w:hAnsi="宋体" w:eastAsia="宋体" w:cs="宋体"/>
                <w:color w:val="000000" w:themeColor="text1"/>
                <w:highlight w:val="none"/>
                <w14:textFill>
                  <w14:solidFill>
                    <w14:schemeClr w14:val="tx1"/>
                  </w14:solidFill>
                </w14:textFill>
              </w:rPr>
            </w:pPr>
          </w:p>
        </w:tc>
        <w:tc>
          <w:tcPr>
            <w:tcW w:w="3572"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223"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505"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932"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113"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4412" w:type="dxa"/>
            <w:gridSpan w:val="2"/>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  计</w:t>
            </w:r>
          </w:p>
        </w:tc>
        <w:tc>
          <w:tcPr>
            <w:tcW w:w="1223"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05"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2"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13"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2660"/>
        </w:tabs>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注：本表使用于工程项目投标报价的汇总。</w:t>
      </w:r>
    </w:p>
    <w:p>
      <w:pPr>
        <w:pStyle w:val="33"/>
        <w:tabs>
          <w:tab w:val="center" w:pos="4819"/>
          <w:tab w:val="left" w:pos="6675"/>
        </w:tabs>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tabs>
          <w:tab w:val="center" w:pos="4819"/>
          <w:tab w:val="left" w:pos="6675"/>
        </w:tabs>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pStyle w:val="33"/>
        <w:tabs>
          <w:tab w:val="center" w:pos="4819"/>
          <w:tab w:val="left" w:pos="6675"/>
        </w:tabs>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pStyle w:val="33"/>
        <w:tabs>
          <w:tab w:val="center" w:pos="4819"/>
          <w:tab w:val="left" w:pos="6675"/>
        </w:tabs>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单项工程投标报价汇总表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968"/>
        <w:gridCol w:w="1262"/>
        <w:gridCol w:w="1069"/>
        <w:gridCol w:w="19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21"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968"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单位工程名称</w:t>
            </w:r>
          </w:p>
        </w:tc>
        <w:tc>
          <w:tcPr>
            <w:tcW w:w="1262"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金额（元）</w:t>
            </w:r>
          </w:p>
        </w:tc>
        <w:tc>
          <w:tcPr>
            <w:tcW w:w="3949" w:type="dxa"/>
            <w:gridSpan w:val="3"/>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21"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68"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2"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9"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暂估价</w:t>
            </w:r>
          </w:p>
        </w:tc>
        <w:tc>
          <w:tcPr>
            <w:tcW w:w="1980" w:type="dxa"/>
            <w:noWrap w:val="0"/>
            <w:vAlign w:val="center"/>
          </w:tcPr>
          <w:p>
            <w:pPr>
              <w:pStyle w:val="33"/>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安全文明施工费</w:t>
            </w:r>
          </w:p>
        </w:tc>
        <w:tc>
          <w:tcPr>
            <w:tcW w:w="900"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6" w:hRule="atLeast"/>
        </w:trPr>
        <w:tc>
          <w:tcPr>
            <w:tcW w:w="721" w:type="dxa"/>
            <w:noWrap w:val="0"/>
            <w:vAlign w:val="center"/>
          </w:tcPr>
          <w:p>
            <w:pPr>
              <w:pStyle w:val="33"/>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tc>
        <w:tc>
          <w:tcPr>
            <w:tcW w:w="3968"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2"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9"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0"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689" w:type="dxa"/>
            <w:gridSpan w:val="2"/>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  计</w:t>
            </w:r>
          </w:p>
        </w:tc>
        <w:tc>
          <w:tcPr>
            <w:tcW w:w="1262"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069"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980"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r>
    </w:tbl>
    <w:p>
      <w:pPr>
        <w:tabs>
          <w:tab w:val="left" w:pos="2660"/>
        </w:tabs>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注：本表适用于单项工程投标报价的汇总，暂估价包括分部分项工程中的暂估价和专业工程暂估价。</w:t>
      </w:r>
    </w:p>
    <w:p>
      <w:pPr>
        <w:pStyle w:val="33"/>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单位工程投标报价汇总表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653"/>
        <w:gridCol w:w="1381"/>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汇总内容</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金额（元）</w:t>
            </w: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分部分项工程</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措施项目</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其中：安全文明施工费</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其他项目</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p>
        </w:tc>
        <w:tc>
          <w:tcPr>
            <w:tcW w:w="4653" w:type="dxa"/>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：暂列金额</w:t>
            </w:r>
          </w:p>
        </w:tc>
        <w:tc>
          <w:tcPr>
            <w:tcW w:w="1381" w:type="dxa"/>
            <w:noWrap w:val="0"/>
            <w:vAlign w:val="center"/>
          </w:tcPr>
          <w:p>
            <w:pPr>
              <w:pStyle w:val="33"/>
              <w:tabs>
                <w:tab w:val="center" w:pos="4153"/>
                <w:tab w:val="right" w:pos="8306"/>
              </w:tabs>
              <w:snapToGrid w:val="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30000</w:t>
            </w: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其中：专业工程暂估价</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其中：计日工</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其中：总承包服务费</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规费</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增值税（销项税额）</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23" w:type="dxa"/>
            <w:gridSpan w:val="2"/>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合计＝1＋2＋3＋4＋5</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2660"/>
        </w:tabs>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注：本表适用于单位工程投标报价汇总，如无单位工程划分，单项工程也使用本表汇总。</w:t>
      </w: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hAnsi="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分部分项工程和单价措施项目清单与计价表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27"/>
        <w:gridCol w:w="1241"/>
        <w:gridCol w:w="1809"/>
        <w:gridCol w:w="1206"/>
        <w:gridCol w:w="1065"/>
        <w:gridCol w:w="887"/>
        <w:gridCol w:w="104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724"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27"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项目编码</w:t>
            </w:r>
          </w:p>
        </w:tc>
        <w:tc>
          <w:tcPr>
            <w:tcW w:w="1241"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809"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项目特征描述</w:t>
            </w:r>
          </w:p>
        </w:tc>
        <w:tc>
          <w:tcPr>
            <w:tcW w:w="1206"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w:t>
            </w:r>
          </w:p>
        </w:tc>
        <w:tc>
          <w:tcPr>
            <w:tcW w:w="1065"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工程量</w:t>
            </w:r>
          </w:p>
        </w:tc>
        <w:tc>
          <w:tcPr>
            <w:tcW w:w="2899" w:type="dxa"/>
            <w:gridSpan w:val="3"/>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724"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27"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09"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06"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综合单价</w:t>
            </w:r>
          </w:p>
        </w:tc>
        <w:tc>
          <w:tcPr>
            <w:tcW w:w="1045" w:type="dxa"/>
            <w:vMerge w:val="restart"/>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合价</w:t>
            </w:r>
          </w:p>
        </w:tc>
        <w:tc>
          <w:tcPr>
            <w:tcW w:w="967"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4"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27"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09"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06"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vMerge w:val="continue"/>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67" w:type="dxa"/>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1" w:hRule="atLeast"/>
        </w:trPr>
        <w:tc>
          <w:tcPr>
            <w:tcW w:w="724"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227"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241"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809"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206"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065"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887"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045"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967"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272" w:type="dxa"/>
            <w:gridSpan w:val="6"/>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本页小计</w:t>
            </w:r>
          </w:p>
        </w:tc>
        <w:tc>
          <w:tcPr>
            <w:tcW w:w="887"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045"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967"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72" w:type="dxa"/>
            <w:gridSpan w:val="6"/>
            <w:noWrap w:val="0"/>
            <w:vAlign w:val="center"/>
          </w:tcPr>
          <w:p>
            <w:pPr>
              <w:pStyle w:val="3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w:t>
            </w:r>
          </w:p>
        </w:tc>
        <w:tc>
          <w:tcPr>
            <w:tcW w:w="887"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1045"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c>
          <w:tcPr>
            <w:tcW w:w="967" w:type="dxa"/>
            <w:noWrap w:val="0"/>
            <w:vAlign w:val="center"/>
          </w:tcPr>
          <w:p>
            <w:pPr>
              <w:pStyle w:val="33"/>
              <w:jc w:val="center"/>
              <w:rPr>
                <w:rFonts w:hint="eastAsia" w:ascii="宋体" w:hAnsi="宋体" w:eastAsia="宋体" w:cs="宋体"/>
                <w:color w:val="000000" w:themeColor="text1"/>
                <w:highlight w:val="none"/>
                <w14:textFill>
                  <w14:solidFill>
                    <w14:schemeClr w14:val="tx1"/>
                  </w14:solidFill>
                </w14:textFill>
              </w:rPr>
            </w:pPr>
          </w:p>
        </w:tc>
      </w:tr>
    </w:tbl>
    <w:p>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注：为计取规费等的使用，可在表中增设其中：“定额人工费”。</w:t>
      </w: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综合单价分析表（可以横向编制）</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0"/>
        <w:gridCol w:w="618"/>
        <w:gridCol w:w="91"/>
        <w:gridCol w:w="708"/>
        <w:gridCol w:w="426"/>
        <w:gridCol w:w="81"/>
        <w:gridCol w:w="437"/>
        <w:gridCol w:w="519"/>
        <w:gridCol w:w="97"/>
        <w:gridCol w:w="253"/>
        <w:gridCol w:w="168"/>
        <w:gridCol w:w="287"/>
        <w:gridCol w:w="232"/>
        <w:gridCol w:w="619"/>
        <w:gridCol w:w="284"/>
        <w:gridCol w:w="746"/>
        <w:gridCol w:w="169"/>
        <w:gridCol w:w="107"/>
        <w:gridCol w:w="112"/>
        <w:gridCol w:w="709"/>
        <w:gridCol w:w="485"/>
        <w:gridCol w:w="254"/>
        <w:gridCol w:w="537"/>
        <w:gridCol w:w="515"/>
        <w:gridCol w:w="52"/>
        <w:gridCol w:w="75"/>
        <w:gridCol w:w="492"/>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05" w:type="dxa"/>
            <w:gridSpan w:val="3"/>
            <w:noWrap w:val="0"/>
            <w:vAlign w:val="center"/>
          </w:tcPr>
          <w:p>
            <w:pPr>
              <w:pStyle w:val="33"/>
              <w:tabs>
                <w:tab w:val="center" w:pos="4153"/>
                <w:tab w:val="right" w:pos="8306"/>
              </w:tabs>
              <w:snapToGrid w:val="0"/>
              <w:ind w:left="-540" w:leftChars="-257" w:firstLine="540" w:firstLineChars="22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项目编码</w:t>
            </w:r>
          </w:p>
        </w:tc>
        <w:tc>
          <w:tcPr>
            <w:tcW w:w="130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30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w:t>
            </w:r>
          </w:p>
        </w:tc>
        <w:tc>
          <w:tcPr>
            <w:tcW w:w="1306"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6"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工程量</w:t>
            </w:r>
          </w:p>
        </w:tc>
        <w:tc>
          <w:tcPr>
            <w:tcW w:w="130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447" w:type="dxa"/>
            <w:gridSpan w:val="29"/>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87" w:type="dxa"/>
            <w:gridSpan w:val="2"/>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定额</w:t>
            </w:r>
          </w:p>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编号</w:t>
            </w:r>
          </w:p>
        </w:tc>
        <w:tc>
          <w:tcPr>
            <w:tcW w:w="709" w:type="dxa"/>
            <w:gridSpan w:val="2"/>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定额</w:t>
            </w:r>
          </w:p>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708" w:type="dxa"/>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定额</w:t>
            </w:r>
          </w:p>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426" w:type="dxa"/>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5559" w:type="dxa"/>
            <w:gridSpan w:val="17"/>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w:t>
            </w:r>
          </w:p>
        </w:tc>
        <w:tc>
          <w:tcPr>
            <w:tcW w:w="2358" w:type="dxa"/>
            <w:gridSpan w:val="6"/>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7" w:type="dxa"/>
            <w:gridSpan w:val="2"/>
            <w:vMerge w:val="continue"/>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gridSpan w:val="2"/>
            <w:vMerge w:val="continue"/>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vMerge w:val="continue"/>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6" w:type="dxa"/>
            <w:vMerge w:val="continue"/>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2"/>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人工费</w:t>
            </w:r>
          </w:p>
        </w:tc>
        <w:tc>
          <w:tcPr>
            <w:tcW w:w="519" w:type="dxa"/>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材料费</w:t>
            </w:r>
          </w:p>
        </w:tc>
        <w:tc>
          <w:tcPr>
            <w:tcW w:w="518" w:type="dxa"/>
            <w:gridSpan w:val="3"/>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机械费</w:t>
            </w:r>
          </w:p>
        </w:tc>
        <w:tc>
          <w:tcPr>
            <w:tcW w:w="519" w:type="dxa"/>
            <w:gridSpan w:val="2"/>
            <w:vMerge w:val="restart"/>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管理费</w:t>
            </w:r>
          </w:p>
        </w:tc>
        <w:tc>
          <w:tcPr>
            <w:tcW w:w="1649" w:type="dxa"/>
            <w:gridSpan w:val="3"/>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管理费分析</w:t>
            </w:r>
          </w:p>
        </w:tc>
        <w:tc>
          <w:tcPr>
            <w:tcW w:w="388" w:type="dxa"/>
            <w:gridSpan w:val="3"/>
            <w:vMerge w:val="restart"/>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利润</w:t>
            </w:r>
          </w:p>
        </w:tc>
        <w:tc>
          <w:tcPr>
            <w:tcW w:w="1448" w:type="dxa"/>
            <w:gridSpan w:val="3"/>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利润分析</w:t>
            </w:r>
          </w:p>
        </w:tc>
        <w:tc>
          <w:tcPr>
            <w:tcW w:w="537" w:type="dxa"/>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人工费</w:t>
            </w:r>
          </w:p>
        </w:tc>
        <w:tc>
          <w:tcPr>
            <w:tcW w:w="567" w:type="dxa"/>
            <w:gridSpan w:val="2"/>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材料费</w:t>
            </w:r>
          </w:p>
        </w:tc>
        <w:tc>
          <w:tcPr>
            <w:tcW w:w="567" w:type="dxa"/>
            <w:gridSpan w:val="2"/>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机械费</w:t>
            </w:r>
          </w:p>
        </w:tc>
        <w:tc>
          <w:tcPr>
            <w:tcW w:w="687" w:type="dxa"/>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管理费和利润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7" w:type="dxa"/>
            <w:gridSpan w:val="2"/>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gridSpan w:val="2"/>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6" w:type="dxa"/>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2"/>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3"/>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gridSpan w:val="2"/>
            <w:vMerge w:val="continue"/>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903"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计算基数</w:t>
            </w:r>
          </w:p>
        </w:tc>
        <w:tc>
          <w:tcPr>
            <w:tcW w:w="74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费率（%）</w:t>
            </w:r>
          </w:p>
        </w:tc>
        <w:tc>
          <w:tcPr>
            <w:tcW w:w="388" w:type="dxa"/>
            <w:gridSpan w:val="3"/>
            <w:vMerge w:val="continue"/>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09" w:type="dxa"/>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计算基数</w:t>
            </w:r>
          </w:p>
        </w:tc>
        <w:tc>
          <w:tcPr>
            <w:tcW w:w="739" w:type="dxa"/>
            <w:gridSpan w:val="2"/>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费率</w:t>
            </w:r>
          </w:p>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537" w:type="dxa"/>
            <w:vMerge w:val="continue"/>
            <w:tcBorders>
              <w:bottom w:val="single" w:color="auto" w:sz="4" w:space="0"/>
            </w:tcBorders>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7" w:type="dxa"/>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8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3"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3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8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3"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3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8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3"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3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人工单价</w:t>
            </w:r>
          </w:p>
        </w:tc>
        <w:tc>
          <w:tcPr>
            <w:tcW w:w="6693" w:type="dxa"/>
            <w:gridSpan w:val="19"/>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小计</w:t>
            </w:r>
          </w:p>
        </w:tc>
        <w:tc>
          <w:tcPr>
            <w:tcW w:w="53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9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元/工日</w:t>
            </w:r>
          </w:p>
        </w:tc>
        <w:tc>
          <w:tcPr>
            <w:tcW w:w="6693" w:type="dxa"/>
            <w:gridSpan w:val="19"/>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未计价材料费</w:t>
            </w:r>
          </w:p>
        </w:tc>
        <w:tc>
          <w:tcPr>
            <w:tcW w:w="2358" w:type="dxa"/>
            <w:gridSpan w:val="6"/>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89" w:type="dxa"/>
            <w:gridSpan w:val="2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清单项目综合单价</w:t>
            </w:r>
          </w:p>
        </w:tc>
        <w:tc>
          <w:tcPr>
            <w:tcW w:w="2358" w:type="dxa"/>
            <w:gridSpan w:val="6"/>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47" w:type="dxa"/>
            <w:vMerge w:val="restart"/>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w:t>
            </w:r>
          </w:p>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料</w:t>
            </w:r>
          </w:p>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明</w:t>
            </w:r>
          </w:p>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细</w:t>
            </w:r>
          </w:p>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费</w:t>
            </w:r>
          </w:p>
        </w:tc>
        <w:tc>
          <w:tcPr>
            <w:tcW w:w="3017" w:type="dxa"/>
            <w:gridSpan w:val="9"/>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主要材料名称、规格、型号</w:t>
            </w:r>
          </w:p>
        </w:tc>
        <w:tc>
          <w:tcPr>
            <w:tcW w:w="70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1135"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915"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单价（元）</w:t>
            </w:r>
          </w:p>
        </w:tc>
        <w:tc>
          <w:tcPr>
            <w:tcW w:w="1667" w:type="dxa"/>
            <w:gridSpan w:val="5"/>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合价</w:t>
            </w:r>
          </w:p>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c>
          <w:tcPr>
            <w:tcW w:w="1179"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暂估单价（元）</w:t>
            </w:r>
          </w:p>
        </w:tc>
        <w:tc>
          <w:tcPr>
            <w:tcW w:w="117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7" w:type="dxa"/>
            <w:vMerge w:val="continue"/>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17" w:type="dxa"/>
            <w:gridSpan w:val="9"/>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5"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15"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7" w:type="dxa"/>
            <w:gridSpan w:val="5"/>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4"/>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7" w:type="dxa"/>
            <w:vMerge w:val="continue"/>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17" w:type="dxa"/>
            <w:gridSpan w:val="9"/>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5"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15"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7" w:type="dxa"/>
            <w:gridSpan w:val="5"/>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4"/>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vMerge w:val="continue"/>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17" w:type="dxa"/>
            <w:gridSpan w:val="9"/>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5"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15"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7" w:type="dxa"/>
            <w:gridSpan w:val="5"/>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4"/>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vMerge w:val="continue"/>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17" w:type="dxa"/>
            <w:gridSpan w:val="9"/>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5"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15"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7" w:type="dxa"/>
            <w:gridSpan w:val="5"/>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4"/>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vMerge w:val="continue"/>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860" w:type="dxa"/>
            <w:gridSpan w:val="15"/>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其他材料费</w:t>
            </w:r>
          </w:p>
        </w:tc>
        <w:tc>
          <w:tcPr>
            <w:tcW w:w="915"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7" w:type="dxa"/>
            <w:gridSpan w:val="5"/>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4"/>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vMerge w:val="continue"/>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860" w:type="dxa"/>
            <w:gridSpan w:val="15"/>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材料费小计</w:t>
            </w:r>
          </w:p>
        </w:tc>
        <w:tc>
          <w:tcPr>
            <w:tcW w:w="915"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7" w:type="dxa"/>
            <w:gridSpan w:val="5"/>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4"/>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33"/>
        <w:spacing w:line="360" w:lineRule="auto"/>
        <w:ind w:left="738" w:hanging="703" w:hangingChars="35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注：1、如不使用省级或行业建设主管部门发布的计价依据，可不填写定额项目、编号等。</w:t>
      </w:r>
    </w:p>
    <w:p>
      <w:pPr>
        <w:tabs>
          <w:tab w:val="left" w:pos="2660"/>
        </w:tabs>
        <w:ind w:firstLine="42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2、招标文件提供了暂估单价的材料，按暂估单价填入表内“暂估单价”栏及“暂估合价”栏。</w:t>
      </w: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bl>
      <w:tblPr>
        <w:tblStyle w:val="57"/>
        <w:tblpPr w:leftFromText="180" w:rightFromText="180" w:vertAnchor="page" w:horzAnchor="margin" w:tblpXSpec="center" w:tblpY="22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080"/>
        <w:gridCol w:w="1082"/>
        <w:gridCol w:w="1320"/>
        <w:gridCol w:w="1526"/>
        <w:gridCol w:w="1115"/>
        <w:gridCol w:w="1320"/>
        <w:gridCol w:w="132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40"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080" w:type="dxa"/>
            <w:tcBorders>
              <w:top w:val="single" w:color="auto" w:sz="4" w:space="0"/>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项目编码</w:t>
            </w:r>
          </w:p>
        </w:tc>
        <w:tc>
          <w:tcPr>
            <w:tcW w:w="1082" w:type="dxa"/>
            <w:tcBorders>
              <w:top w:val="single" w:color="auto" w:sz="4" w:space="0"/>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1320"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计算基础</w:t>
            </w:r>
          </w:p>
        </w:tc>
        <w:tc>
          <w:tcPr>
            <w:tcW w:w="1526"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费率（%）</w:t>
            </w:r>
          </w:p>
        </w:tc>
        <w:tc>
          <w:tcPr>
            <w:tcW w:w="1115"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金额（元）</w:t>
            </w:r>
          </w:p>
        </w:tc>
        <w:tc>
          <w:tcPr>
            <w:tcW w:w="1320"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调整费率（%）</w:t>
            </w:r>
          </w:p>
        </w:tc>
        <w:tc>
          <w:tcPr>
            <w:tcW w:w="1320"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调整后金额（元）</w:t>
            </w:r>
          </w:p>
        </w:tc>
        <w:tc>
          <w:tcPr>
            <w:tcW w:w="745"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048" w:type="dxa"/>
            <w:gridSpan w:val="5"/>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合计</w:t>
            </w: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highlight w:val="none"/>
                <w14:textFill>
                  <w14:solidFill>
                    <w14:schemeClr w14:val="tx1"/>
                  </w14:solidFill>
                </w14:textFill>
              </w:rPr>
            </w:pPr>
          </w:p>
        </w:tc>
      </w:tr>
    </w:tbl>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hAnsi="宋体" w:cs="宋体"/>
          <w:b/>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14:textFill>
            <w14:solidFill>
              <w14:schemeClr w14:val="tx1"/>
            </w14:solidFill>
          </w14:textFill>
        </w:rPr>
        <w:t xml:space="preserve">   总价措施项目清单与计价表</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p>
      <w:pPr>
        <w:pStyle w:val="33"/>
        <w:spacing w:line="280" w:lineRule="exact"/>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注：1.“计算基础”中安全文明施工费可为“定额基价”、“定额人工费”或“定额人工费+定额机械费”，其他项目可为“定额人工费”或“定额人工费+定额机械费”。</w:t>
      </w:r>
    </w:p>
    <w:p>
      <w:pPr>
        <w:pStyle w:val="33"/>
        <w:spacing w:line="280" w:lineRule="exact"/>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    2.按施工方案计算的措施费，若无“计算基础”和“费率”的数值，也可只填“金额”数值，但应在备注栏说明施工方案出处或计算方法。</w:t>
      </w:r>
    </w:p>
    <w:p>
      <w:pPr>
        <w:tabs>
          <w:tab w:val="left" w:pos="360"/>
          <w:tab w:val="left" w:pos="1800"/>
        </w:tabs>
        <w:spacing w:line="4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w:t>
      </w: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hAnsi="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  措施项目汇总表</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399"/>
        <w:gridCol w:w="320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 目 名 称</w:t>
            </w:r>
          </w:p>
        </w:tc>
        <w:tc>
          <w:tcPr>
            <w:tcW w:w="3200" w:type="dxa"/>
            <w:tcBorders>
              <w:top w:val="single" w:color="auto" w:sz="4" w:space="0"/>
              <w:left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金额（元）</w:t>
            </w:r>
          </w:p>
        </w:tc>
        <w:tc>
          <w:tcPr>
            <w:tcW w:w="1538" w:type="dxa"/>
            <w:tcBorders>
              <w:top w:val="single" w:color="auto" w:sz="4" w:space="0"/>
              <w:left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4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合计</w:t>
            </w: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20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注：投标人根据 《</w:t>
            </w:r>
            <w:r>
              <w:rPr>
                <w:rFonts w:hint="eastAsia" w:ascii="宋体" w:hAnsi="宋体" w:eastAsia="宋体" w:cs="宋体"/>
                <w:b/>
                <w:color w:val="000000" w:themeColor="text1"/>
                <w:highlight w:val="none"/>
                <w:lang w:eastAsia="zh-CN"/>
                <w14:textFill>
                  <w14:solidFill>
                    <w14:schemeClr w14:val="tx1"/>
                  </w14:solidFill>
                </w14:textFill>
              </w:rPr>
              <w:t>格式</w:t>
            </w:r>
            <w:r>
              <w:rPr>
                <w:rFonts w:hint="eastAsia" w:ascii="宋体" w:hAnsi="宋体" w:eastAsia="宋体" w:cs="宋体"/>
                <w:b/>
                <w:color w:val="000000" w:themeColor="text1"/>
                <w:highlight w:val="none"/>
                <w14:textFill>
                  <w14:solidFill>
                    <w14:schemeClr w14:val="tx1"/>
                  </w14:solidFill>
                </w14:textFill>
              </w:rPr>
              <w:t>1</w:t>
            </w:r>
            <w:r>
              <w:rPr>
                <w:rFonts w:hint="eastAsia" w:ascii="宋体" w:hAnsi="宋体" w:cs="宋体"/>
                <w:b/>
                <w:color w:val="000000" w:themeColor="text1"/>
                <w:highlight w:val="none"/>
                <w:lang w:val="en-US" w:eastAsia="zh-CN"/>
                <w14:textFill>
                  <w14:solidFill>
                    <w14:schemeClr w14:val="tx1"/>
                  </w14:solidFill>
                </w14:textFill>
              </w:rPr>
              <w:t>6</w:t>
            </w:r>
            <w:r>
              <w:rPr>
                <w:rFonts w:hint="eastAsia" w:ascii="宋体" w:hAnsi="宋体" w:eastAsia="宋体" w:cs="宋体"/>
                <w:b/>
                <w:color w:val="000000" w:themeColor="text1"/>
                <w:highlight w:val="none"/>
                <w:lang w:val="en-US" w:eastAsia="zh-CN"/>
                <w14:textFill>
                  <w14:solidFill>
                    <w14:schemeClr w14:val="tx1"/>
                  </w14:solidFill>
                </w14:textFill>
              </w:rPr>
              <w:t xml:space="preserve">  </w:t>
            </w:r>
            <w:r>
              <w:rPr>
                <w:rFonts w:hint="eastAsia" w:ascii="宋体" w:hAnsi="宋体" w:eastAsia="宋体" w:cs="宋体"/>
                <w:b/>
                <w:color w:val="000000" w:themeColor="text1"/>
                <w:highlight w:val="none"/>
                <w14:textFill>
                  <w14:solidFill>
                    <w14:schemeClr w14:val="tx1"/>
                  </w14:solidFill>
                </w14:textFill>
              </w:rPr>
              <w:t>分部分项工程和单价措施项目清单与计价表》、《</w:t>
            </w:r>
            <w:r>
              <w:rPr>
                <w:rFonts w:hint="eastAsia" w:ascii="宋体" w:hAnsi="宋体" w:eastAsia="宋体" w:cs="宋体"/>
                <w:b/>
                <w:color w:val="000000" w:themeColor="text1"/>
                <w:highlight w:val="none"/>
                <w:lang w:eastAsia="zh-CN"/>
                <w14:textFill>
                  <w14:solidFill>
                    <w14:schemeClr w14:val="tx1"/>
                  </w14:solidFill>
                </w14:textFill>
              </w:rPr>
              <w:t>格式</w:t>
            </w:r>
            <w:r>
              <w:rPr>
                <w:rFonts w:hint="eastAsia" w:ascii="宋体" w:hAnsi="宋体" w:eastAsia="宋体" w:cs="宋体"/>
                <w:b/>
                <w:color w:val="000000" w:themeColor="text1"/>
                <w:highlight w:val="none"/>
                <w:lang w:val="en-US" w:eastAsia="zh-CN"/>
                <w14:textFill>
                  <w14:solidFill>
                    <w14:schemeClr w14:val="tx1"/>
                  </w14:solidFill>
                </w14:textFill>
              </w:rPr>
              <w:t>1</w:t>
            </w:r>
            <w:r>
              <w:rPr>
                <w:rFonts w:hint="eastAsia" w:ascii="宋体" w:hAnsi="宋体" w:cs="宋体"/>
                <w:b/>
                <w:color w:val="000000" w:themeColor="text1"/>
                <w:highlight w:val="none"/>
                <w:lang w:val="en-US" w:eastAsia="zh-CN"/>
                <w14:textFill>
                  <w14:solidFill>
                    <w14:schemeClr w14:val="tx1"/>
                  </w14:solidFill>
                </w14:textFill>
              </w:rPr>
              <w:t>8</w:t>
            </w:r>
            <w:r>
              <w:rPr>
                <w:rFonts w:hint="eastAsia" w:ascii="宋体" w:hAnsi="宋体" w:eastAsia="宋体" w:cs="宋体"/>
                <w:b/>
                <w:color w:val="000000" w:themeColor="text1"/>
                <w:highlight w:val="none"/>
                <w:lang w:val="en-US" w:eastAsia="zh-CN"/>
                <w14:textFill>
                  <w14:solidFill>
                    <w14:schemeClr w14:val="tx1"/>
                  </w14:solidFill>
                </w14:textFill>
              </w:rPr>
              <w:t xml:space="preserve">  </w:t>
            </w:r>
            <w:r>
              <w:rPr>
                <w:rFonts w:hint="eastAsia" w:ascii="宋体" w:hAnsi="宋体" w:eastAsia="宋体" w:cs="宋体"/>
                <w:b/>
                <w:color w:val="000000" w:themeColor="text1"/>
                <w:highlight w:val="none"/>
                <w14:textFill>
                  <w14:solidFill>
                    <w14:schemeClr w14:val="tx1"/>
                  </w14:solidFill>
                </w14:textFill>
              </w:rPr>
              <w:t>总价措施项目清单与计价表》中的内容将各项措施项目逐项汇总在本表中。</w:t>
            </w:r>
          </w:p>
        </w:tc>
      </w:tr>
    </w:tbl>
    <w:p>
      <w:pPr>
        <w:pStyle w:val="35"/>
        <w:tabs>
          <w:tab w:val="left" w:pos="360"/>
          <w:tab w:val="left" w:pos="1800"/>
        </w:tabs>
        <w:spacing w:line="360" w:lineRule="auto"/>
        <w:ind w:left="480"/>
        <w:jc w:val="center"/>
        <w:rPr>
          <w:rFonts w:hint="eastAsia" w:ascii="宋体" w:hAnsi="宋体" w:eastAsia="宋体" w:cs="宋体"/>
          <w:b/>
          <w:color w:val="000000" w:themeColor="text1"/>
          <w:highlight w:val="none"/>
          <w14:textFill>
            <w14:solidFill>
              <w14:schemeClr w14:val="tx1"/>
            </w14:solidFill>
          </w14:textFill>
        </w:rPr>
      </w:pPr>
    </w:p>
    <w:p>
      <w:pPr>
        <w:pStyle w:val="35"/>
        <w:tabs>
          <w:tab w:val="left" w:pos="360"/>
          <w:tab w:val="left" w:pos="1800"/>
        </w:tabs>
        <w:spacing w:line="360" w:lineRule="auto"/>
        <w:rPr>
          <w:rFonts w:hint="eastAsia" w:ascii="宋体" w:hAnsi="宋体" w:eastAsia="宋体" w:cs="宋体"/>
          <w:b/>
          <w:color w:val="000000" w:themeColor="text1"/>
          <w:highlight w:val="none"/>
          <w:lang w:eastAsia="zh-CN"/>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w:t>
      </w:r>
      <w:r>
        <w:rPr>
          <w:rFonts w:hint="eastAsia" w:hAnsi="宋体" w:cs="宋体"/>
          <w:b/>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其他项目清单与计价汇总表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pPr w:leftFromText="180" w:rightFromText="180" w:vertAnchor="text" w:tblpY="132"/>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5135"/>
        <w:gridCol w:w="850"/>
        <w:gridCol w:w="2268"/>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 目 名 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金额（元）</w:t>
            </w: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暂列金额</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33"/>
              <w:tabs>
                <w:tab w:val="center" w:pos="4153"/>
                <w:tab w:val="right" w:pos="8306"/>
              </w:tabs>
              <w:snapToGrid w:val="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hAnsi="宋体" w:cs="宋体"/>
                <w:color w:val="000000" w:themeColor="text1"/>
                <w:kern w:val="2"/>
                <w:sz w:val="24"/>
                <w:szCs w:val="24"/>
                <w:highlight w:val="none"/>
                <w:lang w:val="en-US" w:eastAsia="zh-CN" w:bidi="ar-SA"/>
                <w14:textFill>
                  <w14:solidFill>
                    <w14:schemeClr w14:val="tx1"/>
                  </w14:solidFill>
                </w14:textFill>
              </w:rPr>
              <w:t>30000</w:t>
            </w:r>
          </w:p>
        </w:tc>
        <w:tc>
          <w:tcPr>
            <w:tcW w:w="981" w:type="dxa"/>
            <w:tcBorders>
              <w:top w:val="single" w:color="auto" w:sz="4" w:space="0"/>
              <w:left w:val="single" w:color="auto" w:sz="4" w:space="0"/>
              <w:bottom w:val="single" w:color="auto" w:sz="4" w:space="0"/>
              <w:right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材料（工程设备）暂估价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专业工程暂估价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计日工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总承包服务费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索赔与现场签证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5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  计</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360"/>
          <w:tab w:val="left" w:pos="1800"/>
        </w:tabs>
        <w:spacing w:line="48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注：材料（工程设备）暂估单价进入清单项目综合单价，此处不汇总。</w:t>
      </w: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hAnsi="宋体" w:cs="宋体"/>
          <w:b/>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szCs w:val="24"/>
          <w:highlight w:val="none"/>
          <w14:textFill>
            <w14:solidFill>
              <w14:schemeClr w14:val="tx1"/>
            </w14:solidFill>
          </w14:textFill>
        </w:rPr>
        <w:t xml:space="preserve">  暂列金额明细表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pPr w:leftFromText="180" w:rightFromText="180" w:vertAnchor="text" w:horzAnchor="margin" w:tblpY="222"/>
        <w:tblW w:w="10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4408"/>
        <w:gridCol w:w="1744"/>
        <w:gridCol w:w="162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 目 名 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暂定金额（元）</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工程实施过程中发生工程变更、合同约定调整因素出现时的合同价款调整以及发生的索赔、现场签订等确认费用</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项</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30000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22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  计</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360"/>
          <w:tab w:val="left" w:pos="1800"/>
        </w:tabs>
        <w:spacing w:line="480" w:lineRule="exac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注：此表由招标人填写，如不能详列，也可只列暂定金额总额，投标人应将上述暂列金额计入投标报价中。</w:t>
      </w: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 xml:space="preserve">  材料（工程设备）暂估单价及调整表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340"/>
        <w:gridCol w:w="720"/>
        <w:gridCol w:w="675"/>
        <w:gridCol w:w="675"/>
        <w:gridCol w:w="675"/>
        <w:gridCol w:w="675"/>
        <w:gridCol w:w="675"/>
        <w:gridCol w:w="675"/>
        <w:gridCol w:w="675"/>
        <w:gridCol w:w="67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340" w:type="dxa"/>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材料（工程设备）名称、规格、型号</w:t>
            </w:r>
          </w:p>
        </w:tc>
        <w:tc>
          <w:tcPr>
            <w:tcW w:w="720" w:type="dxa"/>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单价（元）</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合价（元）</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差额±（元）</w:t>
            </w:r>
          </w:p>
        </w:tc>
        <w:tc>
          <w:tcPr>
            <w:tcW w:w="957" w:type="dxa"/>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vMerge w:val="continue"/>
            <w:tcBorders>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vMerge w:val="continue"/>
            <w:tcBorders>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vMerge w:val="continue"/>
            <w:tcBorders>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合价</w:t>
            </w:r>
          </w:p>
        </w:tc>
        <w:tc>
          <w:tcPr>
            <w:tcW w:w="957" w:type="dxa"/>
            <w:vMerge w:val="continue"/>
            <w:tcBorders>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77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  计</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360"/>
          <w:tab w:val="left" w:pos="1800"/>
        </w:tabs>
        <w:spacing w:line="48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注：此表由招标人填写“暂估单价”，并在备注栏说明暂估价的材料、工程设备拟用在哪些清单项目上，投标人应将上述材料、工程设备暂估单价计入工程量清单综合单价报价中。</w:t>
      </w: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格式2</w:t>
      </w:r>
      <w:r>
        <w:rPr>
          <w:rFonts w:hint="eastAsia"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专业工程暂估价</w:t>
      </w:r>
      <w:r>
        <w:rPr>
          <w:rFonts w:hint="eastAsia" w:ascii="宋体" w:hAnsi="宋体" w:eastAsia="宋体" w:cs="宋体"/>
          <w:b/>
          <w:bCs/>
          <w:color w:val="000000" w:themeColor="text1"/>
          <w:sz w:val="24"/>
          <w:szCs w:val="24"/>
          <w:highlight w:val="none"/>
          <w14:textFill>
            <w14:solidFill>
              <w14:schemeClr w14:val="tx1"/>
            </w14:solidFill>
          </w14:textFill>
        </w:rPr>
        <w:t>及结算价表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655"/>
        <w:gridCol w:w="1080"/>
        <w:gridCol w:w="1031"/>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暂估金额（元）</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结算金额（元）</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差额±（元）</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无</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6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  计</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bl>
    <w:p>
      <w:pPr>
        <w:tabs>
          <w:tab w:val="left" w:pos="360"/>
          <w:tab w:val="left" w:pos="1800"/>
        </w:tabs>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注：此表“暂估金额”由招标人填写，投标人应将“暂估金额”计入投标总价中。结算时按合同约定结算金额填写。</w:t>
      </w: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格式2</w:t>
      </w:r>
      <w:r>
        <w:rPr>
          <w:rFonts w:hint="eastAsia"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 xml:space="preserve">  计日工表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3288"/>
        <w:gridCol w:w="1110"/>
        <w:gridCol w:w="1110"/>
        <w:gridCol w:w="1110"/>
        <w:gridCol w:w="117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0" w:type="dxa"/>
            <w:vMerge w:val="restart"/>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编号</w:t>
            </w:r>
          </w:p>
        </w:tc>
        <w:tc>
          <w:tcPr>
            <w:tcW w:w="3288" w:type="dxa"/>
            <w:vMerge w:val="restart"/>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项目名称</w:t>
            </w:r>
          </w:p>
        </w:tc>
        <w:tc>
          <w:tcPr>
            <w:tcW w:w="1110" w:type="dxa"/>
            <w:vMerge w:val="restart"/>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单位</w:t>
            </w:r>
          </w:p>
        </w:tc>
        <w:tc>
          <w:tcPr>
            <w:tcW w:w="1110" w:type="dxa"/>
            <w:vMerge w:val="restart"/>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暂定数量</w:t>
            </w:r>
          </w:p>
        </w:tc>
        <w:tc>
          <w:tcPr>
            <w:tcW w:w="1110" w:type="dxa"/>
            <w:vMerge w:val="restart"/>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实际数量</w:t>
            </w:r>
          </w:p>
        </w:tc>
        <w:tc>
          <w:tcPr>
            <w:tcW w:w="1170" w:type="dxa"/>
            <w:vMerge w:val="restart"/>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综合单价（元）</w:t>
            </w:r>
          </w:p>
        </w:tc>
        <w:tc>
          <w:tcPr>
            <w:tcW w:w="1440" w:type="dxa"/>
            <w:gridSpan w:val="2"/>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40" w:type="dxa"/>
            <w:vMerge w:val="continue"/>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288" w:type="dxa"/>
            <w:vMerge w:val="continue"/>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vMerge w:val="continue"/>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vMerge w:val="continue"/>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vMerge w:val="continue"/>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vMerge w:val="continue"/>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暂定</w:t>
            </w:r>
          </w:p>
        </w:tc>
        <w:tc>
          <w:tcPr>
            <w:tcW w:w="720" w:type="dxa"/>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人工</w:t>
            </w: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6"/>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人工小计</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材  料</w:t>
            </w: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0</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6"/>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材料小计</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施工机械</w:t>
            </w: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0</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928" w:type="dxa"/>
            <w:gridSpan w:val="6"/>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施工机械小计</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928" w:type="dxa"/>
            <w:gridSpan w:val="6"/>
            <w:noWrap w:val="0"/>
            <w:vAlign w:val="center"/>
          </w:tcPr>
          <w:p>
            <w:pPr>
              <w:tabs>
                <w:tab w:val="left" w:pos="360"/>
                <w:tab w:val="left" w:pos="1800"/>
              </w:tabs>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四、企业管理费和利润</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28" w:type="dxa"/>
            <w:gridSpan w:val="6"/>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总  计</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tabs>
          <w:tab w:val="left" w:pos="360"/>
          <w:tab w:val="left" w:pos="1800"/>
        </w:tabs>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此表项目名称、暂定数量由招标人填写，编制招标控制价时，单价由招标人按有关计价规定确定；投标时，单价由投标人自主报价，按暂定数量计算合计计入投标总价中。结算时，按发承包双方确认的实际数量计算合价。</w:t>
      </w: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w:t>
      </w:r>
      <w:r>
        <w:rPr>
          <w:rFonts w:hint="eastAsia" w:ascii="宋体" w:hAnsi="宋体" w:eastAsia="宋体" w:cs="宋体"/>
          <w:b/>
          <w:bCs/>
          <w:color w:val="000000" w:themeColor="text1"/>
          <w:sz w:val="24"/>
          <w:highlight w:val="none"/>
          <w14:textFill>
            <w14:solidFill>
              <w14:schemeClr w14:val="tx1"/>
            </w14:solidFill>
          </w14:textFill>
        </w:rPr>
        <w:t>2</w:t>
      </w:r>
      <w:r>
        <w:rPr>
          <w:rFonts w:hint="eastAsia" w:hAnsi="宋体" w:cs="宋体"/>
          <w:b/>
          <w:bCs/>
          <w:color w:val="000000" w:themeColor="text1"/>
          <w:sz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highlight w:val="none"/>
          <w14:textFill>
            <w14:solidFill>
              <w14:schemeClr w14:val="tx1"/>
            </w14:solidFill>
          </w14:textFill>
        </w:rPr>
        <w:t xml:space="preserve">  总承包服务费计价表</w:t>
      </w:r>
    </w:p>
    <w:p>
      <w:pPr>
        <w:tabs>
          <w:tab w:val="left" w:pos="360"/>
          <w:tab w:val="left" w:pos="1800"/>
        </w:tabs>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工程名称　　　　      　　　　　　                    　　  　第　页　共　页</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410"/>
        <w:gridCol w:w="1079"/>
        <w:gridCol w:w="1079"/>
        <w:gridCol w:w="1079"/>
        <w:gridCol w:w="107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编号</w:t>
            </w: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项目名称</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项目价值（元）</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服务内容</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计算基础</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费率（%）</w:t>
            </w: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3410" w:type="dxa"/>
            <w:noWrap w:val="0"/>
            <w:vAlign w:val="center"/>
          </w:tcPr>
          <w:p>
            <w:pPr>
              <w:tabs>
                <w:tab w:val="left" w:pos="360"/>
                <w:tab w:val="left" w:pos="1800"/>
              </w:tabs>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发包人发包专业工程</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3410" w:type="dxa"/>
            <w:noWrap w:val="0"/>
            <w:vAlign w:val="center"/>
          </w:tcPr>
          <w:p>
            <w:pPr>
              <w:tabs>
                <w:tab w:val="left" w:pos="360"/>
                <w:tab w:val="left" w:pos="1800"/>
              </w:tabs>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发包人供应材料</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   计</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tabs>
          <w:tab w:val="left" w:pos="360"/>
          <w:tab w:val="left" w:pos="1800"/>
        </w:tabs>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注：此表项目名称、服务内容由招标人填写，编制招标控制价时，费率及金额由招标人按有关计价规定确定；投标时费率及金额由投标人自主报价，计入投标总价中。</w:t>
      </w:r>
    </w:p>
    <w:p>
      <w:pPr>
        <w:tabs>
          <w:tab w:val="left" w:pos="360"/>
          <w:tab w:val="left" w:pos="1800"/>
        </w:tabs>
        <w:spacing w:line="320" w:lineRule="exact"/>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320" w:lineRule="exact"/>
        <w:jc w:val="center"/>
        <w:rPr>
          <w:rFonts w:hint="eastAsia" w:ascii="宋体" w:hAnsi="宋体" w:eastAsia="宋体" w:cs="宋体"/>
          <w:b/>
          <w:bCs/>
          <w:color w:val="000000" w:themeColor="text1"/>
          <w:sz w:val="24"/>
          <w:highlight w:val="none"/>
          <w14:textFill>
            <w14:solidFill>
              <w14:schemeClr w14:val="tx1"/>
            </w14:solidFill>
          </w14:textFill>
        </w:rPr>
      </w:pPr>
    </w:p>
    <w:p>
      <w:pPr>
        <w:spacing w:before="190" w:beforeLines="50" w:after="190" w:afterLines="5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规费、税金项目计价表</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lang w:eastAsia="zh-CN"/>
          <w14:textFill>
            <w14:solidFill>
              <w14:schemeClr w14:val="tx1"/>
            </w14:solidFill>
          </w14:textFill>
        </w:rPr>
        <w:t>园林绿化</w:t>
      </w:r>
      <w:r>
        <w:rPr>
          <w:rFonts w:hint="eastAsia" w:ascii="宋体" w:hAnsi="宋体" w:eastAsia="宋体" w:cs="宋体"/>
          <w:b/>
          <w:color w:val="000000" w:themeColor="text1"/>
          <w:sz w:val="24"/>
          <w:szCs w:val="24"/>
          <w:highlight w:val="none"/>
          <w14:textFill>
            <w14:solidFill>
              <w14:schemeClr w14:val="tx1"/>
            </w14:solidFill>
          </w14:textFill>
        </w:rPr>
        <w:t>工程）</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工程名称：                                                                共   页    第   页</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72"/>
        <w:gridCol w:w="3505"/>
        <w:gridCol w:w="1259"/>
        <w:gridCol w:w="1334"/>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72"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2172"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tc>
        <w:tc>
          <w:tcPr>
            <w:tcW w:w="3505"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计算基础</w:t>
            </w:r>
          </w:p>
        </w:tc>
        <w:tc>
          <w:tcPr>
            <w:tcW w:w="1259"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计算基数</w:t>
            </w:r>
          </w:p>
        </w:tc>
        <w:tc>
          <w:tcPr>
            <w:tcW w:w="1334"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计算费率</w:t>
            </w:r>
          </w:p>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p>
        </w:tc>
        <w:tc>
          <w:tcPr>
            <w:tcW w:w="1193"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金额</w:t>
            </w:r>
          </w:p>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72"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tc>
        <w:tc>
          <w:tcPr>
            <w:tcW w:w="2172"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规费</w:t>
            </w:r>
          </w:p>
        </w:tc>
        <w:tc>
          <w:tcPr>
            <w:tcW w:w="3505"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259"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4"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193" w:type="dxa"/>
            <w:noWrap w:val="0"/>
            <w:vAlign w:val="top"/>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72"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1.1</w:t>
            </w:r>
          </w:p>
        </w:tc>
        <w:tc>
          <w:tcPr>
            <w:tcW w:w="2172"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社会保险费</w:t>
            </w:r>
          </w:p>
        </w:tc>
        <w:tc>
          <w:tcPr>
            <w:tcW w:w="3505"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259"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4"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193" w:type="dxa"/>
            <w:noWrap w:val="0"/>
            <w:vAlign w:val="top"/>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72"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tc>
        <w:tc>
          <w:tcPr>
            <w:tcW w:w="2172"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养老保险费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分部分项工程人工费合计+措施项目人工费合计+计日工项目人工费合计-人工费价差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4" w:type="dxa"/>
            <w:noWrap w:val="0"/>
            <w:vAlign w:val="center"/>
          </w:tcPr>
          <w:p>
            <w:pPr>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11.02</w:t>
            </w:r>
          </w:p>
        </w:tc>
        <w:tc>
          <w:tcPr>
            <w:tcW w:w="1193" w:type="dxa"/>
            <w:noWrap w:val="0"/>
            <w:vAlign w:val="top"/>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72"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tc>
        <w:tc>
          <w:tcPr>
            <w:tcW w:w="2172"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失业保险费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分部分项工程人工费合计+措施项目人工费合计+计日工项目人工费合计-人工费价差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4" w:type="dxa"/>
            <w:noWrap w:val="0"/>
            <w:vAlign w:val="center"/>
          </w:tcPr>
          <w:p>
            <w:pPr>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1.11</w:t>
            </w:r>
          </w:p>
        </w:tc>
        <w:tc>
          <w:tcPr>
            <w:tcW w:w="1193" w:type="dxa"/>
            <w:noWrap w:val="0"/>
            <w:vAlign w:val="top"/>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772"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w:t>
            </w:r>
          </w:p>
        </w:tc>
        <w:tc>
          <w:tcPr>
            <w:tcW w:w="2172"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医疗保险费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分部分项工程人工费合计+措施项目人工费合计+计日工项目人工费合计-人工费价差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4" w:type="dxa"/>
            <w:noWrap w:val="0"/>
            <w:vAlign w:val="center"/>
          </w:tcPr>
          <w:p>
            <w:pPr>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3.56</w:t>
            </w:r>
          </w:p>
        </w:tc>
        <w:tc>
          <w:tcPr>
            <w:tcW w:w="1193"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72"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w:t>
            </w:r>
          </w:p>
        </w:tc>
        <w:tc>
          <w:tcPr>
            <w:tcW w:w="2172"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生育保险费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分部分项工程人工费合计+措施项目人工费合计+计日工项目人工费合计-人工费价差</w:t>
            </w:r>
          </w:p>
        </w:tc>
        <w:tc>
          <w:tcPr>
            <w:tcW w:w="1259"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334" w:type="dxa"/>
            <w:noWrap w:val="0"/>
            <w:vAlign w:val="center"/>
          </w:tcPr>
          <w:p>
            <w:pPr>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0.37</w:t>
            </w:r>
          </w:p>
        </w:tc>
        <w:tc>
          <w:tcPr>
            <w:tcW w:w="1193"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72" w:type="dxa"/>
            <w:tcBorders>
              <w:bottom w:val="single" w:color="auto" w:sz="4" w:space="0"/>
            </w:tcBorders>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w:t>
            </w:r>
          </w:p>
        </w:tc>
        <w:tc>
          <w:tcPr>
            <w:tcW w:w="2172" w:type="dxa"/>
            <w:tcBorders>
              <w:bottom w:val="single" w:color="auto" w:sz="4" w:space="0"/>
            </w:tcBorders>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工伤保险费</w:t>
            </w:r>
          </w:p>
        </w:tc>
        <w:tc>
          <w:tcPr>
            <w:tcW w:w="3505" w:type="dxa"/>
            <w:tcBorders>
              <w:bottom w:val="single" w:color="auto" w:sz="4" w:space="0"/>
            </w:tcBorders>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分部分项工程人工费合计+措施项目人工费合计+计日工项目人工费合计-人工费价差</w:t>
            </w:r>
          </w:p>
        </w:tc>
        <w:tc>
          <w:tcPr>
            <w:tcW w:w="1259" w:type="dxa"/>
            <w:tcBorders>
              <w:bottom w:val="single" w:color="auto" w:sz="4" w:space="0"/>
            </w:tcBorders>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334" w:type="dxa"/>
            <w:tcBorders>
              <w:bottom w:val="single" w:color="auto" w:sz="4" w:space="0"/>
            </w:tcBorders>
            <w:noWrap w:val="0"/>
            <w:vAlign w:val="center"/>
          </w:tcPr>
          <w:p>
            <w:pPr>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0.42</w:t>
            </w:r>
          </w:p>
        </w:tc>
        <w:tc>
          <w:tcPr>
            <w:tcW w:w="1193" w:type="dxa"/>
            <w:tcBorders>
              <w:bottom w:val="single" w:color="auto" w:sz="4" w:space="0"/>
            </w:tcBorders>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72"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1.2</w:t>
            </w:r>
          </w:p>
        </w:tc>
        <w:tc>
          <w:tcPr>
            <w:tcW w:w="2172"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住房公积金</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分部分项工程人工费合计+措施项目人工费合计+计日工项目人工费合计-人工费价差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4"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2.74</w:t>
            </w:r>
          </w:p>
        </w:tc>
        <w:tc>
          <w:tcPr>
            <w:tcW w:w="1193"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72"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1.3</w:t>
            </w:r>
          </w:p>
        </w:tc>
        <w:tc>
          <w:tcPr>
            <w:tcW w:w="2172"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工程排污费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分部分项工程人工费合计+措施项目人工费合计+计日工项目人工费合计-人工费价差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4"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0.19</w:t>
            </w:r>
          </w:p>
        </w:tc>
        <w:tc>
          <w:tcPr>
            <w:tcW w:w="1193"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72"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tc>
        <w:tc>
          <w:tcPr>
            <w:tcW w:w="2172"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增值税（销项税额）</w:t>
            </w:r>
          </w:p>
        </w:tc>
        <w:tc>
          <w:tcPr>
            <w:tcW w:w="3505" w:type="dxa"/>
            <w:tcBorders>
              <w:top w:val="single" w:color="auto" w:sz="4" w:space="0"/>
            </w:tcBorders>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分部分项工程费+措施项目费+其他项目费+规费-按规定不计税的工程设备金额</w:t>
            </w:r>
          </w:p>
        </w:tc>
        <w:tc>
          <w:tcPr>
            <w:tcW w:w="1259"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4"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9</w:t>
            </w:r>
          </w:p>
        </w:tc>
        <w:tc>
          <w:tcPr>
            <w:tcW w:w="1193"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42" w:type="dxa"/>
            <w:gridSpan w:val="5"/>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合  计</w:t>
            </w:r>
          </w:p>
        </w:tc>
        <w:tc>
          <w:tcPr>
            <w:tcW w:w="1193"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rPr>
          <w:rFonts w:hint="eastAsia" w:ascii="宋体" w:hAnsi="宋体" w:eastAsia="宋体" w:cs="宋体"/>
          <w:b/>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格式</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26  </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主要材料、设备价格表（招标人提供）</w:t>
      </w:r>
    </w:p>
    <w:tbl>
      <w:tblPr>
        <w:tblStyle w:val="57"/>
        <w:tblpPr w:leftFromText="180" w:rightFromText="180" w:vertAnchor="page" w:horzAnchor="margin" w:tblpXSpec="center" w:tblpY="2251"/>
        <w:tblW w:w="10748" w:type="dxa"/>
        <w:tblInd w:w="0" w:type="dxa"/>
        <w:tblLayout w:type="fixed"/>
        <w:tblCellMar>
          <w:top w:w="0" w:type="dxa"/>
          <w:left w:w="0" w:type="dxa"/>
          <w:bottom w:w="0" w:type="dxa"/>
          <w:right w:w="0" w:type="dxa"/>
        </w:tblCellMar>
      </w:tblPr>
      <w:tblGrid>
        <w:gridCol w:w="595"/>
        <w:gridCol w:w="1673"/>
        <w:gridCol w:w="2470"/>
        <w:gridCol w:w="679"/>
        <w:gridCol w:w="760"/>
        <w:gridCol w:w="718"/>
        <w:gridCol w:w="881"/>
        <w:gridCol w:w="990"/>
        <w:gridCol w:w="991"/>
        <w:gridCol w:w="991"/>
      </w:tblGrid>
      <w:tr>
        <w:tblPrEx>
          <w:tblCellMar>
            <w:top w:w="0" w:type="dxa"/>
            <w:left w:w="0" w:type="dxa"/>
            <w:bottom w:w="0" w:type="dxa"/>
            <w:right w:w="0" w:type="dxa"/>
          </w:tblCellMar>
        </w:tblPrEx>
        <w:trPr>
          <w:cantSplit/>
          <w:trHeight w:val="474" w:hRule="atLeast"/>
        </w:trPr>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序号</w:t>
            </w:r>
          </w:p>
        </w:tc>
        <w:tc>
          <w:tcPr>
            <w:tcW w:w="16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材料名称</w:t>
            </w:r>
          </w:p>
        </w:tc>
        <w:tc>
          <w:tcPr>
            <w:tcW w:w="2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规格型号、系列号等特殊要求</w:t>
            </w:r>
          </w:p>
        </w:tc>
        <w:tc>
          <w:tcPr>
            <w:tcW w:w="6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单位</w:t>
            </w:r>
          </w:p>
        </w:tc>
        <w:tc>
          <w:tcPr>
            <w:tcW w:w="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数量</w:t>
            </w:r>
          </w:p>
        </w:tc>
        <w:tc>
          <w:tcPr>
            <w:tcW w:w="71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单价</w:t>
            </w:r>
          </w:p>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（元）</w:t>
            </w: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合价</w:t>
            </w:r>
          </w:p>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（万元）</w:t>
            </w:r>
          </w:p>
        </w:tc>
        <w:tc>
          <w:tcPr>
            <w:tcW w:w="9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品牌</w:t>
            </w: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生产厂家</w:t>
            </w: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cs="宋体"/>
                <w:color w:val="000000" w:themeColor="text1"/>
                <w:highlight w:val="none"/>
                <w14:textFill>
                  <w14:solidFill>
                    <w14:schemeClr w14:val="tx1"/>
                  </w14:solidFill>
                </w14:textFill>
              </w:rPr>
            </w:pPr>
          </w:p>
        </w:tc>
        <w:tc>
          <w:tcPr>
            <w:tcW w:w="5582"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材料、设备合价总合计（万元）必须汇总合价</w:t>
            </w:r>
          </w:p>
        </w:tc>
        <w:tc>
          <w:tcPr>
            <w:tcW w:w="4571" w:type="dxa"/>
            <w:gridSpan w:val="5"/>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hint="eastAsia" w:ascii="宋体" w:hAnsi="宋体" w:eastAsia="宋体" w:cs="宋体"/>
                <w:color w:val="000000" w:themeColor="text1"/>
                <w:highlight w:val="none"/>
                <w14:textFill>
                  <w14:solidFill>
                    <w14:schemeClr w14:val="tx1"/>
                  </w14:solidFill>
                </w14:textFill>
              </w:rPr>
            </w:pPr>
          </w:p>
        </w:tc>
      </w:tr>
    </w:tbl>
    <w:p>
      <w:pPr>
        <w:tabs>
          <w:tab w:val="left" w:pos="2660"/>
        </w:tabs>
        <w:ind w:firstLine="21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工程名称：                                                                第  页  共  页</w:t>
      </w:r>
    </w:p>
    <w:p>
      <w:pPr>
        <w:tabs>
          <w:tab w:val="left" w:pos="360"/>
          <w:tab w:val="left" w:pos="1800"/>
        </w:tabs>
        <w:spacing w:line="480" w:lineRule="exact"/>
        <w:jc w:val="center"/>
        <w:rPr>
          <w:rFonts w:hint="eastAsia" w:ascii="仿宋_GB2312" w:hAnsi="宋体" w:eastAsia="仿宋_GB2312"/>
          <w:b/>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仿宋_GB2312" w:hAnsi="宋体" w:eastAsia="仿宋_GB2312"/>
          <w:b/>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格式</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27  </w:t>
      </w:r>
      <w:r>
        <w:rPr>
          <w:rFonts w:hint="eastAsia" w:ascii="宋体" w:hAnsi="宋体" w:eastAsia="宋体" w:cs="宋体"/>
          <w:b/>
          <w:color w:val="000000" w:themeColor="text1"/>
          <w:sz w:val="24"/>
          <w:szCs w:val="24"/>
          <w:highlight w:val="none"/>
          <w14:textFill>
            <w14:solidFill>
              <w14:schemeClr w14:val="tx1"/>
            </w14:solidFill>
          </w14:textFill>
        </w:rPr>
        <w:t>苗木规格及价格表</w:t>
      </w:r>
      <w:r>
        <w:rPr>
          <w:rFonts w:hint="eastAsia" w:ascii="宋体" w:hAnsi="宋体" w:eastAsia="宋体" w:cs="宋体"/>
          <w:b/>
          <w:bCs/>
          <w:color w:val="000000" w:themeColor="text1"/>
          <w:sz w:val="24"/>
          <w:szCs w:val="24"/>
          <w:highlight w:val="none"/>
          <w14:textFill>
            <w14:solidFill>
              <w14:schemeClr w14:val="tx1"/>
            </w14:solidFill>
          </w14:textFill>
        </w:rPr>
        <w:t>（招标人提供</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pPr>
        <w:tabs>
          <w:tab w:val="left" w:pos="2660"/>
        </w:tabs>
        <w:ind w:firstLine="210"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工程名称：                                                                 第  页  共  页</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28"/>
        <w:gridCol w:w="1808"/>
        <w:gridCol w:w="817"/>
        <w:gridCol w:w="919"/>
        <w:gridCol w:w="1057"/>
        <w:gridCol w:w="1029"/>
        <w:gridCol w:w="127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636" w:type="dxa"/>
            <w:tcBorders>
              <w:bottom w:val="single" w:color="auto" w:sz="4" w:space="0"/>
            </w:tcBorders>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428" w:type="dxa"/>
            <w:tcBorders>
              <w:bottom w:val="single" w:color="auto" w:sz="4" w:space="0"/>
            </w:tcBorders>
            <w:noWrap w:val="0"/>
            <w:vAlign w:val="center"/>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苗木名称</w:t>
            </w:r>
          </w:p>
        </w:tc>
        <w:tc>
          <w:tcPr>
            <w:tcW w:w="1808" w:type="dxa"/>
            <w:tcBorders>
              <w:bottom w:val="single" w:color="auto" w:sz="4" w:space="0"/>
            </w:tcBorders>
            <w:noWrap w:val="0"/>
            <w:vAlign w:val="center"/>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规格</w:t>
            </w:r>
          </w:p>
        </w:tc>
        <w:tc>
          <w:tcPr>
            <w:tcW w:w="817" w:type="dxa"/>
            <w:tcBorders>
              <w:bottom w:val="single" w:color="auto" w:sz="4" w:space="0"/>
            </w:tcBorders>
            <w:noWrap w:val="0"/>
            <w:vAlign w:val="center"/>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w:t>
            </w:r>
          </w:p>
        </w:tc>
        <w:tc>
          <w:tcPr>
            <w:tcW w:w="919" w:type="dxa"/>
            <w:tcBorders>
              <w:bottom w:val="single" w:color="auto" w:sz="4" w:space="0"/>
            </w:tcBorders>
            <w:noWrap w:val="0"/>
            <w:vAlign w:val="center"/>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数量</w:t>
            </w:r>
          </w:p>
        </w:tc>
        <w:tc>
          <w:tcPr>
            <w:tcW w:w="1057" w:type="dxa"/>
            <w:tcBorders>
              <w:bottom w:val="single" w:color="auto" w:sz="4" w:space="0"/>
            </w:tcBorders>
            <w:noWrap w:val="0"/>
            <w:vAlign w:val="center"/>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单价</w:t>
            </w:r>
          </w:p>
          <w:p>
            <w:pPr>
              <w:tabs>
                <w:tab w:val="left" w:pos="266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（元）</w:t>
            </w:r>
          </w:p>
        </w:tc>
        <w:tc>
          <w:tcPr>
            <w:tcW w:w="1029" w:type="dxa"/>
            <w:tcBorders>
              <w:bottom w:val="single" w:color="auto" w:sz="4" w:space="0"/>
            </w:tcBorders>
            <w:noWrap w:val="0"/>
            <w:vAlign w:val="center"/>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合价</w:t>
            </w:r>
          </w:p>
          <w:p>
            <w:pPr>
              <w:tabs>
                <w:tab w:val="left" w:pos="266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（元）</w:t>
            </w:r>
          </w:p>
        </w:tc>
        <w:tc>
          <w:tcPr>
            <w:tcW w:w="1276" w:type="dxa"/>
            <w:tcBorders>
              <w:bottom w:val="single" w:color="auto" w:sz="4" w:space="0"/>
            </w:tcBorders>
            <w:noWrap w:val="0"/>
            <w:vAlign w:val="center"/>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苗木来源</w:t>
            </w:r>
          </w:p>
        </w:tc>
        <w:tc>
          <w:tcPr>
            <w:tcW w:w="1161" w:type="dxa"/>
            <w:tcBorders>
              <w:bottom w:val="single" w:color="auto" w:sz="4" w:space="0"/>
            </w:tcBorders>
            <w:noWrap w:val="0"/>
            <w:vAlign w:val="center"/>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center"/>
          </w:tcPr>
          <w:p>
            <w:pPr>
              <w:widowControl/>
              <w:rPr>
                <w:rFonts w:hint="eastAsia"/>
                <w:color w:val="000000" w:themeColor="text1"/>
                <w:kern w:val="0"/>
                <w:highlight w:val="none"/>
                <w14:textFill>
                  <w14:solidFill>
                    <w14:schemeClr w14:val="tx1"/>
                  </w14:solidFill>
                </w14:textFill>
              </w:rPr>
            </w:pPr>
          </w:p>
        </w:tc>
        <w:tc>
          <w:tcPr>
            <w:tcW w:w="1808"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817"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919" w:type="dxa"/>
            <w:noWrap w:val="0"/>
            <w:vAlign w:val="center"/>
          </w:tcPr>
          <w:p>
            <w:pPr>
              <w:spacing w:line="240" w:lineRule="atLeast"/>
              <w:jc w:val="center"/>
              <w:rPr>
                <w:rFonts w:hint="eastAsia"/>
                <w:color w:val="000000" w:themeColor="text1"/>
                <w:kern w:val="0"/>
                <w:highlight w:val="none"/>
                <w14:textFill>
                  <w14:solidFill>
                    <w14:schemeClr w14:val="tx1"/>
                  </w14:solidFill>
                </w14:textFill>
              </w:rPr>
            </w:pPr>
          </w:p>
        </w:tc>
        <w:tc>
          <w:tcPr>
            <w:tcW w:w="1057" w:type="dxa"/>
            <w:noWrap w:val="0"/>
            <w:vAlign w:val="center"/>
          </w:tcPr>
          <w:p>
            <w:pPr>
              <w:spacing w:line="240" w:lineRule="atLeast"/>
              <w:jc w:val="center"/>
              <w:rPr>
                <w:rFonts w:hint="eastAsia"/>
                <w:color w:val="000000" w:themeColor="text1"/>
                <w:highlight w:val="none"/>
                <w14:textFill>
                  <w14:solidFill>
                    <w14:schemeClr w14:val="tx1"/>
                  </w14:solidFill>
                </w14:textFill>
              </w:rPr>
            </w:pPr>
          </w:p>
        </w:tc>
        <w:tc>
          <w:tcPr>
            <w:tcW w:w="1029" w:type="dxa"/>
            <w:noWrap w:val="0"/>
            <w:vAlign w:val="center"/>
          </w:tcPr>
          <w:p>
            <w:pPr>
              <w:widowControl/>
              <w:rPr>
                <w:rFonts w:hint="eastAsia"/>
                <w:color w:val="000000" w:themeColor="text1"/>
                <w:kern w:val="0"/>
                <w:highlight w:val="none"/>
                <w14:textFill>
                  <w14:solidFill>
                    <w14:schemeClr w14:val="tx1"/>
                  </w14:solidFill>
                </w14:textFill>
              </w:rPr>
            </w:pPr>
          </w:p>
        </w:tc>
        <w:tc>
          <w:tcPr>
            <w:tcW w:w="1276"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1161" w:type="dxa"/>
            <w:noWrap w:val="0"/>
            <w:vAlign w:val="center"/>
          </w:tcPr>
          <w:p>
            <w:pPr>
              <w:widowControl/>
              <w:jc w:val="center"/>
              <w:rPr>
                <w:rFonts w:hint="eastAsia"/>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center"/>
          </w:tcPr>
          <w:p>
            <w:pPr>
              <w:widowControl/>
              <w:rPr>
                <w:rFonts w:hint="eastAsia"/>
                <w:color w:val="000000" w:themeColor="text1"/>
                <w:kern w:val="0"/>
                <w:highlight w:val="none"/>
                <w14:textFill>
                  <w14:solidFill>
                    <w14:schemeClr w14:val="tx1"/>
                  </w14:solidFill>
                </w14:textFill>
              </w:rPr>
            </w:pPr>
          </w:p>
        </w:tc>
        <w:tc>
          <w:tcPr>
            <w:tcW w:w="1808" w:type="dxa"/>
            <w:noWrap w:val="0"/>
            <w:vAlign w:val="center"/>
          </w:tcPr>
          <w:p>
            <w:pPr>
              <w:widowControl/>
              <w:ind w:firstLine="105" w:firstLineChars="50"/>
              <w:jc w:val="center"/>
              <w:rPr>
                <w:rFonts w:hint="eastAsia"/>
                <w:color w:val="000000" w:themeColor="text1"/>
                <w:kern w:val="0"/>
                <w:highlight w:val="none"/>
                <w14:textFill>
                  <w14:solidFill>
                    <w14:schemeClr w14:val="tx1"/>
                  </w14:solidFill>
                </w14:textFill>
              </w:rPr>
            </w:pPr>
          </w:p>
        </w:tc>
        <w:tc>
          <w:tcPr>
            <w:tcW w:w="817"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919" w:type="dxa"/>
            <w:noWrap w:val="0"/>
            <w:vAlign w:val="center"/>
          </w:tcPr>
          <w:p>
            <w:pPr>
              <w:spacing w:line="240" w:lineRule="atLeast"/>
              <w:jc w:val="center"/>
              <w:rPr>
                <w:rFonts w:hint="eastAsia"/>
                <w:color w:val="000000" w:themeColor="text1"/>
                <w:kern w:val="0"/>
                <w:highlight w:val="none"/>
                <w14:textFill>
                  <w14:solidFill>
                    <w14:schemeClr w14:val="tx1"/>
                  </w14:solidFill>
                </w14:textFill>
              </w:rPr>
            </w:pPr>
          </w:p>
        </w:tc>
        <w:tc>
          <w:tcPr>
            <w:tcW w:w="1057" w:type="dxa"/>
            <w:noWrap w:val="0"/>
            <w:vAlign w:val="center"/>
          </w:tcPr>
          <w:p>
            <w:pPr>
              <w:spacing w:line="240" w:lineRule="atLeast"/>
              <w:jc w:val="center"/>
              <w:rPr>
                <w:rFonts w:hint="eastAsia"/>
                <w:color w:val="000000" w:themeColor="text1"/>
                <w:highlight w:val="none"/>
                <w14:textFill>
                  <w14:solidFill>
                    <w14:schemeClr w14:val="tx1"/>
                  </w14:solidFill>
                </w14:textFill>
              </w:rPr>
            </w:pPr>
          </w:p>
        </w:tc>
        <w:tc>
          <w:tcPr>
            <w:tcW w:w="1029" w:type="dxa"/>
            <w:noWrap w:val="0"/>
            <w:vAlign w:val="center"/>
          </w:tcPr>
          <w:p>
            <w:pPr>
              <w:widowControl/>
              <w:rPr>
                <w:rFonts w:hint="eastAsia"/>
                <w:color w:val="000000" w:themeColor="text1"/>
                <w:kern w:val="0"/>
                <w:highlight w:val="none"/>
                <w14:textFill>
                  <w14:solidFill>
                    <w14:schemeClr w14:val="tx1"/>
                  </w14:solidFill>
                </w14:textFill>
              </w:rPr>
            </w:pPr>
          </w:p>
        </w:tc>
        <w:tc>
          <w:tcPr>
            <w:tcW w:w="1276" w:type="dxa"/>
            <w:noWrap w:val="0"/>
            <w:vAlign w:val="center"/>
          </w:tcPr>
          <w:p>
            <w:pPr>
              <w:widowControl/>
              <w:ind w:firstLine="105" w:firstLineChars="50"/>
              <w:rPr>
                <w:rFonts w:hint="eastAsia"/>
                <w:color w:val="000000" w:themeColor="text1"/>
                <w:kern w:val="0"/>
                <w:highlight w:val="none"/>
                <w14:textFill>
                  <w14:solidFill>
                    <w14:schemeClr w14:val="tx1"/>
                  </w14:solidFill>
                </w14:textFill>
              </w:rPr>
            </w:pPr>
          </w:p>
        </w:tc>
        <w:tc>
          <w:tcPr>
            <w:tcW w:w="1161" w:type="dxa"/>
            <w:noWrap w:val="0"/>
            <w:vAlign w:val="center"/>
          </w:tcPr>
          <w:p>
            <w:pPr>
              <w:widowControl/>
              <w:jc w:val="center"/>
              <w:rPr>
                <w:rFonts w:hint="eastAsia"/>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center"/>
          </w:tcPr>
          <w:p>
            <w:pPr>
              <w:widowControl/>
              <w:ind w:right="360"/>
              <w:rPr>
                <w:rFonts w:hint="eastAsia"/>
                <w:color w:val="000000" w:themeColor="text1"/>
                <w:kern w:val="0"/>
                <w:highlight w:val="none"/>
                <w14:textFill>
                  <w14:solidFill>
                    <w14:schemeClr w14:val="tx1"/>
                  </w14:solidFill>
                </w14:textFill>
              </w:rPr>
            </w:pPr>
          </w:p>
        </w:tc>
        <w:tc>
          <w:tcPr>
            <w:tcW w:w="1808" w:type="dxa"/>
            <w:noWrap w:val="0"/>
            <w:vAlign w:val="center"/>
          </w:tcPr>
          <w:p>
            <w:pPr>
              <w:widowControl/>
              <w:ind w:firstLine="105" w:firstLineChars="50"/>
              <w:jc w:val="center"/>
              <w:rPr>
                <w:rFonts w:hint="eastAsia"/>
                <w:color w:val="000000" w:themeColor="text1"/>
                <w:kern w:val="0"/>
                <w:highlight w:val="none"/>
                <w14:textFill>
                  <w14:solidFill>
                    <w14:schemeClr w14:val="tx1"/>
                  </w14:solidFill>
                </w14:textFill>
              </w:rPr>
            </w:pPr>
          </w:p>
        </w:tc>
        <w:tc>
          <w:tcPr>
            <w:tcW w:w="817"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919" w:type="dxa"/>
            <w:noWrap w:val="0"/>
            <w:vAlign w:val="center"/>
          </w:tcPr>
          <w:p>
            <w:pPr>
              <w:spacing w:line="240" w:lineRule="atLeast"/>
              <w:ind w:firstLine="315" w:firstLineChars="150"/>
              <w:rPr>
                <w:rFonts w:hint="eastAsia"/>
                <w:color w:val="000000" w:themeColor="text1"/>
                <w:kern w:val="0"/>
                <w:highlight w:val="none"/>
                <w14:textFill>
                  <w14:solidFill>
                    <w14:schemeClr w14:val="tx1"/>
                  </w14:solidFill>
                </w14:textFill>
              </w:rPr>
            </w:pPr>
          </w:p>
        </w:tc>
        <w:tc>
          <w:tcPr>
            <w:tcW w:w="1057" w:type="dxa"/>
            <w:noWrap w:val="0"/>
            <w:vAlign w:val="center"/>
          </w:tcPr>
          <w:p>
            <w:pPr>
              <w:spacing w:line="240" w:lineRule="atLeast"/>
              <w:jc w:val="center"/>
              <w:rPr>
                <w:rFonts w:hint="eastAsia"/>
                <w:color w:val="000000" w:themeColor="text1"/>
                <w:highlight w:val="none"/>
                <w14:textFill>
                  <w14:solidFill>
                    <w14:schemeClr w14:val="tx1"/>
                  </w14:solidFill>
                </w14:textFill>
              </w:rPr>
            </w:pPr>
          </w:p>
        </w:tc>
        <w:tc>
          <w:tcPr>
            <w:tcW w:w="1029" w:type="dxa"/>
            <w:noWrap w:val="0"/>
            <w:vAlign w:val="center"/>
          </w:tcPr>
          <w:p>
            <w:pPr>
              <w:widowControl/>
              <w:ind w:right="360"/>
              <w:rPr>
                <w:rFonts w:hint="eastAsia"/>
                <w:color w:val="000000" w:themeColor="text1"/>
                <w:kern w:val="0"/>
                <w:highlight w:val="none"/>
                <w14:textFill>
                  <w14:solidFill>
                    <w14:schemeClr w14:val="tx1"/>
                  </w14:solidFill>
                </w14:textFill>
              </w:rPr>
            </w:pPr>
          </w:p>
        </w:tc>
        <w:tc>
          <w:tcPr>
            <w:tcW w:w="1276" w:type="dxa"/>
            <w:noWrap w:val="0"/>
            <w:vAlign w:val="center"/>
          </w:tcPr>
          <w:p>
            <w:pPr>
              <w:widowControl/>
              <w:ind w:firstLine="105" w:firstLineChars="50"/>
              <w:rPr>
                <w:rFonts w:hint="eastAsia"/>
                <w:color w:val="000000" w:themeColor="text1"/>
                <w:kern w:val="0"/>
                <w:highlight w:val="none"/>
                <w14:textFill>
                  <w14:solidFill>
                    <w14:schemeClr w14:val="tx1"/>
                  </w14:solidFill>
                </w14:textFill>
              </w:rPr>
            </w:pPr>
          </w:p>
        </w:tc>
        <w:tc>
          <w:tcPr>
            <w:tcW w:w="1161" w:type="dxa"/>
            <w:noWrap w:val="0"/>
            <w:vAlign w:val="center"/>
          </w:tcPr>
          <w:p>
            <w:pPr>
              <w:widowControl/>
              <w:jc w:val="center"/>
              <w:rPr>
                <w:rFonts w:hint="eastAsia"/>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center"/>
          </w:tcPr>
          <w:p>
            <w:pPr>
              <w:widowControl/>
              <w:rPr>
                <w:rFonts w:hint="eastAsia"/>
                <w:color w:val="000000" w:themeColor="text1"/>
                <w:kern w:val="0"/>
                <w:highlight w:val="none"/>
                <w14:textFill>
                  <w14:solidFill>
                    <w14:schemeClr w14:val="tx1"/>
                  </w14:solidFill>
                </w14:textFill>
              </w:rPr>
            </w:pPr>
          </w:p>
        </w:tc>
        <w:tc>
          <w:tcPr>
            <w:tcW w:w="1808"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817"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919" w:type="dxa"/>
            <w:noWrap w:val="0"/>
            <w:vAlign w:val="center"/>
          </w:tcPr>
          <w:p>
            <w:pPr>
              <w:spacing w:line="240" w:lineRule="atLeast"/>
              <w:jc w:val="center"/>
              <w:rPr>
                <w:rFonts w:hint="eastAsia"/>
                <w:color w:val="000000" w:themeColor="text1"/>
                <w:kern w:val="0"/>
                <w:highlight w:val="none"/>
                <w14:textFill>
                  <w14:solidFill>
                    <w14:schemeClr w14:val="tx1"/>
                  </w14:solidFill>
                </w14:textFill>
              </w:rPr>
            </w:pPr>
          </w:p>
        </w:tc>
        <w:tc>
          <w:tcPr>
            <w:tcW w:w="1057" w:type="dxa"/>
            <w:noWrap w:val="0"/>
            <w:vAlign w:val="center"/>
          </w:tcPr>
          <w:p>
            <w:pPr>
              <w:spacing w:line="240" w:lineRule="atLeast"/>
              <w:jc w:val="center"/>
              <w:rPr>
                <w:rFonts w:hint="eastAsia"/>
                <w:color w:val="000000" w:themeColor="text1"/>
                <w:highlight w:val="none"/>
                <w14:textFill>
                  <w14:solidFill>
                    <w14:schemeClr w14:val="tx1"/>
                  </w14:solidFill>
                </w14:textFill>
              </w:rPr>
            </w:pPr>
          </w:p>
        </w:tc>
        <w:tc>
          <w:tcPr>
            <w:tcW w:w="1029" w:type="dxa"/>
            <w:noWrap w:val="0"/>
            <w:vAlign w:val="center"/>
          </w:tcPr>
          <w:p>
            <w:pPr>
              <w:widowControl/>
              <w:rPr>
                <w:rFonts w:hint="eastAsia"/>
                <w:color w:val="000000" w:themeColor="text1"/>
                <w:kern w:val="0"/>
                <w:highlight w:val="none"/>
                <w14:textFill>
                  <w14:solidFill>
                    <w14:schemeClr w14:val="tx1"/>
                  </w14:solidFill>
                </w14:textFill>
              </w:rPr>
            </w:pPr>
          </w:p>
        </w:tc>
        <w:tc>
          <w:tcPr>
            <w:tcW w:w="1276"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1161" w:type="dxa"/>
            <w:noWrap w:val="0"/>
            <w:vAlign w:val="center"/>
          </w:tcPr>
          <w:p>
            <w:pPr>
              <w:widowControl/>
              <w:jc w:val="center"/>
              <w:rPr>
                <w:rFonts w:hint="eastAsia"/>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center"/>
          </w:tcPr>
          <w:p>
            <w:pPr>
              <w:widowControl/>
              <w:rPr>
                <w:rFonts w:hint="eastAsia"/>
                <w:color w:val="000000" w:themeColor="text1"/>
                <w:kern w:val="0"/>
                <w:highlight w:val="none"/>
                <w14:textFill>
                  <w14:solidFill>
                    <w14:schemeClr w14:val="tx1"/>
                  </w14:solidFill>
                </w14:textFill>
              </w:rPr>
            </w:pPr>
          </w:p>
        </w:tc>
        <w:tc>
          <w:tcPr>
            <w:tcW w:w="1808"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817"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919" w:type="dxa"/>
            <w:noWrap w:val="0"/>
            <w:vAlign w:val="center"/>
          </w:tcPr>
          <w:p>
            <w:pPr>
              <w:spacing w:line="240" w:lineRule="atLeast"/>
              <w:jc w:val="center"/>
              <w:rPr>
                <w:rFonts w:hint="eastAsia"/>
                <w:color w:val="000000" w:themeColor="text1"/>
                <w:kern w:val="0"/>
                <w:highlight w:val="none"/>
                <w14:textFill>
                  <w14:solidFill>
                    <w14:schemeClr w14:val="tx1"/>
                  </w14:solidFill>
                </w14:textFill>
              </w:rPr>
            </w:pPr>
          </w:p>
        </w:tc>
        <w:tc>
          <w:tcPr>
            <w:tcW w:w="1057" w:type="dxa"/>
            <w:noWrap w:val="0"/>
            <w:vAlign w:val="center"/>
          </w:tcPr>
          <w:p>
            <w:pPr>
              <w:spacing w:line="240" w:lineRule="atLeast"/>
              <w:jc w:val="center"/>
              <w:rPr>
                <w:rFonts w:hint="eastAsia"/>
                <w:color w:val="000000" w:themeColor="text1"/>
                <w:highlight w:val="none"/>
                <w14:textFill>
                  <w14:solidFill>
                    <w14:schemeClr w14:val="tx1"/>
                  </w14:solidFill>
                </w14:textFill>
              </w:rPr>
            </w:pPr>
          </w:p>
        </w:tc>
        <w:tc>
          <w:tcPr>
            <w:tcW w:w="1029" w:type="dxa"/>
            <w:noWrap w:val="0"/>
            <w:vAlign w:val="center"/>
          </w:tcPr>
          <w:p>
            <w:pPr>
              <w:widowControl/>
              <w:rPr>
                <w:rFonts w:hint="eastAsia"/>
                <w:color w:val="000000" w:themeColor="text1"/>
                <w:kern w:val="0"/>
                <w:highlight w:val="none"/>
                <w14:textFill>
                  <w14:solidFill>
                    <w14:schemeClr w14:val="tx1"/>
                  </w14:solidFill>
                </w14:textFill>
              </w:rPr>
            </w:pPr>
          </w:p>
        </w:tc>
        <w:tc>
          <w:tcPr>
            <w:tcW w:w="1276"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1161" w:type="dxa"/>
            <w:noWrap w:val="0"/>
            <w:vAlign w:val="center"/>
          </w:tcPr>
          <w:p>
            <w:pPr>
              <w:widowControl/>
              <w:jc w:val="center"/>
              <w:rPr>
                <w:rFonts w:hint="eastAsia"/>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center"/>
          </w:tcPr>
          <w:p>
            <w:pPr>
              <w:widowControl/>
              <w:rPr>
                <w:rFonts w:hint="eastAsia"/>
                <w:color w:val="000000" w:themeColor="text1"/>
                <w:kern w:val="0"/>
                <w:highlight w:val="none"/>
                <w14:textFill>
                  <w14:solidFill>
                    <w14:schemeClr w14:val="tx1"/>
                  </w14:solidFill>
                </w14:textFill>
              </w:rPr>
            </w:pPr>
          </w:p>
        </w:tc>
        <w:tc>
          <w:tcPr>
            <w:tcW w:w="1808"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817" w:type="dxa"/>
            <w:noWrap w:val="0"/>
            <w:vAlign w:val="center"/>
          </w:tcPr>
          <w:p>
            <w:pPr>
              <w:widowControl/>
              <w:ind w:firstLine="210" w:firstLineChars="100"/>
              <w:rPr>
                <w:rFonts w:hint="eastAsia"/>
                <w:color w:val="000000" w:themeColor="text1"/>
                <w:kern w:val="0"/>
                <w:highlight w:val="none"/>
                <w14:textFill>
                  <w14:solidFill>
                    <w14:schemeClr w14:val="tx1"/>
                  </w14:solidFill>
                </w14:textFill>
              </w:rPr>
            </w:pPr>
          </w:p>
        </w:tc>
        <w:tc>
          <w:tcPr>
            <w:tcW w:w="919" w:type="dxa"/>
            <w:noWrap w:val="0"/>
            <w:vAlign w:val="center"/>
          </w:tcPr>
          <w:p>
            <w:pPr>
              <w:spacing w:line="240" w:lineRule="atLeast"/>
              <w:jc w:val="center"/>
              <w:rPr>
                <w:rFonts w:hint="eastAsia"/>
                <w:color w:val="000000" w:themeColor="text1"/>
                <w:kern w:val="0"/>
                <w:highlight w:val="none"/>
                <w14:textFill>
                  <w14:solidFill>
                    <w14:schemeClr w14:val="tx1"/>
                  </w14:solidFill>
                </w14:textFill>
              </w:rPr>
            </w:pPr>
          </w:p>
        </w:tc>
        <w:tc>
          <w:tcPr>
            <w:tcW w:w="1057" w:type="dxa"/>
            <w:noWrap w:val="0"/>
            <w:vAlign w:val="center"/>
          </w:tcPr>
          <w:p>
            <w:pPr>
              <w:spacing w:line="240" w:lineRule="atLeast"/>
              <w:jc w:val="center"/>
              <w:rPr>
                <w:rFonts w:hint="eastAsia"/>
                <w:color w:val="000000" w:themeColor="text1"/>
                <w:highlight w:val="none"/>
                <w14:textFill>
                  <w14:solidFill>
                    <w14:schemeClr w14:val="tx1"/>
                  </w14:solidFill>
                </w14:textFill>
              </w:rPr>
            </w:pPr>
          </w:p>
        </w:tc>
        <w:tc>
          <w:tcPr>
            <w:tcW w:w="1029" w:type="dxa"/>
            <w:noWrap w:val="0"/>
            <w:vAlign w:val="center"/>
          </w:tcPr>
          <w:p>
            <w:pPr>
              <w:widowControl/>
              <w:rPr>
                <w:rFonts w:hint="eastAsia"/>
                <w:color w:val="000000" w:themeColor="text1"/>
                <w:kern w:val="0"/>
                <w:highlight w:val="none"/>
                <w14:textFill>
                  <w14:solidFill>
                    <w14:schemeClr w14:val="tx1"/>
                  </w14:solidFill>
                </w14:textFill>
              </w:rPr>
            </w:pPr>
          </w:p>
        </w:tc>
        <w:tc>
          <w:tcPr>
            <w:tcW w:w="1276" w:type="dxa"/>
            <w:noWrap w:val="0"/>
            <w:vAlign w:val="center"/>
          </w:tcPr>
          <w:p>
            <w:pPr>
              <w:widowControl/>
              <w:jc w:val="center"/>
              <w:rPr>
                <w:rFonts w:hint="eastAsia"/>
                <w:color w:val="000000" w:themeColor="text1"/>
                <w:kern w:val="0"/>
                <w:highlight w:val="none"/>
                <w14:textFill>
                  <w14:solidFill>
                    <w14:schemeClr w14:val="tx1"/>
                  </w14:solidFill>
                </w14:textFill>
              </w:rPr>
            </w:pPr>
          </w:p>
        </w:tc>
        <w:tc>
          <w:tcPr>
            <w:tcW w:w="1161" w:type="dxa"/>
            <w:noWrap w:val="0"/>
            <w:vAlign w:val="center"/>
          </w:tcPr>
          <w:p>
            <w:pPr>
              <w:widowControl/>
              <w:ind w:firstLine="315" w:firstLineChars="150"/>
              <w:rPr>
                <w:rFonts w:hint="eastAsia"/>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80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81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91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5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2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276"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161"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80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81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91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5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2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276"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161"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80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81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91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5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2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276"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161"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80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81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91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5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2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276"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161"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80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81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91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5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2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276"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161"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80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81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91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5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2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276"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161"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80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81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91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5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2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276"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161"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80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81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91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5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2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276"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161"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80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81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91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5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2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276"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161"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80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81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91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5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2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276"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161"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仿宋_GB2312" w:eastAsia="仿宋_GB2312"/>
                <w:color w:val="000000" w:themeColor="text1"/>
                <w:highlight w:val="none"/>
                <w14:textFill>
                  <w14:solidFill>
                    <w14:schemeClr w14:val="tx1"/>
                  </w14:solidFill>
                </w14:textFill>
              </w:rPr>
            </w:pPr>
          </w:p>
        </w:tc>
        <w:tc>
          <w:tcPr>
            <w:tcW w:w="142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808"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81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91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57"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029"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276"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c>
          <w:tcPr>
            <w:tcW w:w="1161" w:type="dxa"/>
            <w:noWrap w:val="0"/>
            <w:vAlign w:val="top"/>
          </w:tcPr>
          <w:p>
            <w:pPr>
              <w:tabs>
                <w:tab w:val="left" w:pos="2660"/>
              </w:tabs>
              <w:jc w:val="center"/>
              <w:rPr>
                <w:rFonts w:hint="eastAsia" w:ascii="黑体" w:eastAsia="黑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p>
        </w:tc>
        <w:tc>
          <w:tcPr>
            <w:tcW w:w="1428" w:type="dxa"/>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p>
        </w:tc>
        <w:tc>
          <w:tcPr>
            <w:tcW w:w="1808" w:type="dxa"/>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p>
        </w:tc>
        <w:tc>
          <w:tcPr>
            <w:tcW w:w="817" w:type="dxa"/>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p>
        </w:tc>
        <w:tc>
          <w:tcPr>
            <w:tcW w:w="919" w:type="dxa"/>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p>
        </w:tc>
        <w:tc>
          <w:tcPr>
            <w:tcW w:w="1057" w:type="dxa"/>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p>
        </w:tc>
        <w:tc>
          <w:tcPr>
            <w:tcW w:w="1029" w:type="dxa"/>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p>
        </w:tc>
        <w:tc>
          <w:tcPr>
            <w:tcW w:w="1276" w:type="dxa"/>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p>
        </w:tc>
        <w:tc>
          <w:tcPr>
            <w:tcW w:w="1161" w:type="dxa"/>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p>
        </w:tc>
        <w:tc>
          <w:tcPr>
            <w:tcW w:w="7058" w:type="dxa"/>
            <w:gridSpan w:val="6"/>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苗木合价总合计（万元）</w:t>
            </w:r>
          </w:p>
        </w:tc>
        <w:tc>
          <w:tcPr>
            <w:tcW w:w="2437" w:type="dxa"/>
            <w:gridSpan w:val="2"/>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6" w:type="dxa"/>
            <w:noWrap w:val="0"/>
            <w:vAlign w:val="top"/>
          </w:tcPr>
          <w:p>
            <w:pPr>
              <w:tabs>
                <w:tab w:val="left" w:pos="2660"/>
              </w:tabs>
              <w:jc w:val="center"/>
              <w:rPr>
                <w:rFonts w:hint="eastAsia" w:ascii="宋体" w:hAnsi="宋体" w:eastAsia="宋体" w:cs="宋体"/>
                <w:color w:val="000000" w:themeColor="text1"/>
                <w:highlight w:val="none"/>
                <w14:textFill>
                  <w14:solidFill>
                    <w14:schemeClr w14:val="tx1"/>
                  </w14:solidFill>
                </w14:textFill>
              </w:rPr>
            </w:pPr>
          </w:p>
        </w:tc>
        <w:tc>
          <w:tcPr>
            <w:tcW w:w="7058" w:type="dxa"/>
            <w:gridSpan w:val="6"/>
            <w:noWrap w:val="0"/>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苗木合价+材料、设备合价总合计（万元）</w:t>
            </w:r>
          </w:p>
        </w:tc>
        <w:tc>
          <w:tcPr>
            <w:tcW w:w="2437" w:type="dxa"/>
            <w:gridSpan w:val="2"/>
            <w:noWrap w:val="0"/>
            <w:vAlign w:val="center"/>
          </w:tcPr>
          <w:p>
            <w:pPr>
              <w:spacing w:line="260" w:lineRule="exact"/>
              <w:rPr>
                <w:rFonts w:hint="eastAsia" w:ascii="宋体" w:hAnsi="宋体" w:eastAsia="宋体" w:cs="宋体"/>
                <w:color w:val="000000" w:themeColor="text1"/>
                <w:highlight w:val="none"/>
                <w14:textFill>
                  <w14:solidFill>
                    <w14:schemeClr w14:val="tx1"/>
                  </w14:solidFill>
                </w14:textFill>
              </w:rPr>
            </w:pPr>
          </w:p>
        </w:tc>
      </w:tr>
    </w:tbl>
    <w:p>
      <w:pPr>
        <w:tabs>
          <w:tab w:val="left" w:pos="360"/>
          <w:tab w:val="left" w:pos="1800"/>
        </w:tabs>
        <w:rPr>
          <w:rFonts w:hint="eastAsia" w:ascii="仿宋_GB2312" w:eastAsia="仿宋_GB2312"/>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注：各投标人必须汇总合价。</w:t>
      </w:r>
    </w:p>
    <w:p>
      <w:pPr>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kern w:val="0"/>
          <w:sz w:val="24"/>
          <w:szCs w:val="32"/>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w:t>
      </w:r>
      <w:r>
        <w:rPr>
          <w:rFonts w:hint="eastAsia" w:ascii="宋体" w:hAnsi="宋体" w:cs="宋体"/>
          <w:b/>
          <w:bCs/>
          <w:color w:val="000000" w:themeColor="text1"/>
          <w:kern w:val="0"/>
          <w:sz w:val="24"/>
          <w:szCs w:val="32"/>
          <w:highlight w:val="none"/>
          <w:lang w:val="en-US" w:eastAsia="zh-CN"/>
          <w14:textFill>
            <w14:solidFill>
              <w14:schemeClr w14:val="tx1"/>
            </w14:solidFill>
          </w14:textFill>
        </w:rPr>
        <w:t>28</w:t>
      </w:r>
      <w:r>
        <w:rPr>
          <w:rFonts w:hint="eastAsia" w:ascii="宋体" w:hAnsi="宋体" w:eastAsia="宋体" w:cs="宋体"/>
          <w:b/>
          <w:bCs/>
          <w:color w:val="000000" w:themeColor="text1"/>
          <w:kern w:val="0"/>
          <w:sz w:val="24"/>
          <w:szCs w:val="32"/>
          <w:highlight w:val="none"/>
          <w14:textFill>
            <w14:solidFill>
              <w14:schemeClr w14:val="tx1"/>
            </w14:solidFill>
          </w14:textFill>
        </w:rPr>
        <w:t xml:space="preserve"> </w:t>
      </w:r>
      <w:r>
        <w:rPr>
          <w:rFonts w:hint="eastAsia" w:ascii="宋体" w:hAnsi="宋体" w:eastAsia="宋体" w:cs="宋体"/>
          <w:b/>
          <w:bCs/>
          <w:color w:val="000000" w:themeColor="text1"/>
          <w:kern w:val="0"/>
          <w:sz w:val="24"/>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32"/>
          <w:highlight w:val="none"/>
          <w14:textFill>
            <w14:solidFill>
              <w14:schemeClr w14:val="tx1"/>
            </w14:solidFill>
          </w14:textFill>
        </w:rPr>
        <w:t>商务条款偏离表</w:t>
      </w: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tbl>
      <w:tblPr>
        <w:tblStyle w:val="57"/>
        <w:tblpPr w:leftFromText="180" w:rightFromText="180" w:vertAnchor="page" w:horzAnchor="margin" w:tblpY="25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03"/>
        <w:gridCol w:w="2350"/>
        <w:gridCol w:w="215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203"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招标文件条目号</w:t>
            </w:r>
          </w:p>
        </w:tc>
        <w:tc>
          <w:tcPr>
            <w:tcW w:w="235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w:t>
            </w:r>
          </w:p>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商务条款</w:t>
            </w:r>
          </w:p>
        </w:tc>
        <w:tc>
          <w:tcPr>
            <w:tcW w:w="215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w:t>
            </w:r>
          </w:p>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商务条款</w:t>
            </w:r>
          </w:p>
        </w:tc>
        <w:tc>
          <w:tcPr>
            <w:tcW w:w="2333"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bl>
    <w:p>
      <w:pP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注：投标人按此表格式列出不影响投标实质性响应的商务偏差，没有说明的其他条款将被认为完全满足招标文件的规定。</w:t>
      </w:r>
    </w:p>
    <w:p>
      <w:pPr>
        <w:pStyle w:val="3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3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33"/>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投标人（盖章）：</w:t>
      </w:r>
    </w:p>
    <w:p>
      <w:pPr>
        <w:pStyle w:val="3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3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33"/>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法定代表人或委托代理人签字或盖章： </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33"/>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pPr>
        <w:pStyle w:val="5"/>
        <w:ind w:firstLine="0"/>
        <w:jc w:val="center"/>
        <w:rPr>
          <w:rFonts w:hint="eastAsia" w:ascii="宋体" w:hAnsi="宋体" w:eastAsia="宋体" w:cs="宋体"/>
          <w:b/>
          <w:bCs/>
          <w:color w:val="000000" w:themeColor="text1"/>
          <w:sz w:val="24"/>
          <w:highlight w:val="none"/>
          <w14:textFill>
            <w14:solidFill>
              <w14:schemeClr w14:val="tx1"/>
            </w14:solidFill>
          </w14:textFill>
        </w:rPr>
      </w:pPr>
    </w:p>
    <w:p>
      <w:pPr>
        <w:pStyle w:val="5"/>
        <w:ind w:firstLine="0"/>
        <w:jc w:val="center"/>
        <w:rPr>
          <w:rFonts w:hint="eastAsia" w:ascii="宋体" w:hAnsi="宋体" w:eastAsia="宋体" w:cs="宋体"/>
          <w:b/>
          <w:bCs/>
          <w:color w:val="000000" w:themeColor="text1"/>
          <w:sz w:val="24"/>
          <w:highlight w:val="none"/>
          <w14:textFill>
            <w14:solidFill>
              <w14:schemeClr w14:val="tx1"/>
            </w14:solidFill>
          </w14:textFill>
        </w:rPr>
      </w:pPr>
    </w:p>
    <w:p>
      <w:pPr>
        <w:pStyle w:val="5"/>
        <w:ind w:firstLine="0"/>
        <w:jc w:val="center"/>
        <w:rPr>
          <w:rFonts w:hint="eastAsia" w:ascii="宋体" w:hAnsi="宋体" w:eastAsia="宋体" w:cs="宋体"/>
          <w:b/>
          <w:bCs/>
          <w:color w:val="000000" w:themeColor="text1"/>
          <w:sz w:val="24"/>
          <w:highlight w:val="none"/>
          <w14:textFill>
            <w14:solidFill>
              <w14:schemeClr w14:val="tx1"/>
            </w14:solidFill>
          </w14:textFill>
        </w:rPr>
      </w:pPr>
    </w:p>
    <w:p>
      <w:pPr>
        <w:pStyle w:val="5"/>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格式</w:t>
      </w:r>
      <w:r>
        <w:rPr>
          <w:rFonts w:hint="eastAsia" w:ascii="宋体" w:hAnsi="宋体" w:cs="宋体"/>
          <w:b/>
          <w:bCs/>
          <w:color w:val="000000" w:themeColor="text1"/>
          <w:sz w:val="24"/>
          <w:highlight w:val="none"/>
          <w:lang w:val="en-US" w:eastAsia="zh-CN"/>
          <w14:textFill>
            <w14:solidFill>
              <w14:schemeClr w14:val="tx1"/>
            </w14:solidFill>
          </w14:textFill>
        </w:rPr>
        <w:t>29</w:t>
      </w:r>
      <w:r>
        <w:rPr>
          <w:rFonts w:hint="eastAsia" w:ascii="宋体" w:hAnsi="宋体" w:eastAsia="宋体" w:cs="宋体"/>
          <w:b/>
          <w:bCs/>
          <w:color w:val="000000" w:themeColor="text1"/>
          <w:sz w:val="24"/>
          <w:highlight w:val="none"/>
          <w14:textFill>
            <w14:solidFill>
              <w14:schemeClr w14:val="tx1"/>
            </w14:solidFill>
          </w14:textFill>
        </w:rPr>
        <w:t xml:space="preserve">  技术规格响应偏离表</w:t>
      </w:r>
    </w:p>
    <w:p>
      <w:pPr>
        <w:rPr>
          <w:rFonts w:hint="eastAsia" w:ascii="宋体" w:hAnsi="宋体" w:eastAsia="宋体" w:cs="宋体"/>
          <w:b/>
          <w:color w:val="000000" w:themeColor="text1"/>
          <w:sz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6"/>
        <w:gridCol w:w="1690"/>
        <w:gridCol w:w="1620"/>
        <w:gridCol w:w="180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606"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169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服务内容及要求</w:t>
            </w:r>
          </w:p>
        </w:tc>
        <w:tc>
          <w:tcPr>
            <w:tcW w:w="162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招标要求</w:t>
            </w:r>
          </w:p>
        </w:tc>
        <w:tc>
          <w:tcPr>
            <w:tcW w:w="180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投标规格</w:t>
            </w:r>
          </w:p>
        </w:tc>
        <w:tc>
          <w:tcPr>
            <w:tcW w:w="1744"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bl>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1、投标人应对照技术规格及要求中的招标项目要求，逐条说明所提供项目和服务已对招标文件的技术要求做出了实质性的响应，并申明与技术规格条文的偏差和例外。特别对有具体技术要求的指标，投标人必须提供所投标项目的具体参数值。</w:t>
      </w: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投标人所提供项目和服务已对招标文件、技术规格及要求中的招标项目要求、技术规格和服务条件的偏离只能优于招标文件、技术规格及要求的招标项目要求，否则评标委员会有权按招标文件中相应规定作否决投标处理。</w:t>
      </w: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3、没有说明的其他条款将被认为完全满足本招标项目技术条款要求。</w:t>
      </w: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4、各投标人按此表格式自行填写，表格不够时可自行添加。</w:t>
      </w: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 （盖章）：</w:t>
      </w:r>
    </w:p>
    <w:p>
      <w:pPr>
        <w:rPr>
          <w:rFonts w:hint="eastAsia" w:ascii="宋体" w:hAnsi="宋体" w:eastAsia="宋体" w:cs="宋体"/>
          <w:color w:val="000000" w:themeColor="text1"/>
          <w:sz w:val="24"/>
          <w:highlight w:val="none"/>
          <w:u w:val="single"/>
          <w14:textFill>
            <w14:solidFill>
              <w14:schemeClr w14:val="tx1"/>
            </w14:solidFill>
          </w14:textFill>
        </w:rPr>
      </w:pPr>
    </w:p>
    <w:p>
      <w:pPr>
        <w:rPr>
          <w:rFonts w:hint="eastAsia" w:ascii="宋体" w:hAnsi="宋体" w:eastAsia="宋体" w:cs="宋体"/>
          <w:color w:val="000000" w:themeColor="text1"/>
          <w:sz w:val="24"/>
          <w:highlight w:val="none"/>
          <w:u w:val="singl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法定代表人或委托代理人签字或盖章：</w:t>
      </w: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pPr>
        <w:rPr>
          <w:rFonts w:hint="eastAsia" w:ascii="宋体" w:hAnsi="宋体" w:eastAsia="宋体" w:cs="宋体"/>
          <w:color w:val="000000" w:themeColor="text1"/>
          <w:sz w:val="24"/>
          <w:highlight w:val="none"/>
          <w14:textFill>
            <w14:solidFill>
              <w14:schemeClr w14:val="tx1"/>
            </w14:solidFill>
          </w14:textFill>
        </w:rPr>
      </w:pPr>
    </w:p>
    <w:p>
      <w:pPr>
        <w:pStyle w:val="3"/>
        <w:spacing w:before="0" w:after="0" w:line="360" w:lineRule="auto"/>
        <w:ind w:firstLine="482" w:firstLineChars="20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eastAsia="zh-CN"/>
          <w14:textFill>
            <w14:solidFill>
              <w14:schemeClr w14:val="tx1"/>
            </w14:solidFill>
          </w14:textFill>
        </w:rPr>
        <w:t>七</w:t>
      </w:r>
      <w:r>
        <w:rPr>
          <w:rFonts w:hint="eastAsia" w:ascii="宋体" w:hAnsi="宋体" w:cs="宋体"/>
          <w:color w:val="000000" w:themeColor="text1"/>
          <w:sz w:val="24"/>
          <w:szCs w:val="24"/>
          <w:highlight w:val="none"/>
          <w14:textFill>
            <w14:solidFill>
              <w14:schemeClr w14:val="tx1"/>
            </w14:solidFill>
          </w14:textFill>
        </w:rPr>
        <w:t>章  评标方法（综合评分法）</w:t>
      </w:r>
    </w:p>
    <w:p>
      <w:pPr>
        <w:pStyle w:val="4"/>
        <w:spacing w:before="0" w:after="0"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1、初审</w:t>
      </w:r>
    </w:p>
    <w:p>
      <w:pPr>
        <w:pStyle w:val="6"/>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1.1资格性审查</w:t>
      </w:r>
    </w:p>
    <w:tbl>
      <w:tblPr>
        <w:tblStyle w:val="57"/>
        <w:tblW w:w="10399"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6439"/>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29" w:type="dxa"/>
            <w:noWrap/>
            <w:vAlign w:val="center"/>
          </w:tcPr>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6439" w:type="dxa"/>
            <w:noWrap/>
            <w:vAlign w:val="center"/>
          </w:tcPr>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检查因素</w:t>
            </w:r>
          </w:p>
        </w:tc>
        <w:tc>
          <w:tcPr>
            <w:tcW w:w="3031" w:type="dxa"/>
            <w:noWrap/>
            <w:vAlign w:val="center"/>
          </w:tcPr>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929" w:type="dxa"/>
            <w:noWrap/>
            <w:vAlign w:val="center"/>
          </w:tcPr>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6439" w:type="dxa"/>
            <w:noWrap/>
            <w:vAlign w:val="center"/>
          </w:tcPr>
          <w:p>
            <w:pPr>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投标人须符合《中华人民共和国政府采购法》第二十二条</w:t>
            </w:r>
          </w:p>
        </w:tc>
        <w:tc>
          <w:tcPr>
            <w:tcW w:w="3031" w:type="dxa"/>
            <w:noWrap/>
            <w:vAlign w:val="center"/>
          </w:tcPr>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929" w:type="dxa"/>
            <w:noWrap/>
            <w:vAlign w:val="center"/>
          </w:tcPr>
          <w:p>
            <w:pPr>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6439" w:type="dxa"/>
            <w:noWrap/>
            <w:vAlign w:val="center"/>
          </w:tcPr>
          <w:p>
            <w:pPr>
              <w:spacing w:line="40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拟派项目负责人应具有建设行政主管部门核发的</w:t>
            </w:r>
            <w:r>
              <w:rPr>
                <w:rFonts w:hint="eastAsia" w:ascii="宋体" w:hAnsi="宋体" w:cs="宋体"/>
                <w:color w:val="000000" w:themeColor="text1"/>
                <w:sz w:val="21"/>
                <w:szCs w:val="21"/>
                <w:highlight w:val="none"/>
                <w:lang w:eastAsia="zh-CN"/>
                <w14:textFill>
                  <w14:solidFill>
                    <w14:schemeClr w14:val="tx1"/>
                  </w14:solidFill>
                </w14:textFill>
              </w:rPr>
              <w:t>市政公用</w:t>
            </w:r>
            <w:r>
              <w:rPr>
                <w:rFonts w:hint="eastAsia" w:ascii="宋体" w:hAnsi="宋体" w:eastAsia="宋体" w:cs="宋体"/>
                <w:color w:val="000000" w:themeColor="text1"/>
                <w:sz w:val="21"/>
                <w:szCs w:val="21"/>
                <w:highlight w:val="none"/>
                <w14:textFill>
                  <w14:solidFill>
                    <w14:schemeClr w14:val="tx1"/>
                  </w14:solidFill>
                </w14:textFill>
              </w:rPr>
              <w:t>工程贰级及以上建造师注册证书；并取得有效期内的安全生产考核合格证（A类或B类）；</w:t>
            </w:r>
          </w:p>
        </w:tc>
        <w:tc>
          <w:tcPr>
            <w:tcW w:w="3031" w:type="dxa"/>
            <w:noWrap/>
            <w:vAlign w:val="center"/>
          </w:tcPr>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929" w:type="dxa"/>
            <w:noWrap/>
            <w:vAlign w:val="center"/>
          </w:tcPr>
          <w:p>
            <w:pPr>
              <w:spacing w:line="40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6439" w:type="dxa"/>
            <w:noWrap/>
            <w:vAlign w:val="center"/>
          </w:tcPr>
          <w:p>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投标人拟派的项目主要管理人员符合招标文件规定</w:t>
            </w:r>
          </w:p>
        </w:tc>
        <w:tc>
          <w:tcPr>
            <w:tcW w:w="3031" w:type="dxa"/>
            <w:noWrap/>
            <w:vAlign w:val="center"/>
          </w:tcPr>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29" w:type="dxa"/>
            <w:noWrap/>
            <w:vAlign w:val="center"/>
          </w:tcPr>
          <w:p>
            <w:pPr>
              <w:spacing w:line="360" w:lineRule="auto"/>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w:t>
            </w:r>
          </w:p>
        </w:tc>
        <w:tc>
          <w:tcPr>
            <w:tcW w:w="6439"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本项目不接受联合体投标人参加</w:t>
            </w:r>
          </w:p>
        </w:tc>
        <w:tc>
          <w:tcPr>
            <w:tcW w:w="3031" w:type="dxa"/>
            <w:noWrap/>
            <w:vAlign w:val="center"/>
          </w:tcPr>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bl>
    <w:p>
      <w:pPr>
        <w:pStyle w:val="6"/>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1.2符合性审查</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51"/>
        <w:gridCol w:w="2192"/>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83"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序号</w:t>
            </w:r>
          </w:p>
        </w:tc>
        <w:tc>
          <w:tcPr>
            <w:tcW w:w="3343" w:type="dxa"/>
            <w:gridSpan w:val="2"/>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评审因素</w:t>
            </w:r>
          </w:p>
        </w:tc>
        <w:tc>
          <w:tcPr>
            <w:tcW w:w="6047" w:type="dxa"/>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83" w:type="dxa"/>
            <w:vMerge w:val="restart"/>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151" w:type="dxa"/>
            <w:vMerge w:val="restart"/>
            <w:noWrap/>
            <w:vAlign w:val="center"/>
          </w:tcPr>
          <w:p>
            <w:pPr>
              <w:spacing w:line="360" w:lineRule="auto"/>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有效性审查</w:t>
            </w:r>
          </w:p>
        </w:tc>
        <w:tc>
          <w:tcPr>
            <w:tcW w:w="2192" w:type="dxa"/>
            <w:noWrap/>
            <w:vAlign w:val="center"/>
          </w:tcPr>
          <w:p>
            <w:pPr>
              <w:spacing w:line="360" w:lineRule="auto"/>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文件签署</w:t>
            </w:r>
          </w:p>
        </w:tc>
        <w:tc>
          <w:tcPr>
            <w:tcW w:w="6047"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文件中法定代表人或其授权代表人的签字齐全。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83"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jc w:val="center"/>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法定代表人身份证明及授权委托书</w:t>
            </w:r>
          </w:p>
        </w:tc>
        <w:tc>
          <w:tcPr>
            <w:tcW w:w="6047" w:type="dxa"/>
            <w:noWrap/>
            <w:vAlign w:val="center"/>
          </w:tcPr>
          <w:p>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法定代表人身份证明及授权委托书有效，且符合招标文件规定的格式。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83"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jc w:val="center"/>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spacing w:line="360" w:lineRule="auto"/>
              <w:jc w:val="center"/>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投标方案</w:t>
            </w:r>
          </w:p>
        </w:tc>
        <w:tc>
          <w:tcPr>
            <w:tcW w:w="6047"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只能有一个投标方案。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3"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jc w:val="center"/>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spacing w:line="360" w:lineRule="auto"/>
              <w:jc w:val="center"/>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报价唯一</w:t>
            </w:r>
          </w:p>
        </w:tc>
        <w:tc>
          <w:tcPr>
            <w:tcW w:w="6047"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报价在采购项目预算额内，</w:t>
            </w:r>
            <w:r>
              <w:rPr>
                <w:rFonts w:hint="eastAsia" w:ascii="宋体"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vMerge w:val="restart"/>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151" w:type="dxa"/>
            <w:vMerge w:val="restart"/>
            <w:noWrap/>
            <w:vAlign w:val="center"/>
          </w:tcPr>
          <w:p>
            <w:pPr>
              <w:spacing w:line="360" w:lineRule="auto"/>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完整性审查</w:t>
            </w:r>
          </w:p>
        </w:tc>
        <w:tc>
          <w:tcPr>
            <w:tcW w:w="2192" w:type="dxa"/>
            <w:noWrap/>
            <w:vAlign w:val="center"/>
          </w:tcPr>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投标文件份数</w:t>
            </w:r>
          </w:p>
        </w:tc>
        <w:tc>
          <w:tcPr>
            <w:tcW w:w="6047"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投标文件正本、副本等投标文件数量符合</w:t>
            </w:r>
            <w:r>
              <w:rPr>
                <w:rFonts w:hint="eastAsia" w:ascii="宋体" w:hAnsi="宋体" w:cs="宋体"/>
                <w:color w:val="000000" w:themeColor="text1"/>
                <w:kern w:val="0"/>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83"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jc w:val="center"/>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spacing w:line="360" w:lineRule="auto"/>
              <w:jc w:val="center"/>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投标文件内容</w:t>
            </w:r>
          </w:p>
        </w:tc>
        <w:tc>
          <w:tcPr>
            <w:tcW w:w="6047" w:type="dxa"/>
            <w:noWrap/>
            <w:vAlign w:val="center"/>
          </w:tcPr>
          <w:p>
            <w:pPr>
              <w:spacing w:line="360" w:lineRule="auto"/>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83" w:type="dxa"/>
            <w:vMerge w:val="restart"/>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151" w:type="dxa"/>
            <w:vMerge w:val="restart"/>
            <w:noWrap/>
            <w:vAlign w:val="center"/>
          </w:tcPr>
          <w:p>
            <w:pPr>
              <w:spacing w:line="360" w:lineRule="auto"/>
              <w:jc w:val="center"/>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招标文件的响应程度审查</w:t>
            </w:r>
          </w:p>
        </w:tc>
        <w:tc>
          <w:tcPr>
            <w:tcW w:w="2192" w:type="dxa"/>
            <w:noWrap/>
            <w:vAlign w:val="center"/>
          </w:tcPr>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文件内容</w:t>
            </w:r>
          </w:p>
        </w:tc>
        <w:tc>
          <w:tcPr>
            <w:tcW w:w="6047"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对招标文件规定的内容全部做出响应。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质量技术</w:t>
            </w:r>
          </w:p>
        </w:tc>
        <w:tc>
          <w:tcPr>
            <w:tcW w:w="6047"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满足招标文件提出的质量、技术要求。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3"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工期</w:t>
            </w:r>
          </w:p>
        </w:tc>
        <w:tc>
          <w:tcPr>
            <w:tcW w:w="6047"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满足招标文件</w:t>
            </w:r>
            <w:r>
              <w:rPr>
                <w:rFonts w:hint="eastAsia" w:ascii="宋体" w:hAnsi="宋体" w:cs="宋体"/>
                <w:color w:val="000000" w:themeColor="text1"/>
                <w:sz w:val="21"/>
                <w:szCs w:val="21"/>
                <w:highlight w:val="none"/>
                <w:lang w:val="zh-CN"/>
                <w14:textFill>
                  <w14:solidFill>
                    <w14:schemeClr w14:val="tx1"/>
                  </w14:solidFill>
                </w14:textFill>
              </w:rPr>
              <w:t>规定</w:t>
            </w:r>
            <w:r>
              <w:rPr>
                <w:rFonts w:hint="eastAsia" w:ascii="宋体" w:hAnsi="宋体" w:cs="宋体"/>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3"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p>
        </w:tc>
        <w:tc>
          <w:tcPr>
            <w:tcW w:w="2192" w:type="dxa"/>
            <w:noWrap/>
            <w:vAlign w:val="center"/>
          </w:tcPr>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文件有效期</w:t>
            </w:r>
          </w:p>
        </w:tc>
        <w:tc>
          <w:tcPr>
            <w:tcW w:w="6047"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满足招标文件</w:t>
            </w:r>
            <w:r>
              <w:rPr>
                <w:rFonts w:hint="eastAsia" w:ascii="宋体" w:hAnsi="宋体" w:cs="宋体"/>
                <w:color w:val="000000" w:themeColor="text1"/>
                <w:sz w:val="21"/>
                <w:szCs w:val="21"/>
                <w:highlight w:val="none"/>
                <w:lang w:val="zh-CN"/>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83" w:type="dxa"/>
            <w:vMerge w:val="continue"/>
            <w:tcBorders>
              <w:bottom w:val="single" w:color="auto" w:sz="4" w:space="0"/>
            </w:tcBorders>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tcBorders>
              <w:bottom w:val="single" w:color="auto" w:sz="4" w:space="0"/>
            </w:tcBorders>
            <w:noWrap/>
            <w:vAlign w:val="center"/>
          </w:tcPr>
          <w:p>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p>
        </w:tc>
        <w:tc>
          <w:tcPr>
            <w:tcW w:w="2192" w:type="dxa"/>
            <w:tcBorders>
              <w:bottom w:val="single" w:color="auto" w:sz="4" w:space="0"/>
            </w:tcBorders>
            <w:noWrap/>
            <w:vAlign w:val="center"/>
          </w:tcPr>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w:t>
            </w:r>
          </w:p>
        </w:tc>
        <w:tc>
          <w:tcPr>
            <w:tcW w:w="6047" w:type="dxa"/>
            <w:tcBorders>
              <w:bottom w:val="single" w:color="auto" w:sz="4" w:space="0"/>
            </w:tcBorders>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满足招标文件相关</w:t>
            </w:r>
            <w:r>
              <w:rPr>
                <w:rFonts w:hint="eastAsia" w:ascii="宋体" w:hAnsi="宋体" w:cs="宋体"/>
                <w:color w:val="000000" w:themeColor="text1"/>
                <w:sz w:val="21"/>
                <w:szCs w:val="21"/>
                <w:highlight w:val="none"/>
                <w:lang w:val="zh-CN"/>
                <w14:textFill>
                  <w14:solidFill>
                    <w14:schemeClr w14:val="tx1"/>
                  </w14:solidFill>
                </w14:textFill>
              </w:rPr>
              <w:t>规定。</w:t>
            </w:r>
          </w:p>
        </w:tc>
      </w:tr>
    </w:tbl>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注：资格性审查、符合性审查的评审内容，有一项不通过者，视为未通过资格性审查、符合性审查。未提供资格性审查、符合性审查的投标文件将按照无效投标处理。</w:t>
      </w:r>
    </w:p>
    <w:p>
      <w:pPr>
        <w:spacing w:line="300" w:lineRule="exact"/>
        <w:rPr>
          <w:rFonts w:hint="eastAsia" w:ascii="宋体" w:hAnsi="宋体" w:cs="宋体"/>
          <w:b/>
          <w:bCs/>
          <w:color w:val="000000" w:themeColor="text1"/>
          <w:kern w:val="0"/>
          <w:sz w:val="24"/>
          <w:highlight w:val="none"/>
          <w14:textFill>
            <w14:solidFill>
              <w14:schemeClr w14:val="tx1"/>
            </w14:solidFill>
          </w14:textFill>
        </w:rPr>
      </w:pPr>
    </w:p>
    <w:p>
      <w:pPr>
        <w:spacing w:line="300" w:lineRule="exact"/>
        <w:rPr>
          <w:rFonts w:hint="eastAsia" w:ascii="宋体" w:hAnsi="宋体" w:cs="宋体"/>
          <w:b/>
          <w:bCs/>
          <w:color w:val="000000" w:themeColor="text1"/>
          <w:kern w:val="0"/>
          <w:sz w:val="24"/>
          <w:highlight w:val="none"/>
          <w14:textFill>
            <w14:solidFill>
              <w14:schemeClr w14:val="tx1"/>
            </w14:solidFill>
          </w14:textFill>
        </w:rPr>
      </w:pPr>
    </w:p>
    <w:p>
      <w:pPr>
        <w:spacing w:line="300" w:lineRule="exact"/>
        <w:rPr>
          <w:rFonts w:hint="eastAsia" w:ascii="宋体" w:hAnsi="宋体" w:cs="宋体"/>
          <w:b/>
          <w:bCs/>
          <w:color w:val="000000" w:themeColor="text1"/>
          <w:kern w:val="0"/>
          <w:sz w:val="24"/>
          <w:highlight w:val="none"/>
          <w14:textFill>
            <w14:solidFill>
              <w14:schemeClr w14:val="tx1"/>
            </w14:solidFill>
          </w14:textFill>
        </w:rPr>
      </w:pPr>
    </w:p>
    <w:p>
      <w:pPr>
        <w:spacing w:line="300" w:lineRule="exac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2、评标方法（综合评分法）</w:t>
      </w:r>
    </w:p>
    <w:tbl>
      <w:tblPr>
        <w:tblStyle w:val="57"/>
        <w:tblpPr w:leftFromText="180" w:rightFromText="180" w:vertAnchor="text" w:horzAnchor="page" w:tblpX="638" w:tblpY="525"/>
        <w:tblW w:w="11113" w:type="dxa"/>
        <w:tblInd w:w="0" w:type="dxa"/>
        <w:tblLayout w:type="fixed"/>
        <w:tblCellMar>
          <w:top w:w="0" w:type="dxa"/>
          <w:left w:w="108" w:type="dxa"/>
          <w:bottom w:w="0" w:type="dxa"/>
          <w:right w:w="108" w:type="dxa"/>
        </w:tblCellMar>
      </w:tblPr>
      <w:tblGrid>
        <w:gridCol w:w="478"/>
        <w:gridCol w:w="2021"/>
        <w:gridCol w:w="7996"/>
        <w:gridCol w:w="618"/>
      </w:tblGrid>
      <w:tr>
        <w:tblPrEx>
          <w:tblCellMar>
            <w:top w:w="0" w:type="dxa"/>
            <w:left w:w="108" w:type="dxa"/>
            <w:bottom w:w="0" w:type="dxa"/>
            <w:right w:w="108" w:type="dxa"/>
          </w:tblCellMar>
        </w:tblPrEx>
        <w:trPr>
          <w:trHeight w:val="144" w:hRule="atLeast"/>
        </w:trPr>
        <w:tc>
          <w:tcPr>
            <w:tcW w:w="478" w:type="dxa"/>
            <w:tcBorders>
              <w:top w:val="single" w:color="auto" w:sz="4" w:space="0"/>
              <w:left w:val="single" w:color="auto" w:sz="4" w:space="0"/>
              <w:bottom w:val="single" w:color="auto" w:sz="4" w:space="0"/>
              <w:right w:val="single" w:color="auto"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序号</w:t>
            </w:r>
          </w:p>
        </w:tc>
        <w:tc>
          <w:tcPr>
            <w:tcW w:w="202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评审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指标         </w:t>
            </w:r>
          </w:p>
        </w:tc>
        <w:tc>
          <w:tcPr>
            <w:tcW w:w="7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评分标准</w:t>
            </w:r>
          </w:p>
        </w:tc>
        <w:tc>
          <w:tcPr>
            <w:tcW w:w="61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分值</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范围</w:t>
            </w:r>
          </w:p>
        </w:tc>
      </w:tr>
      <w:tr>
        <w:tblPrEx>
          <w:tblCellMar>
            <w:top w:w="0" w:type="dxa"/>
            <w:left w:w="108" w:type="dxa"/>
            <w:bottom w:w="0" w:type="dxa"/>
            <w:right w:w="108" w:type="dxa"/>
          </w:tblCellMar>
        </w:tblPrEx>
        <w:trPr>
          <w:trHeight w:val="690" w:hRule="atLeast"/>
        </w:trPr>
        <w:tc>
          <w:tcPr>
            <w:tcW w:w="478" w:type="dxa"/>
            <w:tcBorders>
              <w:top w:val="single" w:color="auto" w:sz="4" w:space="0"/>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w:t>
            </w:r>
          </w:p>
        </w:tc>
        <w:tc>
          <w:tcPr>
            <w:tcW w:w="2021"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投标</w:t>
            </w:r>
            <w:r>
              <w:rPr>
                <w:rFonts w:hint="eastAsia" w:ascii="宋体" w:hAnsi="宋体" w:cs="宋体"/>
                <w:color w:val="000000" w:themeColor="text1"/>
                <w:kern w:val="0"/>
                <w:sz w:val="18"/>
                <w:szCs w:val="18"/>
                <w:highlight w:val="none"/>
                <w14:textFill>
                  <w14:solidFill>
                    <w14:schemeClr w14:val="tx1"/>
                  </w14:solidFill>
                </w14:textFill>
              </w:rPr>
              <w:t>报价（</w:t>
            </w:r>
            <w:r>
              <w:rPr>
                <w:rFonts w:hint="eastAsia" w:ascii="宋体" w:hAnsi="宋体" w:cs="宋体"/>
                <w:color w:val="000000" w:themeColor="text1"/>
                <w:kern w:val="0"/>
                <w:sz w:val="18"/>
                <w:szCs w:val="18"/>
                <w:highlight w:val="none"/>
                <w:lang w:val="en-US" w:eastAsia="zh-CN"/>
                <w14:textFill>
                  <w14:solidFill>
                    <w14:schemeClr w14:val="tx1"/>
                  </w14:solidFill>
                </w14:textFill>
              </w:rPr>
              <w:t>30</w:t>
            </w:r>
            <w:r>
              <w:rPr>
                <w:rFonts w:hint="eastAsia" w:ascii="宋体" w:hAnsi="宋体" w:cs="宋体"/>
                <w:color w:val="000000" w:themeColor="text1"/>
                <w:kern w:val="0"/>
                <w:sz w:val="18"/>
                <w:szCs w:val="18"/>
                <w:highlight w:val="none"/>
                <w14:textFill>
                  <w14:solidFill>
                    <w14:schemeClr w14:val="tx1"/>
                  </w14:solidFill>
                </w14:textFill>
              </w:rPr>
              <w:t>分）</w:t>
            </w:r>
          </w:p>
        </w:tc>
        <w:tc>
          <w:tcPr>
            <w:tcW w:w="7996"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满足招标文件要求且投标价格最低的投标报价</w:t>
            </w:r>
            <w:r>
              <w:rPr>
                <w:rFonts w:hint="eastAsia" w:ascii="宋体" w:hAnsi="宋体" w:cs="宋体"/>
                <w:b/>
                <w:bCs/>
                <w:color w:val="000000" w:themeColor="text1"/>
                <w:kern w:val="0"/>
                <w:sz w:val="18"/>
                <w:szCs w:val="18"/>
                <w:highlight w:val="none"/>
                <w:lang w:eastAsia="zh-CN"/>
                <w14:textFill>
                  <w14:solidFill>
                    <w14:schemeClr w14:val="tx1"/>
                  </w14:solidFill>
                </w14:textFill>
              </w:rPr>
              <w:t>【</w:t>
            </w:r>
            <w:r>
              <w:rPr>
                <w:rFonts w:hint="eastAsia" w:ascii="宋体" w:hAnsi="宋体" w:cs="宋体"/>
                <w:b/>
                <w:bCs/>
                <w:color w:val="000000" w:themeColor="text1"/>
                <w:kern w:val="0"/>
                <w:sz w:val="18"/>
                <w:szCs w:val="18"/>
                <w:highlight w:val="none"/>
                <w14:textFill>
                  <w14:solidFill>
                    <w14:schemeClr w14:val="tx1"/>
                  </w14:solidFill>
                </w14:textFill>
              </w:rPr>
              <w:t>投标报价指：分部分项工程费用报价+措施项目费用报价（不含安全文明施工费）+其他项目费报价</w:t>
            </w:r>
            <w:r>
              <w:rPr>
                <w:rFonts w:hint="eastAsia" w:ascii="宋体" w:hAnsi="宋体" w:cs="宋体"/>
                <w:b/>
                <w:bCs/>
                <w:color w:val="000000" w:themeColor="text1"/>
                <w:kern w:val="0"/>
                <w:sz w:val="18"/>
                <w:szCs w:val="18"/>
                <w:highlight w:val="none"/>
                <w:lang w:eastAsia="zh-CN"/>
                <w14:textFill>
                  <w14:solidFill>
                    <w14:schemeClr w14:val="tx1"/>
                  </w14:solidFill>
                </w14:textFill>
              </w:rPr>
              <w:t>（含暂列金额）】</w:t>
            </w:r>
            <w:r>
              <w:rPr>
                <w:rFonts w:hint="eastAsia" w:ascii="宋体" w:hAnsi="宋体" w:cs="宋体"/>
                <w:color w:val="000000" w:themeColor="text1"/>
                <w:kern w:val="0"/>
                <w:sz w:val="18"/>
                <w:szCs w:val="18"/>
                <w:highlight w:val="none"/>
                <w14:textFill>
                  <w14:solidFill>
                    <w14:schemeClr w14:val="tx1"/>
                  </w14:solidFill>
                </w14:textFill>
              </w:rPr>
              <w:t>为评标基准价，其价格分为满分。其他投标人的价格分统一按照下列公式计算：投标报价得分=(评标基准价／投标报价)×</w:t>
            </w:r>
            <w:r>
              <w:rPr>
                <w:rFonts w:hint="eastAsia" w:ascii="宋体" w:hAnsi="宋体" w:cs="宋体"/>
                <w:color w:val="000000" w:themeColor="text1"/>
                <w:kern w:val="0"/>
                <w:sz w:val="18"/>
                <w:szCs w:val="18"/>
                <w:highlight w:val="none"/>
                <w:lang w:val="en-US" w:eastAsia="zh-CN"/>
                <w14:textFill>
                  <w14:solidFill>
                    <w14:schemeClr w14:val="tx1"/>
                  </w14:solidFill>
                </w14:textFill>
              </w:rPr>
              <w:t>30</w:t>
            </w:r>
            <w:r>
              <w:rPr>
                <w:rFonts w:hint="eastAsia" w:ascii="宋体" w:hAnsi="宋体" w:cs="宋体"/>
                <w:color w:val="000000" w:themeColor="text1"/>
                <w:kern w:val="0"/>
                <w:sz w:val="18"/>
                <w:szCs w:val="18"/>
                <w:highlight w:val="none"/>
                <w14:textFill>
                  <w14:solidFill>
                    <w14:schemeClr w14:val="tx1"/>
                  </w14:solidFill>
                </w14:textFill>
              </w:rPr>
              <w:t>%×100</w:t>
            </w:r>
            <w:r>
              <w:rPr>
                <w:rFonts w:hint="eastAsia" w:ascii="宋体" w:hAnsi="宋体" w:cs="宋体"/>
                <w:b/>
                <w:bCs/>
                <w:color w:val="000000" w:themeColor="text1"/>
                <w:kern w:val="0"/>
                <w:sz w:val="18"/>
                <w:szCs w:val="18"/>
                <w:highlight w:val="none"/>
                <w14:textFill>
                  <w14:solidFill>
                    <w14:schemeClr w14:val="tx1"/>
                  </w14:solidFill>
                </w14:textFill>
              </w:rPr>
              <w:t>（说明：</w:t>
            </w:r>
            <w:r>
              <w:rPr>
                <w:rFonts w:hint="eastAsia" w:ascii="宋体" w:hAnsi="宋体" w:eastAsia="宋体" w:cs="宋体"/>
                <w:b/>
                <w:bCs/>
                <w:color w:val="000000" w:themeColor="text1"/>
                <w:kern w:val="0"/>
                <w:sz w:val="18"/>
                <w:szCs w:val="18"/>
                <w:highlight w:val="none"/>
                <w14:textFill>
                  <w14:solidFill>
                    <w14:schemeClr w14:val="tx1"/>
                  </w14:solidFill>
                </w14:textFill>
              </w:rPr>
              <w:t>对小型和微型企业的价格给予</w:t>
            </w:r>
            <w:r>
              <w:rPr>
                <w:rFonts w:hint="eastAsia" w:ascii="宋体" w:hAnsi="宋体" w:cs="宋体"/>
                <w:b/>
                <w:bCs/>
                <w:color w:val="000000" w:themeColor="text1"/>
                <w:kern w:val="0"/>
                <w:sz w:val="18"/>
                <w:szCs w:val="18"/>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18"/>
                <w:szCs w:val="18"/>
                <w:highlight w:val="none"/>
                <w14:textFill>
                  <w14:solidFill>
                    <w14:schemeClr w14:val="tx1"/>
                  </w14:solidFill>
                </w14:textFill>
              </w:rPr>
              <w:t>%的扣除，用扣除后的价格参与评审。）</w:t>
            </w:r>
          </w:p>
        </w:tc>
        <w:tc>
          <w:tcPr>
            <w:tcW w:w="618"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w:t>
            </w:r>
            <w:r>
              <w:rPr>
                <w:rFonts w:hint="eastAsia" w:ascii="宋体" w:hAnsi="宋体" w:cs="宋体"/>
                <w:color w:val="000000" w:themeColor="text1"/>
                <w:kern w:val="0"/>
                <w:sz w:val="18"/>
                <w:szCs w:val="18"/>
                <w:highlight w:val="none"/>
                <w:lang w:val="en-US" w:eastAsia="zh-CN"/>
                <w14:textFill>
                  <w14:solidFill>
                    <w14:schemeClr w14:val="tx1"/>
                  </w14:solidFill>
                </w14:textFill>
              </w:rPr>
              <w:t>30</w:t>
            </w:r>
          </w:p>
        </w:tc>
      </w:tr>
      <w:tr>
        <w:tblPrEx>
          <w:tblCellMar>
            <w:top w:w="0" w:type="dxa"/>
            <w:left w:w="108" w:type="dxa"/>
            <w:bottom w:w="0" w:type="dxa"/>
            <w:right w:w="108" w:type="dxa"/>
          </w:tblCellMar>
        </w:tblPrEx>
        <w:trPr>
          <w:trHeight w:val="1840"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信合联服信用报告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kern w:val="0"/>
                <w:sz w:val="18"/>
                <w:szCs w:val="18"/>
                <w:highlight w:val="none"/>
                <w:lang w:val="en-US" w:eastAsia="zh-CN"/>
                <w14:textFill>
                  <w14:solidFill>
                    <w14:schemeClr w14:val="tx1"/>
                  </w14:solidFill>
                </w14:textFill>
              </w:rPr>
              <w:t>5</w:t>
            </w:r>
            <w:r>
              <w:rPr>
                <w:rFonts w:hint="eastAsia" w:ascii="宋体" w:hAnsi="宋体" w:cs="宋体"/>
                <w:color w:val="000000" w:themeColor="text1"/>
                <w:kern w:val="0"/>
                <w:sz w:val="18"/>
                <w:szCs w:val="18"/>
                <w:highlight w:val="none"/>
                <w14:textFill>
                  <w14:solidFill>
                    <w14:schemeClr w14:val="tx1"/>
                  </w14:solidFill>
                </w14:textFill>
              </w:rPr>
              <w:t>分）</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根据投标人所提供由信合联服（网址</w:t>
            </w:r>
            <w:r>
              <w:rPr>
                <w:rFonts w:hint="eastAsia" w:ascii="宋体" w:hAnsi="宋体" w:cs="宋体"/>
                <w:color w:val="000000" w:themeColor="text1"/>
                <w:sz w:val="18"/>
                <w:szCs w:val="18"/>
                <w:highlight w:val="none"/>
                <w14:textFill>
                  <w14:solidFill>
                    <w14:schemeClr w14:val="tx1"/>
                  </w14:solidFill>
                </w14:textFill>
              </w:rPr>
              <w:drawing>
                <wp:inline distT="0" distB="0" distL="114300" distR="114300">
                  <wp:extent cx="190500" cy="142875"/>
                  <wp:effectExtent l="0" t="0" r="0" b="952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color w:val="000000" w:themeColor="text1"/>
                <w:sz w:val="18"/>
                <w:szCs w:val="18"/>
                <w:highlight w:val="none"/>
                <w14:textFill>
                  <w14:solidFill>
                    <w14:schemeClr w14:val="tx1"/>
                  </w14:solidFill>
                </w14:textFill>
              </w:rPr>
              <w:t>http://www.xhlfzx.com.cn/，克拉玛依市信用办备案认可信用服务机构）出具的信用报告所评定信用等级评分：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1、信用等级为AAA级，得5分；2、信用等级为AA级，得4.5分；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3、信用等级为A级，得4分；4、信用等级为BBB级，得3.5分；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5、信用等级为BB级，得3分；6、信用等级为B级，得2.5分；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7、信用等级为CCC级，得2分；8、信用等级为CC级，得1.5分；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9、信用等级为C级，得1分；10、信用等级为D级，取消其投标资格；</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11、未提供信用报告的，此项不得分。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0-5</w:t>
            </w:r>
          </w:p>
        </w:tc>
      </w:tr>
      <w:tr>
        <w:tblPrEx>
          <w:tblCellMar>
            <w:top w:w="0" w:type="dxa"/>
            <w:left w:w="108" w:type="dxa"/>
            <w:bottom w:w="0" w:type="dxa"/>
            <w:right w:w="108" w:type="dxa"/>
          </w:tblCellMar>
        </w:tblPrEx>
        <w:trPr>
          <w:trHeight w:val="642"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3</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业绩（</w:t>
            </w:r>
            <w:r>
              <w:rPr>
                <w:rFonts w:hint="eastAsia" w:ascii="宋体" w:hAnsi="宋体" w:cs="宋体"/>
                <w:color w:val="000000" w:themeColor="text1"/>
                <w:kern w:val="0"/>
                <w:sz w:val="18"/>
                <w:szCs w:val="18"/>
                <w:highlight w:val="none"/>
                <w:lang w:val="en-US" w:eastAsia="zh-CN"/>
                <w14:textFill>
                  <w14:solidFill>
                    <w14:schemeClr w14:val="tx1"/>
                  </w14:solidFill>
                </w14:textFill>
              </w:rPr>
              <w:t>3分</w:t>
            </w:r>
            <w:r>
              <w:rPr>
                <w:rFonts w:hint="eastAsia" w:ascii="宋体" w:hAnsi="宋体" w:cs="宋体"/>
                <w:color w:val="000000" w:themeColor="text1"/>
                <w:kern w:val="0"/>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企业近三年（</w:t>
            </w:r>
            <w:r>
              <w:rPr>
                <w:rFonts w:hint="eastAsia" w:ascii="宋体" w:hAnsi="宋体" w:cs="宋体"/>
                <w:color w:val="000000" w:themeColor="text1"/>
                <w:sz w:val="18"/>
                <w:szCs w:val="18"/>
                <w:highlight w:val="none"/>
                <w:lang w:val="en-US" w:eastAsia="zh-CN"/>
                <w14:textFill>
                  <w14:solidFill>
                    <w14:schemeClr w14:val="tx1"/>
                  </w14:solidFill>
                </w14:textFill>
              </w:rPr>
              <w:t>2018年1月1日至今</w:t>
            </w:r>
            <w:r>
              <w:rPr>
                <w:rFonts w:hint="eastAsia" w:ascii="宋体" w:hAnsi="宋体" w:cs="宋体"/>
                <w:color w:val="000000" w:themeColor="text1"/>
                <w:sz w:val="18"/>
                <w:szCs w:val="18"/>
                <w:highlight w:val="none"/>
                <w:lang w:eastAsia="zh-CN"/>
                <w14:textFill>
                  <w14:solidFill>
                    <w14:schemeClr w14:val="tx1"/>
                  </w14:solidFill>
                </w14:textFill>
              </w:rPr>
              <w:t>）承担过类似项目业绩，每提供一个业绩得</w:t>
            </w:r>
            <w:r>
              <w:rPr>
                <w:rFonts w:hint="eastAsia" w:ascii="宋体" w:hAnsi="宋体" w:cs="宋体"/>
                <w:color w:val="000000" w:themeColor="text1"/>
                <w:sz w:val="18"/>
                <w:szCs w:val="18"/>
                <w:highlight w:val="none"/>
                <w:lang w:val="en-US" w:eastAsia="zh-CN"/>
                <w14:textFill>
                  <w14:solidFill>
                    <w14:schemeClr w14:val="tx1"/>
                  </w14:solidFill>
                </w14:textFill>
              </w:rPr>
              <w:t>3分，最多得1分（</w:t>
            </w:r>
            <w:r>
              <w:rPr>
                <w:rFonts w:hint="eastAsia" w:ascii="宋体" w:hAnsi="宋体" w:cs="宋体"/>
                <w:color w:val="000000" w:themeColor="text1"/>
                <w:sz w:val="18"/>
                <w:szCs w:val="18"/>
                <w:highlight w:val="none"/>
                <w:lang w:eastAsia="zh-CN"/>
                <w14:textFill>
                  <w14:solidFill>
                    <w14:schemeClr w14:val="tx1"/>
                  </w14:solidFill>
                </w14:textFill>
              </w:rPr>
              <w:t>附中标通知书或合同复印件</w:t>
            </w:r>
            <w:r>
              <w:rPr>
                <w:rFonts w:hint="eastAsia" w:ascii="宋体" w:hAnsi="宋体" w:cs="宋体"/>
                <w:color w:val="000000" w:themeColor="text1"/>
                <w:sz w:val="18"/>
                <w:szCs w:val="18"/>
                <w:highlight w:val="none"/>
                <w:lang w:val="en-US" w:eastAsia="zh-CN"/>
                <w14:textFill>
                  <w14:solidFill>
                    <w14:schemeClr w14:val="tx1"/>
                  </w14:solidFill>
                </w14:textFill>
              </w:rPr>
              <w:t>），未提供业绩证明材料不得分。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355"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施工组织设计（</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施工部署是否全面、主要工序衔接是否合理，关键节点控制措施是否可行</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413"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施工机械设备投入</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主要针对施工机械投入与施工进度计划是否相呼应且能满足工序衔接的要求及施工机械搭配周全是否合理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472"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6</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劳动力安排计划及其保证措施（</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主要针对调配投入计划合理性及劳动力安排计划</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459"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7</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材料(周转材料)投入计划（</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主要针对调配投入计划的合理性,材料组织供应计划及保证措施及是否与施工进度计划相呼应</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470"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8</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管理人员投入（</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主要针对项目管理人员对工程实际配置是否合理，项目管理人员配置是否能够满足该工程管理需要</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528"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9</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施工技术方案（</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主要针对施工技术方案的合理性,施工部署全面性、是否对本项目的针对性强,对工程施工具有较强的指导性</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286"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10</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施工进度计划（</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主要针对工程总进度计划是否合理且留有余地、对施工进度安排是否有切实可行的保证措施</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642"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11</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质量安全文明施工保证措施（</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主要针对是否有具体可行的质量、安全、文明保证措施，具体的违约责任、管理机构及管理制度是否健全、质量检测能力与手段是否完善</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379"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12</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技术难点及相应解决方案（</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主要针对技术难点及相应解决方案、施工重点难点解决的方案</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435" w:hRule="atLeast"/>
        </w:trPr>
        <w:tc>
          <w:tcPr>
            <w:tcW w:w="4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13</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企业使用劳务工工资发放到位的保证措施是否合理（</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企业使用劳务工工资发放到位的保证措施是否合理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137" w:hRule="atLeast"/>
        </w:trPr>
        <w:tc>
          <w:tcPr>
            <w:tcW w:w="4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14</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投标文件编制质量</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kern w:val="0"/>
                <w:sz w:val="18"/>
                <w:szCs w:val="18"/>
                <w:highlight w:val="none"/>
                <w:lang w:val="en-US" w:eastAsia="zh-CN"/>
                <w14:textFill>
                  <w14:solidFill>
                    <w14:schemeClr w14:val="tx1"/>
                  </w14:solidFill>
                </w14:textFill>
              </w:rPr>
              <w:t>2</w:t>
            </w:r>
            <w:r>
              <w:rPr>
                <w:rFonts w:hint="eastAsia" w:ascii="宋体" w:hAnsi="宋体" w:cs="宋体"/>
                <w:color w:val="000000" w:themeColor="text1"/>
                <w:kern w:val="0"/>
                <w:sz w:val="18"/>
                <w:szCs w:val="18"/>
                <w:highlight w:val="none"/>
                <w14:textFill>
                  <w14:solidFill>
                    <w14:schemeClr w14:val="tx1"/>
                  </w14:solidFill>
                </w14:textFill>
              </w:rPr>
              <w:t>分）</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投标人根据招标文件条款和要求认真组织编写投标文件及相关工作。没有细微偏差的得</w:t>
            </w:r>
            <w:r>
              <w:rPr>
                <w:rFonts w:hint="eastAsia" w:ascii="宋体" w:hAnsi="宋体" w:cs="宋体"/>
                <w:color w:val="000000" w:themeColor="text1"/>
                <w:kern w:val="0"/>
                <w:sz w:val="18"/>
                <w:szCs w:val="18"/>
                <w:highlight w:val="none"/>
                <w:lang w:val="en-US" w:eastAsia="zh-CN"/>
                <w14:textFill>
                  <w14:solidFill>
                    <w14:schemeClr w14:val="tx1"/>
                  </w14:solidFill>
                </w14:textFill>
              </w:rPr>
              <w:t>2</w:t>
            </w:r>
            <w:r>
              <w:rPr>
                <w:rFonts w:hint="eastAsia" w:ascii="宋体" w:hAnsi="宋体" w:cs="宋体"/>
                <w:color w:val="000000" w:themeColor="text1"/>
                <w:kern w:val="0"/>
                <w:sz w:val="18"/>
                <w:szCs w:val="18"/>
                <w:highlight w:val="none"/>
                <w14:textFill>
                  <w14:solidFill>
                    <w14:schemeClr w14:val="tx1"/>
                  </w14:solidFill>
                </w14:textFill>
              </w:rPr>
              <w:t>分，有一项偏差的扣0.5分，扣分扣至0分为止。</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w:t>
            </w:r>
            <w:r>
              <w:rPr>
                <w:rFonts w:hint="eastAsia" w:ascii="宋体" w:hAnsi="宋体" w:cs="宋体"/>
                <w:color w:val="000000" w:themeColor="text1"/>
                <w:kern w:val="0"/>
                <w:sz w:val="18"/>
                <w:szCs w:val="18"/>
                <w:highlight w:val="none"/>
                <w:lang w:val="en-US" w:eastAsia="zh-CN"/>
                <w14:textFill>
                  <w14:solidFill>
                    <w14:schemeClr w14:val="tx1"/>
                  </w14:solidFill>
                </w14:textFill>
              </w:rPr>
              <w:t>2</w:t>
            </w:r>
          </w:p>
        </w:tc>
      </w:tr>
      <w:tr>
        <w:tblPrEx>
          <w:tblCellMar>
            <w:top w:w="0" w:type="dxa"/>
            <w:left w:w="108" w:type="dxa"/>
            <w:bottom w:w="0" w:type="dxa"/>
            <w:right w:w="108" w:type="dxa"/>
          </w:tblCellMar>
        </w:tblPrEx>
        <w:trPr>
          <w:trHeight w:val="93" w:hRule="atLeast"/>
        </w:trPr>
        <w:tc>
          <w:tcPr>
            <w:tcW w:w="1049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评审得分合计</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w:t>
            </w:r>
          </w:p>
        </w:tc>
      </w:tr>
      <w:tr>
        <w:tblPrEx>
          <w:tblCellMar>
            <w:top w:w="0" w:type="dxa"/>
            <w:left w:w="108" w:type="dxa"/>
            <w:bottom w:w="0" w:type="dxa"/>
            <w:right w:w="108" w:type="dxa"/>
          </w:tblCellMar>
        </w:tblPrEx>
        <w:trPr>
          <w:trHeight w:val="198" w:hRule="atLeast"/>
        </w:trPr>
        <w:tc>
          <w:tcPr>
            <w:tcW w:w="1049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ind w:firstLine="361" w:firstLineChars="200"/>
              <w:jc w:val="center"/>
              <w:textAlignment w:val="auto"/>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sz w:val="18"/>
                <w:szCs w:val="18"/>
                <w:highlight w:val="none"/>
                <w14:textFill>
                  <w14:solidFill>
                    <w14:schemeClr w14:val="tx1"/>
                  </w14:solidFill>
                </w14:textFill>
              </w:rPr>
              <w:t>注：评分计算结果保留两位小数，第三位小数四舍五入。</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相关说明：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1、关于小微企业：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1.1按&lt;关于印发《政府采购促进中小企业发展暂行办法》的通知&gt;（财库〔</w:t>
      </w:r>
      <w:r>
        <w:rPr>
          <w:rFonts w:hint="eastAsia" w:ascii="黑体" w:hAnsi="黑体" w:eastAsia="黑体" w:cs="黑体"/>
          <w:b/>
          <w:color w:val="000000" w:themeColor="text1"/>
          <w:sz w:val="28"/>
          <w:szCs w:val="28"/>
          <w:highlight w:val="none"/>
          <w:lang w:val="en-US" w:eastAsia="zh-CN"/>
          <w14:textFill>
            <w14:solidFill>
              <w14:schemeClr w14:val="tx1"/>
            </w14:solidFill>
          </w14:textFill>
        </w:rPr>
        <w:t>2020</w:t>
      </w:r>
      <w:r>
        <w:rPr>
          <w:rFonts w:hint="eastAsia" w:ascii="黑体" w:hAnsi="黑体" w:eastAsia="黑体" w:cs="黑体"/>
          <w:b/>
          <w:color w:val="000000" w:themeColor="text1"/>
          <w:sz w:val="28"/>
          <w:szCs w:val="28"/>
          <w:highlight w:val="none"/>
          <w14:textFill>
            <w14:solidFill>
              <w14:schemeClr w14:val="tx1"/>
            </w14:solidFill>
          </w14:textFill>
        </w:rPr>
        <w:t>〕</w:t>
      </w:r>
      <w:r>
        <w:rPr>
          <w:rFonts w:hint="eastAsia" w:ascii="黑体" w:hAnsi="黑体" w:eastAsia="黑体" w:cs="黑体"/>
          <w:b/>
          <w:color w:val="000000" w:themeColor="text1"/>
          <w:sz w:val="28"/>
          <w:szCs w:val="28"/>
          <w:highlight w:val="none"/>
          <w:lang w:val="en-US" w:eastAsia="zh-CN"/>
          <w14:textFill>
            <w14:solidFill>
              <w14:schemeClr w14:val="tx1"/>
            </w14:solidFill>
          </w14:textFill>
        </w:rPr>
        <w:t>46</w:t>
      </w:r>
      <w:r>
        <w:rPr>
          <w:rFonts w:hint="eastAsia" w:ascii="黑体" w:hAnsi="黑体" w:eastAsia="黑体" w:cs="黑体"/>
          <w:b/>
          <w:color w:val="000000" w:themeColor="text1"/>
          <w:sz w:val="28"/>
          <w:szCs w:val="28"/>
          <w:highlight w:val="none"/>
          <w14:textFill>
            <w14:solidFill>
              <w14:schemeClr w14:val="tx1"/>
            </w14:solidFill>
          </w14:textFill>
        </w:rPr>
        <w:t>号）之规定，</w:t>
      </w:r>
      <w:r>
        <w:rPr>
          <w:rFonts w:hint="eastAsia" w:ascii="黑体" w:hAnsi="黑体" w:eastAsia="黑体" w:cs="黑体"/>
          <w:b/>
          <w:color w:val="000000" w:themeColor="text1"/>
          <w:sz w:val="28"/>
          <w:szCs w:val="28"/>
          <w:highlight w:val="none"/>
          <w:lang w:val="en-US" w:eastAsia="zh-CN"/>
          <w14:textFill>
            <w14:solidFill>
              <w14:schemeClr w14:val="tx1"/>
            </w14:solidFill>
          </w14:textFill>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w:t>
      </w:r>
      <w:r>
        <w:rPr>
          <w:rFonts w:hint="eastAsia" w:ascii="黑体" w:hAnsi="黑体" w:eastAsia="黑体" w:cs="黑体"/>
          <w:b/>
          <w:color w:val="000000" w:themeColor="text1"/>
          <w:sz w:val="28"/>
          <w:szCs w:val="28"/>
          <w:highlight w:val="none"/>
          <w:lang w:val="en-US" w:eastAsia="zh-CN"/>
          <w14:textFill>
            <w14:solidFill>
              <w14:schemeClr w14:val="tx1"/>
            </w14:solidFill>
          </w14:textFill>
        </w:rPr>
        <w:t>1.1在政府采购活动中，投标人提供的货物、工程或者服务符合下列情形的，享受本办法规定的中小企业扶持政策：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（一）在货物采购项目中，货物由中小企业制造，即货物由中小企业生产且使用该中小企业商号或者注册商标；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（二）在工程采购项目中，工程由中小企业承建，即工程施工单位为中小企业；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lang w:val="en-US" w:eastAsia="zh-CN"/>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（三）在服务采购项目中，服务由中小企业承接，即提供服务的人员为中小企业依照《中华人民共和国劳动合同法》订立劳动合同的从业人员。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在货物采购项目中，投标人提供的货物既有中小企业制造货物，也有大型企业制造货物的，不享受本办法规定的中小企业扶持政策。 </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以联合体形式参加政府采购活动，联合体各方均为中小企业的，联合体视同中小企业。其中，联合体各方均为小微企业的，联合体视同小微企业。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1.2依照&lt;财政部、司法部关于政府采购支持监狱企业发展有关问题的通知&gt;（财库〔2014〕68号）之规定，监狱企业应当符合以下条件：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1.2. 2监狱企业参加政府采购活动时，视同小型、微型企业，应当提供由省级以上监狱管理局、戒毒管理局（含新疆生产建设兵团）出具的属于监狱企业的证明文件。</w:t>
      </w:r>
    </w:p>
    <w:p>
      <w:pPr>
        <w:spacing w:line="400" w:lineRule="exact"/>
        <w:rPr>
          <w:rFonts w:ascii="仿宋_GB2312" w:eastAsia="仿宋_GB2312"/>
          <w:b/>
          <w:color w:val="000000" w:themeColor="text1"/>
          <w:szCs w:val="21"/>
          <w:highlight w:val="none"/>
          <w14:textFill>
            <w14:solidFill>
              <w14:schemeClr w14:val="tx1"/>
            </w14:solidFill>
          </w14:textFill>
        </w:rPr>
      </w:pPr>
    </w:p>
    <w:sectPr>
      <w:footerReference r:id="rId6" w:type="default"/>
      <w:pgSz w:w="11906" w:h="16838"/>
      <w:pgMar w:top="1134" w:right="1134" w:bottom="1134" w:left="1134" w:header="851" w:footer="992" w:gutter="0"/>
      <w:pgNumType w:start="7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a..DD..">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新魏">
    <w:altName w:val="宋体"/>
    <w:panose1 w:val="0201080004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ngsana New">
    <w:panose1 w:val="02020603050405020304"/>
    <w:charset w:val="DE"/>
    <w:family w:val="roman"/>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矩形 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pPr>
                            <w:pStyle w:val="39"/>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0v9LC0AAAAAMBAAAPAAAAAAAAAAEAIAAAACIAAABkcnMvZG93bnJldi54&#10;bWxQSwECFAAUAAAACACHTuJAG7kDQskBAACYAwAADgAAAAAAAAABACAAAAAfAQAAZHJzL2Uyb0Rv&#10;Yy54bWxQSwUGAAAAAAYABgBZAQAAWgU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12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39"/>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wOFPHUAAAAAgEAAA8AAAAAAAAAAQAg&#10;AAAAIgAAAGRycy9kb3ducmV2LnhtbFBLAQIUABQAAAAIAIdO4kD/2Mjq2QEAAKMDAAAOAAAAAAAA&#10;AAEAIAAAACMBAABkcnMvZTJvRG9jLnhtbFBLBQYAAAAABgAGAFkBAABuBQAAAAA=&#10;">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2277C"/>
    <w:multiLevelType w:val="multilevel"/>
    <w:tmpl w:val="1CF2277C"/>
    <w:lvl w:ilvl="0" w:tentative="0">
      <w:start w:val="1"/>
      <w:numFmt w:val="decimalEnclosedCircle"/>
      <w:lvlText w:val="%1"/>
      <w:lvlJc w:val="left"/>
      <w:pPr>
        <w:ind w:left="842" w:hanging="360"/>
      </w:pPr>
      <w:rPr>
        <w:rFonts w:hint="default" w:hAnsi="宋体"/>
      </w:rPr>
    </w:lvl>
    <w:lvl w:ilvl="1" w:tentative="0">
      <w:start w:val="1"/>
      <w:numFmt w:val="decimal"/>
      <w:lvlText w:val="（%2）"/>
      <w:lvlJc w:val="left"/>
      <w:pPr>
        <w:tabs>
          <w:tab w:val="left" w:pos="1622"/>
        </w:tabs>
        <w:ind w:left="1622" w:hanging="720"/>
      </w:pPr>
      <w:rPr>
        <w:rFonts w:hint="default"/>
        <w:color w:val="auto"/>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3B5B6472"/>
    <w:multiLevelType w:val="multilevel"/>
    <w:tmpl w:val="3B5B6472"/>
    <w:lvl w:ilvl="0" w:tentative="0">
      <w:start w:val="3"/>
      <w:numFmt w:val="decimal"/>
      <w:lvlText w:val="%1"/>
      <w:lvlJc w:val="left"/>
      <w:pPr>
        <w:ind w:left="600" w:hanging="600"/>
      </w:pPr>
      <w:rPr>
        <w:rFonts w:hint="default"/>
      </w:rPr>
    </w:lvl>
    <w:lvl w:ilvl="1" w:tentative="0">
      <w:start w:val="5"/>
      <w:numFmt w:val="decimal"/>
      <w:lvlText w:val="%1.%2"/>
      <w:lvlJc w:val="left"/>
      <w:pPr>
        <w:ind w:left="840" w:hanging="600"/>
      </w:pPr>
      <w:rPr>
        <w:rFonts w:hint="default"/>
      </w:rPr>
    </w:lvl>
    <w:lvl w:ilvl="2" w:tentative="0">
      <w:start w:val="4"/>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2">
    <w:nsid w:val="5EED773B"/>
    <w:multiLevelType w:val="multilevel"/>
    <w:tmpl w:val="5EED773B"/>
    <w:lvl w:ilvl="0" w:tentative="0">
      <w:start w:val="3"/>
      <w:numFmt w:val="decimalEnclosedCircle"/>
      <w:lvlText w:val="%1"/>
      <w:lvlJc w:val="left"/>
      <w:pPr>
        <w:tabs>
          <w:tab w:val="left" w:pos="842"/>
        </w:tabs>
        <w:ind w:left="842" w:hanging="36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formatting="1" w:enforcement="1" w:cryptProviderType="rsaFull" w:cryptAlgorithmClass="hash" w:cryptAlgorithmType="typeAny" w:cryptAlgorithmSid="4" w:cryptSpinCount="0" w:hash="fIs6107IAf5/HeahGiZUYVDk8io=" w:salt="VbVtlGnClSQkHagTfXlTow=="/>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61"/>
    <w:rsid w:val="00002525"/>
    <w:rsid w:val="0000262F"/>
    <w:rsid w:val="000034E8"/>
    <w:rsid w:val="00003660"/>
    <w:rsid w:val="00003DE5"/>
    <w:rsid w:val="000042D0"/>
    <w:rsid w:val="00004FCD"/>
    <w:rsid w:val="000060DE"/>
    <w:rsid w:val="00006A5C"/>
    <w:rsid w:val="00006B79"/>
    <w:rsid w:val="000102F5"/>
    <w:rsid w:val="000113A5"/>
    <w:rsid w:val="00013648"/>
    <w:rsid w:val="00020451"/>
    <w:rsid w:val="00020981"/>
    <w:rsid w:val="00021217"/>
    <w:rsid w:val="000216B7"/>
    <w:rsid w:val="000220E8"/>
    <w:rsid w:val="000228B6"/>
    <w:rsid w:val="000272BA"/>
    <w:rsid w:val="00027C77"/>
    <w:rsid w:val="00030AC6"/>
    <w:rsid w:val="000319D4"/>
    <w:rsid w:val="000326C7"/>
    <w:rsid w:val="00033CF5"/>
    <w:rsid w:val="000345DF"/>
    <w:rsid w:val="00034DC4"/>
    <w:rsid w:val="00035EA9"/>
    <w:rsid w:val="00036722"/>
    <w:rsid w:val="00037F8C"/>
    <w:rsid w:val="00040698"/>
    <w:rsid w:val="00040E70"/>
    <w:rsid w:val="0004120F"/>
    <w:rsid w:val="00050C06"/>
    <w:rsid w:val="000535B5"/>
    <w:rsid w:val="00057DCF"/>
    <w:rsid w:val="000603EF"/>
    <w:rsid w:val="00067701"/>
    <w:rsid w:val="00070133"/>
    <w:rsid w:val="00071648"/>
    <w:rsid w:val="0007185B"/>
    <w:rsid w:val="00071BE9"/>
    <w:rsid w:val="00072290"/>
    <w:rsid w:val="00073ABF"/>
    <w:rsid w:val="00074442"/>
    <w:rsid w:val="0007616C"/>
    <w:rsid w:val="00076890"/>
    <w:rsid w:val="00082D10"/>
    <w:rsid w:val="00087EBA"/>
    <w:rsid w:val="0009267C"/>
    <w:rsid w:val="0009489D"/>
    <w:rsid w:val="000A07FC"/>
    <w:rsid w:val="000A295D"/>
    <w:rsid w:val="000A402D"/>
    <w:rsid w:val="000B082F"/>
    <w:rsid w:val="000B0BD7"/>
    <w:rsid w:val="000B2463"/>
    <w:rsid w:val="000B2DE6"/>
    <w:rsid w:val="000B5574"/>
    <w:rsid w:val="000B5C17"/>
    <w:rsid w:val="000B6BEB"/>
    <w:rsid w:val="000B7050"/>
    <w:rsid w:val="000C06A2"/>
    <w:rsid w:val="000C153B"/>
    <w:rsid w:val="000C6152"/>
    <w:rsid w:val="000C6FB8"/>
    <w:rsid w:val="000D2E74"/>
    <w:rsid w:val="000D5E5E"/>
    <w:rsid w:val="000D778C"/>
    <w:rsid w:val="000E2DCC"/>
    <w:rsid w:val="000E6B38"/>
    <w:rsid w:val="000E72BD"/>
    <w:rsid w:val="000F0D13"/>
    <w:rsid w:val="000F1C67"/>
    <w:rsid w:val="000F2BF1"/>
    <w:rsid w:val="000F46AB"/>
    <w:rsid w:val="001000E4"/>
    <w:rsid w:val="0010149F"/>
    <w:rsid w:val="001028B4"/>
    <w:rsid w:val="00102FDB"/>
    <w:rsid w:val="00103108"/>
    <w:rsid w:val="00103B3F"/>
    <w:rsid w:val="00110F6E"/>
    <w:rsid w:val="00112A68"/>
    <w:rsid w:val="00113A82"/>
    <w:rsid w:val="00114A98"/>
    <w:rsid w:val="001151E1"/>
    <w:rsid w:val="00115212"/>
    <w:rsid w:val="0011570C"/>
    <w:rsid w:val="00115AEE"/>
    <w:rsid w:val="00116415"/>
    <w:rsid w:val="00116C10"/>
    <w:rsid w:val="00121D0F"/>
    <w:rsid w:val="001221DF"/>
    <w:rsid w:val="0012239A"/>
    <w:rsid w:val="001235E7"/>
    <w:rsid w:val="00123DBA"/>
    <w:rsid w:val="00132588"/>
    <w:rsid w:val="00133445"/>
    <w:rsid w:val="00133646"/>
    <w:rsid w:val="0013387F"/>
    <w:rsid w:val="00133FDC"/>
    <w:rsid w:val="0013470C"/>
    <w:rsid w:val="00135A5C"/>
    <w:rsid w:val="00137B3E"/>
    <w:rsid w:val="00143377"/>
    <w:rsid w:val="001473D1"/>
    <w:rsid w:val="001514FF"/>
    <w:rsid w:val="00153701"/>
    <w:rsid w:val="00154E89"/>
    <w:rsid w:val="0015550A"/>
    <w:rsid w:val="00155A57"/>
    <w:rsid w:val="001575A2"/>
    <w:rsid w:val="0015767E"/>
    <w:rsid w:val="00157EEC"/>
    <w:rsid w:val="001611E4"/>
    <w:rsid w:val="00161F68"/>
    <w:rsid w:val="00163081"/>
    <w:rsid w:val="00163B52"/>
    <w:rsid w:val="00163DD8"/>
    <w:rsid w:val="00163F34"/>
    <w:rsid w:val="00164445"/>
    <w:rsid w:val="00164C82"/>
    <w:rsid w:val="00164F48"/>
    <w:rsid w:val="001765A4"/>
    <w:rsid w:val="00176EBF"/>
    <w:rsid w:val="00181429"/>
    <w:rsid w:val="00181957"/>
    <w:rsid w:val="0018380E"/>
    <w:rsid w:val="00197309"/>
    <w:rsid w:val="00197DF7"/>
    <w:rsid w:val="001A0E6B"/>
    <w:rsid w:val="001A1384"/>
    <w:rsid w:val="001A4A17"/>
    <w:rsid w:val="001A4E09"/>
    <w:rsid w:val="001A5149"/>
    <w:rsid w:val="001A6641"/>
    <w:rsid w:val="001A6827"/>
    <w:rsid w:val="001A72F4"/>
    <w:rsid w:val="001A768E"/>
    <w:rsid w:val="001B0206"/>
    <w:rsid w:val="001B07AB"/>
    <w:rsid w:val="001B372B"/>
    <w:rsid w:val="001B3823"/>
    <w:rsid w:val="001B5BEB"/>
    <w:rsid w:val="001B691F"/>
    <w:rsid w:val="001C1DE8"/>
    <w:rsid w:val="001D2310"/>
    <w:rsid w:val="001D6909"/>
    <w:rsid w:val="001D6AA4"/>
    <w:rsid w:val="001E0CAA"/>
    <w:rsid w:val="001E0FE3"/>
    <w:rsid w:val="001E1261"/>
    <w:rsid w:val="001E13FB"/>
    <w:rsid w:val="001E26CD"/>
    <w:rsid w:val="001E2FE3"/>
    <w:rsid w:val="001E65A7"/>
    <w:rsid w:val="001F0B2F"/>
    <w:rsid w:val="001F1398"/>
    <w:rsid w:val="001F1DE5"/>
    <w:rsid w:val="001F2230"/>
    <w:rsid w:val="001F2EBF"/>
    <w:rsid w:val="001F376D"/>
    <w:rsid w:val="001F4D4F"/>
    <w:rsid w:val="001F649C"/>
    <w:rsid w:val="002012F9"/>
    <w:rsid w:val="00201C4D"/>
    <w:rsid w:val="00202CBC"/>
    <w:rsid w:val="00203777"/>
    <w:rsid w:val="00203DBE"/>
    <w:rsid w:val="00203F5A"/>
    <w:rsid w:val="00205DAA"/>
    <w:rsid w:val="00207523"/>
    <w:rsid w:val="00207E29"/>
    <w:rsid w:val="0021045A"/>
    <w:rsid w:val="00212FA6"/>
    <w:rsid w:val="00214A05"/>
    <w:rsid w:val="002178B9"/>
    <w:rsid w:val="00220BB4"/>
    <w:rsid w:val="00220CB1"/>
    <w:rsid w:val="00222A6A"/>
    <w:rsid w:val="00222FA3"/>
    <w:rsid w:val="002250CA"/>
    <w:rsid w:val="00231148"/>
    <w:rsid w:val="002327FC"/>
    <w:rsid w:val="002345B9"/>
    <w:rsid w:val="002407A5"/>
    <w:rsid w:val="00243DB8"/>
    <w:rsid w:val="002452DA"/>
    <w:rsid w:val="00245802"/>
    <w:rsid w:val="002507CD"/>
    <w:rsid w:val="002508B3"/>
    <w:rsid w:val="002515A9"/>
    <w:rsid w:val="00253CFC"/>
    <w:rsid w:val="002552C0"/>
    <w:rsid w:val="0025600A"/>
    <w:rsid w:val="0025727F"/>
    <w:rsid w:val="002609A3"/>
    <w:rsid w:val="00263DBA"/>
    <w:rsid w:val="0026694E"/>
    <w:rsid w:val="00266A59"/>
    <w:rsid w:val="00271082"/>
    <w:rsid w:val="0027243E"/>
    <w:rsid w:val="00276348"/>
    <w:rsid w:val="002777F3"/>
    <w:rsid w:val="00277E42"/>
    <w:rsid w:val="00280AAB"/>
    <w:rsid w:val="00282662"/>
    <w:rsid w:val="002846FD"/>
    <w:rsid w:val="00286D80"/>
    <w:rsid w:val="002874DD"/>
    <w:rsid w:val="00287C36"/>
    <w:rsid w:val="002908ED"/>
    <w:rsid w:val="00292A1F"/>
    <w:rsid w:val="00296BFC"/>
    <w:rsid w:val="002972D2"/>
    <w:rsid w:val="002A35C0"/>
    <w:rsid w:val="002A45D8"/>
    <w:rsid w:val="002B0FA7"/>
    <w:rsid w:val="002B1AEC"/>
    <w:rsid w:val="002B2195"/>
    <w:rsid w:val="002B328B"/>
    <w:rsid w:val="002B3D18"/>
    <w:rsid w:val="002B67EC"/>
    <w:rsid w:val="002C1CB3"/>
    <w:rsid w:val="002C252B"/>
    <w:rsid w:val="002C2B2E"/>
    <w:rsid w:val="002C2E69"/>
    <w:rsid w:val="002C3521"/>
    <w:rsid w:val="002C403D"/>
    <w:rsid w:val="002C4B97"/>
    <w:rsid w:val="002C6E6E"/>
    <w:rsid w:val="002D3951"/>
    <w:rsid w:val="002D5C6D"/>
    <w:rsid w:val="002D760A"/>
    <w:rsid w:val="002D7EC2"/>
    <w:rsid w:val="002E05D1"/>
    <w:rsid w:val="002E13FF"/>
    <w:rsid w:val="002E69CB"/>
    <w:rsid w:val="002F344E"/>
    <w:rsid w:val="002F5114"/>
    <w:rsid w:val="003006F5"/>
    <w:rsid w:val="00300A9F"/>
    <w:rsid w:val="0030126A"/>
    <w:rsid w:val="00301DF6"/>
    <w:rsid w:val="00302CA4"/>
    <w:rsid w:val="00304ED3"/>
    <w:rsid w:val="00304F25"/>
    <w:rsid w:val="003062E8"/>
    <w:rsid w:val="00306FEB"/>
    <w:rsid w:val="00311643"/>
    <w:rsid w:val="00311796"/>
    <w:rsid w:val="00311A9F"/>
    <w:rsid w:val="0031285E"/>
    <w:rsid w:val="00312BB2"/>
    <w:rsid w:val="00313303"/>
    <w:rsid w:val="003136E9"/>
    <w:rsid w:val="00313D5A"/>
    <w:rsid w:val="003141CE"/>
    <w:rsid w:val="00314E54"/>
    <w:rsid w:val="00315719"/>
    <w:rsid w:val="003208C7"/>
    <w:rsid w:val="00320F15"/>
    <w:rsid w:val="00321F37"/>
    <w:rsid w:val="00322E03"/>
    <w:rsid w:val="003247DF"/>
    <w:rsid w:val="00327794"/>
    <w:rsid w:val="0033115E"/>
    <w:rsid w:val="0033395A"/>
    <w:rsid w:val="00334DC8"/>
    <w:rsid w:val="003365D5"/>
    <w:rsid w:val="00340214"/>
    <w:rsid w:val="00341B42"/>
    <w:rsid w:val="00343B48"/>
    <w:rsid w:val="00346785"/>
    <w:rsid w:val="00355A5D"/>
    <w:rsid w:val="00356269"/>
    <w:rsid w:val="003579E7"/>
    <w:rsid w:val="00363ECB"/>
    <w:rsid w:val="00366A5D"/>
    <w:rsid w:val="0037014D"/>
    <w:rsid w:val="00371697"/>
    <w:rsid w:val="003730EC"/>
    <w:rsid w:val="003733CE"/>
    <w:rsid w:val="00374158"/>
    <w:rsid w:val="00377196"/>
    <w:rsid w:val="00377FDA"/>
    <w:rsid w:val="00380949"/>
    <w:rsid w:val="00380A1F"/>
    <w:rsid w:val="00381FDF"/>
    <w:rsid w:val="00387D6B"/>
    <w:rsid w:val="00387EFD"/>
    <w:rsid w:val="00391EE9"/>
    <w:rsid w:val="00394145"/>
    <w:rsid w:val="003A0C65"/>
    <w:rsid w:val="003A38A5"/>
    <w:rsid w:val="003A3ECC"/>
    <w:rsid w:val="003A677D"/>
    <w:rsid w:val="003B334C"/>
    <w:rsid w:val="003C0AEC"/>
    <w:rsid w:val="003C2AF2"/>
    <w:rsid w:val="003C4FED"/>
    <w:rsid w:val="003C5501"/>
    <w:rsid w:val="003C5797"/>
    <w:rsid w:val="003C66DA"/>
    <w:rsid w:val="003C713B"/>
    <w:rsid w:val="003C7C5D"/>
    <w:rsid w:val="003D2E73"/>
    <w:rsid w:val="003D35DA"/>
    <w:rsid w:val="003D76A8"/>
    <w:rsid w:val="003E17C4"/>
    <w:rsid w:val="003E303C"/>
    <w:rsid w:val="003E34A7"/>
    <w:rsid w:val="003E42C8"/>
    <w:rsid w:val="003E575C"/>
    <w:rsid w:val="003E7E27"/>
    <w:rsid w:val="003F6838"/>
    <w:rsid w:val="00403FA9"/>
    <w:rsid w:val="0040477B"/>
    <w:rsid w:val="004078A5"/>
    <w:rsid w:val="00414631"/>
    <w:rsid w:val="00415861"/>
    <w:rsid w:val="00416565"/>
    <w:rsid w:val="00416D4C"/>
    <w:rsid w:val="004203AD"/>
    <w:rsid w:val="00420F1C"/>
    <w:rsid w:val="004218AD"/>
    <w:rsid w:val="00426AF2"/>
    <w:rsid w:val="00426CAE"/>
    <w:rsid w:val="0042709B"/>
    <w:rsid w:val="00427C96"/>
    <w:rsid w:val="00431877"/>
    <w:rsid w:val="0043215A"/>
    <w:rsid w:val="0043289D"/>
    <w:rsid w:val="00436246"/>
    <w:rsid w:val="004373E3"/>
    <w:rsid w:val="004421B8"/>
    <w:rsid w:val="00442FE6"/>
    <w:rsid w:val="00443273"/>
    <w:rsid w:val="004441F0"/>
    <w:rsid w:val="004451E5"/>
    <w:rsid w:val="00445982"/>
    <w:rsid w:val="00446B4F"/>
    <w:rsid w:val="00446D54"/>
    <w:rsid w:val="00451BD3"/>
    <w:rsid w:val="0045242E"/>
    <w:rsid w:val="004528A7"/>
    <w:rsid w:val="00455A68"/>
    <w:rsid w:val="00457EBE"/>
    <w:rsid w:val="004619E4"/>
    <w:rsid w:val="00464E16"/>
    <w:rsid w:val="00464ECC"/>
    <w:rsid w:val="00470803"/>
    <w:rsid w:val="004719BA"/>
    <w:rsid w:val="00472616"/>
    <w:rsid w:val="00472DEC"/>
    <w:rsid w:val="0047433B"/>
    <w:rsid w:val="00475E8C"/>
    <w:rsid w:val="004765E3"/>
    <w:rsid w:val="004811C4"/>
    <w:rsid w:val="004835EE"/>
    <w:rsid w:val="00483659"/>
    <w:rsid w:val="0048561B"/>
    <w:rsid w:val="00485756"/>
    <w:rsid w:val="00485ED5"/>
    <w:rsid w:val="00486508"/>
    <w:rsid w:val="0048713A"/>
    <w:rsid w:val="00491D61"/>
    <w:rsid w:val="00492FA2"/>
    <w:rsid w:val="004A3A67"/>
    <w:rsid w:val="004A41E4"/>
    <w:rsid w:val="004A4965"/>
    <w:rsid w:val="004A5647"/>
    <w:rsid w:val="004A58E9"/>
    <w:rsid w:val="004B2C99"/>
    <w:rsid w:val="004B460F"/>
    <w:rsid w:val="004B4664"/>
    <w:rsid w:val="004B4709"/>
    <w:rsid w:val="004B4F2E"/>
    <w:rsid w:val="004B4F39"/>
    <w:rsid w:val="004B4FF9"/>
    <w:rsid w:val="004B5C25"/>
    <w:rsid w:val="004C04E1"/>
    <w:rsid w:val="004C53F7"/>
    <w:rsid w:val="004C6312"/>
    <w:rsid w:val="004C7C28"/>
    <w:rsid w:val="004D123C"/>
    <w:rsid w:val="004D23F4"/>
    <w:rsid w:val="004D2D35"/>
    <w:rsid w:val="004D346A"/>
    <w:rsid w:val="004D3AD2"/>
    <w:rsid w:val="004D7C1C"/>
    <w:rsid w:val="004D7DA1"/>
    <w:rsid w:val="004E2B56"/>
    <w:rsid w:val="004E424D"/>
    <w:rsid w:val="004E4D39"/>
    <w:rsid w:val="004E5930"/>
    <w:rsid w:val="004E5F55"/>
    <w:rsid w:val="004E746F"/>
    <w:rsid w:val="004E7AD2"/>
    <w:rsid w:val="004F0413"/>
    <w:rsid w:val="004F1CD9"/>
    <w:rsid w:val="004F32F1"/>
    <w:rsid w:val="004F4AF6"/>
    <w:rsid w:val="004F4FF4"/>
    <w:rsid w:val="004F5E68"/>
    <w:rsid w:val="004F7392"/>
    <w:rsid w:val="004F7B2F"/>
    <w:rsid w:val="00500E75"/>
    <w:rsid w:val="00502E7D"/>
    <w:rsid w:val="005076A0"/>
    <w:rsid w:val="005118F5"/>
    <w:rsid w:val="005143A3"/>
    <w:rsid w:val="00516147"/>
    <w:rsid w:val="005163A6"/>
    <w:rsid w:val="00516BD7"/>
    <w:rsid w:val="00520D7F"/>
    <w:rsid w:val="00521BDB"/>
    <w:rsid w:val="0052310A"/>
    <w:rsid w:val="00526815"/>
    <w:rsid w:val="0053110E"/>
    <w:rsid w:val="0053350A"/>
    <w:rsid w:val="00533510"/>
    <w:rsid w:val="0053424B"/>
    <w:rsid w:val="00535F25"/>
    <w:rsid w:val="0053655B"/>
    <w:rsid w:val="00541B8B"/>
    <w:rsid w:val="0054371E"/>
    <w:rsid w:val="00547CCF"/>
    <w:rsid w:val="00555999"/>
    <w:rsid w:val="00556447"/>
    <w:rsid w:val="00556A53"/>
    <w:rsid w:val="00562192"/>
    <w:rsid w:val="005636DF"/>
    <w:rsid w:val="00564D9F"/>
    <w:rsid w:val="0056537E"/>
    <w:rsid w:val="00570127"/>
    <w:rsid w:val="00571EDF"/>
    <w:rsid w:val="00572B1B"/>
    <w:rsid w:val="005735DD"/>
    <w:rsid w:val="00573F48"/>
    <w:rsid w:val="00581988"/>
    <w:rsid w:val="0058202B"/>
    <w:rsid w:val="0058373A"/>
    <w:rsid w:val="00583B07"/>
    <w:rsid w:val="00583C32"/>
    <w:rsid w:val="00583F61"/>
    <w:rsid w:val="00584A04"/>
    <w:rsid w:val="00585013"/>
    <w:rsid w:val="00585B04"/>
    <w:rsid w:val="005864F1"/>
    <w:rsid w:val="00586860"/>
    <w:rsid w:val="00586986"/>
    <w:rsid w:val="005870F8"/>
    <w:rsid w:val="005877EF"/>
    <w:rsid w:val="005901B9"/>
    <w:rsid w:val="00590215"/>
    <w:rsid w:val="0059033F"/>
    <w:rsid w:val="00591006"/>
    <w:rsid w:val="00593B21"/>
    <w:rsid w:val="005958CC"/>
    <w:rsid w:val="005A1062"/>
    <w:rsid w:val="005A136C"/>
    <w:rsid w:val="005A1F6A"/>
    <w:rsid w:val="005A2355"/>
    <w:rsid w:val="005A252A"/>
    <w:rsid w:val="005A2D97"/>
    <w:rsid w:val="005A3EB3"/>
    <w:rsid w:val="005A7E43"/>
    <w:rsid w:val="005B4C90"/>
    <w:rsid w:val="005C17CE"/>
    <w:rsid w:val="005C2ADF"/>
    <w:rsid w:val="005C3BCB"/>
    <w:rsid w:val="005C407E"/>
    <w:rsid w:val="005C5E42"/>
    <w:rsid w:val="005C6574"/>
    <w:rsid w:val="005C657A"/>
    <w:rsid w:val="005C660B"/>
    <w:rsid w:val="005C6B2D"/>
    <w:rsid w:val="005C7074"/>
    <w:rsid w:val="005D0C67"/>
    <w:rsid w:val="005D18C2"/>
    <w:rsid w:val="005D37BC"/>
    <w:rsid w:val="005D429C"/>
    <w:rsid w:val="005D584E"/>
    <w:rsid w:val="005D6BE1"/>
    <w:rsid w:val="005E19C8"/>
    <w:rsid w:val="005E371D"/>
    <w:rsid w:val="005E37BD"/>
    <w:rsid w:val="005E4E34"/>
    <w:rsid w:val="005E7DAF"/>
    <w:rsid w:val="005F2EC4"/>
    <w:rsid w:val="005F4EF4"/>
    <w:rsid w:val="005F63D6"/>
    <w:rsid w:val="005F7F0B"/>
    <w:rsid w:val="00600912"/>
    <w:rsid w:val="00600FDC"/>
    <w:rsid w:val="006021FE"/>
    <w:rsid w:val="00604107"/>
    <w:rsid w:val="00604BCB"/>
    <w:rsid w:val="00607720"/>
    <w:rsid w:val="0061468D"/>
    <w:rsid w:val="00614719"/>
    <w:rsid w:val="00616AA3"/>
    <w:rsid w:val="006170C6"/>
    <w:rsid w:val="006225C8"/>
    <w:rsid w:val="00623281"/>
    <w:rsid w:val="00625152"/>
    <w:rsid w:val="00626E6D"/>
    <w:rsid w:val="00632C21"/>
    <w:rsid w:val="006332CE"/>
    <w:rsid w:val="00634916"/>
    <w:rsid w:val="006423F3"/>
    <w:rsid w:val="00642BC5"/>
    <w:rsid w:val="00642C33"/>
    <w:rsid w:val="0064337A"/>
    <w:rsid w:val="00644DC2"/>
    <w:rsid w:val="00645C9B"/>
    <w:rsid w:val="006542E3"/>
    <w:rsid w:val="00654559"/>
    <w:rsid w:val="00655784"/>
    <w:rsid w:val="0065653B"/>
    <w:rsid w:val="00662AA8"/>
    <w:rsid w:val="0066474C"/>
    <w:rsid w:val="00664EDF"/>
    <w:rsid w:val="00664FB4"/>
    <w:rsid w:val="0067189D"/>
    <w:rsid w:val="00671AD1"/>
    <w:rsid w:val="0067238D"/>
    <w:rsid w:val="006731E4"/>
    <w:rsid w:val="0068120F"/>
    <w:rsid w:val="0068372E"/>
    <w:rsid w:val="00684D4D"/>
    <w:rsid w:val="00684EE7"/>
    <w:rsid w:val="00692A16"/>
    <w:rsid w:val="0069326E"/>
    <w:rsid w:val="006943A9"/>
    <w:rsid w:val="006950BD"/>
    <w:rsid w:val="00696359"/>
    <w:rsid w:val="00696990"/>
    <w:rsid w:val="00697ACF"/>
    <w:rsid w:val="006A178F"/>
    <w:rsid w:val="006A4422"/>
    <w:rsid w:val="006A4876"/>
    <w:rsid w:val="006A5C1A"/>
    <w:rsid w:val="006A6163"/>
    <w:rsid w:val="006A75B2"/>
    <w:rsid w:val="006B0776"/>
    <w:rsid w:val="006B0B2C"/>
    <w:rsid w:val="006B238B"/>
    <w:rsid w:val="006B3CD1"/>
    <w:rsid w:val="006B5753"/>
    <w:rsid w:val="006C24D4"/>
    <w:rsid w:val="006C7279"/>
    <w:rsid w:val="006D27FB"/>
    <w:rsid w:val="006D2A96"/>
    <w:rsid w:val="006D4943"/>
    <w:rsid w:val="006D5191"/>
    <w:rsid w:val="006D5BEE"/>
    <w:rsid w:val="006E14E3"/>
    <w:rsid w:val="006E2CD1"/>
    <w:rsid w:val="006E4572"/>
    <w:rsid w:val="006E579F"/>
    <w:rsid w:val="006E6213"/>
    <w:rsid w:val="006E6C15"/>
    <w:rsid w:val="006E6D7C"/>
    <w:rsid w:val="006E71AB"/>
    <w:rsid w:val="006F0D15"/>
    <w:rsid w:val="006F0E63"/>
    <w:rsid w:val="006F119C"/>
    <w:rsid w:val="006F31A5"/>
    <w:rsid w:val="006F3257"/>
    <w:rsid w:val="006F36EE"/>
    <w:rsid w:val="006F523A"/>
    <w:rsid w:val="00700E7C"/>
    <w:rsid w:val="00702351"/>
    <w:rsid w:val="00703BD4"/>
    <w:rsid w:val="007056F5"/>
    <w:rsid w:val="00706A57"/>
    <w:rsid w:val="0070732A"/>
    <w:rsid w:val="00711F9D"/>
    <w:rsid w:val="00713CC5"/>
    <w:rsid w:val="00714AF9"/>
    <w:rsid w:val="00717139"/>
    <w:rsid w:val="00723803"/>
    <w:rsid w:val="007244DE"/>
    <w:rsid w:val="00727FE8"/>
    <w:rsid w:val="0073151B"/>
    <w:rsid w:val="00731B24"/>
    <w:rsid w:val="00732541"/>
    <w:rsid w:val="0073496B"/>
    <w:rsid w:val="0073506F"/>
    <w:rsid w:val="00735E4A"/>
    <w:rsid w:val="00736828"/>
    <w:rsid w:val="00740D83"/>
    <w:rsid w:val="007414B3"/>
    <w:rsid w:val="007451A4"/>
    <w:rsid w:val="00746BE3"/>
    <w:rsid w:val="007479AB"/>
    <w:rsid w:val="00747E5E"/>
    <w:rsid w:val="007510CC"/>
    <w:rsid w:val="007543E8"/>
    <w:rsid w:val="00756F0E"/>
    <w:rsid w:val="00760FDE"/>
    <w:rsid w:val="00761269"/>
    <w:rsid w:val="007618AE"/>
    <w:rsid w:val="007619C5"/>
    <w:rsid w:val="007631A9"/>
    <w:rsid w:val="00763C0E"/>
    <w:rsid w:val="0076608B"/>
    <w:rsid w:val="007663DF"/>
    <w:rsid w:val="00770E00"/>
    <w:rsid w:val="007745BC"/>
    <w:rsid w:val="00774D74"/>
    <w:rsid w:val="00776E7B"/>
    <w:rsid w:val="00777260"/>
    <w:rsid w:val="00780502"/>
    <w:rsid w:val="00782360"/>
    <w:rsid w:val="00782F60"/>
    <w:rsid w:val="00783844"/>
    <w:rsid w:val="007869C8"/>
    <w:rsid w:val="00787597"/>
    <w:rsid w:val="00790DAA"/>
    <w:rsid w:val="00794E25"/>
    <w:rsid w:val="00795595"/>
    <w:rsid w:val="007958C2"/>
    <w:rsid w:val="00795C6A"/>
    <w:rsid w:val="007977B7"/>
    <w:rsid w:val="00797D3E"/>
    <w:rsid w:val="007A1E24"/>
    <w:rsid w:val="007A246D"/>
    <w:rsid w:val="007A6200"/>
    <w:rsid w:val="007B0808"/>
    <w:rsid w:val="007B1FAA"/>
    <w:rsid w:val="007B30E5"/>
    <w:rsid w:val="007B3C39"/>
    <w:rsid w:val="007B7A56"/>
    <w:rsid w:val="007C2D01"/>
    <w:rsid w:val="007C2D98"/>
    <w:rsid w:val="007C56BA"/>
    <w:rsid w:val="007C6DF5"/>
    <w:rsid w:val="007D3BD5"/>
    <w:rsid w:val="007D3E1A"/>
    <w:rsid w:val="007E06E7"/>
    <w:rsid w:val="007E182F"/>
    <w:rsid w:val="007E20AC"/>
    <w:rsid w:val="007E4DCC"/>
    <w:rsid w:val="007E4EF3"/>
    <w:rsid w:val="007E65FD"/>
    <w:rsid w:val="007E69BA"/>
    <w:rsid w:val="007E6E11"/>
    <w:rsid w:val="007E7CC0"/>
    <w:rsid w:val="007F327F"/>
    <w:rsid w:val="007F3DFE"/>
    <w:rsid w:val="008032FF"/>
    <w:rsid w:val="0080590F"/>
    <w:rsid w:val="008068FE"/>
    <w:rsid w:val="00807294"/>
    <w:rsid w:val="00807969"/>
    <w:rsid w:val="008120F4"/>
    <w:rsid w:val="008142B7"/>
    <w:rsid w:val="00817BBD"/>
    <w:rsid w:val="00822BC9"/>
    <w:rsid w:val="00823227"/>
    <w:rsid w:val="00823A63"/>
    <w:rsid w:val="008245B4"/>
    <w:rsid w:val="008271B7"/>
    <w:rsid w:val="00831459"/>
    <w:rsid w:val="00832479"/>
    <w:rsid w:val="00833E88"/>
    <w:rsid w:val="00835C70"/>
    <w:rsid w:val="00837572"/>
    <w:rsid w:val="008425AE"/>
    <w:rsid w:val="00843475"/>
    <w:rsid w:val="00843F8A"/>
    <w:rsid w:val="00850B9A"/>
    <w:rsid w:val="008523A0"/>
    <w:rsid w:val="00853745"/>
    <w:rsid w:val="008552B8"/>
    <w:rsid w:val="008610F2"/>
    <w:rsid w:val="008632EE"/>
    <w:rsid w:val="008641FA"/>
    <w:rsid w:val="00866071"/>
    <w:rsid w:val="008663B0"/>
    <w:rsid w:val="00866A00"/>
    <w:rsid w:val="00867C6D"/>
    <w:rsid w:val="00872E23"/>
    <w:rsid w:val="00876813"/>
    <w:rsid w:val="00880BA7"/>
    <w:rsid w:val="00882342"/>
    <w:rsid w:val="00883295"/>
    <w:rsid w:val="00883D36"/>
    <w:rsid w:val="008854F3"/>
    <w:rsid w:val="00885D9B"/>
    <w:rsid w:val="00886A1D"/>
    <w:rsid w:val="00886AD0"/>
    <w:rsid w:val="008873F6"/>
    <w:rsid w:val="00892F32"/>
    <w:rsid w:val="00893102"/>
    <w:rsid w:val="0089372A"/>
    <w:rsid w:val="00893941"/>
    <w:rsid w:val="00894099"/>
    <w:rsid w:val="00894BA6"/>
    <w:rsid w:val="008954DC"/>
    <w:rsid w:val="008A1A6F"/>
    <w:rsid w:val="008A1FB8"/>
    <w:rsid w:val="008A35AF"/>
    <w:rsid w:val="008A37C3"/>
    <w:rsid w:val="008A74ED"/>
    <w:rsid w:val="008B1443"/>
    <w:rsid w:val="008B3780"/>
    <w:rsid w:val="008B45F2"/>
    <w:rsid w:val="008B59A5"/>
    <w:rsid w:val="008B6308"/>
    <w:rsid w:val="008C03BF"/>
    <w:rsid w:val="008C082E"/>
    <w:rsid w:val="008C0896"/>
    <w:rsid w:val="008C0AA7"/>
    <w:rsid w:val="008C16BB"/>
    <w:rsid w:val="008C4ECB"/>
    <w:rsid w:val="008C53B1"/>
    <w:rsid w:val="008C62AC"/>
    <w:rsid w:val="008C6D70"/>
    <w:rsid w:val="008C7606"/>
    <w:rsid w:val="008D1846"/>
    <w:rsid w:val="008D3EB0"/>
    <w:rsid w:val="008D7C27"/>
    <w:rsid w:val="008D7ECF"/>
    <w:rsid w:val="008E44E6"/>
    <w:rsid w:val="008E4A61"/>
    <w:rsid w:val="008E7925"/>
    <w:rsid w:val="008F216B"/>
    <w:rsid w:val="008F29B0"/>
    <w:rsid w:val="008F3B42"/>
    <w:rsid w:val="008F547E"/>
    <w:rsid w:val="008F54EA"/>
    <w:rsid w:val="008F6A20"/>
    <w:rsid w:val="0090297A"/>
    <w:rsid w:val="00906D50"/>
    <w:rsid w:val="00910A62"/>
    <w:rsid w:val="0091230C"/>
    <w:rsid w:val="00912A7E"/>
    <w:rsid w:val="00912EF9"/>
    <w:rsid w:val="0091309D"/>
    <w:rsid w:val="009131EE"/>
    <w:rsid w:val="00914501"/>
    <w:rsid w:val="00914E8C"/>
    <w:rsid w:val="00915029"/>
    <w:rsid w:val="00915F38"/>
    <w:rsid w:val="0091606C"/>
    <w:rsid w:val="00916DFD"/>
    <w:rsid w:val="00920183"/>
    <w:rsid w:val="00921468"/>
    <w:rsid w:val="009226F7"/>
    <w:rsid w:val="009230C0"/>
    <w:rsid w:val="00923676"/>
    <w:rsid w:val="00924D64"/>
    <w:rsid w:val="009275B6"/>
    <w:rsid w:val="0093321D"/>
    <w:rsid w:val="00935298"/>
    <w:rsid w:val="0093678D"/>
    <w:rsid w:val="00937319"/>
    <w:rsid w:val="00940201"/>
    <w:rsid w:val="009419F7"/>
    <w:rsid w:val="00942376"/>
    <w:rsid w:val="00944EEF"/>
    <w:rsid w:val="00952189"/>
    <w:rsid w:val="00954C0A"/>
    <w:rsid w:val="0095538D"/>
    <w:rsid w:val="00963D31"/>
    <w:rsid w:val="00965B67"/>
    <w:rsid w:val="00970740"/>
    <w:rsid w:val="00970E4E"/>
    <w:rsid w:val="00972C97"/>
    <w:rsid w:val="00973FD0"/>
    <w:rsid w:val="00974991"/>
    <w:rsid w:val="00974D76"/>
    <w:rsid w:val="00977CC4"/>
    <w:rsid w:val="009822D3"/>
    <w:rsid w:val="00983315"/>
    <w:rsid w:val="00986DA9"/>
    <w:rsid w:val="00991844"/>
    <w:rsid w:val="00991E80"/>
    <w:rsid w:val="00993136"/>
    <w:rsid w:val="009934DA"/>
    <w:rsid w:val="009950E9"/>
    <w:rsid w:val="00995DCA"/>
    <w:rsid w:val="009A01C7"/>
    <w:rsid w:val="009A267B"/>
    <w:rsid w:val="009A2948"/>
    <w:rsid w:val="009A4DF3"/>
    <w:rsid w:val="009A5E72"/>
    <w:rsid w:val="009B0830"/>
    <w:rsid w:val="009B0FAD"/>
    <w:rsid w:val="009B225A"/>
    <w:rsid w:val="009B776F"/>
    <w:rsid w:val="009C0081"/>
    <w:rsid w:val="009C0448"/>
    <w:rsid w:val="009C1691"/>
    <w:rsid w:val="009C286A"/>
    <w:rsid w:val="009C2988"/>
    <w:rsid w:val="009C4B71"/>
    <w:rsid w:val="009C4BB3"/>
    <w:rsid w:val="009D00CD"/>
    <w:rsid w:val="009D265D"/>
    <w:rsid w:val="009D2F30"/>
    <w:rsid w:val="009D67B3"/>
    <w:rsid w:val="009D6F5F"/>
    <w:rsid w:val="009D7466"/>
    <w:rsid w:val="009D7D01"/>
    <w:rsid w:val="009E352C"/>
    <w:rsid w:val="009E5BC4"/>
    <w:rsid w:val="009E5BED"/>
    <w:rsid w:val="009F033B"/>
    <w:rsid w:val="009F12A7"/>
    <w:rsid w:val="009F2D2A"/>
    <w:rsid w:val="00A00381"/>
    <w:rsid w:val="00A0194F"/>
    <w:rsid w:val="00A02919"/>
    <w:rsid w:val="00A02FEF"/>
    <w:rsid w:val="00A04BC5"/>
    <w:rsid w:val="00A05939"/>
    <w:rsid w:val="00A05F0B"/>
    <w:rsid w:val="00A102C9"/>
    <w:rsid w:val="00A11488"/>
    <w:rsid w:val="00A11B31"/>
    <w:rsid w:val="00A14E11"/>
    <w:rsid w:val="00A16125"/>
    <w:rsid w:val="00A2098A"/>
    <w:rsid w:val="00A23F28"/>
    <w:rsid w:val="00A2666A"/>
    <w:rsid w:val="00A2796E"/>
    <w:rsid w:val="00A30DDB"/>
    <w:rsid w:val="00A3181B"/>
    <w:rsid w:val="00A322CB"/>
    <w:rsid w:val="00A3600E"/>
    <w:rsid w:val="00A36B5B"/>
    <w:rsid w:val="00A43EBD"/>
    <w:rsid w:val="00A459EA"/>
    <w:rsid w:val="00A46F4A"/>
    <w:rsid w:val="00A50D37"/>
    <w:rsid w:val="00A519DA"/>
    <w:rsid w:val="00A54E20"/>
    <w:rsid w:val="00A56828"/>
    <w:rsid w:val="00A61836"/>
    <w:rsid w:val="00A61EA2"/>
    <w:rsid w:val="00A623BC"/>
    <w:rsid w:val="00A72350"/>
    <w:rsid w:val="00A7787F"/>
    <w:rsid w:val="00A77FF6"/>
    <w:rsid w:val="00A802B9"/>
    <w:rsid w:val="00A80329"/>
    <w:rsid w:val="00A81ADD"/>
    <w:rsid w:val="00A82B93"/>
    <w:rsid w:val="00A854C5"/>
    <w:rsid w:val="00A90042"/>
    <w:rsid w:val="00A934AE"/>
    <w:rsid w:val="00A94E82"/>
    <w:rsid w:val="00A952F8"/>
    <w:rsid w:val="00A95B0D"/>
    <w:rsid w:val="00A9789E"/>
    <w:rsid w:val="00A978FA"/>
    <w:rsid w:val="00AA22CB"/>
    <w:rsid w:val="00AA363F"/>
    <w:rsid w:val="00AA419F"/>
    <w:rsid w:val="00AA5CBD"/>
    <w:rsid w:val="00AA7997"/>
    <w:rsid w:val="00AB0CDC"/>
    <w:rsid w:val="00AB19CC"/>
    <w:rsid w:val="00AB3212"/>
    <w:rsid w:val="00AB4B0A"/>
    <w:rsid w:val="00AC315D"/>
    <w:rsid w:val="00AC4A37"/>
    <w:rsid w:val="00AC54ED"/>
    <w:rsid w:val="00AC709E"/>
    <w:rsid w:val="00AC79E6"/>
    <w:rsid w:val="00AC7E7A"/>
    <w:rsid w:val="00AD12FB"/>
    <w:rsid w:val="00AD1F68"/>
    <w:rsid w:val="00AD285F"/>
    <w:rsid w:val="00AD4A18"/>
    <w:rsid w:val="00AD4EA6"/>
    <w:rsid w:val="00AD520C"/>
    <w:rsid w:val="00AE2E8B"/>
    <w:rsid w:val="00AE531D"/>
    <w:rsid w:val="00AE56E1"/>
    <w:rsid w:val="00AE5C6F"/>
    <w:rsid w:val="00AF118D"/>
    <w:rsid w:val="00AF1CA5"/>
    <w:rsid w:val="00AF353A"/>
    <w:rsid w:val="00AF5104"/>
    <w:rsid w:val="00AF6499"/>
    <w:rsid w:val="00AF7509"/>
    <w:rsid w:val="00B0104E"/>
    <w:rsid w:val="00B01487"/>
    <w:rsid w:val="00B023CF"/>
    <w:rsid w:val="00B029B0"/>
    <w:rsid w:val="00B0300F"/>
    <w:rsid w:val="00B04C47"/>
    <w:rsid w:val="00B07813"/>
    <w:rsid w:val="00B104E2"/>
    <w:rsid w:val="00B1099B"/>
    <w:rsid w:val="00B118CF"/>
    <w:rsid w:val="00B13C88"/>
    <w:rsid w:val="00B14C80"/>
    <w:rsid w:val="00B172EA"/>
    <w:rsid w:val="00B20416"/>
    <w:rsid w:val="00B21021"/>
    <w:rsid w:val="00B21A59"/>
    <w:rsid w:val="00B21AE8"/>
    <w:rsid w:val="00B21FEE"/>
    <w:rsid w:val="00B220E5"/>
    <w:rsid w:val="00B23D8C"/>
    <w:rsid w:val="00B24581"/>
    <w:rsid w:val="00B24AFF"/>
    <w:rsid w:val="00B2644D"/>
    <w:rsid w:val="00B26A61"/>
    <w:rsid w:val="00B30587"/>
    <w:rsid w:val="00B33D10"/>
    <w:rsid w:val="00B34A9C"/>
    <w:rsid w:val="00B3508D"/>
    <w:rsid w:val="00B367D8"/>
    <w:rsid w:val="00B41D23"/>
    <w:rsid w:val="00B41FA0"/>
    <w:rsid w:val="00B42897"/>
    <w:rsid w:val="00B45EBB"/>
    <w:rsid w:val="00B511A7"/>
    <w:rsid w:val="00B52043"/>
    <w:rsid w:val="00B52D7C"/>
    <w:rsid w:val="00B541EC"/>
    <w:rsid w:val="00B55B8F"/>
    <w:rsid w:val="00B56555"/>
    <w:rsid w:val="00B57E51"/>
    <w:rsid w:val="00B60142"/>
    <w:rsid w:val="00B618D4"/>
    <w:rsid w:val="00B73EF5"/>
    <w:rsid w:val="00B74D6D"/>
    <w:rsid w:val="00B75E6C"/>
    <w:rsid w:val="00B77EA3"/>
    <w:rsid w:val="00B86789"/>
    <w:rsid w:val="00B87C43"/>
    <w:rsid w:val="00B91F53"/>
    <w:rsid w:val="00B93C04"/>
    <w:rsid w:val="00B95735"/>
    <w:rsid w:val="00BA072B"/>
    <w:rsid w:val="00BA6985"/>
    <w:rsid w:val="00BB017D"/>
    <w:rsid w:val="00BB0437"/>
    <w:rsid w:val="00BB5158"/>
    <w:rsid w:val="00BC32ED"/>
    <w:rsid w:val="00BC33E7"/>
    <w:rsid w:val="00BC38F9"/>
    <w:rsid w:val="00BC4910"/>
    <w:rsid w:val="00BD3F11"/>
    <w:rsid w:val="00BD4A9C"/>
    <w:rsid w:val="00BD6FD0"/>
    <w:rsid w:val="00BD7C9E"/>
    <w:rsid w:val="00BD7FC2"/>
    <w:rsid w:val="00BE0F4D"/>
    <w:rsid w:val="00BE1986"/>
    <w:rsid w:val="00BE2BE8"/>
    <w:rsid w:val="00BE3721"/>
    <w:rsid w:val="00BE5C4D"/>
    <w:rsid w:val="00BE7DE1"/>
    <w:rsid w:val="00BF11C5"/>
    <w:rsid w:val="00BF1F8E"/>
    <w:rsid w:val="00BF2041"/>
    <w:rsid w:val="00BF25EE"/>
    <w:rsid w:val="00BF3D1E"/>
    <w:rsid w:val="00BF77EF"/>
    <w:rsid w:val="00C0056A"/>
    <w:rsid w:val="00C00A24"/>
    <w:rsid w:val="00C00FA1"/>
    <w:rsid w:val="00C011A1"/>
    <w:rsid w:val="00C02E39"/>
    <w:rsid w:val="00C03E9B"/>
    <w:rsid w:val="00C13539"/>
    <w:rsid w:val="00C1432E"/>
    <w:rsid w:val="00C14DA3"/>
    <w:rsid w:val="00C14E45"/>
    <w:rsid w:val="00C159DF"/>
    <w:rsid w:val="00C15A07"/>
    <w:rsid w:val="00C16063"/>
    <w:rsid w:val="00C168DD"/>
    <w:rsid w:val="00C17191"/>
    <w:rsid w:val="00C177DD"/>
    <w:rsid w:val="00C17DBC"/>
    <w:rsid w:val="00C20292"/>
    <w:rsid w:val="00C20F1F"/>
    <w:rsid w:val="00C23A70"/>
    <w:rsid w:val="00C249AE"/>
    <w:rsid w:val="00C26F48"/>
    <w:rsid w:val="00C31080"/>
    <w:rsid w:val="00C32056"/>
    <w:rsid w:val="00C323E8"/>
    <w:rsid w:val="00C32936"/>
    <w:rsid w:val="00C3372F"/>
    <w:rsid w:val="00C40665"/>
    <w:rsid w:val="00C40976"/>
    <w:rsid w:val="00C42B4C"/>
    <w:rsid w:val="00C42E97"/>
    <w:rsid w:val="00C4414A"/>
    <w:rsid w:val="00C44362"/>
    <w:rsid w:val="00C44EE4"/>
    <w:rsid w:val="00C457D4"/>
    <w:rsid w:val="00C50E68"/>
    <w:rsid w:val="00C51F51"/>
    <w:rsid w:val="00C52829"/>
    <w:rsid w:val="00C53104"/>
    <w:rsid w:val="00C54757"/>
    <w:rsid w:val="00C56C47"/>
    <w:rsid w:val="00C624C1"/>
    <w:rsid w:val="00C63AF7"/>
    <w:rsid w:val="00C64424"/>
    <w:rsid w:val="00C64DF0"/>
    <w:rsid w:val="00C64DFF"/>
    <w:rsid w:val="00C659FE"/>
    <w:rsid w:val="00C66771"/>
    <w:rsid w:val="00C67F3D"/>
    <w:rsid w:val="00C709D3"/>
    <w:rsid w:val="00C70C22"/>
    <w:rsid w:val="00C7513F"/>
    <w:rsid w:val="00C75CC6"/>
    <w:rsid w:val="00C80079"/>
    <w:rsid w:val="00C810D8"/>
    <w:rsid w:val="00C8162F"/>
    <w:rsid w:val="00C82F9B"/>
    <w:rsid w:val="00C859FF"/>
    <w:rsid w:val="00C86930"/>
    <w:rsid w:val="00C87C6C"/>
    <w:rsid w:val="00C90D2F"/>
    <w:rsid w:val="00C95678"/>
    <w:rsid w:val="00C95867"/>
    <w:rsid w:val="00C95A68"/>
    <w:rsid w:val="00C96E1B"/>
    <w:rsid w:val="00CA2498"/>
    <w:rsid w:val="00CA3BAF"/>
    <w:rsid w:val="00CA6131"/>
    <w:rsid w:val="00CB2CC0"/>
    <w:rsid w:val="00CC0807"/>
    <w:rsid w:val="00CC3C15"/>
    <w:rsid w:val="00CC41B9"/>
    <w:rsid w:val="00CC4A2A"/>
    <w:rsid w:val="00CC550C"/>
    <w:rsid w:val="00CD0EDB"/>
    <w:rsid w:val="00CD240F"/>
    <w:rsid w:val="00CD2765"/>
    <w:rsid w:val="00CD2D74"/>
    <w:rsid w:val="00CD311F"/>
    <w:rsid w:val="00CD6452"/>
    <w:rsid w:val="00CE0E49"/>
    <w:rsid w:val="00CE1C7D"/>
    <w:rsid w:val="00CE200B"/>
    <w:rsid w:val="00CE30D5"/>
    <w:rsid w:val="00CE5DBF"/>
    <w:rsid w:val="00CE71FE"/>
    <w:rsid w:val="00CE7BD2"/>
    <w:rsid w:val="00CF1897"/>
    <w:rsid w:val="00CF28EB"/>
    <w:rsid w:val="00CF7113"/>
    <w:rsid w:val="00D03934"/>
    <w:rsid w:val="00D0603C"/>
    <w:rsid w:val="00D06604"/>
    <w:rsid w:val="00D06C33"/>
    <w:rsid w:val="00D07EEB"/>
    <w:rsid w:val="00D13BD5"/>
    <w:rsid w:val="00D140AE"/>
    <w:rsid w:val="00D153BF"/>
    <w:rsid w:val="00D16CC8"/>
    <w:rsid w:val="00D203F3"/>
    <w:rsid w:val="00D248B2"/>
    <w:rsid w:val="00D24A52"/>
    <w:rsid w:val="00D24EAC"/>
    <w:rsid w:val="00D250C5"/>
    <w:rsid w:val="00D26D7F"/>
    <w:rsid w:val="00D31663"/>
    <w:rsid w:val="00D32744"/>
    <w:rsid w:val="00D351F1"/>
    <w:rsid w:val="00D35F43"/>
    <w:rsid w:val="00D42257"/>
    <w:rsid w:val="00D44213"/>
    <w:rsid w:val="00D44366"/>
    <w:rsid w:val="00D44736"/>
    <w:rsid w:val="00D45D35"/>
    <w:rsid w:val="00D47EF2"/>
    <w:rsid w:val="00D51EFC"/>
    <w:rsid w:val="00D53005"/>
    <w:rsid w:val="00D54D78"/>
    <w:rsid w:val="00D54ED6"/>
    <w:rsid w:val="00D560D4"/>
    <w:rsid w:val="00D61696"/>
    <w:rsid w:val="00D622DC"/>
    <w:rsid w:val="00D62D42"/>
    <w:rsid w:val="00D64283"/>
    <w:rsid w:val="00D65B1A"/>
    <w:rsid w:val="00D67E53"/>
    <w:rsid w:val="00D703CA"/>
    <w:rsid w:val="00D703D0"/>
    <w:rsid w:val="00D71E2F"/>
    <w:rsid w:val="00D72E53"/>
    <w:rsid w:val="00D777B6"/>
    <w:rsid w:val="00D8125A"/>
    <w:rsid w:val="00D8129D"/>
    <w:rsid w:val="00D81FB2"/>
    <w:rsid w:val="00D861BC"/>
    <w:rsid w:val="00D87E09"/>
    <w:rsid w:val="00D90BFB"/>
    <w:rsid w:val="00D90CEB"/>
    <w:rsid w:val="00D91EDA"/>
    <w:rsid w:val="00D93929"/>
    <w:rsid w:val="00D94C93"/>
    <w:rsid w:val="00D97F57"/>
    <w:rsid w:val="00DA1B68"/>
    <w:rsid w:val="00DA463C"/>
    <w:rsid w:val="00DA6F45"/>
    <w:rsid w:val="00DA710A"/>
    <w:rsid w:val="00DB196D"/>
    <w:rsid w:val="00DB3F48"/>
    <w:rsid w:val="00DB458F"/>
    <w:rsid w:val="00DB533B"/>
    <w:rsid w:val="00DB5850"/>
    <w:rsid w:val="00DC3238"/>
    <w:rsid w:val="00DC3450"/>
    <w:rsid w:val="00DC3EEC"/>
    <w:rsid w:val="00DC40C4"/>
    <w:rsid w:val="00DC6723"/>
    <w:rsid w:val="00DC7CD8"/>
    <w:rsid w:val="00DD1191"/>
    <w:rsid w:val="00DD1C2F"/>
    <w:rsid w:val="00DD1EC2"/>
    <w:rsid w:val="00DD44A0"/>
    <w:rsid w:val="00DD53E3"/>
    <w:rsid w:val="00DE0963"/>
    <w:rsid w:val="00DE0F9C"/>
    <w:rsid w:val="00DE292F"/>
    <w:rsid w:val="00DE2FEB"/>
    <w:rsid w:val="00DE3635"/>
    <w:rsid w:val="00DE43AF"/>
    <w:rsid w:val="00DE4553"/>
    <w:rsid w:val="00DE5855"/>
    <w:rsid w:val="00DE620E"/>
    <w:rsid w:val="00DE6BBE"/>
    <w:rsid w:val="00DE7227"/>
    <w:rsid w:val="00DE79EB"/>
    <w:rsid w:val="00DF0E1B"/>
    <w:rsid w:val="00DF257F"/>
    <w:rsid w:val="00DF45A4"/>
    <w:rsid w:val="00E005E6"/>
    <w:rsid w:val="00E00D0C"/>
    <w:rsid w:val="00E0286F"/>
    <w:rsid w:val="00E02ABC"/>
    <w:rsid w:val="00E03675"/>
    <w:rsid w:val="00E037B4"/>
    <w:rsid w:val="00E05CE0"/>
    <w:rsid w:val="00E07DBB"/>
    <w:rsid w:val="00E10CD3"/>
    <w:rsid w:val="00E1134A"/>
    <w:rsid w:val="00E11386"/>
    <w:rsid w:val="00E117D7"/>
    <w:rsid w:val="00E13AFB"/>
    <w:rsid w:val="00E14E2D"/>
    <w:rsid w:val="00E15B55"/>
    <w:rsid w:val="00E200CC"/>
    <w:rsid w:val="00E21526"/>
    <w:rsid w:val="00E23239"/>
    <w:rsid w:val="00E31C11"/>
    <w:rsid w:val="00E40498"/>
    <w:rsid w:val="00E41314"/>
    <w:rsid w:val="00E43ACD"/>
    <w:rsid w:val="00E459B9"/>
    <w:rsid w:val="00E46F8F"/>
    <w:rsid w:val="00E474B9"/>
    <w:rsid w:val="00E4783C"/>
    <w:rsid w:val="00E47A46"/>
    <w:rsid w:val="00E51B23"/>
    <w:rsid w:val="00E5243F"/>
    <w:rsid w:val="00E53BFC"/>
    <w:rsid w:val="00E5519B"/>
    <w:rsid w:val="00E57E47"/>
    <w:rsid w:val="00E6178A"/>
    <w:rsid w:val="00E61CA7"/>
    <w:rsid w:val="00E64F12"/>
    <w:rsid w:val="00E651D4"/>
    <w:rsid w:val="00E65306"/>
    <w:rsid w:val="00E6623C"/>
    <w:rsid w:val="00E762A3"/>
    <w:rsid w:val="00E82067"/>
    <w:rsid w:val="00E83350"/>
    <w:rsid w:val="00E84E0D"/>
    <w:rsid w:val="00E85C78"/>
    <w:rsid w:val="00E85E80"/>
    <w:rsid w:val="00E85EA9"/>
    <w:rsid w:val="00E866F4"/>
    <w:rsid w:val="00E86F63"/>
    <w:rsid w:val="00E87C92"/>
    <w:rsid w:val="00E90293"/>
    <w:rsid w:val="00E90BFD"/>
    <w:rsid w:val="00E910F1"/>
    <w:rsid w:val="00E94624"/>
    <w:rsid w:val="00E96AEF"/>
    <w:rsid w:val="00E9790A"/>
    <w:rsid w:val="00EA0558"/>
    <w:rsid w:val="00EA0DDF"/>
    <w:rsid w:val="00EA11C7"/>
    <w:rsid w:val="00EA23F3"/>
    <w:rsid w:val="00EA2488"/>
    <w:rsid w:val="00EB070C"/>
    <w:rsid w:val="00EB16F5"/>
    <w:rsid w:val="00EC1974"/>
    <w:rsid w:val="00EC4904"/>
    <w:rsid w:val="00EC4E69"/>
    <w:rsid w:val="00EC61A5"/>
    <w:rsid w:val="00EE09BC"/>
    <w:rsid w:val="00EE270A"/>
    <w:rsid w:val="00EE3CDB"/>
    <w:rsid w:val="00EE53A5"/>
    <w:rsid w:val="00EE6946"/>
    <w:rsid w:val="00EE72BD"/>
    <w:rsid w:val="00EE7561"/>
    <w:rsid w:val="00EF08DF"/>
    <w:rsid w:val="00EF0972"/>
    <w:rsid w:val="00EF0AB4"/>
    <w:rsid w:val="00EF150F"/>
    <w:rsid w:val="00EF34D9"/>
    <w:rsid w:val="00EF394C"/>
    <w:rsid w:val="00EF3E51"/>
    <w:rsid w:val="00EF59FF"/>
    <w:rsid w:val="00EF6481"/>
    <w:rsid w:val="00EF66B9"/>
    <w:rsid w:val="00EF6FA6"/>
    <w:rsid w:val="00F05792"/>
    <w:rsid w:val="00F05B22"/>
    <w:rsid w:val="00F060EF"/>
    <w:rsid w:val="00F07AFB"/>
    <w:rsid w:val="00F12911"/>
    <w:rsid w:val="00F14516"/>
    <w:rsid w:val="00F157B0"/>
    <w:rsid w:val="00F17BB7"/>
    <w:rsid w:val="00F200B7"/>
    <w:rsid w:val="00F20FC8"/>
    <w:rsid w:val="00F22D98"/>
    <w:rsid w:val="00F236AB"/>
    <w:rsid w:val="00F23D19"/>
    <w:rsid w:val="00F2509E"/>
    <w:rsid w:val="00F262A3"/>
    <w:rsid w:val="00F33029"/>
    <w:rsid w:val="00F34E2F"/>
    <w:rsid w:val="00F36031"/>
    <w:rsid w:val="00F4072D"/>
    <w:rsid w:val="00F4221B"/>
    <w:rsid w:val="00F4304F"/>
    <w:rsid w:val="00F43B95"/>
    <w:rsid w:val="00F46CBE"/>
    <w:rsid w:val="00F4745E"/>
    <w:rsid w:val="00F51363"/>
    <w:rsid w:val="00F5333D"/>
    <w:rsid w:val="00F53DDE"/>
    <w:rsid w:val="00F5488E"/>
    <w:rsid w:val="00F54E65"/>
    <w:rsid w:val="00F56549"/>
    <w:rsid w:val="00F608BB"/>
    <w:rsid w:val="00F6197E"/>
    <w:rsid w:val="00F65447"/>
    <w:rsid w:val="00F669E7"/>
    <w:rsid w:val="00F67831"/>
    <w:rsid w:val="00F70A27"/>
    <w:rsid w:val="00F732D5"/>
    <w:rsid w:val="00F7347A"/>
    <w:rsid w:val="00F736FD"/>
    <w:rsid w:val="00F75F67"/>
    <w:rsid w:val="00F81001"/>
    <w:rsid w:val="00F85E0E"/>
    <w:rsid w:val="00F863F2"/>
    <w:rsid w:val="00F86D36"/>
    <w:rsid w:val="00F9043F"/>
    <w:rsid w:val="00F916BA"/>
    <w:rsid w:val="00F95010"/>
    <w:rsid w:val="00FA1DAE"/>
    <w:rsid w:val="00FA20A1"/>
    <w:rsid w:val="00FA3D2F"/>
    <w:rsid w:val="00FA6094"/>
    <w:rsid w:val="00FA65AB"/>
    <w:rsid w:val="00FA6BE3"/>
    <w:rsid w:val="00FA70E7"/>
    <w:rsid w:val="00FA72A5"/>
    <w:rsid w:val="00FB28CB"/>
    <w:rsid w:val="00FB2C84"/>
    <w:rsid w:val="00FB5C65"/>
    <w:rsid w:val="00FB6F66"/>
    <w:rsid w:val="00FB7A62"/>
    <w:rsid w:val="00FC1ED2"/>
    <w:rsid w:val="00FC26B5"/>
    <w:rsid w:val="00FC760F"/>
    <w:rsid w:val="00FD144B"/>
    <w:rsid w:val="00FD30B3"/>
    <w:rsid w:val="00FD30FF"/>
    <w:rsid w:val="00FD599B"/>
    <w:rsid w:val="00FD7AFF"/>
    <w:rsid w:val="00FE06E7"/>
    <w:rsid w:val="00FE459E"/>
    <w:rsid w:val="00FE4D4E"/>
    <w:rsid w:val="00FE4F1C"/>
    <w:rsid w:val="00FE5134"/>
    <w:rsid w:val="00FF26E3"/>
    <w:rsid w:val="00FF7935"/>
    <w:rsid w:val="00FF7BCC"/>
    <w:rsid w:val="01020C0E"/>
    <w:rsid w:val="01026BE5"/>
    <w:rsid w:val="01094980"/>
    <w:rsid w:val="010B094E"/>
    <w:rsid w:val="010B44AE"/>
    <w:rsid w:val="010C4F9E"/>
    <w:rsid w:val="01123E90"/>
    <w:rsid w:val="012031E5"/>
    <w:rsid w:val="01256FF6"/>
    <w:rsid w:val="012E3CBF"/>
    <w:rsid w:val="01315E5C"/>
    <w:rsid w:val="01335C29"/>
    <w:rsid w:val="01374094"/>
    <w:rsid w:val="013E1007"/>
    <w:rsid w:val="013F6B32"/>
    <w:rsid w:val="01413570"/>
    <w:rsid w:val="0142371C"/>
    <w:rsid w:val="014C0F8D"/>
    <w:rsid w:val="01543B8E"/>
    <w:rsid w:val="0155611D"/>
    <w:rsid w:val="015E68D6"/>
    <w:rsid w:val="01664BA7"/>
    <w:rsid w:val="01752D51"/>
    <w:rsid w:val="017A1F3E"/>
    <w:rsid w:val="017A651E"/>
    <w:rsid w:val="017F63D5"/>
    <w:rsid w:val="0184597E"/>
    <w:rsid w:val="0186501F"/>
    <w:rsid w:val="01867389"/>
    <w:rsid w:val="018C3C8B"/>
    <w:rsid w:val="01923DF7"/>
    <w:rsid w:val="019B3081"/>
    <w:rsid w:val="01A36E90"/>
    <w:rsid w:val="01A728D6"/>
    <w:rsid w:val="01B219A0"/>
    <w:rsid w:val="01B40EDA"/>
    <w:rsid w:val="01DA162E"/>
    <w:rsid w:val="01DD250A"/>
    <w:rsid w:val="01E13EC7"/>
    <w:rsid w:val="01E75B5C"/>
    <w:rsid w:val="01EA65C8"/>
    <w:rsid w:val="01ED3666"/>
    <w:rsid w:val="01FC64FB"/>
    <w:rsid w:val="020C04D9"/>
    <w:rsid w:val="02117625"/>
    <w:rsid w:val="02117C76"/>
    <w:rsid w:val="022119FA"/>
    <w:rsid w:val="0240266B"/>
    <w:rsid w:val="02424322"/>
    <w:rsid w:val="024E2218"/>
    <w:rsid w:val="024E7885"/>
    <w:rsid w:val="02554323"/>
    <w:rsid w:val="0258007B"/>
    <w:rsid w:val="02596B9B"/>
    <w:rsid w:val="025A0F0C"/>
    <w:rsid w:val="02642712"/>
    <w:rsid w:val="02684ADC"/>
    <w:rsid w:val="026929FF"/>
    <w:rsid w:val="02741132"/>
    <w:rsid w:val="02753A47"/>
    <w:rsid w:val="02765564"/>
    <w:rsid w:val="02780AF0"/>
    <w:rsid w:val="027B31AB"/>
    <w:rsid w:val="028019EA"/>
    <w:rsid w:val="02821E35"/>
    <w:rsid w:val="02841FD6"/>
    <w:rsid w:val="02852B18"/>
    <w:rsid w:val="028929D7"/>
    <w:rsid w:val="02922725"/>
    <w:rsid w:val="02944328"/>
    <w:rsid w:val="029846C6"/>
    <w:rsid w:val="029C0A8D"/>
    <w:rsid w:val="029D5395"/>
    <w:rsid w:val="029E0760"/>
    <w:rsid w:val="02A12848"/>
    <w:rsid w:val="02A45870"/>
    <w:rsid w:val="02A915AC"/>
    <w:rsid w:val="02A97E39"/>
    <w:rsid w:val="02AA5844"/>
    <w:rsid w:val="02AC07AE"/>
    <w:rsid w:val="02B00F36"/>
    <w:rsid w:val="02B2080C"/>
    <w:rsid w:val="02B31233"/>
    <w:rsid w:val="02C73127"/>
    <w:rsid w:val="02CF15B4"/>
    <w:rsid w:val="02D216A3"/>
    <w:rsid w:val="02D76976"/>
    <w:rsid w:val="02DA579B"/>
    <w:rsid w:val="02DB0CD1"/>
    <w:rsid w:val="02E56E19"/>
    <w:rsid w:val="02EC497A"/>
    <w:rsid w:val="02F41AE4"/>
    <w:rsid w:val="0300178C"/>
    <w:rsid w:val="030D37B4"/>
    <w:rsid w:val="030F46AB"/>
    <w:rsid w:val="03162269"/>
    <w:rsid w:val="03195E19"/>
    <w:rsid w:val="031C6EA7"/>
    <w:rsid w:val="032230E7"/>
    <w:rsid w:val="032D34EA"/>
    <w:rsid w:val="032E4E5D"/>
    <w:rsid w:val="03317BB0"/>
    <w:rsid w:val="033D06FF"/>
    <w:rsid w:val="033E169C"/>
    <w:rsid w:val="034304B3"/>
    <w:rsid w:val="0348207E"/>
    <w:rsid w:val="034C1280"/>
    <w:rsid w:val="03693BA0"/>
    <w:rsid w:val="03696B55"/>
    <w:rsid w:val="036C3A77"/>
    <w:rsid w:val="036D0DF1"/>
    <w:rsid w:val="03760E31"/>
    <w:rsid w:val="038E59CF"/>
    <w:rsid w:val="03923E62"/>
    <w:rsid w:val="039675A1"/>
    <w:rsid w:val="03A22F9E"/>
    <w:rsid w:val="03A25846"/>
    <w:rsid w:val="03AB7667"/>
    <w:rsid w:val="03AB7AAA"/>
    <w:rsid w:val="03B0557C"/>
    <w:rsid w:val="03B150BB"/>
    <w:rsid w:val="03BC0233"/>
    <w:rsid w:val="03C1141D"/>
    <w:rsid w:val="03C64AC6"/>
    <w:rsid w:val="03C92471"/>
    <w:rsid w:val="03D52764"/>
    <w:rsid w:val="03E728AA"/>
    <w:rsid w:val="03EA4BA4"/>
    <w:rsid w:val="03EC4730"/>
    <w:rsid w:val="03ED664A"/>
    <w:rsid w:val="03F7231F"/>
    <w:rsid w:val="03FB14E6"/>
    <w:rsid w:val="03FC6836"/>
    <w:rsid w:val="04033C4C"/>
    <w:rsid w:val="04054E11"/>
    <w:rsid w:val="040A123A"/>
    <w:rsid w:val="040E10F8"/>
    <w:rsid w:val="04155375"/>
    <w:rsid w:val="041B5998"/>
    <w:rsid w:val="041E2B0D"/>
    <w:rsid w:val="04215A9D"/>
    <w:rsid w:val="04221DAE"/>
    <w:rsid w:val="04264179"/>
    <w:rsid w:val="042B0CF7"/>
    <w:rsid w:val="042C5365"/>
    <w:rsid w:val="042E67FE"/>
    <w:rsid w:val="043208F6"/>
    <w:rsid w:val="043246F1"/>
    <w:rsid w:val="04345556"/>
    <w:rsid w:val="043574FF"/>
    <w:rsid w:val="043764FF"/>
    <w:rsid w:val="04377CEF"/>
    <w:rsid w:val="043E6ABC"/>
    <w:rsid w:val="04445BE7"/>
    <w:rsid w:val="04467DFA"/>
    <w:rsid w:val="04485B14"/>
    <w:rsid w:val="044B40E0"/>
    <w:rsid w:val="045627EF"/>
    <w:rsid w:val="045A4E62"/>
    <w:rsid w:val="045D1DDD"/>
    <w:rsid w:val="045E65B9"/>
    <w:rsid w:val="04606071"/>
    <w:rsid w:val="04635920"/>
    <w:rsid w:val="046C297B"/>
    <w:rsid w:val="046F14B5"/>
    <w:rsid w:val="04715A59"/>
    <w:rsid w:val="047A5FD3"/>
    <w:rsid w:val="04820542"/>
    <w:rsid w:val="0483554C"/>
    <w:rsid w:val="04880FE2"/>
    <w:rsid w:val="048F6651"/>
    <w:rsid w:val="04935236"/>
    <w:rsid w:val="04976D78"/>
    <w:rsid w:val="049A72A5"/>
    <w:rsid w:val="049B2FB3"/>
    <w:rsid w:val="049E0F81"/>
    <w:rsid w:val="04A20083"/>
    <w:rsid w:val="04A67832"/>
    <w:rsid w:val="04AB6E9E"/>
    <w:rsid w:val="04AE3978"/>
    <w:rsid w:val="04B42AD5"/>
    <w:rsid w:val="04B81B24"/>
    <w:rsid w:val="04BD5452"/>
    <w:rsid w:val="04BE0757"/>
    <w:rsid w:val="04C4684B"/>
    <w:rsid w:val="04C53ADC"/>
    <w:rsid w:val="04D614AC"/>
    <w:rsid w:val="04DB7865"/>
    <w:rsid w:val="04DE1A2F"/>
    <w:rsid w:val="04E0758D"/>
    <w:rsid w:val="04E272FD"/>
    <w:rsid w:val="04E9536D"/>
    <w:rsid w:val="04F54E15"/>
    <w:rsid w:val="04F77239"/>
    <w:rsid w:val="050722F0"/>
    <w:rsid w:val="050A2F73"/>
    <w:rsid w:val="050B3CB8"/>
    <w:rsid w:val="050D5D58"/>
    <w:rsid w:val="05193E9D"/>
    <w:rsid w:val="051B639E"/>
    <w:rsid w:val="051E536B"/>
    <w:rsid w:val="052462E0"/>
    <w:rsid w:val="052630E1"/>
    <w:rsid w:val="053069DB"/>
    <w:rsid w:val="05330036"/>
    <w:rsid w:val="0539426F"/>
    <w:rsid w:val="05400038"/>
    <w:rsid w:val="05401E50"/>
    <w:rsid w:val="05546DC6"/>
    <w:rsid w:val="055B528B"/>
    <w:rsid w:val="05670FDF"/>
    <w:rsid w:val="05674812"/>
    <w:rsid w:val="05697BDD"/>
    <w:rsid w:val="057144B6"/>
    <w:rsid w:val="057659CD"/>
    <w:rsid w:val="057725A4"/>
    <w:rsid w:val="057C4684"/>
    <w:rsid w:val="057E4D94"/>
    <w:rsid w:val="058A3562"/>
    <w:rsid w:val="058C2F88"/>
    <w:rsid w:val="058F44B3"/>
    <w:rsid w:val="059B3140"/>
    <w:rsid w:val="05A62BEE"/>
    <w:rsid w:val="05AC5838"/>
    <w:rsid w:val="05AF2800"/>
    <w:rsid w:val="05B11D69"/>
    <w:rsid w:val="05B5222B"/>
    <w:rsid w:val="05CD5002"/>
    <w:rsid w:val="05D2045C"/>
    <w:rsid w:val="05D23942"/>
    <w:rsid w:val="05DC4B85"/>
    <w:rsid w:val="05EC5E79"/>
    <w:rsid w:val="05F214AD"/>
    <w:rsid w:val="05F369E0"/>
    <w:rsid w:val="05F576F1"/>
    <w:rsid w:val="05F84048"/>
    <w:rsid w:val="05FB1A1D"/>
    <w:rsid w:val="05FB4763"/>
    <w:rsid w:val="060C363E"/>
    <w:rsid w:val="061244FF"/>
    <w:rsid w:val="06152582"/>
    <w:rsid w:val="06152BE0"/>
    <w:rsid w:val="0617544D"/>
    <w:rsid w:val="062055CC"/>
    <w:rsid w:val="06227480"/>
    <w:rsid w:val="063652C9"/>
    <w:rsid w:val="063D4774"/>
    <w:rsid w:val="063D511E"/>
    <w:rsid w:val="064051AF"/>
    <w:rsid w:val="0645130F"/>
    <w:rsid w:val="06495B9C"/>
    <w:rsid w:val="064D6F2A"/>
    <w:rsid w:val="065B37F7"/>
    <w:rsid w:val="065E2CDF"/>
    <w:rsid w:val="066126D8"/>
    <w:rsid w:val="066A7983"/>
    <w:rsid w:val="066E3B5B"/>
    <w:rsid w:val="066F4091"/>
    <w:rsid w:val="06744F0B"/>
    <w:rsid w:val="06765ECC"/>
    <w:rsid w:val="06773814"/>
    <w:rsid w:val="067D32E7"/>
    <w:rsid w:val="067E78B8"/>
    <w:rsid w:val="06841E15"/>
    <w:rsid w:val="06870468"/>
    <w:rsid w:val="06880D1A"/>
    <w:rsid w:val="06915871"/>
    <w:rsid w:val="06B83EB8"/>
    <w:rsid w:val="06BA2743"/>
    <w:rsid w:val="06C919E2"/>
    <w:rsid w:val="06CD662A"/>
    <w:rsid w:val="06D27931"/>
    <w:rsid w:val="06F95EB7"/>
    <w:rsid w:val="06FB7859"/>
    <w:rsid w:val="070B7325"/>
    <w:rsid w:val="070E0A14"/>
    <w:rsid w:val="070F65B7"/>
    <w:rsid w:val="07135894"/>
    <w:rsid w:val="07165E14"/>
    <w:rsid w:val="071F5CB8"/>
    <w:rsid w:val="07210F00"/>
    <w:rsid w:val="0725591D"/>
    <w:rsid w:val="072F5DE7"/>
    <w:rsid w:val="07347E2A"/>
    <w:rsid w:val="073929E1"/>
    <w:rsid w:val="073B616A"/>
    <w:rsid w:val="07445228"/>
    <w:rsid w:val="075531D1"/>
    <w:rsid w:val="07590FFD"/>
    <w:rsid w:val="075A37A4"/>
    <w:rsid w:val="075C4ABB"/>
    <w:rsid w:val="075C73CF"/>
    <w:rsid w:val="075E5A7C"/>
    <w:rsid w:val="0763016B"/>
    <w:rsid w:val="07642198"/>
    <w:rsid w:val="07662C4A"/>
    <w:rsid w:val="076A19CB"/>
    <w:rsid w:val="076B6BC4"/>
    <w:rsid w:val="07704B23"/>
    <w:rsid w:val="07714D95"/>
    <w:rsid w:val="07720AC5"/>
    <w:rsid w:val="0781765F"/>
    <w:rsid w:val="078314E5"/>
    <w:rsid w:val="078866A6"/>
    <w:rsid w:val="079024B1"/>
    <w:rsid w:val="07905F07"/>
    <w:rsid w:val="079074EE"/>
    <w:rsid w:val="079741CE"/>
    <w:rsid w:val="079B1429"/>
    <w:rsid w:val="07A226FC"/>
    <w:rsid w:val="07A5357C"/>
    <w:rsid w:val="07A73BDF"/>
    <w:rsid w:val="07BD1E9A"/>
    <w:rsid w:val="07BE5114"/>
    <w:rsid w:val="07C13547"/>
    <w:rsid w:val="07C35B86"/>
    <w:rsid w:val="07D85205"/>
    <w:rsid w:val="07D96E2E"/>
    <w:rsid w:val="07E35100"/>
    <w:rsid w:val="07E95875"/>
    <w:rsid w:val="07EC5CC2"/>
    <w:rsid w:val="07EE1D3D"/>
    <w:rsid w:val="07EF2AA8"/>
    <w:rsid w:val="07F12F62"/>
    <w:rsid w:val="07FF6DD7"/>
    <w:rsid w:val="07FF72B0"/>
    <w:rsid w:val="080C1998"/>
    <w:rsid w:val="081A772A"/>
    <w:rsid w:val="081C5042"/>
    <w:rsid w:val="081C5108"/>
    <w:rsid w:val="08201382"/>
    <w:rsid w:val="08227DB1"/>
    <w:rsid w:val="08240BDC"/>
    <w:rsid w:val="082515DF"/>
    <w:rsid w:val="08264DB2"/>
    <w:rsid w:val="082C388F"/>
    <w:rsid w:val="082D2FF0"/>
    <w:rsid w:val="083133C9"/>
    <w:rsid w:val="083A3240"/>
    <w:rsid w:val="08424F0D"/>
    <w:rsid w:val="08473081"/>
    <w:rsid w:val="08557604"/>
    <w:rsid w:val="086A32A8"/>
    <w:rsid w:val="086D2AA0"/>
    <w:rsid w:val="08742405"/>
    <w:rsid w:val="08765A6D"/>
    <w:rsid w:val="087A4B2B"/>
    <w:rsid w:val="087D3F16"/>
    <w:rsid w:val="087E15EB"/>
    <w:rsid w:val="087E53F0"/>
    <w:rsid w:val="08847771"/>
    <w:rsid w:val="0886295E"/>
    <w:rsid w:val="0889281E"/>
    <w:rsid w:val="08961C7C"/>
    <w:rsid w:val="089632E0"/>
    <w:rsid w:val="08963464"/>
    <w:rsid w:val="08972F54"/>
    <w:rsid w:val="089F427A"/>
    <w:rsid w:val="08A049AA"/>
    <w:rsid w:val="08A07814"/>
    <w:rsid w:val="08A108EB"/>
    <w:rsid w:val="08AA55B3"/>
    <w:rsid w:val="08AD0B26"/>
    <w:rsid w:val="08B71D4D"/>
    <w:rsid w:val="08B9051D"/>
    <w:rsid w:val="08BF180E"/>
    <w:rsid w:val="08C403D6"/>
    <w:rsid w:val="08C519FE"/>
    <w:rsid w:val="08CD4BF0"/>
    <w:rsid w:val="08DC0611"/>
    <w:rsid w:val="08DC5765"/>
    <w:rsid w:val="08DF0236"/>
    <w:rsid w:val="08E141AC"/>
    <w:rsid w:val="08EE2A41"/>
    <w:rsid w:val="08EF7014"/>
    <w:rsid w:val="08F17241"/>
    <w:rsid w:val="08F77472"/>
    <w:rsid w:val="09021537"/>
    <w:rsid w:val="090B71AD"/>
    <w:rsid w:val="090C215C"/>
    <w:rsid w:val="09112417"/>
    <w:rsid w:val="09145A85"/>
    <w:rsid w:val="09162E3E"/>
    <w:rsid w:val="091A69D1"/>
    <w:rsid w:val="091A7241"/>
    <w:rsid w:val="091F1B26"/>
    <w:rsid w:val="091F3897"/>
    <w:rsid w:val="09201FCC"/>
    <w:rsid w:val="09357494"/>
    <w:rsid w:val="09383D53"/>
    <w:rsid w:val="093F47C2"/>
    <w:rsid w:val="09465FFE"/>
    <w:rsid w:val="094C2617"/>
    <w:rsid w:val="094E30C3"/>
    <w:rsid w:val="094F2E2D"/>
    <w:rsid w:val="095255EA"/>
    <w:rsid w:val="095557D8"/>
    <w:rsid w:val="095D7FA2"/>
    <w:rsid w:val="09601534"/>
    <w:rsid w:val="09656B8A"/>
    <w:rsid w:val="096F5659"/>
    <w:rsid w:val="09716FB7"/>
    <w:rsid w:val="09725C26"/>
    <w:rsid w:val="0975766F"/>
    <w:rsid w:val="097C74D3"/>
    <w:rsid w:val="09802DC4"/>
    <w:rsid w:val="09822470"/>
    <w:rsid w:val="09855B98"/>
    <w:rsid w:val="09857D5C"/>
    <w:rsid w:val="098E0C5F"/>
    <w:rsid w:val="09915997"/>
    <w:rsid w:val="09972589"/>
    <w:rsid w:val="099E1FE5"/>
    <w:rsid w:val="09A879BA"/>
    <w:rsid w:val="09AC453A"/>
    <w:rsid w:val="09B100D4"/>
    <w:rsid w:val="09B11572"/>
    <w:rsid w:val="09B32CE3"/>
    <w:rsid w:val="09B337FB"/>
    <w:rsid w:val="09B430BC"/>
    <w:rsid w:val="09B81388"/>
    <w:rsid w:val="09BA2A07"/>
    <w:rsid w:val="09BC7128"/>
    <w:rsid w:val="09BE05E5"/>
    <w:rsid w:val="09C55C00"/>
    <w:rsid w:val="09CA14BF"/>
    <w:rsid w:val="09CD4762"/>
    <w:rsid w:val="09D22B16"/>
    <w:rsid w:val="09D26FED"/>
    <w:rsid w:val="09D716F6"/>
    <w:rsid w:val="09DF7B4F"/>
    <w:rsid w:val="09EB43E8"/>
    <w:rsid w:val="09EC1535"/>
    <w:rsid w:val="09ED2CE6"/>
    <w:rsid w:val="09F26A85"/>
    <w:rsid w:val="09F33C67"/>
    <w:rsid w:val="09F51E52"/>
    <w:rsid w:val="09F55EB0"/>
    <w:rsid w:val="09F65A8D"/>
    <w:rsid w:val="09FC0DF7"/>
    <w:rsid w:val="09FF2321"/>
    <w:rsid w:val="0A0A232E"/>
    <w:rsid w:val="0A12018D"/>
    <w:rsid w:val="0A136112"/>
    <w:rsid w:val="0A171B56"/>
    <w:rsid w:val="0A195F44"/>
    <w:rsid w:val="0A1A127C"/>
    <w:rsid w:val="0A1A72AB"/>
    <w:rsid w:val="0A213C45"/>
    <w:rsid w:val="0A291AB4"/>
    <w:rsid w:val="0A2B0A95"/>
    <w:rsid w:val="0A2E0D31"/>
    <w:rsid w:val="0A3844EB"/>
    <w:rsid w:val="0A3F0BAA"/>
    <w:rsid w:val="0A3F3418"/>
    <w:rsid w:val="0A41152C"/>
    <w:rsid w:val="0A4D33CC"/>
    <w:rsid w:val="0A4E24EB"/>
    <w:rsid w:val="0A5015C0"/>
    <w:rsid w:val="0A5A6246"/>
    <w:rsid w:val="0A5C7034"/>
    <w:rsid w:val="0A5E552E"/>
    <w:rsid w:val="0A642C4E"/>
    <w:rsid w:val="0A681C77"/>
    <w:rsid w:val="0A6D3A51"/>
    <w:rsid w:val="0A7667F8"/>
    <w:rsid w:val="0A7B1A81"/>
    <w:rsid w:val="0A7C3F14"/>
    <w:rsid w:val="0A7C4B3A"/>
    <w:rsid w:val="0A7C6E67"/>
    <w:rsid w:val="0A7F3849"/>
    <w:rsid w:val="0A7F4E1A"/>
    <w:rsid w:val="0A864007"/>
    <w:rsid w:val="0A8835CA"/>
    <w:rsid w:val="0A8918CF"/>
    <w:rsid w:val="0A8A5454"/>
    <w:rsid w:val="0A98196C"/>
    <w:rsid w:val="0A9D7B18"/>
    <w:rsid w:val="0AB0147D"/>
    <w:rsid w:val="0AB17854"/>
    <w:rsid w:val="0AB45E1D"/>
    <w:rsid w:val="0AB716C1"/>
    <w:rsid w:val="0ABE74F8"/>
    <w:rsid w:val="0AC91E78"/>
    <w:rsid w:val="0AD36030"/>
    <w:rsid w:val="0AD82DCC"/>
    <w:rsid w:val="0AD944FB"/>
    <w:rsid w:val="0ADA4704"/>
    <w:rsid w:val="0ADF2F76"/>
    <w:rsid w:val="0ADF5B83"/>
    <w:rsid w:val="0AEA6119"/>
    <w:rsid w:val="0AEA66C6"/>
    <w:rsid w:val="0AEB33A4"/>
    <w:rsid w:val="0AF0666D"/>
    <w:rsid w:val="0AF7161C"/>
    <w:rsid w:val="0AFB6DC4"/>
    <w:rsid w:val="0AFC139B"/>
    <w:rsid w:val="0B0530CE"/>
    <w:rsid w:val="0B080BFA"/>
    <w:rsid w:val="0B0C21FE"/>
    <w:rsid w:val="0B106E36"/>
    <w:rsid w:val="0B111681"/>
    <w:rsid w:val="0B1D1FED"/>
    <w:rsid w:val="0B1D5169"/>
    <w:rsid w:val="0B2C3FFC"/>
    <w:rsid w:val="0B2F43C1"/>
    <w:rsid w:val="0B3319E5"/>
    <w:rsid w:val="0B46000A"/>
    <w:rsid w:val="0B485ABB"/>
    <w:rsid w:val="0B493CC1"/>
    <w:rsid w:val="0B54614B"/>
    <w:rsid w:val="0B576CE6"/>
    <w:rsid w:val="0B5908F0"/>
    <w:rsid w:val="0B5915E4"/>
    <w:rsid w:val="0B5A3920"/>
    <w:rsid w:val="0B5C1273"/>
    <w:rsid w:val="0B5F779C"/>
    <w:rsid w:val="0B6B5C84"/>
    <w:rsid w:val="0B6D7A5C"/>
    <w:rsid w:val="0B803A9F"/>
    <w:rsid w:val="0B8767DF"/>
    <w:rsid w:val="0B880167"/>
    <w:rsid w:val="0B9152AD"/>
    <w:rsid w:val="0B934F25"/>
    <w:rsid w:val="0BA25877"/>
    <w:rsid w:val="0BA52CC8"/>
    <w:rsid w:val="0BAE2E65"/>
    <w:rsid w:val="0BB175F8"/>
    <w:rsid w:val="0BB42A98"/>
    <w:rsid w:val="0BB93DD6"/>
    <w:rsid w:val="0BBA23F8"/>
    <w:rsid w:val="0BBF62E0"/>
    <w:rsid w:val="0BCA5E39"/>
    <w:rsid w:val="0BD23993"/>
    <w:rsid w:val="0BDB2ECD"/>
    <w:rsid w:val="0BE120E4"/>
    <w:rsid w:val="0BE203D8"/>
    <w:rsid w:val="0BED00BE"/>
    <w:rsid w:val="0BEF72B5"/>
    <w:rsid w:val="0BF00DB9"/>
    <w:rsid w:val="0BF06DC8"/>
    <w:rsid w:val="0BF42F22"/>
    <w:rsid w:val="0BF560A1"/>
    <w:rsid w:val="0BFC7550"/>
    <w:rsid w:val="0BFD0CEA"/>
    <w:rsid w:val="0C004E08"/>
    <w:rsid w:val="0C0347C6"/>
    <w:rsid w:val="0C1252B8"/>
    <w:rsid w:val="0C13546F"/>
    <w:rsid w:val="0C1A263B"/>
    <w:rsid w:val="0C25261E"/>
    <w:rsid w:val="0C351258"/>
    <w:rsid w:val="0C3B0B20"/>
    <w:rsid w:val="0C456F05"/>
    <w:rsid w:val="0C491C97"/>
    <w:rsid w:val="0C4B4CA5"/>
    <w:rsid w:val="0C4D5ABB"/>
    <w:rsid w:val="0C54071C"/>
    <w:rsid w:val="0C574E5C"/>
    <w:rsid w:val="0C5B610C"/>
    <w:rsid w:val="0C5D15DD"/>
    <w:rsid w:val="0C5F7ECC"/>
    <w:rsid w:val="0C61219C"/>
    <w:rsid w:val="0C6E6B7E"/>
    <w:rsid w:val="0C7149B7"/>
    <w:rsid w:val="0C725493"/>
    <w:rsid w:val="0C756BE5"/>
    <w:rsid w:val="0C774CE7"/>
    <w:rsid w:val="0C7B4279"/>
    <w:rsid w:val="0C7C495F"/>
    <w:rsid w:val="0C834D41"/>
    <w:rsid w:val="0C8750D4"/>
    <w:rsid w:val="0C8C4E57"/>
    <w:rsid w:val="0C9329A9"/>
    <w:rsid w:val="0C94372D"/>
    <w:rsid w:val="0C9D6727"/>
    <w:rsid w:val="0CA23D2E"/>
    <w:rsid w:val="0CAC7FC3"/>
    <w:rsid w:val="0CAD25CA"/>
    <w:rsid w:val="0CB1014F"/>
    <w:rsid w:val="0CB22A03"/>
    <w:rsid w:val="0CB7322C"/>
    <w:rsid w:val="0CBF0FC2"/>
    <w:rsid w:val="0CC021F8"/>
    <w:rsid w:val="0CC76AA1"/>
    <w:rsid w:val="0CD448AA"/>
    <w:rsid w:val="0CD7152C"/>
    <w:rsid w:val="0CDE4DB6"/>
    <w:rsid w:val="0CE617C6"/>
    <w:rsid w:val="0CE83127"/>
    <w:rsid w:val="0CF05C95"/>
    <w:rsid w:val="0CF0602C"/>
    <w:rsid w:val="0CF07A21"/>
    <w:rsid w:val="0CF3194A"/>
    <w:rsid w:val="0CF400AE"/>
    <w:rsid w:val="0CFD42F6"/>
    <w:rsid w:val="0D0357FD"/>
    <w:rsid w:val="0D0479CE"/>
    <w:rsid w:val="0D055E72"/>
    <w:rsid w:val="0D092A82"/>
    <w:rsid w:val="0D0B5FCB"/>
    <w:rsid w:val="0D0F69E0"/>
    <w:rsid w:val="0D117D19"/>
    <w:rsid w:val="0D1459B6"/>
    <w:rsid w:val="0D164E06"/>
    <w:rsid w:val="0D187236"/>
    <w:rsid w:val="0D1D1585"/>
    <w:rsid w:val="0D206EBE"/>
    <w:rsid w:val="0D2A054E"/>
    <w:rsid w:val="0D2F4CEE"/>
    <w:rsid w:val="0D3421EA"/>
    <w:rsid w:val="0D3607D1"/>
    <w:rsid w:val="0D37771C"/>
    <w:rsid w:val="0D3A599E"/>
    <w:rsid w:val="0D4760ED"/>
    <w:rsid w:val="0D496C1A"/>
    <w:rsid w:val="0D524C04"/>
    <w:rsid w:val="0D55018F"/>
    <w:rsid w:val="0D5A6787"/>
    <w:rsid w:val="0D617EE4"/>
    <w:rsid w:val="0D626750"/>
    <w:rsid w:val="0D677473"/>
    <w:rsid w:val="0D6B4430"/>
    <w:rsid w:val="0D731D24"/>
    <w:rsid w:val="0D737D94"/>
    <w:rsid w:val="0D766078"/>
    <w:rsid w:val="0D7B6AEB"/>
    <w:rsid w:val="0D92609D"/>
    <w:rsid w:val="0D941999"/>
    <w:rsid w:val="0D97788C"/>
    <w:rsid w:val="0D98262C"/>
    <w:rsid w:val="0D9C14DE"/>
    <w:rsid w:val="0DA156AD"/>
    <w:rsid w:val="0DAA69AC"/>
    <w:rsid w:val="0DB51D20"/>
    <w:rsid w:val="0DB77621"/>
    <w:rsid w:val="0DBB05F2"/>
    <w:rsid w:val="0DBE6E6C"/>
    <w:rsid w:val="0DC7763F"/>
    <w:rsid w:val="0DC81A32"/>
    <w:rsid w:val="0DD173B5"/>
    <w:rsid w:val="0DD25688"/>
    <w:rsid w:val="0DD70E2A"/>
    <w:rsid w:val="0DD76452"/>
    <w:rsid w:val="0DDD6667"/>
    <w:rsid w:val="0DDE42CC"/>
    <w:rsid w:val="0DDF0BBD"/>
    <w:rsid w:val="0DE74444"/>
    <w:rsid w:val="0DEF4E3A"/>
    <w:rsid w:val="0DF3318A"/>
    <w:rsid w:val="0DF358A2"/>
    <w:rsid w:val="0DF71D97"/>
    <w:rsid w:val="0DF81EF2"/>
    <w:rsid w:val="0DF92A65"/>
    <w:rsid w:val="0DFC18D3"/>
    <w:rsid w:val="0E061020"/>
    <w:rsid w:val="0E09187C"/>
    <w:rsid w:val="0E127AF3"/>
    <w:rsid w:val="0E1B73A6"/>
    <w:rsid w:val="0E1C5D3B"/>
    <w:rsid w:val="0E2A248B"/>
    <w:rsid w:val="0E32731C"/>
    <w:rsid w:val="0E450FDD"/>
    <w:rsid w:val="0E4752A3"/>
    <w:rsid w:val="0E4E0138"/>
    <w:rsid w:val="0E4E59FB"/>
    <w:rsid w:val="0E50148D"/>
    <w:rsid w:val="0E591509"/>
    <w:rsid w:val="0E5D1FE4"/>
    <w:rsid w:val="0E6242D6"/>
    <w:rsid w:val="0E6374D0"/>
    <w:rsid w:val="0E654CA2"/>
    <w:rsid w:val="0E6D1F11"/>
    <w:rsid w:val="0E724FAF"/>
    <w:rsid w:val="0E763E5C"/>
    <w:rsid w:val="0E7F0BAE"/>
    <w:rsid w:val="0E7F34BF"/>
    <w:rsid w:val="0E853552"/>
    <w:rsid w:val="0E923C5C"/>
    <w:rsid w:val="0E9306B0"/>
    <w:rsid w:val="0EA41055"/>
    <w:rsid w:val="0EB04559"/>
    <w:rsid w:val="0EB57D69"/>
    <w:rsid w:val="0EBE3801"/>
    <w:rsid w:val="0EC44CEE"/>
    <w:rsid w:val="0EC451B5"/>
    <w:rsid w:val="0ECD7A63"/>
    <w:rsid w:val="0ECF0454"/>
    <w:rsid w:val="0ED01DB7"/>
    <w:rsid w:val="0ED63507"/>
    <w:rsid w:val="0EE121B7"/>
    <w:rsid w:val="0EE439FF"/>
    <w:rsid w:val="0EEA240A"/>
    <w:rsid w:val="0EFA48D0"/>
    <w:rsid w:val="0EFD3824"/>
    <w:rsid w:val="0F0A1F87"/>
    <w:rsid w:val="0F0B46B8"/>
    <w:rsid w:val="0F0C683A"/>
    <w:rsid w:val="0F134CAD"/>
    <w:rsid w:val="0F191FB1"/>
    <w:rsid w:val="0F1A6774"/>
    <w:rsid w:val="0F1B0671"/>
    <w:rsid w:val="0F216A55"/>
    <w:rsid w:val="0F24476B"/>
    <w:rsid w:val="0F264E86"/>
    <w:rsid w:val="0F295CA3"/>
    <w:rsid w:val="0F2E206D"/>
    <w:rsid w:val="0F2F753B"/>
    <w:rsid w:val="0F400945"/>
    <w:rsid w:val="0F425F71"/>
    <w:rsid w:val="0F43459E"/>
    <w:rsid w:val="0F454A41"/>
    <w:rsid w:val="0F46104C"/>
    <w:rsid w:val="0F4F1795"/>
    <w:rsid w:val="0F502ED4"/>
    <w:rsid w:val="0F513DF7"/>
    <w:rsid w:val="0F523595"/>
    <w:rsid w:val="0F544B1D"/>
    <w:rsid w:val="0F580032"/>
    <w:rsid w:val="0F590A0D"/>
    <w:rsid w:val="0F67618C"/>
    <w:rsid w:val="0F687604"/>
    <w:rsid w:val="0F6E4466"/>
    <w:rsid w:val="0F77783A"/>
    <w:rsid w:val="0F7808AB"/>
    <w:rsid w:val="0F7E6A43"/>
    <w:rsid w:val="0F836EA1"/>
    <w:rsid w:val="0F85182E"/>
    <w:rsid w:val="0F880B5D"/>
    <w:rsid w:val="0F8B630C"/>
    <w:rsid w:val="0F8F7D4D"/>
    <w:rsid w:val="0F905D86"/>
    <w:rsid w:val="0F97532B"/>
    <w:rsid w:val="0F984736"/>
    <w:rsid w:val="0F990943"/>
    <w:rsid w:val="0F997059"/>
    <w:rsid w:val="0F9C2021"/>
    <w:rsid w:val="0FA3414D"/>
    <w:rsid w:val="0FAC2710"/>
    <w:rsid w:val="0FB545CC"/>
    <w:rsid w:val="0FBD794B"/>
    <w:rsid w:val="0FBE10B7"/>
    <w:rsid w:val="0FBF12E3"/>
    <w:rsid w:val="0FC43A7B"/>
    <w:rsid w:val="0FC843D4"/>
    <w:rsid w:val="0FC9038F"/>
    <w:rsid w:val="0FCF428C"/>
    <w:rsid w:val="0FD3408F"/>
    <w:rsid w:val="0FD43C0D"/>
    <w:rsid w:val="0FD913F3"/>
    <w:rsid w:val="0FDC46C6"/>
    <w:rsid w:val="0FDD0C5B"/>
    <w:rsid w:val="0FE27D63"/>
    <w:rsid w:val="0FF0600C"/>
    <w:rsid w:val="0FF6227E"/>
    <w:rsid w:val="0FF90BC3"/>
    <w:rsid w:val="10037C35"/>
    <w:rsid w:val="1005628F"/>
    <w:rsid w:val="101022C9"/>
    <w:rsid w:val="101314AD"/>
    <w:rsid w:val="10131ACF"/>
    <w:rsid w:val="10132487"/>
    <w:rsid w:val="101D4413"/>
    <w:rsid w:val="10242005"/>
    <w:rsid w:val="102747DB"/>
    <w:rsid w:val="102954AE"/>
    <w:rsid w:val="10336A38"/>
    <w:rsid w:val="103C6E58"/>
    <w:rsid w:val="103D2787"/>
    <w:rsid w:val="103D3755"/>
    <w:rsid w:val="103E3E4E"/>
    <w:rsid w:val="103F2E14"/>
    <w:rsid w:val="10475E1E"/>
    <w:rsid w:val="104760C2"/>
    <w:rsid w:val="1049789D"/>
    <w:rsid w:val="10521636"/>
    <w:rsid w:val="10581AAA"/>
    <w:rsid w:val="105D2E72"/>
    <w:rsid w:val="105F1CD3"/>
    <w:rsid w:val="1063653A"/>
    <w:rsid w:val="106C5B18"/>
    <w:rsid w:val="10741021"/>
    <w:rsid w:val="107923F7"/>
    <w:rsid w:val="10812483"/>
    <w:rsid w:val="10822531"/>
    <w:rsid w:val="10872D04"/>
    <w:rsid w:val="1093634F"/>
    <w:rsid w:val="10966527"/>
    <w:rsid w:val="10A07EBE"/>
    <w:rsid w:val="10A7189E"/>
    <w:rsid w:val="10B83AC8"/>
    <w:rsid w:val="10BA4B9B"/>
    <w:rsid w:val="10BF1568"/>
    <w:rsid w:val="10C04ED0"/>
    <w:rsid w:val="10D0771E"/>
    <w:rsid w:val="10E32766"/>
    <w:rsid w:val="10E449A8"/>
    <w:rsid w:val="10ED211B"/>
    <w:rsid w:val="10F422C3"/>
    <w:rsid w:val="10F42CAF"/>
    <w:rsid w:val="10FD6BC9"/>
    <w:rsid w:val="10FF4AF7"/>
    <w:rsid w:val="11056632"/>
    <w:rsid w:val="11071090"/>
    <w:rsid w:val="110E01E1"/>
    <w:rsid w:val="110F71B9"/>
    <w:rsid w:val="111230BC"/>
    <w:rsid w:val="111F1E76"/>
    <w:rsid w:val="11266D9B"/>
    <w:rsid w:val="11283001"/>
    <w:rsid w:val="112F551A"/>
    <w:rsid w:val="11320CF3"/>
    <w:rsid w:val="113A19DA"/>
    <w:rsid w:val="113E2879"/>
    <w:rsid w:val="11412247"/>
    <w:rsid w:val="11431F99"/>
    <w:rsid w:val="114524E9"/>
    <w:rsid w:val="114A2659"/>
    <w:rsid w:val="114B2507"/>
    <w:rsid w:val="114F4DF2"/>
    <w:rsid w:val="115637F9"/>
    <w:rsid w:val="115A0206"/>
    <w:rsid w:val="11643E4B"/>
    <w:rsid w:val="11655245"/>
    <w:rsid w:val="1166076F"/>
    <w:rsid w:val="116852C4"/>
    <w:rsid w:val="116E3F0C"/>
    <w:rsid w:val="117A51A2"/>
    <w:rsid w:val="117E214C"/>
    <w:rsid w:val="118033CC"/>
    <w:rsid w:val="11861881"/>
    <w:rsid w:val="11953524"/>
    <w:rsid w:val="119A3B2A"/>
    <w:rsid w:val="119B0C2D"/>
    <w:rsid w:val="11A21EE1"/>
    <w:rsid w:val="11A437C9"/>
    <w:rsid w:val="11A712C9"/>
    <w:rsid w:val="11A92E63"/>
    <w:rsid w:val="11B10C40"/>
    <w:rsid w:val="11B3214E"/>
    <w:rsid w:val="11B37677"/>
    <w:rsid w:val="11B53847"/>
    <w:rsid w:val="11BB2DE1"/>
    <w:rsid w:val="11BE5871"/>
    <w:rsid w:val="11C806B4"/>
    <w:rsid w:val="11CC1E74"/>
    <w:rsid w:val="11D200EC"/>
    <w:rsid w:val="11D96F5B"/>
    <w:rsid w:val="11DC33C4"/>
    <w:rsid w:val="11E11CBE"/>
    <w:rsid w:val="11E15BFC"/>
    <w:rsid w:val="11E42A46"/>
    <w:rsid w:val="11FD1C86"/>
    <w:rsid w:val="11FF7AFB"/>
    <w:rsid w:val="12195BC9"/>
    <w:rsid w:val="121E5F8A"/>
    <w:rsid w:val="121E774F"/>
    <w:rsid w:val="12231B0B"/>
    <w:rsid w:val="12287BE6"/>
    <w:rsid w:val="122C110E"/>
    <w:rsid w:val="12346D0A"/>
    <w:rsid w:val="124041FF"/>
    <w:rsid w:val="12453D63"/>
    <w:rsid w:val="12472DC2"/>
    <w:rsid w:val="12482CF7"/>
    <w:rsid w:val="12502BB8"/>
    <w:rsid w:val="125420E4"/>
    <w:rsid w:val="12560FA0"/>
    <w:rsid w:val="1256649A"/>
    <w:rsid w:val="1269031D"/>
    <w:rsid w:val="126A1248"/>
    <w:rsid w:val="128142AD"/>
    <w:rsid w:val="12864CAF"/>
    <w:rsid w:val="128A6BBE"/>
    <w:rsid w:val="129005DB"/>
    <w:rsid w:val="12902869"/>
    <w:rsid w:val="129A6AD0"/>
    <w:rsid w:val="129C13A2"/>
    <w:rsid w:val="12A24E8C"/>
    <w:rsid w:val="12A62212"/>
    <w:rsid w:val="12AB7D9F"/>
    <w:rsid w:val="12AC07C0"/>
    <w:rsid w:val="12B10C97"/>
    <w:rsid w:val="12B46839"/>
    <w:rsid w:val="12BF1227"/>
    <w:rsid w:val="12C5773E"/>
    <w:rsid w:val="12CD177D"/>
    <w:rsid w:val="12D0036B"/>
    <w:rsid w:val="12D4625E"/>
    <w:rsid w:val="12D720AC"/>
    <w:rsid w:val="12DE12FB"/>
    <w:rsid w:val="12E3495A"/>
    <w:rsid w:val="12E36F14"/>
    <w:rsid w:val="12E5114C"/>
    <w:rsid w:val="12E8356E"/>
    <w:rsid w:val="12EF3A60"/>
    <w:rsid w:val="12EF3D4D"/>
    <w:rsid w:val="12F2472B"/>
    <w:rsid w:val="12F5529D"/>
    <w:rsid w:val="12F87679"/>
    <w:rsid w:val="12FC3724"/>
    <w:rsid w:val="13034369"/>
    <w:rsid w:val="13056599"/>
    <w:rsid w:val="130C7B14"/>
    <w:rsid w:val="131113DC"/>
    <w:rsid w:val="13115846"/>
    <w:rsid w:val="13151215"/>
    <w:rsid w:val="1317100F"/>
    <w:rsid w:val="131B3058"/>
    <w:rsid w:val="131D035C"/>
    <w:rsid w:val="13235125"/>
    <w:rsid w:val="1327477D"/>
    <w:rsid w:val="132C3866"/>
    <w:rsid w:val="133A4434"/>
    <w:rsid w:val="133A770B"/>
    <w:rsid w:val="133B638F"/>
    <w:rsid w:val="13426241"/>
    <w:rsid w:val="13484A2E"/>
    <w:rsid w:val="13534145"/>
    <w:rsid w:val="135350C1"/>
    <w:rsid w:val="1358546B"/>
    <w:rsid w:val="135F58AD"/>
    <w:rsid w:val="13703016"/>
    <w:rsid w:val="13765867"/>
    <w:rsid w:val="137831E2"/>
    <w:rsid w:val="137C2CAB"/>
    <w:rsid w:val="13802A7C"/>
    <w:rsid w:val="138C0B0B"/>
    <w:rsid w:val="138F7FD3"/>
    <w:rsid w:val="139445E6"/>
    <w:rsid w:val="139E2BA4"/>
    <w:rsid w:val="13AD0420"/>
    <w:rsid w:val="13B015C5"/>
    <w:rsid w:val="13B223E8"/>
    <w:rsid w:val="13BC0FCA"/>
    <w:rsid w:val="13C7560A"/>
    <w:rsid w:val="13CA04CC"/>
    <w:rsid w:val="13CF79E5"/>
    <w:rsid w:val="13D043DE"/>
    <w:rsid w:val="13D42608"/>
    <w:rsid w:val="13D66D98"/>
    <w:rsid w:val="13D9057D"/>
    <w:rsid w:val="13DC0BA7"/>
    <w:rsid w:val="13E3640C"/>
    <w:rsid w:val="13F0790E"/>
    <w:rsid w:val="13F64F55"/>
    <w:rsid w:val="13FB34D7"/>
    <w:rsid w:val="13FB6BCA"/>
    <w:rsid w:val="14002A32"/>
    <w:rsid w:val="1403407B"/>
    <w:rsid w:val="14145793"/>
    <w:rsid w:val="1418525D"/>
    <w:rsid w:val="141A49BA"/>
    <w:rsid w:val="142121F7"/>
    <w:rsid w:val="14290C28"/>
    <w:rsid w:val="142B356F"/>
    <w:rsid w:val="142C3A77"/>
    <w:rsid w:val="143513F5"/>
    <w:rsid w:val="1438619F"/>
    <w:rsid w:val="143B3C11"/>
    <w:rsid w:val="143C195C"/>
    <w:rsid w:val="14456D00"/>
    <w:rsid w:val="144D54AD"/>
    <w:rsid w:val="144E0F24"/>
    <w:rsid w:val="145420EA"/>
    <w:rsid w:val="145738C3"/>
    <w:rsid w:val="146305A2"/>
    <w:rsid w:val="146760E4"/>
    <w:rsid w:val="1468750F"/>
    <w:rsid w:val="147F2181"/>
    <w:rsid w:val="14801874"/>
    <w:rsid w:val="14827C0B"/>
    <w:rsid w:val="14851DDB"/>
    <w:rsid w:val="1490664E"/>
    <w:rsid w:val="14941AEF"/>
    <w:rsid w:val="1499024E"/>
    <w:rsid w:val="149D263A"/>
    <w:rsid w:val="149E17F9"/>
    <w:rsid w:val="14A57D53"/>
    <w:rsid w:val="14A63FB6"/>
    <w:rsid w:val="14AB5D58"/>
    <w:rsid w:val="14B02EA0"/>
    <w:rsid w:val="14B63D55"/>
    <w:rsid w:val="14B71FE1"/>
    <w:rsid w:val="14B7458B"/>
    <w:rsid w:val="14B9782B"/>
    <w:rsid w:val="14BC363B"/>
    <w:rsid w:val="14C00D10"/>
    <w:rsid w:val="14C43081"/>
    <w:rsid w:val="14C839EA"/>
    <w:rsid w:val="14CA0003"/>
    <w:rsid w:val="14CA5AF5"/>
    <w:rsid w:val="14D075B1"/>
    <w:rsid w:val="14D541F0"/>
    <w:rsid w:val="14E1485C"/>
    <w:rsid w:val="14E432CC"/>
    <w:rsid w:val="14E97F87"/>
    <w:rsid w:val="14EB57EE"/>
    <w:rsid w:val="14EF2FEA"/>
    <w:rsid w:val="14F6713B"/>
    <w:rsid w:val="14FC5162"/>
    <w:rsid w:val="14FE0A6E"/>
    <w:rsid w:val="150A4946"/>
    <w:rsid w:val="1511145C"/>
    <w:rsid w:val="15141C55"/>
    <w:rsid w:val="151F3C76"/>
    <w:rsid w:val="15247ABF"/>
    <w:rsid w:val="15253738"/>
    <w:rsid w:val="15263B70"/>
    <w:rsid w:val="152718A2"/>
    <w:rsid w:val="152823D9"/>
    <w:rsid w:val="15285342"/>
    <w:rsid w:val="152E0791"/>
    <w:rsid w:val="153B160D"/>
    <w:rsid w:val="153D3218"/>
    <w:rsid w:val="15452E48"/>
    <w:rsid w:val="1545383F"/>
    <w:rsid w:val="15476157"/>
    <w:rsid w:val="155120E2"/>
    <w:rsid w:val="15611DE0"/>
    <w:rsid w:val="1562305B"/>
    <w:rsid w:val="15643486"/>
    <w:rsid w:val="156A32BB"/>
    <w:rsid w:val="156A6B04"/>
    <w:rsid w:val="156E2664"/>
    <w:rsid w:val="156F3275"/>
    <w:rsid w:val="15730235"/>
    <w:rsid w:val="15735052"/>
    <w:rsid w:val="15773139"/>
    <w:rsid w:val="15777290"/>
    <w:rsid w:val="157C3BA6"/>
    <w:rsid w:val="157D344D"/>
    <w:rsid w:val="15857037"/>
    <w:rsid w:val="158C1B2E"/>
    <w:rsid w:val="159530F0"/>
    <w:rsid w:val="15976CB5"/>
    <w:rsid w:val="15A346CE"/>
    <w:rsid w:val="15A37E27"/>
    <w:rsid w:val="15A44DCF"/>
    <w:rsid w:val="15A62974"/>
    <w:rsid w:val="15A6661B"/>
    <w:rsid w:val="15AD515C"/>
    <w:rsid w:val="15B765B4"/>
    <w:rsid w:val="15B8664D"/>
    <w:rsid w:val="15BB362B"/>
    <w:rsid w:val="15BB6F39"/>
    <w:rsid w:val="15BC4236"/>
    <w:rsid w:val="15C036BA"/>
    <w:rsid w:val="15C46570"/>
    <w:rsid w:val="15C577E2"/>
    <w:rsid w:val="15C6149D"/>
    <w:rsid w:val="15D20B1C"/>
    <w:rsid w:val="15D46340"/>
    <w:rsid w:val="15D66938"/>
    <w:rsid w:val="15DA7ADF"/>
    <w:rsid w:val="15DE5797"/>
    <w:rsid w:val="15EA5320"/>
    <w:rsid w:val="15F4212C"/>
    <w:rsid w:val="15F45A3F"/>
    <w:rsid w:val="15F70ABB"/>
    <w:rsid w:val="160420E6"/>
    <w:rsid w:val="16044223"/>
    <w:rsid w:val="16045F7E"/>
    <w:rsid w:val="16051371"/>
    <w:rsid w:val="16084D64"/>
    <w:rsid w:val="160A084B"/>
    <w:rsid w:val="160B486B"/>
    <w:rsid w:val="16117CB1"/>
    <w:rsid w:val="16133A84"/>
    <w:rsid w:val="16141C91"/>
    <w:rsid w:val="1617134E"/>
    <w:rsid w:val="161A52FA"/>
    <w:rsid w:val="16235F5C"/>
    <w:rsid w:val="16256747"/>
    <w:rsid w:val="1627267E"/>
    <w:rsid w:val="162748AF"/>
    <w:rsid w:val="16346FF1"/>
    <w:rsid w:val="16401262"/>
    <w:rsid w:val="1640578E"/>
    <w:rsid w:val="16453E16"/>
    <w:rsid w:val="16456EAB"/>
    <w:rsid w:val="164D6262"/>
    <w:rsid w:val="16524A00"/>
    <w:rsid w:val="165729AF"/>
    <w:rsid w:val="165B349F"/>
    <w:rsid w:val="165C62C3"/>
    <w:rsid w:val="165D19A0"/>
    <w:rsid w:val="165F1539"/>
    <w:rsid w:val="166174B2"/>
    <w:rsid w:val="166C6FB9"/>
    <w:rsid w:val="16714703"/>
    <w:rsid w:val="1672387C"/>
    <w:rsid w:val="16746B16"/>
    <w:rsid w:val="167B192B"/>
    <w:rsid w:val="167D0BD0"/>
    <w:rsid w:val="16830129"/>
    <w:rsid w:val="168542EA"/>
    <w:rsid w:val="1689195E"/>
    <w:rsid w:val="16941F5C"/>
    <w:rsid w:val="16945B5D"/>
    <w:rsid w:val="16966700"/>
    <w:rsid w:val="169B13F4"/>
    <w:rsid w:val="169E24C4"/>
    <w:rsid w:val="16A00117"/>
    <w:rsid w:val="16A04519"/>
    <w:rsid w:val="16A41F23"/>
    <w:rsid w:val="16A60845"/>
    <w:rsid w:val="16A64E9A"/>
    <w:rsid w:val="16AA2E9F"/>
    <w:rsid w:val="16AF2614"/>
    <w:rsid w:val="16B43860"/>
    <w:rsid w:val="16B63AFE"/>
    <w:rsid w:val="16BA4FC2"/>
    <w:rsid w:val="16C12D24"/>
    <w:rsid w:val="16C7613A"/>
    <w:rsid w:val="16C96E22"/>
    <w:rsid w:val="16CE264F"/>
    <w:rsid w:val="16CF0795"/>
    <w:rsid w:val="16D07FA9"/>
    <w:rsid w:val="16D3086E"/>
    <w:rsid w:val="16DD30BB"/>
    <w:rsid w:val="16E06DD7"/>
    <w:rsid w:val="16EC4A13"/>
    <w:rsid w:val="16ED60C1"/>
    <w:rsid w:val="16F101FB"/>
    <w:rsid w:val="16F43B68"/>
    <w:rsid w:val="16F508B4"/>
    <w:rsid w:val="16FB068A"/>
    <w:rsid w:val="16FE3196"/>
    <w:rsid w:val="17016E68"/>
    <w:rsid w:val="170650EB"/>
    <w:rsid w:val="170727EC"/>
    <w:rsid w:val="17084916"/>
    <w:rsid w:val="170920BB"/>
    <w:rsid w:val="17135961"/>
    <w:rsid w:val="1714075D"/>
    <w:rsid w:val="17165D04"/>
    <w:rsid w:val="17170B3E"/>
    <w:rsid w:val="17190FB7"/>
    <w:rsid w:val="171A4A08"/>
    <w:rsid w:val="171F1CC4"/>
    <w:rsid w:val="17243C52"/>
    <w:rsid w:val="172443F6"/>
    <w:rsid w:val="172470E8"/>
    <w:rsid w:val="172513E7"/>
    <w:rsid w:val="17267CC7"/>
    <w:rsid w:val="172B6BAE"/>
    <w:rsid w:val="172D14D7"/>
    <w:rsid w:val="172F6AD0"/>
    <w:rsid w:val="17370F85"/>
    <w:rsid w:val="17377FAB"/>
    <w:rsid w:val="173B2D13"/>
    <w:rsid w:val="174F469F"/>
    <w:rsid w:val="17534AD3"/>
    <w:rsid w:val="17561488"/>
    <w:rsid w:val="175D126A"/>
    <w:rsid w:val="176072DB"/>
    <w:rsid w:val="176119C9"/>
    <w:rsid w:val="17630983"/>
    <w:rsid w:val="17632659"/>
    <w:rsid w:val="17714DEB"/>
    <w:rsid w:val="177C7D93"/>
    <w:rsid w:val="1780598B"/>
    <w:rsid w:val="178B776C"/>
    <w:rsid w:val="17972E49"/>
    <w:rsid w:val="179A12FA"/>
    <w:rsid w:val="179E4EB1"/>
    <w:rsid w:val="17A15A29"/>
    <w:rsid w:val="17A227EE"/>
    <w:rsid w:val="17A35C43"/>
    <w:rsid w:val="17A8471A"/>
    <w:rsid w:val="17AC2445"/>
    <w:rsid w:val="17BC44EF"/>
    <w:rsid w:val="17C02416"/>
    <w:rsid w:val="17C41728"/>
    <w:rsid w:val="17C42FA3"/>
    <w:rsid w:val="17C60A8A"/>
    <w:rsid w:val="17CC2050"/>
    <w:rsid w:val="17CD0A1D"/>
    <w:rsid w:val="17D16696"/>
    <w:rsid w:val="17DD7A10"/>
    <w:rsid w:val="17DE51C0"/>
    <w:rsid w:val="17E16A66"/>
    <w:rsid w:val="17FD489A"/>
    <w:rsid w:val="18011504"/>
    <w:rsid w:val="18017B32"/>
    <w:rsid w:val="180A3C85"/>
    <w:rsid w:val="180B3C78"/>
    <w:rsid w:val="181441B3"/>
    <w:rsid w:val="18211B65"/>
    <w:rsid w:val="182179DA"/>
    <w:rsid w:val="18230F02"/>
    <w:rsid w:val="18231FF2"/>
    <w:rsid w:val="1830215E"/>
    <w:rsid w:val="18325527"/>
    <w:rsid w:val="183C724F"/>
    <w:rsid w:val="184548D7"/>
    <w:rsid w:val="184E58BA"/>
    <w:rsid w:val="18591130"/>
    <w:rsid w:val="185A5824"/>
    <w:rsid w:val="185B2870"/>
    <w:rsid w:val="1868109B"/>
    <w:rsid w:val="1868463C"/>
    <w:rsid w:val="186B0A0B"/>
    <w:rsid w:val="186B1495"/>
    <w:rsid w:val="186C1E67"/>
    <w:rsid w:val="186F12E4"/>
    <w:rsid w:val="18702391"/>
    <w:rsid w:val="18773AA2"/>
    <w:rsid w:val="187C7A8D"/>
    <w:rsid w:val="187E1E4A"/>
    <w:rsid w:val="187F12D7"/>
    <w:rsid w:val="18822638"/>
    <w:rsid w:val="18894287"/>
    <w:rsid w:val="188A3D77"/>
    <w:rsid w:val="18A8036D"/>
    <w:rsid w:val="18A86AF2"/>
    <w:rsid w:val="18AD75E0"/>
    <w:rsid w:val="18B134BA"/>
    <w:rsid w:val="18BB0A0B"/>
    <w:rsid w:val="18C30C16"/>
    <w:rsid w:val="18C36D48"/>
    <w:rsid w:val="18C53C43"/>
    <w:rsid w:val="18C60299"/>
    <w:rsid w:val="18C70C8C"/>
    <w:rsid w:val="18CD7E13"/>
    <w:rsid w:val="18CE2CD5"/>
    <w:rsid w:val="18D30343"/>
    <w:rsid w:val="18D511CC"/>
    <w:rsid w:val="18DF7C4C"/>
    <w:rsid w:val="18E918A0"/>
    <w:rsid w:val="18F5554D"/>
    <w:rsid w:val="18F8077E"/>
    <w:rsid w:val="18FD29F8"/>
    <w:rsid w:val="18FE54C8"/>
    <w:rsid w:val="18FF43AA"/>
    <w:rsid w:val="19063E77"/>
    <w:rsid w:val="190D25FA"/>
    <w:rsid w:val="19164AD0"/>
    <w:rsid w:val="191C1AE0"/>
    <w:rsid w:val="191E176F"/>
    <w:rsid w:val="19312BE6"/>
    <w:rsid w:val="19393464"/>
    <w:rsid w:val="193E255D"/>
    <w:rsid w:val="19446B04"/>
    <w:rsid w:val="19491087"/>
    <w:rsid w:val="19493529"/>
    <w:rsid w:val="194A015F"/>
    <w:rsid w:val="194C0DB9"/>
    <w:rsid w:val="194C5589"/>
    <w:rsid w:val="19503F69"/>
    <w:rsid w:val="195046DF"/>
    <w:rsid w:val="19580E5A"/>
    <w:rsid w:val="19590507"/>
    <w:rsid w:val="195941E0"/>
    <w:rsid w:val="196A7B32"/>
    <w:rsid w:val="196B6C52"/>
    <w:rsid w:val="196E3B6F"/>
    <w:rsid w:val="1973264F"/>
    <w:rsid w:val="197874D5"/>
    <w:rsid w:val="19840FC9"/>
    <w:rsid w:val="198667D5"/>
    <w:rsid w:val="19900A12"/>
    <w:rsid w:val="199D5D85"/>
    <w:rsid w:val="19A4516F"/>
    <w:rsid w:val="19A5401B"/>
    <w:rsid w:val="19AB3D81"/>
    <w:rsid w:val="19AB6F9A"/>
    <w:rsid w:val="19AD4199"/>
    <w:rsid w:val="19AE0319"/>
    <w:rsid w:val="19B05475"/>
    <w:rsid w:val="19B849C6"/>
    <w:rsid w:val="19BB4090"/>
    <w:rsid w:val="19BF6CE5"/>
    <w:rsid w:val="19C074E9"/>
    <w:rsid w:val="19C12E57"/>
    <w:rsid w:val="19C911F7"/>
    <w:rsid w:val="19DA1AF8"/>
    <w:rsid w:val="19DD598F"/>
    <w:rsid w:val="19DF2E26"/>
    <w:rsid w:val="19E46812"/>
    <w:rsid w:val="19EB61E1"/>
    <w:rsid w:val="19EC1C0D"/>
    <w:rsid w:val="19EE2A02"/>
    <w:rsid w:val="19F61EEA"/>
    <w:rsid w:val="19F86B46"/>
    <w:rsid w:val="19F96D48"/>
    <w:rsid w:val="19FF16BD"/>
    <w:rsid w:val="1A046B6F"/>
    <w:rsid w:val="1A0E019D"/>
    <w:rsid w:val="1A0E206C"/>
    <w:rsid w:val="1A1A2C13"/>
    <w:rsid w:val="1A2E6FA4"/>
    <w:rsid w:val="1A30278F"/>
    <w:rsid w:val="1A3416C3"/>
    <w:rsid w:val="1A3975CC"/>
    <w:rsid w:val="1A3F053E"/>
    <w:rsid w:val="1A431508"/>
    <w:rsid w:val="1A4403B1"/>
    <w:rsid w:val="1A4931CF"/>
    <w:rsid w:val="1A4A1472"/>
    <w:rsid w:val="1A4E4344"/>
    <w:rsid w:val="1A543FEE"/>
    <w:rsid w:val="1A5A6471"/>
    <w:rsid w:val="1A615D2C"/>
    <w:rsid w:val="1A645005"/>
    <w:rsid w:val="1A651360"/>
    <w:rsid w:val="1A6521B7"/>
    <w:rsid w:val="1A656C7F"/>
    <w:rsid w:val="1A6819DB"/>
    <w:rsid w:val="1A682F55"/>
    <w:rsid w:val="1A683242"/>
    <w:rsid w:val="1A6D24F4"/>
    <w:rsid w:val="1A766799"/>
    <w:rsid w:val="1A773844"/>
    <w:rsid w:val="1A784FFC"/>
    <w:rsid w:val="1A835077"/>
    <w:rsid w:val="1A8705BD"/>
    <w:rsid w:val="1A8A36DE"/>
    <w:rsid w:val="1A8A5BBE"/>
    <w:rsid w:val="1A8E6762"/>
    <w:rsid w:val="1A9167F4"/>
    <w:rsid w:val="1A9D3061"/>
    <w:rsid w:val="1AA150C3"/>
    <w:rsid w:val="1AA8293E"/>
    <w:rsid w:val="1AAB5A98"/>
    <w:rsid w:val="1AAD6070"/>
    <w:rsid w:val="1AB12032"/>
    <w:rsid w:val="1ABB4D29"/>
    <w:rsid w:val="1ABC2FC9"/>
    <w:rsid w:val="1ABC52D7"/>
    <w:rsid w:val="1ABC5B02"/>
    <w:rsid w:val="1ABE58DB"/>
    <w:rsid w:val="1AC34108"/>
    <w:rsid w:val="1AD60CEE"/>
    <w:rsid w:val="1AD81FEC"/>
    <w:rsid w:val="1ADC7B75"/>
    <w:rsid w:val="1AE32EE4"/>
    <w:rsid w:val="1AE6162F"/>
    <w:rsid w:val="1AEF3CD6"/>
    <w:rsid w:val="1AF02D70"/>
    <w:rsid w:val="1AFB7505"/>
    <w:rsid w:val="1B10526D"/>
    <w:rsid w:val="1B180B46"/>
    <w:rsid w:val="1B26176C"/>
    <w:rsid w:val="1B2C112D"/>
    <w:rsid w:val="1B2F4379"/>
    <w:rsid w:val="1B3019B2"/>
    <w:rsid w:val="1B331073"/>
    <w:rsid w:val="1B3322A9"/>
    <w:rsid w:val="1B42163C"/>
    <w:rsid w:val="1B4C16C2"/>
    <w:rsid w:val="1B591075"/>
    <w:rsid w:val="1B5938DF"/>
    <w:rsid w:val="1B5E2F00"/>
    <w:rsid w:val="1B6569E9"/>
    <w:rsid w:val="1B6E5AF6"/>
    <w:rsid w:val="1B701B63"/>
    <w:rsid w:val="1B772D1B"/>
    <w:rsid w:val="1B782181"/>
    <w:rsid w:val="1B940B1A"/>
    <w:rsid w:val="1B946510"/>
    <w:rsid w:val="1B946832"/>
    <w:rsid w:val="1B94692A"/>
    <w:rsid w:val="1B9671BC"/>
    <w:rsid w:val="1B9674E0"/>
    <w:rsid w:val="1B972F8F"/>
    <w:rsid w:val="1BA00C2D"/>
    <w:rsid w:val="1BA528B6"/>
    <w:rsid w:val="1BA62F91"/>
    <w:rsid w:val="1BA737F4"/>
    <w:rsid w:val="1BAE1F2B"/>
    <w:rsid w:val="1BB01977"/>
    <w:rsid w:val="1BB20186"/>
    <w:rsid w:val="1BB50F28"/>
    <w:rsid w:val="1BB83431"/>
    <w:rsid w:val="1BBC508E"/>
    <w:rsid w:val="1BC07463"/>
    <w:rsid w:val="1BCB3045"/>
    <w:rsid w:val="1BD33166"/>
    <w:rsid w:val="1BD51290"/>
    <w:rsid w:val="1BD7612E"/>
    <w:rsid w:val="1BDC783A"/>
    <w:rsid w:val="1BE348E1"/>
    <w:rsid w:val="1BEB51FC"/>
    <w:rsid w:val="1BFC0F15"/>
    <w:rsid w:val="1BFC1091"/>
    <w:rsid w:val="1C086CE7"/>
    <w:rsid w:val="1C0E4077"/>
    <w:rsid w:val="1C101DE0"/>
    <w:rsid w:val="1C1C7F52"/>
    <w:rsid w:val="1C23498D"/>
    <w:rsid w:val="1C236694"/>
    <w:rsid w:val="1C261E70"/>
    <w:rsid w:val="1C4032D9"/>
    <w:rsid w:val="1C4974EA"/>
    <w:rsid w:val="1C4A1B66"/>
    <w:rsid w:val="1C4E5233"/>
    <w:rsid w:val="1C4F23E2"/>
    <w:rsid w:val="1C5B732D"/>
    <w:rsid w:val="1C647970"/>
    <w:rsid w:val="1C692350"/>
    <w:rsid w:val="1C7851C9"/>
    <w:rsid w:val="1C7C247C"/>
    <w:rsid w:val="1C80074F"/>
    <w:rsid w:val="1C822884"/>
    <w:rsid w:val="1C8362C6"/>
    <w:rsid w:val="1C8D04A9"/>
    <w:rsid w:val="1C915142"/>
    <w:rsid w:val="1C9E2D64"/>
    <w:rsid w:val="1CA00019"/>
    <w:rsid w:val="1CA13151"/>
    <w:rsid w:val="1CA87BE3"/>
    <w:rsid w:val="1CAA5E71"/>
    <w:rsid w:val="1CB659EF"/>
    <w:rsid w:val="1CBE64D9"/>
    <w:rsid w:val="1CBF188E"/>
    <w:rsid w:val="1CC2057A"/>
    <w:rsid w:val="1CC20CF3"/>
    <w:rsid w:val="1CC43ED7"/>
    <w:rsid w:val="1CC87B17"/>
    <w:rsid w:val="1CC97789"/>
    <w:rsid w:val="1CCC2FEF"/>
    <w:rsid w:val="1CCD2967"/>
    <w:rsid w:val="1CD41678"/>
    <w:rsid w:val="1CD62C15"/>
    <w:rsid w:val="1CDB3B6A"/>
    <w:rsid w:val="1CDD6375"/>
    <w:rsid w:val="1CE24AAF"/>
    <w:rsid w:val="1CE971DA"/>
    <w:rsid w:val="1CF148FD"/>
    <w:rsid w:val="1CF34E6C"/>
    <w:rsid w:val="1CFE7BDE"/>
    <w:rsid w:val="1D0815C2"/>
    <w:rsid w:val="1D10348D"/>
    <w:rsid w:val="1D105B64"/>
    <w:rsid w:val="1D185191"/>
    <w:rsid w:val="1D1A4C22"/>
    <w:rsid w:val="1D1B1917"/>
    <w:rsid w:val="1D1D6D80"/>
    <w:rsid w:val="1D274A6A"/>
    <w:rsid w:val="1D286DD3"/>
    <w:rsid w:val="1D2D7080"/>
    <w:rsid w:val="1D2E459D"/>
    <w:rsid w:val="1D35260F"/>
    <w:rsid w:val="1D3869D4"/>
    <w:rsid w:val="1D394009"/>
    <w:rsid w:val="1D4414F9"/>
    <w:rsid w:val="1D457784"/>
    <w:rsid w:val="1D466EE5"/>
    <w:rsid w:val="1D4738FF"/>
    <w:rsid w:val="1D585B30"/>
    <w:rsid w:val="1D6B3310"/>
    <w:rsid w:val="1D6F1241"/>
    <w:rsid w:val="1D740A3B"/>
    <w:rsid w:val="1D772A03"/>
    <w:rsid w:val="1D7E7507"/>
    <w:rsid w:val="1D815388"/>
    <w:rsid w:val="1D815CEC"/>
    <w:rsid w:val="1D843A64"/>
    <w:rsid w:val="1D86528E"/>
    <w:rsid w:val="1D8932B9"/>
    <w:rsid w:val="1D8B03BC"/>
    <w:rsid w:val="1D8B7AA2"/>
    <w:rsid w:val="1D915A73"/>
    <w:rsid w:val="1D94505A"/>
    <w:rsid w:val="1D9A7AD9"/>
    <w:rsid w:val="1D9D7836"/>
    <w:rsid w:val="1DA2729C"/>
    <w:rsid w:val="1DA66D27"/>
    <w:rsid w:val="1DA86021"/>
    <w:rsid w:val="1DAB4D3C"/>
    <w:rsid w:val="1DB00C15"/>
    <w:rsid w:val="1DB1540A"/>
    <w:rsid w:val="1DB42EED"/>
    <w:rsid w:val="1DB57687"/>
    <w:rsid w:val="1DBA0FC4"/>
    <w:rsid w:val="1DBB1375"/>
    <w:rsid w:val="1DBE1A5C"/>
    <w:rsid w:val="1DBF4ADE"/>
    <w:rsid w:val="1DC80609"/>
    <w:rsid w:val="1DCB3B09"/>
    <w:rsid w:val="1DCB4335"/>
    <w:rsid w:val="1DDC4C26"/>
    <w:rsid w:val="1DE265DE"/>
    <w:rsid w:val="1DE70BF9"/>
    <w:rsid w:val="1DE85755"/>
    <w:rsid w:val="1DEE56AA"/>
    <w:rsid w:val="1DF803A8"/>
    <w:rsid w:val="1DFA42E6"/>
    <w:rsid w:val="1DFE3B6A"/>
    <w:rsid w:val="1E03693C"/>
    <w:rsid w:val="1E0418FF"/>
    <w:rsid w:val="1E094DE9"/>
    <w:rsid w:val="1E0A43E5"/>
    <w:rsid w:val="1E0D4A55"/>
    <w:rsid w:val="1E1639DE"/>
    <w:rsid w:val="1E201F24"/>
    <w:rsid w:val="1E23472C"/>
    <w:rsid w:val="1E251CAA"/>
    <w:rsid w:val="1E270B2F"/>
    <w:rsid w:val="1E271AAD"/>
    <w:rsid w:val="1E323DD3"/>
    <w:rsid w:val="1E325D4C"/>
    <w:rsid w:val="1E347D36"/>
    <w:rsid w:val="1E3F507E"/>
    <w:rsid w:val="1E430676"/>
    <w:rsid w:val="1E433284"/>
    <w:rsid w:val="1E437BF1"/>
    <w:rsid w:val="1E4C479D"/>
    <w:rsid w:val="1E4E0E32"/>
    <w:rsid w:val="1E545CAC"/>
    <w:rsid w:val="1E5B0DE8"/>
    <w:rsid w:val="1E5F6225"/>
    <w:rsid w:val="1E6973EE"/>
    <w:rsid w:val="1E7A0CA0"/>
    <w:rsid w:val="1E837FC8"/>
    <w:rsid w:val="1E843339"/>
    <w:rsid w:val="1E854754"/>
    <w:rsid w:val="1E91143B"/>
    <w:rsid w:val="1E9765F8"/>
    <w:rsid w:val="1E99089F"/>
    <w:rsid w:val="1E9D01D9"/>
    <w:rsid w:val="1E9E4BB8"/>
    <w:rsid w:val="1E9E575F"/>
    <w:rsid w:val="1EA25C26"/>
    <w:rsid w:val="1EA4144C"/>
    <w:rsid w:val="1EA74D50"/>
    <w:rsid w:val="1EA83DC7"/>
    <w:rsid w:val="1EAE51E1"/>
    <w:rsid w:val="1EAF7B09"/>
    <w:rsid w:val="1EB12C92"/>
    <w:rsid w:val="1EB165AF"/>
    <w:rsid w:val="1EC34FA5"/>
    <w:rsid w:val="1EC47269"/>
    <w:rsid w:val="1EC77839"/>
    <w:rsid w:val="1EC91F54"/>
    <w:rsid w:val="1ED07F7E"/>
    <w:rsid w:val="1ED13365"/>
    <w:rsid w:val="1ED40536"/>
    <w:rsid w:val="1EDE37DC"/>
    <w:rsid w:val="1EE477D4"/>
    <w:rsid w:val="1EE73495"/>
    <w:rsid w:val="1EE8118B"/>
    <w:rsid w:val="1EEC2070"/>
    <w:rsid w:val="1EF00CE2"/>
    <w:rsid w:val="1EF80AC4"/>
    <w:rsid w:val="1EF86E39"/>
    <w:rsid w:val="1F06290D"/>
    <w:rsid w:val="1F0C16DC"/>
    <w:rsid w:val="1F0D6259"/>
    <w:rsid w:val="1F0F61B1"/>
    <w:rsid w:val="1F141438"/>
    <w:rsid w:val="1F1C3730"/>
    <w:rsid w:val="1F2414C8"/>
    <w:rsid w:val="1F247550"/>
    <w:rsid w:val="1F2A37BA"/>
    <w:rsid w:val="1F2D7869"/>
    <w:rsid w:val="1F3238A5"/>
    <w:rsid w:val="1F35590B"/>
    <w:rsid w:val="1F3D1B37"/>
    <w:rsid w:val="1F403EC8"/>
    <w:rsid w:val="1F451DB1"/>
    <w:rsid w:val="1F471A0E"/>
    <w:rsid w:val="1F474731"/>
    <w:rsid w:val="1F4B5206"/>
    <w:rsid w:val="1F5B3CF9"/>
    <w:rsid w:val="1F696B65"/>
    <w:rsid w:val="1F6B6BD0"/>
    <w:rsid w:val="1F6C5B3A"/>
    <w:rsid w:val="1F711926"/>
    <w:rsid w:val="1F76782A"/>
    <w:rsid w:val="1F775E2A"/>
    <w:rsid w:val="1F782C6D"/>
    <w:rsid w:val="1F7D6E36"/>
    <w:rsid w:val="1F7F63D1"/>
    <w:rsid w:val="1F8270CB"/>
    <w:rsid w:val="1F9472FF"/>
    <w:rsid w:val="1F9869C4"/>
    <w:rsid w:val="1FA05371"/>
    <w:rsid w:val="1FA657A4"/>
    <w:rsid w:val="1FA94784"/>
    <w:rsid w:val="1FB44D91"/>
    <w:rsid w:val="1FBB25A1"/>
    <w:rsid w:val="1FC073C4"/>
    <w:rsid w:val="1FC7348F"/>
    <w:rsid w:val="1FC74876"/>
    <w:rsid w:val="1FCF5F3F"/>
    <w:rsid w:val="1FD42E57"/>
    <w:rsid w:val="1FD95728"/>
    <w:rsid w:val="1FDC46A1"/>
    <w:rsid w:val="1FE1380F"/>
    <w:rsid w:val="1FE5032D"/>
    <w:rsid w:val="1FF10DD7"/>
    <w:rsid w:val="1FF771CF"/>
    <w:rsid w:val="20060CD2"/>
    <w:rsid w:val="200A5F5B"/>
    <w:rsid w:val="200C3A79"/>
    <w:rsid w:val="200D79E0"/>
    <w:rsid w:val="200E7241"/>
    <w:rsid w:val="2011382C"/>
    <w:rsid w:val="2012468D"/>
    <w:rsid w:val="201350E4"/>
    <w:rsid w:val="201711C9"/>
    <w:rsid w:val="201C482D"/>
    <w:rsid w:val="20264F51"/>
    <w:rsid w:val="20273D7F"/>
    <w:rsid w:val="20284C6C"/>
    <w:rsid w:val="202950DD"/>
    <w:rsid w:val="202A7323"/>
    <w:rsid w:val="202E4929"/>
    <w:rsid w:val="202F5850"/>
    <w:rsid w:val="203120E1"/>
    <w:rsid w:val="20376FA3"/>
    <w:rsid w:val="203776CF"/>
    <w:rsid w:val="203954CF"/>
    <w:rsid w:val="203C4ABF"/>
    <w:rsid w:val="203C4B95"/>
    <w:rsid w:val="203D5DA5"/>
    <w:rsid w:val="20446005"/>
    <w:rsid w:val="20466280"/>
    <w:rsid w:val="204B5799"/>
    <w:rsid w:val="204E6099"/>
    <w:rsid w:val="204F13BC"/>
    <w:rsid w:val="2052507E"/>
    <w:rsid w:val="20564AB8"/>
    <w:rsid w:val="205E13A9"/>
    <w:rsid w:val="20620FD8"/>
    <w:rsid w:val="20644EDF"/>
    <w:rsid w:val="2068176D"/>
    <w:rsid w:val="206D6E78"/>
    <w:rsid w:val="207225AE"/>
    <w:rsid w:val="20752580"/>
    <w:rsid w:val="207B015E"/>
    <w:rsid w:val="207D1680"/>
    <w:rsid w:val="2082305C"/>
    <w:rsid w:val="208264BB"/>
    <w:rsid w:val="20875D10"/>
    <w:rsid w:val="208E31E4"/>
    <w:rsid w:val="209410D8"/>
    <w:rsid w:val="20945297"/>
    <w:rsid w:val="209965EE"/>
    <w:rsid w:val="209B5581"/>
    <w:rsid w:val="209C36E4"/>
    <w:rsid w:val="209E0620"/>
    <w:rsid w:val="20A47535"/>
    <w:rsid w:val="20AA1829"/>
    <w:rsid w:val="20AE364B"/>
    <w:rsid w:val="20B02CF6"/>
    <w:rsid w:val="20B45FDA"/>
    <w:rsid w:val="20BE7DC0"/>
    <w:rsid w:val="20C36763"/>
    <w:rsid w:val="20C374F5"/>
    <w:rsid w:val="20C42750"/>
    <w:rsid w:val="20C459D3"/>
    <w:rsid w:val="20C63840"/>
    <w:rsid w:val="20D54971"/>
    <w:rsid w:val="20D77FE0"/>
    <w:rsid w:val="20E06466"/>
    <w:rsid w:val="20EC2E5A"/>
    <w:rsid w:val="20EE76ED"/>
    <w:rsid w:val="20F328CC"/>
    <w:rsid w:val="20F37F5F"/>
    <w:rsid w:val="20FB4B88"/>
    <w:rsid w:val="21110951"/>
    <w:rsid w:val="212B2ED1"/>
    <w:rsid w:val="214A1282"/>
    <w:rsid w:val="21523F34"/>
    <w:rsid w:val="216259F9"/>
    <w:rsid w:val="21717122"/>
    <w:rsid w:val="217434AE"/>
    <w:rsid w:val="21786B99"/>
    <w:rsid w:val="218F09CA"/>
    <w:rsid w:val="2194091C"/>
    <w:rsid w:val="21955890"/>
    <w:rsid w:val="21976E18"/>
    <w:rsid w:val="219778C4"/>
    <w:rsid w:val="21996223"/>
    <w:rsid w:val="219F1114"/>
    <w:rsid w:val="21A531FC"/>
    <w:rsid w:val="21A856B3"/>
    <w:rsid w:val="21AB14A8"/>
    <w:rsid w:val="21B45E68"/>
    <w:rsid w:val="21BA1165"/>
    <w:rsid w:val="21C4635F"/>
    <w:rsid w:val="21C56D85"/>
    <w:rsid w:val="21D63A7B"/>
    <w:rsid w:val="21D83322"/>
    <w:rsid w:val="21D96ED6"/>
    <w:rsid w:val="21DC4E91"/>
    <w:rsid w:val="21DE340B"/>
    <w:rsid w:val="21E25983"/>
    <w:rsid w:val="21E4070D"/>
    <w:rsid w:val="21E949C9"/>
    <w:rsid w:val="21EE6674"/>
    <w:rsid w:val="21F36761"/>
    <w:rsid w:val="21F5165B"/>
    <w:rsid w:val="21F522EE"/>
    <w:rsid w:val="21F72E20"/>
    <w:rsid w:val="21FD6636"/>
    <w:rsid w:val="21FE7774"/>
    <w:rsid w:val="22154338"/>
    <w:rsid w:val="2217548D"/>
    <w:rsid w:val="221A371F"/>
    <w:rsid w:val="221C3A4F"/>
    <w:rsid w:val="22353B2B"/>
    <w:rsid w:val="223B34B1"/>
    <w:rsid w:val="224832AD"/>
    <w:rsid w:val="224C7691"/>
    <w:rsid w:val="224E4072"/>
    <w:rsid w:val="224E64D6"/>
    <w:rsid w:val="22506269"/>
    <w:rsid w:val="22527C89"/>
    <w:rsid w:val="225D595F"/>
    <w:rsid w:val="22625A5A"/>
    <w:rsid w:val="22667E7F"/>
    <w:rsid w:val="22670659"/>
    <w:rsid w:val="226C73C0"/>
    <w:rsid w:val="22760D13"/>
    <w:rsid w:val="2277307D"/>
    <w:rsid w:val="22803E4B"/>
    <w:rsid w:val="22847B4E"/>
    <w:rsid w:val="228D1F7A"/>
    <w:rsid w:val="229D6C9B"/>
    <w:rsid w:val="22A00A2B"/>
    <w:rsid w:val="22A4750F"/>
    <w:rsid w:val="22A50B4E"/>
    <w:rsid w:val="22A744A2"/>
    <w:rsid w:val="22A7694B"/>
    <w:rsid w:val="22AF2B43"/>
    <w:rsid w:val="22AF7492"/>
    <w:rsid w:val="22B26E48"/>
    <w:rsid w:val="22B76CBA"/>
    <w:rsid w:val="22B84838"/>
    <w:rsid w:val="22C278ED"/>
    <w:rsid w:val="22C94F49"/>
    <w:rsid w:val="22CB12F8"/>
    <w:rsid w:val="22D15707"/>
    <w:rsid w:val="22D4282E"/>
    <w:rsid w:val="22D57870"/>
    <w:rsid w:val="22DA6E24"/>
    <w:rsid w:val="22DC7377"/>
    <w:rsid w:val="22E1682E"/>
    <w:rsid w:val="22EE2DA9"/>
    <w:rsid w:val="22EF5653"/>
    <w:rsid w:val="22F01831"/>
    <w:rsid w:val="22F53F4C"/>
    <w:rsid w:val="22F575C5"/>
    <w:rsid w:val="22FA4263"/>
    <w:rsid w:val="230424F2"/>
    <w:rsid w:val="23091215"/>
    <w:rsid w:val="23095363"/>
    <w:rsid w:val="231879A1"/>
    <w:rsid w:val="231D44C6"/>
    <w:rsid w:val="231D6ABC"/>
    <w:rsid w:val="23254F38"/>
    <w:rsid w:val="232566CE"/>
    <w:rsid w:val="232D1EA5"/>
    <w:rsid w:val="23312902"/>
    <w:rsid w:val="2336132A"/>
    <w:rsid w:val="2337426F"/>
    <w:rsid w:val="23376995"/>
    <w:rsid w:val="234249EB"/>
    <w:rsid w:val="234F06DB"/>
    <w:rsid w:val="235506BB"/>
    <w:rsid w:val="23586A43"/>
    <w:rsid w:val="235F1A87"/>
    <w:rsid w:val="235F6FB5"/>
    <w:rsid w:val="23617917"/>
    <w:rsid w:val="2369472E"/>
    <w:rsid w:val="23700DAE"/>
    <w:rsid w:val="23727F34"/>
    <w:rsid w:val="2379097E"/>
    <w:rsid w:val="237F39B4"/>
    <w:rsid w:val="23816C24"/>
    <w:rsid w:val="2383009A"/>
    <w:rsid w:val="238315EA"/>
    <w:rsid w:val="23870CAC"/>
    <w:rsid w:val="238717CD"/>
    <w:rsid w:val="238C44F3"/>
    <w:rsid w:val="239410B6"/>
    <w:rsid w:val="23954E56"/>
    <w:rsid w:val="23983611"/>
    <w:rsid w:val="23984CAA"/>
    <w:rsid w:val="23A0735D"/>
    <w:rsid w:val="23A52A88"/>
    <w:rsid w:val="23A61870"/>
    <w:rsid w:val="23B50828"/>
    <w:rsid w:val="23B66052"/>
    <w:rsid w:val="23BC64C7"/>
    <w:rsid w:val="23C138D1"/>
    <w:rsid w:val="23C2524E"/>
    <w:rsid w:val="23C33ED6"/>
    <w:rsid w:val="23C47BBC"/>
    <w:rsid w:val="23C60DBC"/>
    <w:rsid w:val="23C6713D"/>
    <w:rsid w:val="23C77146"/>
    <w:rsid w:val="23CF1E69"/>
    <w:rsid w:val="23D34EB8"/>
    <w:rsid w:val="23E53E03"/>
    <w:rsid w:val="23E56FBD"/>
    <w:rsid w:val="23F12C7E"/>
    <w:rsid w:val="23F63EF7"/>
    <w:rsid w:val="23FD3075"/>
    <w:rsid w:val="240241AC"/>
    <w:rsid w:val="24074B57"/>
    <w:rsid w:val="240B1EA9"/>
    <w:rsid w:val="240F0804"/>
    <w:rsid w:val="24157DF2"/>
    <w:rsid w:val="24196749"/>
    <w:rsid w:val="2423362B"/>
    <w:rsid w:val="24235F3A"/>
    <w:rsid w:val="24267076"/>
    <w:rsid w:val="2428070A"/>
    <w:rsid w:val="242E6670"/>
    <w:rsid w:val="24305880"/>
    <w:rsid w:val="24305A24"/>
    <w:rsid w:val="243802F2"/>
    <w:rsid w:val="24393940"/>
    <w:rsid w:val="24434659"/>
    <w:rsid w:val="24495132"/>
    <w:rsid w:val="24570B0E"/>
    <w:rsid w:val="246152AD"/>
    <w:rsid w:val="24640792"/>
    <w:rsid w:val="2465085B"/>
    <w:rsid w:val="246B50D8"/>
    <w:rsid w:val="246C274C"/>
    <w:rsid w:val="24720582"/>
    <w:rsid w:val="24747EF9"/>
    <w:rsid w:val="247862BE"/>
    <w:rsid w:val="247F74DE"/>
    <w:rsid w:val="2482208D"/>
    <w:rsid w:val="24893AF5"/>
    <w:rsid w:val="248C3F68"/>
    <w:rsid w:val="248F2E41"/>
    <w:rsid w:val="248F4D11"/>
    <w:rsid w:val="24941D17"/>
    <w:rsid w:val="249623ED"/>
    <w:rsid w:val="2497064D"/>
    <w:rsid w:val="249C2906"/>
    <w:rsid w:val="24A252FD"/>
    <w:rsid w:val="24A367E8"/>
    <w:rsid w:val="24CB1FC2"/>
    <w:rsid w:val="24CC073A"/>
    <w:rsid w:val="24CD424A"/>
    <w:rsid w:val="24D12080"/>
    <w:rsid w:val="24D37A0C"/>
    <w:rsid w:val="24D466EE"/>
    <w:rsid w:val="24D71651"/>
    <w:rsid w:val="24E1532B"/>
    <w:rsid w:val="24E62C15"/>
    <w:rsid w:val="24EB0BA1"/>
    <w:rsid w:val="24F57F0A"/>
    <w:rsid w:val="25040376"/>
    <w:rsid w:val="250531F5"/>
    <w:rsid w:val="250B7C3E"/>
    <w:rsid w:val="252A66B1"/>
    <w:rsid w:val="252D7A09"/>
    <w:rsid w:val="253C70AD"/>
    <w:rsid w:val="253D48EB"/>
    <w:rsid w:val="25427061"/>
    <w:rsid w:val="25435323"/>
    <w:rsid w:val="25454823"/>
    <w:rsid w:val="2549611A"/>
    <w:rsid w:val="254A3531"/>
    <w:rsid w:val="254A66E3"/>
    <w:rsid w:val="254C40BE"/>
    <w:rsid w:val="254C7CC6"/>
    <w:rsid w:val="255074F9"/>
    <w:rsid w:val="255D27AD"/>
    <w:rsid w:val="25611868"/>
    <w:rsid w:val="256D5804"/>
    <w:rsid w:val="256E4FB1"/>
    <w:rsid w:val="2571586E"/>
    <w:rsid w:val="25796D6B"/>
    <w:rsid w:val="257E5626"/>
    <w:rsid w:val="25806204"/>
    <w:rsid w:val="25806729"/>
    <w:rsid w:val="25856799"/>
    <w:rsid w:val="258935CA"/>
    <w:rsid w:val="259431DC"/>
    <w:rsid w:val="259C7D2C"/>
    <w:rsid w:val="25A14009"/>
    <w:rsid w:val="25A660A4"/>
    <w:rsid w:val="25B01B45"/>
    <w:rsid w:val="25BA46F2"/>
    <w:rsid w:val="25BD3D89"/>
    <w:rsid w:val="25CE104B"/>
    <w:rsid w:val="25CE24B8"/>
    <w:rsid w:val="25CF59C7"/>
    <w:rsid w:val="25D20D40"/>
    <w:rsid w:val="25D416BB"/>
    <w:rsid w:val="25D62BC3"/>
    <w:rsid w:val="25DF3F98"/>
    <w:rsid w:val="25E0184B"/>
    <w:rsid w:val="25E73FDD"/>
    <w:rsid w:val="25E7784A"/>
    <w:rsid w:val="25F05E3C"/>
    <w:rsid w:val="25F07A07"/>
    <w:rsid w:val="25F934F4"/>
    <w:rsid w:val="25F9481F"/>
    <w:rsid w:val="25FB1D04"/>
    <w:rsid w:val="25FE551C"/>
    <w:rsid w:val="260A3D1D"/>
    <w:rsid w:val="260A5246"/>
    <w:rsid w:val="261C76BF"/>
    <w:rsid w:val="261F1F1A"/>
    <w:rsid w:val="262578F9"/>
    <w:rsid w:val="2628110A"/>
    <w:rsid w:val="262C6EE4"/>
    <w:rsid w:val="2632568F"/>
    <w:rsid w:val="26367EA6"/>
    <w:rsid w:val="263824C1"/>
    <w:rsid w:val="263C7FC6"/>
    <w:rsid w:val="26430400"/>
    <w:rsid w:val="26444999"/>
    <w:rsid w:val="264B4591"/>
    <w:rsid w:val="264F216B"/>
    <w:rsid w:val="26544232"/>
    <w:rsid w:val="26625B2A"/>
    <w:rsid w:val="266778D1"/>
    <w:rsid w:val="266B26A5"/>
    <w:rsid w:val="267A2D8B"/>
    <w:rsid w:val="267A4EF9"/>
    <w:rsid w:val="267E7CE3"/>
    <w:rsid w:val="26805DEA"/>
    <w:rsid w:val="26927727"/>
    <w:rsid w:val="2693660F"/>
    <w:rsid w:val="2699628B"/>
    <w:rsid w:val="269C284A"/>
    <w:rsid w:val="26A0697D"/>
    <w:rsid w:val="26A32713"/>
    <w:rsid w:val="26A438D7"/>
    <w:rsid w:val="26A73B9A"/>
    <w:rsid w:val="26AE5253"/>
    <w:rsid w:val="26B00CC1"/>
    <w:rsid w:val="26B22B7B"/>
    <w:rsid w:val="26BD6A18"/>
    <w:rsid w:val="26BD76C3"/>
    <w:rsid w:val="26D77254"/>
    <w:rsid w:val="26DB0CA7"/>
    <w:rsid w:val="26E62026"/>
    <w:rsid w:val="26E9143A"/>
    <w:rsid w:val="26ED69D1"/>
    <w:rsid w:val="26F90F06"/>
    <w:rsid w:val="26FC4671"/>
    <w:rsid w:val="26FD0EF1"/>
    <w:rsid w:val="26FF13EF"/>
    <w:rsid w:val="27001ABA"/>
    <w:rsid w:val="27020C3E"/>
    <w:rsid w:val="270240C7"/>
    <w:rsid w:val="27034C81"/>
    <w:rsid w:val="27047084"/>
    <w:rsid w:val="270C77C3"/>
    <w:rsid w:val="270D2ECE"/>
    <w:rsid w:val="270E46D8"/>
    <w:rsid w:val="271C5AF5"/>
    <w:rsid w:val="27206361"/>
    <w:rsid w:val="27233C28"/>
    <w:rsid w:val="27241F3A"/>
    <w:rsid w:val="27245FCA"/>
    <w:rsid w:val="272645AD"/>
    <w:rsid w:val="272D51EB"/>
    <w:rsid w:val="27322D73"/>
    <w:rsid w:val="273F6841"/>
    <w:rsid w:val="27400AD7"/>
    <w:rsid w:val="27434FDC"/>
    <w:rsid w:val="27437FCC"/>
    <w:rsid w:val="27460D2E"/>
    <w:rsid w:val="27471DF2"/>
    <w:rsid w:val="27473394"/>
    <w:rsid w:val="27496B42"/>
    <w:rsid w:val="27554AB2"/>
    <w:rsid w:val="27592E37"/>
    <w:rsid w:val="27690AFE"/>
    <w:rsid w:val="276D4C1D"/>
    <w:rsid w:val="276D6E72"/>
    <w:rsid w:val="277B25F3"/>
    <w:rsid w:val="277C1E6D"/>
    <w:rsid w:val="278352AE"/>
    <w:rsid w:val="278456D2"/>
    <w:rsid w:val="27877ADC"/>
    <w:rsid w:val="278C6639"/>
    <w:rsid w:val="2790723A"/>
    <w:rsid w:val="27907BAE"/>
    <w:rsid w:val="2794052C"/>
    <w:rsid w:val="279A70FF"/>
    <w:rsid w:val="279F172D"/>
    <w:rsid w:val="279F35B6"/>
    <w:rsid w:val="27A72F5C"/>
    <w:rsid w:val="27A762B6"/>
    <w:rsid w:val="27AA6234"/>
    <w:rsid w:val="27B615FF"/>
    <w:rsid w:val="27B64D23"/>
    <w:rsid w:val="27BE177A"/>
    <w:rsid w:val="27C21468"/>
    <w:rsid w:val="27C54CE8"/>
    <w:rsid w:val="27CD1F23"/>
    <w:rsid w:val="27D061D4"/>
    <w:rsid w:val="27D2553E"/>
    <w:rsid w:val="27D3215E"/>
    <w:rsid w:val="27D825E2"/>
    <w:rsid w:val="27D86C64"/>
    <w:rsid w:val="27D9067D"/>
    <w:rsid w:val="27DB577C"/>
    <w:rsid w:val="27DB78CF"/>
    <w:rsid w:val="27DC23AB"/>
    <w:rsid w:val="27DD0A3C"/>
    <w:rsid w:val="27E351AB"/>
    <w:rsid w:val="27E53958"/>
    <w:rsid w:val="27E67447"/>
    <w:rsid w:val="27E92D9F"/>
    <w:rsid w:val="27F15009"/>
    <w:rsid w:val="27F471CA"/>
    <w:rsid w:val="27FB1EAF"/>
    <w:rsid w:val="27FF6A4E"/>
    <w:rsid w:val="280D3553"/>
    <w:rsid w:val="28150771"/>
    <w:rsid w:val="28187DA9"/>
    <w:rsid w:val="28237372"/>
    <w:rsid w:val="282B1223"/>
    <w:rsid w:val="282C0647"/>
    <w:rsid w:val="283441F3"/>
    <w:rsid w:val="28383D84"/>
    <w:rsid w:val="283E0864"/>
    <w:rsid w:val="283E445B"/>
    <w:rsid w:val="283F57E8"/>
    <w:rsid w:val="284201AB"/>
    <w:rsid w:val="284A0FF1"/>
    <w:rsid w:val="284F5C9D"/>
    <w:rsid w:val="2854055D"/>
    <w:rsid w:val="285438FD"/>
    <w:rsid w:val="28546985"/>
    <w:rsid w:val="2857175F"/>
    <w:rsid w:val="285836F9"/>
    <w:rsid w:val="28591DB7"/>
    <w:rsid w:val="285D1E71"/>
    <w:rsid w:val="2867652F"/>
    <w:rsid w:val="286B425C"/>
    <w:rsid w:val="286B7D69"/>
    <w:rsid w:val="286E230C"/>
    <w:rsid w:val="28787A81"/>
    <w:rsid w:val="287C0AF7"/>
    <w:rsid w:val="287F4059"/>
    <w:rsid w:val="28916281"/>
    <w:rsid w:val="289430C1"/>
    <w:rsid w:val="289A4FE8"/>
    <w:rsid w:val="289A5076"/>
    <w:rsid w:val="289B2083"/>
    <w:rsid w:val="289C5F06"/>
    <w:rsid w:val="289E5657"/>
    <w:rsid w:val="28A33FA0"/>
    <w:rsid w:val="28AB52F5"/>
    <w:rsid w:val="28AD2D25"/>
    <w:rsid w:val="28B0320D"/>
    <w:rsid w:val="28B6098C"/>
    <w:rsid w:val="28B63863"/>
    <w:rsid w:val="28BC2B3A"/>
    <w:rsid w:val="28BE4C67"/>
    <w:rsid w:val="28C6305D"/>
    <w:rsid w:val="28C675D6"/>
    <w:rsid w:val="28C716C2"/>
    <w:rsid w:val="28CA1556"/>
    <w:rsid w:val="28D3381B"/>
    <w:rsid w:val="28D532C3"/>
    <w:rsid w:val="28D638E8"/>
    <w:rsid w:val="28D92CCD"/>
    <w:rsid w:val="28DE012A"/>
    <w:rsid w:val="28E136E4"/>
    <w:rsid w:val="28EE1ED8"/>
    <w:rsid w:val="28EF3E9F"/>
    <w:rsid w:val="28F35991"/>
    <w:rsid w:val="28F62399"/>
    <w:rsid w:val="28F736D5"/>
    <w:rsid w:val="28FC49B4"/>
    <w:rsid w:val="29070822"/>
    <w:rsid w:val="291B4F79"/>
    <w:rsid w:val="291F3BBE"/>
    <w:rsid w:val="29222436"/>
    <w:rsid w:val="29272BDA"/>
    <w:rsid w:val="29343EE2"/>
    <w:rsid w:val="29377B4C"/>
    <w:rsid w:val="29397051"/>
    <w:rsid w:val="294352D5"/>
    <w:rsid w:val="29454300"/>
    <w:rsid w:val="294671E7"/>
    <w:rsid w:val="294D20D6"/>
    <w:rsid w:val="29541B61"/>
    <w:rsid w:val="295E380E"/>
    <w:rsid w:val="295F1008"/>
    <w:rsid w:val="2966211B"/>
    <w:rsid w:val="29666376"/>
    <w:rsid w:val="29704429"/>
    <w:rsid w:val="297330A6"/>
    <w:rsid w:val="29741D20"/>
    <w:rsid w:val="29794249"/>
    <w:rsid w:val="297B55C8"/>
    <w:rsid w:val="297C47AE"/>
    <w:rsid w:val="29803AAF"/>
    <w:rsid w:val="29856AEA"/>
    <w:rsid w:val="298967CF"/>
    <w:rsid w:val="298A0435"/>
    <w:rsid w:val="29935B9A"/>
    <w:rsid w:val="29935FC6"/>
    <w:rsid w:val="29960A13"/>
    <w:rsid w:val="29963158"/>
    <w:rsid w:val="29965AF2"/>
    <w:rsid w:val="29975217"/>
    <w:rsid w:val="299C309E"/>
    <w:rsid w:val="29A31F36"/>
    <w:rsid w:val="29A3234A"/>
    <w:rsid w:val="29AE5071"/>
    <w:rsid w:val="29AF526B"/>
    <w:rsid w:val="29B30772"/>
    <w:rsid w:val="29C134AE"/>
    <w:rsid w:val="29C23CA4"/>
    <w:rsid w:val="29CF350A"/>
    <w:rsid w:val="29CF71B8"/>
    <w:rsid w:val="29D36103"/>
    <w:rsid w:val="29DB6A8D"/>
    <w:rsid w:val="29DC715A"/>
    <w:rsid w:val="29E11CB0"/>
    <w:rsid w:val="29E5275F"/>
    <w:rsid w:val="29E65387"/>
    <w:rsid w:val="29E771E2"/>
    <w:rsid w:val="29F75BE9"/>
    <w:rsid w:val="2A073D0E"/>
    <w:rsid w:val="2A0B1A65"/>
    <w:rsid w:val="2A0F4D09"/>
    <w:rsid w:val="2A1917B4"/>
    <w:rsid w:val="2A1C4B4E"/>
    <w:rsid w:val="2A1E0C99"/>
    <w:rsid w:val="2A2A1FD9"/>
    <w:rsid w:val="2A2D0AAD"/>
    <w:rsid w:val="2A324BF4"/>
    <w:rsid w:val="2A32716C"/>
    <w:rsid w:val="2A332DAF"/>
    <w:rsid w:val="2A335B57"/>
    <w:rsid w:val="2A3D3CA6"/>
    <w:rsid w:val="2A407FBB"/>
    <w:rsid w:val="2A4260FC"/>
    <w:rsid w:val="2A461AE6"/>
    <w:rsid w:val="2A49224F"/>
    <w:rsid w:val="2A54242D"/>
    <w:rsid w:val="2A55766A"/>
    <w:rsid w:val="2A561C8D"/>
    <w:rsid w:val="2A5B3C6D"/>
    <w:rsid w:val="2A5D3025"/>
    <w:rsid w:val="2A621B97"/>
    <w:rsid w:val="2A765F0E"/>
    <w:rsid w:val="2A7B2293"/>
    <w:rsid w:val="2A7B5AF4"/>
    <w:rsid w:val="2A7F5D03"/>
    <w:rsid w:val="2A7F7C03"/>
    <w:rsid w:val="2A8147D1"/>
    <w:rsid w:val="2A827D20"/>
    <w:rsid w:val="2A845136"/>
    <w:rsid w:val="2A8D34CA"/>
    <w:rsid w:val="2A8F1DFC"/>
    <w:rsid w:val="2A946151"/>
    <w:rsid w:val="2A951C04"/>
    <w:rsid w:val="2A990C8A"/>
    <w:rsid w:val="2AA31456"/>
    <w:rsid w:val="2AA33154"/>
    <w:rsid w:val="2AA9790A"/>
    <w:rsid w:val="2AAB7513"/>
    <w:rsid w:val="2AB256B8"/>
    <w:rsid w:val="2AB40232"/>
    <w:rsid w:val="2AB87090"/>
    <w:rsid w:val="2AB95FA8"/>
    <w:rsid w:val="2ABB23A5"/>
    <w:rsid w:val="2AC870CA"/>
    <w:rsid w:val="2ACE2C50"/>
    <w:rsid w:val="2AD0397B"/>
    <w:rsid w:val="2AD41955"/>
    <w:rsid w:val="2AD85BD5"/>
    <w:rsid w:val="2ADE2D18"/>
    <w:rsid w:val="2ADF0128"/>
    <w:rsid w:val="2AE47841"/>
    <w:rsid w:val="2AE810FC"/>
    <w:rsid w:val="2AE90812"/>
    <w:rsid w:val="2AF14F65"/>
    <w:rsid w:val="2AFD155A"/>
    <w:rsid w:val="2AFF7432"/>
    <w:rsid w:val="2B041DEA"/>
    <w:rsid w:val="2B066DA7"/>
    <w:rsid w:val="2B143CA5"/>
    <w:rsid w:val="2B217BA5"/>
    <w:rsid w:val="2B2442A4"/>
    <w:rsid w:val="2B277614"/>
    <w:rsid w:val="2B2C155B"/>
    <w:rsid w:val="2B2F3222"/>
    <w:rsid w:val="2B301410"/>
    <w:rsid w:val="2B321A83"/>
    <w:rsid w:val="2B387DEF"/>
    <w:rsid w:val="2B39703A"/>
    <w:rsid w:val="2B4C2243"/>
    <w:rsid w:val="2B4D7BC7"/>
    <w:rsid w:val="2B5121BA"/>
    <w:rsid w:val="2B5D6815"/>
    <w:rsid w:val="2B675C16"/>
    <w:rsid w:val="2B6C4D13"/>
    <w:rsid w:val="2B6C56C5"/>
    <w:rsid w:val="2B7E3BDE"/>
    <w:rsid w:val="2B845B57"/>
    <w:rsid w:val="2B8A3155"/>
    <w:rsid w:val="2B90053B"/>
    <w:rsid w:val="2B922D1D"/>
    <w:rsid w:val="2B9C184E"/>
    <w:rsid w:val="2BA75E95"/>
    <w:rsid w:val="2BAE2D6F"/>
    <w:rsid w:val="2BB538B0"/>
    <w:rsid w:val="2BB64B2C"/>
    <w:rsid w:val="2BBD70B5"/>
    <w:rsid w:val="2BBF2E7F"/>
    <w:rsid w:val="2BC47D7C"/>
    <w:rsid w:val="2BC82892"/>
    <w:rsid w:val="2BCB0AE1"/>
    <w:rsid w:val="2BD04861"/>
    <w:rsid w:val="2BE40D53"/>
    <w:rsid w:val="2BE87D75"/>
    <w:rsid w:val="2BF35741"/>
    <w:rsid w:val="2BF36CEB"/>
    <w:rsid w:val="2BF459EB"/>
    <w:rsid w:val="2BF77722"/>
    <w:rsid w:val="2C0B0318"/>
    <w:rsid w:val="2C0F3BEA"/>
    <w:rsid w:val="2C162BE4"/>
    <w:rsid w:val="2C1E0A93"/>
    <w:rsid w:val="2C1E763E"/>
    <w:rsid w:val="2C1F301A"/>
    <w:rsid w:val="2C2004CD"/>
    <w:rsid w:val="2C2D4594"/>
    <w:rsid w:val="2C401128"/>
    <w:rsid w:val="2C536C69"/>
    <w:rsid w:val="2C554302"/>
    <w:rsid w:val="2C600647"/>
    <w:rsid w:val="2C617A4D"/>
    <w:rsid w:val="2C652215"/>
    <w:rsid w:val="2C6807F0"/>
    <w:rsid w:val="2C756DEA"/>
    <w:rsid w:val="2C765495"/>
    <w:rsid w:val="2C770F4E"/>
    <w:rsid w:val="2C806FB5"/>
    <w:rsid w:val="2C87559E"/>
    <w:rsid w:val="2C8B2855"/>
    <w:rsid w:val="2C8B6C1C"/>
    <w:rsid w:val="2C9215C6"/>
    <w:rsid w:val="2C993ABD"/>
    <w:rsid w:val="2C994DE9"/>
    <w:rsid w:val="2C9A3289"/>
    <w:rsid w:val="2CBA1E54"/>
    <w:rsid w:val="2CBD0B17"/>
    <w:rsid w:val="2CC46D97"/>
    <w:rsid w:val="2CC6499F"/>
    <w:rsid w:val="2CD054DB"/>
    <w:rsid w:val="2CDF34EB"/>
    <w:rsid w:val="2CEC2462"/>
    <w:rsid w:val="2CED0D73"/>
    <w:rsid w:val="2CF01BE7"/>
    <w:rsid w:val="2CFE5246"/>
    <w:rsid w:val="2D044988"/>
    <w:rsid w:val="2D0715A7"/>
    <w:rsid w:val="2D075C03"/>
    <w:rsid w:val="2D0D6A81"/>
    <w:rsid w:val="2D1170D9"/>
    <w:rsid w:val="2D1234D6"/>
    <w:rsid w:val="2D193BC7"/>
    <w:rsid w:val="2D242C95"/>
    <w:rsid w:val="2D244ED7"/>
    <w:rsid w:val="2D2649ED"/>
    <w:rsid w:val="2D290BD2"/>
    <w:rsid w:val="2D300CD4"/>
    <w:rsid w:val="2D306BEE"/>
    <w:rsid w:val="2D3818CB"/>
    <w:rsid w:val="2D3E18CD"/>
    <w:rsid w:val="2D4336E5"/>
    <w:rsid w:val="2D43668F"/>
    <w:rsid w:val="2D4A4B7C"/>
    <w:rsid w:val="2D511634"/>
    <w:rsid w:val="2D54655C"/>
    <w:rsid w:val="2D580B04"/>
    <w:rsid w:val="2D5C20F6"/>
    <w:rsid w:val="2D5D6056"/>
    <w:rsid w:val="2D606DDD"/>
    <w:rsid w:val="2D684A45"/>
    <w:rsid w:val="2D722B31"/>
    <w:rsid w:val="2D722C6C"/>
    <w:rsid w:val="2D77018A"/>
    <w:rsid w:val="2D8F594D"/>
    <w:rsid w:val="2D905B07"/>
    <w:rsid w:val="2D975D04"/>
    <w:rsid w:val="2D976D39"/>
    <w:rsid w:val="2D9862F6"/>
    <w:rsid w:val="2D9A3115"/>
    <w:rsid w:val="2D9B3A21"/>
    <w:rsid w:val="2D9E49CB"/>
    <w:rsid w:val="2DA2485C"/>
    <w:rsid w:val="2DA65C03"/>
    <w:rsid w:val="2DAC40FD"/>
    <w:rsid w:val="2DC2587C"/>
    <w:rsid w:val="2DC652D0"/>
    <w:rsid w:val="2DCE33D1"/>
    <w:rsid w:val="2DD02972"/>
    <w:rsid w:val="2DE05A9D"/>
    <w:rsid w:val="2DE4330E"/>
    <w:rsid w:val="2DE44761"/>
    <w:rsid w:val="2DE71FB6"/>
    <w:rsid w:val="2DEE0C13"/>
    <w:rsid w:val="2DF14E04"/>
    <w:rsid w:val="2DFE6EC4"/>
    <w:rsid w:val="2E021C1F"/>
    <w:rsid w:val="2E0A272C"/>
    <w:rsid w:val="2E1F05B0"/>
    <w:rsid w:val="2E273A99"/>
    <w:rsid w:val="2E2D4B23"/>
    <w:rsid w:val="2E310DA8"/>
    <w:rsid w:val="2E3A7AD9"/>
    <w:rsid w:val="2E3B4CF8"/>
    <w:rsid w:val="2E3C4B03"/>
    <w:rsid w:val="2E3F60DE"/>
    <w:rsid w:val="2E40631B"/>
    <w:rsid w:val="2E425CCC"/>
    <w:rsid w:val="2E426DA5"/>
    <w:rsid w:val="2E4D56DF"/>
    <w:rsid w:val="2E5C0781"/>
    <w:rsid w:val="2E5E1E89"/>
    <w:rsid w:val="2E681986"/>
    <w:rsid w:val="2E6A00AA"/>
    <w:rsid w:val="2E6C2CCD"/>
    <w:rsid w:val="2E7236F3"/>
    <w:rsid w:val="2E800178"/>
    <w:rsid w:val="2E84761D"/>
    <w:rsid w:val="2E926FBA"/>
    <w:rsid w:val="2E9D13D3"/>
    <w:rsid w:val="2EA06163"/>
    <w:rsid w:val="2EA32506"/>
    <w:rsid w:val="2EA91E36"/>
    <w:rsid w:val="2EAA53EF"/>
    <w:rsid w:val="2ED2305A"/>
    <w:rsid w:val="2ED53899"/>
    <w:rsid w:val="2ED65A68"/>
    <w:rsid w:val="2EE12EDE"/>
    <w:rsid w:val="2EEB11AA"/>
    <w:rsid w:val="2EEE548D"/>
    <w:rsid w:val="2EF01206"/>
    <w:rsid w:val="2EF53C2A"/>
    <w:rsid w:val="2EF616CC"/>
    <w:rsid w:val="2EF62FFD"/>
    <w:rsid w:val="2EF9530B"/>
    <w:rsid w:val="2EFA5413"/>
    <w:rsid w:val="2EFD7A9D"/>
    <w:rsid w:val="2F02696C"/>
    <w:rsid w:val="2F0C243B"/>
    <w:rsid w:val="2F1228FD"/>
    <w:rsid w:val="2F12397D"/>
    <w:rsid w:val="2F1E0131"/>
    <w:rsid w:val="2F20128C"/>
    <w:rsid w:val="2F330448"/>
    <w:rsid w:val="2F347DE0"/>
    <w:rsid w:val="2F375F5E"/>
    <w:rsid w:val="2F427483"/>
    <w:rsid w:val="2F495DD7"/>
    <w:rsid w:val="2F564CED"/>
    <w:rsid w:val="2F59761E"/>
    <w:rsid w:val="2F5B2C2F"/>
    <w:rsid w:val="2F615964"/>
    <w:rsid w:val="2F6D3BD2"/>
    <w:rsid w:val="2F7373E2"/>
    <w:rsid w:val="2F765FF3"/>
    <w:rsid w:val="2F7716A4"/>
    <w:rsid w:val="2F7E02D6"/>
    <w:rsid w:val="2F855763"/>
    <w:rsid w:val="2F8A6243"/>
    <w:rsid w:val="2F905005"/>
    <w:rsid w:val="2F947C8B"/>
    <w:rsid w:val="2F992B03"/>
    <w:rsid w:val="2F9B4D17"/>
    <w:rsid w:val="2FAB140E"/>
    <w:rsid w:val="2FB07AE2"/>
    <w:rsid w:val="2FB51FDB"/>
    <w:rsid w:val="2FB86CB3"/>
    <w:rsid w:val="2FCC3691"/>
    <w:rsid w:val="2FD46ECA"/>
    <w:rsid w:val="2FD60770"/>
    <w:rsid w:val="2FD638A4"/>
    <w:rsid w:val="2FDC76A6"/>
    <w:rsid w:val="2FDD694E"/>
    <w:rsid w:val="2FE626B1"/>
    <w:rsid w:val="2FEA46A6"/>
    <w:rsid w:val="2FED128A"/>
    <w:rsid w:val="2FEE74CE"/>
    <w:rsid w:val="2FF103A2"/>
    <w:rsid w:val="2FF1434E"/>
    <w:rsid w:val="30041029"/>
    <w:rsid w:val="300B6270"/>
    <w:rsid w:val="300D4BEB"/>
    <w:rsid w:val="3010755A"/>
    <w:rsid w:val="30116183"/>
    <w:rsid w:val="3016135D"/>
    <w:rsid w:val="301D5FE0"/>
    <w:rsid w:val="30251893"/>
    <w:rsid w:val="30281BE6"/>
    <w:rsid w:val="30316E1F"/>
    <w:rsid w:val="303333A4"/>
    <w:rsid w:val="30344C3E"/>
    <w:rsid w:val="30364213"/>
    <w:rsid w:val="30367A3C"/>
    <w:rsid w:val="303E0040"/>
    <w:rsid w:val="30487D9D"/>
    <w:rsid w:val="30560DB2"/>
    <w:rsid w:val="306054FC"/>
    <w:rsid w:val="30650648"/>
    <w:rsid w:val="30661A7C"/>
    <w:rsid w:val="30680854"/>
    <w:rsid w:val="30710508"/>
    <w:rsid w:val="30750B1F"/>
    <w:rsid w:val="30767F36"/>
    <w:rsid w:val="307957A2"/>
    <w:rsid w:val="307C6BAA"/>
    <w:rsid w:val="30837C1A"/>
    <w:rsid w:val="30876226"/>
    <w:rsid w:val="308A0768"/>
    <w:rsid w:val="308A486D"/>
    <w:rsid w:val="308B13BB"/>
    <w:rsid w:val="308D4FA9"/>
    <w:rsid w:val="308F60F8"/>
    <w:rsid w:val="30920555"/>
    <w:rsid w:val="30927AE9"/>
    <w:rsid w:val="3094258B"/>
    <w:rsid w:val="309557C0"/>
    <w:rsid w:val="309A219B"/>
    <w:rsid w:val="309D505F"/>
    <w:rsid w:val="30A124D1"/>
    <w:rsid w:val="30A13A34"/>
    <w:rsid w:val="30B17EF2"/>
    <w:rsid w:val="30B25382"/>
    <w:rsid w:val="30BA58F7"/>
    <w:rsid w:val="30C15BE9"/>
    <w:rsid w:val="30C80126"/>
    <w:rsid w:val="30CB291F"/>
    <w:rsid w:val="30CE2908"/>
    <w:rsid w:val="30D0030B"/>
    <w:rsid w:val="30D3370F"/>
    <w:rsid w:val="30DB4233"/>
    <w:rsid w:val="30DC5FCD"/>
    <w:rsid w:val="30DD697B"/>
    <w:rsid w:val="30ED531C"/>
    <w:rsid w:val="30F55EC9"/>
    <w:rsid w:val="30FB7420"/>
    <w:rsid w:val="310155A8"/>
    <w:rsid w:val="31094915"/>
    <w:rsid w:val="31116472"/>
    <w:rsid w:val="31134CCB"/>
    <w:rsid w:val="311463E7"/>
    <w:rsid w:val="311C3B22"/>
    <w:rsid w:val="312E609A"/>
    <w:rsid w:val="31354E8B"/>
    <w:rsid w:val="31385FC6"/>
    <w:rsid w:val="31387F2D"/>
    <w:rsid w:val="31483E78"/>
    <w:rsid w:val="314F5934"/>
    <w:rsid w:val="314F6D01"/>
    <w:rsid w:val="31531F0D"/>
    <w:rsid w:val="315A38DE"/>
    <w:rsid w:val="315B4E9F"/>
    <w:rsid w:val="315C4EE4"/>
    <w:rsid w:val="315E6838"/>
    <w:rsid w:val="31607BC3"/>
    <w:rsid w:val="316657CD"/>
    <w:rsid w:val="316679C2"/>
    <w:rsid w:val="3173454C"/>
    <w:rsid w:val="31793F5A"/>
    <w:rsid w:val="317C3171"/>
    <w:rsid w:val="318374A9"/>
    <w:rsid w:val="318843F4"/>
    <w:rsid w:val="318A102E"/>
    <w:rsid w:val="31966601"/>
    <w:rsid w:val="31A04156"/>
    <w:rsid w:val="31BA1723"/>
    <w:rsid w:val="31BA7378"/>
    <w:rsid w:val="31BB0903"/>
    <w:rsid w:val="31BC7E90"/>
    <w:rsid w:val="31C07B00"/>
    <w:rsid w:val="31CC5E1B"/>
    <w:rsid w:val="31D124A1"/>
    <w:rsid w:val="31D438E3"/>
    <w:rsid w:val="31D72B94"/>
    <w:rsid w:val="31DC19C9"/>
    <w:rsid w:val="31E71C60"/>
    <w:rsid w:val="31E95915"/>
    <w:rsid w:val="31E965CC"/>
    <w:rsid w:val="31F1423A"/>
    <w:rsid w:val="31F562AD"/>
    <w:rsid w:val="31F94FF8"/>
    <w:rsid w:val="31FC70A0"/>
    <w:rsid w:val="3201399E"/>
    <w:rsid w:val="32031052"/>
    <w:rsid w:val="320B5C3E"/>
    <w:rsid w:val="32120ACA"/>
    <w:rsid w:val="3217765E"/>
    <w:rsid w:val="321A0BD9"/>
    <w:rsid w:val="321F1B35"/>
    <w:rsid w:val="322C0A36"/>
    <w:rsid w:val="323347C6"/>
    <w:rsid w:val="323C3C42"/>
    <w:rsid w:val="323E3A9D"/>
    <w:rsid w:val="324112A8"/>
    <w:rsid w:val="3242183E"/>
    <w:rsid w:val="324D59D3"/>
    <w:rsid w:val="32557452"/>
    <w:rsid w:val="32584FAC"/>
    <w:rsid w:val="32616E5E"/>
    <w:rsid w:val="32663E69"/>
    <w:rsid w:val="32687EE2"/>
    <w:rsid w:val="326B1EA1"/>
    <w:rsid w:val="326D3699"/>
    <w:rsid w:val="326D7D87"/>
    <w:rsid w:val="326E1FE0"/>
    <w:rsid w:val="327321BC"/>
    <w:rsid w:val="3276140C"/>
    <w:rsid w:val="32810BE7"/>
    <w:rsid w:val="3282037A"/>
    <w:rsid w:val="32873A01"/>
    <w:rsid w:val="3295105C"/>
    <w:rsid w:val="32980D94"/>
    <w:rsid w:val="32A21F65"/>
    <w:rsid w:val="32A26665"/>
    <w:rsid w:val="32A405F7"/>
    <w:rsid w:val="32A66A31"/>
    <w:rsid w:val="32B44827"/>
    <w:rsid w:val="32B9280F"/>
    <w:rsid w:val="32BA2E6B"/>
    <w:rsid w:val="32CA2DBF"/>
    <w:rsid w:val="32CA6E09"/>
    <w:rsid w:val="32CC56B3"/>
    <w:rsid w:val="32CF2F49"/>
    <w:rsid w:val="32D86343"/>
    <w:rsid w:val="32DA2BFB"/>
    <w:rsid w:val="32E42C6B"/>
    <w:rsid w:val="32E67BDA"/>
    <w:rsid w:val="32EA7AB4"/>
    <w:rsid w:val="32EB6C8D"/>
    <w:rsid w:val="32EC5F90"/>
    <w:rsid w:val="32F573F4"/>
    <w:rsid w:val="32FA19FA"/>
    <w:rsid w:val="32FB5D07"/>
    <w:rsid w:val="33034EE7"/>
    <w:rsid w:val="331617B9"/>
    <w:rsid w:val="33185596"/>
    <w:rsid w:val="331A709C"/>
    <w:rsid w:val="332630A5"/>
    <w:rsid w:val="33277A8D"/>
    <w:rsid w:val="332961A8"/>
    <w:rsid w:val="332A512D"/>
    <w:rsid w:val="332A7F49"/>
    <w:rsid w:val="332D6D5D"/>
    <w:rsid w:val="33342C15"/>
    <w:rsid w:val="333E034F"/>
    <w:rsid w:val="33463108"/>
    <w:rsid w:val="33485D70"/>
    <w:rsid w:val="334E58BF"/>
    <w:rsid w:val="335612E7"/>
    <w:rsid w:val="33566CF0"/>
    <w:rsid w:val="33590798"/>
    <w:rsid w:val="335C4742"/>
    <w:rsid w:val="335D60C6"/>
    <w:rsid w:val="335F73F1"/>
    <w:rsid w:val="33645BBE"/>
    <w:rsid w:val="33666F60"/>
    <w:rsid w:val="336A2D95"/>
    <w:rsid w:val="336E44F8"/>
    <w:rsid w:val="336E4EC1"/>
    <w:rsid w:val="337752D1"/>
    <w:rsid w:val="3385049D"/>
    <w:rsid w:val="33896CE7"/>
    <w:rsid w:val="338D6A86"/>
    <w:rsid w:val="339B4D62"/>
    <w:rsid w:val="33A2061F"/>
    <w:rsid w:val="33A46D1A"/>
    <w:rsid w:val="33B276CA"/>
    <w:rsid w:val="33B8496E"/>
    <w:rsid w:val="33BB6711"/>
    <w:rsid w:val="33C224FD"/>
    <w:rsid w:val="33C32EC7"/>
    <w:rsid w:val="33C34664"/>
    <w:rsid w:val="33CA6BC0"/>
    <w:rsid w:val="33CA76F3"/>
    <w:rsid w:val="33DA71A4"/>
    <w:rsid w:val="33E06EA5"/>
    <w:rsid w:val="33E91E0C"/>
    <w:rsid w:val="33EC6084"/>
    <w:rsid w:val="33F37B8F"/>
    <w:rsid w:val="33F51A38"/>
    <w:rsid w:val="34002C18"/>
    <w:rsid w:val="34010C78"/>
    <w:rsid w:val="34024ACD"/>
    <w:rsid w:val="34113DDF"/>
    <w:rsid w:val="341423E6"/>
    <w:rsid w:val="34171726"/>
    <w:rsid w:val="34184786"/>
    <w:rsid w:val="3424076F"/>
    <w:rsid w:val="34260D76"/>
    <w:rsid w:val="34266829"/>
    <w:rsid w:val="34281E11"/>
    <w:rsid w:val="34285604"/>
    <w:rsid w:val="342D0BE1"/>
    <w:rsid w:val="342E1A49"/>
    <w:rsid w:val="34384046"/>
    <w:rsid w:val="343A72F1"/>
    <w:rsid w:val="34420508"/>
    <w:rsid w:val="345115A8"/>
    <w:rsid w:val="345851AA"/>
    <w:rsid w:val="346423BE"/>
    <w:rsid w:val="346E34C4"/>
    <w:rsid w:val="3472744B"/>
    <w:rsid w:val="3474078B"/>
    <w:rsid w:val="348078B0"/>
    <w:rsid w:val="3481316D"/>
    <w:rsid w:val="348651BC"/>
    <w:rsid w:val="348C4C1E"/>
    <w:rsid w:val="348F514A"/>
    <w:rsid w:val="34935D20"/>
    <w:rsid w:val="34952C9D"/>
    <w:rsid w:val="349B1F71"/>
    <w:rsid w:val="34A76915"/>
    <w:rsid w:val="34AA3FDD"/>
    <w:rsid w:val="34B15C01"/>
    <w:rsid w:val="34B318C6"/>
    <w:rsid w:val="34B77CED"/>
    <w:rsid w:val="34B9529E"/>
    <w:rsid w:val="34BC7302"/>
    <w:rsid w:val="34C20E8B"/>
    <w:rsid w:val="34C553D1"/>
    <w:rsid w:val="34C63EC7"/>
    <w:rsid w:val="34CE67DF"/>
    <w:rsid w:val="34D3344B"/>
    <w:rsid w:val="34D672BE"/>
    <w:rsid w:val="34DB2ABB"/>
    <w:rsid w:val="34DC2FB4"/>
    <w:rsid w:val="34DF4EE9"/>
    <w:rsid w:val="34E04320"/>
    <w:rsid w:val="34EB6A4D"/>
    <w:rsid w:val="34ED4990"/>
    <w:rsid w:val="34EF5757"/>
    <w:rsid w:val="34F230D6"/>
    <w:rsid w:val="34F30289"/>
    <w:rsid w:val="34F4517D"/>
    <w:rsid w:val="34FA0BBE"/>
    <w:rsid w:val="34FB264B"/>
    <w:rsid w:val="34FB2EE1"/>
    <w:rsid w:val="34FC34AB"/>
    <w:rsid w:val="34FD7434"/>
    <w:rsid w:val="35001896"/>
    <w:rsid w:val="35036B7C"/>
    <w:rsid w:val="35082F16"/>
    <w:rsid w:val="350D5617"/>
    <w:rsid w:val="350E6DA1"/>
    <w:rsid w:val="350F39AD"/>
    <w:rsid w:val="35110BDD"/>
    <w:rsid w:val="351138B9"/>
    <w:rsid w:val="35150CF6"/>
    <w:rsid w:val="35162938"/>
    <w:rsid w:val="352250EF"/>
    <w:rsid w:val="35297043"/>
    <w:rsid w:val="352B3990"/>
    <w:rsid w:val="35350C30"/>
    <w:rsid w:val="35386159"/>
    <w:rsid w:val="353F3847"/>
    <w:rsid w:val="354271E8"/>
    <w:rsid w:val="354F1EAC"/>
    <w:rsid w:val="35563422"/>
    <w:rsid w:val="35595B2A"/>
    <w:rsid w:val="355A6E49"/>
    <w:rsid w:val="355D7E6E"/>
    <w:rsid w:val="355F3196"/>
    <w:rsid w:val="35626F26"/>
    <w:rsid w:val="35630D47"/>
    <w:rsid w:val="356F74C8"/>
    <w:rsid w:val="35726628"/>
    <w:rsid w:val="357658A7"/>
    <w:rsid w:val="35801D0B"/>
    <w:rsid w:val="358021CD"/>
    <w:rsid w:val="358031AD"/>
    <w:rsid w:val="35803529"/>
    <w:rsid w:val="35805847"/>
    <w:rsid w:val="358A3635"/>
    <w:rsid w:val="358D4D9C"/>
    <w:rsid w:val="35952DD3"/>
    <w:rsid w:val="359669C7"/>
    <w:rsid w:val="359954E7"/>
    <w:rsid w:val="35A4008D"/>
    <w:rsid w:val="35AF617F"/>
    <w:rsid w:val="35AF6CE5"/>
    <w:rsid w:val="35BA094D"/>
    <w:rsid w:val="35BE51F7"/>
    <w:rsid w:val="35C07A3B"/>
    <w:rsid w:val="35CA6E49"/>
    <w:rsid w:val="35D13F28"/>
    <w:rsid w:val="35D30984"/>
    <w:rsid w:val="35D9744B"/>
    <w:rsid w:val="35DB6549"/>
    <w:rsid w:val="35E2509E"/>
    <w:rsid w:val="35E3354A"/>
    <w:rsid w:val="35E770B1"/>
    <w:rsid w:val="35ED26BD"/>
    <w:rsid w:val="35ED5576"/>
    <w:rsid w:val="35F26562"/>
    <w:rsid w:val="35F55D16"/>
    <w:rsid w:val="35F828B8"/>
    <w:rsid w:val="35FD473D"/>
    <w:rsid w:val="35FF07A5"/>
    <w:rsid w:val="35FF3AAA"/>
    <w:rsid w:val="36040CF1"/>
    <w:rsid w:val="360D4A05"/>
    <w:rsid w:val="36195B05"/>
    <w:rsid w:val="361F6D46"/>
    <w:rsid w:val="3627010F"/>
    <w:rsid w:val="363267A7"/>
    <w:rsid w:val="36345037"/>
    <w:rsid w:val="363541A1"/>
    <w:rsid w:val="363746ED"/>
    <w:rsid w:val="363942BE"/>
    <w:rsid w:val="363D21C7"/>
    <w:rsid w:val="363E17BD"/>
    <w:rsid w:val="36432C4D"/>
    <w:rsid w:val="3649353D"/>
    <w:rsid w:val="364A1507"/>
    <w:rsid w:val="36521349"/>
    <w:rsid w:val="36536C9E"/>
    <w:rsid w:val="36550C65"/>
    <w:rsid w:val="365738B3"/>
    <w:rsid w:val="365A4623"/>
    <w:rsid w:val="365D0BFF"/>
    <w:rsid w:val="3662791F"/>
    <w:rsid w:val="36637DED"/>
    <w:rsid w:val="36640E31"/>
    <w:rsid w:val="366D1D52"/>
    <w:rsid w:val="366E6E4F"/>
    <w:rsid w:val="3674300B"/>
    <w:rsid w:val="367B5D7B"/>
    <w:rsid w:val="36803843"/>
    <w:rsid w:val="36855E5E"/>
    <w:rsid w:val="368724D6"/>
    <w:rsid w:val="368A4B6B"/>
    <w:rsid w:val="368E5759"/>
    <w:rsid w:val="3696026E"/>
    <w:rsid w:val="36964FBD"/>
    <w:rsid w:val="369F41AE"/>
    <w:rsid w:val="36A85748"/>
    <w:rsid w:val="36AC0043"/>
    <w:rsid w:val="36B966B8"/>
    <w:rsid w:val="36CA60D3"/>
    <w:rsid w:val="36CC1F48"/>
    <w:rsid w:val="36CC5153"/>
    <w:rsid w:val="36CF2111"/>
    <w:rsid w:val="36D23A3D"/>
    <w:rsid w:val="36D25708"/>
    <w:rsid w:val="36DB5F3E"/>
    <w:rsid w:val="36E21D1B"/>
    <w:rsid w:val="36F7289B"/>
    <w:rsid w:val="36F928FB"/>
    <w:rsid w:val="36FB628D"/>
    <w:rsid w:val="3700705B"/>
    <w:rsid w:val="3704646D"/>
    <w:rsid w:val="370F0C47"/>
    <w:rsid w:val="37161AEC"/>
    <w:rsid w:val="37164D93"/>
    <w:rsid w:val="371F5158"/>
    <w:rsid w:val="37284BBF"/>
    <w:rsid w:val="372C0719"/>
    <w:rsid w:val="37370397"/>
    <w:rsid w:val="37382295"/>
    <w:rsid w:val="373A56D7"/>
    <w:rsid w:val="374279B4"/>
    <w:rsid w:val="37435715"/>
    <w:rsid w:val="37454090"/>
    <w:rsid w:val="3748436B"/>
    <w:rsid w:val="374F3F70"/>
    <w:rsid w:val="374F6DCD"/>
    <w:rsid w:val="37511A81"/>
    <w:rsid w:val="37515F9C"/>
    <w:rsid w:val="37646A87"/>
    <w:rsid w:val="376D58B9"/>
    <w:rsid w:val="377A05B0"/>
    <w:rsid w:val="377D441E"/>
    <w:rsid w:val="377F2075"/>
    <w:rsid w:val="37831637"/>
    <w:rsid w:val="37852C4C"/>
    <w:rsid w:val="37887AAA"/>
    <w:rsid w:val="3791710D"/>
    <w:rsid w:val="37964796"/>
    <w:rsid w:val="379819A8"/>
    <w:rsid w:val="3798506F"/>
    <w:rsid w:val="37A151BD"/>
    <w:rsid w:val="37A72E6F"/>
    <w:rsid w:val="37A8716F"/>
    <w:rsid w:val="37A903EA"/>
    <w:rsid w:val="37AB2119"/>
    <w:rsid w:val="37AB7D73"/>
    <w:rsid w:val="37AE2027"/>
    <w:rsid w:val="37B95722"/>
    <w:rsid w:val="37BD53B3"/>
    <w:rsid w:val="37C11524"/>
    <w:rsid w:val="37C56598"/>
    <w:rsid w:val="37CE3B6E"/>
    <w:rsid w:val="37D032C8"/>
    <w:rsid w:val="37D76DB8"/>
    <w:rsid w:val="37DE41F4"/>
    <w:rsid w:val="37E039D1"/>
    <w:rsid w:val="37E340D5"/>
    <w:rsid w:val="37E4235E"/>
    <w:rsid w:val="37F26B9C"/>
    <w:rsid w:val="37F33444"/>
    <w:rsid w:val="37F60D49"/>
    <w:rsid w:val="37F80845"/>
    <w:rsid w:val="37FA796D"/>
    <w:rsid w:val="3802799C"/>
    <w:rsid w:val="3804068F"/>
    <w:rsid w:val="380843B4"/>
    <w:rsid w:val="3810380F"/>
    <w:rsid w:val="38117DCD"/>
    <w:rsid w:val="38155209"/>
    <w:rsid w:val="38194AD2"/>
    <w:rsid w:val="381956EB"/>
    <w:rsid w:val="3823148F"/>
    <w:rsid w:val="38246B65"/>
    <w:rsid w:val="38272192"/>
    <w:rsid w:val="38296E61"/>
    <w:rsid w:val="382B68C3"/>
    <w:rsid w:val="382C5D88"/>
    <w:rsid w:val="382C6761"/>
    <w:rsid w:val="382F584F"/>
    <w:rsid w:val="38321C52"/>
    <w:rsid w:val="383240F4"/>
    <w:rsid w:val="383770A5"/>
    <w:rsid w:val="38377EC9"/>
    <w:rsid w:val="384445C1"/>
    <w:rsid w:val="384A1969"/>
    <w:rsid w:val="384D2810"/>
    <w:rsid w:val="38577D28"/>
    <w:rsid w:val="38635321"/>
    <w:rsid w:val="38662BA6"/>
    <w:rsid w:val="38696897"/>
    <w:rsid w:val="38704C5C"/>
    <w:rsid w:val="38786930"/>
    <w:rsid w:val="38881491"/>
    <w:rsid w:val="38885C6C"/>
    <w:rsid w:val="388A3F25"/>
    <w:rsid w:val="388F547F"/>
    <w:rsid w:val="388F6B6B"/>
    <w:rsid w:val="38902F63"/>
    <w:rsid w:val="38923F0C"/>
    <w:rsid w:val="389346B5"/>
    <w:rsid w:val="3899074D"/>
    <w:rsid w:val="38A9545E"/>
    <w:rsid w:val="38AC53F9"/>
    <w:rsid w:val="38AC57D8"/>
    <w:rsid w:val="38AC7B57"/>
    <w:rsid w:val="38AE33D1"/>
    <w:rsid w:val="38B15615"/>
    <w:rsid w:val="38B22162"/>
    <w:rsid w:val="38B33357"/>
    <w:rsid w:val="38B44FA7"/>
    <w:rsid w:val="38BD09C1"/>
    <w:rsid w:val="38C2712E"/>
    <w:rsid w:val="38C933D0"/>
    <w:rsid w:val="38D622D3"/>
    <w:rsid w:val="38E710B4"/>
    <w:rsid w:val="38E829C3"/>
    <w:rsid w:val="38E938C8"/>
    <w:rsid w:val="38EC3083"/>
    <w:rsid w:val="38FE3E72"/>
    <w:rsid w:val="38FE4D80"/>
    <w:rsid w:val="39036F99"/>
    <w:rsid w:val="390A7143"/>
    <w:rsid w:val="39145973"/>
    <w:rsid w:val="39182449"/>
    <w:rsid w:val="39201FB2"/>
    <w:rsid w:val="39207843"/>
    <w:rsid w:val="39275AE9"/>
    <w:rsid w:val="39281DED"/>
    <w:rsid w:val="392B5375"/>
    <w:rsid w:val="392C050A"/>
    <w:rsid w:val="393156B6"/>
    <w:rsid w:val="39344887"/>
    <w:rsid w:val="39382228"/>
    <w:rsid w:val="39393879"/>
    <w:rsid w:val="393F0521"/>
    <w:rsid w:val="39404BDA"/>
    <w:rsid w:val="394133C4"/>
    <w:rsid w:val="394655E0"/>
    <w:rsid w:val="394768C6"/>
    <w:rsid w:val="39653972"/>
    <w:rsid w:val="39701147"/>
    <w:rsid w:val="39703CBC"/>
    <w:rsid w:val="397E01CF"/>
    <w:rsid w:val="39856837"/>
    <w:rsid w:val="398C5DEE"/>
    <w:rsid w:val="399815F2"/>
    <w:rsid w:val="399A591B"/>
    <w:rsid w:val="399B6269"/>
    <w:rsid w:val="39A32ECE"/>
    <w:rsid w:val="39A92619"/>
    <w:rsid w:val="39AC0248"/>
    <w:rsid w:val="39AE2020"/>
    <w:rsid w:val="39AE6D68"/>
    <w:rsid w:val="39BA189A"/>
    <w:rsid w:val="39C81661"/>
    <w:rsid w:val="39D153A2"/>
    <w:rsid w:val="39D27495"/>
    <w:rsid w:val="39D75C90"/>
    <w:rsid w:val="39D93118"/>
    <w:rsid w:val="39D978B9"/>
    <w:rsid w:val="39DC5AE0"/>
    <w:rsid w:val="39DD70D9"/>
    <w:rsid w:val="39DE2BF5"/>
    <w:rsid w:val="39E00AD9"/>
    <w:rsid w:val="39E560E0"/>
    <w:rsid w:val="39ED5667"/>
    <w:rsid w:val="39F2116B"/>
    <w:rsid w:val="39F47A99"/>
    <w:rsid w:val="39FD7AB6"/>
    <w:rsid w:val="39FE2A17"/>
    <w:rsid w:val="39FE6964"/>
    <w:rsid w:val="3A013163"/>
    <w:rsid w:val="3A0B2289"/>
    <w:rsid w:val="3A1170AA"/>
    <w:rsid w:val="3A1734BB"/>
    <w:rsid w:val="3A1E0E3E"/>
    <w:rsid w:val="3A252899"/>
    <w:rsid w:val="3A2A2115"/>
    <w:rsid w:val="3A2E21D8"/>
    <w:rsid w:val="3A303224"/>
    <w:rsid w:val="3A345BC1"/>
    <w:rsid w:val="3A3703F9"/>
    <w:rsid w:val="3A496765"/>
    <w:rsid w:val="3A4A5E8C"/>
    <w:rsid w:val="3A4A7E32"/>
    <w:rsid w:val="3A4F584E"/>
    <w:rsid w:val="3A507EF5"/>
    <w:rsid w:val="3A612BE5"/>
    <w:rsid w:val="3A6178EF"/>
    <w:rsid w:val="3A6245F6"/>
    <w:rsid w:val="3A6522F4"/>
    <w:rsid w:val="3A68134E"/>
    <w:rsid w:val="3A6C0DA7"/>
    <w:rsid w:val="3A6D6AF4"/>
    <w:rsid w:val="3A6F3A91"/>
    <w:rsid w:val="3A792158"/>
    <w:rsid w:val="3A846A6E"/>
    <w:rsid w:val="3A8D4B73"/>
    <w:rsid w:val="3A93798A"/>
    <w:rsid w:val="3A9B1234"/>
    <w:rsid w:val="3A9D423D"/>
    <w:rsid w:val="3A9E34A5"/>
    <w:rsid w:val="3AA2431F"/>
    <w:rsid w:val="3AAC7BA4"/>
    <w:rsid w:val="3AAD0CEE"/>
    <w:rsid w:val="3AC209D5"/>
    <w:rsid w:val="3AC9063B"/>
    <w:rsid w:val="3AD35F4A"/>
    <w:rsid w:val="3AD43CC7"/>
    <w:rsid w:val="3AD62023"/>
    <w:rsid w:val="3ADA4656"/>
    <w:rsid w:val="3ADB5557"/>
    <w:rsid w:val="3ADF3963"/>
    <w:rsid w:val="3AEA7127"/>
    <w:rsid w:val="3AF7445E"/>
    <w:rsid w:val="3B025B2A"/>
    <w:rsid w:val="3B070ADD"/>
    <w:rsid w:val="3B0A4A74"/>
    <w:rsid w:val="3B1D4EED"/>
    <w:rsid w:val="3B293D69"/>
    <w:rsid w:val="3B30795C"/>
    <w:rsid w:val="3B370F43"/>
    <w:rsid w:val="3B384E53"/>
    <w:rsid w:val="3B3C5A04"/>
    <w:rsid w:val="3B400C0F"/>
    <w:rsid w:val="3B40369B"/>
    <w:rsid w:val="3B4200BA"/>
    <w:rsid w:val="3B44790A"/>
    <w:rsid w:val="3B4D6D7B"/>
    <w:rsid w:val="3B4E234C"/>
    <w:rsid w:val="3B53733F"/>
    <w:rsid w:val="3B550133"/>
    <w:rsid w:val="3B587473"/>
    <w:rsid w:val="3B5B3674"/>
    <w:rsid w:val="3B5C0485"/>
    <w:rsid w:val="3B5D02E3"/>
    <w:rsid w:val="3B6249F4"/>
    <w:rsid w:val="3B6B207B"/>
    <w:rsid w:val="3B6B34A3"/>
    <w:rsid w:val="3B867737"/>
    <w:rsid w:val="3B872CD5"/>
    <w:rsid w:val="3B893DF2"/>
    <w:rsid w:val="3B8E763D"/>
    <w:rsid w:val="3B901C88"/>
    <w:rsid w:val="3B9162A0"/>
    <w:rsid w:val="3B993A35"/>
    <w:rsid w:val="3BA93373"/>
    <w:rsid w:val="3BAE2787"/>
    <w:rsid w:val="3BBA1318"/>
    <w:rsid w:val="3BBA547C"/>
    <w:rsid w:val="3BBD63E9"/>
    <w:rsid w:val="3BBF3AFC"/>
    <w:rsid w:val="3BC25435"/>
    <w:rsid w:val="3BCB4D13"/>
    <w:rsid w:val="3BCD4A4F"/>
    <w:rsid w:val="3BCF4EED"/>
    <w:rsid w:val="3BD559EC"/>
    <w:rsid w:val="3BD84260"/>
    <w:rsid w:val="3BD85078"/>
    <w:rsid w:val="3BE47512"/>
    <w:rsid w:val="3BEB75A9"/>
    <w:rsid w:val="3BF27176"/>
    <w:rsid w:val="3BFC1A64"/>
    <w:rsid w:val="3C0014D4"/>
    <w:rsid w:val="3C091447"/>
    <w:rsid w:val="3C0C59F6"/>
    <w:rsid w:val="3C0C64E0"/>
    <w:rsid w:val="3C0F64BA"/>
    <w:rsid w:val="3C1027FC"/>
    <w:rsid w:val="3C115875"/>
    <w:rsid w:val="3C13549B"/>
    <w:rsid w:val="3C195797"/>
    <w:rsid w:val="3C1A144A"/>
    <w:rsid w:val="3C1C7257"/>
    <w:rsid w:val="3C274410"/>
    <w:rsid w:val="3C284A57"/>
    <w:rsid w:val="3C294C56"/>
    <w:rsid w:val="3C2D771F"/>
    <w:rsid w:val="3C357601"/>
    <w:rsid w:val="3C3846AD"/>
    <w:rsid w:val="3C39241C"/>
    <w:rsid w:val="3C3E4E56"/>
    <w:rsid w:val="3C49383B"/>
    <w:rsid w:val="3C4B34E2"/>
    <w:rsid w:val="3C4D4BB8"/>
    <w:rsid w:val="3C50494F"/>
    <w:rsid w:val="3C50692D"/>
    <w:rsid w:val="3C5428C6"/>
    <w:rsid w:val="3C562458"/>
    <w:rsid w:val="3C576C00"/>
    <w:rsid w:val="3C5C2CB6"/>
    <w:rsid w:val="3C5D1A4F"/>
    <w:rsid w:val="3C637808"/>
    <w:rsid w:val="3C773C30"/>
    <w:rsid w:val="3C7C17C0"/>
    <w:rsid w:val="3C7D1332"/>
    <w:rsid w:val="3C7E5145"/>
    <w:rsid w:val="3C984683"/>
    <w:rsid w:val="3C9E67B7"/>
    <w:rsid w:val="3CA264C0"/>
    <w:rsid w:val="3CA578E5"/>
    <w:rsid w:val="3CB839AD"/>
    <w:rsid w:val="3CC10865"/>
    <w:rsid w:val="3CC419E3"/>
    <w:rsid w:val="3CCB2497"/>
    <w:rsid w:val="3CCC1E58"/>
    <w:rsid w:val="3CCC3B0F"/>
    <w:rsid w:val="3CD43D40"/>
    <w:rsid w:val="3CD86C88"/>
    <w:rsid w:val="3CD906BA"/>
    <w:rsid w:val="3CE043A3"/>
    <w:rsid w:val="3CEA05FB"/>
    <w:rsid w:val="3CEC2C84"/>
    <w:rsid w:val="3CF00339"/>
    <w:rsid w:val="3CFF50D6"/>
    <w:rsid w:val="3D0467C1"/>
    <w:rsid w:val="3D08630D"/>
    <w:rsid w:val="3D0F76E0"/>
    <w:rsid w:val="3D151619"/>
    <w:rsid w:val="3D1724E3"/>
    <w:rsid w:val="3D1A4101"/>
    <w:rsid w:val="3D2E2D4B"/>
    <w:rsid w:val="3D2F498B"/>
    <w:rsid w:val="3D3D3C67"/>
    <w:rsid w:val="3D5736B0"/>
    <w:rsid w:val="3D581733"/>
    <w:rsid w:val="3D597C83"/>
    <w:rsid w:val="3D5A63B2"/>
    <w:rsid w:val="3D6444FB"/>
    <w:rsid w:val="3D646729"/>
    <w:rsid w:val="3D67057F"/>
    <w:rsid w:val="3D697DB8"/>
    <w:rsid w:val="3D743C21"/>
    <w:rsid w:val="3D75267C"/>
    <w:rsid w:val="3D762525"/>
    <w:rsid w:val="3D7A7AD7"/>
    <w:rsid w:val="3D7F34E7"/>
    <w:rsid w:val="3D8532CB"/>
    <w:rsid w:val="3D8575A7"/>
    <w:rsid w:val="3D8876EB"/>
    <w:rsid w:val="3D8B7CE2"/>
    <w:rsid w:val="3D8D631B"/>
    <w:rsid w:val="3D916060"/>
    <w:rsid w:val="3D98059B"/>
    <w:rsid w:val="3D9A10CD"/>
    <w:rsid w:val="3DA11275"/>
    <w:rsid w:val="3DA34923"/>
    <w:rsid w:val="3DA402FB"/>
    <w:rsid w:val="3DAA05C2"/>
    <w:rsid w:val="3DB160F1"/>
    <w:rsid w:val="3DC14786"/>
    <w:rsid w:val="3DC40E6B"/>
    <w:rsid w:val="3DC8523D"/>
    <w:rsid w:val="3DCC46CF"/>
    <w:rsid w:val="3DD15CA7"/>
    <w:rsid w:val="3DDE14B6"/>
    <w:rsid w:val="3DEB73AC"/>
    <w:rsid w:val="3DEE6CEE"/>
    <w:rsid w:val="3DF156E0"/>
    <w:rsid w:val="3DF662C7"/>
    <w:rsid w:val="3DFA733B"/>
    <w:rsid w:val="3DFE6B84"/>
    <w:rsid w:val="3E046511"/>
    <w:rsid w:val="3E08096E"/>
    <w:rsid w:val="3E0B0848"/>
    <w:rsid w:val="3E10310E"/>
    <w:rsid w:val="3E107561"/>
    <w:rsid w:val="3E116978"/>
    <w:rsid w:val="3E1670FE"/>
    <w:rsid w:val="3E175077"/>
    <w:rsid w:val="3E191EE2"/>
    <w:rsid w:val="3E1B4B57"/>
    <w:rsid w:val="3E2578AA"/>
    <w:rsid w:val="3E355BA1"/>
    <w:rsid w:val="3E386F20"/>
    <w:rsid w:val="3E3C08D1"/>
    <w:rsid w:val="3E406B77"/>
    <w:rsid w:val="3E524B6D"/>
    <w:rsid w:val="3E5256E1"/>
    <w:rsid w:val="3E5757E0"/>
    <w:rsid w:val="3E5A70B0"/>
    <w:rsid w:val="3E5C5E7F"/>
    <w:rsid w:val="3E5D554C"/>
    <w:rsid w:val="3E621B22"/>
    <w:rsid w:val="3E667BAE"/>
    <w:rsid w:val="3E6F790D"/>
    <w:rsid w:val="3E7B299F"/>
    <w:rsid w:val="3E7C0FC0"/>
    <w:rsid w:val="3E820AA3"/>
    <w:rsid w:val="3E8643DE"/>
    <w:rsid w:val="3E89105F"/>
    <w:rsid w:val="3E8A09E7"/>
    <w:rsid w:val="3E921944"/>
    <w:rsid w:val="3E98330C"/>
    <w:rsid w:val="3E996D26"/>
    <w:rsid w:val="3E997816"/>
    <w:rsid w:val="3EA23EF8"/>
    <w:rsid w:val="3EA377C4"/>
    <w:rsid w:val="3EAC23FC"/>
    <w:rsid w:val="3EAC4999"/>
    <w:rsid w:val="3EAE5A93"/>
    <w:rsid w:val="3EB56F92"/>
    <w:rsid w:val="3EB91A47"/>
    <w:rsid w:val="3EBA429F"/>
    <w:rsid w:val="3EC46F5B"/>
    <w:rsid w:val="3EC520A6"/>
    <w:rsid w:val="3EC948BD"/>
    <w:rsid w:val="3ED50B71"/>
    <w:rsid w:val="3ED541F9"/>
    <w:rsid w:val="3EDF6786"/>
    <w:rsid w:val="3EE1669D"/>
    <w:rsid w:val="3EE63791"/>
    <w:rsid w:val="3EEA1428"/>
    <w:rsid w:val="3EEB40F6"/>
    <w:rsid w:val="3EEC1105"/>
    <w:rsid w:val="3EF46C60"/>
    <w:rsid w:val="3EFC4682"/>
    <w:rsid w:val="3EFE757A"/>
    <w:rsid w:val="3F04196D"/>
    <w:rsid w:val="3F0F1CE0"/>
    <w:rsid w:val="3F0F62E6"/>
    <w:rsid w:val="3F1252EC"/>
    <w:rsid w:val="3F16547D"/>
    <w:rsid w:val="3F1D6F0E"/>
    <w:rsid w:val="3F29567F"/>
    <w:rsid w:val="3F2D5626"/>
    <w:rsid w:val="3F34531C"/>
    <w:rsid w:val="3F3676EC"/>
    <w:rsid w:val="3F3F09D6"/>
    <w:rsid w:val="3F531C0D"/>
    <w:rsid w:val="3F5C5588"/>
    <w:rsid w:val="3F5E797C"/>
    <w:rsid w:val="3F621BAD"/>
    <w:rsid w:val="3F6B10ED"/>
    <w:rsid w:val="3F6E0230"/>
    <w:rsid w:val="3F8D2FE2"/>
    <w:rsid w:val="3F92005A"/>
    <w:rsid w:val="3F985697"/>
    <w:rsid w:val="3F9A0EFD"/>
    <w:rsid w:val="3F9D4593"/>
    <w:rsid w:val="3FA2114E"/>
    <w:rsid w:val="3FAD58C6"/>
    <w:rsid w:val="3FB4734F"/>
    <w:rsid w:val="3FC9355F"/>
    <w:rsid w:val="3FD05E8D"/>
    <w:rsid w:val="3FD43122"/>
    <w:rsid w:val="3FD538D2"/>
    <w:rsid w:val="3FD650CE"/>
    <w:rsid w:val="3FD8333A"/>
    <w:rsid w:val="3FD84B7F"/>
    <w:rsid w:val="3FDE2E0C"/>
    <w:rsid w:val="3FE0226A"/>
    <w:rsid w:val="3FE04705"/>
    <w:rsid w:val="3FE13654"/>
    <w:rsid w:val="3FE65F4D"/>
    <w:rsid w:val="3FF12DF2"/>
    <w:rsid w:val="3FF351D2"/>
    <w:rsid w:val="3FF57E6F"/>
    <w:rsid w:val="3FF8022C"/>
    <w:rsid w:val="3FFE702A"/>
    <w:rsid w:val="4009228F"/>
    <w:rsid w:val="401B6DE4"/>
    <w:rsid w:val="401E2C21"/>
    <w:rsid w:val="40214373"/>
    <w:rsid w:val="40227277"/>
    <w:rsid w:val="402579A9"/>
    <w:rsid w:val="402A44E3"/>
    <w:rsid w:val="403A75E2"/>
    <w:rsid w:val="403D5417"/>
    <w:rsid w:val="40412BCE"/>
    <w:rsid w:val="40461E7C"/>
    <w:rsid w:val="40463D9B"/>
    <w:rsid w:val="4048145A"/>
    <w:rsid w:val="404F6105"/>
    <w:rsid w:val="4056520F"/>
    <w:rsid w:val="40573C28"/>
    <w:rsid w:val="40574B38"/>
    <w:rsid w:val="4058732A"/>
    <w:rsid w:val="405D650D"/>
    <w:rsid w:val="40657AAF"/>
    <w:rsid w:val="406A1E77"/>
    <w:rsid w:val="406E287C"/>
    <w:rsid w:val="40701A1F"/>
    <w:rsid w:val="407223D2"/>
    <w:rsid w:val="40786AC3"/>
    <w:rsid w:val="4080563C"/>
    <w:rsid w:val="408951AD"/>
    <w:rsid w:val="40897C0F"/>
    <w:rsid w:val="408D5ADD"/>
    <w:rsid w:val="408E34E1"/>
    <w:rsid w:val="408F6994"/>
    <w:rsid w:val="40920D89"/>
    <w:rsid w:val="40955B16"/>
    <w:rsid w:val="40961229"/>
    <w:rsid w:val="40987FC1"/>
    <w:rsid w:val="409B353C"/>
    <w:rsid w:val="409F59A1"/>
    <w:rsid w:val="40A63EAB"/>
    <w:rsid w:val="40A7312D"/>
    <w:rsid w:val="40AE255D"/>
    <w:rsid w:val="40B01311"/>
    <w:rsid w:val="40B145C5"/>
    <w:rsid w:val="40B24FDC"/>
    <w:rsid w:val="40CC71CF"/>
    <w:rsid w:val="40D225E8"/>
    <w:rsid w:val="40D33B61"/>
    <w:rsid w:val="40D67608"/>
    <w:rsid w:val="40D71A65"/>
    <w:rsid w:val="40E2313F"/>
    <w:rsid w:val="40E25C04"/>
    <w:rsid w:val="40E972B9"/>
    <w:rsid w:val="40EA42D3"/>
    <w:rsid w:val="40F12770"/>
    <w:rsid w:val="40F7718D"/>
    <w:rsid w:val="40FA2D24"/>
    <w:rsid w:val="4101478D"/>
    <w:rsid w:val="41043110"/>
    <w:rsid w:val="41047709"/>
    <w:rsid w:val="41096F0B"/>
    <w:rsid w:val="410B27A3"/>
    <w:rsid w:val="41116F22"/>
    <w:rsid w:val="411C7A51"/>
    <w:rsid w:val="41217695"/>
    <w:rsid w:val="41222AEF"/>
    <w:rsid w:val="4125037C"/>
    <w:rsid w:val="412826BB"/>
    <w:rsid w:val="41283A06"/>
    <w:rsid w:val="412E094E"/>
    <w:rsid w:val="412E7298"/>
    <w:rsid w:val="41377BF4"/>
    <w:rsid w:val="41414218"/>
    <w:rsid w:val="41472380"/>
    <w:rsid w:val="41490666"/>
    <w:rsid w:val="414B1941"/>
    <w:rsid w:val="414F71B8"/>
    <w:rsid w:val="415354D1"/>
    <w:rsid w:val="415B40EA"/>
    <w:rsid w:val="415E195E"/>
    <w:rsid w:val="415E238E"/>
    <w:rsid w:val="415E3148"/>
    <w:rsid w:val="415F132D"/>
    <w:rsid w:val="41623463"/>
    <w:rsid w:val="41645C2C"/>
    <w:rsid w:val="417D0703"/>
    <w:rsid w:val="417F12B9"/>
    <w:rsid w:val="418F2040"/>
    <w:rsid w:val="41907C62"/>
    <w:rsid w:val="41930D1A"/>
    <w:rsid w:val="41936DB9"/>
    <w:rsid w:val="41945077"/>
    <w:rsid w:val="419A1C8B"/>
    <w:rsid w:val="419B7663"/>
    <w:rsid w:val="41A600A6"/>
    <w:rsid w:val="41AC50F2"/>
    <w:rsid w:val="41B14B58"/>
    <w:rsid w:val="41B407D4"/>
    <w:rsid w:val="41BE51B2"/>
    <w:rsid w:val="41BF729F"/>
    <w:rsid w:val="41C43D41"/>
    <w:rsid w:val="41CF25BB"/>
    <w:rsid w:val="41D02401"/>
    <w:rsid w:val="41EA5032"/>
    <w:rsid w:val="41EE0D32"/>
    <w:rsid w:val="41FC0930"/>
    <w:rsid w:val="41FF711C"/>
    <w:rsid w:val="41FF77D5"/>
    <w:rsid w:val="420B74D4"/>
    <w:rsid w:val="420C0E6C"/>
    <w:rsid w:val="420C10D6"/>
    <w:rsid w:val="420E00E8"/>
    <w:rsid w:val="420E6850"/>
    <w:rsid w:val="42101615"/>
    <w:rsid w:val="421519D5"/>
    <w:rsid w:val="421B6FC2"/>
    <w:rsid w:val="42211015"/>
    <w:rsid w:val="4224788C"/>
    <w:rsid w:val="42257078"/>
    <w:rsid w:val="42284675"/>
    <w:rsid w:val="422A371E"/>
    <w:rsid w:val="422F58F5"/>
    <w:rsid w:val="4232782F"/>
    <w:rsid w:val="42395BC2"/>
    <w:rsid w:val="42400B36"/>
    <w:rsid w:val="42427570"/>
    <w:rsid w:val="424B0C06"/>
    <w:rsid w:val="424B0F29"/>
    <w:rsid w:val="424C1040"/>
    <w:rsid w:val="424E0AF9"/>
    <w:rsid w:val="424F2B09"/>
    <w:rsid w:val="425741D6"/>
    <w:rsid w:val="425B1FA2"/>
    <w:rsid w:val="425D3F3A"/>
    <w:rsid w:val="426C1611"/>
    <w:rsid w:val="426E3BF4"/>
    <w:rsid w:val="427C2BAA"/>
    <w:rsid w:val="428340F1"/>
    <w:rsid w:val="4285748E"/>
    <w:rsid w:val="428716E0"/>
    <w:rsid w:val="42883AFB"/>
    <w:rsid w:val="428D6D0E"/>
    <w:rsid w:val="429535B9"/>
    <w:rsid w:val="429A11FC"/>
    <w:rsid w:val="429B2DBD"/>
    <w:rsid w:val="429E2668"/>
    <w:rsid w:val="42A1500F"/>
    <w:rsid w:val="42A32C54"/>
    <w:rsid w:val="42AB5F6F"/>
    <w:rsid w:val="42B235C1"/>
    <w:rsid w:val="42B2702B"/>
    <w:rsid w:val="42B35CAF"/>
    <w:rsid w:val="42B4231C"/>
    <w:rsid w:val="42B47A1F"/>
    <w:rsid w:val="42C137E3"/>
    <w:rsid w:val="42CF010B"/>
    <w:rsid w:val="42D03DEA"/>
    <w:rsid w:val="42D05BF1"/>
    <w:rsid w:val="42D35AEB"/>
    <w:rsid w:val="42D667D9"/>
    <w:rsid w:val="42E5349F"/>
    <w:rsid w:val="42EB1C44"/>
    <w:rsid w:val="42F06ADE"/>
    <w:rsid w:val="42F74D17"/>
    <w:rsid w:val="4309509A"/>
    <w:rsid w:val="431260BD"/>
    <w:rsid w:val="43164A43"/>
    <w:rsid w:val="431E395E"/>
    <w:rsid w:val="43237C9A"/>
    <w:rsid w:val="432E008C"/>
    <w:rsid w:val="433735DE"/>
    <w:rsid w:val="433A2579"/>
    <w:rsid w:val="433F5A39"/>
    <w:rsid w:val="434315B8"/>
    <w:rsid w:val="43476708"/>
    <w:rsid w:val="4348532A"/>
    <w:rsid w:val="43492470"/>
    <w:rsid w:val="43494EF6"/>
    <w:rsid w:val="434A0065"/>
    <w:rsid w:val="434A69C8"/>
    <w:rsid w:val="434B7BCA"/>
    <w:rsid w:val="435E6773"/>
    <w:rsid w:val="43690F6C"/>
    <w:rsid w:val="43706F35"/>
    <w:rsid w:val="437124B9"/>
    <w:rsid w:val="437416A8"/>
    <w:rsid w:val="437908F9"/>
    <w:rsid w:val="437F66B5"/>
    <w:rsid w:val="438239CB"/>
    <w:rsid w:val="43825AD4"/>
    <w:rsid w:val="43863D10"/>
    <w:rsid w:val="438778E1"/>
    <w:rsid w:val="438B2464"/>
    <w:rsid w:val="43964DB1"/>
    <w:rsid w:val="43A06D7F"/>
    <w:rsid w:val="43A158CF"/>
    <w:rsid w:val="43A423FA"/>
    <w:rsid w:val="43A44A4F"/>
    <w:rsid w:val="43A652B0"/>
    <w:rsid w:val="43A70912"/>
    <w:rsid w:val="43AB552F"/>
    <w:rsid w:val="43AF6F7B"/>
    <w:rsid w:val="43B1665C"/>
    <w:rsid w:val="43B36543"/>
    <w:rsid w:val="43B37F2A"/>
    <w:rsid w:val="43B7779D"/>
    <w:rsid w:val="43C436FC"/>
    <w:rsid w:val="43CD546A"/>
    <w:rsid w:val="43D75704"/>
    <w:rsid w:val="43D94BB8"/>
    <w:rsid w:val="43E63495"/>
    <w:rsid w:val="43E81ED4"/>
    <w:rsid w:val="43EB2394"/>
    <w:rsid w:val="43EF5746"/>
    <w:rsid w:val="43FA2FDF"/>
    <w:rsid w:val="43FC2424"/>
    <w:rsid w:val="43FE0F4C"/>
    <w:rsid w:val="44004B5E"/>
    <w:rsid w:val="440478BC"/>
    <w:rsid w:val="44056E90"/>
    <w:rsid w:val="4408592A"/>
    <w:rsid w:val="44095B54"/>
    <w:rsid w:val="440B2BB0"/>
    <w:rsid w:val="440C0A16"/>
    <w:rsid w:val="440D32BA"/>
    <w:rsid w:val="44192946"/>
    <w:rsid w:val="441C6A32"/>
    <w:rsid w:val="442436ED"/>
    <w:rsid w:val="44260613"/>
    <w:rsid w:val="443248D9"/>
    <w:rsid w:val="44366F2B"/>
    <w:rsid w:val="4438521E"/>
    <w:rsid w:val="443D4503"/>
    <w:rsid w:val="44430B6C"/>
    <w:rsid w:val="4447712C"/>
    <w:rsid w:val="444A011A"/>
    <w:rsid w:val="444C2577"/>
    <w:rsid w:val="44515596"/>
    <w:rsid w:val="445317A2"/>
    <w:rsid w:val="44547298"/>
    <w:rsid w:val="44595C7D"/>
    <w:rsid w:val="445B63FE"/>
    <w:rsid w:val="445E0725"/>
    <w:rsid w:val="44605D95"/>
    <w:rsid w:val="44616FDD"/>
    <w:rsid w:val="446947FB"/>
    <w:rsid w:val="446B3DCC"/>
    <w:rsid w:val="446D20FA"/>
    <w:rsid w:val="44857C8D"/>
    <w:rsid w:val="44916AFC"/>
    <w:rsid w:val="44941BFB"/>
    <w:rsid w:val="44A02B0D"/>
    <w:rsid w:val="44A04DB1"/>
    <w:rsid w:val="44A7326B"/>
    <w:rsid w:val="44A97A33"/>
    <w:rsid w:val="44B448B2"/>
    <w:rsid w:val="44BC72CF"/>
    <w:rsid w:val="44BF47CD"/>
    <w:rsid w:val="44C31B2B"/>
    <w:rsid w:val="44C57370"/>
    <w:rsid w:val="44CC053B"/>
    <w:rsid w:val="44D01293"/>
    <w:rsid w:val="44D05585"/>
    <w:rsid w:val="44D24AA0"/>
    <w:rsid w:val="44E630F7"/>
    <w:rsid w:val="44EB1D8C"/>
    <w:rsid w:val="44EC3C5D"/>
    <w:rsid w:val="44F14816"/>
    <w:rsid w:val="44F1566E"/>
    <w:rsid w:val="44F64FEE"/>
    <w:rsid w:val="45004359"/>
    <w:rsid w:val="4501701C"/>
    <w:rsid w:val="450771EF"/>
    <w:rsid w:val="450A3E5D"/>
    <w:rsid w:val="450B0FCD"/>
    <w:rsid w:val="450C212F"/>
    <w:rsid w:val="451B7ED0"/>
    <w:rsid w:val="4523480B"/>
    <w:rsid w:val="45262DB7"/>
    <w:rsid w:val="45267B40"/>
    <w:rsid w:val="452B5DCB"/>
    <w:rsid w:val="455155CE"/>
    <w:rsid w:val="45567176"/>
    <w:rsid w:val="455B1464"/>
    <w:rsid w:val="455C1AB9"/>
    <w:rsid w:val="455E584A"/>
    <w:rsid w:val="455F2DF2"/>
    <w:rsid w:val="45613BB9"/>
    <w:rsid w:val="456564B5"/>
    <w:rsid w:val="456B7E84"/>
    <w:rsid w:val="45726157"/>
    <w:rsid w:val="45794A65"/>
    <w:rsid w:val="458172EE"/>
    <w:rsid w:val="45916BBF"/>
    <w:rsid w:val="45A36C76"/>
    <w:rsid w:val="45A72138"/>
    <w:rsid w:val="45A96964"/>
    <w:rsid w:val="45AA76F2"/>
    <w:rsid w:val="45B1037B"/>
    <w:rsid w:val="45BC5113"/>
    <w:rsid w:val="45BE62AB"/>
    <w:rsid w:val="45C7190A"/>
    <w:rsid w:val="45CC2B31"/>
    <w:rsid w:val="45CF6A38"/>
    <w:rsid w:val="45D37DC2"/>
    <w:rsid w:val="45DB1540"/>
    <w:rsid w:val="45E22EEB"/>
    <w:rsid w:val="45E55890"/>
    <w:rsid w:val="45E57CF2"/>
    <w:rsid w:val="45FA62A5"/>
    <w:rsid w:val="45FB2BCD"/>
    <w:rsid w:val="45FF62EB"/>
    <w:rsid w:val="460133E9"/>
    <w:rsid w:val="46073EB9"/>
    <w:rsid w:val="460E5A3D"/>
    <w:rsid w:val="460E7F82"/>
    <w:rsid w:val="46120C85"/>
    <w:rsid w:val="46140FFC"/>
    <w:rsid w:val="46162057"/>
    <w:rsid w:val="461A0177"/>
    <w:rsid w:val="46216337"/>
    <w:rsid w:val="46217848"/>
    <w:rsid w:val="46226735"/>
    <w:rsid w:val="46243A22"/>
    <w:rsid w:val="462534DD"/>
    <w:rsid w:val="46274C08"/>
    <w:rsid w:val="462F0E1F"/>
    <w:rsid w:val="462F2CDF"/>
    <w:rsid w:val="463B7437"/>
    <w:rsid w:val="463D5BA2"/>
    <w:rsid w:val="463E49F6"/>
    <w:rsid w:val="463F6118"/>
    <w:rsid w:val="4641505E"/>
    <w:rsid w:val="46433B6F"/>
    <w:rsid w:val="4646362D"/>
    <w:rsid w:val="46487F64"/>
    <w:rsid w:val="46501694"/>
    <w:rsid w:val="46595EAB"/>
    <w:rsid w:val="4666013A"/>
    <w:rsid w:val="466769C6"/>
    <w:rsid w:val="4668147F"/>
    <w:rsid w:val="46682FAF"/>
    <w:rsid w:val="466B2588"/>
    <w:rsid w:val="466B7D5C"/>
    <w:rsid w:val="466C454D"/>
    <w:rsid w:val="46712ECF"/>
    <w:rsid w:val="46744C93"/>
    <w:rsid w:val="467546E8"/>
    <w:rsid w:val="467B0523"/>
    <w:rsid w:val="467C07E6"/>
    <w:rsid w:val="467C23AB"/>
    <w:rsid w:val="468A735A"/>
    <w:rsid w:val="468C73DC"/>
    <w:rsid w:val="4694036B"/>
    <w:rsid w:val="469F4D11"/>
    <w:rsid w:val="46A34031"/>
    <w:rsid w:val="46AF3536"/>
    <w:rsid w:val="46B166BE"/>
    <w:rsid w:val="46B833B6"/>
    <w:rsid w:val="46B97054"/>
    <w:rsid w:val="46BD6BAB"/>
    <w:rsid w:val="46BF3842"/>
    <w:rsid w:val="46C025EC"/>
    <w:rsid w:val="46C20CF0"/>
    <w:rsid w:val="46CE0D4E"/>
    <w:rsid w:val="46D25A9E"/>
    <w:rsid w:val="46D62D8C"/>
    <w:rsid w:val="46D67887"/>
    <w:rsid w:val="46DF448E"/>
    <w:rsid w:val="46E51508"/>
    <w:rsid w:val="46EE6DBC"/>
    <w:rsid w:val="46F31815"/>
    <w:rsid w:val="46F4409F"/>
    <w:rsid w:val="46F6488C"/>
    <w:rsid w:val="46FD1D53"/>
    <w:rsid w:val="47001A25"/>
    <w:rsid w:val="47022F79"/>
    <w:rsid w:val="47081F34"/>
    <w:rsid w:val="47121600"/>
    <w:rsid w:val="4713549E"/>
    <w:rsid w:val="471954FD"/>
    <w:rsid w:val="471A3247"/>
    <w:rsid w:val="471B55E6"/>
    <w:rsid w:val="471E572A"/>
    <w:rsid w:val="47251654"/>
    <w:rsid w:val="472C2AD0"/>
    <w:rsid w:val="47331160"/>
    <w:rsid w:val="47351448"/>
    <w:rsid w:val="473D2620"/>
    <w:rsid w:val="473D4778"/>
    <w:rsid w:val="474B07A0"/>
    <w:rsid w:val="475E380D"/>
    <w:rsid w:val="476306F2"/>
    <w:rsid w:val="476A1CC8"/>
    <w:rsid w:val="476F1894"/>
    <w:rsid w:val="477B3309"/>
    <w:rsid w:val="477C5A87"/>
    <w:rsid w:val="477F1A13"/>
    <w:rsid w:val="478302D3"/>
    <w:rsid w:val="47851F39"/>
    <w:rsid w:val="47897431"/>
    <w:rsid w:val="478A5FCF"/>
    <w:rsid w:val="479A1458"/>
    <w:rsid w:val="479C281A"/>
    <w:rsid w:val="47A33411"/>
    <w:rsid w:val="47AA3957"/>
    <w:rsid w:val="47AA3E9A"/>
    <w:rsid w:val="47AE05AA"/>
    <w:rsid w:val="47B07FDA"/>
    <w:rsid w:val="47BA4BEE"/>
    <w:rsid w:val="47BC7E41"/>
    <w:rsid w:val="47BE12F9"/>
    <w:rsid w:val="47C17A67"/>
    <w:rsid w:val="47C31690"/>
    <w:rsid w:val="47C64055"/>
    <w:rsid w:val="47C94621"/>
    <w:rsid w:val="47D72169"/>
    <w:rsid w:val="47DA6D05"/>
    <w:rsid w:val="47E71434"/>
    <w:rsid w:val="47EA7B5F"/>
    <w:rsid w:val="47EB64FF"/>
    <w:rsid w:val="47F1458A"/>
    <w:rsid w:val="47F935F9"/>
    <w:rsid w:val="47FA5D15"/>
    <w:rsid w:val="47FF43FC"/>
    <w:rsid w:val="480664AA"/>
    <w:rsid w:val="480D2060"/>
    <w:rsid w:val="48102F19"/>
    <w:rsid w:val="48192753"/>
    <w:rsid w:val="4819762F"/>
    <w:rsid w:val="481B0493"/>
    <w:rsid w:val="481F4426"/>
    <w:rsid w:val="482416E5"/>
    <w:rsid w:val="482C7052"/>
    <w:rsid w:val="48323F20"/>
    <w:rsid w:val="483B29C5"/>
    <w:rsid w:val="483B7F98"/>
    <w:rsid w:val="48424EB2"/>
    <w:rsid w:val="484422AB"/>
    <w:rsid w:val="48452EF8"/>
    <w:rsid w:val="48547669"/>
    <w:rsid w:val="48555FE3"/>
    <w:rsid w:val="485628B7"/>
    <w:rsid w:val="485A2801"/>
    <w:rsid w:val="485E035D"/>
    <w:rsid w:val="485E0B4E"/>
    <w:rsid w:val="48696CAD"/>
    <w:rsid w:val="48715BD8"/>
    <w:rsid w:val="48723746"/>
    <w:rsid w:val="487747F1"/>
    <w:rsid w:val="48795C90"/>
    <w:rsid w:val="487C5E09"/>
    <w:rsid w:val="487F63A8"/>
    <w:rsid w:val="48824C9E"/>
    <w:rsid w:val="48896D38"/>
    <w:rsid w:val="488C3D84"/>
    <w:rsid w:val="488F6A02"/>
    <w:rsid w:val="489A74FB"/>
    <w:rsid w:val="48A44ADF"/>
    <w:rsid w:val="48B36154"/>
    <w:rsid w:val="48B66F41"/>
    <w:rsid w:val="48BA0080"/>
    <w:rsid w:val="48BF519E"/>
    <w:rsid w:val="48BF55C6"/>
    <w:rsid w:val="48C669BB"/>
    <w:rsid w:val="48C76FF8"/>
    <w:rsid w:val="48C82E35"/>
    <w:rsid w:val="48D657BF"/>
    <w:rsid w:val="48DA74C7"/>
    <w:rsid w:val="48DD659F"/>
    <w:rsid w:val="48E12B5C"/>
    <w:rsid w:val="48E641D2"/>
    <w:rsid w:val="48E65D01"/>
    <w:rsid w:val="48EA102A"/>
    <w:rsid w:val="48EA51B6"/>
    <w:rsid w:val="48EB35CE"/>
    <w:rsid w:val="48F16056"/>
    <w:rsid w:val="48F702F5"/>
    <w:rsid w:val="48F77131"/>
    <w:rsid w:val="48FC5BB9"/>
    <w:rsid w:val="49013226"/>
    <w:rsid w:val="49090696"/>
    <w:rsid w:val="490E77A0"/>
    <w:rsid w:val="4914636D"/>
    <w:rsid w:val="49234655"/>
    <w:rsid w:val="49235EA5"/>
    <w:rsid w:val="49264BFF"/>
    <w:rsid w:val="492A1A6B"/>
    <w:rsid w:val="493331D4"/>
    <w:rsid w:val="493422EA"/>
    <w:rsid w:val="493451E3"/>
    <w:rsid w:val="49375BF6"/>
    <w:rsid w:val="49377C2F"/>
    <w:rsid w:val="494858C7"/>
    <w:rsid w:val="494A128C"/>
    <w:rsid w:val="49530568"/>
    <w:rsid w:val="49564EC4"/>
    <w:rsid w:val="4957182A"/>
    <w:rsid w:val="49651048"/>
    <w:rsid w:val="496C74C8"/>
    <w:rsid w:val="498B5C75"/>
    <w:rsid w:val="49904267"/>
    <w:rsid w:val="499C48D2"/>
    <w:rsid w:val="499D09B0"/>
    <w:rsid w:val="49A30D89"/>
    <w:rsid w:val="49A4631B"/>
    <w:rsid w:val="49A7489A"/>
    <w:rsid w:val="49A83E14"/>
    <w:rsid w:val="49B2721C"/>
    <w:rsid w:val="49B7518A"/>
    <w:rsid w:val="49BA2F35"/>
    <w:rsid w:val="49BF6F64"/>
    <w:rsid w:val="49C15BFB"/>
    <w:rsid w:val="49C4035B"/>
    <w:rsid w:val="49CD6E3A"/>
    <w:rsid w:val="49D373B1"/>
    <w:rsid w:val="49D64B4A"/>
    <w:rsid w:val="49E47831"/>
    <w:rsid w:val="49EB7876"/>
    <w:rsid w:val="49F45651"/>
    <w:rsid w:val="49F70B00"/>
    <w:rsid w:val="49F966E2"/>
    <w:rsid w:val="49FA3EDE"/>
    <w:rsid w:val="4A0205D4"/>
    <w:rsid w:val="4A033F00"/>
    <w:rsid w:val="4A060919"/>
    <w:rsid w:val="4A083262"/>
    <w:rsid w:val="4A242853"/>
    <w:rsid w:val="4A260AC8"/>
    <w:rsid w:val="4A49293F"/>
    <w:rsid w:val="4A4C420D"/>
    <w:rsid w:val="4A4E54C0"/>
    <w:rsid w:val="4A500C79"/>
    <w:rsid w:val="4A5B743D"/>
    <w:rsid w:val="4A607F93"/>
    <w:rsid w:val="4A68765F"/>
    <w:rsid w:val="4A6935AC"/>
    <w:rsid w:val="4A6C3349"/>
    <w:rsid w:val="4A725B4E"/>
    <w:rsid w:val="4A8058FC"/>
    <w:rsid w:val="4A810CCD"/>
    <w:rsid w:val="4A8D40D9"/>
    <w:rsid w:val="4A8E74D9"/>
    <w:rsid w:val="4A9607BB"/>
    <w:rsid w:val="4A960A6D"/>
    <w:rsid w:val="4A967538"/>
    <w:rsid w:val="4AAB73D5"/>
    <w:rsid w:val="4ABB2377"/>
    <w:rsid w:val="4ABE3959"/>
    <w:rsid w:val="4ABF44D5"/>
    <w:rsid w:val="4ABF78F3"/>
    <w:rsid w:val="4AC12100"/>
    <w:rsid w:val="4AC47DD7"/>
    <w:rsid w:val="4AC545CF"/>
    <w:rsid w:val="4AC7376B"/>
    <w:rsid w:val="4AC87EF7"/>
    <w:rsid w:val="4AC93AA0"/>
    <w:rsid w:val="4ACA6E6D"/>
    <w:rsid w:val="4ACF5105"/>
    <w:rsid w:val="4AD73C2A"/>
    <w:rsid w:val="4AD8448B"/>
    <w:rsid w:val="4AD97CA2"/>
    <w:rsid w:val="4AE15FB4"/>
    <w:rsid w:val="4AE90FA1"/>
    <w:rsid w:val="4AF05D86"/>
    <w:rsid w:val="4AF7197E"/>
    <w:rsid w:val="4AFB652F"/>
    <w:rsid w:val="4AFF574B"/>
    <w:rsid w:val="4B01032E"/>
    <w:rsid w:val="4B062C81"/>
    <w:rsid w:val="4B087CAF"/>
    <w:rsid w:val="4B0B1D58"/>
    <w:rsid w:val="4B0F063B"/>
    <w:rsid w:val="4B114795"/>
    <w:rsid w:val="4B1367B9"/>
    <w:rsid w:val="4B1B3D46"/>
    <w:rsid w:val="4B2A759C"/>
    <w:rsid w:val="4B2F6B91"/>
    <w:rsid w:val="4B40107E"/>
    <w:rsid w:val="4B412A1A"/>
    <w:rsid w:val="4B42641E"/>
    <w:rsid w:val="4B494BDA"/>
    <w:rsid w:val="4B514606"/>
    <w:rsid w:val="4B5316E1"/>
    <w:rsid w:val="4B573744"/>
    <w:rsid w:val="4B584FF0"/>
    <w:rsid w:val="4B5E117D"/>
    <w:rsid w:val="4B61439C"/>
    <w:rsid w:val="4B64594E"/>
    <w:rsid w:val="4B6A37AD"/>
    <w:rsid w:val="4B7168A9"/>
    <w:rsid w:val="4B722114"/>
    <w:rsid w:val="4B723CEB"/>
    <w:rsid w:val="4B746903"/>
    <w:rsid w:val="4B7B1C5A"/>
    <w:rsid w:val="4B8362AF"/>
    <w:rsid w:val="4B837490"/>
    <w:rsid w:val="4B855455"/>
    <w:rsid w:val="4B8F1C08"/>
    <w:rsid w:val="4B977D0F"/>
    <w:rsid w:val="4B9B0F7B"/>
    <w:rsid w:val="4B9D606D"/>
    <w:rsid w:val="4BA608D0"/>
    <w:rsid w:val="4BA76E4F"/>
    <w:rsid w:val="4BAB5768"/>
    <w:rsid w:val="4BB27468"/>
    <w:rsid w:val="4BB42E0A"/>
    <w:rsid w:val="4BB61BD2"/>
    <w:rsid w:val="4BB84288"/>
    <w:rsid w:val="4BB8573C"/>
    <w:rsid w:val="4BBA3C11"/>
    <w:rsid w:val="4BBB70F7"/>
    <w:rsid w:val="4BBF56BF"/>
    <w:rsid w:val="4BBF5C5F"/>
    <w:rsid w:val="4BC0362D"/>
    <w:rsid w:val="4BC23EAE"/>
    <w:rsid w:val="4BD03B77"/>
    <w:rsid w:val="4BD53282"/>
    <w:rsid w:val="4BD7319D"/>
    <w:rsid w:val="4BDD2E98"/>
    <w:rsid w:val="4BDE3F50"/>
    <w:rsid w:val="4BDE62B0"/>
    <w:rsid w:val="4BE60E22"/>
    <w:rsid w:val="4BEB0BD7"/>
    <w:rsid w:val="4BEE64F1"/>
    <w:rsid w:val="4BEF33B5"/>
    <w:rsid w:val="4BF1750D"/>
    <w:rsid w:val="4BF668E1"/>
    <w:rsid w:val="4BF71FBC"/>
    <w:rsid w:val="4C0C3114"/>
    <w:rsid w:val="4C135DAC"/>
    <w:rsid w:val="4C1B4EF1"/>
    <w:rsid w:val="4C252577"/>
    <w:rsid w:val="4C280078"/>
    <w:rsid w:val="4C293A7B"/>
    <w:rsid w:val="4C2E5F34"/>
    <w:rsid w:val="4C34014E"/>
    <w:rsid w:val="4C363442"/>
    <w:rsid w:val="4C366C34"/>
    <w:rsid w:val="4C39659B"/>
    <w:rsid w:val="4C3B6BCB"/>
    <w:rsid w:val="4C4310A4"/>
    <w:rsid w:val="4C4B01DE"/>
    <w:rsid w:val="4C4E110E"/>
    <w:rsid w:val="4C57562E"/>
    <w:rsid w:val="4C58104F"/>
    <w:rsid w:val="4C5A2964"/>
    <w:rsid w:val="4C5E2B99"/>
    <w:rsid w:val="4C625B55"/>
    <w:rsid w:val="4C632C63"/>
    <w:rsid w:val="4C653F3A"/>
    <w:rsid w:val="4C6F2039"/>
    <w:rsid w:val="4C797FD3"/>
    <w:rsid w:val="4C7C6612"/>
    <w:rsid w:val="4C8663D7"/>
    <w:rsid w:val="4C880639"/>
    <w:rsid w:val="4C967FA7"/>
    <w:rsid w:val="4C974AC9"/>
    <w:rsid w:val="4CA23089"/>
    <w:rsid w:val="4CA93EFF"/>
    <w:rsid w:val="4CB034E6"/>
    <w:rsid w:val="4CBF2547"/>
    <w:rsid w:val="4CC43CBD"/>
    <w:rsid w:val="4CC452EF"/>
    <w:rsid w:val="4CC6691C"/>
    <w:rsid w:val="4CC81911"/>
    <w:rsid w:val="4CCB3956"/>
    <w:rsid w:val="4CCD08FB"/>
    <w:rsid w:val="4CD1192C"/>
    <w:rsid w:val="4CD239F1"/>
    <w:rsid w:val="4CD35610"/>
    <w:rsid w:val="4CD407D9"/>
    <w:rsid w:val="4CD5641C"/>
    <w:rsid w:val="4CD64FA3"/>
    <w:rsid w:val="4CD93958"/>
    <w:rsid w:val="4CDA09D7"/>
    <w:rsid w:val="4CE32B30"/>
    <w:rsid w:val="4CEC4955"/>
    <w:rsid w:val="4CF43BA9"/>
    <w:rsid w:val="4CF51268"/>
    <w:rsid w:val="4D051A1C"/>
    <w:rsid w:val="4D0A03AE"/>
    <w:rsid w:val="4D1A2B89"/>
    <w:rsid w:val="4D1A6A5B"/>
    <w:rsid w:val="4D207870"/>
    <w:rsid w:val="4D261811"/>
    <w:rsid w:val="4D2A61CB"/>
    <w:rsid w:val="4D2F15C4"/>
    <w:rsid w:val="4D384718"/>
    <w:rsid w:val="4D39796E"/>
    <w:rsid w:val="4D3B37F3"/>
    <w:rsid w:val="4D3E4CAB"/>
    <w:rsid w:val="4D581A4E"/>
    <w:rsid w:val="4D5B5441"/>
    <w:rsid w:val="4D5E0F56"/>
    <w:rsid w:val="4D6136F1"/>
    <w:rsid w:val="4D643AAE"/>
    <w:rsid w:val="4D643DA5"/>
    <w:rsid w:val="4D66461C"/>
    <w:rsid w:val="4D6843C5"/>
    <w:rsid w:val="4D700554"/>
    <w:rsid w:val="4D7306B5"/>
    <w:rsid w:val="4D7A69DF"/>
    <w:rsid w:val="4D7C372F"/>
    <w:rsid w:val="4D7D45B4"/>
    <w:rsid w:val="4D8758E2"/>
    <w:rsid w:val="4D907E94"/>
    <w:rsid w:val="4D934492"/>
    <w:rsid w:val="4D947BA0"/>
    <w:rsid w:val="4D9B6DFB"/>
    <w:rsid w:val="4D9D2A32"/>
    <w:rsid w:val="4D9D4D14"/>
    <w:rsid w:val="4D9F61CD"/>
    <w:rsid w:val="4DA16165"/>
    <w:rsid w:val="4DA17573"/>
    <w:rsid w:val="4DA678F5"/>
    <w:rsid w:val="4DB169D9"/>
    <w:rsid w:val="4DB651BC"/>
    <w:rsid w:val="4DBA59D8"/>
    <w:rsid w:val="4DBD3862"/>
    <w:rsid w:val="4DBE1BED"/>
    <w:rsid w:val="4DBE46E0"/>
    <w:rsid w:val="4DBF3A09"/>
    <w:rsid w:val="4DC029ED"/>
    <w:rsid w:val="4DC0794B"/>
    <w:rsid w:val="4DC32B7A"/>
    <w:rsid w:val="4DC4022C"/>
    <w:rsid w:val="4DC41A1C"/>
    <w:rsid w:val="4DC56170"/>
    <w:rsid w:val="4DD756B6"/>
    <w:rsid w:val="4DE40BE8"/>
    <w:rsid w:val="4DEA3418"/>
    <w:rsid w:val="4DEE4690"/>
    <w:rsid w:val="4DF427A2"/>
    <w:rsid w:val="4DF50603"/>
    <w:rsid w:val="4DFD4034"/>
    <w:rsid w:val="4E037CCA"/>
    <w:rsid w:val="4E064D8C"/>
    <w:rsid w:val="4E070CE7"/>
    <w:rsid w:val="4E0935AA"/>
    <w:rsid w:val="4E0B358C"/>
    <w:rsid w:val="4E117392"/>
    <w:rsid w:val="4E186FB2"/>
    <w:rsid w:val="4E1B36C7"/>
    <w:rsid w:val="4E1D1220"/>
    <w:rsid w:val="4E212451"/>
    <w:rsid w:val="4E290019"/>
    <w:rsid w:val="4E2A287E"/>
    <w:rsid w:val="4E360BCC"/>
    <w:rsid w:val="4E385133"/>
    <w:rsid w:val="4E3A1E55"/>
    <w:rsid w:val="4E3E5991"/>
    <w:rsid w:val="4E4332DD"/>
    <w:rsid w:val="4E49359F"/>
    <w:rsid w:val="4E4A05ED"/>
    <w:rsid w:val="4E4D2EEE"/>
    <w:rsid w:val="4E592383"/>
    <w:rsid w:val="4E5B2113"/>
    <w:rsid w:val="4E641105"/>
    <w:rsid w:val="4E6C0A9A"/>
    <w:rsid w:val="4E7D6FC0"/>
    <w:rsid w:val="4E803914"/>
    <w:rsid w:val="4E844FA7"/>
    <w:rsid w:val="4E8A3168"/>
    <w:rsid w:val="4E911408"/>
    <w:rsid w:val="4E932643"/>
    <w:rsid w:val="4E9C4752"/>
    <w:rsid w:val="4E9D5C4A"/>
    <w:rsid w:val="4EA0597F"/>
    <w:rsid w:val="4EA108D1"/>
    <w:rsid w:val="4EAA0530"/>
    <w:rsid w:val="4EAC315C"/>
    <w:rsid w:val="4EB73A02"/>
    <w:rsid w:val="4EBA096F"/>
    <w:rsid w:val="4EBB090C"/>
    <w:rsid w:val="4EC004B7"/>
    <w:rsid w:val="4EC10D40"/>
    <w:rsid w:val="4EC30363"/>
    <w:rsid w:val="4EC30E6E"/>
    <w:rsid w:val="4EC342DB"/>
    <w:rsid w:val="4EC86FBF"/>
    <w:rsid w:val="4ECA78BA"/>
    <w:rsid w:val="4ECC0F13"/>
    <w:rsid w:val="4ECF18AE"/>
    <w:rsid w:val="4ECF1D1E"/>
    <w:rsid w:val="4ED65A3A"/>
    <w:rsid w:val="4EE0753F"/>
    <w:rsid w:val="4EE32C7F"/>
    <w:rsid w:val="4EE4040A"/>
    <w:rsid w:val="4EE7226C"/>
    <w:rsid w:val="4EEE7F20"/>
    <w:rsid w:val="4EF27FFF"/>
    <w:rsid w:val="4EF622B0"/>
    <w:rsid w:val="4EFB0218"/>
    <w:rsid w:val="4F0C7CF7"/>
    <w:rsid w:val="4F0E3064"/>
    <w:rsid w:val="4F1059D2"/>
    <w:rsid w:val="4F156FEC"/>
    <w:rsid w:val="4F1942BB"/>
    <w:rsid w:val="4F1D41D9"/>
    <w:rsid w:val="4F285EB0"/>
    <w:rsid w:val="4F2F6AA8"/>
    <w:rsid w:val="4F303477"/>
    <w:rsid w:val="4F32611D"/>
    <w:rsid w:val="4F335071"/>
    <w:rsid w:val="4F3B6F46"/>
    <w:rsid w:val="4F412254"/>
    <w:rsid w:val="4F465DE6"/>
    <w:rsid w:val="4F4801A6"/>
    <w:rsid w:val="4F491879"/>
    <w:rsid w:val="4F4B2660"/>
    <w:rsid w:val="4F51637D"/>
    <w:rsid w:val="4F5560EC"/>
    <w:rsid w:val="4F5A098E"/>
    <w:rsid w:val="4F5E15E3"/>
    <w:rsid w:val="4F5E692A"/>
    <w:rsid w:val="4F682DBB"/>
    <w:rsid w:val="4F6A119A"/>
    <w:rsid w:val="4F6A33E4"/>
    <w:rsid w:val="4F723A03"/>
    <w:rsid w:val="4F751B93"/>
    <w:rsid w:val="4F7F6E78"/>
    <w:rsid w:val="4F810427"/>
    <w:rsid w:val="4F892DE3"/>
    <w:rsid w:val="4F954C43"/>
    <w:rsid w:val="4F966257"/>
    <w:rsid w:val="4FA766F6"/>
    <w:rsid w:val="4FAA1259"/>
    <w:rsid w:val="4FB211EC"/>
    <w:rsid w:val="4FB52290"/>
    <w:rsid w:val="4FB71D8B"/>
    <w:rsid w:val="4FB82A0A"/>
    <w:rsid w:val="4FBC6258"/>
    <w:rsid w:val="4FBD1627"/>
    <w:rsid w:val="4FC2436B"/>
    <w:rsid w:val="4FCB5CA6"/>
    <w:rsid w:val="4FCC1D4D"/>
    <w:rsid w:val="4FD43E44"/>
    <w:rsid w:val="4FD5654F"/>
    <w:rsid w:val="4FD65CDF"/>
    <w:rsid w:val="4FDA5174"/>
    <w:rsid w:val="4FDF07D2"/>
    <w:rsid w:val="4FE6760F"/>
    <w:rsid w:val="4FF921A2"/>
    <w:rsid w:val="500B27B5"/>
    <w:rsid w:val="5014646B"/>
    <w:rsid w:val="501806BC"/>
    <w:rsid w:val="501A42F1"/>
    <w:rsid w:val="501A7335"/>
    <w:rsid w:val="501B6B48"/>
    <w:rsid w:val="501F75F3"/>
    <w:rsid w:val="50207BD8"/>
    <w:rsid w:val="50237389"/>
    <w:rsid w:val="50246B20"/>
    <w:rsid w:val="5024701E"/>
    <w:rsid w:val="5025627F"/>
    <w:rsid w:val="502B0A62"/>
    <w:rsid w:val="5036031C"/>
    <w:rsid w:val="503725E4"/>
    <w:rsid w:val="503D64C4"/>
    <w:rsid w:val="50415FE7"/>
    <w:rsid w:val="50441FD8"/>
    <w:rsid w:val="504512DF"/>
    <w:rsid w:val="504C7BEC"/>
    <w:rsid w:val="505C5ACF"/>
    <w:rsid w:val="505C5BC5"/>
    <w:rsid w:val="505C637E"/>
    <w:rsid w:val="505E27D2"/>
    <w:rsid w:val="505E63D8"/>
    <w:rsid w:val="505F5E5A"/>
    <w:rsid w:val="50666FD5"/>
    <w:rsid w:val="507037CC"/>
    <w:rsid w:val="50716D0E"/>
    <w:rsid w:val="507A60B8"/>
    <w:rsid w:val="507C2B30"/>
    <w:rsid w:val="507F18C4"/>
    <w:rsid w:val="50833911"/>
    <w:rsid w:val="50895C5B"/>
    <w:rsid w:val="50934682"/>
    <w:rsid w:val="509717B6"/>
    <w:rsid w:val="50AB7D2C"/>
    <w:rsid w:val="50B0315A"/>
    <w:rsid w:val="50B11820"/>
    <w:rsid w:val="50B80FF5"/>
    <w:rsid w:val="50B85B01"/>
    <w:rsid w:val="50BD0685"/>
    <w:rsid w:val="50BF7053"/>
    <w:rsid w:val="50C42FB9"/>
    <w:rsid w:val="50C47794"/>
    <w:rsid w:val="50C77FED"/>
    <w:rsid w:val="50C92F67"/>
    <w:rsid w:val="50D64927"/>
    <w:rsid w:val="50D66EAF"/>
    <w:rsid w:val="50DE0FD4"/>
    <w:rsid w:val="50DF64E7"/>
    <w:rsid w:val="50E60D4C"/>
    <w:rsid w:val="50E65A2D"/>
    <w:rsid w:val="50EC0CEE"/>
    <w:rsid w:val="50ED5184"/>
    <w:rsid w:val="50EE45CA"/>
    <w:rsid w:val="50FA477B"/>
    <w:rsid w:val="50FD3783"/>
    <w:rsid w:val="50FF7EBD"/>
    <w:rsid w:val="5101537A"/>
    <w:rsid w:val="5105223F"/>
    <w:rsid w:val="510656F5"/>
    <w:rsid w:val="51070650"/>
    <w:rsid w:val="510E4C05"/>
    <w:rsid w:val="510F1FDD"/>
    <w:rsid w:val="5110402C"/>
    <w:rsid w:val="511453A1"/>
    <w:rsid w:val="51196A76"/>
    <w:rsid w:val="511E31A9"/>
    <w:rsid w:val="512338C8"/>
    <w:rsid w:val="512771B8"/>
    <w:rsid w:val="512C614B"/>
    <w:rsid w:val="51422C08"/>
    <w:rsid w:val="514903C0"/>
    <w:rsid w:val="514E236C"/>
    <w:rsid w:val="51550B12"/>
    <w:rsid w:val="51640797"/>
    <w:rsid w:val="51641EAB"/>
    <w:rsid w:val="51745405"/>
    <w:rsid w:val="517572D0"/>
    <w:rsid w:val="517B40B6"/>
    <w:rsid w:val="517E6E33"/>
    <w:rsid w:val="5186431B"/>
    <w:rsid w:val="51892DDC"/>
    <w:rsid w:val="518F7DB3"/>
    <w:rsid w:val="51922D31"/>
    <w:rsid w:val="51924A54"/>
    <w:rsid w:val="51976829"/>
    <w:rsid w:val="519A4C8F"/>
    <w:rsid w:val="519C380F"/>
    <w:rsid w:val="519D751B"/>
    <w:rsid w:val="519E2A65"/>
    <w:rsid w:val="51A0662E"/>
    <w:rsid w:val="51A77580"/>
    <w:rsid w:val="51A9659B"/>
    <w:rsid w:val="51AB3A48"/>
    <w:rsid w:val="51AD103E"/>
    <w:rsid w:val="51AD3DA1"/>
    <w:rsid w:val="51BD32DC"/>
    <w:rsid w:val="51DB476D"/>
    <w:rsid w:val="51E22AF4"/>
    <w:rsid w:val="51EE5218"/>
    <w:rsid w:val="51FC3BCF"/>
    <w:rsid w:val="51FC6C94"/>
    <w:rsid w:val="51FD6BFC"/>
    <w:rsid w:val="51FF2ECF"/>
    <w:rsid w:val="52011A2D"/>
    <w:rsid w:val="520401A0"/>
    <w:rsid w:val="52056B60"/>
    <w:rsid w:val="52067F48"/>
    <w:rsid w:val="520A42EA"/>
    <w:rsid w:val="52251899"/>
    <w:rsid w:val="52281C2F"/>
    <w:rsid w:val="52282E0A"/>
    <w:rsid w:val="523205D6"/>
    <w:rsid w:val="524028AE"/>
    <w:rsid w:val="5243753B"/>
    <w:rsid w:val="5245158C"/>
    <w:rsid w:val="52464342"/>
    <w:rsid w:val="52485523"/>
    <w:rsid w:val="524F69F2"/>
    <w:rsid w:val="52547F4F"/>
    <w:rsid w:val="52572FB9"/>
    <w:rsid w:val="52597FDC"/>
    <w:rsid w:val="525E5206"/>
    <w:rsid w:val="526873F0"/>
    <w:rsid w:val="52723905"/>
    <w:rsid w:val="5273537D"/>
    <w:rsid w:val="527A752D"/>
    <w:rsid w:val="52833DC2"/>
    <w:rsid w:val="528A7431"/>
    <w:rsid w:val="528E19D1"/>
    <w:rsid w:val="528E54B2"/>
    <w:rsid w:val="52940F87"/>
    <w:rsid w:val="52AA3EAC"/>
    <w:rsid w:val="52B20FF5"/>
    <w:rsid w:val="52C5209F"/>
    <w:rsid w:val="52C80B73"/>
    <w:rsid w:val="52CB3602"/>
    <w:rsid w:val="52D11F6C"/>
    <w:rsid w:val="52D1379A"/>
    <w:rsid w:val="52DA6669"/>
    <w:rsid w:val="52E7439A"/>
    <w:rsid w:val="52E86FCB"/>
    <w:rsid w:val="52EC6E3E"/>
    <w:rsid w:val="52F039DE"/>
    <w:rsid w:val="53006410"/>
    <w:rsid w:val="53087FA6"/>
    <w:rsid w:val="530968B3"/>
    <w:rsid w:val="530B1DCC"/>
    <w:rsid w:val="530D53EB"/>
    <w:rsid w:val="530E58DA"/>
    <w:rsid w:val="53125A98"/>
    <w:rsid w:val="5321790D"/>
    <w:rsid w:val="532A6F86"/>
    <w:rsid w:val="532B1229"/>
    <w:rsid w:val="532E5AAD"/>
    <w:rsid w:val="532F5069"/>
    <w:rsid w:val="533037BD"/>
    <w:rsid w:val="533466B2"/>
    <w:rsid w:val="533A28B8"/>
    <w:rsid w:val="533F0BBF"/>
    <w:rsid w:val="53411A3C"/>
    <w:rsid w:val="53431A54"/>
    <w:rsid w:val="534B2F19"/>
    <w:rsid w:val="534D2D78"/>
    <w:rsid w:val="53524500"/>
    <w:rsid w:val="53524615"/>
    <w:rsid w:val="53585B8A"/>
    <w:rsid w:val="53593059"/>
    <w:rsid w:val="535A7FB1"/>
    <w:rsid w:val="535E1032"/>
    <w:rsid w:val="5360478E"/>
    <w:rsid w:val="53642368"/>
    <w:rsid w:val="536702CC"/>
    <w:rsid w:val="53690196"/>
    <w:rsid w:val="536B24B8"/>
    <w:rsid w:val="536B4299"/>
    <w:rsid w:val="537C28A6"/>
    <w:rsid w:val="538B3D1F"/>
    <w:rsid w:val="538E7FD3"/>
    <w:rsid w:val="539711E6"/>
    <w:rsid w:val="5397743F"/>
    <w:rsid w:val="539F5C2D"/>
    <w:rsid w:val="53A01D61"/>
    <w:rsid w:val="53A13F3F"/>
    <w:rsid w:val="53B04A22"/>
    <w:rsid w:val="53C14008"/>
    <w:rsid w:val="53C61023"/>
    <w:rsid w:val="53D72180"/>
    <w:rsid w:val="53E15D54"/>
    <w:rsid w:val="53E3297A"/>
    <w:rsid w:val="53E330BA"/>
    <w:rsid w:val="53E62ADA"/>
    <w:rsid w:val="53E905A9"/>
    <w:rsid w:val="53EF26A9"/>
    <w:rsid w:val="53F4731F"/>
    <w:rsid w:val="53F56CFD"/>
    <w:rsid w:val="54004C52"/>
    <w:rsid w:val="540172A2"/>
    <w:rsid w:val="5406470F"/>
    <w:rsid w:val="54067C6B"/>
    <w:rsid w:val="54077394"/>
    <w:rsid w:val="54113878"/>
    <w:rsid w:val="54130054"/>
    <w:rsid w:val="54154A91"/>
    <w:rsid w:val="54161A3A"/>
    <w:rsid w:val="54205FBB"/>
    <w:rsid w:val="54214EC7"/>
    <w:rsid w:val="542760CC"/>
    <w:rsid w:val="5433256F"/>
    <w:rsid w:val="54367E87"/>
    <w:rsid w:val="54372E53"/>
    <w:rsid w:val="543B144C"/>
    <w:rsid w:val="543B2B4E"/>
    <w:rsid w:val="543D6D00"/>
    <w:rsid w:val="54411EB4"/>
    <w:rsid w:val="544211A1"/>
    <w:rsid w:val="54455E3C"/>
    <w:rsid w:val="5451331B"/>
    <w:rsid w:val="545843A7"/>
    <w:rsid w:val="54606172"/>
    <w:rsid w:val="546407BE"/>
    <w:rsid w:val="54656561"/>
    <w:rsid w:val="546B349D"/>
    <w:rsid w:val="5475149C"/>
    <w:rsid w:val="547528A2"/>
    <w:rsid w:val="547B3818"/>
    <w:rsid w:val="54820A2E"/>
    <w:rsid w:val="5484624C"/>
    <w:rsid w:val="549121E2"/>
    <w:rsid w:val="54984239"/>
    <w:rsid w:val="54995F4B"/>
    <w:rsid w:val="54A17FD5"/>
    <w:rsid w:val="54A31DDA"/>
    <w:rsid w:val="54A55E73"/>
    <w:rsid w:val="54A739CE"/>
    <w:rsid w:val="54A74053"/>
    <w:rsid w:val="54AD31B4"/>
    <w:rsid w:val="54B25DB2"/>
    <w:rsid w:val="54BB2D38"/>
    <w:rsid w:val="54C61C25"/>
    <w:rsid w:val="54C80932"/>
    <w:rsid w:val="54CA53C2"/>
    <w:rsid w:val="54CB246C"/>
    <w:rsid w:val="54D051E8"/>
    <w:rsid w:val="54D200D4"/>
    <w:rsid w:val="54E15D3B"/>
    <w:rsid w:val="54E27BD8"/>
    <w:rsid w:val="54E53A83"/>
    <w:rsid w:val="54EB78D3"/>
    <w:rsid w:val="54EC7E8E"/>
    <w:rsid w:val="54F11CBF"/>
    <w:rsid w:val="54F651C2"/>
    <w:rsid w:val="55032186"/>
    <w:rsid w:val="550A0933"/>
    <w:rsid w:val="551208AF"/>
    <w:rsid w:val="551413D4"/>
    <w:rsid w:val="551E2BE8"/>
    <w:rsid w:val="552208E3"/>
    <w:rsid w:val="55227FA8"/>
    <w:rsid w:val="552566F2"/>
    <w:rsid w:val="55416626"/>
    <w:rsid w:val="55462A3D"/>
    <w:rsid w:val="555523EE"/>
    <w:rsid w:val="555B72EB"/>
    <w:rsid w:val="55607D9E"/>
    <w:rsid w:val="556336B9"/>
    <w:rsid w:val="556C5D6C"/>
    <w:rsid w:val="556E17D2"/>
    <w:rsid w:val="556F6A19"/>
    <w:rsid w:val="557A4C99"/>
    <w:rsid w:val="557D0678"/>
    <w:rsid w:val="557D5F69"/>
    <w:rsid w:val="557F2904"/>
    <w:rsid w:val="557F631E"/>
    <w:rsid w:val="558673C3"/>
    <w:rsid w:val="55890D81"/>
    <w:rsid w:val="55892EE7"/>
    <w:rsid w:val="55953DED"/>
    <w:rsid w:val="559D3359"/>
    <w:rsid w:val="55A55268"/>
    <w:rsid w:val="55A979EC"/>
    <w:rsid w:val="55B1509D"/>
    <w:rsid w:val="55B20452"/>
    <w:rsid w:val="55B43F74"/>
    <w:rsid w:val="55B472F1"/>
    <w:rsid w:val="55B53B70"/>
    <w:rsid w:val="55BA1C52"/>
    <w:rsid w:val="55BB0907"/>
    <w:rsid w:val="55C03FE1"/>
    <w:rsid w:val="55C26707"/>
    <w:rsid w:val="55CA4915"/>
    <w:rsid w:val="55CA52E1"/>
    <w:rsid w:val="55CC31D4"/>
    <w:rsid w:val="55D31F47"/>
    <w:rsid w:val="55D3507F"/>
    <w:rsid w:val="55DB7555"/>
    <w:rsid w:val="55E13750"/>
    <w:rsid w:val="55E9108B"/>
    <w:rsid w:val="55E9132B"/>
    <w:rsid w:val="55EB581D"/>
    <w:rsid w:val="55FA2E72"/>
    <w:rsid w:val="55FD3292"/>
    <w:rsid w:val="55FE1201"/>
    <w:rsid w:val="55FF49F0"/>
    <w:rsid w:val="560514FA"/>
    <w:rsid w:val="56094C9C"/>
    <w:rsid w:val="560B191B"/>
    <w:rsid w:val="560C43D2"/>
    <w:rsid w:val="560E5CED"/>
    <w:rsid w:val="560F211C"/>
    <w:rsid w:val="5614215D"/>
    <w:rsid w:val="5616552B"/>
    <w:rsid w:val="561B4221"/>
    <w:rsid w:val="561C7810"/>
    <w:rsid w:val="562A55B0"/>
    <w:rsid w:val="562D0E76"/>
    <w:rsid w:val="562F3BF3"/>
    <w:rsid w:val="563069A6"/>
    <w:rsid w:val="56314543"/>
    <w:rsid w:val="56354701"/>
    <w:rsid w:val="56356EA3"/>
    <w:rsid w:val="563D0636"/>
    <w:rsid w:val="56444FB8"/>
    <w:rsid w:val="564551A6"/>
    <w:rsid w:val="56466259"/>
    <w:rsid w:val="564F0E38"/>
    <w:rsid w:val="5660646F"/>
    <w:rsid w:val="56615868"/>
    <w:rsid w:val="566B1F8E"/>
    <w:rsid w:val="56745753"/>
    <w:rsid w:val="56781690"/>
    <w:rsid w:val="568D59F3"/>
    <w:rsid w:val="568E40F7"/>
    <w:rsid w:val="56920627"/>
    <w:rsid w:val="56925200"/>
    <w:rsid w:val="56930229"/>
    <w:rsid w:val="569852F3"/>
    <w:rsid w:val="569A55A3"/>
    <w:rsid w:val="569C11A9"/>
    <w:rsid w:val="56A22DED"/>
    <w:rsid w:val="56A3671C"/>
    <w:rsid w:val="56A8340C"/>
    <w:rsid w:val="56A91CED"/>
    <w:rsid w:val="56A95544"/>
    <w:rsid w:val="56AC76C3"/>
    <w:rsid w:val="56B11C08"/>
    <w:rsid w:val="56B2632E"/>
    <w:rsid w:val="56B5431D"/>
    <w:rsid w:val="56BB016B"/>
    <w:rsid w:val="56C41723"/>
    <w:rsid w:val="56CB6A8B"/>
    <w:rsid w:val="56CE4BFD"/>
    <w:rsid w:val="56D32204"/>
    <w:rsid w:val="56DF6448"/>
    <w:rsid w:val="56DF717C"/>
    <w:rsid w:val="56E5048D"/>
    <w:rsid w:val="56E50891"/>
    <w:rsid w:val="56E65A76"/>
    <w:rsid w:val="56E72F91"/>
    <w:rsid w:val="56EB32AC"/>
    <w:rsid w:val="56F457FC"/>
    <w:rsid w:val="56F74190"/>
    <w:rsid w:val="56F91EE4"/>
    <w:rsid w:val="570435ED"/>
    <w:rsid w:val="57081164"/>
    <w:rsid w:val="570A31A5"/>
    <w:rsid w:val="571647C5"/>
    <w:rsid w:val="57210648"/>
    <w:rsid w:val="57273327"/>
    <w:rsid w:val="572D647D"/>
    <w:rsid w:val="57342061"/>
    <w:rsid w:val="57352AF5"/>
    <w:rsid w:val="57356726"/>
    <w:rsid w:val="57357AB5"/>
    <w:rsid w:val="573E4E09"/>
    <w:rsid w:val="574A3DD8"/>
    <w:rsid w:val="57634B55"/>
    <w:rsid w:val="576E4CA2"/>
    <w:rsid w:val="57734B84"/>
    <w:rsid w:val="57746489"/>
    <w:rsid w:val="57792379"/>
    <w:rsid w:val="577F481A"/>
    <w:rsid w:val="578111A0"/>
    <w:rsid w:val="5783407C"/>
    <w:rsid w:val="578626A6"/>
    <w:rsid w:val="57874FA4"/>
    <w:rsid w:val="578D7A55"/>
    <w:rsid w:val="579A2F81"/>
    <w:rsid w:val="579A6F39"/>
    <w:rsid w:val="579F151F"/>
    <w:rsid w:val="57AA1C33"/>
    <w:rsid w:val="57AA5B5F"/>
    <w:rsid w:val="57AB211D"/>
    <w:rsid w:val="57AB7D0B"/>
    <w:rsid w:val="57B63177"/>
    <w:rsid w:val="57B840B9"/>
    <w:rsid w:val="57B92A28"/>
    <w:rsid w:val="57BC0486"/>
    <w:rsid w:val="57C32400"/>
    <w:rsid w:val="57DC1A4B"/>
    <w:rsid w:val="57E27F32"/>
    <w:rsid w:val="57ED2758"/>
    <w:rsid w:val="57ED584B"/>
    <w:rsid w:val="57EE0C75"/>
    <w:rsid w:val="580022D5"/>
    <w:rsid w:val="58050F29"/>
    <w:rsid w:val="580849A3"/>
    <w:rsid w:val="580E7F51"/>
    <w:rsid w:val="58113FC4"/>
    <w:rsid w:val="581228DE"/>
    <w:rsid w:val="58126C90"/>
    <w:rsid w:val="581357A3"/>
    <w:rsid w:val="58154FCB"/>
    <w:rsid w:val="581A5723"/>
    <w:rsid w:val="581B220D"/>
    <w:rsid w:val="581C1237"/>
    <w:rsid w:val="58247627"/>
    <w:rsid w:val="582546E0"/>
    <w:rsid w:val="582628F7"/>
    <w:rsid w:val="58266C5F"/>
    <w:rsid w:val="583A3B01"/>
    <w:rsid w:val="5841391F"/>
    <w:rsid w:val="58434D92"/>
    <w:rsid w:val="58444490"/>
    <w:rsid w:val="58534085"/>
    <w:rsid w:val="58553015"/>
    <w:rsid w:val="585B059A"/>
    <w:rsid w:val="585B23C6"/>
    <w:rsid w:val="58622F88"/>
    <w:rsid w:val="58660D01"/>
    <w:rsid w:val="58693C2A"/>
    <w:rsid w:val="58780E10"/>
    <w:rsid w:val="588260CD"/>
    <w:rsid w:val="588653C6"/>
    <w:rsid w:val="588A5196"/>
    <w:rsid w:val="588A6DE9"/>
    <w:rsid w:val="588E356F"/>
    <w:rsid w:val="5895761A"/>
    <w:rsid w:val="58966AAB"/>
    <w:rsid w:val="589813C2"/>
    <w:rsid w:val="589C66C4"/>
    <w:rsid w:val="58A4787A"/>
    <w:rsid w:val="58AD1012"/>
    <w:rsid w:val="58AE71E3"/>
    <w:rsid w:val="58B31658"/>
    <w:rsid w:val="58B32637"/>
    <w:rsid w:val="58B97C50"/>
    <w:rsid w:val="58BB5C34"/>
    <w:rsid w:val="58BE7182"/>
    <w:rsid w:val="58BF405E"/>
    <w:rsid w:val="58CF297B"/>
    <w:rsid w:val="58D23E6B"/>
    <w:rsid w:val="58D33D79"/>
    <w:rsid w:val="58D738D2"/>
    <w:rsid w:val="58E20858"/>
    <w:rsid w:val="58E61A23"/>
    <w:rsid w:val="58EB2793"/>
    <w:rsid w:val="58EC0FDF"/>
    <w:rsid w:val="58ED0BEF"/>
    <w:rsid w:val="58F11142"/>
    <w:rsid w:val="58F20BE4"/>
    <w:rsid w:val="58F400D8"/>
    <w:rsid w:val="59014C2E"/>
    <w:rsid w:val="59024E7D"/>
    <w:rsid w:val="59045A7E"/>
    <w:rsid w:val="59083AE0"/>
    <w:rsid w:val="59111FAD"/>
    <w:rsid w:val="591207B3"/>
    <w:rsid w:val="591479CB"/>
    <w:rsid w:val="59157D0E"/>
    <w:rsid w:val="59160DEC"/>
    <w:rsid w:val="59192B20"/>
    <w:rsid w:val="591A55A7"/>
    <w:rsid w:val="591F03E6"/>
    <w:rsid w:val="59212569"/>
    <w:rsid w:val="592C7F0C"/>
    <w:rsid w:val="592F0C30"/>
    <w:rsid w:val="59377C61"/>
    <w:rsid w:val="593B0C8A"/>
    <w:rsid w:val="59445483"/>
    <w:rsid w:val="59475C44"/>
    <w:rsid w:val="594D5626"/>
    <w:rsid w:val="59515443"/>
    <w:rsid w:val="595473FD"/>
    <w:rsid w:val="595570AA"/>
    <w:rsid w:val="595C3A4A"/>
    <w:rsid w:val="595F0C2D"/>
    <w:rsid w:val="596250A0"/>
    <w:rsid w:val="59671B46"/>
    <w:rsid w:val="5970332C"/>
    <w:rsid w:val="597666AF"/>
    <w:rsid w:val="597C40C7"/>
    <w:rsid w:val="597F201A"/>
    <w:rsid w:val="59855196"/>
    <w:rsid w:val="598B4286"/>
    <w:rsid w:val="59971DCC"/>
    <w:rsid w:val="59981B81"/>
    <w:rsid w:val="599F59D4"/>
    <w:rsid w:val="59A07AC0"/>
    <w:rsid w:val="59A20AF3"/>
    <w:rsid w:val="59A27851"/>
    <w:rsid w:val="59A50611"/>
    <w:rsid w:val="59B36264"/>
    <w:rsid w:val="59B615AE"/>
    <w:rsid w:val="59C71BB6"/>
    <w:rsid w:val="59D43907"/>
    <w:rsid w:val="59DF1F99"/>
    <w:rsid w:val="59E61814"/>
    <w:rsid w:val="59E6618B"/>
    <w:rsid w:val="59EA7FFA"/>
    <w:rsid w:val="59EF6472"/>
    <w:rsid w:val="59F10F23"/>
    <w:rsid w:val="59FD4CCF"/>
    <w:rsid w:val="5A180BA8"/>
    <w:rsid w:val="5A18400F"/>
    <w:rsid w:val="5A1C4762"/>
    <w:rsid w:val="5A1D3BDE"/>
    <w:rsid w:val="5A1F58D0"/>
    <w:rsid w:val="5A2501E0"/>
    <w:rsid w:val="5A266078"/>
    <w:rsid w:val="5A332A2C"/>
    <w:rsid w:val="5A385532"/>
    <w:rsid w:val="5A3874C2"/>
    <w:rsid w:val="5A3A3226"/>
    <w:rsid w:val="5A3A6D4D"/>
    <w:rsid w:val="5A491225"/>
    <w:rsid w:val="5A4B5B5D"/>
    <w:rsid w:val="5A4D47CC"/>
    <w:rsid w:val="5A4D5202"/>
    <w:rsid w:val="5A4F4825"/>
    <w:rsid w:val="5A590379"/>
    <w:rsid w:val="5A623365"/>
    <w:rsid w:val="5A690B60"/>
    <w:rsid w:val="5A6C6901"/>
    <w:rsid w:val="5A6D3470"/>
    <w:rsid w:val="5A6E5882"/>
    <w:rsid w:val="5A76350B"/>
    <w:rsid w:val="5A853463"/>
    <w:rsid w:val="5A853C63"/>
    <w:rsid w:val="5A8B0928"/>
    <w:rsid w:val="5A8B713C"/>
    <w:rsid w:val="5A9033E9"/>
    <w:rsid w:val="5A917CA8"/>
    <w:rsid w:val="5A987A99"/>
    <w:rsid w:val="5A9973B4"/>
    <w:rsid w:val="5AA339B1"/>
    <w:rsid w:val="5AA401D3"/>
    <w:rsid w:val="5AA574F9"/>
    <w:rsid w:val="5AA57C62"/>
    <w:rsid w:val="5AAC4886"/>
    <w:rsid w:val="5AAF59C4"/>
    <w:rsid w:val="5AC31C14"/>
    <w:rsid w:val="5AC37F2F"/>
    <w:rsid w:val="5AC40CC9"/>
    <w:rsid w:val="5ACB7767"/>
    <w:rsid w:val="5AD20873"/>
    <w:rsid w:val="5AE10EC8"/>
    <w:rsid w:val="5AEA3C24"/>
    <w:rsid w:val="5AF24449"/>
    <w:rsid w:val="5AF378A9"/>
    <w:rsid w:val="5B027F2B"/>
    <w:rsid w:val="5B030D07"/>
    <w:rsid w:val="5B03272C"/>
    <w:rsid w:val="5B091A1F"/>
    <w:rsid w:val="5B092BBB"/>
    <w:rsid w:val="5B111694"/>
    <w:rsid w:val="5B280929"/>
    <w:rsid w:val="5B2D1B35"/>
    <w:rsid w:val="5B2D30E5"/>
    <w:rsid w:val="5B376A49"/>
    <w:rsid w:val="5B3C1167"/>
    <w:rsid w:val="5B3D1304"/>
    <w:rsid w:val="5B457B46"/>
    <w:rsid w:val="5B4E4975"/>
    <w:rsid w:val="5B5848CE"/>
    <w:rsid w:val="5B59490E"/>
    <w:rsid w:val="5B5D51AD"/>
    <w:rsid w:val="5B602484"/>
    <w:rsid w:val="5B625C30"/>
    <w:rsid w:val="5B6309E6"/>
    <w:rsid w:val="5B665E56"/>
    <w:rsid w:val="5B7B4D50"/>
    <w:rsid w:val="5B8068EC"/>
    <w:rsid w:val="5B8965FF"/>
    <w:rsid w:val="5B913D4A"/>
    <w:rsid w:val="5B937A18"/>
    <w:rsid w:val="5B9D2C7F"/>
    <w:rsid w:val="5B9E3A7E"/>
    <w:rsid w:val="5B9F7251"/>
    <w:rsid w:val="5BA1796C"/>
    <w:rsid w:val="5BAA5645"/>
    <w:rsid w:val="5BAE1BB9"/>
    <w:rsid w:val="5BAE4D8A"/>
    <w:rsid w:val="5BB16356"/>
    <w:rsid w:val="5BB943D0"/>
    <w:rsid w:val="5BC21930"/>
    <w:rsid w:val="5BC66729"/>
    <w:rsid w:val="5BCE0BBE"/>
    <w:rsid w:val="5BD83493"/>
    <w:rsid w:val="5BDE0C0B"/>
    <w:rsid w:val="5BE51E35"/>
    <w:rsid w:val="5BEB5285"/>
    <w:rsid w:val="5BF84988"/>
    <w:rsid w:val="5BF855AA"/>
    <w:rsid w:val="5C033066"/>
    <w:rsid w:val="5C041A21"/>
    <w:rsid w:val="5C04522A"/>
    <w:rsid w:val="5C0A601A"/>
    <w:rsid w:val="5C1211C7"/>
    <w:rsid w:val="5C193E8F"/>
    <w:rsid w:val="5C2579B2"/>
    <w:rsid w:val="5C264C7D"/>
    <w:rsid w:val="5C301B0D"/>
    <w:rsid w:val="5C336254"/>
    <w:rsid w:val="5C395C46"/>
    <w:rsid w:val="5C3D18BF"/>
    <w:rsid w:val="5C440275"/>
    <w:rsid w:val="5C493DAE"/>
    <w:rsid w:val="5C497D5E"/>
    <w:rsid w:val="5C5D38FA"/>
    <w:rsid w:val="5C6636D7"/>
    <w:rsid w:val="5C695AEC"/>
    <w:rsid w:val="5C6E4523"/>
    <w:rsid w:val="5C731EEA"/>
    <w:rsid w:val="5C745B1B"/>
    <w:rsid w:val="5C80619F"/>
    <w:rsid w:val="5C8B4AAF"/>
    <w:rsid w:val="5C8F5C0C"/>
    <w:rsid w:val="5C914C6A"/>
    <w:rsid w:val="5C9E3EFC"/>
    <w:rsid w:val="5C9F25E8"/>
    <w:rsid w:val="5CAA3100"/>
    <w:rsid w:val="5CAF74C7"/>
    <w:rsid w:val="5CBB6481"/>
    <w:rsid w:val="5CBF759B"/>
    <w:rsid w:val="5CC0254E"/>
    <w:rsid w:val="5CC1261E"/>
    <w:rsid w:val="5CC805EC"/>
    <w:rsid w:val="5CC95203"/>
    <w:rsid w:val="5CCE5B67"/>
    <w:rsid w:val="5CD23D9F"/>
    <w:rsid w:val="5CD45DB0"/>
    <w:rsid w:val="5CD471F9"/>
    <w:rsid w:val="5CDA39E1"/>
    <w:rsid w:val="5CDE7244"/>
    <w:rsid w:val="5CDF6B87"/>
    <w:rsid w:val="5CE333C8"/>
    <w:rsid w:val="5CE67DEB"/>
    <w:rsid w:val="5CE7304F"/>
    <w:rsid w:val="5CEB2004"/>
    <w:rsid w:val="5CEB66A9"/>
    <w:rsid w:val="5CEE6BD2"/>
    <w:rsid w:val="5CEF3C4C"/>
    <w:rsid w:val="5CF44A92"/>
    <w:rsid w:val="5CF51643"/>
    <w:rsid w:val="5CFC4DD1"/>
    <w:rsid w:val="5D00109E"/>
    <w:rsid w:val="5D00424E"/>
    <w:rsid w:val="5D0100B3"/>
    <w:rsid w:val="5D082CA8"/>
    <w:rsid w:val="5D131994"/>
    <w:rsid w:val="5D180872"/>
    <w:rsid w:val="5D1B344B"/>
    <w:rsid w:val="5D2B11A5"/>
    <w:rsid w:val="5D340A57"/>
    <w:rsid w:val="5D355CD9"/>
    <w:rsid w:val="5D3B1D9D"/>
    <w:rsid w:val="5D3B5465"/>
    <w:rsid w:val="5D3C612A"/>
    <w:rsid w:val="5D4414DA"/>
    <w:rsid w:val="5D4445EC"/>
    <w:rsid w:val="5D463814"/>
    <w:rsid w:val="5D53144F"/>
    <w:rsid w:val="5D543C32"/>
    <w:rsid w:val="5D55084D"/>
    <w:rsid w:val="5D5577B6"/>
    <w:rsid w:val="5D563578"/>
    <w:rsid w:val="5D707F17"/>
    <w:rsid w:val="5D747C21"/>
    <w:rsid w:val="5D814776"/>
    <w:rsid w:val="5D867D7F"/>
    <w:rsid w:val="5D8B0665"/>
    <w:rsid w:val="5D8B3CE1"/>
    <w:rsid w:val="5D8D4592"/>
    <w:rsid w:val="5D9E05C9"/>
    <w:rsid w:val="5DA33FDE"/>
    <w:rsid w:val="5DA3522E"/>
    <w:rsid w:val="5DA54852"/>
    <w:rsid w:val="5DA62B6D"/>
    <w:rsid w:val="5DAB45BC"/>
    <w:rsid w:val="5DB004C1"/>
    <w:rsid w:val="5DB436D7"/>
    <w:rsid w:val="5DB87874"/>
    <w:rsid w:val="5DB96925"/>
    <w:rsid w:val="5DBD7B0F"/>
    <w:rsid w:val="5DC125A3"/>
    <w:rsid w:val="5DCB7281"/>
    <w:rsid w:val="5DD7263D"/>
    <w:rsid w:val="5DD934F5"/>
    <w:rsid w:val="5DDB3155"/>
    <w:rsid w:val="5DE06B5C"/>
    <w:rsid w:val="5DE60689"/>
    <w:rsid w:val="5DEE1C26"/>
    <w:rsid w:val="5DF957A1"/>
    <w:rsid w:val="5E002BF5"/>
    <w:rsid w:val="5E01637A"/>
    <w:rsid w:val="5E06500F"/>
    <w:rsid w:val="5E095650"/>
    <w:rsid w:val="5E1422A4"/>
    <w:rsid w:val="5E142577"/>
    <w:rsid w:val="5E1635E8"/>
    <w:rsid w:val="5E1A737D"/>
    <w:rsid w:val="5E236F88"/>
    <w:rsid w:val="5E277510"/>
    <w:rsid w:val="5E2D275A"/>
    <w:rsid w:val="5E3109B4"/>
    <w:rsid w:val="5E32282A"/>
    <w:rsid w:val="5E34452A"/>
    <w:rsid w:val="5E42342D"/>
    <w:rsid w:val="5E494759"/>
    <w:rsid w:val="5E4B0227"/>
    <w:rsid w:val="5E4C4506"/>
    <w:rsid w:val="5E4E1100"/>
    <w:rsid w:val="5E5011F1"/>
    <w:rsid w:val="5E517C58"/>
    <w:rsid w:val="5E536BEB"/>
    <w:rsid w:val="5E5B1502"/>
    <w:rsid w:val="5E637298"/>
    <w:rsid w:val="5E695F12"/>
    <w:rsid w:val="5E6A3C97"/>
    <w:rsid w:val="5E6C23B1"/>
    <w:rsid w:val="5E6F3DB5"/>
    <w:rsid w:val="5E713327"/>
    <w:rsid w:val="5E722044"/>
    <w:rsid w:val="5E742035"/>
    <w:rsid w:val="5E77529C"/>
    <w:rsid w:val="5E787B9F"/>
    <w:rsid w:val="5E7A3C82"/>
    <w:rsid w:val="5E7B041E"/>
    <w:rsid w:val="5E7E36E2"/>
    <w:rsid w:val="5E82401C"/>
    <w:rsid w:val="5E8417B2"/>
    <w:rsid w:val="5E850AF5"/>
    <w:rsid w:val="5E8573ED"/>
    <w:rsid w:val="5E871DB4"/>
    <w:rsid w:val="5E8C6E1C"/>
    <w:rsid w:val="5E8F5718"/>
    <w:rsid w:val="5E906ED0"/>
    <w:rsid w:val="5E977518"/>
    <w:rsid w:val="5E995DBC"/>
    <w:rsid w:val="5E9A1BC1"/>
    <w:rsid w:val="5E9C2A1D"/>
    <w:rsid w:val="5E9C3490"/>
    <w:rsid w:val="5E9F0B60"/>
    <w:rsid w:val="5EA45B6C"/>
    <w:rsid w:val="5EA55837"/>
    <w:rsid w:val="5EA70C96"/>
    <w:rsid w:val="5EB47AB5"/>
    <w:rsid w:val="5EB47F7F"/>
    <w:rsid w:val="5EB76614"/>
    <w:rsid w:val="5EB91A43"/>
    <w:rsid w:val="5EC11B66"/>
    <w:rsid w:val="5EC36193"/>
    <w:rsid w:val="5EC65907"/>
    <w:rsid w:val="5ECB4A8A"/>
    <w:rsid w:val="5ECE6A26"/>
    <w:rsid w:val="5ECF33BE"/>
    <w:rsid w:val="5ECF3467"/>
    <w:rsid w:val="5ED432A4"/>
    <w:rsid w:val="5EDC4079"/>
    <w:rsid w:val="5EE24574"/>
    <w:rsid w:val="5EEE3070"/>
    <w:rsid w:val="5EFC4E88"/>
    <w:rsid w:val="5EFD6A3C"/>
    <w:rsid w:val="5F0012DD"/>
    <w:rsid w:val="5F056F01"/>
    <w:rsid w:val="5F0C0A6E"/>
    <w:rsid w:val="5F0F3CA2"/>
    <w:rsid w:val="5F1E3BE0"/>
    <w:rsid w:val="5F2069B1"/>
    <w:rsid w:val="5F240593"/>
    <w:rsid w:val="5F25668B"/>
    <w:rsid w:val="5F266833"/>
    <w:rsid w:val="5F2723A4"/>
    <w:rsid w:val="5F2A2081"/>
    <w:rsid w:val="5F3C6B7D"/>
    <w:rsid w:val="5F452AF3"/>
    <w:rsid w:val="5F4F394F"/>
    <w:rsid w:val="5F525034"/>
    <w:rsid w:val="5F597CB5"/>
    <w:rsid w:val="5F5E030F"/>
    <w:rsid w:val="5F653F40"/>
    <w:rsid w:val="5F670FB5"/>
    <w:rsid w:val="5F6A2ABE"/>
    <w:rsid w:val="5F827FB6"/>
    <w:rsid w:val="5F841BF9"/>
    <w:rsid w:val="5F845203"/>
    <w:rsid w:val="5F8D4F3C"/>
    <w:rsid w:val="5F923E61"/>
    <w:rsid w:val="5F9D0F43"/>
    <w:rsid w:val="5FA05821"/>
    <w:rsid w:val="5FA5708F"/>
    <w:rsid w:val="5FA57823"/>
    <w:rsid w:val="5FAB6499"/>
    <w:rsid w:val="5FAD323D"/>
    <w:rsid w:val="5FAE2164"/>
    <w:rsid w:val="5FB713A2"/>
    <w:rsid w:val="5FB73E1E"/>
    <w:rsid w:val="5FBE48E6"/>
    <w:rsid w:val="5FC62EE6"/>
    <w:rsid w:val="5FD412B8"/>
    <w:rsid w:val="5FD52860"/>
    <w:rsid w:val="5FD611AF"/>
    <w:rsid w:val="5FE94798"/>
    <w:rsid w:val="5FEC3807"/>
    <w:rsid w:val="5FEF7660"/>
    <w:rsid w:val="5FF356A9"/>
    <w:rsid w:val="5FF45B68"/>
    <w:rsid w:val="5FF822EF"/>
    <w:rsid w:val="600844B3"/>
    <w:rsid w:val="600A213C"/>
    <w:rsid w:val="60130820"/>
    <w:rsid w:val="601C1EAF"/>
    <w:rsid w:val="601C7BB2"/>
    <w:rsid w:val="601E7A9A"/>
    <w:rsid w:val="602069E4"/>
    <w:rsid w:val="60276841"/>
    <w:rsid w:val="602924EB"/>
    <w:rsid w:val="60297E8D"/>
    <w:rsid w:val="60331EF0"/>
    <w:rsid w:val="6033312B"/>
    <w:rsid w:val="6034068E"/>
    <w:rsid w:val="60390303"/>
    <w:rsid w:val="603A11F0"/>
    <w:rsid w:val="60455627"/>
    <w:rsid w:val="60456C21"/>
    <w:rsid w:val="604E0F01"/>
    <w:rsid w:val="60553A57"/>
    <w:rsid w:val="605A381E"/>
    <w:rsid w:val="605B0C60"/>
    <w:rsid w:val="605D5C4F"/>
    <w:rsid w:val="605D6260"/>
    <w:rsid w:val="6064371F"/>
    <w:rsid w:val="60684388"/>
    <w:rsid w:val="606D51E6"/>
    <w:rsid w:val="606E3C10"/>
    <w:rsid w:val="606F0754"/>
    <w:rsid w:val="607455CA"/>
    <w:rsid w:val="60816265"/>
    <w:rsid w:val="60843093"/>
    <w:rsid w:val="60866320"/>
    <w:rsid w:val="608E095B"/>
    <w:rsid w:val="6091095F"/>
    <w:rsid w:val="609F0817"/>
    <w:rsid w:val="60A158E8"/>
    <w:rsid w:val="60A52D70"/>
    <w:rsid w:val="60A71781"/>
    <w:rsid w:val="60A719A3"/>
    <w:rsid w:val="60A97692"/>
    <w:rsid w:val="60AD04D0"/>
    <w:rsid w:val="60BC35CF"/>
    <w:rsid w:val="60BD545D"/>
    <w:rsid w:val="60BE192C"/>
    <w:rsid w:val="60C65C97"/>
    <w:rsid w:val="60CE5D43"/>
    <w:rsid w:val="60D05C4E"/>
    <w:rsid w:val="60D6069A"/>
    <w:rsid w:val="60D75B59"/>
    <w:rsid w:val="60DB3D65"/>
    <w:rsid w:val="60DC4F5F"/>
    <w:rsid w:val="60DD29B7"/>
    <w:rsid w:val="60DD4F76"/>
    <w:rsid w:val="60E01D5A"/>
    <w:rsid w:val="60E762DE"/>
    <w:rsid w:val="60EB1859"/>
    <w:rsid w:val="60F536DD"/>
    <w:rsid w:val="60FE4448"/>
    <w:rsid w:val="61000E84"/>
    <w:rsid w:val="61005EB0"/>
    <w:rsid w:val="61057F31"/>
    <w:rsid w:val="61073BA1"/>
    <w:rsid w:val="61137A97"/>
    <w:rsid w:val="61143F2A"/>
    <w:rsid w:val="611F397F"/>
    <w:rsid w:val="61262C31"/>
    <w:rsid w:val="61275EDF"/>
    <w:rsid w:val="61297A12"/>
    <w:rsid w:val="612A499D"/>
    <w:rsid w:val="612B681D"/>
    <w:rsid w:val="61315C23"/>
    <w:rsid w:val="613755A8"/>
    <w:rsid w:val="613918DF"/>
    <w:rsid w:val="613E1604"/>
    <w:rsid w:val="6143750E"/>
    <w:rsid w:val="6145561E"/>
    <w:rsid w:val="614B6A48"/>
    <w:rsid w:val="61572720"/>
    <w:rsid w:val="61580AA7"/>
    <w:rsid w:val="61581C02"/>
    <w:rsid w:val="615838FD"/>
    <w:rsid w:val="615D19D7"/>
    <w:rsid w:val="6163252D"/>
    <w:rsid w:val="61654D49"/>
    <w:rsid w:val="6166067E"/>
    <w:rsid w:val="61697DE1"/>
    <w:rsid w:val="616A65EE"/>
    <w:rsid w:val="616C4044"/>
    <w:rsid w:val="616D6E43"/>
    <w:rsid w:val="616F2C90"/>
    <w:rsid w:val="616F476B"/>
    <w:rsid w:val="61700EFA"/>
    <w:rsid w:val="617433C5"/>
    <w:rsid w:val="6176640E"/>
    <w:rsid w:val="617F7076"/>
    <w:rsid w:val="61801F71"/>
    <w:rsid w:val="618C4F52"/>
    <w:rsid w:val="618D3A2E"/>
    <w:rsid w:val="619C3F2B"/>
    <w:rsid w:val="619C627B"/>
    <w:rsid w:val="619E7C31"/>
    <w:rsid w:val="61AC4FBD"/>
    <w:rsid w:val="61AF2B5A"/>
    <w:rsid w:val="61B63E18"/>
    <w:rsid w:val="61B74A49"/>
    <w:rsid w:val="61BA0D14"/>
    <w:rsid w:val="61C30572"/>
    <w:rsid w:val="61C9529A"/>
    <w:rsid w:val="61D84114"/>
    <w:rsid w:val="61DA3AD0"/>
    <w:rsid w:val="61DA4450"/>
    <w:rsid w:val="61DC798D"/>
    <w:rsid w:val="61DF10D7"/>
    <w:rsid w:val="61EB30C8"/>
    <w:rsid w:val="61EB35F2"/>
    <w:rsid w:val="61EB4661"/>
    <w:rsid w:val="61EF03E7"/>
    <w:rsid w:val="61F27086"/>
    <w:rsid w:val="62013E16"/>
    <w:rsid w:val="62016E68"/>
    <w:rsid w:val="62070B36"/>
    <w:rsid w:val="62082450"/>
    <w:rsid w:val="62094845"/>
    <w:rsid w:val="621068F5"/>
    <w:rsid w:val="62143662"/>
    <w:rsid w:val="62165768"/>
    <w:rsid w:val="6218237D"/>
    <w:rsid w:val="62292442"/>
    <w:rsid w:val="6230255F"/>
    <w:rsid w:val="62303BEA"/>
    <w:rsid w:val="6232170F"/>
    <w:rsid w:val="62327AE7"/>
    <w:rsid w:val="62334F52"/>
    <w:rsid w:val="62384557"/>
    <w:rsid w:val="62416193"/>
    <w:rsid w:val="62416AB1"/>
    <w:rsid w:val="624A27D1"/>
    <w:rsid w:val="624A5567"/>
    <w:rsid w:val="625478EE"/>
    <w:rsid w:val="6256080E"/>
    <w:rsid w:val="625664DD"/>
    <w:rsid w:val="62581FE7"/>
    <w:rsid w:val="626128F7"/>
    <w:rsid w:val="62631F33"/>
    <w:rsid w:val="6267053C"/>
    <w:rsid w:val="62672F64"/>
    <w:rsid w:val="626850CB"/>
    <w:rsid w:val="62735243"/>
    <w:rsid w:val="6276296A"/>
    <w:rsid w:val="627B1BA8"/>
    <w:rsid w:val="62895920"/>
    <w:rsid w:val="628C58CD"/>
    <w:rsid w:val="62957CF1"/>
    <w:rsid w:val="62973357"/>
    <w:rsid w:val="629F54C7"/>
    <w:rsid w:val="62A00842"/>
    <w:rsid w:val="62A758AE"/>
    <w:rsid w:val="62A91509"/>
    <w:rsid w:val="62AE5792"/>
    <w:rsid w:val="62B656A8"/>
    <w:rsid w:val="62BA36BF"/>
    <w:rsid w:val="62D02CD0"/>
    <w:rsid w:val="62D50D81"/>
    <w:rsid w:val="62DE53EF"/>
    <w:rsid w:val="62E266F6"/>
    <w:rsid w:val="62ED4F6E"/>
    <w:rsid w:val="62FB188C"/>
    <w:rsid w:val="63017A29"/>
    <w:rsid w:val="63062796"/>
    <w:rsid w:val="630C0C08"/>
    <w:rsid w:val="630E70A5"/>
    <w:rsid w:val="63113173"/>
    <w:rsid w:val="63143DFC"/>
    <w:rsid w:val="631665E6"/>
    <w:rsid w:val="63190D47"/>
    <w:rsid w:val="631B72A2"/>
    <w:rsid w:val="632905BE"/>
    <w:rsid w:val="63340102"/>
    <w:rsid w:val="6334591A"/>
    <w:rsid w:val="633A53B8"/>
    <w:rsid w:val="633D3B4F"/>
    <w:rsid w:val="634B1E47"/>
    <w:rsid w:val="634C1301"/>
    <w:rsid w:val="634D4668"/>
    <w:rsid w:val="635034EB"/>
    <w:rsid w:val="636546C4"/>
    <w:rsid w:val="63676388"/>
    <w:rsid w:val="63684E6A"/>
    <w:rsid w:val="63691A8E"/>
    <w:rsid w:val="636B587B"/>
    <w:rsid w:val="63726B82"/>
    <w:rsid w:val="63741BF9"/>
    <w:rsid w:val="63754CCA"/>
    <w:rsid w:val="63762F19"/>
    <w:rsid w:val="63784485"/>
    <w:rsid w:val="63841B18"/>
    <w:rsid w:val="63870F30"/>
    <w:rsid w:val="6388419D"/>
    <w:rsid w:val="638A2872"/>
    <w:rsid w:val="638F6BD2"/>
    <w:rsid w:val="63A213BA"/>
    <w:rsid w:val="63A5273E"/>
    <w:rsid w:val="63C029CE"/>
    <w:rsid w:val="63C40DD4"/>
    <w:rsid w:val="63CB43BD"/>
    <w:rsid w:val="63D01574"/>
    <w:rsid w:val="63D22032"/>
    <w:rsid w:val="63D6116A"/>
    <w:rsid w:val="63D66CEF"/>
    <w:rsid w:val="63DB7B14"/>
    <w:rsid w:val="63DE0B41"/>
    <w:rsid w:val="63E23BEC"/>
    <w:rsid w:val="63E6164D"/>
    <w:rsid w:val="63E64998"/>
    <w:rsid w:val="63E86A03"/>
    <w:rsid w:val="63E9638E"/>
    <w:rsid w:val="63ED0FB9"/>
    <w:rsid w:val="63EF3F59"/>
    <w:rsid w:val="63F31DFE"/>
    <w:rsid w:val="63F42678"/>
    <w:rsid w:val="63F50413"/>
    <w:rsid w:val="63F54659"/>
    <w:rsid w:val="63F71621"/>
    <w:rsid w:val="63F947C1"/>
    <w:rsid w:val="64007A55"/>
    <w:rsid w:val="64030CAF"/>
    <w:rsid w:val="6406719B"/>
    <w:rsid w:val="640A519E"/>
    <w:rsid w:val="640C18FE"/>
    <w:rsid w:val="641076F1"/>
    <w:rsid w:val="64155AD0"/>
    <w:rsid w:val="6420321A"/>
    <w:rsid w:val="64203AF6"/>
    <w:rsid w:val="64204008"/>
    <w:rsid w:val="64236965"/>
    <w:rsid w:val="642531AD"/>
    <w:rsid w:val="643327E8"/>
    <w:rsid w:val="6434680C"/>
    <w:rsid w:val="64357BEE"/>
    <w:rsid w:val="64357CD7"/>
    <w:rsid w:val="64374EF8"/>
    <w:rsid w:val="64465102"/>
    <w:rsid w:val="64474AEE"/>
    <w:rsid w:val="64481237"/>
    <w:rsid w:val="644C3C10"/>
    <w:rsid w:val="644F6E50"/>
    <w:rsid w:val="64527253"/>
    <w:rsid w:val="645403DC"/>
    <w:rsid w:val="6455358D"/>
    <w:rsid w:val="645A1A4A"/>
    <w:rsid w:val="64601085"/>
    <w:rsid w:val="646329F7"/>
    <w:rsid w:val="64636AD3"/>
    <w:rsid w:val="64642EBF"/>
    <w:rsid w:val="64677987"/>
    <w:rsid w:val="64681569"/>
    <w:rsid w:val="64687BF8"/>
    <w:rsid w:val="646D5832"/>
    <w:rsid w:val="647C26F0"/>
    <w:rsid w:val="64803C7C"/>
    <w:rsid w:val="64831903"/>
    <w:rsid w:val="64866B71"/>
    <w:rsid w:val="648E2C7C"/>
    <w:rsid w:val="649429C1"/>
    <w:rsid w:val="649F0930"/>
    <w:rsid w:val="64A13A57"/>
    <w:rsid w:val="64B72BF3"/>
    <w:rsid w:val="64B96D49"/>
    <w:rsid w:val="64BC3FC5"/>
    <w:rsid w:val="64BC51D3"/>
    <w:rsid w:val="64BD7BE4"/>
    <w:rsid w:val="64BF746B"/>
    <w:rsid w:val="64CE5A37"/>
    <w:rsid w:val="64CE71EF"/>
    <w:rsid w:val="64CE7DE9"/>
    <w:rsid w:val="64D3455A"/>
    <w:rsid w:val="64D47432"/>
    <w:rsid w:val="64E500E3"/>
    <w:rsid w:val="64E751BB"/>
    <w:rsid w:val="64E95433"/>
    <w:rsid w:val="64F362F3"/>
    <w:rsid w:val="64FD70B2"/>
    <w:rsid w:val="65004F80"/>
    <w:rsid w:val="6503451C"/>
    <w:rsid w:val="650A0473"/>
    <w:rsid w:val="65113D15"/>
    <w:rsid w:val="6514295A"/>
    <w:rsid w:val="65177097"/>
    <w:rsid w:val="65225348"/>
    <w:rsid w:val="652C1B75"/>
    <w:rsid w:val="652D4937"/>
    <w:rsid w:val="652D641A"/>
    <w:rsid w:val="65380690"/>
    <w:rsid w:val="65384718"/>
    <w:rsid w:val="653933BB"/>
    <w:rsid w:val="653F5976"/>
    <w:rsid w:val="65402560"/>
    <w:rsid w:val="654048D8"/>
    <w:rsid w:val="654366C6"/>
    <w:rsid w:val="654632FB"/>
    <w:rsid w:val="65481D88"/>
    <w:rsid w:val="65497784"/>
    <w:rsid w:val="655B7556"/>
    <w:rsid w:val="65605946"/>
    <w:rsid w:val="65621538"/>
    <w:rsid w:val="656960F3"/>
    <w:rsid w:val="656D429E"/>
    <w:rsid w:val="65707E5D"/>
    <w:rsid w:val="65717590"/>
    <w:rsid w:val="65756EA6"/>
    <w:rsid w:val="6579184A"/>
    <w:rsid w:val="65807A4C"/>
    <w:rsid w:val="65807D8D"/>
    <w:rsid w:val="658307A8"/>
    <w:rsid w:val="658408CE"/>
    <w:rsid w:val="65851C45"/>
    <w:rsid w:val="658713A2"/>
    <w:rsid w:val="658D290D"/>
    <w:rsid w:val="65920CF9"/>
    <w:rsid w:val="6596718A"/>
    <w:rsid w:val="659E4FC3"/>
    <w:rsid w:val="65A12061"/>
    <w:rsid w:val="65A20196"/>
    <w:rsid w:val="65A312C8"/>
    <w:rsid w:val="65A53C50"/>
    <w:rsid w:val="65A84C4F"/>
    <w:rsid w:val="65AA1C2B"/>
    <w:rsid w:val="65B24FB9"/>
    <w:rsid w:val="65B81E58"/>
    <w:rsid w:val="65C81BBA"/>
    <w:rsid w:val="65C875B3"/>
    <w:rsid w:val="65D371EE"/>
    <w:rsid w:val="65D521D5"/>
    <w:rsid w:val="65D54375"/>
    <w:rsid w:val="65D624EA"/>
    <w:rsid w:val="65D96F2C"/>
    <w:rsid w:val="65EC0101"/>
    <w:rsid w:val="65ED2582"/>
    <w:rsid w:val="65EF6019"/>
    <w:rsid w:val="65F006CC"/>
    <w:rsid w:val="65F06A88"/>
    <w:rsid w:val="65F40F6A"/>
    <w:rsid w:val="65FC0B92"/>
    <w:rsid w:val="65FE30BB"/>
    <w:rsid w:val="65FE442E"/>
    <w:rsid w:val="660D2AD4"/>
    <w:rsid w:val="660F2B49"/>
    <w:rsid w:val="66136325"/>
    <w:rsid w:val="6618698C"/>
    <w:rsid w:val="661D6003"/>
    <w:rsid w:val="6620673A"/>
    <w:rsid w:val="662226BE"/>
    <w:rsid w:val="662240B7"/>
    <w:rsid w:val="66257DAB"/>
    <w:rsid w:val="662866FB"/>
    <w:rsid w:val="6629058E"/>
    <w:rsid w:val="662A503E"/>
    <w:rsid w:val="662B7243"/>
    <w:rsid w:val="66374DC6"/>
    <w:rsid w:val="663826F1"/>
    <w:rsid w:val="66386E4A"/>
    <w:rsid w:val="663C4B0E"/>
    <w:rsid w:val="663C766A"/>
    <w:rsid w:val="664107D0"/>
    <w:rsid w:val="66415D29"/>
    <w:rsid w:val="66496C3C"/>
    <w:rsid w:val="66536337"/>
    <w:rsid w:val="66543734"/>
    <w:rsid w:val="66544034"/>
    <w:rsid w:val="665C3B53"/>
    <w:rsid w:val="665D2F4A"/>
    <w:rsid w:val="66625B43"/>
    <w:rsid w:val="666D7B79"/>
    <w:rsid w:val="66772417"/>
    <w:rsid w:val="66782E16"/>
    <w:rsid w:val="667F06A5"/>
    <w:rsid w:val="667F6025"/>
    <w:rsid w:val="668429AB"/>
    <w:rsid w:val="66936D8A"/>
    <w:rsid w:val="669F53C1"/>
    <w:rsid w:val="66AA7FC4"/>
    <w:rsid w:val="66AC6DC1"/>
    <w:rsid w:val="66AE35BD"/>
    <w:rsid w:val="66B33504"/>
    <w:rsid w:val="66B44865"/>
    <w:rsid w:val="66B83C92"/>
    <w:rsid w:val="66CF4E46"/>
    <w:rsid w:val="66D75473"/>
    <w:rsid w:val="66DA5311"/>
    <w:rsid w:val="66DB6DA3"/>
    <w:rsid w:val="66DD71B5"/>
    <w:rsid w:val="66DE1BF2"/>
    <w:rsid w:val="66E0375F"/>
    <w:rsid w:val="66E3630B"/>
    <w:rsid w:val="66F20CAA"/>
    <w:rsid w:val="66FC3689"/>
    <w:rsid w:val="66FD0D69"/>
    <w:rsid w:val="670206DA"/>
    <w:rsid w:val="67131B7D"/>
    <w:rsid w:val="67167150"/>
    <w:rsid w:val="6719113D"/>
    <w:rsid w:val="671A0917"/>
    <w:rsid w:val="671D39A2"/>
    <w:rsid w:val="672101D8"/>
    <w:rsid w:val="67251106"/>
    <w:rsid w:val="67271134"/>
    <w:rsid w:val="6727331E"/>
    <w:rsid w:val="673137B1"/>
    <w:rsid w:val="67331E39"/>
    <w:rsid w:val="673C004F"/>
    <w:rsid w:val="673C08CB"/>
    <w:rsid w:val="673E08B0"/>
    <w:rsid w:val="674733B0"/>
    <w:rsid w:val="674B2EBB"/>
    <w:rsid w:val="674B6F7A"/>
    <w:rsid w:val="674D4C39"/>
    <w:rsid w:val="67520B66"/>
    <w:rsid w:val="67536EEA"/>
    <w:rsid w:val="675454A9"/>
    <w:rsid w:val="67576376"/>
    <w:rsid w:val="675F769D"/>
    <w:rsid w:val="676174A8"/>
    <w:rsid w:val="67662457"/>
    <w:rsid w:val="67681C58"/>
    <w:rsid w:val="676B7668"/>
    <w:rsid w:val="6776651F"/>
    <w:rsid w:val="677B128B"/>
    <w:rsid w:val="67862545"/>
    <w:rsid w:val="678A4A87"/>
    <w:rsid w:val="678B0723"/>
    <w:rsid w:val="678D31F6"/>
    <w:rsid w:val="67944638"/>
    <w:rsid w:val="679A240F"/>
    <w:rsid w:val="679B1950"/>
    <w:rsid w:val="679B2B5D"/>
    <w:rsid w:val="67A75692"/>
    <w:rsid w:val="67B0451E"/>
    <w:rsid w:val="67B216A6"/>
    <w:rsid w:val="67B63D60"/>
    <w:rsid w:val="67B76669"/>
    <w:rsid w:val="67BB72C9"/>
    <w:rsid w:val="67CD10A9"/>
    <w:rsid w:val="67D06930"/>
    <w:rsid w:val="67D2277E"/>
    <w:rsid w:val="67E645CC"/>
    <w:rsid w:val="67E75180"/>
    <w:rsid w:val="67EB46C5"/>
    <w:rsid w:val="67EC0C4E"/>
    <w:rsid w:val="67F12C3F"/>
    <w:rsid w:val="67F27DFF"/>
    <w:rsid w:val="67F34F93"/>
    <w:rsid w:val="67F72431"/>
    <w:rsid w:val="67F90929"/>
    <w:rsid w:val="67FA2C86"/>
    <w:rsid w:val="67FC012C"/>
    <w:rsid w:val="68037CBD"/>
    <w:rsid w:val="680E6333"/>
    <w:rsid w:val="68140E9F"/>
    <w:rsid w:val="68162D31"/>
    <w:rsid w:val="68190577"/>
    <w:rsid w:val="6819094E"/>
    <w:rsid w:val="681B2885"/>
    <w:rsid w:val="681C4C4B"/>
    <w:rsid w:val="682058E1"/>
    <w:rsid w:val="682A4360"/>
    <w:rsid w:val="683048BC"/>
    <w:rsid w:val="683C10D3"/>
    <w:rsid w:val="683D7490"/>
    <w:rsid w:val="68426E78"/>
    <w:rsid w:val="684322F3"/>
    <w:rsid w:val="684D3E2B"/>
    <w:rsid w:val="68511D8D"/>
    <w:rsid w:val="685C630B"/>
    <w:rsid w:val="685D0CF8"/>
    <w:rsid w:val="68671829"/>
    <w:rsid w:val="686F1B5D"/>
    <w:rsid w:val="68783C87"/>
    <w:rsid w:val="68790FAE"/>
    <w:rsid w:val="68794959"/>
    <w:rsid w:val="6884136F"/>
    <w:rsid w:val="68842D54"/>
    <w:rsid w:val="6886232D"/>
    <w:rsid w:val="68890844"/>
    <w:rsid w:val="68897994"/>
    <w:rsid w:val="688B085B"/>
    <w:rsid w:val="688C3295"/>
    <w:rsid w:val="688D6828"/>
    <w:rsid w:val="688F3781"/>
    <w:rsid w:val="689175CE"/>
    <w:rsid w:val="689A397C"/>
    <w:rsid w:val="689B71CF"/>
    <w:rsid w:val="689C3ECD"/>
    <w:rsid w:val="689E332D"/>
    <w:rsid w:val="689E7138"/>
    <w:rsid w:val="68A332C3"/>
    <w:rsid w:val="68AB7C29"/>
    <w:rsid w:val="68AC67AA"/>
    <w:rsid w:val="68B27DFC"/>
    <w:rsid w:val="68BB67AD"/>
    <w:rsid w:val="68BC28CF"/>
    <w:rsid w:val="68CA206B"/>
    <w:rsid w:val="68CE3996"/>
    <w:rsid w:val="68CF2DAA"/>
    <w:rsid w:val="68D404A2"/>
    <w:rsid w:val="68D816DA"/>
    <w:rsid w:val="68D84AA0"/>
    <w:rsid w:val="68DE2657"/>
    <w:rsid w:val="68F203FD"/>
    <w:rsid w:val="68F54DC3"/>
    <w:rsid w:val="68FE0FCB"/>
    <w:rsid w:val="68FF6E02"/>
    <w:rsid w:val="69012829"/>
    <w:rsid w:val="690514EB"/>
    <w:rsid w:val="69140E9B"/>
    <w:rsid w:val="691702F9"/>
    <w:rsid w:val="691E17E7"/>
    <w:rsid w:val="6924248A"/>
    <w:rsid w:val="692B776C"/>
    <w:rsid w:val="69316C20"/>
    <w:rsid w:val="6938033D"/>
    <w:rsid w:val="69381A03"/>
    <w:rsid w:val="693D5000"/>
    <w:rsid w:val="693F2F6F"/>
    <w:rsid w:val="6944246F"/>
    <w:rsid w:val="69473BCF"/>
    <w:rsid w:val="694D006E"/>
    <w:rsid w:val="696A42AA"/>
    <w:rsid w:val="696B0D29"/>
    <w:rsid w:val="69726F94"/>
    <w:rsid w:val="697548C2"/>
    <w:rsid w:val="69776374"/>
    <w:rsid w:val="697C561C"/>
    <w:rsid w:val="69833C06"/>
    <w:rsid w:val="698733C7"/>
    <w:rsid w:val="698A16A4"/>
    <w:rsid w:val="698B6A6E"/>
    <w:rsid w:val="699053D3"/>
    <w:rsid w:val="69944454"/>
    <w:rsid w:val="699715DC"/>
    <w:rsid w:val="69983E74"/>
    <w:rsid w:val="699C2A96"/>
    <w:rsid w:val="69A34A72"/>
    <w:rsid w:val="69A66B20"/>
    <w:rsid w:val="69AE0A96"/>
    <w:rsid w:val="69AE16AF"/>
    <w:rsid w:val="69AE3680"/>
    <w:rsid w:val="69B20772"/>
    <w:rsid w:val="69B26750"/>
    <w:rsid w:val="69B82AF8"/>
    <w:rsid w:val="69C00A49"/>
    <w:rsid w:val="69C3262A"/>
    <w:rsid w:val="69CA7B1B"/>
    <w:rsid w:val="69CC4A74"/>
    <w:rsid w:val="69D125E1"/>
    <w:rsid w:val="69D4610A"/>
    <w:rsid w:val="69DE0459"/>
    <w:rsid w:val="69F95DD9"/>
    <w:rsid w:val="69FB78BF"/>
    <w:rsid w:val="69FF75E7"/>
    <w:rsid w:val="6A007E66"/>
    <w:rsid w:val="6A022596"/>
    <w:rsid w:val="6A0717E6"/>
    <w:rsid w:val="6A091ED4"/>
    <w:rsid w:val="6A097E45"/>
    <w:rsid w:val="6A0A3C46"/>
    <w:rsid w:val="6A0A709A"/>
    <w:rsid w:val="6A0D2A7D"/>
    <w:rsid w:val="6A0D4A68"/>
    <w:rsid w:val="6A0E1B2F"/>
    <w:rsid w:val="6A140880"/>
    <w:rsid w:val="6A170FE8"/>
    <w:rsid w:val="6A1C6881"/>
    <w:rsid w:val="6A250D04"/>
    <w:rsid w:val="6A2D2596"/>
    <w:rsid w:val="6A2E1887"/>
    <w:rsid w:val="6A34132E"/>
    <w:rsid w:val="6A371C52"/>
    <w:rsid w:val="6A407C55"/>
    <w:rsid w:val="6A4209EB"/>
    <w:rsid w:val="6A460807"/>
    <w:rsid w:val="6A560087"/>
    <w:rsid w:val="6A5D78C5"/>
    <w:rsid w:val="6A756AF8"/>
    <w:rsid w:val="6A825A13"/>
    <w:rsid w:val="6A905229"/>
    <w:rsid w:val="6A921906"/>
    <w:rsid w:val="6AA046C3"/>
    <w:rsid w:val="6AAC01D6"/>
    <w:rsid w:val="6AAE5A0D"/>
    <w:rsid w:val="6AAE7AEC"/>
    <w:rsid w:val="6AB16056"/>
    <w:rsid w:val="6AB634A4"/>
    <w:rsid w:val="6AB637CD"/>
    <w:rsid w:val="6AD54D6A"/>
    <w:rsid w:val="6AD61A79"/>
    <w:rsid w:val="6ADF3EFA"/>
    <w:rsid w:val="6AE818E2"/>
    <w:rsid w:val="6AEA576D"/>
    <w:rsid w:val="6AF146AC"/>
    <w:rsid w:val="6AF24CE7"/>
    <w:rsid w:val="6AF76E5B"/>
    <w:rsid w:val="6AFF450E"/>
    <w:rsid w:val="6B065E03"/>
    <w:rsid w:val="6B0F5701"/>
    <w:rsid w:val="6B104A35"/>
    <w:rsid w:val="6B115A56"/>
    <w:rsid w:val="6B225177"/>
    <w:rsid w:val="6B277AC7"/>
    <w:rsid w:val="6B2C2F00"/>
    <w:rsid w:val="6B2E3737"/>
    <w:rsid w:val="6B342E6D"/>
    <w:rsid w:val="6B376693"/>
    <w:rsid w:val="6B3B4759"/>
    <w:rsid w:val="6B4515C7"/>
    <w:rsid w:val="6B461D5E"/>
    <w:rsid w:val="6B4B121B"/>
    <w:rsid w:val="6B4C7489"/>
    <w:rsid w:val="6B50147A"/>
    <w:rsid w:val="6B505053"/>
    <w:rsid w:val="6B521295"/>
    <w:rsid w:val="6B5B2061"/>
    <w:rsid w:val="6B5C1483"/>
    <w:rsid w:val="6B622B61"/>
    <w:rsid w:val="6B647C2F"/>
    <w:rsid w:val="6B700D08"/>
    <w:rsid w:val="6B72722D"/>
    <w:rsid w:val="6B756CFB"/>
    <w:rsid w:val="6B770D5D"/>
    <w:rsid w:val="6B773232"/>
    <w:rsid w:val="6B7E3E86"/>
    <w:rsid w:val="6B7E743A"/>
    <w:rsid w:val="6B7F54E2"/>
    <w:rsid w:val="6B7F73EC"/>
    <w:rsid w:val="6B80102A"/>
    <w:rsid w:val="6B852EAC"/>
    <w:rsid w:val="6B862AF8"/>
    <w:rsid w:val="6B873E81"/>
    <w:rsid w:val="6B8C05BC"/>
    <w:rsid w:val="6B8E5EED"/>
    <w:rsid w:val="6B980FC8"/>
    <w:rsid w:val="6B9B7315"/>
    <w:rsid w:val="6BA27F31"/>
    <w:rsid w:val="6BA82F01"/>
    <w:rsid w:val="6BAA2F22"/>
    <w:rsid w:val="6BAE3B6F"/>
    <w:rsid w:val="6BC51BAB"/>
    <w:rsid w:val="6BC623F9"/>
    <w:rsid w:val="6BC670B9"/>
    <w:rsid w:val="6BCA3551"/>
    <w:rsid w:val="6BD4041C"/>
    <w:rsid w:val="6BD414E4"/>
    <w:rsid w:val="6BD53134"/>
    <w:rsid w:val="6BDE4977"/>
    <w:rsid w:val="6BDF3B33"/>
    <w:rsid w:val="6BE252A5"/>
    <w:rsid w:val="6BF208EB"/>
    <w:rsid w:val="6BF75BEB"/>
    <w:rsid w:val="6BFC0294"/>
    <w:rsid w:val="6BFD404F"/>
    <w:rsid w:val="6C031C2C"/>
    <w:rsid w:val="6C0D0ADB"/>
    <w:rsid w:val="6C115461"/>
    <w:rsid w:val="6C1631FC"/>
    <w:rsid w:val="6C2B23BB"/>
    <w:rsid w:val="6C2C0102"/>
    <w:rsid w:val="6C2E337F"/>
    <w:rsid w:val="6C304F87"/>
    <w:rsid w:val="6C326E6E"/>
    <w:rsid w:val="6C3918BD"/>
    <w:rsid w:val="6C456C53"/>
    <w:rsid w:val="6C4A44B1"/>
    <w:rsid w:val="6C4F65AD"/>
    <w:rsid w:val="6C5060DF"/>
    <w:rsid w:val="6C561D21"/>
    <w:rsid w:val="6C5679FB"/>
    <w:rsid w:val="6C5873FF"/>
    <w:rsid w:val="6C6452B9"/>
    <w:rsid w:val="6C6E3AA9"/>
    <w:rsid w:val="6C796D14"/>
    <w:rsid w:val="6C8528B7"/>
    <w:rsid w:val="6C8D2C67"/>
    <w:rsid w:val="6C8E25EB"/>
    <w:rsid w:val="6C993F5F"/>
    <w:rsid w:val="6C9D143D"/>
    <w:rsid w:val="6C9E192F"/>
    <w:rsid w:val="6C9E6FB7"/>
    <w:rsid w:val="6CA15B4F"/>
    <w:rsid w:val="6CA32051"/>
    <w:rsid w:val="6CA6347D"/>
    <w:rsid w:val="6CAA49E7"/>
    <w:rsid w:val="6CAC714F"/>
    <w:rsid w:val="6CAF7517"/>
    <w:rsid w:val="6CB831BE"/>
    <w:rsid w:val="6CBE7235"/>
    <w:rsid w:val="6CDB7982"/>
    <w:rsid w:val="6CE81BFB"/>
    <w:rsid w:val="6CEC12AF"/>
    <w:rsid w:val="6CEC2CBB"/>
    <w:rsid w:val="6CF473C1"/>
    <w:rsid w:val="6D095C70"/>
    <w:rsid w:val="6D0D2DA3"/>
    <w:rsid w:val="6D0E2B3E"/>
    <w:rsid w:val="6D1108A0"/>
    <w:rsid w:val="6D173408"/>
    <w:rsid w:val="6D210A2B"/>
    <w:rsid w:val="6D273349"/>
    <w:rsid w:val="6D285054"/>
    <w:rsid w:val="6D285134"/>
    <w:rsid w:val="6D2B64C9"/>
    <w:rsid w:val="6D3422F2"/>
    <w:rsid w:val="6D401548"/>
    <w:rsid w:val="6D4120D4"/>
    <w:rsid w:val="6D4151EB"/>
    <w:rsid w:val="6D4C0164"/>
    <w:rsid w:val="6D4D2A26"/>
    <w:rsid w:val="6D4E6180"/>
    <w:rsid w:val="6D4F5B2B"/>
    <w:rsid w:val="6D505FF1"/>
    <w:rsid w:val="6D5C697E"/>
    <w:rsid w:val="6D605E36"/>
    <w:rsid w:val="6D6128C5"/>
    <w:rsid w:val="6D666E54"/>
    <w:rsid w:val="6D6A5877"/>
    <w:rsid w:val="6D6B0293"/>
    <w:rsid w:val="6D6E73A1"/>
    <w:rsid w:val="6D796762"/>
    <w:rsid w:val="6D7B668A"/>
    <w:rsid w:val="6D7F37D9"/>
    <w:rsid w:val="6D861554"/>
    <w:rsid w:val="6D891756"/>
    <w:rsid w:val="6D8B378E"/>
    <w:rsid w:val="6D8D0A2A"/>
    <w:rsid w:val="6D8E2973"/>
    <w:rsid w:val="6D8E6283"/>
    <w:rsid w:val="6D8F53CA"/>
    <w:rsid w:val="6D9279B1"/>
    <w:rsid w:val="6DA1296C"/>
    <w:rsid w:val="6DA1743F"/>
    <w:rsid w:val="6DAF4BC6"/>
    <w:rsid w:val="6DB27660"/>
    <w:rsid w:val="6DBA0C23"/>
    <w:rsid w:val="6DBE6C19"/>
    <w:rsid w:val="6DC926C6"/>
    <w:rsid w:val="6DCC02D6"/>
    <w:rsid w:val="6DD06913"/>
    <w:rsid w:val="6DD36D1F"/>
    <w:rsid w:val="6DD91726"/>
    <w:rsid w:val="6DDE24C7"/>
    <w:rsid w:val="6DE62894"/>
    <w:rsid w:val="6DE63451"/>
    <w:rsid w:val="6DE77F52"/>
    <w:rsid w:val="6DE865CF"/>
    <w:rsid w:val="6DF00BD1"/>
    <w:rsid w:val="6DF06347"/>
    <w:rsid w:val="6DF123ED"/>
    <w:rsid w:val="6DF25E93"/>
    <w:rsid w:val="6DF35381"/>
    <w:rsid w:val="6DF465B1"/>
    <w:rsid w:val="6DF63916"/>
    <w:rsid w:val="6DFB7C18"/>
    <w:rsid w:val="6DFE1D39"/>
    <w:rsid w:val="6E004682"/>
    <w:rsid w:val="6E011233"/>
    <w:rsid w:val="6E037B83"/>
    <w:rsid w:val="6E095D3C"/>
    <w:rsid w:val="6E125644"/>
    <w:rsid w:val="6E254273"/>
    <w:rsid w:val="6E263EF7"/>
    <w:rsid w:val="6E277B43"/>
    <w:rsid w:val="6E2808E1"/>
    <w:rsid w:val="6E293C57"/>
    <w:rsid w:val="6E2A25B6"/>
    <w:rsid w:val="6E2C31A4"/>
    <w:rsid w:val="6E2C5640"/>
    <w:rsid w:val="6E2D382D"/>
    <w:rsid w:val="6E3157FE"/>
    <w:rsid w:val="6E3A784B"/>
    <w:rsid w:val="6E3D7E1F"/>
    <w:rsid w:val="6E4348E2"/>
    <w:rsid w:val="6E463426"/>
    <w:rsid w:val="6E4C1202"/>
    <w:rsid w:val="6E4D7CAA"/>
    <w:rsid w:val="6E545FEA"/>
    <w:rsid w:val="6E5B59F1"/>
    <w:rsid w:val="6E5F44A6"/>
    <w:rsid w:val="6E614F20"/>
    <w:rsid w:val="6E654CD4"/>
    <w:rsid w:val="6E664127"/>
    <w:rsid w:val="6E7518BC"/>
    <w:rsid w:val="6E812190"/>
    <w:rsid w:val="6E836CD3"/>
    <w:rsid w:val="6E8A325F"/>
    <w:rsid w:val="6E8C7F81"/>
    <w:rsid w:val="6E8D66E7"/>
    <w:rsid w:val="6E924529"/>
    <w:rsid w:val="6E930B05"/>
    <w:rsid w:val="6E9522BC"/>
    <w:rsid w:val="6EA40C09"/>
    <w:rsid w:val="6EA94C07"/>
    <w:rsid w:val="6EAA35F1"/>
    <w:rsid w:val="6EAB47B4"/>
    <w:rsid w:val="6EAD7EEC"/>
    <w:rsid w:val="6EAE4F9F"/>
    <w:rsid w:val="6EAF621C"/>
    <w:rsid w:val="6EB11C8E"/>
    <w:rsid w:val="6EB91009"/>
    <w:rsid w:val="6EBD1552"/>
    <w:rsid w:val="6EBD3690"/>
    <w:rsid w:val="6EBE6862"/>
    <w:rsid w:val="6EC17941"/>
    <w:rsid w:val="6EC3696A"/>
    <w:rsid w:val="6ECD3D7A"/>
    <w:rsid w:val="6ED05AF2"/>
    <w:rsid w:val="6ED05E49"/>
    <w:rsid w:val="6ED45D4E"/>
    <w:rsid w:val="6ED6527B"/>
    <w:rsid w:val="6ED90EB8"/>
    <w:rsid w:val="6ED96BE5"/>
    <w:rsid w:val="6EDE4C04"/>
    <w:rsid w:val="6EE65C0B"/>
    <w:rsid w:val="6EED7B5E"/>
    <w:rsid w:val="6EF742F2"/>
    <w:rsid w:val="6EF74A43"/>
    <w:rsid w:val="6EFA06AA"/>
    <w:rsid w:val="6EFE31C0"/>
    <w:rsid w:val="6F0110FF"/>
    <w:rsid w:val="6F0814D3"/>
    <w:rsid w:val="6F0D52C5"/>
    <w:rsid w:val="6F0F7908"/>
    <w:rsid w:val="6F1035B9"/>
    <w:rsid w:val="6F133456"/>
    <w:rsid w:val="6F225E94"/>
    <w:rsid w:val="6F2359DE"/>
    <w:rsid w:val="6F240096"/>
    <w:rsid w:val="6F2C7AEB"/>
    <w:rsid w:val="6F330CC5"/>
    <w:rsid w:val="6F3716C8"/>
    <w:rsid w:val="6F424FFC"/>
    <w:rsid w:val="6F472E88"/>
    <w:rsid w:val="6F487128"/>
    <w:rsid w:val="6F4C2442"/>
    <w:rsid w:val="6F502ECF"/>
    <w:rsid w:val="6F5D6EE9"/>
    <w:rsid w:val="6F6163DE"/>
    <w:rsid w:val="6F63349A"/>
    <w:rsid w:val="6F6B4335"/>
    <w:rsid w:val="6F7F7958"/>
    <w:rsid w:val="6F8257FF"/>
    <w:rsid w:val="6F974939"/>
    <w:rsid w:val="6FA3523A"/>
    <w:rsid w:val="6FA646DC"/>
    <w:rsid w:val="6FAB0240"/>
    <w:rsid w:val="6FAD7955"/>
    <w:rsid w:val="6FBA75C3"/>
    <w:rsid w:val="6FBF016D"/>
    <w:rsid w:val="6FBF2C2F"/>
    <w:rsid w:val="6FC1466F"/>
    <w:rsid w:val="6FD6157D"/>
    <w:rsid w:val="6FE01518"/>
    <w:rsid w:val="6FE01EA1"/>
    <w:rsid w:val="6FE06F2B"/>
    <w:rsid w:val="6FE20EF3"/>
    <w:rsid w:val="6FE37A15"/>
    <w:rsid w:val="6FE5656A"/>
    <w:rsid w:val="6FE80543"/>
    <w:rsid w:val="6FEE7840"/>
    <w:rsid w:val="6FFA69A3"/>
    <w:rsid w:val="70057710"/>
    <w:rsid w:val="700A3BDB"/>
    <w:rsid w:val="700C47ED"/>
    <w:rsid w:val="70147802"/>
    <w:rsid w:val="70155AD8"/>
    <w:rsid w:val="70174142"/>
    <w:rsid w:val="70213A33"/>
    <w:rsid w:val="7023080C"/>
    <w:rsid w:val="702626AF"/>
    <w:rsid w:val="70292379"/>
    <w:rsid w:val="702E2D34"/>
    <w:rsid w:val="702E6D96"/>
    <w:rsid w:val="703341BB"/>
    <w:rsid w:val="703A7312"/>
    <w:rsid w:val="703C426A"/>
    <w:rsid w:val="703E2519"/>
    <w:rsid w:val="704D0FC3"/>
    <w:rsid w:val="704D1A10"/>
    <w:rsid w:val="704E56CD"/>
    <w:rsid w:val="704F329F"/>
    <w:rsid w:val="704F6733"/>
    <w:rsid w:val="7054311F"/>
    <w:rsid w:val="70575B67"/>
    <w:rsid w:val="70586D4C"/>
    <w:rsid w:val="706C39AE"/>
    <w:rsid w:val="706D6681"/>
    <w:rsid w:val="707058A3"/>
    <w:rsid w:val="70736794"/>
    <w:rsid w:val="707A6A02"/>
    <w:rsid w:val="70854082"/>
    <w:rsid w:val="70870CED"/>
    <w:rsid w:val="70885C82"/>
    <w:rsid w:val="708E391F"/>
    <w:rsid w:val="709130F9"/>
    <w:rsid w:val="70924268"/>
    <w:rsid w:val="70984BC8"/>
    <w:rsid w:val="709A17D1"/>
    <w:rsid w:val="70A02B61"/>
    <w:rsid w:val="70AB6440"/>
    <w:rsid w:val="70AD6B74"/>
    <w:rsid w:val="70B25B48"/>
    <w:rsid w:val="70B77E7F"/>
    <w:rsid w:val="70B81518"/>
    <w:rsid w:val="70CC1ACD"/>
    <w:rsid w:val="70CC56DC"/>
    <w:rsid w:val="70DA4F31"/>
    <w:rsid w:val="70DC28B9"/>
    <w:rsid w:val="70DE3112"/>
    <w:rsid w:val="70E2496A"/>
    <w:rsid w:val="70E310BD"/>
    <w:rsid w:val="70ED1C27"/>
    <w:rsid w:val="70F312AB"/>
    <w:rsid w:val="70F56E23"/>
    <w:rsid w:val="70F76CAF"/>
    <w:rsid w:val="70F83445"/>
    <w:rsid w:val="70FD505E"/>
    <w:rsid w:val="711134FE"/>
    <w:rsid w:val="71117C5D"/>
    <w:rsid w:val="71121875"/>
    <w:rsid w:val="71124E24"/>
    <w:rsid w:val="7121665F"/>
    <w:rsid w:val="712676F2"/>
    <w:rsid w:val="712760CC"/>
    <w:rsid w:val="713B70F8"/>
    <w:rsid w:val="713C31D9"/>
    <w:rsid w:val="713E266D"/>
    <w:rsid w:val="71407D4F"/>
    <w:rsid w:val="714820BC"/>
    <w:rsid w:val="71490FA8"/>
    <w:rsid w:val="714942AA"/>
    <w:rsid w:val="714A2FBE"/>
    <w:rsid w:val="71502C27"/>
    <w:rsid w:val="71512087"/>
    <w:rsid w:val="71525978"/>
    <w:rsid w:val="71542C73"/>
    <w:rsid w:val="71550A68"/>
    <w:rsid w:val="716102E7"/>
    <w:rsid w:val="716303CF"/>
    <w:rsid w:val="716626E5"/>
    <w:rsid w:val="71662C9C"/>
    <w:rsid w:val="71671825"/>
    <w:rsid w:val="71682975"/>
    <w:rsid w:val="716D6DA3"/>
    <w:rsid w:val="717A3AD5"/>
    <w:rsid w:val="717B45E3"/>
    <w:rsid w:val="717D66BD"/>
    <w:rsid w:val="71826030"/>
    <w:rsid w:val="7187112E"/>
    <w:rsid w:val="718D3F98"/>
    <w:rsid w:val="71921F10"/>
    <w:rsid w:val="719C676A"/>
    <w:rsid w:val="719D1099"/>
    <w:rsid w:val="719D23A1"/>
    <w:rsid w:val="719E2AA8"/>
    <w:rsid w:val="719F1F69"/>
    <w:rsid w:val="71B17C5A"/>
    <w:rsid w:val="71B620B3"/>
    <w:rsid w:val="71B80CE6"/>
    <w:rsid w:val="71D05DE5"/>
    <w:rsid w:val="71D42E65"/>
    <w:rsid w:val="71D71D67"/>
    <w:rsid w:val="71D82D77"/>
    <w:rsid w:val="71E1106D"/>
    <w:rsid w:val="71E21539"/>
    <w:rsid w:val="71F00607"/>
    <w:rsid w:val="71F667A7"/>
    <w:rsid w:val="71FF01BC"/>
    <w:rsid w:val="72014FE5"/>
    <w:rsid w:val="720D3EC1"/>
    <w:rsid w:val="720E0456"/>
    <w:rsid w:val="721473FF"/>
    <w:rsid w:val="7216424D"/>
    <w:rsid w:val="72193216"/>
    <w:rsid w:val="721C0836"/>
    <w:rsid w:val="721C0A42"/>
    <w:rsid w:val="72207884"/>
    <w:rsid w:val="72242572"/>
    <w:rsid w:val="722C66EE"/>
    <w:rsid w:val="723257FB"/>
    <w:rsid w:val="72487FDE"/>
    <w:rsid w:val="7249196A"/>
    <w:rsid w:val="724C3715"/>
    <w:rsid w:val="724F3045"/>
    <w:rsid w:val="7254124D"/>
    <w:rsid w:val="72555AED"/>
    <w:rsid w:val="72571DFC"/>
    <w:rsid w:val="725C1D3C"/>
    <w:rsid w:val="725F4AE6"/>
    <w:rsid w:val="72645516"/>
    <w:rsid w:val="72684E17"/>
    <w:rsid w:val="726964E0"/>
    <w:rsid w:val="726C1961"/>
    <w:rsid w:val="7272787A"/>
    <w:rsid w:val="727446C5"/>
    <w:rsid w:val="7278759E"/>
    <w:rsid w:val="727A3D8D"/>
    <w:rsid w:val="7285464E"/>
    <w:rsid w:val="72890794"/>
    <w:rsid w:val="728921AC"/>
    <w:rsid w:val="729B7842"/>
    <w:rsid w:val="72A122C0"/>
    <w:rsid w:val="72A66FD2"/>
    <w:rsid w:val="72A7740A"/>
    <w:rsid w:val="72A848C3"/>
    <w:rsid w:val="72AB25C8"/>
    <w:rsid w:val="72C71244"/>
    <w:rsid w:val="72E338F2"/>
    <w:rsid w:val="72E4234F"/>
    <w:rsid w:val="72EC6871"/>
    <w:rsid w:val="72F051DD"/>
    <w:rsid w:val="72F37AE8"/>
    <w:rsid w:val="72F90EAF"/>
    <w:rsid w:val="72FB1895"/>
    <w:rsid w:val="72FE68FF"/>
    <w:rsid w:val="72FF231D"/>
    <w:rsid w:val="73150997"/>
    <w:rsid w:val="7316547C"/>
    <w:rsid w:val="731661D4"/>
    <w:rsid w:val="73180762"/>
    <w:rsid w:val="7318774A"/>
    <w:rsid w:val="731D5046"/>
    <w:rsid w:val="73276E31"/>
    <w:rsid w:val="73286F9E"/>
    <w:rsid w:val="732A3697"/>
    <w:rsid w:val="732D04A2"/>
    <w:rsid w:val="732F113B"/>
    <w:rsid w:val="73362A20"/>
    <w:rsid w:val="73377808"/>
    <w:rsid w:val="733F4B17"/>
    <w:rsid w:val="73413BCF"/>
    <w:rsid w:val="73451317"/>
    <w:rsid w:val="734D75AB"/>
    <w:rsid w:val="735016E1"/>
    <w:rsid w:val="735A056A"/>
    <w:rsid w:val="735B3DA0"/>
    <w:rsid w:val="7360060C"/>
    <w:rsid w:val="73651863"/>
    <w:rsid w:val="736F1B58"/>
    <w:rsid w:val="7372045F"/>
    <w:rsid w:val="73722A91"/>
    <w:rsid w:val="73757817"/>
    <w:rsid w:val="73757969"/>
    <w:rsid w:val="739170A1"/>
    <w:rsid w:val="73961591"/>
    <w:rsid w:val="739639A2"/>
    <w:rsid w:val="73965C20"/>
    <w:rsid w:val="739A0E59"/>
    <w:rsid w:val="73A326AC"/>
    <w:rsid w:val="73A4187D"/>
    <w:rsid w:val="73A9353A"/>
    <w:rsid w:val="73AB7D37"/>
    <w:rsid w:val="73AC3019"/>
    <w:rsid w:val="73BA7459"/>
    <w:rsid w:val="73BC3944"/>
    <w:rsid w:val="73BF2B13"/>
    <w:rsid w:val="73C00D89"/>
    <w:rsid w:val="73C111E7"/>
    <w:rsid w:val="73C44B15"/>
    <w:rsid w:val="73C67F99"/>
    <w:rsid w:val="73C90CCE"/>
    <w:rsid w:val="73D0454F"/>
    <w:rsid w:val="73D219C9"/>
    <w:rsid w:val="73D26CB2"/>
    <w:rsid w:val="73D41E68"/>
    <w:rsid w:val="73D86360"/>
    <w:rsid w:val="73D87499"/>
    <w:rsid w:val="73DD77BE"/>
    <w:rsid w:val="73E17E12"/>
    <w:rsid w:val="73E20D2F"/>
    <w:rsid w:val="73E83F0A"/>
    <w:rsid w:val="73EF63F7"/>
    <w:rsid w:val="73F24D8A"/>
    <w:rsid w:val="73F443C3"/>
    <w:rsid w:val="73F47C82"/>
    <w:rsid w:val="73F53DE3"/>
    <w:rsid w:val="74024C8F"/>
    <w:rsid w:val="740648D9"/>
    <w:rsid w:val="740715A6"/>
    <w:rsid w:val="740B0BBD"/>
    <w:rsid w:val="741607F4"/>
    <w:rsid w:val="74217298"/>
    <w:rsid w:val="74273885"/>
    <w:rsid w:val="742A41C3"/>
    <w:rsid w:val="742C4B8C"/>
    <w:rsid w:val="74356C1F"/>
    <w:rsid w:val="74396DE8"/>
    <w:rsid w:val="743D20CA"/>
    <w:rsid w:val="74426413"/>
    <w:rsid w:val="74451D35"/>
    <w:rsid w:val="74465767"/>
    <w:rsid w:val="74517A01"/>
    <w:rsid w:val="7455107B"/>
    <w:rsid w:val="745720B6"/>
    <w:rsid w:val="74582272"/>
    <w:rsid w:val="74586FD0"/>
    <w:rsid w:val="746234E8"/>
    <w:rsid w:val="7465595C"/>
    <w:rsid w:val="74717FAD"/>
    <w:rsid w:val="747867A2"/>
    <w:rsid w:val="7479137C"/>
    <w:rsid w:val="747E28B3"/>
    <w:rsid w:val="74812611"/>
    <w:rsid w:val="748151F8"/>
    <w:rsid w:val="74827540"/>
    <w:rsid w:val="748C51AB"/>
    <w:rsid w:val="74983BEF"/>
    <w:rsid w:val="749B6F68"/>
    <w:rsid w:val="74A46A8B"/>
    <w:rsid w:val="74A57EA0"/>
    <w:rsid w:val="74A959E9"/>
    <w:rsid w:val="74AB0882"/>
    <w:rsid w:val="74C072DA"/>
    <w:rsid w:val="74C30D17"/>
    <w:rsid w:val="74C52C1A"/>
    <w:rsid w:val="74C84B11"/>
    <w:rsid w:val="74CC18B8"/>
    <w:rsid w:val="74D05274"/>
    <w:rsid w:val="74D055C0"/>
    <w:rsid w:val="74E157EF"/>
    <w:rsid w:val="74E60C87"/>
    <w:rsid w:val="74EE2A3F"/>
    <w:rsid w:val="74EF5272"/>
    <w:rsid w:val="74F361A1"/>
    <w:rsid w:val="74F80645"/>
    <w:rsid w:val="74F82D41"/>
    <w:rsid w:val="74FB76FB"/>
    <w:rsid w:val="75066D48"/>
    <w:rsid w:val="75072079"/>
    <w:rsid w:val="75073F78"/>
    <w:rsid w:val="75076F40"/>
    <w:rsid w:val="75077C90"/>
    <w:rsid w:val="750C1820"/>
    <w:rsid w:val="750C4FD4"/>
    <w:rsid w:val="751D11F1"/>
    <w:rsid w:val="751F0617"/>
    <w:rsid w:val="752F3BBE"/>
    <w:rsid w:val="753167ED"/>
    <w:rsid w:val="75345587"/>
    <w:rsid w:val="753721A1"/>
    <w:rsid w:val="753F08CD"/>
    <w:rsid w:val="753F69E4"/>
    <w:rsid w:val="75433664"/>
    <w:rsid w:val="75434336"/>
    <w:rsid w:val="7544222E"/>
    <w:rsid w:val="75445561"/>
    <w:rsid w:val="75454BE8"/>
    <w:rsid w:val="754755B0"/>
    <w:rsid w:val="75517642"/>
    <w:rsid w:val="755545E8"/>
    <w:rsid w:val="7557028C"/>
    <w:rsid w:val="75597D82"/>
    <w:rsid w:val="755B5CCC"/>
    <w:rsid w:val="755F09FD"/>
    <w:rsid w:val="75623492"/>
    <w:rsid w:val="75667918"/>
    <w:rsid w:val="75750C36"/>
    <w:rsid w:val="757C53FA"/>
    <w:rsid w:val="75824122"/>
    <w:rsid w:val="759846FE"/>
    <w:rsid w:val="75A366F2"/>
    <w:rsid w:val="75A870BF"/>
    <w:rsid w:val="75AC693C"/>
    <w:rsid w:val="75B41312"/>
    <w:rsid w:val="75B52929"/>
    <w:rsid w:val="75C04D0D"/>
    <w:rsid w:val="75C33862"/>
    <w:rsid w:val="75C46D9E"/>
    <w:rsid w:val="75CE75F4"/>
    <w:rsid w:val="75CF1A48"/>
    <w:rsid w:val="75DA0FA8"/>
    <w:rsid w:val="75E7381F"/>
    <w:rsid w:val="75E83D18"/>
    <w:rsid w:val="75EE2B01"/>
    <w:rsid w:val="75EF145A"/>
    <w:rsid w:val="75EF5E81"/>
    <w:rsid w:val="75F13B8C"/>
    <w:rsid w:val="75F437E1"/>
    <w:rsid w:val="75F70EAE"/>
    <w:rsid w:val="75F7641E"/>
    <w:rsid w:val="75F81D25"/>
    <w:rsid w:val="75F96B33"/>
    <w:rsid w:val="76072D30"/>
    <w:rsid w:val="76080876"/>
    <w:rsid w:val="76085D47"/>
    <w:rsid w:val="76096376"/>
    <w:rsid w:val="76100A22"/>
    <w:rsid w:val="761562FB"/>
    <w:rsid w:val="761D4B22"/>
    <w:rsid w:val="761E39C0"/>
    <w:rsid w:val="76222DAB"/>
    <w:rsid w:val="76227C1B"/>
    <w:rsid w:val="762878D9"/>
    <w:rsid w:val="76337308"/>
    <w:rsid w:val="76340C25"/>
    <w:rsid w:val="7638135D"/>
    <w:rsid w:val="764463A5"/>
    <w:rsid w:val="76541A62"/>
    <w:rsid w:val="765B75D2"/>
    <w:rsid w:val="766577BE"/>
    <w:rsid w:val="76660126"/>
    <w:rsid w:val="766664E0"/>
    <w:rsid w:val="767633AA"/>
    <w:rsid w:val="76766F2E"/>
    <w:rsid w:val="767674CF"/>
    <w:rsid w:val="767A1B45"/>
    <w:rsid w:val="768022D7"/>
    <w:rsid w:val="76807551"/>
    <w:rsid w:val="768919E5"/>
    <w:rsid w:val="768B0C69"/>
    <w:rsid w:val="7690575B"/>
    <w:rsid w:val="769574B9"/>
    <w:rsid w:val="769B01D8"/>
    <w:rsid w:val="76A43E30"/>
    <w:rsid w:val="76A80080"/>
    <w:rsid w:val="76A85CC3"/>
    <w:rsid w:val="76A86FB9"/>
    <w:rsid w:val="76BF38C2"/>
    <w:rsid w:val="76C16A00"/>
    <w:rsid w:val="76C17D32"/>
    <w:rsid w:val="76C27B4A"/>
    <w:rsid w:val="76C53BB5"/>
    <w:rsid w:val="76C61802"/>
    <w:rsid w:val="76D0329D"/>
    <w:rsid w:val="76D81366"/>
    <w:rsid w:val="76E16774"/>
    <w:rsid w:val="76EA3058"/>
    <w:rsid w:val="76EC5D1D"/>
    <w:rsid w:val="76F1727B"/>
    <w:rsid w:val="76F32A6A"/>
    <w:rsid w:val="76F43FAF"/>
    <w:rsid w:val="76F608FC"/>
    <w:rsid w:val="76F9470B"/>
    <w:rsid w:val="76FE38CE"/>
    <w:rsid w:val="76FE5B90"/>
    <w:rsid w:val="76FE7B8B"/>
    <w:rsid w:val="770C1AC4"/>
    <w:rsid w:val="7719212F"/>
    <w:rsid w:val="772C470B"/>
    <w:rsid w:val="772F3A69"/>
    <w:rsid w:val="77361223"/>
    <w:rsid w:val="773D0319"/>
    <w:rsid w:val="77410978"/>
    <w:rsid w:val="7745406C"/>
    <w:rsid w:val="77466791"/>
    <w:rsid w:val="775256CD"/>
    <w:rsid w:val="775A361F"/>
    <w:rsid w:val="775C5C92"/>
    <w:rsid w:val="77636281"/>
    <w:rsid w:val="776648E6"/>
    <w:rsid w:val="776B31DD"/>
    <w:rsid w:val="77730EB1"/>
    <w:rsid w:val="777B30C5"/>
    <w:rsid w:val="7781559D"/>
    <w:rsid w:val="77853132"/>
    <w:rsid w:val="77902A1E"/>
    <w:rsid w:val="77956F8E"/>
    <w:rsid w:val="77A30037"/>
    <w:rsid w:val="77A8207B"/>
    <w:rsid w:val="77BD1AB2"/>
    <w:rsid w:val="77BE1E17"/>
    <w:rsid w:val="77C0357A"/>
    <w:rsid w:val="77C05E64"/>
    <w:rsid w:val="77C90F7B"/>
    <w:rsid w:val="77C973A5"/>
    <w:rsid w:val="77CC13F3"/>
    <w:rsid w:val="77CD4ED6"/>
    <w:rsid w:val="77D07E3E"/>
    <w:rsid w:val="77D10DAD"/>
    <w:rsid w:val="77E11319"/>
    <w:rsid w:val="77E21222"/>
    <w:rsid w:val="77E217A1"/>
    <w:rsid w:val="77E71C59"/>
    <w:rsid w:val="77F20FC8"/>
    <w:rsid w:val="77F3304D"/>
    <w:rsid w:val="77F91DAA"/>
    <w:rsid w:val="78041FF4"/>
    <w:rsid w:val="780A68B1"/>
    <w:rsid w:val="7819510E"/>
    <w:rsid w:val="781B1965"/>
    <w:rsid w:val="781E7B5C"/>
    <w:rsid w:val="78225AC0"/>
    <w:rsid w:val="78261B8E"/>
    <w:rsid w:val="7829153D"/>
    <w:rsid w:val="78295210"/>
    <w:rsid w:val="782F60D0"/>
    <w:rsid w:val="78300CFC"/>
    <w:rsid w:val="78311E46"/>
    <w:rsid w:val="7832072D"/>
    <w:rsid w:val="78373F68"/>
    <w:rsid w:val="78393E66"/>
    <w:rsid w:val="78443E81"/>
    <w:rsid w:val="78492722"/>
    <w:rsid w:val="784A6D2E"/>
    <w:rsid w:val="784C3424"/>
    <w:rsid w:val="784E7D5F"/>
    <w:rsid w:val="78553813"/>
    <w:rsid w:val="785744A0"/>
    <w:rsid w:val="785946AD"/>
    <w:rsid w:val="78674445"/>
    <w:rsid w:val="786E6AD5"/>
    <w:rsid w:val="78746ADB"/>
    <w:rsid w:val="7878592A"/>
    <w:rsid w:val="788157DB"/>
    <w:rsid w:val="788B1BF1"/>
    <w:rsid w:val="78921C90"/>
    <w:rsid w:val="789235E4"/>
    <w:rsid w:val="78926EA9"/>
    <w:rsid w:val="789C1D16"/>
    <w:rsid w:val="789E1018"/>
    <w:rsid w:val="78A422B0"/>
    <w:rsid w:val="78A83F91"/>
    <w:rsid w:val="78AB2824"/>
    <w:rsid w:val="78AC459D"/>
    <w:rsid w:val="78AD2707"/>
    <w:rsid w:val="78AF73B7"/>
    <w:rsid w:val="78B01863"/>
    <w:rsid w:val="78B1650D"/>
    <w:rsid w:val="78CA1C71"/>
    <w:rsid w:val="78D356BB"/>
    <w:rsid w:val="78D477DA"/>
    <w:rsid w:val="78D51639"/>
    <w:rsid w:val="78DF3ADE"/>
    <w:rsid w:val="78E01DC7"/>
    <w:rsid w:val="78E832A7"/>
    <w:rsid w:val="78F256F2"/>
    <w:rsid w:val="78F51BEA"/>
    <w:rsid w:val="78F71155"/>
    <w:rsid w:val="78FD5542"/>
    <w:rsid w:val="790863B7"/>
    <w:rsid w:val="790A1DDB"/>
    <w:rsid w:val="791C42B7"/>
    <w:rsid w:val="791E0780"/>
    <w:rsid w:val="79212072"/>
    <w:rsid w:val="79243507"/>
    <w:rsid w:val="79243CC5"/>
    <w:rsid w:val="792450F9"/>
    <w:rsid w:val="792B5C99"/>
    <w:rsid w:val="792E33BA"/>
    <w:rsid w:val="792F07C5"/>
    <w:rsid w:val="7933335F"/>
    <w:rsid w:val="79344804"/>
    <w:rsid w:val="79356CFF"/>
    <w:rsid w:val="79387D27"/>
    <w:rsid w:val="79401EF3"/>
    <w:rsid w:val="794713A8"/>
    <w:rsid w:val="79493F66"/>
    <w:rsid w:val="794B38FE"/>
    <w:rsid w:val="79544332"/>
    <w:rsid w:val="795D0587"/>
    <w:rsid w:val="79621677"/>
    <w:rsid w:val="796A1447"/>
    <w:rsid w:val="796E6812"/>
    <w:rsid w:val="79723A8B"/>
    <w:rsid w:val="797978A4"/>
    <w:rsid w:val="797A00BE"/>
    <w:rsid w:val="798E1AEE"/>
    <w:rsid w:val="79940756"/>
    <w:rsid w:val="79986666"/>
    <w:rsid w:val="79987397"/>
    <w:rsid w:val="799B6432"/>
    <w:rsid w:val="799E7555"/>
    <w:rsid w:val="79A30D10"/>
    <w:rsid w:val="79A668C8"/>
    <w:rsid w:val="79A918C2"/>
    <w:rsid w:val="79A968DD"/>
    <w:rsid w:val="79AC1F28"/>
    <w:rsid w:val="79B1326C"/>
    <w:rsid w:val="79B27F47"/>
    <w:rsid w:val="79BE1F7C"/>
    <w:rsid w:val="79C35BDA"/>
    <w:rsid w:val="79C55129"/>
    <w:rsid w:val="79C726DC"/>
    <w:rsid w:val="79CC5550"/>
    <w:rsid w:val="79CD540C"/>
    <w:rsid w:val="79CF3AB3"/>
    <w:rsid w:val="79D01358"/>
    <w:rsid w:val="79D957AE"/>
    <w:rsid w:val="79DA1682"/>
    <w:rsid w:val="79DC0EA9"/>
    <w:rsid w:val="79DE71DC"/>
    <w:rsid w:val="79E2367E"/>
    <w:rsid w:val="79E41891"/>
    <w:rsid w:val="79F47CE9"/>
    <w:rsid w:val="79FA7460"/>
    <w:rsid w:val="79FF5666"/>
    <w:rsid w:val="79FF6317"/>
    <w:rsid w:val="7A047F56"/>
    <w:rsid w:val="7A1B386A"/>
    <w:rsid w:val="7A22532D"/>
    <w:rsid w:val="7A283B03"/>
    <w:rsid w:val="7A292907"/>
    <w:rsid w:val="7A2A0F00"/>
    <w:rsid w:val="7A2B22F4"/>
    <w:rsid w:val="7A2E6A92"/>
    <w:rsid w:val="7A316B40"/>
    <w:rsid w:val="7A32341B"/>
    <w:rsid w:val="7A3D3371"/>
    <w:rsid w:val="7A424CCF"/>
    <w:rsid w:val="7A432B69"/>
    <w:rsid w:val="7A4675B0"/>
    <w:rsid w:val="7A4F1A5B"/>
    <w:rsid w:val="7A67743F"/>
    <w:rsid w:val="7A6A774C"/>
    <w:rsid w:val="7A6B6C5E"/>
    <w:rsid w:val="7A6F4903"/>
    <w:rsid w:val="7A6F776C"/>
    <w:rsid w:val="7A71319F"/>
    <w:rsid w:val="7A7840FF"/>
    <w:rsid w:val="7A7B1372"/>
    <w:rsid w:val="7A7B25E1"/>
    <w:rsid w:val="7A820A93"/>
    <w:rsid w:val="7A84326F"/>
    <w:rsid w:val="7A851A91"/>
    <w:rsid w:val="7A906622"/>
    <w:rsid w:val="7A9522CD"/>
    <w:rsid w:val="7AA22FFA"/>
    <w:rsid w:val="7AB26667"/>
    <w:rsid w:val="7ABA7E06"/>
    <w:rsid w:val="7ABD3582"/>
    <w:rsid w:val="7AC07D4C"/>
    <w:rsid w:val="7AC11A26"/>
    <w:rsid w:val="7AC2196F"/>
    <w:rsid w:val="7AC6646E"/>
    <w:rsid w:val="7AC75F5C"/>
    <w:rsid w:val="7ACB45FF"/>
    <w:rsid w:val="7ACD65BB"/>
    <w:rsid w:val="7ACE4E3E"/>
    <w:rsid w:val="7AD35AF8"/>
    <w:rsid w:val="7AD62068"/>
    <w:rsid w:val="7AD85A3A"/>
    <w:rsid w:val="7AD96F3C"/>
    <w:rsid w:val="7ADC573A"/>
    <w:rsid w:val="7AE168D1"/>
    <w:rsid w:val="7AE3112C"/>
    <w:rsid w:val="7AE34518"/>
    <w:rsid w:val="7B020ED8"/>
    <w:rsid w:val="7B074467"/>
    <w:rsid w:val="7B0C76C2"/>
    <w:rsid w:val="7B102203"/>
    <w:rsid w:val="7B10727C"/>
    <w:rsid w:val="7B116D74"/>
    <w:rsid w:val="7B156B05"/>
    <w:rsid w:val="7B17462C"/>
    <w:rsid w:val="7B206860"/>
    <w:rsid w:val="7B221CF7"/>
    <w:rsid w:val="7B222F60"/>
    <w:rsid w:val="7B22414A"/>
    <w:rsid w:val="7B271D12"/>
    <w:rsid w:val="7B284C07"/>
    <w:rsid w:val="7B2A1176"/>
    <w:rsid w:val="7B2D34F7"/>
    <w:rsid w:val="7B304607"/>
    <w:rsid w:val="7B304956"/>
    <w:rsid w:val="7B342696"/>
    <w:rsid w:val="7B366232"/>
    <w:rsid w:val="7B3C282E"/>
    <w:rsid w:val="7B4057CA"/>
    <w:rsid w:val="7B466975"/>
    <w:rsid w:val="7B4968D4"/>
    <w:rsid w:val="7B4B0270"/>
    <w:rsid w:val="7B5A229B"/>
    <w:rsid w:val="7B5B0E87"/>
    <w:rsid w:val="7B5E3F9F"/>
    <w:rsid w:val="7B61264F"/>
    <w:rsid w:val="7B631A08"/>
    <w:rsid w:val="7B661BD3"/>
    <w:rsid w:val="7B68000C"/>
    <w:rsid w:val="7B684C37"/>
    <w:rsid w:val="7B6C19BC"/>
    <w:rsid w:val="7B771BAF"/>
    <w:rsid w:val="7B902AB4"/>
    <w:rsid w:val="7B9056E4"/>
    <w:rsid w:val="7B9A694A"/>
    <w:rsid w:val="7BA45C07"/>
    <w:rsid w:val="7BA80672"/>
    <w:rsid w:val="7BAB4237"/>
    <w:rsid w:val="7BAD7667"/>
    <w:rsid w:val="7BAF5023"/>
    <w:rsid w:val="7BB649C3"/>
    <w:rsid w:val="7BBE269F"/>
    <w:rsid w:val="7BBF3C16"/>
    <w:rsid w:val="7BC03AAD"/>
    <w:rsid w:val="7BCC75C9"/>
    <w:rsid w:val="7BCD755E"/>
    <w:rsid w:val="7BD644FB"/>
    <w:rsid w:val="7BDA50C7"/>
    <w:rsid w:val="7BDB0CE8"/>
    <w:rsid w:val="7BE658FA"/>
    <w:rsid w:val="7BEF25D0"/>
    <w:rsid w:val="7BF3191B"/>
    <w:rsid w:val="7BF42599"/>
    <w:rsid w:val="7BF501E6"/>
    <w:rsid w:val="7BF95883"/>
    <w:rsid w:val="7BFB5FAB"/>
    <w:rsid w:val="7C014355"/>
    <w:rsid w:val="7C0A19B7"/>
    <w:rsid w:val="7C0F117E"/>
    <w:rsid w:val="7C1249D9"/>
    <w:rsid w:val="7C13495F"/>
    <w:rsid w:val="7C195BEA"/>
    <w:rsid w:val="7C201BB7"/>
    <w:rsid w:val="7C224277"/>
    <w:rsid w:val="7C3537CB"/>
    <w:rsid w:val="7C365676"/>
    <w:rsid w:val="7C3934BE"/>
    <w:rsid w:val="7C3C2112"/>
    <w:rsid w:val="7C451CB9"/>
    <w:rsid w:val="7C495A40"/>
    <w:rsid w:val="7C4A24B9"/>
    <w:rsid w:val="7C4C46BE"/>
    <w:rsid w:val="7C4E194F"/>
    <w:rsid w:val="7C564603"/>
    <w:rsid w:val="7C5B7F8D"/>
    <w:rsid w:val="7C5D3A57"/>
    <w:rsid w:val="7C5E3465"/>
    <w:rsid w:val="7C671D4D"/>
    <w:rsid w:val="7C73385B"/>
    <w:rsid w:val="7C743354"/>
    <w:rsid w:val="7C775374"/>
    <w:rsid w:val="7C792E7A"/>
    <w:rsid w:val="7C82593F"/>
    <w:rsid w:val="7C8455A5"/>
    <w:rsid w:val="7C941DE2"/>
    <w:rsid w:val="7C9633AB"/>
    <w:rsid w:val="7CA665EE"/>
    <w:rsid w:val="7CB34EB0"/>
    <w:rsid w:val="7CBB717E"/>
    <w:rsid w:val="7CBB7DD3"/>
    <w:rsid w:val="7CBF704E"/>
    <w:rsid w:val="7CC06DBF"/>
    <w:rsid w:val="7CC62DE7"/>
    <w:rsid w:val="7CC91901"/>
    <w:rsid w:val="7CCB7ABB"/>
    <w:rsid w:val="7CE021AF"/>
    <w:rsid w:val="7CE24F7D"/>
    <w:rsid w:val="7CE85D77"/>
    <w:rsid w:val="7CE91C8F"/>
    <w:rsid w:val="7CE94E2A"/>
    <w:rsid w:val="7CEF1CC9"/>
    <w:rsid w:val="7CF249D8"/>
    <w:rsid w:val="7CF3538A"/>
    <w:rsid w:val="7CF90428"/>
    <w:rsid w:val="7CFA342B"/>
    <w:rsid w:val="7CFB7B5D"/>
    <w:rsid w:val="7CFC14F5"/>
    <w:rsid w:val="7CFE23DE"/>
    <w:rsid w:val="7D03404E"/>
    <w:rsid w:val="7D0B2747"/>
    <w:rsid w:val="7D0F1429"/>
    <w:rsid w:val="7D186B6B"/>
    <w:rsid w:val="7D1B02B1"/>
    <w:rsid w:val="7D1C55E1"/>
    <w:rsid w:val="7D25138B"/>
    <w:rsid w:val="7D275A39"/>
    <w:rsid w:val="7D2C4B0F"/>
    <w:rsid w:val="7D307119"/>
    <w:rsid w:val="7D321CF1"/>
    <w:rsid w:val="7D41773F"/>
    <w:rsid w:val="7D4274BD"/>
    <w:rsid w:val="7D4C6D9B"/>
    <w:rsid w:val="7D4D3FF8"/>
    <w:rsid w:val="7D4F279A"/>
    <w:rsid w:val="7D517571"/>
    <w:rsid w:val="7D527CFF"/>
    <w:rsid w:val="7D535AC1"/>
    <w:rsid w:val="7D581049"/>
    <w:rsid w:val="7D5844EC"/>
    <w:rsid w:val="7D5B7FB5"/>
    <w:rsid w:val="7D5E7FF6"/>
    <w:rsid w:val="7D5F66CB"/>
    <w:rsid w:val="7D6100C5"/>
    <w:rsid w:val="7D6168CC"/>
    <w:rsid w:val="7D623473"/>
    <w:rsid w:val="7D633FB4"/>
    <w:rsid w:val="7D661037"/>
    <w:rsid w:val="7D674EEF"/>
    <w:rsid w:val="7D715D15"/>
    <w:rsid w:val="7D7772F3"/>
    <w:rsid w:val="7D790A33"/>
    <w:rsid w:val="7D7B0517"/>
    <w:rsid w:val="7D7D01F5"/>
    <w:rsid w:val="7D7F73B6"/>
    <w:rsid w:val="7D8036DC"/>
    <w:rsid w:val="7D824BD3"/>
    <w:rsid w:val="7D857BE9"/>
    <w:rsid w:val="7D8A2B1D"/>
    <w:rsid w:val="7D8A3DE7"/>
    <w:rsid w:val="7D973CED"/>
    <w:rsid w:val="7DA62539"/>
    <w:rsid w:val="7DBB0E79"/>
    <w:rsid w:val="7DC93F2C"/>
    <w:rsid w:val="7DDC1894"/>
    <w:rsid w:val="7DDD7882"/>
    <w:rsid w:val="7DE07EB0"/>
    <w:rsid w:val="7DE72EF5"/>
    <w:rsid w:val="7DE83368"/>
    <w:rsid w:val="7DED0DAF"/>
    <w:rsid w:val="7E0955DC"/>
    <w:rsid w:val="7E0E75E3"/>
    <w:rsid w:val="7E11460B"/>
    <w:rsid w:val="7E1620A0"/>
    <w:rsid w:val="7E1672EC"/>
    <w:rsid w:val="7E192225"/>
    <w:rsid w:val="7E19314D"/>
    <w:rsid w:val="7E1B4A9A"/>
    <w:rsid w:val="7E1F6943"/>
    <w:rsid w:val="7E217D89"/>
    <w:rsid w:val="7E236C24"/>
    <w:rsid w:val="7E260F5B"/>
    <w:rsid w:val="7E332266"/>
    <w:rsid w:val="7E377990"/>
    <w:rsid w:val="7E3C32A3"/>
    <w:rsid w:val="7E3F0CA0"/>
    <w:rsid w:val="7E3F79E7"/>
    <w:rsid w:val="7E4D0DD9"/>
    <w:rsid w:val="7E542485"/>
    <w:rsid w:val="7E5723A5"/>
    <w:rsid w:val="7E573C3C"/>
    <w:rsid w:val="7E5D18E9"/>
    <w:rsid w:val="7E6720E6"/>
    <w:rsid w:val="7E686156"/>
    <w:rsid w:val="7E6E7ADD"/>
    <w:rsid w:val="7E716EF5"/>
    <w:rsid w:val="7E7E22BC"/>
    <w:rsid w:val="7E822A98"/>
    <w:rsid w:val="7E8B1082"/>
    <w:rsid w:val="7E8C1F98"/>
    <w:rsid w:val="7E8E7B0D"/>
    <w:rsid w:val="7E90141E"/>
    <w:rsid w:val="7E926856"/>
    <w:rsid w:val="7E951596"/>
    <w:rsid w:val="7E980B9F"/>
    <w:rsid w:val="7EA023D2"/>
    <w:rsid w:val="7EA04167"/>
    <w:rsid w:val="7EA11750"/>
    <w:rsid w:val="7EA14F37"/>
    <w:rsid w:val="7EBB3D47"/>
    <w:rsid w:val="7EBB5CDD"/>
    <w:rsid w:val="7EBD7FBB"/>
    <w:rsid w:val="7EC55A09"/>
    <w:rsid w:val="7EC72AA9"/>
    <w:rsid w:val="7ED408C3"/>
    <w:rsid w:val="7ED518D6"/>
    <w:rsid w:val="7ED67B29"/>
    <w:rsid w:val="7EDE215C"/>
    <w:rsid w:val="7EDE507E"/>
    <w:rsid w:val="7EE86583"/>
    <w:rsid w:val="7EE90E58"/>
    <w:rsid w:val="7EF60B94"/>
    <w:rsid w:val="7EF72A9A"/>
    <w:rsid w:val="7EFA045F"/>
    <w:rsid w:val="7EFE1896"/>
    <w:rsid w:val="7EFF2996"/>
    <w:rsid w:val="7F0D1D7E"/>
    <w:rsid w:val="7F0F1C74"/>
    <w:rsid w:val="7F1B5A1E"/>
    <w:rsid w:val="7F214DF2"/>
    <w:rsid w:val="7F2850DE"/>
    <w:rsid w:val="7F303C03"/>
    <w:rsid w:val="7F304FFA"/>
    <w:rsid w:val="7F39161F"/>
    <w:rsid w:val="7F394144"/>
    <w:rsid w:val="7F397DA6"/>
    <w:rsid w:val="7F3C5C5A"/>
    <w:rsid w:val="7F3F078E"/>
    <w:rsid w:val="7F403D64"/>
    <w:rsid w:val="7F420012"/>
    <w:rsid w:val="7F455F26"/>
    <w:rsid w:val="7F485D97"/>
    <w:rsid w:val="7F49761D"/>
    <w:rsid w:val="7F4B4F9D"/>
    <w:rsid w:val="7F4C4AA1"/>
    <w:rsid w:val="7F4F1169"/>
    <w:rsid w:val="7F507707"/>
    <w:rsid w:val="7F507A8E"/>
    <w:rsid w:val="7F521DBB"/>
    <w:rsid w:val="7F5519A4"/>
    <w:rsid w:val="7F5B6E84"/>
    <w:rsid w:val="7F6A2ADE"/>
    <w:rsid w:val="7F79005E"/>
    <w:rsid w:val="7F7910D6"/>
    <w:rsid w:val="7F7C68AB"/>
    <w:rsid w:val="7F7D15B3"/>
    <w:rsid w:val="7F7F5798"/>
    <w:rsid w:val="7F821AD6"/>
    <w:rsid w:val="7F826669"/>
    <w:rsid w:val="7F8926D3"/>
    <w:rsid w:val="7F914898"/>
    <w:rsid w:val="7F95001B"/>
    <w:rsid w:val="7F9872C6"/>
    <w:rsid w:val="7F9E368A"/>
    <w:rsid w:val="7F9F76EF"/>
    <w:rsid w:val="7FA04391"/>
    <w:rsid w:val="7FA2488F"/>
    <w:rsid w:val="7FBB2BDD"/>
    <w:rsid w:val="7FC63A2F"/>
    <w:rsid w:val="7FC67AED"/>
    <w:rsid w:val="7FC9226B"/>
    <w:rsid w:val="7FCA4B18"/>
    <w:rsid w:val="7FCB09AB"/>
    <w:rsid w:val="7FD70DE6"/>
    <w:rsid w:val="7FD90E29"/>
    <w:rsid w:val="7FDB12DC"/>
    <w:rsid w:val="7FEB19C9"/>
    <w:rsid w:val="7FF15986"/>
    <w:rsid w:val="7FF450A5"/>
    <w:rsid w:val="7FFA4FC5"/>
    <w:rsid w:val="7FFC58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qFormat="1" w:unhideWhenUsed="0" w:uiPriority="99" w:semiHidden="0" w:name="envelope address"/>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qFormat="1" w:unhideWhenUsed="0" w:uiPriority="99" w:semiHidden="0" w:name="table of authorities"/>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99"/>
    <w:pPr>
      <w:keepNext/>
      <w:keepLines/>
      <w:widowControl/>
      <w:spacing w:before="340" w:after="330" w:line="576" w:lineRule="auto"/>
      <w:jc w:val="left"/>
      <w:outlineLvl w:val="0"/>
    </w:pPr>
    <w:rPr>
      <w:b/>
      <w:bCs/>
      <w:kern w:val="44"/>
      <w:sz w:val="44"/>
      <w:szCs w:val="44"/>
    </w:rPr>
  </w:style>
  <w:style w:type="paragraph" w:styleId="4">
    <w:name w:val="heading 2"/>
    <w:basedOn w:val="1"/>
    <w:next w:val="5"/>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99"/>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99"/>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99"/>
    <w:pPr>
      <w:keepNext/>
      <w:keepLines/>
      <w:spacing w:before="280" w:after="290" w:line="376" w:lineRule="auto"/>
      <w:outlineLvl w:val="4"/>
    </w:pPr>
    <w:rPr>
      <w:rFonts w:ascii="Calibri" w:hAnsi="Calibri"/>
      <w:b/>
      <w:bCs/>
      <w:sz w:val="28"/>
      <w:szCs w:val="28"/>
    </w:rPr>
  </w:style>
  <w:style w:type="paragraph" w:styleId="9">
    <w:name w:val="heading 6"/>
    <w:basedOn w:val="1"/>
    <w:next w:val="1"/>
    <w:link w:val="72"/>
    <w:qFormat/>
    <w:uiPriority w:val="99"/>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10">
    <w:name w:val="heading 7"/>
    <w:basedOn w:val="1"/>
    <w:next w:val="1"/>
    <w:link w:val="73"/>
    <w:qFormat/>
    <w:uiPriority w:val="99"/>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1">
    <w:name w:val="heading 8"/>
    <w:basedOn w:val="1"/>
    <w:next w:val="1"/>
    <w:link w:val="74"/>
    <w:qFormat/>
    <w:uiPriority w:val="99"/>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2">
    <w:name w:val="heading 9"/>
    <w:basedOn w:val="1"/>
    <w:next w:val="1"/>
    <w:link w:val="75"/>
    <w:qFormat/>
    <w:uiPriority w:val="99"/>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0">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2"/>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Indent"/>
    <w:basedOn w:val="1"/>
    <w:link w:val="98"/>
    <w:qFormat/>
    <w:uiPriority w:val="99"/>
    <w:pPr>
      <w:widowControl/>
      <w:ind w:firstLine="420"/>
      <w:jc w:val="left"/>
    </w:pPr>
    <w:rPr>
      <w:rFonts w:ascii="Calibri" w:hAnsi="Calibri" w:cs="黑体"/>
      <w:szCs w:val="22"/>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1260"/>
      <w:jc w:val="left"/>
    </w:pPr>
    <w:rPr>
      <w:sz w:val="18"/>
      <w:szCs w:val="18"/>
    </w:rPr>
  </w:style>
  <w:style w:type="paragraph" w:styleId="15">
    <w:name w:val="table of authorities"/>
    <w:basedOn w:val="1"/>
    <w:next w:val="1"/>
    <w:qFormat/>
    <w:uiPriority w:val="99"/>
    <w:pPr>
      <w:ind w:left="420" w:leftChars="200"/>
    </w:pPr>
    <w:rPr>
      <w:szCs w:val="20"/>
    </w:rPr>
  </w:style>
  <w:style w:type="paragraph" w:styleId="16">
    <w:name w:val="List Bullet 4"/>
    <w:basedOn w:val="1"/>
    <w:qFormat/>
    <w:uiPriority w:val="99"/>
    <w:pPr>
      <w:tabs>
        <w:tab w:val="left" w:pos="980"/>
      </w:tabs>
      <w:spacing w:beforeLines="50" w:afterLines="50" w:line="360" w:lineRule="auto"/>
      <w:ind w:left="980" w:hanging="420"/>
    </w:pPr>
    <w:rPr>
      <w:sz w:val="24"/>
    </w:rPr>
  </w:style>
  <w:style w:type="paragraph" w:styleId="17">
    <w:name w:val="List Number"/>
    <w:basedOn w:val="1"/>
    <w:qFormat/>
    <w:uiPriority w:val="99"/>
    <w:pPr>
      <w:tabs>
        <w:tab w:val="left" w:pos="360"/>
        <w:tab w:val="left" w:pos="567"/>
        <w:tab w:val="left" w:pos="840"/>
      </w:tabs>
      <w:ind w:left="567" w:hanging="567"/>
    </w:pPr>
    <w:rPr>
      <w:rFonts w:ascii="Calibri" w:hAnsi="Calibri"/>
      <w:sz w:val="28"/>
      <w:szCs w:val="22"/>
    </w:rPr>
  </w:style>
  <w:style w:type="paragraph" w:styleId="18">
    <w:name w:val="caption"/>
    <w:basedOn w:val="1"/>
    <w:next w:val="1"/>
    <w:qFormat/>
    <w:uiPriority w:val="99"/>
    <w:pPr>
      <w:spacing w:before="152" w:after="160"/>
    </w:pPr>
    <w:rPr>
      <w:rFonts w:ascii="Arial" w:hAnsi="Arial" w:eastAsia="黑体" w:cs="Arial"/>
      <w:sz w:val="20"/>
      <w:szCs w:val="20"/>
    </w:rPr>
  </w:style>
  <w:style w:type="paragraph" w:styleId="19">
    <w:name w:val="List Bullet"/>
    <w:basedOn w:val="1"/>
    <w:qFormat/>
    <w:uiPriority w:val="99"/>
    <w:pPr>
      <w:spacing w:beforeLines="50" w:afterLines="50" w:line="360" w:lineRule="auto"/>
      <w:ind w:firstLine="482" w:firstLineChars="200"/>
    </w:pPr>
    <w:rPr>
      <w:rFonts w:ascii="宋体" w:hAnsi="宋体"/>
      <w:b/>
      <w:kern w:val="0"/>
      <w:sz w:val="24"/>
    </w:rPr>
  </w:style>
  <w:style w:type="paragraph" w:styleId="20">
    <w:name w:val="envelope address"/>
    <w:basedOn w:val="1"/>
    <w:qFormat/>
    <w:uiPriority w:val="99"/>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1">
    <w:name w:val="Document Map"/>
    <w:basedOn w:val="1"/>
    <w:link w:val="80"/>
    <w:qFormat/>
    <w:uiPriority w:val="99"/>
    <w:pPr>
      <w:shd w:val="clear" w:color="auto" w:fill="000080"/>
    </w:pPr>
  </w:style>
  <w:style w:type="paragraph" w:styleId="22">
    <w:name w:val="annotation text"/>
    <w:basedOn w:val="1"/>
    <w:link w:val="76"/>
    <w:qFormat/>
    <w:uiPriority w:val="99"/>
    <w:pPr>
      <w:jc w:val="left"/>
    </w:pPr>
  </w:style>
  <w:style w:type="paragraph" w:styleId="23">
    <w:name w:val="Salutation"/>
    <w:basedOn w:val="1"/>
    <w:next w:val="1"/>
    <w:link w:val="81"/>
    <w:qFormat/>
    <w:uiPriority w:val="99"/>
    <w:rPr>
      <w:kern w:val="0"/>
      <w:sz w:val="20"/>
    </w:rPr>
  </w:style>
  <w:style w:type="paragraph" w:styleId="24">
    <w:name w:val="Body Text 3"/>
    <w:basedOn w:val="1"/>
    <w:link w:val="82"/>
    <w:qFormat/>
    <w:uiPriority w:val="99"/>
    <w:pPr>
      <w:spacing w:beforeLines="50" w:afterLines="50" w:line="360" w:lineRule="auto"/>
    </w:pPr>
    <w:rPr>
      <w:kern w:val="0"/>
      <w:sz w:val="16"/>
      <w:szCs w:val="16"/>
    </w:rPr>
  </w:style>
  <w:style w:type="paragraph" w:styleId="25">
    <w:name w:val="Closing"/>
    <w:basedOn w:val="1"/>
    <w:link w:val="83"/>
    <w:qFormat/>
    <w:uiPriority w:val="99"/>
    <w:pPr>
      <w:ind w:left="100" w:leftChars="2100"/>
    </w:pPr>
    <w:rPr>
      <w:kern w:val="0"/>
      <w:sz w:val="20"/>
    </w:rPr>
  </w:style>
  <w:style w:type="paragraph" w:styleId="26">
    <w:name w:val="List Bullet 3"/>
    <w:basedOn w:val="1"/>
    <w:qFormat/>
    <w:uiPriority w:val="99"/>
    <w:pPr>
      <w:tabs>
        <w:tab w:val="left" w:pos="1200"/>
      </w:tabs>
      <w:ind w:left="1200" w:leftChars="400" w:hanging="360" w:hangingChars="200"/>
      <w:contextualSpacing/>
    </w:pPr>
    <w:rPr>
      <w:szCs w:val="20"/>
    </w:rPr>
  </w:style>
  <w:style w:type="paragraph" w:styleId="27">
    <w:name w:val="Body Text"/>
    <w:basedOn w:val="1"/>
    <w:link w:val="78"/>
    <w:qFormat/>
    <w:uiPriority w:val="99"/>
    <w:pPr>
      <w:widowControl/>
      <w:jc w:val="left"/>
    </w:pPr>
    <w:rPr>
      <w:kern w:val="0"/>
      <w:sz w:val="24"/>
      <w:szCs w:val="20"/>
    </w:rPr>
  </w:style>
  <w:style w:type="paragraph" w:styleId="28">
    <w:name w:val="Body Text Indent"/>
    <w:basedOn w:val="1"/>
    <w:link w:val="84"/>
    <w:qFormat/>
    <w:uiPriority w:val="99"/>
    <w:pPr>
      <w:spacing w:after="120"/>
      <w:ind w:left="420" w:leftChars="200"/>
    </w:pPr>
    <w:rPr>
      <w:kern w:val="0"/>
      <w:sz w:val="20"/>
    </w:rPr>
  </w:style>
  <w:style w:type="paragraph" w:styleId="29">
    <w:name w:val="List 2"/>
    <w:basedOn w:val="1"/>
    <w:qFormat/>
    <w:uiPriority w:val="99"/>
    <w:pPr>
      <w:spacing w:beforeLines="50" w:afterLines="50" w:line="360" w:lineRule="auto"/>
      <w:ind w:left="100" w:leftChars="200" w:hanging="200" w:hangingChars="200"/>
    </w:pPr>
    <w:rPr>
      <w:sz w:val="24"/>
    </w:rPr>
  </w:style>
  <w:style w:type="paragraph" w:styleId="30">
    <w:name w:val="Block Text"/>
    <w:basedOn w:val="1"/>
    <w:qFormat/>
    <w:uiPriority w:val="99"/>
    <w:pPr>
      <w:autoSpaceDE w:val="0"/>
      <w:autoSpaceDN w:val="0"/>
      <w:adjustRightInd w:val="0"/>
      <w:spacing w:line="360" w:lineRule="atLeast"/>
      <w:ind w:left="1418" w:right="1800" w:rightChars="857" w:firstLine="540"/>
    </w:pPr>
    <w:rPr>
      <w:rFonts w:ascii="宋体"/>
      <w:color w:val="000000"/>
      <w:kern w:val="0"/>
      <w:sz w:val="24"/>
    </w:rPr>
  </w:style>
  <w:style w:type="paragraph" w:styleId="31">
    <w:name w:val="toc 5"/>
    <w:basedOn w:val="1"/>
    <w:next w:val="1"/>
    <w:qFormat/>
    <w:uiPriority w:val="99"/>
    <w:pPr>
      <w:ind w:left="840"/>
      <w:jc w:val="left"/>
    </w:pPr>
    <w:rPr>
      <w:sz w:val="18"/>
      <w:szCs w:val="18"/>
    </w:rPr>
  </w:style>
  <w:style w:type="paragraph" w:styleId="32">
    <w:name w:val="toc 3"/>
    <w:basedOn w:val="1"/>
    <w:next w:val="1"/>
    <w:qFormat/>
    <w:uiPriority w:val="99"/>
    <w:pPr>
      <w:ind w:left="420"/>
      <w:jc w:val="left"/>
    </w:pPr>
    <w:rPr>
      <w:i/>
      <w:iCs/>
      <w:sz w:val="20"/>
      <w:szCs w:val="20"/>
    </w:rPr>
  </w:style>
  <w:style w:type="paragraph" w:styleId="33">
    <w:name w:val="Plain Text"/>
    <w:basedOn w:val="1"/>
    <w:link w:val="85"/>
    <w:qFormat/>
    <w:uiPriority w:val="0"/>
    <w:rPr>
      <w:rFonts w:ascii="宋体" w:hAnsi="Courier New"/>
      <w:kern w:val="0"/>
      <w:sz w:val="20"/>
      <w:szCs w:val="20"/>
    </w:rPr>
  </w:style>
  <w:style w:type="paragraph" w:styleId="34">
    <w:name w:val="toc 8"/>
    <w:basedOn w:val="1"/>
    <w:next w:val="1"/>
    <w:qFormat/>
    <w:uiPriority w:val="99"/>
    <w:pPr>
      <w:ind w:left="1470"/>
      <w:jc w:val="left"/>
    </w:pPr>
    <w:rPr>
      <w:sz w:val="18"/>
      <w:szCs w:val="18"/>
    </w:rPr>
  </w:style>
  <w:style w:type="paragraph" w:styleId="35">
    <w:name w:val="Date"/>
    <w:basedOn w:val="1"/>
    <w:next w:val="1"/>
    <w:link w:val="86"/>
    <w:qFormat/>
    <w:uiPriority w:val="99"/>
    <w:pPr>
      <w:ind w:left="100" w:leftChars="2500"/>
    </w:pPr>
    <w:rPr>
      <w:kern w:val="0"/>
      <w:sz w:val="20"/>
    </w:rPr>
  </w:style>
  <w:style w:type="paragraph" w:styleId="36">
    <w:name w:val="Body Text Indent 2"/>
    <w:basedOn w:val="1"/>
    <w:link w:val="87"/>
    <w:qFormat/>
    <w:uiPriority w:val="0"/>
    <w:pPr>
      <w:spacing w:line="360" w:lineRule="auto"/>
      <w:ind w:left="839" w:hanging="839" w:hangingChars="355"/>
    </w:pPr>
    <w:rPr>
      <w:b/>
      <w:kern w:val="0"/>
      <w:sz w:val="24"/>
    </w:rPr>
  </w:style>
  <w:style w:type="paragraph" w:styleId="37">
    <w:name w:val="endnote text"/>
    <w:basedOn w:val="1"/>
    <w:link w:val="176"/>
    <w:qFormat/>
    <w:uiPriority w:val="99"/>
    <w:pPr>
      <w:snapToGrid w:val="0"/>
      <w:jc w:val="left"/>
    </w:pPr>
    <w:rPr>
      <w:kern w:val="0"/>
      <w:sz w:val="20"/>
      <w:szCs w:val="20"/>
    </w:rPr>
  </w:style>
  <w:style w:type="paragraph" w:styleId="38">
    <w:name w:val="Balloon Text"/>
    <w:basedOn w:val="1"/>
    <w:link w:val="89"/>
    <w:qFormat/>
    <w:uiPriority w:val="99"/>
    <w:rPr>
      <w:kern w:val="0"/>
      <w:sz w:val="18"/>
      <w:szCs w:val="18"/>
    </w:rPr>
  </w:style>
  <w:style w:type="paragraph" w:styleId="39">
    <w:name w:val="footer"/>
    <w:basedOn w:val="1"/>
    <w:link w:val="90"/>
    <w:qFormat/>
    <w:uiPriority w:val="99"/>
    <w:pPr>
      <w:tabs>
        <w:tab w:val="center" w:pos="4153"/>
        <w:tab w:val="right" w:pos="8306"/>
      </w:tabs>
      <w:snapToGrid w:val="0"/>
      <w:jc w:val="left"/>
    </w:pPr>
    <w:rPr>
      <w:kern w:val="0"/>
      <w:sz w:val="18"/>
      <w:szCs w:val="18"/>
    </w:rPr>
  </w:style>
  <w:style w:type="paragraph" w:styleId="40">
    <w:name w:val="toc 1"/>
    <w:basedOn w:val="1"/>
    <w:next w:val="1"/>
    <w:qFormat/>
    <w:uiPriority w:val="99"/>
    <w:pPr>
      <w:tabs>
        <w:tab w:val="left" w:pos="840"/>
        <w:tab w:val="right" w:leader="dot" w:pos="8210"/>
      </w:tabs>
      <w:jc w:val="left"/>
    </w:pPr>
    <w:rPr>
      <w:rFonts w:ascii="仿宋_GB2312" w:hAnsi="宋体" w:eastAsia="仿宋_GB2312"/>
      <w:b/>
      <w:bCs/>
      <w:caps/>
      <w:sz w:val="32"/>
      <w:szCs w:val="32"/>
    </w:rPr>
  </w:style>
  <w:style w:type="paragraph" w:styleId="41">
    <w:name w:val="toc 4"/>
    <w:basedOn w:val="1"/>
    <w:next w:val="1"/>
    <w:qFormat/>
    <w:uiPriority w:val="99"/>
    <w:pPr>
      <w:ind w:left="630"/>
      <w:jc w:val="left"/>
    </w:pPr>
    <w:rPr>
      <w:sz w:val="18"/>
      <w:szCs w:val="18"/>
    </w:rPr>
  </w:style>
  <w:style w:type="paragraph" w:styleId="42">
    <w:name w:val="Subtitle"/>
    <w:basedOn w:val="1"/>
    <w:next w:val="1"/>
    <w:link w:val="93"/>
    <w:qFormat/>
    <w:uiPriority w:val="99"/>
    <w:pPr>
      <w:spacing w:before="240" w:after="60" w:line="312" w:lineRule="auto"/>
      <w:jc w:val="center"/>
      <w:outlineLvl w:val="1"/>
    </w:pPr>
    <w:rPr>
      <w:rFonts w:ascii="Cambria" w:hAnsi="Cambria"/>
      <w:b/>
      <w:bCs/>
      <w:kern w:val="28"/>
      <w:sz w:val="32"/>
      <w:szCs w:val="32"/>
    </w:rPr>
  </w:style>
  <w:style w:type="paragraph" w:styleId="43">
    <w:name w:val="List"/>
    <w:basedOn w:val="1"/>
    <w:qFormat/>
    <w:uiPriority w:val="99"/>
    <w:pPr>
      <w:ind w:left="420" w:hanging="420"/>
    </w:pPr>
    <w:rPr>
      <w:sz w:val="24"/>
      <w:szCs w:val="20"/>
    </w:rPr>
  </w:style>
  <w:style w:type="paragraph" w:styleId="44">
    <w:name w:val="toc 6"/>
    <w:basedOn w:val="1"/>
    <w:next w:val="1"/>
    <w:qFormat/>
    <w:uiPriority w:val="99"/>
    <w:pPr>
      <w:ind w:left="1050"/>
      <w:jc w:val="left"/>
    </w:pPr>
    <w:rPr>
      <w:sz w:val="18"/>
      <w:szCs w:val="18"/>
    </w:rPr>
  </w:style>
  <w:style w:type="paragraph" w:styleId="45">
    <w:name w:val="Body Text Indent 3"/>
    <w:basedOn w:val="1"/>
    <w:link w:val="94"/>
    <w:qFormat/>
    <w:uiPriority w:val="99"/>
    <w:pPr>
      <w:ind w:firstLine="480" w:firstLineChars="200"/>
    </w:pPr>
    <w:rPr>
      <w:rFonts w:ascii="幼圆" w:eastAsia="幼圆"/>
      <w:sz w:val="24"/>
      <w:szCs w:val="32"/>
    </w:rPr>
  </w:style>
  <w:style w:type="paragraph" w:styleId="46">
    <w:name w:val="table of figures"/>
    <w:basedOn w:val="1"/>
    <w:next w:val="1"/>
    <w:qFormat/>
    <w:uiPriority w:val="99"/>
    <w:pPr>
      <w:adjustRightInd w:val="0"/>
      <w:ind w:left="420" w:hanging="420"/>
      <w:jc w:val="left"/>
      <w:textAlignment w:val="baseline"/>
    </w:pPr>
    <w:rPr>
      <w:rFonts w:eastAsia="楷体_GB2312"/>
      <w:smallCaps/>
      <w:sz w:val="24"/>
      <w:szCs w:val="20"/>
    </w:rPr>
  </w:style>
  <w:style w:type="paragraph" w:styleId="47">
    <w:name w:val="toc 2"/>
    <w:basedOn w:val="1"/>
    <w:next w:val="1"/>
    <w:qFormat/>
    <w:uiPriority w:val="99"/>
    <w:pPr>
      <w:ind w:left="210"/>
      <w:jc w:val="left"/>
    </w:pPr>
    <w:rPr>
      <w:smallCaps/>
      <w:sz w:val="20"/>
      <w:szCs w:val="20"/>
    </w:rPr>
  </w:style>
  <w:style w:type="paragraph" w:styleId="48">
    <w:name w:val="toc 9"/>
    <w:basedOn w:val="1"/>
    <w:next w:val="1"/>
    <w:qFormat/>
    <w:uiPriority w:val="99"/>
    <w:pPr>
      <w:ind w:left="1680"/>
      <w:jc w:val="left"/>
    </w:pPr>
    <w:rPr>
      <w:sz w:val="18"/>
      <w:szCs w:val="18"/>
    </w:rPr>
  </w:style>
  <w:style w:type="paragraph" w:styleId="49">
    <w:name w:val="Body Text 2"/>
    <w:basedOn w:val="1"/>
    <w:link w:val="95"/>
    <w:qFormat/>
    <w:uiPriority w:val="99"/>
    <w:pPr>
      <w:jc w:val="center"/>
    </w:pPr>
    <w:rPr>
      <w:rFonts w:ascii="宋体" w:hAnsi="宋体"/>
      <w:sz w:val="24"/>
    </w:rPr>
  </w:style>
  <w:style w:type="paragraph" w:styleId="50">
    <w:name w:val="HTML Preformatted"/>
    <w:basedOn w:val="1"/>
    <w:link w:val="9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link w:val="128"/>
    <w:qFormat/>
    <w:uiPriority w:val="99"/>
    <w:pPr>
      <w:widowControl/>
      <w:spacing w:before="100" w:beforeAutospacing="1" w:after="100" w:afterAutospacing="1"/>
      <w:jc w:val="left"/>
    </w:pPr>
    <w:rPr>
      <w:rFonts w:ascii="宋体" w:hAnsi="宋体"/>
      <w:kern w:val="0"/>
      <w:sz w:val="24"/>
    </w:rPr>
  </w:style>
  <w:style w:type="paragraph" w:styleId="52">
    <w:name w:val="index 1"/>
    <w:basedOn w:val="1"/>
    <w:next w:val="1"/>
    <w:qFormat/>
    <w:uiPriority w:val="99"/>
  </w:style>
  <w:style w:type="paragraph" w:styleId="53">
    <w:name w:val="Title"/>
    <w:basedOn w:val="1"/>
    <w:next w:val="1"/>
    <w:link w:val="97"/>
    <w:qFormat/>
    <w:uiPriority w:val="99"/>
    <w:pPr>
      <w:spacing w:before="240" w:after="60"/>
      <w:jc w:val="center"/>
      <w:outlineLvl w:val="0"/>
    </w:pPr>
    <w:rPr>
      <w:rFonts w:ascii="Arial" w:hAnsi="Arial"/>
      <w:b/>
      <w:bCs/>
      <w:kern w:val="0"/>
      <w:sz w:val="32"/>
      <w:szCs w:val="32"/>
    </w:rPr>
  </w:style>
  <w:style w:type="paragraph" w:styleId="54">
    <w:name w:val="annotation subject"/>
    <w:basedOn w:val="22"/>
    <w:next w:val="22"/>
    <w:link w:val="77"/>
    <w:qFormat/>
    <w:uiPriority w:val="99"/>
    <w:rPr>
      <w:b/>
      <w:bCs/>
    </w:rPr>
  </w:style>
  <w:style w:type="paragraph" w:styleId="55">
    <w:name w:val="Body Text First Indent"/>
    <w:basedOn w:val="27"/>
    <w:link w:val="79"/>
    <w:qFormat/>
    <w:uiPriority w:val="0"/>
    <w:pPr>
      <w:widowControl w:val="0"/>
      <w:spacing w:after="120"/>
      <w:ind w:firstLine="420" w:firstLineChars="100"/>
      <w:jc w:val="both"/>
    </w:pPr>
    <w:rPr>
      <w:rFonts w:ascii="宋体"/>
      <w:color w:val="000000"/>
      <w:kern w:val="2"/>
      <w:sz w:val="21"/>
      <w:szCs w:val="32"/>
    </w:rPr>
  </w:style>
  <w:style w:type="paragraph" w:styleId="56">
    <w:name w:val="Body Text First Indent 2"/>
    <w:basedOn w:val="28"/>
    <w:link w:val="91"/>
    <w:qFormat/>
    <w:uiPriority w:val="99"/>
    <w:pPr>
      <w:ind w:firstLine="420" w:firstLineChars="200"/>
    </w:pPr>
    <w:rPr>
      <w:rFonts w:ascii="仿宋_GB2312" w:eastAsia="仿宋_GB2312"/>
      <w:color w:val="000000"/>
      <w:sz w:val="24"/>
    </w:r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9">
    <w:name w:val="Table Theme"/>
    <w:basedOn w:val="5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22"/>
    <w:rPr>
      <w:rFonts w:cs="Times New Roman"/>
      <w:b/>
    </w:rPr>
  </w:style>
  <w:style w:type="character" w:styleId="62">
    <w:name w:val="page number"/>
    <w:basedOn w:val="60"/>
    <w:qFormat/>
    <w:uiPriority w:val="99"/>
    <w:rPr>
      <w:rFonts w:cs="Times New Roman"/>
    </w:rPr>
  </w:style>
  <w:style w:type="character" w:styleId="63">
    <w:name w:val="FollowedHyperlink"/>
    <w:basedOn w:val="60"/>
    <w:semiHidden/>
    <w:qFormat/>
    <w:uiPriority w:val="99"/>
    <w:rPr>
      <w:rFonts w:cs="Times New Roman"/>
      <w:color w:val="800080"/>
      <w:u w:val="single"/>
    </w:rPr>
  </w:style>
  <w:style w:type="character" w:styleId="64">
    <w:name w:val="Emphasis"/>
    <w:basedOn w:val="60"/>
    <w:qFormat/>
    <w:uiPriority w:val="99"/>
    <w:rPr>
      <w:rFonts w:cs="Times New Roman"/>
      <w:i/>
    </w:rPr>
  </w:style>
  <w:style w:type="character" w:styleId="65">
    <w:name w:val="Hyperlink"/>
    <w:basedOn w:val="60"/>
    <w:qFormat/>
    <w:uiPriority w:val="99"/>
    <w:rPr>
      <w:rFonts w:cs="Times New Roman"/>
      <w:color w:val="0000FF"/>
      <w:u w:val="single"/>
    </w:rPr>
  </w:style>
  <w:style w:type="character" w:styleId="66">
    <w:name w:val="annotation reference"/>
    <w:basedOn w:val="60"/>
    <w:qFormat/>
    <w:uiPriority w:val="99"/>
    <w:rPr>
      <w:rFonts w:cs="Times New Roman"/>
      <w:sz w:val="21"/>
    </w:rPr>
  </w:style>
  <w:style w:type="character" w:customStyle="1" w:styleId="67">
    <w:name w:val="标题 1 Char"/>
    <w:basedOn w:val="60"/>
    <w:link w:val="3"/>
    <w:qFormat/>
    <w:locked/>
    <w:uiPriority w:val="99"/>
    <w:rPr>
      <w:rFonts w:ascii="Times New Roman" w:hAnsi="Times New Roman" w:eastAsia="宋体"/>
      <w:b/>
      <w:kern w:val="44"/>
      <w:sz w:val="44"/>
    </w:rPr>
  </w:style>
  <w:style w:type="character" w:customStyle="1" w:styleId="68">
    <w:name w:val="标题 2 Char"/>
    <w:basedOn w:val="60"/>
    <w:link w:val="4"/>
    <w:qFormat/>
    <w:locked/>
    <w:uiPriority w:val="0"/>
    <w:rPr>
      <w:rFonts w:ascii="Arial" w:hAnsi="Arial" w:eastAsia="黑体"/>
      <w:b/>
      <w:sz w:val="32"/>
    </w:rPr>
  </w:style>
  <w:style w:type="character" w:customStyle="1" w:styleId="69">
    <w:name w:val="标题 3 Char"/>
    <w:basedOn w:val="60"/>
    <w:link w:val="6"/>
    <w:qFormat/>
    <w:locked/>
    <w:uiPriority w:val="99"/>
    <w:rPr>
      <w:rFonts w:ascii="Times New Roman" w:hAnsi="Times New Roman" w:eastAsia="宋体"/>
      <w:b/>
      <w:sz w:val="32"/>
    </w:rPr>
  </w:style>
  <w:style w:type="character" w:customStyle="1" w:styleId="70">
    <w:name w:val="标题 4 Char"/>
    <w:basedOn w:val="60"/>
    <w:link w:val="7"/>
    <w:qFormat/>
    <w:locked/>
    <w:uiPriority w:val="99"/>
    <w:rPr>
      <w:rFonts w:ascii="Arial" w:hAnsi="Arial" w:eastAsia="黑体"/>
      <w:b/>
      <w:sz w:val="28"/>
    </w:rPr>
  </w:style>
  <w:style w:type="character" w:customStyle="1" w:styleId="71">
    <w:name w:val="标题 5 Char"/>
    <w:basedOn w:val="60"/>
    <w:link w:val="8"/>
    <w:qFormat/>
    <w:locked/>
    <w:uiPriority w:val="99"/>
    <w:rPr>
      <w:rFonts w:ascii="Calibri" w:hAnsi="Calibri" w:cs="Times New Roman"/>
      <w:b/>
      <w:bCs/>
      <w:kern w:val="2"/>
      <w:sz w:val="28"/>
      <w:szCs w:val="28"/>
    </w:rPr>
  </w:style>
  <w:style w:type="character" w:customStyle="1" w:styleId="72">
    <w:name w:val="标题 6 Char"/>
    <w:basedOn w:val="60"/>
    <w:link w:val="9"/>
    <w:qFormat/>
    <w:locked/>
    <w:uiPriority w:val="99"/>
    <w:rPr>
      <w:rFonts w:ascii="Arial" w:hAnsi="Arial" w:eastAsia="黑体" w:cs="Times New Roman"/>
      <w:b/>
      <w:bCs/>
      <w:sz w:val="24"/>
      <w:szCs w:val="24"/>
    </w:rPr>
  </w:style>
  <w:style w:type="character" w:customStyle="1" w:styleId="73">
    <w:name w:val="标题 7 Char"/>
    <w:basedOn w:val="60"/>
    <w:link w:val="10"/>
    <w:qFormat/>
    <w:locked/>
    <w:uiPriority w:val="99"/>
    <w:rPr>
      <w:rFonts w:cs="Times New Roman"/>
      <w:b/>
      <w:bCs/>
      <w:sz w:val="24"/>
      <w:szCs w:val="24"/>
    </w:rPr>
  </w:style>
  <w:style w:type="character" w:customStyle="1" w:styleId="74">
    <w:name w:val="标题 8 Char"/>
    <w:basedOn w:val="60"/>
    <w:link w:val="11"/>
    <w:qFormat/>
    <w:locked/>
    <w:uiPriority w:val="99"/>
    <w:rPr>
      <w:rFonts w:ascii="Arial" w:hAnsi="Arial" w:eastAsia="黑体" w:cs="Times New Roman"/>
      <w:sz w:val="24"/>
      <w:szCs w:val="24"/>
    </w:rPr>
  </w:style>
  <w:style w:type="character" w:customStyle="1" w:styleId="75">
    <w:name w:val="标题 9 Char"/>
    <w:basedOn w:val="60"/>
    <w:link w:val="12"/>
    <w:qFormat/>
    <w:locked/>
    <w:uiPriority w:val="99"/>
    <w:rPr>
      <w:rFonts w:ascii="Arial" w:hAnsi="Arial" w:eastAsia="黑体" w:cs="Times New Roman"/>
      <w:sz w:val="21"/>
      <w:szCs w:val="21"/>
    </w:rPr>
  </w:style>
  <w:style w:type="character" w:customStyle="1" w:styleId="76">
    <w:name w:val="批注文字 Char"/>
    <w:basedOn w:val="60"/>
    <w:link w:val="22"/>
    <w:qFormat/>
    <w:locked/>
    <w:uiPriority w:val="99"/>
    <w:rPr>
      <w:kern w:val="2"/>
      <w:sz w:val="24"/>
    </w:rPr>
  </w:style>
  <w:style w:type="character" w:customStyle="1" w:styleId="77">
    <w:name w:val="批注主题 Char"/>
    <w:basedOn w:val="76"/>
    <w:link w:val="54"/>
    <w:qFormat/>
    <w:locked/>
    <w:uiPriority w:val="99"/>
    <w:rPr>
      <w:b/>
    </w:rPr>
  </w:style>
  <w:style w:type="character" w:customStyle="1" w:styleId="78">
    <w:name w:val="正文文本 Char"/>
    <w:basedOn w:val="60"/>
    <w:link w:val="27"/>
    <w:qFormat/>
    <w:locked/>
    <w:uiPriority w:val="99"/>
    <w:rPr>
      <w:rFonts w:ascii="Times New Roman" w:hAnsi="Times New Roman" w:eastAsia="宋体"/>
      <w:kern w:val="0"/>
      <w:sz w:val="20"/>
    </w:rPr>
  </w:style>
  <w:style w:type="character" w:customStyle="1" w:styleId="79">
    <w:name w:val="正文首行缩进 Char1"/>
    <w:basedOn w:val="78"/>
    <w:link w:val="55"/>
    <w:semiHidden/>
    <w:qFormat/>
    <w:locked/>
    <w:uiPriority w:val="0"/>
    <w:rPr>
      <w:rFonts w:cs="Times New Roman"/>
      <w:kern w:val="2"/>
      <w:sz w:val="24"/>
      <w:szCs w:val="24"/>
    </w:rPr>
  </w:style>
  <w:style w:type="character" w:customStyle="1" w:styleId="80">
    <w:name w:val="文档结构图 Char1"/>
    <w:basedOn w:val="60"/>
    <w:link w:val="21"/>
    <w:semiHidden/>
    <w:qFormat/>
    <w:locked/>
    <w:uiPriority w:val="99"/>
    <w:rPr>
      <w:rFonts w:ascii="宋体" w:cs="Times New Roman"/>
      <w:kern w:val="2"/>
      <w:sz w:val="18"/>
      <w:szCs w:val="18"/>
    </w:rPr>
  </w:style>
  <w:style w:type="character" w:customStyle="1" w:styleId="81">
    <w:name w:val="称呼 Char"/>
    <w:basedOn w:val="60"/>
    <w:link w:val="23"/>
    <w:qFormat/>
    <w:locked/>
    <w:uiPriority w:val="99"/>
    <w:rPr>
      <w:rFonts w:ascii="Times New Roman" w:hAnsi="Times New Roman" w:eastAsia="宋体"/>
      <w:sz w:val="24"/>
    </w:rPr>
  </w:style>
  <w:style w:type="character" w:customStyle="1" w:styleId="82">
    <w:name w:val="正文文本 3 Char2"/>
    <w:basedOn w:val="60"/>
    <w:link w:val="24"/>
    <w:semiHidden/>
    <w:qFormat/>
    <w:locked/>
    <w:uiPriority w:val="99"/>
    <w:rPr>
      <w:rFonts w:cs="Times New Roman"/>
      <w:kern w:val="2"/>
      <w:sz w:val="16"/>
      <w:szCs w:val="16"/>
    </w:rPr>
  </w:style>
  <w:style w:type="character" w:customStyle="1" w:styleId="83">
    <w:name w:val="结束语 Char"/>
    <w:basedOn w:val="60"/>
    <w:link w:val="25"/>
    <w:qFormat/>
    <w:locked/>
    <w:uiPriority w:val="99"/>
    <w:rPr>
      <w:rFonts w:ascii="Times New Roman" w:hAnsi="Times New Roman" w:eastAsia="宋体"/>
      <w:sz w:val="24"/>
    </w:rPr>
  </w:style>
  <w:style w:type="character" w:customStyle="1" w:styleId="84">
    <w:name w:val="正文文本缩进 Char"/>
    <w:basedOn w:val="60"/>
    <w:link w:val="28"/>
    <w:qFormat/>
    <w:locked/>
    <w:uiPriority w:val="99"/>
    <w:rPr>
      <w:sz w:val="24"/>
    </w:rPr>
  </w:style>
  <w:style w:type="character" w:customStyle="1" w:styleId="85">
    <w:name w:val="纯文本 Char2"/>
    <w:basedOn w:val="60"/>
    <w:link w:val="33"/>
    <w:qFormat/>
    <w:locked/>
    <w:uiPriority w:val="0"/>
    <w:rPr>
      <w:rFonts w:ascii="宋体" w:hAnsi="Courier New"/>
    </w:rPr>
  </w:style>
  <w:style w:type="character" w:customStyle="1" w:styleId="86">
    <w:name w:val="日期 Char2"/>
    <w:basedOn w:val="60"/>
    <w:link w:val="35"/>
    <w:qFormat/>
    <w:locked/>
    <w:uiPriority w:val="99"/>
    <w:rPr>
      <w:sz w:val="24"/>
    </w:rPr>
  </w:style>
  <w:style w:type="character" w:customStyle="1" w:styleId="87">
    <w:name w:val="正文文本缩进 2 Char"/>
    <w:basedOn w:val="60"/>
    <w:link w:val="36"/>
    <w:qFormat/>
    <w:locked/>
    <w:uiPriority w:val="0"/>
    <w:rPr>
      <w:rFonts w:ascii="Times New Roman" w:hAnsi="Times New Roman" w:eastAsia="宋体"/>
      <w:b/>
      <w:sz w:val="24"/>
    </w:rPr>
  </w:style>
  <w:style w:type="character" w:customStyle="1" w:styleId="88">
    <w:name w:val="尾注文本 Char2"/>
    <w:basedOn w:val="60"/>
    <w:link w:val="37"/>
    <w:semiHidden/>
    <w:qFormat/>
    <w:locked/>
    <w:uiPriority w:val="99"/>
    <w:rPr>
      <w:rFonts w:cs="Times New Roman"/>
      <w:kern w:val="2"/>
      <w:sz w:val="24"/>
      <w:szCs w:val="24"/>
    </w:rPr>
  </w:style>
  <w:style w:type="character" w:customStyle="1" w:styleId="89">
    <w:name w:val="批注框文本 Char"/>
    <w:basedOn w:val="60"/>
    <w:link w:val="38"/>
    <w:qFormat/>
    <w:locked/>
    <w:uiPriority w:val="99"/>
    <w:rPr>
      <w:rFonts w:ascii="Times New Roman" w:hAnsi="Times New Roman" w:eastAsia="宋体"/>
      <w:sz w:val="18"/>
    </w:rPr>
  </w:style>
  <w:style w:type="character" w:customStyle="1" w:styleId="90">
    <w:name w:val="页脚 Char"/>
    <w:basedOn w:val="60"/>
    <w:link w:val="39"/>
    <w:qFormat/>
    <w:locked/>
    <w:uiPriority w:val="99"/>
    <w:rPr>
      <w:sz w:val="18"/>
    </w:rPr>
  </w:style>
  <w:style w:type="character" w:customStyle="1" w:styleId="91">
    <w:name w:val="正文首行缩进 2 Char2"/>
    <w:basedOn w:val="84"/>
    <w:link w:val="56"/>
    <w:semiHidden/>
    <w:qFormat/>
    <w:locked/>
    <w:uiPriority w:val="99"/>
    <w:rPr>
      <w:rFonts w:cs="Times New Roman"/>
      <w:kern w:val="2"/>
      <w:szCs w:val="24"/>
    </w:rPr>
  </w:style>
  <w:style w:type="character" w:customStyle="1" w:styleId="92">
    <w:name w:val="页眉 Char"/>
    <w:basedOn w:val="60"/>
    <w:link w:val="2"/>
    <w:qFormat/>
    <w:locked/>
    <w:uiPriority w:val="99"/>
    <w:rPr>
      <w:sz w:val="18"/>
    </w:rPr>
  </w:style>
  <w:style w:type="character" w:customStyle="1" w:styleId="93">
    <w:name w:val="副标题 Char2"/>
    <w:basedOn w:val="60"/>
    <w:link w:val="42"/>
    <w:qFormat/>
    <w:locked/>
    <w:uiPriority w:val="99"/>
    <w:rPr>
      <w:rFonts w:ascii="Cambria" w:hAnsi="Cambria" w:cs="Times New Roman"/>
      <w:b/>
      <w:bCs/>
      <w:kern w:val="28"/>
      <w:sz w:val="32"/>
      <w:szCs w:val="32"/>
    </w:rPr>
  </w:style>
  <w:style w:type="character" w:customStyle="1" w:styleId="94">
    <w:name w:val="正文文本缩进 3 Char1"/>
    <w:basedOn w:val="60"/>
    <w:link w:val="45"/>
    <w:semiHidden/>
    <w:qFormat/>
    <w:locked/>
    <w:uiPriority w:val="99"/>
    <w:rPr>
      <w:rFonts w:cs="Times New Roman"/>
      <w:kern w:val="2"/>
      <w:sz w:val="16"/>
      <w:szCs w:val="16"/>
    </w:rPr>
  </w:style>
  <w:style w:type="character" w:customStyle="1" w:styleId="95">
    <w:name w:val="正文文本 2 Char1"/>
    <w:basedOn w:val="60"/>
    <w:link w:val="49"/>
    <w:semiHidden/>
    <w:qFormat/>
    <w:locked/>
    <w:uiPriority w:val="99"/>
    <w:rPr>
      <w:rFonts w:cs="Times New Roman"/>
      <w:kern w:val="2"/>
      <w:sz w:val="24"/>
      <w:szCs w:val="24"/>
    </w:rPr>
  </w:style>
  <w:style w:type="character" w:customStyle="1" w:styleId="96">
    <w:name w:val="HTML 预设格式 Char"/>
    <w:basedOn w:val="60"/>
    <w:link w:val="50"/>
    <w:qFormat/>
    <w:locked/>
    <w:uiPriority w:val="99"/>
    <w:rPr>
      <w:rFonts w:ascii="宋体" w:hAnsi="宋体" w:eastAsia="宋体"/>
      <w:kern w:val="0"/>
      <w:sz w:val="24"/>
    </w:rPr>
  </w:style>
  <w:style w:type="character" w:customStyle="1" w:styleId="97">
    <w:name w:val="标题 Char2"/>
    <w:basedOn w:val="60"/>
    <w:link w:val="53"/>
    <w:qFormat/>
    <w:locked/>
    <w:uiPriority w:val="99"/>
    <w:rPr>
      <w:rFonts w:ascii="Cambria" w:hAnsi="Cambria" w:cs="Times New Roman"/>
      <w:b/>
      <w:bCs/>
      <w:kern w:val="2"/>
      <w:sz w:val="32"/>
      <w:szCs w:val="32"/>
    </w:rPr>
  </w:style>
  <w:style w:type="character" w:customStyle="1" w:styleId="98">
    <w:name w:val="正文缩进 Char"/>
    <w:basedOn w:val="60"/>
    <w:link w:val="5"/>
    <w:qFormat/>
    <w:locked/>
    <w:uiPriority w:val="99"/>
    <w:rPr>
      <w:rFonts w:cs="Times New Roman"/>
    </w:rPr>
  </w:style>
  <w:style w:type="character" w:customStyle="1" w:styleId="99">
    <w:name w:val="纯文本 Char1"/>
    <w:qFormat/>
    <w:uiPriority w:val="99"/>
    <w:rPr>
      <w:rFonts w:ascii="宋体" w:hAnsi="Courier New" w:eastAsia="宋体"/>
      <w:sz w:val="21"/>
    </w:rPr>
  </w:style>
  <w:style w:type="character" w:customStyle="1" w:styleId="100">
    <w:name w:val="日期 Char"/>
    <w:qFormat/>
    <w:uiPriority w:val="99"/>
    <w:rPr>
      <w:rFonts w:ascii="仿宋体" w:eastAsia="仿宋体"/>
      <w:kern w:val="2"/>
      <w:sz w:val="24"/>
    </w:rPr>
  </w:style>
  <w:style w:type="character" w:customStyle="1" w:styleId="101">
    <w:name w:val="正文文本缩进 Char1"/>
    <w:qFormat/>
    <w:uiPriority w:val="99"/>
    <w:rPr>
      <w:rFonts w:ascii="Times New Roman" w:hAnsi="Times New Roman" w:eastAsia="宋体"/>
      <w:sz w:val="24"/>
    </w:rPr>
  </w:style>
  <w:style w:type="character" w:customStyle="1" w:styleId="102">
    <w:name w:val="font11"/>
    <w:qFormat/>
    <w:uiPriority w:val="99"/>
    <w:rPr>
      <w:rFonts w:ascii="仿宋_GB2312" w:eastAsia="仿宋_GB2312"/>
      <w:color w:val="000000"/>
      <w:sz w:val="22"/>
      <w:u w:val="none"/>
    </w:rPr>
  </w:style>
  <w:style w:type="character" w:customStyle="1" w:styleId="103">
    <w:name w:val="正文缩进 Char1"/>
    <w:qFormat/>
    <w:uiPriority w:val="99"/>
    <w:rPr>
      <w:rFonts w:eastAsia="宋体"/>
      <w:kern w:val="2"/>
      <w:sz w:val="24"/>
      <w:lang w:val="en-US" w:eastAsia="zh-CN"/>
    </w:rPr>
  </w:style>
  <w:style w:type="character" w:customStyle="1" w:styleId="104">
    <w:name w:val="p31"/>
    <w:qFormat/>
    <w:uiPriority w:val="99"/>
    <w:rPr>
      <w:sz w:val="20"/>
    </w:rPr>
  </w:style>
  <w:style w:type="character" w:customStyle="1" w:styleId="105">
    <w:name w:val="日期 Char1"/>
    <w:semiHidden/>
    <w:qFormat/>
    <w:uiPriority w:val="99"/>
    <w:rPr>
      <w:rFonts w:ascii="Times New Roman" w:hAnsi="Times New Roman" w:eastAsia="宋体"/>
      <w:sz w:val="24"/>
    </w:rPr>
  </w:style>
  <w:style w:type="character" w:customStyle="1" w:styleId="106">
    <w:name w:val="apple-converted-space"/>
    <w:qFormat/>
    <w:uiPriority w:val="99"/>
  </w:style>
  <w:style w:type="character" w:customStyle="1" w:styleId="107">
    <w:name w:val="纯文本 Char"/>
    <w:qFormat/>
    <w:uiPriority w:val="0"/>
    <w:rPr>
      <w:rFonts w:ascii="宋体" w:hAnsi="Courier New" w:eastAsia="宋体"/>
      <w:kern w:val="2"/>
      <w:sz w:val="21"/>
      <w:lang w:val="en-US" w:eastAsia="zh-CN"/>
    </w:rPr>
  </w:style>
  <w:style w:type="character" w:customStyle="1" w:styleId="108">
    <w:name w:val="hei"/>
    <w:basedOn w:val="60"/>
    <w:qFormat/>
    <w:uiPriority w:val="99"/>
    <w:rPr>
      <w:rFonts w:cs="Times New Roman"/>
    </w:rPr>
  </w:style>
  <w:style w:type="character" w:customStyle="1" w:styleId="109">
    <w:name w:val="列出段落 Char"/>
    <w:link w:val="110"/>
    <w:qFormat/>
    <w:locked/>
    <w:uiPriority w:val="99"/>
    <w:rPr>
      <w:kern w:val="2"/>
      <w:sz w:val="24"/>
    </w:rPr>
  </w:style>
  <w:style w:type="paragraph" w:customStyle="1" w:styleId="110">
    <w:name w:val="列出段落1"/>
    <w:basedOn w:val="1"/>
    <w:link w:val="109"/>
    <w:qFormat/>
    <w:uiPriority w:val="99"/>
    <w:pPr>
      <w:ind w:firstLine="420" w:firstLineChars="200"/>
    </w:pPr>
  </w:style>
  <w:style w:type="paragraph" w:customStyle="1" w:styleId="111">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0"/>
    <w:basedOn w:val="1"/>
    <w:qFormat/>
    <w:uiPriority w:val="99"/>
    <w:pPr>
      <w:widowControl/>
      <w:snapToGrid w:val="0"/>
    </w:pPr>
    <w:rPr>
      <w:kern w:val="0"/>
      <w:szCs w:val="21"/>
    </w:rPr>
  </w:style>
  <w:style w:type="paragraph" w:customStyle="1" w:styleId="113">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4">
    <w:name w:val="纯文本1"/>
    <w:basedOn w:val="1"/>
    <w:qFormat/>
    <w:uiPriority w:val="99"/>
    <w:pPr>
      <w:adjustRightInd w:val="0"/>
      <w:textAlignment w:val="baseline"/>
    </w:pPr>
    <w:rPr>
      <w:rFonts w:ascii="宋体" w:hAnsi="Courier New" w:eastAsia="楷体_GB2312"/>
      <w:sz w:val="26"/>
      <w:szCs w:val="20"/>
    </w:rPr>
  </w:style>
  <w:style w:type="paragraph" w:customStyle="1" w:styleId="115">
    <w:name w:val="xl83"/>
    <w:basedOn w:val="1"/>
    <w:qFormat/>
    <w:uiPriority w:val="99"/>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116">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7">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8">
    <w:name w:val="默认段落字体 Para Char"/>
    <w:basedOn w:val="1"/>
    <w:qFormat/>
    <w:uiPriority w:val="99"/>
    <w:pPr>
      <w:adjustRightInd w:val="0"/>
      <w:spacing w:line="360" w:lineRule="auto"/>
    </w:pPr>
    <w:rPr>
      <w:rFonts w:ascii="宋体" w:hAnsi="宋体" w:cs="宋体"/>
      <w:kern w:val="0"/>
      <w:sz w:val="24"/>
      <w:szCs w:val="20"/>
    </w:rPr>
  </w:style>
  <w:style w:type="paragraph" w:customStyle="1" w:styleId="119">
    <w:name w:val="默认段落字体 Para Char Char Char Char"/>
    <w:basedOn w:val="1"/>
    <w:qFormat/>
    <w:uiPriority w:val="99"/>
  </w:style>
  <w:style w:type="paragraph" w:customStyle="1" w:styleId="120">
    <w:name w:val="text9"/>
    <w:basedOn w:val="1"/>
    <w:qFormat/>
    <w:uiPriority w:val="99"/>
    <w:pPr>
      <w:widowControl/>
      <w:spacing w:before="100" w:beforeAutospacing="1" w:after="100" w:afterAutospacing="1"/>
      <w:jc w:val="left"/>
    </w:pPr>
    <w:rPr>
      <w:rFonts w:ascii="宋体" w:hAnsi="宋体"/>
      <w:kern w:val="0"/>
      <w:sz w:val="24"/>
    </w:rPr>
  </w:style>
  <w:style w:type="paragraph" w:customStyle="1" w:styleId="121">
    <w:name w:val="正文无缩进"/>
    <w:basedOn w:val="1"/>
    <w:qFormat/>
    <w:uiPriority w:val="99"/>
    <w:pPr>
      <w:widowControl/>
      <w:autoSpaceDE w:val="0"/>
      <w:autoSpaceDN w:val="0"/>
      <w:spacing w:line="300" w:lineRule="auto"/>
      <w:textAlignment w:val="bottom"/>
    </w:pPr>
    <w:rPr>
      <w:rFonts w:eastAsia="楷体_GB2312"/>
      <w:szCs w:val="20"/>
    </w:rPr>
  </w:style>
  <w:style w:type="paragraph" w:customStyle="1" w:styleId="122">
    <w:name w:val="封面字体4"/>
    <w:basedOn w:val="1"/>
    <w:qFormat/>
    <w:uiPriority w:val="99"/>
    <w:pPr>
      <w:spacing w:line="240" w:lineRule="atLeast"/>
    </w:pPr>
    <w:rPr>
      <w:rFonts w:ascii="黑体" w:hAnsi="华文细黑" w:eastAsia="黑体" w:cs="Arial"/>
      <w:b/>
      <w:bCs/>
      <w:spacing w:val="100"/>
      <w:kern w:val="0"/>
      <w:sz w:val="44"/>
      <w:szCs w:val="28"/>
    </w:rPr>
  </w:style>
  <w:style w:type="paragraph" w:customStyle="1" w:styleId="123">
    <w:name w:val="Default Text:1"/>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124">
    <w:name w:val="纯文本2"/>
    <w:basedOn w:val="1"/>
    <w:qFormat/>
    <w:uiPriority w:val="99"/>
    <w:pPr>
      <w:adjustRightInd w:val="0"/>
      <w:textAlignment w:val="baseline"/>
    </w:pPr>
    <w:rPr>
      <w:rFonts w:ascii="宋体" w:hAnsi="Courier New" w:eastAsia="楷体_GB2312"/>
      <w:sz w:val="26"/>
      <w:szCs w:val="20"/>
    </w:rPr>
  </w:style>
  <w:style w:type="paragraph" w:customStyle="1" w:styleId="125">
    <w:name w:val="列出段落11"/>
    <w:basedOn w:val="1"/>
    <w:qFormat/>
    <w:uiPriority w:val="99"/>
    <w:pPr>
      <w:ind w:firstLine="420" w:firstLineChars="200"/>
    </w:pPr>
    <w:rPr>
      <w:rFonts w:ascii="Calibri" w:hAnsi="Calibri"/>
      <w:szCs w:val="22"/>
    </w:rPr>
  </w:style>
  <w:style w:type="paragraph" w:customStyle="1" w:styleId="126">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7">
    <w:name w:val="xl36"/>
    <w:basedOn w:val="1"/>
    <w:qFormat/>
    <w:uiPriority w:val="99"/>
    <w:pPr>
      <w:widowControl/>
      <w:spacing w:before="100" w:after="100"/>
      <w:jc w:val="center"/>
    </w:pPr>
    <w:rPr>
      <w:rFonts w:ascii="宋体" w:hAnsi="宋体"/>
      <w:kern w:val="0"/>
      <w:sz w:val="24"/>
      <w:szCs w:val="20"/>
    </w:rPr>
  </w:style>
  <w:style w:type="character" w:customStyle="1" w:styleId="128">
    <w:name w:val="普通(网站) Char"/>
    <w:link w:val="51"/>
    <w:qFormat/>
    <w:locked/>
    <w:uiPriority w:val="99"/>
    <w:rPr>
      <w:rFonts w:ascii="宋体" w:eastAsia="宋体"/>
      <w:sz w:val="24"/>
    </w:rPr>
  </w:style>
  <w:style w:type="paragraph" w:customStyle="1" w:styleId="129">
    <w:name w:val="封面字体3"/>
    <w:basedOn w:val="1"/>
    <w:qFormat/>
    <w:uiPriority w:val="99"/>
    <w:pPr>
      <w:spacing w:line="240" w:lineRule="atLeast"/>
    </w:pPr>
    <w:rPr>
      <w:rFonts w:ascii="黑体" w:hAnsi="华文细黑" w:eastAsia="黑体" w:cs="Arial"/>
      <w:bCs/>
      <w:spacing w:val="100"/>
      <w:kern w:val="0"/>
      <w:sz w:val="44"/>
      <w:szCs w:val="28"/>
    </w:rPr>
  </w:style>
  <w:style w:type="paragraph" w:customStyle="1" w:styleId="130">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paragraph" w:customStyle="1" w:styleId="131">
    <w:name w:val="修订1"/>
    <w:qFormat/>
    <w:uiPriority w:val="99"/>
    <w:rPr>
      <w:rFonts w:ascii="Times New Roman" w:hAnsi="Times New Roman" w:eastAsia="宋体" w:cs="Times New Roman"/>
      <w:kern w:val="2"/>
      <w:sz w:val="21"/>
      <w:szCs w:val="24"/>
      <w:lang w:val="en-US" w:eastAsia="zh-CN" w:bidi="ar-SA"/>
    </w:rPr>
  </w:style>
  <w:style w:type="paragraph" w:customStyle="1" w:styleId="132">
    <w:name w:val="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line14pj"/>
    <w:basedOn w:val="60"/>
    <w:qFormat/>
    <w:uiPriority w:val="99"/>
    <w:rPr>
      <w:rFonts w:cs="Times New Roman"/>
    </w:rPr>
  </w:style>
  <w:style w:type="character" w:customStyle="1" w:styleId="134">
    <w:name w:val="正文文本 2 Char"/>
    <w:qFormat/>
    <w:uiPriority w:val="99"/>
    <w:rPr>
      <w:rFonts w:ascii="宋体" w:eastAsia="宋体"/>
      <w:kern w:val="2"/>
      <w:sz w:val="24"/>
    </w:rPr>
  </w:style>
  <w:style w:type="character" w:customStyle="1" w:styleId="135">
    <w:name w:val="正文文本缩进 Char2"/>
    <w:qFormat/>
    <w:uiPriority w:val="99"/>
    <w:rPr>
      <w:rFonts w:ascii="宋体"/>
      <w:color w:val="000000"/>
      <w:sz w:val="32"/>
    </w:rPr>
  </w:style>
  <w:style w:type="character" w:customStyle="1" w:styleId="136">
    <w:name w:val="3zw1"/>
    <w:qFormat/>
    <w:uiPriority w:val="99"/>
    <w:rPr>
      <w:color w:val="000000"/>
      <w:sz w:val="21"/>
    </w:rPr>
  </w:style>
  <w:style w:type="character" w:customStyle="1" w:styleId="137">
    <w:name w:val="font101"/>
    <w:qFormat/>
    <w:uiPriority w:val="99"/>
    <w:rPr>
      <w:rFonts w:ascii="宋体" w:hAnsi="宋体" w:eastAsia="宋体"/>
      <w:color w:val="000000"/>
      <w:sz w:val="20"/>
      <w:u w:val="none"/>
    </w:rPr>
  </w:style>
  <w:style w:type="character" w:customStyle="1" w:styleId="138">
    <w:name w:val="批注框文本 Char1"/>
    <w:qFormat/>
    <w:locked/>
    <w:uiPriority w:val="99"/>
    <w:rPr>
      <w:kern w:val="2"/>
      <w:sz w:val="18"/>
    </w:rPr>
  </w:style>
  <w:style w:type="character" w:customStyle="1" w:styleId="139">
    <w:name w:val="正文首行缩进 2 Char"/>
    <w:qFormat/>
    <w:uiPriority w:val="99"/>
    <w:rPr>
      <w:rFonts w:ascii="仿宋_GB2312" w:eastAsia="仿宋_GB2312"/>
      <w:color w:val="000000"/>
      <w:sz w:val="24"/>
    </w:rPr>
  </w:style>
  <w:style w:type="character" w:customStyle="1" w:styleId="140">
    <w:name w:val="hang1"/>
    <w:basedOn w:val="60"/>
    <w:qFormat/>
    <w:uiPriority w:val="99"/>
    <w:rPr>
      <w:rFonts w:cs="Times New Roman"/>
    </w:rPr>
  </w:style>
  <w:style w:type="character" w:customStyle="1" w:styleId="141">
    <w:name w:val="param-name"/>
    <w:qFormat/>
    <w:uiPriority w:val="99"/>
  </w:style>
  <w:style w:type="character" w:customStyle="1" w:styleId="142">
    <w:name w:val="font21"/>
    <w:basedOn w:val="60"/>
    <w:qFormat/>
    <w:uiPriority w:val="99"/>
    <w:rPr>
      <w:rFonts w:ascii="宋体" w:hAnsi="宋体" w:eastAsia="宋体"/>
      <w:color w:val="000000"/>
      <w:sz w:val="24"/>
      <w:u w:val="none"/>
    </w:rPr>
  </w:style>
  <w:style w:type="character" w:customStyle="1" w:styleId="143">
    <w:name w:val="正文文本 Char2"/>
    <w:qFormat/>
    <w:uiPriority w:val="99"/>
    <w:rPr>
      <w:rFonts w:ascii="宋体"/>
      <w:color w:val="000000"/>
      <w:sz w:val="32"/>
    </w:rPr>
  </w:style>
  <w:style w:type="character" w:customStyle="1" w:styleId="144">
    <w:name w:val="段 Char"/>
    <w:link w:val="145"/>
    <w:qFormat/>
    <w:locked/>
    <w:uiPriority w:val="99"/>
    <w:rPr>
      <w:rFonts w:ascii="宋体" w:eastAsia="宋体"/>
      <w:kern w:val="2"/>
      <w:sz w:val="22"/>
      <w:lang w:val="en-US" w:eastAsia="zh-CN"/>
    </w:rPr>
  </w:style>
  <w:style w:type="paragraph" w:customStyle="1" w:styleId="145">
    <w:name w:val="段"/>
    <w:link w:val="144"/>
    <w:qFormat/>
    <w:uiPriority w:val="99"/>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6">
    <w:name w:val="正文首行缩进 2 Char1"/>
    <w:basedOn w:val="101"/>
    <w:qFormat/>
    <w:uiPriority w:val="99"/>
    <w:rPr>
      <w:rFonts w:ascii="楷体_GB2312" w:eastAsia="楷体_GB2312" w:cs="Times New Roman"/>
      <w:kern w:val="2"/>
      <w:sz w:val="31"/>
      <w:szCs w:val="31"/>
    </w:rPr>
  </w:style>
  <w:style w:type="character" w:customStyle="1" w:styleId="147">
    <w:name w:val="正文文本 Char1"/>
    <w:qFormat/>
    <w:uiPriority w:val="99"/>
    <w:rPr>
      <w:rFonts w:ascii="楷体_GB2312" w:eastAsia="楷体_GB2312"/>
      <w:kern w:val="2"/>
      <w:sz w:val="28"/>
    </w:rPr>
  </w:style>
  <w:style w:type="character" w:customStyle="1" w:styleId="148">
    <w:name w:val="contentheaderrev1"/>
    <w:qFormat/>
    <w:uiPriority w:val="99"/>
    <w:rPr>
      <w:rFonts w:ascii="Arial" w:hAnsi="Arial"/>
      <w:b/>
      <w:color w:val="FFFFFF"/>
      <w:sz w:val="18"/>
      <w:u w:val="none"/>
    </w:rPr>
  </w:style>
  <w:style w:type="character" w:customStyle="1" w:styleId="149">
    <w:name w:val="text_12_black1"/>
    <w:qFormat/>
    <w:uiPriority w:val="99"/>
    <w:rPr>
      <w:rFonts w:ascii="??" w:hAnsi="??"/>
      <w:color w:val="333333"/>
      <w:sz w:val="18"/>
      <w:u w:val="none"/>
    </w:rPr>
  </w:style>
  <w:style w:type="character" w:customStyle="1" w:styleId="150">
    <w:name w:val="font51"/>
    <w:qFormat/>
    <w:uiPriority w:val="99"/>
    <w:rPr>
      <w:rFonts w:ascii="宋体" w:hAnsi="宋体" w:eastAsia="宋体"/>
      <w:b/>
      <w:color w:val="000000"/>
      <w:sz w:val="18"/>
      <w:u w:val="none"/>
    </w:rPr>
  </w:style>
  <w:style w:type="character" w:customStyle="1" w:styleId="151">
    <w:name w:val="副标题 Char1"/>
    <w:qFormat/>
    <w:uiPriority w:val="99"/>
    <w:rPr>
      <w:rFonts w:ascii="Cambria" w:hAnsi="Cambria"/>
      <w:b/>
      <w:kern w:val="28"/>
      <w:sz w:val="32"/>
    </w:rPr>
  </w:style>
  <w:style w:type="character" w:customStyle="1" w:styleId="152">
    <w:name w:val="unnamed11"/>
    <w:qFormat/>
    <w:uiPriority w:val="99"/>
    <w:rPr>
      <w:sz w:val="20"/>
    </w:rPr>
  </w:style>
  <w:style w:type="character" w:customStyle="1" w:styleId="153">
    <w:name w:val="ca-131"/>
    <w:qFormat/>
    <w:uiPriority w:val="99"/>
    <w:rPr>
      <w:rFonts w:ascii="Times New Roman" w:hAnsi="Times New Roman"/>
      <w:sz w:val="21"/>
    </w:rPr>
  </w:style>
  <w:style w:type="character" w:customStyle="1" w:styleId="154">
    <w:name w:val="正文文本 3 Char"/>
    <w:qFormat/>
    <w:uiPriority w:val="99"/>
    <w:rPr>
      <w:sz w:val="16"/>
    </w:rPr>
  </w:style>
  <w:style w:type="character" w:customStyle="1" w:styleId="155">
    <w:name w:val="z71"/>
    <w:qFormat/>
    <w:uiPriority w:val="99"/>
    <w:rPr>
      <w:spacing w:val="300"/>
      <w:sz w:val="18"/>
    </w:rPr>
  </w:style>
  <w:style w:type="character" w:customStyle="1" w:styleId="156">
    <w:name w:val="副标题 Char"/>
    <w:qFormat/>
    <w:uiPriority w:val="99"/>
    <w:rPr>
      <w:rFonts w:ascii="Cambria" w:hAnsi="Cambria"/>
      <w:b/>
      <w:kern w:val="28"/>
      <w:sz w:val="32"/>
    </w:rPr>
  </w:style>
  <w:style w:type="character" w:customStyle="1" w:styleId="157">
    <w:name w:val="ca-231"/>
    <w:qFormat/>
    <w:uiPriority w:val="99"/>
    <w:rPr>
      <w:rFonts w:ascii="宋体" w:hAnsi="宋体" w:eastAsia="宋体"/>
      <w:sz w:val="24"/>
    </w:rPr>
  </w:style>
  <w:style w:type="character" w:customStyle="1" w:styleId="158">
    <w:name w:val="ca-251"/>
    <w:qFormat/>
    <w:uiPriority w:val="99"/>
    <w:rPr>
      <w:rFonts w:ascii="Times New Roman" w:hAnsi="Times New Roman"/>
      <w:sz w:val="24"/>
    </w:rPr>
  </w:style>
  <w:style w:type="character" w:customStyle="1" w:styleId="159">
    <w:name w:val="正文文本 3 Char1"/>
    <w:qFormat/>
    <w:uiPriority w:val="99"/>
    <w:rPr>
      <w:kern w:val="2"/>
      <w:sz w:val="16"/>
    </w:rPr>
  </w:style>
  <w:style w:type="character" w:customStyle="1" w:styleId="160">
    <w:name w:val="标题 3 Char1"/>
    <w:qFormat/>
    <w:uiPriority w:val="99"/>
    <w:rPr>
      <w:b/>
      <w:kern w:val="2"/>
      <w:sz w:val="32"/>
    </w:rPr>
  </w:style>
  <w:style w:type="character" w:customStyle="1" w:styleId="161">
    <w:name w:val="本级3 Char"/>
    <w:link w:val="162"/>
    <w:qFormat/>
    <w:locked/>
    <w:uiPriority w:val="99"/>
    <w:rPr>
      <w:rFonts w:ascii="仿宋_GB2312" w:hAnsi="仿宋" w:eastAsia="仿宋_GB2312"/>
      <w:b/>
      <w:kern w:val="2"/>
      <w:sz w:val="24"/>
    </w:rPr>
  </w:style>
  <w:style w:type="paragraph" w:customStyle="1" w:styleId="162">
    <w:name w:val="本级3"/>
    <w:basedOn w:val="1"/>
    <w:next w:val="1"/>
    <w:link w:val="161"/>
    <w:qFormat/>
    <w:uiPriority w:val="99"/>
    <w:pPr>
      <w:keepNext/>
      <w:keepLines/>
      <w:tabs>
        <w:tab w:val="left" w:pos="567"/>
      </w:tabs>
      <w:spacing w:line="360" w:lineRule="auto"/>
      <w:ind w:left="1827" w:leftChars="100" w:right="100" w:rightChars="100" w:hanging="567"/>
      <w:outlineLvl w:val="2"/>
    </w:pPr>
    <w:rPr>
      <w:rFonts w:ascii="仿宋_GB2312" w:hAnsi="仿宋" w:eastAsia="仿宋_GB2312"/>
      <w:b/>
      <w:bCs/>
      <w:sz w:val="32"/>
    </w:rPr>
  </w:style>
  <w:style w:type="character" w:customStyle="1" w:styleId="163">
    <w:name w:val="正文文本缩进 3 Char"/>
    <w:qFormat/>
    <w:locked/>
    <w:uiPriority w:val="99"/>
    <w:rPr>
      <w:rFonts w:ascii="幼圆" w:eastAsia="幼圆"/>
      <w:kern w:val="2"/>
      <w:sz w:val="32"/>
    </w:rPr>
  </w:style>
  <w:style w:type="character" w:customStyle="1" w:styleId="164">
    <w:name w:val="首行缩进 Char Char1"/>
    <w:link w:val="165"/>
    <w:qFormat/>
    <w:locked/>
    <w:uiPriority w:val="99"/>
    <w:rPr>
      <w:sz w:val="24"/>
    </w:rPr>
  </w:style>
  <w:style w:type="paragraph" w:customStyle="1" w:styleId="165">
    <w:name w:val="首行缩进 Char"/>
    <w:basedOn w:val="1"/>
    <w:next w:val="5"/>
    <w:link w:val="164"/>
    <w:qFormat/>
    <w:uiPriority w:val="99"/>
    <w:pPr>
      <w:spacing w:line="300" w:lineRule="auto"/>
      <w:ind w:firstLine="420"/>
    </w:pPr>
    <w:rPr>
      <w:kern w:val="0"/>
      <w:sz w:val="24"/>
    </w:rPr>
  </w:style>
  <w:style w:type="character" w:customStyle="1" w:styleId="166">
    <w:name w:val="text_12_subject1"/>
    <w:qFormat/>
    <w:uiPriority w:val="99"/>
    <w:rPr>
      <w:rFonts w:ascii="??" w:hAnsi="??"/>
      <w:b/>
      <w:color w:val="006699"/>
      <w:sz w:val="18"/>
      <w:u w:val="none"/>
    </w:rPr>
  </w:style>
  <w:style w:type="character" w:customStyle="1" w:styleId="167">
    <w:name w:val="标题 Char1"/>
    <w:qFormat/>
    <w:uiPriority w:val="99"/>
    <w:rPr>
      <w:rFonts w:ascii="Cambria" w:hAnsi="Cambria"/>
      <w:b/>
      <w:kern w:val="2"/>
      <w:sz w:val="32"/>
    </w:rPr>
  </w:style>
  <w:style w:type="character" w:customStyle="1" w:styleId="168">
    <w:name w:val="常规 Char"/>
    <w:link w:val="169"/>
    <w:qFormat/>
    <w:locked/>
    <w:uiPriority w:val="99"/>
    <w:rPr>
      <w:rFonts w:ascii="Tahoma" w:hAnsi="Tahoma"/>
      <w:color w:val="000000"/>
      <w:kern w:val="2"/>
      <w:sz w:val="21"/>
    </w:rPr>
  </w:style>
  <w:style w:type="paragraph" w:customStyle="1" w:styleId="169">
    <w:name w:val="常规"/>
    <w:basedOn w:val="1"/>
    <w:link w:val="168"/>
    <w:qFormat/>
    <w:uiPriority w:val="99"/>
    <w:pPr>
      <w:spacing w:beforeLines="100" w:afterLines="100" w:line="360" w:lineRule="auto"/>
      <w:ind w:firstLine="560" w:firstLineChars="200"/>
      <w:jc w:val="center"/>
    </w:pPr>
    <w:rPr>
      <w:rFonts w:ascii="Tahoma" w:hAnsi="Tahoma"/>
      <w:color w:val="000000"/>
      <w:sz w:val="28"/>
      <w:szCs w:val="21"/>
    </w:rPr>
  </w:style>
  <w:style w:type="character" w:customStyle="1" w:styleId="170">
    <w:name w:val="文档结构图 Char"/>
    <w:qFormat/>
    <w:uiPriority w:val="99"/>
    <w:rPr>
      <w:kern w:val="2"/>
      <w:sz w:val="24"/>
      <w:shd w:val="clear" w:color="auto" w:fill="000080"/>
    </w:rPr>
  </w:style>
  <w:style w:type="character" w:customStyle="1" w:styleId="171">
    <w:name w:val="正文新 Char"/>
    <w:link w:val="172"/>
    <w:qFormat/>
    <w:locked/>
    <w:uiPriority w:val="99"/>
    <w:rPr>
      <w:rFonts w:ascii="宋体" w:eastAsia="宋体"/>
      <w:sz w:val="28"/>
    </w:rPr>
  </w:style>
  <w:style w:type="paragraph" w:customStyle="1" w:styleId="172">
    <w:name w:val="正文新"/>
    <w:basedOn w:val="1"/>
    <w:link w:val="171"/>
    <w:qFormat/>
    <w:uiPriority w:val="99"/>
    <w:pPr>
      <w:spacing w:line="360" w:lineRule="auto"/>
      <w:ind w:firstLine="200" w:firstLineChars="200"/>
      <w:jc w:val="left"/>
    </w:pPr>
    <w:rPr>
      <w:rFonts w:ascii="宋体" w:hAnsi="宋体"/>
      <w:kern w:val="0"/>
      <w:sz w:val="28"/>
      <w:szCs w:val="20"/>
    </w:rPr>
  </w:style>
  <w:style w:type="character" w:customStyle="1" w:styleId="173">
    <w:name w:val="font41"/>
    <w:qFormat/>
    <w:uiPriority w:val="99"/>
    <w:rPr>
      <w:rFonts w:ascii="宋体" w:hAnsi="宋体" w:eastAsia="宋体"/>
      <w:b/>
      <w:color w:val="000000"/>
      <w:sz w:val="20"/>
      <w:u w:val="none"/>
    </w:rPr>
  </w:style>
  <w:style w:type="character" w:customStyle="1" w:styleId="174">
    <w:name w:val="myp1111"/>
    <w:qFormat/>
    <w:uiPriority w:val="99"/>
    <w:rPr>
      <w:rFonts w:ascii="??" w:hAnsi="??"/>
      <w:color w:val="000000"/>
      <w:sz w:val="15"/>
      <w:u w:val="none"/>
    </w:rPr>
  </w:style>
  <w:style w:type="character" w:customStyle="1" w:styleId="175">
    <w:name w:val="尾注文本 Char1"/>
    <w:qFormat/>
    <w:uiPriority w:val="99"/>
    <w:rPr>
      <w:kern w:val="2"/>
      <w:sz w:val="24"/>
    </w:rPr>
  </w:style>
  <w:style w:type="character" w:customStyle="1" w:styleId="176">
    <w:name w:val="尾注文本 Char"/>
    <w:basedOn w:val="60"/>
    <w:link w:val="37"/>
    <w:qFormat/>
    <w:locked/>
    <w:uiPriority w:val="99"/>
    <w:rPr>
      <w:rFonts w:cs="Times New Roman"/>
    </w:rPr>
  </w:style>
  <w:style w:type="character" w:customStyle="1" w:styleId="177">
    <w:name w:val="font01"/>
    <w:basedOn w:val="60"/>
    <w:qFormat/>
    <w:uiPriority w:val="99"/>
    <w:rPr>
      <w:rFonts w:ascii="宋体" w:hAnsi="宋体" w:eastAsia="宋体" w:cs="宋体"/>
      <w:color w:val="000000"/>
      <w:sz w:val="24"/>
      <w:szCs w:val="24"/>
      <w:u w:val="none"/>
      <w:vertAlign w:val="superscript"/>
    </w:rPr>
  </w:style>
  <w:style w:type="character" w:customStyle="1" w:styleId="178">
    <w:name w:val="font61"/>
    <w:qFormat/>
    <w:uiPriority w:val="0"/>
    <w:rPr>
      <w:rFonts w:ascii="宋体" w:hAnsi="宋体" w:eastAsia="宋体"/>
      <w:b/>
      <w:color w:val="000000"/>
      <w:sz w:val="20"/>
      <w:u w:val="none"/>
    </w:rPr>
  </w:style>
  <w:style w:type="character" w:customStyle="1" w:styleId="179">
    <w:name w:val="正文缩进2格 Char"/>
    <w:link w:val="180"/>
    <w:qFormat/>
    <w:locked/>
    <w:uiPriority w:val="99"/>
    <w:rPr>
      <w:rFonts w:ascii="仿宋_GB2312" w:hAnsi="宋体" w:eastAsia="仿宋_GB2312"/>
      <w:kern w:val="2"/>
      <w:sz w:val="31"/>
    </w:rPr>
  </w:style>
  <w:style w:type="paragraph" w:customStyle="1" w:styleId="180">
    <w:name w:val="正文缩进2格"/>
    <w:basedOn w:val="1"/>
    <w:link w:val="179"/>
    <w:qFormat/>
    <w:uiPriority w:val="99"/>
    <w:pPr>
      <w:spacing w:line="600" w:lineRule="exact"/>
      <w:ind w:firstLine="639" w:firstLineChars="206"/>
    </w:pPr>
    <w:rPr>
      <w:rFonts w:ascii="仿宋_GB2312" w:hAnsi="宋体" w:eastAsia="仿宋_GB2312"/>
      <w:sz w:val="31"/>
      <w:szCs w:val="20"/>
    </w:rPr>
  </w:style>
  <w:style w:type="character" w:customStyle="1" w:styleId="181">
    <w:name w:val="word21"/>
    <w:qFormat/>
    <w:uiPriority w:val="99"/>
    <w:rPr>
      <w:b/>
      <w:color w:val="194D7C"/>
      <w:spacing w:val="400"/>
      <w:sz w:val="24"/>
    </w:rPr>
  </w:style>
  <w:style w:type="character" w:customStyle="1" w:styleId="182">
    <w:name w:val="content021"/>
    <w:qFormat/>
    <w:uiPriority w:val="99"/>
    <w:rPr>
      <w:color w:val="444444"/>
      <w:spacing w:val="330"/>
      <w:sz w:val="21"/>
      <w:u w:val="none"/>
    </w:rPr>
  </w:style>
  <w:style w:type="character" w:customStyle="1" w:styleId="183">
    <w:name w:val="Char Char5"/>
    <w:qFormat/>
    <w:uiPriority w:val="99"/>
    <w:rPr>
      <w:rFonts w:ascii="Times New Roman" w:hAnsi="Times New Roman" w:eastAsia="宋体"/>
      <w:sz w:val="18"/>
    </w:rPr>
  </w:style>
  <w:style w:type="character" w:customStyle="1" w:styleId="184">
    <w:name w:val="正文首行缩进 Char"/>
    <w:qFormat/>
    <w:uiPriority w:val="99"/>
    <w:rPr>
      <w:rFonts w:ascii="宋体"/>
      <w:color w:val="000000"/>
      <w:kern w:val="2"/>
      <w:sz w:val="32"/>
    </w:rPr>
  </w:style>
  <w:style w:type="character" w:customStyle="1" w:styleId="185">
    <w:name w:val="hei12"/>
    <w:basedOn w:val="60"/>
    <w:qFormat/>
    <w:uiPriority w:val="99"/>
    <w:rPr>
      <w:rFonts w:cs="Times New Roman"/>
    </w:rPr>
  </w:style>
  <w:style w:type="character" w:customStyle="1" w:styleId="186">
    <w:name w:val="ca-121"/>
    <w:qFormat/>
    <w:uiPriority w:val="0"/>
    <w:rPr>
      <w:rFonts w:ascii="宋体" w:hAnsi="宋体" w:eastAsia="宋体"/>
      <w:sz w:val="21"/>
    </w:rPr>
  </w:style>
  <w:style w:type="character" w:customStyle="1" w:styleId="187">
    <w:name w:val="font31"/>
    <w:qFormat/>
    <w:uiPriority w:val="99"/>
    <w:rPr>
      <w:rFonts w:ascii="宋体" w:hAnsi="宋体" w:eastAsia="宋体"/>
      <w:color w:val="000000"/>
      <w:sz w:val="18"/>
      <w:u w:val="none"/>
    </w:rPr>
  </w:style>
  <w:style w:type="character" w:customStyle="1" w:styleId="188">
    <w:name w:val="z21"/>
    <w:qFormat/>
    <w:uiPriority w:val="99"/>
    <w:rPr>
      <w:color w:val="000000"/>
      <w:spacing w:val="255"/>
      <w:sz w:val="18"/>
    </w:rPr>
  </w:style>
  <w:style w:type="character" w:customStyle="1" w:styleId="189">
    <w:name w:val="标题 Char"/>
    <w:qFormat/>
    <w:uiPriority w:val="99"/>
    <w:rPr>
      <w:rFonts w:ascii="Arial" w:hAnsi="Arial"/>
      <w:b/>
      <w:sz w:val="32"/>
    </w:rPr>
  </w:style>
  <w:style w:type="character" w:customStyle="1" w:styleId="190">
    <w:name w:val="样式 目录 2 + 宋体 Char"/>
    <w:link w:val="191"/>
    <w:qFormat/>
    <w:locked/>
    <w:uiPriority w:val="99"/>
    <w:rPr>
      <w:rFonts w:ascii="宋体" w:eastAsia="宋体"/>
      <w:sz w:val="28"/>
    </w:rPr>
  </w:style>
  <w:style w:type="paragraph" w:customStyle="1" w:styleId="191">
    <w:name w:val="样式 目录 2 + 宋体"/>
    <w:basedOn w:val="27"/>
    <w:next w:val="27"/>
    <w:link w:val="190"/>
    <w:qFormat/>
    <w:uiPriority w:val="99"/>
    <w:pPr>
      <w:widowControl w:val="0"/>
      <w:spacing w:after="120"/>
      <w:jc w:val="both"/>
    </w:pPr>
    <w:rPr>
      <w:rFonts w:ascii="宋体" w:hAnsi="宋体"/>
      <w:sz w:val="28"/>
    </w:rPr>
  </w:style>
  <w:style w:type="character" w:customStyle="1" w:styleId="192">
    <w:name w:val="abcde1"/>
    <w:qFormat/>
    <w:uiPriority w:val="99"/>
    <w:rPr>
      <w:spacing w:val="400"/>
      <w:sz w:val="26"/>
    </w:rPr>
  </w:style>
  <w:style w:type="paragraph" w:customStyle="1" w:styleId="193">
    <w:name w:val="Char1"/>
    <w:basedOn w:val="1"/>
    <w:qFormat/>
    <w:uiPriority w:val="99"/>
    <w:rPr>
      <w:rFonts w:ascii="Tahoma" w:hAnsi="Tahoma"/>
      <w:sz w:val="24"/>
      <w:szCs w:val="20"/>
    </w:rPr>
  </w:style>
  <w:style w:type="paragraph" w:customStyle="1" w:styleId="194">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95">
    <w:name w:val="Char Char1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96">
    <w:name w:val="正文 New New"/>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97">
    <w:name w:val="样式3"/>
    <w:qFormat/>
    <w:uiPriority w:val="99"/>
    <w:pPr>
      <w:spacing w:line="300" w:lineRule="auto"/>
    </w:pPr>
    <w:rPr>
      <w:rFonts w:ascii="Times New Roman" w:hAnsi="Times New Roman" w:eastAsia="宋体" w:cs="Times New Roman"/>
      <w:lang w:val="en-US" w:eastAsia="zh-CN" w:bidi="ar-SA"/>
    </w:rPr>
  </w:style>
  <w:style w:type="paragraph" w:customStyle="1" w:styleId="198">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199">
    <w:name w:val="表项"/>
    <w:next w:val="200"/>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00">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01">
    <w:name w:val="xl43"/>
    <w:basedOn w:val="1"/>
    <w:qFormat/>
    <w:uiPriority w:val="99"/>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02">
    <w:name w:val="Block"/>
    <w:basedOn w:val="1"/>
    <w:next w:val="169"/>
    <w:qFormat/>
    <w:uiPriority w:val="99"/>
    <w:pPr>
      <w:tabs>
        <w:tab w:val="left" w:pos="0"/>
      </w:tabs>
    </w:pPr>
    <w:rPr>
      <w:rFonts w:ascii="Arial" w:hAnsi="Arial" w:eastAsia="楷体_GB2312"/>
      <w:color w:val="000080"/>
      <w:sz w:val="28"/>
      <w:szCs w:val="28"/>
    </w:rPr>
  </w:style>
  <w:style w:type="paragraph" w:customStyle="1" w:styleId="203">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4">
    <w:name w:val="样式 标题 5 + 段前: 0.5 行 段后: 0.5 行"/>
    <w:basedOn w:val="8"/>
    <w:qFormat/>
    <w:uiPriority w:val="99"/>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205">
    <w:name w:val="样式5"/>
    <w:basedOn w:val="165"/>
    <w:qFormat/>
    <w:uiPriority w:val="99"/>
    <w:pPr>
      <w:snapToGrid w:val="0"/>
      <w:spacing w:line="360" w:lineRule="auto"/>
      <w:ind w:firstLine="456" w:firstLineChars="200"/>
      <w:jc w:val="left"/>
    </w:pPr>
    <w:rPr>
      <w:rFonts w:ascii="楷体_GB2312" w:hAnsi="楷体_GB2312" w:eastAsia="楷体_GB2312" w:cs="宋体"/>
      <w:b/>
      <w:spacing w:val="-6"/>
    </w:rPr>
  </w:style>
  <w:style w:type="paragraph" w:customStyle="1" w:styleId="206">
    <w:name w:val="样式 标题 3H3h3h31第二层条3Bold Headbh章标题1小标题level_3PIM 3Lev...2"/>
    <w:basedOn w:val="6"/>
    <w:qFormat/>
    <w:uiPriority w:val="99"/>
    <w:pPr>
      <w:tabs>
        <w:tab w:val="left" w:pos="1740"/>
      </w:tabs>
      <w:spacing w:beforeLines="50" w:afterLines="50" w:line="540" w:lineRule="auto"/>
      <w:ind w:left="1740" w:hanging="420"/>
    </w:pPr>
    <w:rPr>
      <w:rFonts w:ascii="宋体" w:hAnsi="宋体" w:eastAsia="黑体" w:cs="宋体"/>
      <w:b w:val="0"/>
      <w:szCs w:val="20"/>
    </w:rPr>
  </w:style>
  <w:style w:type="paragraph" w:customStyle="1" w:styleId="207">
    <w:name w:val="_Style 56"/>
    <w:basedOn w:val="1"/>
    <w:qFormat/>
    <w:uiPriority w:val="99"/>
    <w:pPr>
      <w:ind w:firstLine="420" w:firstLineChars="200"/>
    </w:pPr>
    <w:rPr>
      <w:rFonts w:ascii="Calibri" w:hAnsi="Calibri"/>
      <w:szCs w:val="22"/>
    </w:rPr>
  </w:style>
  <w:style w:type="paragraph" w:customStyle="1" w:styleId="208">
    <w:name w:val="列出段落2"/>
    <w:basedOn w:val="1"/>
    <w:qFormat/>
    <w:uiPriority w:val="99"/>
    <w:pPr>
      <w:ind w:firstLine="420" w:firstLineChars="200"/>
    </w:pPr>
  </w:style>
  <w:style w:type="paragraph" w:customStyle="1" w:styleId="209">
    <w:name w:val="样式 样式 标题 3H3h3h31Heading 3 - old3Heading 3 hidden2hh32Sect... + ..."/>
    <w:basedOn w:val="1"/>
    <w:qFormat/>
    <w:uiPriority w:val="99"/>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210">
    <w:name w:val="xl51"/>
    <w:basedOn w:val="1"/>
    <w:qFormat/>
    <w:uiPriority w:val="99"/>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11">
    <w:name w:val="CM2"/>
    <w:basedOn w:val="126"/>
    <w:next w:val="126"/>
    <w:qFormat/>
    <w:uiPriority w:val="99"/>
    <w:pPr>
      <w:spacing w:line="623" w:lineRule="atLeast"/>
    </w:pPr>
    <w:rPr>
      <w:rFonts w:ascii=".a..DD.." w:hAnsi="Times New Roman" w:eastAsia=".a..DD.." w:cs="Times New Roman"/>
      <w:color w:val="auto"/>
    </w:rPr>
  </w:style>
  <w:style w:type="paragraph" w:customStyle="1" w:styleId="212">
    <w:name w:val="Char1 Char Char Char"/>
    <w:basedOn w:val="1"/>
    <w:qFormat/>
    <w:uiPriority w:val="99"/>
    <w:rPr>
      <w:rFonts w:ascii="Tahoma" w:hAnsi="Tahoma"/>
      <w:sz w:val="24"/>
      <w:szCs w:val="20"/>
    </w:rPr>
  </w:style>
  <w:style w:type="paragraph" w:customStyle="1" w:styleId="213">
    <w:name w:val="zw_12_25"/>
    <w:basedOn w:val="1"/>
    <w:qFormat/>
    <w:uiPriority w:val="99"/>
    <w:pPr>
      <w:widowControl/>
      <w:spacing w:before="100" w:beforeAutospacing="1" w:after="100" w:afterAutospacing="1" w:line="300" w:lineRule="atLeast"/>
      <w:jc w:val="left"/>
    </w:pPr>
    <w:rPr>
      <w:color w:val="333399"/>
      <w:kern w:val="0"/>
      <w:sz w:val="23"/>
      <w:szCs w:val="23"/>
    </w:rPr>
  </w:style>
  <w:style w:type="paragraph" w:customStyle="1" w:styleId="214">
    <w:name w:val="样式 标题 4 + 段前: 0.5 行 段后: 0.5 行 行距: 多倍行距 1.57 字行"/>
    <w:basedOn w:val="7"/>
    <w:qFormat/>
    <w:uiPriority w:val="99"/>
    <w:pPr>
      <w:tabs>
        <w:tab w:val="left" w:pos="2160"/>
      </w:tabs>
      <w:spacing w:beforeLines="50" w:afterLines="50"/>
      <w:ind w:left="2160" w:hanging="420"/>
    </w:pPr>
    <w:rPr>
      <w:rFonts w:cs="宋体"/>
      <w:b w:val="0"/>
      <w:sz w:val="30"/>
      <w:szCs w:val="30"/>
    </w:rPr>
  </w:style>
  <w:style w:type="paragraph" w:customStyle="1" w:styleId="215">
    <w:name w:val="xl10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正文缩进2"/>
    <w:basedOn w:val="1"/>
    <w:qFormat/>
    <w:uiPriority w:val="99"/>
    <w:pPr>
      <w:spacing w:line="360" w:lineRule="auto"/>
      <w:ind w:firstLine="200" w:firstLineChars="200"/>
    </w:pPr>
  </w:style>
  <w:style w:type="paragraph" w:customStyle="1" w:styleId="217">
    <w:name w:val="打印正文1"/>
    <w:basedOn w:val="1"/>
    <w:qFormat/>
    <w:uiPriority w:val="99"/>
    <w:pPr>
      <w:tabs>
        <w:tab w:val="left" w:pos="705"/>
        <w:tab w:val="left" w:pos="1440"/>
      </w:tabs>
      <w:spacing w:line="480" w:lineRule="atLeast"/>
      <w:ind w:left="1440" w:hanging="360"/>
    </w:pPr>
    <w:rPr>
      <w:rFonts w:ascii="宋体" w:hAnsi="宋体"/>
      <w:bCs/>
      <w:spacing w:val="10"/>
      <w:kern w:val="28"/>
      <w:szCs w:val="21"/>
    </w:rPr>
  </w:style>
  <w:style w:type="paragraph" w:customStyle="1" w:styleId="218">
    <w:name w:val="表身（中）"/>
    <w:basedOn w:val="200"/>
    <w:qFormat/>
    <w:uiPriority w:val="99"/>
    <w:pPr>
      <w:jc w:val="center"/>
    </w:pPr>
  </w:style>
  <w:style w:type="paragraph" w:customStyle="1" w:styleId="219">
    <w:name w:val="项目编号1级"/>
    <w:basedOn w:val="216"/>
    <w:qFormat/>
    <w:uiPriority w:val="99"/>
    <w:pPr>
      <w:tabs>
        <w:tab w:val="left" w:pos="840"/>
      </w:tabs>
      <w:ind w:left="840" w:hanging="420" w:firstLineChars="0"/>
    </w:pPr>
  </w:style>
  <w:style w:type="paragraph" w:customStyle="1" w:styleId="220">
    <w:name w:val="一级无"/>
    <w:basedOn w:val="221"/>
    <w:qFormat/>
    <w:uiPriority w:val="99"/>
    <w:pPr>
      <w:spacing w:beforeLines="0" w:afterLines="0"/>
    </w:pPr>
    <w:rPr>
      <w:rFonts w:ascii="宋体" w:eastAsia="宋体"/>
    </w:rPr>
  </w:style>
  <w:style w:type="paragraph" w:customStyle="1" w:styleId="221">
    <w:name w:val="一级条标题"/>
    <w:next w:val="1"/>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222">
    <w:name w:val="fou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3">
    <w:name w:val="text_12_black"/>
    <w:basedOn w:val="1"/>
    <w:qFormat/>
    <w:uiPriority w:val="99"/>
    <w:pPr>
      <w:widowControl/>
      <w:spacing w:before="100" w:beforeAutospacing="1" w:after="100" w:afterAutospacing="1" w:line="300" w:lineRule="atLeast"/>
      <w:jc w:val="left"/>
    </w:pPr>
    <w:rPr>
      <w:rFonts w:ascii="??" w:hAnsi="??" w:cs="宋体"/>
      <w:color w:val="333333"/>
      <w:kern w:val="0"/>
      <w:sz w:val="18"/>
      <w:szCs w:val="18"/>
    </w:rPr>
  </w:style>
  <w:style w:type="paragraph" w:customStyle="1" w:styleId="224">
    <w:name w:val="正"/>
    <w:basedOn w:val="1"/>
    <w:qFormat/>
    <w:uiPriority w:val="99"/>
    <w:pPr>
      <w:ind w:firstLine="525"/>
    </w:pPr>
    <w:rPr>
      <w:spacing w:val="20"/>
      <w:szCs w:val="20"/>
    </w:rPr>
  </w:style>
  <w:style w:type="paragraph" w:customStyle="1" w:styleId="225">
    <w:name w:val="公司名称"/>
    <w:basedOn w:val="1"/>
    <w:qFormat/>
    <w:uiPriority w:val="99"/>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226">
    <w:name w:val="样式11"/>
    <w:basedOn w:val="1"/>
    <w:qFormat/>
    <w:uiPriority w:val="99"/>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227">
    <w:name w:val="不缩进"/>
    <w:basedOn w:val="1"/>
    <w:qFormat/>
    <w:uiPriority w:val="99"/>
    <w:pPr>
      <w:spacing w:line="360" w:lineRule="auto"/>
      <w:jc w:val="center"/>
    </w:pPr>
    <w:rPr>
      <w:b/>
      <w:bCs/>
      <w:sz w:val="28"/>
      <w:szCs w:val="21"/>
    </w:rPr>
  </w:style>
  <w:style w:type="paragraph" w:customStyle="1" w:styleId="228">
    <w:name w:val="font6"/>
    <w:basedOn w:val="1"/>
    <w:qFormat/>
    <w:uiPriority w:val="99"/>
    <w:pPr>
      <w:widowControl/>
      <w:spacing w:before="100" w:beforeAutospacing="1" w:after="100" w:afterAutospacing="1"/>
      <w:jc w:val="left"/>
    </w:pPr>
    <w:rPr>
      <w:rFonts w:eastAsia="Arial Unicode MS"/>
      <w:kern w:val="0"/>
      <w:sz w:val="24"/>
    </w:rPr>
  </w:style>
  <w:style w:type="paragraph" w:customStyle="1" w:styleId="229">
    <w:name w:val="小标"/>
    <w:basedOn w:val="1"/>
    <w:qFormat/>
    <w:uiPriority w:val="99"/>
    <w:rPr>
      <w:rFonts w:ascii="黑体" w:eastAsia="黑体"/>
      <w:spacing w:val="20"/>
      <w:szCs w:val="20"/>
    </w:rPr>
  </w:style>
  <w:style w:type="paragraph" w:customStyle="1" w:styleId="230">
    <w:name w:val="xl1062"/>
    <w:basedOn w:val="1"/>
    <w:qFormat/>
    <w:uiPriority w:val="99"/>
    <w:pPr>
      <w:widowControl/>
      <w:spacing w:before="100" w:beforeAutospacing="1" w:after="100" w:afterAutospacing="1"/>
      <w:jc w:val="center"/>
    </w:pPr>
    <w:rPr>
      <w:rFonts w:ascii="宋体" w:hAnsi="宋体" w:cs="宋体"/>
      <w:b/>
      <w:bCs/>
      <w:kern w:val="0"/>
      <w:sz w:val="32"/>
      <w:szCs w:val="32"/>
    </w:rPr>
  </w:style>
  <w:style w:type="paragraph" w:customStyle="1" w:styleId="231">
    <w:name w:val="正文悬挂缩进4"/>
    <w:basedOn w:val="1"/>
    <w:qFormat/>
    <w:uiPriority w:val="99"/>
    <w:pPr>
      <w:spacing w:line="360" w:lineRule="auto"/>
      <w:ind w:left="839"/>
    </w:pPr>
  </w:style>
  <w:style w:type="paragraph" w:customStyle="1" w:styleId="232">
    <w:name w:val="xl10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33">
    <w:name w:val="警告"/>
    <w:basedOn w:val="1"/>
    <w:next w:val="169"/>
    <w:qFormat/>
    <w:uiPriority w:val="99"/>
    <w:pPr>
      <w:shd w:val="clear" w:color="auto" w:fill="FFD1D1"/>
      <w:tabs>
        <w:tab w:val="left" w:pos="360"/>
        <w:tab w:val="left" w:pos="1800"/>
      </w:tabs>
      <w:spacing w:beforeLines="100" w:afterLines="100"/>
      <w:ind w:left="425" w:hanging="425" w:firstLineChars="200"/>
      <w:jc w:val="left"/>
    </w:pPr>
    <w:rPr>
      <w:rFonts w:ascii="Tahoma" w:hAnsi="Tahoma" w:eastAsia="楷体_GB2312"/>
      <w:color w:val="000000"/>
      <w:sz w:val="28"/>
      <w:szCs w:val="21"/>
    </w:rPr>
  </w:style>
  <w:style w:type="paragraph" w:customStyle="1" w:styleId="234">
    <w:name w:val="样式 标题 1 + 非加粗 段前: 0.5 行 段后: 0.5 行"/>
    <w:basedOn w:val="3"/>
    <w:qFormat/>
    <w:uiPriority w:val="99"/>
    <w:pPr>
      <w:pageBreakBefore/>
      <w:widowControl w:val="0"/>
      <w:tabs>
        <w:tab w:val="left" w:pos="840"/>
      </w:tabs>
      <w:spacing w:beforeLines="50" w:afterLines="50" w:line="480" w:lineRule="auto"/>
      <w:ind w:left="840" w:hanging="360"/>
    </w:pPr>
    <w:rPr>
      <w:rFonts w:eastAsia="黑体" w:cs="宋体"/>
      <w:b w:val="0"/>
      <w:bCs w:val="0"/>
      <w:szCs w:val="20"/>
    </w:rPr>
  </w:style>
  <w:style w:type="paragraph" w:customStyle="1" w:styleId="235">
    <w:name w:val="xl106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36">
    <w:name w:val="样式 标题 1章节标题b1 + 段前: 6 磅"/>
    <w:basedOn w:val="3"/>
    <w:qFormat/>
    <w:uiPriority w:val="99"/>
    <w:pPr>
      <w:widowControl w:val="0"/>
      <w:tabs>
        <w:tab w:val="left" w:pos="1320"/>
        <w:tab w:val="left" w:pos="1740"/>
      </w:tabs>
      <w:spacing w:before="0" w:after="0" w:line="360" w:lineRule="auto"/>
      <w:jc w:val="both"/>
    </w:pPr>
    <w:rPr>
      <w:rFonts w:ascii="宋体" w:hAnsi="宋体" w:cs="宋体"/>
      <w:color w:val="000000"/>
      <w:kern w:val="2"/>
      <w:sz w:val="28"/>
      <w:szCs w:val="21"/>
    </w:rPr>
  </w:style>
  <w:style w:type="paragraph" w:customStyle="1" w:styleId="237">
    <w:name w:val="xl65"/>
    <w:basedOn w:val="1"/>
    <w:qFormat/>
    <w:uiPriority w:val="99"/>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23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样式 标题 + 段前: 0.5 行 段后: 0.5 行"/>
    <w:basedOn w:val="53"/>
    <w:qFormat/>
    <w:uiPriority w:val="99"/>
  </w:style>
  <w:style w:type="paragraph" w:customStyle="1" w:styleId="240">
    <w:name w:val="数字编号列项（二级）"/>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241">
    <w:name w:val="xl8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42">
    <w:name w:val="xl10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43">
    <w:name w:val="表格标题1"/>
    <w:basedOn w:val="244"/>
    <w:qFormat/>
    <w:uiPriority w:val="99"/>
    <w:pPr>
      <w:tabs>
        <w:tab w:val="left" w:pos="1620"/>
      </w:tabs>
      <w:ind w:left="1620" w:leftChars="600" w:hanging="360" w:hangingChars="200"/>
      <w:jc w:val="both"/>
      <w:textAlignment w:val="bottom"/>
    </w:pPr>
    <w:rPr>
      <w:rFonts w:ascii="Times New Roman"/>
      <w:sz w:val="21"/>
      <w:szCs w:val="21"/>
    </w:rPr>
  </w:style>
  <w:style w:type="paragraph" w:customStyle="1" w:styleId="244">
    <w:name w:val="表格"/>
    <w:basedOn w:val="1"/>
    <w:qFormat/>
    <w:uiPriority w:val="99"/>
    <w:pPr>
      <w:adjustRightInd w:val="0"/>
      <w:spacing w:before="60" w:after="60"/>
      <w:jc w:val="center"/>
      <w:textAlignment w:val="baseline"/>
    </w:pPr>
    <w:rPr>
      <w:rFonts w:ascii="宋体"/>
      <w:kern w:val="0"/>
      <w:sz w:val="24"/>
      <w:szCs w:val="20"/>
    </w:rPr>
  </w:style>
  <w:style w:type="paragraph" w:customStyle="1" w:styleId="245">
    <w:name w:val="xl100"/>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6">
    <w:name w:val="xl2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7">
    <w:name w:val="样式2"/>
    <w:basedOn w:val="1"/>
    <w:qFormat/>
    <w:uiPriority w:val="99"/>
    <w:pPr>
      <w:tabs>
        <w:tab w:val="left" w:pos="360"/>
      </w:tabs>
      <w:spacing w:line="360" w:lineRule="auto"/>
      <w:ind w:firstLine="174" w:firstLineChars="174"/>
      <w:jc w:val="left"/>
    </w:pPr>
    <w:rPr>
      <w:rFonts w:eastAsia="楷体_GB2312"/>
      <w:sz w:val="24"/>
      <w:szCs w:val="28"/>
    </w:rPr>
  </w:style>
  <w:style w:type="paragraph" w:customStyle="1" w:styleId="248">
    <w:name w:val="xl94"/>
    <w:basedOn w:val="1"/>
    <w:qFormat/>
    <w:uiPriority w:val="99"/>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样式 标题 2 + 段前: 0.5 行 段后: 0.5 行"/>
    <w:basedOn w:val="4"/>
    <w:qFormat/>
    <w:uiPriority w:val="99"/>
    <w:pPr>
      <w:tabs>
        <w:tab w:val="left" w:pos="1320"/>
      </w:tabs>
      <w:spacing w:beforeLines="50" w:afterLines="50" w:line="360" w:lineRule="auto"/>
      <w:jc w:val="left"/>
    </w:pPr>
    <w:rPr>
      <w:rFonts w:cs="宋体"/>
      <w:b w:val="0"/>
      <w:szCs w:val="20"/>
    </w:rPr>
  </w:style>
  <w:style w:type="paragraph" w:customStyle="1" w:styleId="250">
    <w:name w:val="正文1"/>
    <w:basedOn w:val="1"/>
    <w:qFormat/>
    <w:uiPriority w:val="99"/>
    <w:pPr>
      <w:spacing w:line="360" w:lineRule="auto"/>
      <w:ind w:firstLine="200" w:firstLineChars="200"/>
    </w:pPr>
  </w:style>
  <w:style w:type="paragraph" w:customStyle="1" w:styleId="251">
    <w:name w:val="xl41"/>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2">
    <w:name w:val="xl50"/>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3">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254">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5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6">
    <w:name w:val="xl39"/>
    <w:basedOn w:val="1"/>
    <w:qFormat/>
    <w:uiPriority w:val="99"/>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57">
    <w:name w:val="样式 标题 6 + 段前: 0.5 行 段后: 0.5 行"/>
    <w:basedOn w:val="9"/>
    <w:qFormat/>
    <w:uiPriority w:val="99"/>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258">
    <w:name w:val="xl9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标准"/>
    <w:basedOn w:val="1"/>
    <w:qFormat/>
    <w:uiPriority w:val="99"/>
    <w:pPr>
      <w:autoSpaceDE w:val="0"/>
      <w:autoSpaceDN w:val="0"/>
      <w:adjustRightInd w:val="0"/>
      <w:ind w:firstLine="600"/>
      <w:textAlignment w:val="baseline"/>
    </w:pPr>
    <w:rPr>
      <w:kern w:val="0"/>
      <w:sz w:val="28"/>
      <w:szCs w:val="20"/>
    </w:rPr>
  </w:style>
  <w:style w:type="paragraph" w:customStyle="1" w:styleId="260">
    <w:name w:val="项目编号2级"/>
    <w:basedOn w:val="219"/>
    <w:qFormat/>
    <w:uiPriority w:val="99"/>
  </w:style>
  <w:style w:type="paragraph" w:customStyle="1" w:styleId="261">
    <w:name w:val="标题3"/>
    <w:basedOn w:val="1"/>
    <w:qFormat/>
    <w:uiPriority w:val="99"/>
    <w:pPr>
      <w:spacing w:beforeLines="50" w:afterLines="50" w:line="300" w:lineRule="exact"/>
    </w:pPr>
    <w:rPr>
      <w:b/>
      <w:bCs/>
    </w:rPr>
  </w:style>
  <w:style w:type="paragraph" w:customStyle="1" w:styleId="262">
    <w:name w:val="xl11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3">
    <w:name w:val="书目1"/>
    <w:basedOn w:val="1"/>
    <w:next w:val="1"/>
    <w:qFormat/>
    <w:uiPriority w:val="99"/>
    <w:pPr>
      <w:spacing w:line="360" w:lineRule="auto"/>
      <w:ind w:firstLine="200" w:firstLineChars="200"/>
      <w:jc w:val="left"/>
    </w:pPr>
    <w:rPr>
      <w:sz w:val="24"/>
    </w:rPr>
  </w:style>
  <w:style w:type="paragraph" w:customStyle="1" w:styleId="264">
    <w:name w:val="正文居中小5"/>
    <w:basedOn w:val="1"/>
    <w:qFormat/>
    <w:uiPriority w:val="99"/>
    <w:pPr>
      <w:spacing w:line="360" w:lineRule="auto"/>
      <w:jc w:val="center"/>
    </w:pPr>
    <w:rPr>
      <w:rFonts w:ascii="Arial" w:hAnsi="Arial"/>
      <w:sz w:val="18"/>
    </w:rPr>
  </w:style>
  <w:style w:type="paragraph" w:customStyle="1" w:styleId="265">
    <w:name w:val="样式 样式 标题 + 段前: 0.5 行 段后: 0.5 行 + 段前: 0.5 行 段后: 0.5 行"/>
    <w:basedOn w:val="239"/>
    <w:qFormat/>
    <w:uiPriority w:val="99"/>
    <w:pPr>
      <w:spacing w:beforeLines="50" w:afterLines="50" w:line="360" w:lineRule="auto"/>
    </w:pPr>
    <w:rPr>
      <w:rFonts w:eastAsia="黑体" w:cs="宋体"/>
      <w:sz w:val="72"/>
      <w:szCs w:val="20"/>
      <w:u w:val="double"/>
    </w:rPr>
  </w:style>
  <w:style w:type="paragraph" w:customStyle="1" w:styleId="266">
    <w:name w:val="Char111"/>
    <w:basedOn w:val="1"/>
    <w:qFormat/>
    <w:uiPriority w:val="99"/>
  </w:style>
  <w:style w:type="paragraph" w:customStyle="1" w:styleId="267">
    <w:name w:val="xl10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8">
    <w:name w:val="xl97"/>
    <w:basedOn w:val="1"/>
    <w:qFormat/>
    <w:uiPriority w:val="99"/>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269">
    <w:name w:val="Figure Description"/>
    <w:basedOn w:val="1"/>
    <w:next w:val="169"/>
    <w:qFormat/>
    <w:uiPriority w:val="99"/>
    <w:pPr>
      <w:keepNext/>
      <w:keepLines/>
      <w:spacing w:afterLines="100" w:line="360" w:lineRule="auto"/>
      <w:jc w:val="center"/>
    </w:pPr>
    <w:rPr>
      <w:rFonts w:ascii="Tahoma" w:hAnsi="Tahoma"/>
      <w:sz w:val="24"/>
    </w:rPr>
  </w:style>
  <w:style w:type="paragraph" w:customStyle="1" w:styleId="270">
    <w:name w:val="lgh排序1"/>
    <w:basedOn w:val="33"/>
    <w:qFormat/>
    <w:uiPriority w:val="99"/>
    <w:pPr>
      <w:tabs>
        <w:tab w:val="left" w:pos="360"/>
      </w:tabs>
      <w:spacing w:line="360" w:lineRule="auto"/>
      <w:ind w:firstLine="480" w:firstLineChars="200"/>
    </w:pPr>
    <w:rPr>
      <w:rFonts w:hAnsi="宋体"/>
      <w:sz w:val="24"/>
    </w:rPr>
  </w:style>
  <w:style w:type="paragraph" w:customStyle="1" w:styleId="271">
    <w:name w:val="Char21"/>
    <w:basedOn w:val="1"/>
    <w:qFormat/>
    <w:uiPriority w:val="99"/>
  </w:style>
  <w:style w:type="paragraph" w:customStyle="1" w:styleId="272">
    <w:name w:val="xl10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73">
    <w:name w:val="biaoti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4">
    <w:name w:val="xl7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5">
    <w:name w:val="text_12_subject"/>
    <w:basedOn w:val="1"/>
    <w:qFormat/>
    <w:uiPriority w:val="99"/>
    <w:pPr>
      <w:widowControl/>
      <w:spacing w:before="100" w:beforeAutospacing="1" w:after="100" w:afterAutospacing="1"/>
      <w:jc w:val="left"/>
    </w:pPr>
    <w:rPr>
      <w:rFonts w:ascii="??" w:hAnsi="??" w:cs="宋体"/>
      <w:b/>
      <w:bCs/>
      <w:color w:val="006699"/>
      <w:kern w:val="0"/>
      <w:sz w:val="18"/>
      <w:szCs w:val="18"/>
    </w:rPr>
  </w:style>
  <w:style w:type="paragraph" w:customStyle="1" w:styleId="276">
    <w:name w:val="xl8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7">
    <w:name w:val="style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8">
    <w:name w:val="正文居中"/>
    <w:basedOn w:val="1"/>
    <w:next w:val="36"/>
    <w:qFormat/>
    <w:uiPriority w:val="99"/>
    <w:pPr>
      <w:adjustRightInd w:val="0"/>
      <w:snapToGrid w:val="0"/>
      <w:ind w:firstLine="480" w:firstLineChars="200"/>
    </w:pPr>
    <w:rPr>
      <w:rFonts w:ascii="宋体" w:hAnsi="宋体"/>
      <w:sz w:val="24"/>
    </w:rPr>
  </w:style>
  <w:style w:type="paragraph" w:customStyle="1" w:styleId="279">
    <w:name w:val="表格正文2"/>
    <w:basedOn w:val="1"/>
    <w:qFormat/>
    <w:uiPriority w:val="99"/>
    <w:pPr>
      <w:adjustRightInd w:val="0"/>
      <w:snapToGrid w:val="0"/>
      <w:spacing w:line="400" w:lineRule="atLeast"/>
      <w:jc w:val="left"/>
    </w:pPr>
    <w:rPr>
      <w:sz w:val="24"/>
      <w:szCs w:val="20"/>
    </w:rPr>
  </w:style>
  <w:style w:type="paragraph" w:customStyle="1" w:styleId="280">
    <w:name w:val="复选框1"/>
    <w:basedOn w:val="1"/>
    <w:qFormat/>
    <w:uiPriority w:val="99"/>
    <w:pPr>
      <w:widowControl/>
      <w:spacing w:before="360" w:after="360"/>
      <w:jc w:val="left"/>
    </w:pPr>
    <w:rPr>
      <w:kern w:val="0"/>
      <w:sz w:val="20"/>
      <w:szCs w:val="20"/>
    </w:rPr>
  </w:style>
  <w:style w:type="paragraph" w:customStyle="1" w:styleId="281">
    <w:name w:val="xl1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xl47"/>
    <w:basedOn w:val="1"/>
    <w:qFormat/>
    <w:uiPriority w:val="99"/>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283">
    <w:name w:val="样式4"/>
    <w:basedOn w:val="1"/>
    <w:qFormat/>
    <w:uiPriority w:val="99"/>
    <w:pPr>
      <w:tabs>
        <w:tab w:val="left" w:pos="420"/>
      </w:tabs>
      <w:spacing w:line="440" w:lineRule="exact"/>
      <w:ind w:left="420" w:hanging="420"/>
      <w:jc w:val="left"/>
    </w:pPr>
    <w:rPr>
      <w:rFonts w:eastAsia="楷体_GB2312"/>
      <w:b/>
      <w:sz w:val="24"/>
    </w:rPr>
  </w:style>
  <w:style w:type="paragraph" w:customStyle="1" w:styleId="284">
    <w:name w:val="样式 标题 1 + 段前: 0.5 行 段后: 0.5 行"/>
    <w:basedOn w:val="3"/>
    <w:qFormat/>
    <w:uiPriority w:val="99"/>
    <w:pPr>
      <w:pageBreakBefore/>
      <w:widowControl w:val="0"/>
      <w:tabs>
        <w:tab w:val="left" w:pos="840"/>
      </w:tabs>
      <w:spacing w:beforeLines="50" w:afterLines="50" w:line="480" w:lineRule="auto"/>
      <w:ind w:left="840" w:hanging="360"/>
    </w:pPr>
    <w:rPr>
      <w:rFonts w:eastAsia="黑体" w:cs="宋体"/>
      <w:b w:val="0"/>
      <w:szCs w:val="20"/>
    </w:rPr>
  </w:style>
  <w:style w:type="paragraph" w:customStyle="1" w:styleId="285">
    <w:name w:val="xl106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86">
    <w:name w:val="font9"/>
    <w:basedOn w:val="1"/>
    <w:qFormat/>
    <w:uiPriority w:val="99"/>
    <w:pPr>
      <w:widowControl/>
      <w:spacing w:before="100" w:beforeAutospacing="1" w:after="100" w:afterAutospacing="1"/>
      <w:jc w:val="left"/>
    </w:pPr>
    <w:rPr>
      <w:rFonts w:eastAsia="Arial Unicode MS"/>
      <w:b/>
      <w:bCs/>
      <w:kern w:val="0"/>
      <w:sz w:val="32"/>
      <w:szCs w:val="32"/>
    </w:rPr>
  </w:style>
  <w:style w:type="paragraph" w:customStyle="1" w:styleId="287">
    <w:name w:val="文档结构图1"/>
    <w:basedOn w:val="1"/>
    <w:qFormat/>
    <w:uiPriority w:val="99"/>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88">
    <w:name w:val="xl31"/>
    <w:basedOn w:val="1"/>
    <w:qFormat/>
    <w:uiPriority w:val="99"/>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89">
    <w:name w:val="Char Char Char1 Char"/>
    <w:basedOn w:val="21"/>
    <w:qFormat/>
    <w:uiPriority w:val="99"/>
    <w:pPr>
      <w:adjustRightInd w:val="0"/>
      <w:spacing w:line="436" w:lineRule="exact"/>
      <w:ind w:left="357"/>
      <w:jc w:val="left"/>
      <w:outlineLvl w:val="3"/>
    </w:pPr>
    <w:rPr>
      <w:kern w:val="0"/>
      <w:sz w:val="20"/>
      <w:szCs w:val="20"/>
    </w:rPr>
  </w:style>
  <w:style w:type="paragraph" w:customStyle="1" w:styleId="290">
    <w:name w:val="Body Text 21"/>
    <w:basedOn w:val="1"/>
    <w:qFormat/>
    <w:uiPriority w:val="99"/>
    <w:pPr>
      <w:adjustRightInd w:val="0"/>
      <w:spacing w:line="240" w:lineRule="exact"/>
      <w:textAlignment w:val="baseline"/>
    </w:pPr>
    <w:rPr>
      <w:rFonts w:ascii="宋体"/>
      <w:kern w:val="0"/>
      <w:sz w:val="18"/>
      <w:szCs w:val="20"/>
    </w:rPr>
  </w:style>
  <w:style w:type="paragraph" w:customStyle="1" w:styleId="291">
    <w:name w:val="xl109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92">
    <w:name w:val="样式 样式 标题 2 + 段前: 0.5 行 段后: 0.5 行2 + 段前: 0.5 行 段后: 0.5 行"/>
    <w:basedOn w:val="293"/>
    <w:qFormat/>
    <w:uiPriority w:val="99"/>
    <w:pPr>
      <w:tabs>
        <w:tab w:val="left" w:pos="1320"/>
      </w:tabs>
    </w:pPr>
    <w:rPr>
      <w:b w:val="0"/>
    </w:rPr>
  </w:style>
  <w:style w:type="paragraph" w:customStyle="1" w:styleId="293">
    <w:name w:val="样式 标题 2 + 段前: 0.5 行 段后: 0.5 行2"/>
    <w:basedOn w:val="4"/>
    <w:qFormat/>
    <w:uiPriority w:val="99"/>
    <w:pPr>
      <w:tabs>
        <w:tab w:val="left" w:pos="1320"/>
      </w:tabs>
      <w:spacing w:beforeLines="50" w:afterLines="50" w:line="360" w:lineRule="auto"/>
      <w:jc w:val="left"/>
    </w:pPr>
    <w:rPr>
      <w:rFonts w:cs="宋体"/>
      <w:sz w:val="36"/>
      <w:szCs w:val="20"/>
    </w:rPr>
  </w:style>
  <w:style w:type="paragraph" w:customStyle="1" w:styleId="294">
    <w:name w:val="正文文本 21"/>
    <w:basedOn w:val="1"/>
    <w:qFormat/>
    <w:uiPriority w:val="99"/>
    <w:pPr>
      <w:adjustRightInd w:val="0"/>
      <w:spacing w:line="312" w:lineRule="atLeast"/>
      <w:ind w:firstLine="600"/>
      <w:textAlignment w:val="baseline"/>
    </w:pPr>
    <w:rPr>
      <w:rFonts w:ascii="宋体"/>
      <w:kern w:val="0"/>
      <w:sz w:val="28"/>
      <w:szCs w:val="20"/>
    </w:rPr>
  </w:style>
  <w:style w:type="paragraph" w:customStyle="1" w:styleId="295">
    <w:name w:val="Char2"/>
    <w:basedOn w:val="1"/>
    <w:qFormat/>
    <w:uiPriority w:val="99"/>
    <w:pPr>
      <w:jc w:val="center"/>
    </w:pPr>
    <w:rPr>
      <w:rFonts w:ascii="宋体" w:hAnsi="宋体"/>
      <w:b/>
      <w:szCs w:val="21"/>
    </w:rPr>
  </w:style>
  <w:style w:type="paragraph" w:customStyle="1" w:styleId="29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7">
    <w:name w:val="英文标号正文"/>
    <w:basedOn w:val="1"/>
    <w:qFormat/>
    <w:uiPriority w:val="99"/>
    <w:pPr>
      <w:widowControl/>
      <w:tabs>
        <w:tab w:val="left" w:pos="425"/>
        <w:tab w:val="left" w:pos="1620"/>
      </w:tabs>
      <w:autoSpaceDE w:val="0"/>
      <w:autoSpaceDN w:val="0"/>
      <w:ind w:left="1620" w:leftChars="600" w:hanging="360" w:hangingChars="200"/>
    </w:pPr>
    <w:rPr>
      <w:kern w:val="0"/>
      <w:sz w:val="24"/>
      <w:szCs w:val="20"/>
    </w:rPr>
  </w:style>
  <w:style w:type="paragraph" w:customStyle="1" w:styleId="298">
    <w:name w:val="xl91"/>
    <w:basedOn w:val="1"/>
    <w:qFormat/>
    <w:uiPriority w:val="99"/>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299">
    <w:name w:val="font0"/>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300">
    <w:name w:val="xl10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xl103"/>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3">
    <w:name w:val="样式 标题 3H3h3h31第二层条3Bold Headbh章标题1小标题level_3PIM 3Lev..."/>
    <w:basedOn w:val="6"/>
    <w:qFormat/>
    <w:uiPriority w:val="99"/>
    <w:pPr>
      <w:tabs>
        <w:tab w:val="left" w:pos="1931"/>
      </w:tabs>
      <w:spacing w:before="156" w:after="156" w:line="360" w:lineRule="auto"/>
      <w:ind w:left="1418" w:hanging="567"/>
    </w:pPr>
    <w:rPr>
      <w:rFonts w:eastAsia="楷体_GB2312" w:cs="宋体"/>
      <w:sz w:val="44"/>
      <w:szCs w:val="20"/>
    </w:rPr>
  </w:style>
  <w:style w:type="paragraph" w:customStyle="1" w:styleId="304">
    <w:name w:val="样式 标题 4 + 段前: 0.5 行 段后: 0.5 行1"/>
    <w:basedOn w:val="7"/>
    <w:qFormat/>
    <w:uiPriority w:val="99"/>
    <w:pPr>
      <w:tabs>
        <w:tab w:val="left" w:pos="864"/>
      </w:tabs>
      <w:autoSpaceDE w:val="0"/>
      <w:spacing w:beforeLines="50" w:afterLines="50" w:line="360" w:lineRule="auto"/>
      <w:ind w:left="864" w:hanging="864"/>
    </w:pPr>
    <w:rPr>
      <w:rFonts w:ascii="仿宋_GB2312" w:eastAsia="仿宋_GB2312" w:cs="宋体"/>
      <w:sz w:val="30"/>
      <w:szCs w:val="20"/>
    </w:rPr>
  </w:style>
  <w:style w:type="paragraph" w:customStyle="1" w:styleId="3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30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307">
    <w:name w:val="font7"/>
    <w:basedOn w:val="1"/>
    <w:qFormat/>
    <w:uiPriority w:val="99"/>
    <w:pPr>
      <w:widowControl/>
      <w:spacing w:before="100" w:beforeAutospacing="1" w:after="100" w:afterAutospacing="1"/>
      <w:jc w:val="left"/>
    </w:pPr>
    <w:rPr>
      <w:rFonts w:ascii="宋体" w:hAnsi="宋体" w:cs="Arial Unicode MS"/>
      <w:kern w:val="0"/>
      <w:sz w:val="28"/>
      <w:szCs w:val="28"/>
    </w:rPr>
  </w:style>
  <w:style w:type="paragraph" w:customStyle="1" w:styleId="308">
    <w:name w:val="样式 标题 1H1Header1h1标题4L1bocLevel 1 Topic Heading标书1Secti..."/>
    <w:basedOn w:val="3"/>
    <w:qFormat/>
    <w:uiPriority w:val="99"/>
    <w:pPr>
      <w:pageBreakBefore/>
      <w:widowControl w:val="0"/>
      <w:tabs>
        <w:tab w:val="left" w:pos="425"/>
      </w:tabs>
      <w:spacing w:before="100" w:beforeAutospacing="1" w:afterLines="100" w:line="360" w:lineRule="auto"/>
      <w:ind w:left="425" w:hanging="425"/>
    </w:pPr>
    <w:rPr>
      <w:rFonts w:eastAsia="黑体" w:cs="宋体"/>
      <w:szCs w:val="20"/>
    </w:rPr>
  </w:style>
  <w:style w:type="paragraph" w:customStyle="1" w:styleId="309">
    <w:name w:val="Table Description"/>
    <w:next w:val="1"/>
    <w:qFormat/>
    <w:uiPriority w:val="99"/>
    <w:pPr>
      <w:keepNext/>
      <w:snapToGrid w:val="0"/>
      <w:spacing w:before="160" w:after="80"/>
      <w:ind w:left="1038"/>
      <w:jc w:val="center"/>
    </w:pPr>
    <w:rPr>
      <w:rFonts w:ascii="Arial" w:hAnsi="Arial" w:eastAsia="黑体" w:cs="Times New Roman"/>
      <w:sz w:val="18"/>
      <w:lang w:val="en-US" w:eastAsia="zh-CN" w:bidi="ar-SA"/>
    </w:rPr>
  </w:style>
  <w:style w:type="paragraph" w:customStyle="1" w:styleId="310">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311">
    <w:name w:val="xl1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2">
    <w:name w:val="小四 段落 宋体 Char Char Char"/>
    <w:basedOn w:val="17"/>
    <w:qFormat/>
    <w:uiPriority w:val="99"/>
    <w:pPr>
      <w:tabs>
        <w:tab w:val="clear" w:pos="567"/>
      </w:tabs>
      <w:spacing w:line="360" w:lineRule="auto"/>
      <w:ind w:left="0" w:right="-33" w:firstLine="480" w:firstLineChars="200"/>
      <w:jc w:val="left"/>
    </w:pPr>
    <w:rPr>
      <w:rFonts w:ascii="Times New Roman" w:hAnsi="Times New Roman"/>
      <w:sz w:val="24"/>
      <w:szCs w:val="20"/>
    </w:rPr>
  </w:style>
  <w:style w:type="paragraph" w:customStyle="1" w:styleId="313">
    <w:name w:val="xl40"/>
    <w:basedOn w:val="1"/>
    <w:qFormat/>
    <w:uiPriority w:val="99"/>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14">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5">
    <w:name w:val="xl8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6">
    <w:name w:val="size12"/>
    <w:basedOn w:val="1"/>
    <w:qFormat/>
    <w:uiPriority w:val="99"/>
    <w:pPr>
      <w:widowControl/>
      <w:spacing w:before="100" w:beforeAutospacing="1" w:after="100" w:afterAutospacing="1" w:line="360" w:lineRule="auto"/>
      <w:jc w:val="left"/>
    </w:pPr>
    <w:rPr>
      <w:color w:val="000000"/>
      <w:kern w:val="0"/>
      <w:sz w:val="20"/>
      <w:szCs w:val="20"/>
    </w:rPr>
  </w:style>
  <w:style w:type="paragraph" w:customStyle="1" w:styleId="317">
    <w:name w:val="xl57"/>
    <w:basedOn w:val="1"/>
    <w:qFormat/>
    <w:uiPriority w:val="99"/>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18">
    <w:name w:val="xl10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19">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320">
    <w:name w:val="正文2"/>
    <w:qFormat/>
    <w:uiPriority w:val="99"/>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21">
    <w:name w:val="xl10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22">
    <w:name w:val="xl6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23">
    <w:name w:val="样式 标题 2（x.x）节二级标题H2h2h212Header 2l2Level 2 HeadH2norm..."/>
    <w:basedOn w:val="4"/>
    <w:qFormat/>
    <w:uiPriority w:val="99"/>
    <w:pPr>
      <w:tabs>
        <w:tab w:val="left" w:pos="992"/>
      </w:tabs>
      <w:spacing w:before="100" w:beforeAutospacing="1"/>
      <w:ind w:left="992" w:hanging="567"/>
      <w:jc w:val="left"/>
    </w:pPr>
    <w:rPr>
      <w:rFonts w:eastAsia="楷体_GB2312" w:cs="宋体"/>
      <w:sz w:val="36"/>
      <w:szCs w:val="20"/>
    </w:rPr>
  </w:style>
  <w:style w:type="paragraph" w:customStyle="1" w:styleId="324">
    <w:name w:val="Document Map1"/>
    <w:basedOn w:val="1"/>
    <w:qFormat/>
    <w:uiPriority w:val="99"/>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325">
    <w:name w:val="xl1090"/>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26">
    <w:name w:val="xl8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7">
    <w:name w:val="xl11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29">
    <w:name w:val="Absatz2AL"/>
    <w:basedOn w:val="27"/>
    <w:next w:val="1"/>
    <w:qFormat/>
    <w:uiPriority w:val="99"/>
    <w:pPr>
      <w:overflowPunct w:val="0"/>
      <w:autoSpaceDE w:val="0"/>
      <w:autoSpaceDN w:val="0"/>
      <w:adjustRightInd w:val="0"/>
      <w:jc w:val="both"/>
      <w:textAlignment w:val="baseline"/>
    </w:pPr>
    <w:rPr>
      <w:rFonts w:eastAsia="楷体_GB2312"/>
    </w:rPr>
  </w:style>
  <w:style w:type="paragraph" w:customStyle="1" w:styleId="330">
    <w:name w:val="Item Step in Table"/>
    <w:basedOn w:val="1"/>
    <w:qFormat/>
    <w:uiPriority w:val="99"/>
    <w:pPr>
      <w:tabs>
        <w:tab w:val="left" w:pos="420"/>
      </w:tabs>
      <w:ind w:left="420" w:hanging="420"/>
      <w:jc w:val="left"/>
    </w:pPr>
    <w:rPr>
      <w:rFonts w:ascii="Tahoma" w:hAnsi="Tahoma"/>
      <w:sz w:val="28"/>
      <w:szCs w:val="21"/>
    </w:rPr>
  </w:style>
  <w:style w:type="paragraph" w:customStyle="1" w:styleId="331">
    <w:name w:val="WPS Plain"/>
    <w:qFormat/>
    <w:uiPriority w:val="99"/>
    <w:rPr>
      <w:rFonts w:ascii="Times New Roman" w:hAnsi="Times New Roman" w:eastAsia="宋体" w:cs="Times New Roman"/>
      <w:lang w:val="en-US" w:eastAsia="zh-CN" w:bidi="ar-SA"/>
    </w:rPr>
  </w:style>
  <w:style w:type="paragraph" w:customStyle="1" w:styleId="332">
    <w:name w:val="xl120"/>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33">
    <w:name w:val="Char Char Char Char1"/>
    <w:basedOn w:val="1"/>
    <w:qFormat/>
    <w:uiPriority w:val="99"/>
    <w:rPr>
      <w:rFonts w:ascii="仿宋_GB2312" w:eastAsia="仿宋_GB2312"/>
      <w:b/>
      <w:sz w:val="32"/>
      <w:szCs w:val="32"/>
    </w:rPr>
  </w:style>
  <w:style w:type="paragraph" w:customStyle="1" w:styleId="334">
    <w:name w:val="样式 标题 3 + 段前: 0.5 行 段后: 0.5 行"/>
    <w:basedOn w:val="6"/>
    <w:qFormat/>
    <w:uiPriority w:val="99"/>
    <w:pPr>
      <w:tabs>
        <w:tab w:val="left" w:pos="720"/>
      </w:tabs>
      <w:spacing w:before="100" w:beforeAutospacing="1" w:after="100" w:afterAutospacing="1" w:line="360" w:lineRule="auto"/>
    </w:pPr>
    <w:rPr>
      <w:rFonts w:ascii="Arial" w:hAnsi="Arial" w:eastAsia="黑体" w:cs="宋体"/>
      <w:b w:val="0"/>
      <w:sz w:val="28"/>
      <w:szCs w:val="20"/>
    </w:rPr>
  </w:style>
  <w:style w:type="paragraph" w:customStyle="1" w:styleId="335">
    <w:name w:val="xl10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336">
    <w:name w:val="xl64"/>
    <w:basedOn w:val="1"/>
    <w:qFormat/>
    <w:uiPriority w:val="99"/>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337">
    <w:name w:val="xl110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8">
    <w:name w:val="xl23"/>
    <w:basedOn w:val="1"/>
    <w:qFormat/>
    <w:uiPriority w:val="99"/>
    <w:pPr>
      <w:widowControl/>
      <w:spacing w:before="100" w:beforeAutospacing="1" w:after="100" w:afterAutospacing="1"/>
      <w:jc w:val="center"/>
    </w:pPr>
    <w:rPr>
      <w:rFonts w:eastAsia="Arial Unicode MS"/>
      <w:kern w:val="0"/>
      <w:szCs w:val="21"/>
    </w:rPr>
  </w:style>
  <w:style w:type="paragraph" w:customStyle="1" w:styleId="339">
    <w:name w:val="首行缩进:  2 字符2"/>
    <w:basedOn w:val="1"/>
    <w:qFormat/>
    <w:uiPriority w:val="99"/>
    <w:pPr>
      <w:adjustRightInd w:val="0"/>
      <w:snapToGrid w:val="0"/>
      <w:spacing w:line="360" w:lineRule="auto"/>
      <w:ind w:firstLine="480" w:firstLineChars="200"/>
    </w:pPr>
    <w:rPr>
      <w:rFonts w:ascii="宋体" w:hAnsi="宋体" w:cs="宋体"/>
      <w:sz w:val="24"/>
    </w:rPr>
  </w:style>
  <w:style w:type="paragraph" w:customStyle="1" w:styleId="340">
    <w:name w:val="CM3"/>
    <w:basedOn w:val="126"/>
    <w:next w:val="126"/>
    <w:qFormat/>
    <w:uiPriority w:val="99"/>
    <w:pPr>
      <w:spacing w:line="626" w:lineRule="atLeast"/>
    </w:pPr>
    <w:rPr>
      <w:rFonts w:ascii=".a..DD.." w:hAnsi="Times New Roman" w:eastAsia=".a..DD.." w:cs="Times New Roman"/>
      <w:color w:val="auto"/>
    </w:rPr>
  </w:style>
  <w:style w:type="paragraph" w:customStyle="1" w:styleId="341">
    <w:name w:val="xl108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2">
    <w:name w:val="Figure"/>
    <w:basedOn w:val="1"/>
    <w:next w:val="269"/>
    <w:qFormat/>
    <w:uiPriority w:val="99"/>
    <w:pPr>
      <w:keepNext/>
      <w:ind w:left="1701"/>
    </w:pPr>
  </w:style>
  <w:style w:type="paragraph" w:customStyle="1" w:styleId="343">
    <w:name w:val="项目编号一级"/>
    <w:basedOn w:val="1"/>
    <w:qFormat/>
    <w:uiPriority w:val="99"/>
    <w:pPr>
      <w:tabs>
        <w:tab w:val="left" w:pos="900"/>
      </w:tabs>
      <w:spacing w:line="360" w:lineRule="auto"/>
      <w:ind w:left="900" w:hanging="420"/>
    </w:pPr>
  </w:style>
  <w:style w:type="paragraph" w:customStyle="1" w:styleId="344">
    <w:name w:val="xl1097"/>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45">
    <w:name w:val="四级条标题"/>
    <w:basedOn w:val="346"/>
    <w:next w:val="1"/>
    <w:qFormat/>
    <w:uiPriority w:val="99"/>
    <w:pPr>
      <w:outlineLvl w:val="5"/>
    </w:pPr>
  </w:style>
  <w:style w:type="paragraph" w:customStyle="1" w:styleId="346">
    <w:name w:val="三级条标题"/>
    <w:basedOn w:val="347"/>
    <w:next w:val="1"/>
    <w:qFormat/>
    <w:uiPriority w:val="99"/>
    <w:pPr>
      <w:outlineLvl w:val="4"/>
    </w:pPr>
  </w:style>
  <w:style w:type="paragraph" w:customStyle="1" w:styleId="347">
    <w:name w:val="二级条标题"/>
    <w:basedOn w:val="221"/>
    <w:next w:val="1"/>
    <w:qFormat/>
    <w:uiPriority w:val="99"/>
    <w:pPr>
      <w:outlineLvl w:val="3"/>
    </w:pPr>
  </w:style>
  <w:style w:type="paragraph" w:customStyle="1" w:styleId="348">
    <w:name w:val="Char"/>
    <w:basedOn w:val="1"/>
    <w:qFormat/>
    <w:uiPriority w:val="99"/>
    <w:rPr>
      <w:rFonts w:ascii="Tahoma" w:hAnsi="Tahoma" w:cs="仿宋_GB2312"/>
      <w:sz w:val="24"/>
      <w:szCs w:val="28"/>
    </w:rPr>
  </w:style>
  <w:style w:type="paragraph" w:customStyle="1" w:styleId="349">
    <w:name w:val="样式 标题 4 + 段前: 0.5 行 段后: 0.5 行"/>
    <w:basedOn w:val="7"/>
    <w:qFormat/>
    <w:uiPriority w:val="99"/>
    <w:pPr>
      <w:tabs>
        <w:tab w:val="left" w:pos="360"/>
        <w:tab w:val="left" w:pos="1620"/>
      </w:tabs>
      <w:spacing w:before="100" w:beforeAutospacing="1" w:after="100" w:afterAutospacing="1" w:line="360" w:lineRule="auto"/>
      <w:ind w:left="1620" w:leftChars="600" w:hanging="360" w:hangingChars="200"/>
    </w:pPr>
    <w:rPr>
      <w:rFonts w:cs="宋体"/>
      <w:b w:val="0"/>
      <w:sz w:val="24"/>
      <w:szCs w:val="20"/>
    </w:rPr>
  </w:style>
  <w:style w:type="paragraph" w:customStyle="1" w:styleId="350">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351">
    <w:name w:val="正文(单倍行距)"/>
    <w:basedOn w:val="1"/>
    <w:qFormat/>
    <w:uiPriority w:val="99"/>
    <w:pPr>
      <w:adjustRightInd w:val="0"/>
      <w:snapToGrid w:val="0"/>
      <w:jc w:val="center"/>
    </w:pPr>
  </w:style>
  <w:style w:type="paragraph" w:customStyle="1" w:styleId="352">
    <w:name w:val="xl44"/>
    <w:basedOn w:val="1"/>
    <w:qFormat/>
    <w:uiPriority w:val="99"/>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53">
    <w:name w:val="xl6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354">
    <w:name w:val="样式 首行缩进:  0.85 厘米 段前: 2.5 磅 段后: 6 磅 行距: 1.5 倍行距"/>
    <w:basedOn w:val="1"/>
    <w:qFormat/>
    <w:uiPriority w:val="99"/>
    <w:pPr>
      <w:spacing w:before="50" w:after="120" w:line="360" w:lineRule="auto"/>
      <w:ind w:firstLine="480"/>
    </w:pPr>
    <w:rPr>
      <w:rFonts w:cs="宋体"/>
      <w:sz w:val="24"/>
      <w:szCs w:val="20"/>
    </w:rPr>
  </w:style>
  <w:style w:type="paragraph" w:customStyle="1" w:styleId="35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356">
    <w:name w:val="编号列项（三级）"/>
    <w:qFormat/>
    <w:uiPriority w:val="99"/>
    <w:pPr>
      <w:tabs>
        <w:tab w:val="left" w:pos="0"/>
      </w:tabs>
      <w:ind w:left="1679" w:hanging="420"/>
    </w:pPr>
    <w:rPr>
      <w:rFonts w:ascii="宋体" w:hAnsi="Times New Roman" w:eastAsia="宋体" w:cs="Times New Roman"/>
      <w:sz w:val="21"/>
      <w:lang w:val="en-US" w:eastAsia="zh-CN" w:bidi="ar-SA"/>
    </w:rPr>
  </w:style>
  <w:style w:type="paragraph" w:customStyle="1" w:styleId="357">
    <w:name w:val="Item Step"/>
    <w:basedOn w:val="1"/>
    <w:qFormat/>
    <w:uiPriority w:val="99"/>
    <w:pPr>
      <w:widowControl/>
      <w:tabs>
        <w:tab w:val="left" w:pos="567"/>
      </w:tabs>
      <w:spacing w:afterLines="50"/>
      <w:ind w:left="987" w:hanging="420"/>
      <w:jc w:val="left"/>
    </w:pPr>
    <w:rPr>
      <w:rFonts w:ascii="Tahoma" w:hAnsi="Tahoma"/>
      <w:sz w:val="28"/>
      <w:szCs w:val="21"/>
    </w:rPr>
  </w:style>
  <w:style w:type="paragraph" w:customStyle="1" w:styleId="358">
    <w:name w:val="xl7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9">
    <w:name w:val="xl10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60">
    <w:name w:val="large"/>
    <w:basedOn w:val="1"/>
    <w:qFormat/>
    <w:uiPriority w:val="99"/>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361">
    <w:name w:val="xl1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362">
    <w:name w:val="章标题"/>
    <w:next w:val="1"/>
    <w:qFormat/>
    <w:uiPriority w:val="99"/>
    <w:pPr>
      <w:spacing w:beforeLines="100" w:afterLines="100"/>
      <w:jc w:val="both"/>
      <w:outlineLvl w:val="1"/>
    </w:pPr>
    <w:rPr>
      <w:rFonts w:ascii="黑体" w:hAnsi="Times New Roman" w:eastAsia="黑体" w:cs="Times New Roman"/>
      <w:sz w:val="21"/>
      <w:lang w:val="en-US" w:eastAsia="zh-CN" w:bidi="ar-SA"/>
    </w:rPr>
  </w:style>
  <w:style w:type="paragraph" w:customStyle="1" w:styleId="363">
    <w:name w:val="xl96"/>
    <w:basedOn w:val="1"/>
    <w:qFormat/>
    <w:uiPriority w:val="99"/>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364">
    <w:name w:val="Char Char Char Char2"/>
    <w:basedOn w:val="1"/>
    <w:qFormat/>
    <w:uiPriority w:val="99"/>
    <w:pPr>
      <w:spacing w:line="360" w:lineRule="auto"/>
      <w:ind w:firstLine="200" w:firstLineChars="200"/>
      <w:jc w:val="left"/>
    </w:pPr>
    <w:rPr>
      <w:rFonts w:ascii="仿宋_GB2312" w:eastAsia="仿宋_GB2312"/>
      <w:b/>
      <w:sz w:val="32"/>
      <w:szCs w:val="32"/>
    </w:rPr>
  </w:style>
  <w:style w:type="paragraph" w:customStyle="1" w:styleId="365">
    <w:name w:val="Char11"/>
    <w:basedOn w:val="1"/>
    <w:qFormat/>
    <w:uiPriority w:val="99"/>
  </w:style>
  <w:style w:type="paragraph" w:customStyle="1" w:styleId="36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67">
    <w:name w:val="列表 21"/>
    <w:basedOn w:val="1"/>
    <w:qFormat/>
    <w:uiPriority w:val="99"/>
    <w:pPr>
      <w:ind w:left="100" w:leftChars="200" w:hanging="200" w:hangingChars="200"/>
    </w:pPr>
  </w:style>
  <w:style w:type="paragraph" w:customStyle="1" w:styleId="368">
    <w:name w:val="正文悬挂缩进6"/>
    <w:basedOn w:val="231"/>
    <w:qFormat/>
    <w:uiPriority w:val="99"/>
    <w:pPr>
      <w:tabs>
        <w:tab w:val="left" w:pos="1259"/>
      </w:tabs>
      <w:ind w:left="600" w:leftChars="600"/>
    </w:pPr>
  </w:style>
  <w:style w:type="paragraph" w:customStyle="1" w:styleId="369">
    <w:name w:val="xl8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0">
    <w:name w:val="xl93"/>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1">
    <w:name w:val="1"/>
    <w:basedOn w:val="2"/>
    <w:qFormat/>
    <w:uiPriority w:val="99"/>
    <w:pPr>
      <w:pBdr>
        <w:bottom w:val="none" w:color="auto" w:sz="0" w:space="0"/>
      </w:pBdr>
    </w:pPr>
    <w:rPr>
      <w:rFonts w:ascii="Calibri" w:hAnsi="Calibri" w:eastAsia="华文新魏"/>
      <w:sz w:val="21"/>
      <w:szCs w:val="20"/>
    </w:rPr>
  </w:style>
  <w:style w:type="paragraph" w:customStyle="1" w:styleId="372">
    <w:name w:val="我的正文格式"/>
    <w:basedOn w:val="1"/>
    <w:next w:val="1"/>
    <w:qFormat/>
    <w:uiPriority w:val="99"/>
    <w:pPr>
      <w:snapToGrid w:val="0"/>
      <w:spacing w:line="288" w:lineRule="auto"/>
      <w:ind w:left="540" w:hanging="540" w:hangingChars="225"/>
    </w:pPr>
    <w:rPr>
      <w:sz w:val="24"/>
    </w:rPr>
  </w:style>
  <w:style w:type="paragraph" w:customStyle="1" w:styleId="373">
    <w:name w:val="版权所有"/>
    <w:basedOn w:val="1"/>
    <w:qFormat/>
    <w:uiPriority w:val="99"/>
    <w:pPr>
      <w:spacing w:beforeLines="100" w:afterLines="100" w:line="360" w:lineRule="auto"/>
    </w:pPr>
    <w:rPr>
      <w:rFonts w:ascii="Arial" w:hAnsi="Arial" w:eastAsia="黑体"/>
      <w:b/>
      <w:sz w:val="30"/>
      <w:u w:val="single"/>
    </w:rPr>
  </w:style>
  <w:style w:type="paragraph" w:customStyle="1" w:styleId="374">
    <w:name w:val="xl5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375">
    <w:name w:val="样式 标题 2 + 段前: 0.5 行 段后: 0.5 行1"/>
    <w:basedOn w:val="4"/>
    <w:qFormat/>
    <w:uiPriority w:val="99"/>
    <w:pPr>
      <w:tabs>
        <w:tab w:val="left" w:pos="576"/>
      </w:tabs>
      <w:spacing w:beforeLines="50" w:afterLines="50" w:line="360" w:lineRule="auto"/>
      <w:ind w:left="576" w:hanging="576"/>
      <w:jc w:val="left"/>
    </w:pPr>
    <w:rPr>
      <w:rFonts w:ascii="仿宋_GB2312" w:eastAsia="仿宋_GB2312" w:cs="宋体"/>
      <w:sz w:val="36"/>
      <w:szCs w:val="20"/>
    </w:rPr>
  </w:style>
  <w:style w:type="paragraph" w:customStyle="1" w:styleId="376">
    <w:name w:val="xl10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7">
    <w:name w:val="xl10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78">
    <w:name w:val="日期1"/>
    <w:basedOn w:val="1"/>
    <w:next w:val="1"/>
    <w:qFormat/>
    <w:uiPriority w:val="99"/>
    <w:pPr>
      <w:adjustRightInd w:val="0"/>
      <w:spacing w:line="360" w:lineRule="atLeast"/>
      <w:textAlignment w:val="baseline"/>
    </w:pPr>
    <w:rPr>
      <w:rFonts w:ascii="宋体"/>
      <w:kern w:val="0"/>
      <w:sz w:val="28"/>
      <w:szCs w:val="20"/>
    </w:rPr>
  </w:style>
  <w:style w:type="paragraph" w:customStyle="1" w:styleId="379">
    <w:name w:val="xl46"/>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0">
    <w:name w:val="xl106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1">
    <w:name w:val="CM20"/>
    <w:basedOn w:val="126"/>
    <w:next w:val="126"/>
    <w:qFormat/>
    <w:uiPriority w:val="99"/>
    <w:pPr>
      <w:spacing w:after="115"/>
    </w:pPr>
    <w:rPr>
      <w:rFonts w:ascii=".a..DD.." w:hAnsi="Times New Roman" w:eastAsia=".a..DD.." w:cs="Times New Roman"/>
      <w:color w:val="auto"/>
    </w:rPr>
  </w:style>
  <w:style w:type="paragraph" w:customStyle="1" w:styleId="382">
    <w:name w:val="xl33"/>
    <w:basedOn w:val="1"/>
    <w:qFormat/>
    <w:uiPriority w:val="99"/>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83">
    <w:name w:val="样式 样式 标题 2 + 段前: 0.5 行 段后: 0.5 行 + 段前: 0.5 行 段后: 0.5 行"/>
    <w:basedOn w:val="249"/>
    <w:qFormat/>
    <w:uiPriority w:val="99"/>
    <w:pPr>
      <w:spacing w:beforeLines="0" w:beforeAutospacing="1" w:afterLines="0" w:afterAutospacing="1"/>
      <w:ind w:left="576" w:hanging="576"/>
    </w:pPr>
    <w:rPr>
      <w:bCs w:val="0"/>
    </w:rPr>
  </w:style>
  <w:style w:type="paragraph" w:customStyle="1" w:styleId="384">
    <w:name w:val="xl107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5">
    <w:name w:val="表格标题2"/>
    <w:basedOn w:val="1"/>
    <w:qFormat/>
    <w:uiPriority w:val="99"/>
    <w:pPr>
      <w:tabs>
        <w:tab w:val="left" w:pos="1620"/>
      </w:tabs>
      <w:adjustRightInd w:val="0"/>
      <w:spacing w:before="60" w:after="60"/>
      <w:ind w:left="1620" w:leftChars="600" w:hanging="360" w:hangingChars="200"/>
      <w:textAlignment w:val="bottom"/>
    </w:pPr>
    <w:rPr>
      <w:kern w:val="0"/>
      <w:szCs w:val="21"/>
    </w:rPr>
  </w:style>
  <w:style w:type="paragraph" w:customStyle="1" w:styleId="386">
    <w:name w:val="表文"/>
    <w:basedOn w:val="1"/>
    <w:qFormat/>
    <w:uiPriority w:val="99"/>
    <w:pPr>
      <w:spacing w:line="300" w:lineRule="auto"/>
      <w:jc w:val="center"/>
      <w:textAlignment w:val="baseline"/>
    </w:pPr>
    <w:rPr>
      <w:kern w:val="0"/>
      <w:szCs w:val="20"/>
    </w:rPr>
  </w:style>
  <w:style w:type="paragraph" w:customStyle="1" w:styleId="387">
    <w:name w:val="xl53"/>
    <w:basedOn w:val="1"/>
    <w:qFormat/>
    <w:uiPriority w:val="99"/>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8">
    <w:name w:val="Paragraphe 3"/>
    <w:qFormat/>
    <w:uiPriority w:val="99"/>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389">
    <w:name w:val="样式1"/>
    <w:basedOn w:val="1"/>
    <w:qFormat/>
    <w:uiPriority w:val="99"/>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390">
    <w:name w:val="xl109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1">
    <w:name w:val="样式 样式 标题 5 + 段前: 0.5 行 段后: 0.5 行 + 段前: 0.5 行 段后: 0.5 行"/>
    <w:basedOn w:val="204"/>
    <w:qFormat/>
    <w:uiPriority w:val="99"/>
    <w:rPr>
      <w:bCs w:val="0"/>
    </w:rPr>
  </w:style>
  <w:style w:type="paragraph" w:customStyle="1" w:styleId="392">
    <w:name w:val="样式 标题 3H3h3h31第二层条3Bold Headbh章标题1小标题level_3PIM 3Lev...1"/>
    <w:basedOn w:val="6"/>
    <w:qFormat/>
    <w:uiPriority w:val="99"/>
    <w:pPr>
      <w:tabs>
        <w:tab w:val="left" w:pos="1740"/>
      </w:tabs>
      <w:spacing w:beforeLines="50" w:afterLines="50" w:line="360" w:lineRule="auto"/>
      <w:ind w:left="1740" w:hanging="420"/>
    </w:pPr>
    <w:rPr>
      <w:rFonts w:ascii="Arial" w:hAnsi="Arial" w:eastAsia="黑体" w:cs="宋体"/>
      <w:b w:val="0"/>
      <w:szCs w:val="20"/>
    </w:rPr>
  </w:style>
  <w:style w:type="paragraph" w:customStyle="1" w:styleId="393">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4">
    <w:name w:val="xl7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5">
    <w:name w:val="_Style 385"/>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97">
    <w:name w:val="表格2"/>
    <w:basedOn w:val="1"/>
    <w:qFormat/>
    <w:uiPriority w:val="99"/>
    <w:pPr>
      <w:snapToGrid w:val="0"/>
      <w:jc w:val="center"/>
    </w:pPr>
    <w:rPr>
      <w:rFonts w:ascii="Arial" w:hAnsi="Arial" w:cs="Arial"/>
      <w:kern w:val="0"/>
      <w:sz w:val="24"/>
    </w:rPr>
  </w:style>
  <w:style w:type="paragraph" w:customStyle="1" w:styleId="398">
    <w:name w:val="xl49"/>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9">
    <w:name w:val="xl10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0">
    <w:name w:val="标题2"/>
    <w:basedOn w:val="1"/>
    <w:qFormat/>
    <w:uiPriority w:val="99"/>
    <w:pPr>
      <w:spacing w:beforeLines="50" w:afterLines="50" w:line="300" w:lineRule="exact"/>
    </w:pPr>
    <w:rPr>
      <w:b/>
      <w:bCs/>
    </w:rPr>
  </w:style>
  <w:style w:type="paragraph" w:customStyle="1" w:styleId="401">
    <w:name w:val="xl10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2">
    <w:name w:val="Normal1"/>
    <w:next w:val="1"/>
    <w:qFormat/>
    <w:uiPriority w:val="99"/>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03">
    <w:name w:val="xl45"/>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4">
    <w:name w:val="xl109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5">
    <w:name w:val="xl35"/>
    <w:basedOn w:val="1"/>
    <w:qFormat/>
    <w:uiPriority w:val="99"/>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6">
    <w:name w:val="xl60"/>
    <w:basedOn w:val="1"/>
    <w:qFormat/>
    <w:uiPriority w:val="99"/>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07">
    <w:name w:val="小四 段落 宋体 Char Char"/>
    <w:basedOn w:val="312"/>
    <w:qFormat/>
    <w:uiPriority w:val="99"/>
  </w:style>
  <w:style w:type="paragraph" w:customStyle="1" w:styleId="408">
    <w:name w:val="标书正文"/>
    <w:basedOn w:val="1"/>
    <w:qFormat/>
    <w:uiPriority w:val="99"/>
    <w:pPr>
      <w:spacing w:line="360" w:lineRule="auto"/>
      <w:ind w:firstLine="497" w:firstLineChars="207"/>
    </w:pPr>
    <w:rPr>
      <w:sz w:val="24"/>
      <w:szCs w:val="20"/>
    </w:rPr>
  </w:style>
  <w:style w:type="paragraph" w:customStyle="1" w:styleId="409">
    <w:name w:val="_Style 20"/>
    <w:basedOn w:val="1"/>
    <w:qFormat/>
    <w:uiPriority w:val="99"/>
    <w:rPr>
      <w:rFonts w:ascii="Tahoma" w:hAnsi="Tahoma"/>
      <w:sz w:val="24"/>
      <w:szCs w:val="20"/>
    </w:rPr>
  </w:style>
  <w:style w:type="paragraph" w:customStyle="1" w:styleId="410">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11">
    <w:name w:val="四级无"/>
    <w:basedOn w:val="345"/>
    <w:qFormat/>
    <w:uiPriority w:val="99"/>
    <w:pPr>
      <w:tabs>
        <w:tab w:val="left" w:pos="360"/>
      </w:tabs>
      <w:spacing w:beforeLines="0" w:afterLines="0"/>
    </w:pPr>
    <w:rPr>
      <w:rFonts w:ascii="宋体" w:eastAsia="宋体"/>
    </w:rPr>
  </w:style>
  <w:style w:type="paragraph" w:customStyle="1" w:styleId="412">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13">
    <w:name w:val="Char3"/>
    <w:basedOn w:val="1"/>
    <w:qFormat/>
    <w:uiPriority w:val="99"/>
    <w:rPr>
      <w:rFonts w:ascii="Tahoma" w:hAnsi="Tahoma" w:cs="仿宋_GB2312"/>
      <w:sz w:val="24"/>
      <w:szCs w:val="28"/>
    </w:rPr>
  </w:style>
  <w:style w:type="paragraph" w:customStyle="1" w:styleId="414">
    <w:name w:val="xl10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5">
    <w:name w:val="xl3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16">
    <w:name w:val="xl10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17">
    <w:name w:val="xl6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418">
    <w:name w:val="样式 首行缩进:  2 字符2 + 居中"/>
    <w:basedOn w:val="339"/>
    <w:qFormat/>
    <w:uiPriority w:val="99"/>
    <w:pPr>
      <w:adjustRightInd/>
      <w:snapToGrid/>
      <w:ind w:firstLine="0" w:firstLineChars="0"/>
      <w:jc w:val="center"/>
    </w:pPr>
    <w:rPr>
      <w:sz w:val="28"/>
      <w:szCs w:val="20"/>
    </w:rPr>
  </w:style>
  <w:style w:type="paragraph" w:customStyle="1" w:styleId="419">
    <w:name w:val="xl118"/>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20">
    <w:name w:val="xl106"/>
    <w:basedOn w:val="1"/>
    <w:qFormat/>
    <w:uiPriority w:val="99"/>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21">
    <w:name w:val="xl9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2">
    <w:name w:val="±í????¸ñÎ"/>
    <w:basedOn w:val="1"/>
    <w:qFormat/>
    <w:uiPriority w:val="99"/>
    <w:pPr>
      <w:widowControl/>
      <w:tabs>
        <w:tab w:val="decimal" w:pos="0"/>
      </w:tabs>
      <w:overflowPunct w:val="0"/>
      <w:autoSpaceDE w:val="0"/>
      <w:autoSpaceDN w:val="0"/>
      <w:adjustRightInd w:val="0"/>
      <w:textAlignment w:val="baseline"/>
    </w:pPr>
    <w:rPr>
      <w:kern w:val="0"/>
      <w:sz w:val="24"/>
      <w:szCs w:val="20"/>
    </w:rPr>
  </w:style>
  <w:style w:type="paragraph" w:customStyle="1" w:styleId="423">
    <w:name w:val="Char Char Char Char Char Char Char1"/>
    <w:basedOn w:val="1"/>
    <w:qFormat/>
    <w:uiPriority w:val="99"/>
  </w:style>
  <w:style w:type="paragraph" w:customStyle="1" w:styleId="424">
    <w:name w:val="pa-13"/>
    <w:basedOn w:val="1"/>
    <w:qFormat/>
    <w:uiPriority w:val="99"/>
    <w:pPr>
      <w:widowControl/>
      <w:spacing w:line="240" w:lineRule="atLeast"/>
    </w:pPr>
    <w:rPr>
      <w:rFonts w:ascii="宋体" w:hAnsi="宋体" w:cs="宋体"/>
      <w:kern w:val="0"/>
      <w:sz w:val="24"/>
    </w:rPr>
  </w:style>
  <w:style w:type="paragraph" w:customStyle="1" w:styleId="425">
    <w:name w:val="xl1063"/>
    <w:basedOn w:val="1"/>
    <w:qFormat/>
    <w:uiPriority w:val="99"/>
    <w:pPr>
      <w:widowControl/>
      <w:spacing w:before="100" w:beforeAutospacing="1" w:after="100" w:afterAutospacing="1"/>
      <w:jc w:val="center"/>
    </w:pPr>
    <w:rPr>
      <w:rFonts w:ascii="宋体" w:hAnsi="宋体" w:cs="宋体"/>
      <w:b/>
      <w:bCs/>
      <w:kern w:val="0"/>
      <w:sz w:val="24"/>
    </w:rPr>
  </w:style>
  <w:style w:type="paragraph" w:customStyle="1" w:styleId="426">
    <w:name w:val="xl55"/>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27">
    <w:name w:val="列出段落3"/>
    <w:basedOn w:val="1"/>
    <w:qFormat/>
    <w:uiPriority w:val="99"/>
    <w:pPr>
      <w:ind w:firstLine="420" w:firstLineChars="200"/>
    </w:pPr>
    <w:rPr>
      <w:szCs w:val="20"/>
    </w:rPr>
  </w:style>
  <w:style w:type="paragraph" w:customStyle="1" w:styleId="428">
    <w:name w:val="(1)"/>
    <w:basedOn w:val="1"/>
    <w:qFormat/>
    <w:uiPriority w:val="99"/>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429">
    <w:name w:val="目录"/>
    <w:basedOn w:val="1"/>
    <w:qFormat/>
    <w:uiPriority w:val="99"/>
    <w:pPr>
      <w:widowControl/>
      <w:jc w:val="center"/>
    </w:pPr>
    <w:rPr>
      <w:rFonts w:ascii="宋体"/>
      <w:b/>
      <w:kern w:val="0"/>
      <w:sz w:val="36"/>
      <w:szCs w:val="20"/>
    </w:rPr>
  </w:style>
  <w:style w:type="paragraph" w:customStyle="1" w:styleId="430">
    <w:name w:val="xl37"/>
    <w:basedOn w:val="1"/>
    <w:qFormat/>
    <w:uiPriority w:val="99"/>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1">
    <w:name w:val="xl1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2">
    <w:name w:val="xl114"/>
    <w:basedOn w:val="1"/>
    <w:qFormat/>
    <w:uiPriority w:val="99"/>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33">
    <w:name w:val="xl52"/>
    <w:basedOn w:val="1"/>
    <w:qFormat/>
    <w:uiPriority w:val="99"/>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4">
    <w:name w:val="三级无"/>
    <w:basedOn w:val="346"/>
    <w:qFormat/>
    <w:uiPriority w:val="99"/>
    <w:pPr>
      <w:spacing w:beforeLines="0" w:afterLines="0"/>
    </w:pPr>
    <w:rPr>
      <w:rFonts w:ascii="宋体" w:eastAsia="宋体"/>
    </w:rPr>
  </w:style>
  <w:style w:type="paragraph" w:customStyle="1" w:styleId="435">
    <w:name w:val="xl10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6">
    <w:name w:val="xl10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37">
    <w:name w:val="xl127"/>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8">
    <w:name w:val="xl10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0">
    <w:name w:val="xl63"/>
    <w:basedOn w:val="1"/>
    <w:qFormat/>
    <w:uiPriority w:val="99"/>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441">
    <w:name w:val="xl2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42">
    <w:name w:val="表格1"/>
    <w:basedOn w:val="1"/>
    <w:qFormat/>
    <w:uiPriority w:val="99"/>
    <w:pPr>
      <w:tabs>
        <w:tab w:val="left" w:pos="203"/>
      </w:tabs>
      <w:spacing w:before="40" w:after="40"/>
      <w:jc w:val="center"/>
    </w:pPr>
    <w:rPr>
      <w:b/>
      <w:sz w:val="28"/>
      <w:szCs w:val="20"/>
    </w:rPr>
  </w:style>
  <w:style w:type="paragraph" w:customStyle="1" w:styleId="44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444">
    <w:name w:val="xl123"/>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5">
    <w:name w:val="font8"/>
    <w:basedOn w:val="1"/>
    <w:qFormat/>
    <w:uiPriority w:val="99"/>
    <w:pPr>
      <w:widowControl/>
      <w:spacing w:before="100" w:beforeAutospacing="1" w:after="100" w:afterAutospacing="1"/>
      <w:jc w:val="left"/>
    </w:pPr>
    <w:rPr>
      <w:rFonts w:ascii="宋体" w:hAnsi="宋体" w:cs="Arial Unicode MS"/>
      <w:b/>
      <w:bCs/>
      <w:kern w:val="0"/>
      <w:sz w:val="32"/>
      <w:szCs w:val="32"/>
    </w:rPr>
  </w:style>
  <w:style w:type="paragraph" w:styleId="446">
    <w:name w:val="List Paragraph"/>
    <w:basedOn w:val="1"/>
    <w:qFormat/>
    <w:uiPriority w:val="99"/>
    <w:pPr>
      <w:ind w:firstLine="420" w:firstLineChars="200"/>
    </w:pPr>
    <w:rPr>
      <w:rFonts w:ascii="宋体" w:hAnsi="宋体" w:cs="宋体"/>
      <w:bCs/>
      <w:color w:val="000000"/>
      <w:kern w:val="0"/>
      <w:sz w:val="24"/>
      <w:u w:val="single"/>
    </w:rPr>
  </w:style>
  <w:style w:type="paragraph" w:customStyle="1" w:styleId="447">
    <w:name w:val="xl1105"/>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48">
    <w:name w:val="xl1075"/>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9">
    <w:name w:val="Char Char Char"/>
    <w:basedOn w:val="1"/>
    <w:qFormat/>
    <w:uiPriority w:val="99"/>
    <w:rPr>
      <w:rFonts w:ascii="Tahoma" w:hAnsi="Tahoma" w:cs="Angsana New"/>
      <w:sz w:val="24"/>
      <w:szCs w:val="20"/>
    </w:rPr>
  </w:style>
  <w:style w:type="paragraph" w:customStyle="1" w:styleId="450">
    <w:name w:val="xl10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51">
    <w:name w:val="文档控制号等"/>
    <w:basedOn w:val="1"/>
    <w:qFormat/>
    <w:uiPriority w:val="99"/>
    <w:pPr>
      <w:spacing w:line="360" w:lineRule="auto"/>
      <w:jc w:val="left"/>
    </w:pPr>
  </w:style>
  <w:style w:type="paragraph" w:customStyle="1" w:styleId="452">
    <w:name w:val="xl25"/>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53">
    <w:name w:val="xl62"/>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454">
    <w:name w:val="书目11"/>
    <w:basedOn w:val="1"/>
    <w:next w:val="1"/>
    <w:qFormat/>
    <w:uiPriority w:val="99"/>
    <w:pPr>
      <w:spacing w:line="360" w:lineRule="auto"/>
      <w:ind w:firstLine="200" w:firstLineChars="200"/>
      <w:jc w:val="left"/>
    </w:pPr>
    <w:rPr>
      <w:sz w:val="24"/>
    </w:rPr>
  </w:style>
  <w:style w:type="paragraph" w:customStyle="1" w:styleId="455">
    <w:name w:val="模版正文"/>
    <w:basedOn w:val="1"/>
    <w:qFormat/>
    <w:uiPriority w:val="99"/>
    <w:pPr>
      <w:widowControl/>
      <w:adjustRightInd w:val="0"/>
      <w:snapToGrid w:val="0"/>
      <w:spacing w:line="440" w:lineRule="exact"/>
      <w:ind w:firstLine="200" w:firstLineChars="200"/>
      <w:jc w:val="left"/>
    </w:pPr>
    <w:rPr>
      <w:rFonts w:ascii="仿宋" w:hAnsi="仿宋" w:cs="宋体"/>
      <w:sz w:val="28"/>
      <w:szCs w:val="20"/>
    </w:rPr>
  </w:style>
  <w:style w:type="paragraph" w:customStyle="1" w:styleId="456">
    <w:name w:val="xl121"/>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57">
    <w:name w:val="样式 左  4 字符 首行缩进:  2 字符"/>
    <w:basedOn w:val="1"/>
    <w:qFormat/>
    <w:uiPriority w:val="99"/>
    <w:pPr>
      <w:spacing w:beforeLines="50" w:afterLines="50"/>
      <w:ind w:left="400" w:leftChars="400" w:firstLine="200" w:firstLineChars="200"/>
    </w:pPr>
    <w:rPr>
      <w:rFonts w:cs="宋体"/>
      <w:szCs w:val="20"/>
    </w:rPr>
  </w:style>
  <w:style w:type="paragraph" w:customStyle="1" w:styleId="458">
    <w:name w:val="xl88"/>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59">
    <w:name w:val="xl38"/>
    <w:basedOn w:val="1"/>
    <w:qFormat/>
    <w:uiPriority w:val="99"/>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0">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1">
    <w:name w:val="xl10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2">
    <w:name w:val="表格侧编号"/>
    <w:next w:val="1"/>
    <w:qFormat/>
    <w:uiPriority w:val="99"/>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463">
    <w:name w:val="default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4">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465">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6">
    <w:name w:val="Item List Char"/>
    <w:qFormat/>
    <w:uiPriority w:val="99"/>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467">
    <w:name w:val="xl10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8">
    <w:name w:val="xl107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69">
    <w:name w:val="xl56"/>
    <w:basedOn w:val="1"/>
    <w:qFormat/>
    <w:uiPriority w:val="99"/>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70">
    <w:name w:val="Char Char Char 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71">
    <w:name w:val="内文"/>
    <w:qFormat/>
    <w:uiPriority w:val="99"/>
    <w:pPr>
      <w:widowControl w:val="0"/>
      <w:autoSpaceDE w:val="0"/>
      <w:autoSpaceDN w:val="0"/>
      <w:adjustRightInd w:val="0"/>
      <w:jc w:val="both"/>
    </w:pPr>
    <w:rPr>
      <w:rFonts w:ascii="宋体" w:hAnsi="Times New Roman" w:eastAsia="宋体" w:cs="Times New Roman"/>
      <w:color w:val="000000"/>
      <w:sz w:val="24"/>
      <w:lang w:val="en-US" w:eastAsia="zh-CN" w:bidi="ar-SA"/>
    </w:rPr>
  </w:style>
  <w:style w:type="paragraph" w:customStyle="1" w:styleId="472">
    <w:name w:val="标题1"/>
    <w:basedOn w:val="3"/>
    <w:qFormat/>
    <w:uiPriority w:val="99"/>
    <w:pPr>
      <w:widowControl w:val="0"/>
      <w:tabs>
        <w:tab w:val="left" w:pos="839"/>
      </w:tabs>
      <w:adjustRightInd w:val="0"/>
      <w:spacing w:before="0" w:after="0" w:line="360" w:lineRule="auto"/>
      <w:ind w:left="1276" w:hanging="425"/>
      <w:textAlignment w:val="baseline"/>
    </w:pPr>
    <w:rPr>
      <w:rFonts w:ascii="黑体" w:hAnsi="宋体" w:eastAsia="黑体"/>
      <w:bCs w:val="0"/>
      <w:kern w:val="11"/>
      <w:sz w:val="28"/>
      <w:szCs w:val="20"/>
    </w:rPr>
  </w:style>
  <w:style w:type="paragraph" w:customStyle="1" w:styleId="473">
    <w:name w:val="五级条标题"/>
    <w:basedOn w:val="345"/>
    <w:next w:val="1"/>
    <w:qFormat/>
    <w:uiPriority w:val="99"/>
    <w:pPr>
      <w:outlineLvl w:val="6"/>
    </w:pPr>
  </w:style>
  <w:style w:type="paragraph" w:customStyle="1" w:styleId="474">
    <w:name w:val="xl10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75">
    <w:name w:val="xl10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76">
    <w:name w:val="font10"/>
    <w:basedOn w:val="1"/>
    <w:qFormat/>
    <w:uiPriority w:val="99"/>
    <w:pPr>
      <w:widowControl/>
      <w:spacing w:before="100" w:beforeAutospacing="1" w:after="100" w:afterAutospacing="1"/>
      <w:jc w:val="left"/>
    </w:pPr>
    <w:rPr>
      <w:rFonts w:eastAsia="Arial Unicode MS"/>
      <w:kern w:val="0"/>
      <w:sz w:val="28"/>
      <w:szCs w:val="28"/>
    </w:rPr>
  </w:style>
  <w:style w:type="paragraph" w:customStyle="1" w:styleId="477">
    <w:name w:val="tll"/>
    <w:basedOn w:val="1"/>
    <w:qFormat/>
    <w:uiPriority w:val="99"/>
    <w:pPr>
      <w:autoSpaceDE w:val="0"/>
      <w:autoSpaceDN w:val="0"/>
      <w:adjustRightInd w:val="0"/>
      <w:jc w:val="left"/>
      <w:textAlignment w:val="baseline"/>
    </w:pPr>
    <w:rPr>
      <w:rFonts w:ascii="仿宋_GB2312" w:hAnsi="Arial" w:eastAsia="仿宋_GB2312"/>
      <w:kern w:val="0"/>
      <w:szCs w:val="21"/>
    </w:rPr>
  </w:style>
  <w:style w:type="paragraph" w:customStyle="1" w:styleId="478">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47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480">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8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482">
    <w:name w:val="pa-10"/>
    <w:basedOn w:val="1"/>
    <w:qFormat/>
    <w:uiPriority w:val="99"/>
    <w:pPr>
      <w:widowControl/>
      <w:spacing w:line="280" w:lineRule="atLeast"/>
    </w:pPr>
    <w:rPr>
      <w:rFonts w:ascii="宋体" w:hAnsi="宋体" w:cs="宋体"/>
      <w:kern w:val="0"/>
      <w:sz w:val="24"/>
    </w:rPr>
  </w:style>
  <w:style w:type="paragraph" w:customStyle="1" w:styleId="483">
    <w:name w:val="TOC 标题1"/>
    <w:basedOn w:val="3"/>
    <w:next w:val="1"/>
    <w:qFormat/>
    <w:uiPriority w:val="99"/>
    <w:pPr>
      <w:tabs>
        <w:tab w:val="left" w:pos="1320"/>
        <w:tab w:val="left" w:pos="1740"/>
      </w:tabs>
      <w:spacing w:before="480" w:after="0" w:line="276" w:lineRule="auto"/>
      <w:outlineLvl w:val="9"/>
    </w:pPr>
    <w:rPr>
      <w:rFonts w:ascii="Cambria" w:hAnsi="Cambria"/>
      <w:color w:val="365F91"/>
      <w:kern w:val="0"/>
      <w:sz w:val="28"/>
      <w:szCs w:val="28"/>
    </w:rPr>
  </w:style>
  <w:style w:type="paragraph" w:customStyle="1" w:styleId="484">
    <w:name w:val="xl85"/>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5">
    <w:name w:val="xl110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86">
    <w:name w:val="xl11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7">
    <w:name w:val="表格标题3"/>
    <w:basedOn w:val="385"/>
    <w:qFormat/>
    <w:uiPriority w:val="99"/>
    <w:pPr>
      <w:tabs>
        <w:tab w:val="left" w:pos="570"/>
        <w:tab w:val="left" w:pos="720"/>
        <w:tab w:val="clear" w:pos="1620"/>
      </w:tabs>
      <w:ind w:left="570" w:hanging="570"/>
    </w:pPr>
  </w:style>
  <w:style w:type="paragraph" w:customStyle="1" w:styleId="488">
    <w:name w:val="xl110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89">
    <w:name w:val="xl1089"/>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0">
    <w:name w:val="xl12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1">
    <w:name w:val="xl32"/>
    <w:basedOn w:val="1"/>
    <w:qFormat/>
    <w:uiPriority w:val="99"/>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2">
    <w:name w:val="xl70"/>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493">
    <w:name w:val="二级无"/>
    <w:basedOn w:val="347"/>
    <w:qFormat/>
    <w:uiPriority w:val="99"/>
    <w:pPr>
      <w:spacing w:beforeLines="0" w:afterLines="0"/>
    </w:pPr>
    <w:rPr>
      <w:rFonts w:ascii="宋体" w:eastAsia="宋体"/>
    </w:rPr>
  </w:style>
  <w:style w:type="paragraph" w:customStyle="1" w:styleId="494">
    <w:name w:val="xl9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5">
    <w:name w:val="xl34"/>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6">
    <w:name w:val="xl109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7">
    <w:name w:val="xl1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8">
    <w:name w:val="xl10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9">
    <w:name w:val="节标题"/>
    <w:basedOn w:val="1"/>
    <w:qFormat/>
    <w:uiPriority w:val="99"/>
    <w:pPr>
      <w:widowControl/>
      <w:spacing w:line="289" w:lineRule="atLeast"/>
      <w:jc w:val="center"/>
      <w:textAlignment w:val="baseline"/>
    </w:pPr>
    <w:rPr>
      <w:color w:val="000000"/>
      <w:kern w:val="0"/>
      <w:sz w:val="28"/>
      <w:szCs w:val="20"/>
      <w:u w:color="000000"/>
    </w:rPr>
  </w:style>
  <w:style w:type="paragraph" w:customStyle="1" w:styleId="500">
    <w:name w:val="xl7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01">
    <w:name w:val="xl109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2">
    <w:name w:val="xl48"/>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03">
    <w:name w:val="Char Char Char Char Char Char Char"/>
    <w:basedOn w:val="1"/>
    <w:qFormat/>
    <w:uiPriority w:val="99"/>
  </w:style>
  <w:style w:type="paragraph" w:customStyle="1" w:styleId="504">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505">
    <w:name w:val="Bullet 1"/>
    <w:qFormat/>
    <w:uiPriority w:val="99"/>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506">
    <w:name w:val="xl59"/>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507">
    <w:name w:val="xl54"/>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08">
    <w:name w:val="xl10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09">
    <w:name w:val="正文3号仿宋"/>
    <w:basedOn w:val="1"/>
    <w:link w:val="510"/>
    <w:qFormat/>
    <w:uiPriority w:val="99"/>
    <w:pPr>
      <w:adjustRightInd w:val="0"/>
      <w:spacing w:line="360" w:lineRule="auto"/>
      <w:ind w:firstLine="480" w:firstLineChars="200"/>
      <w:textAlignment w:val="baseline"/>
    </w:pPr>
    <w:rPr>
      <w:rFonts w:ascii="宋体" w:hAnsi="宋体"/>
      <w:kern w:val="0"/>
      <w:sz w:val="24"/>
    </w:rPr>
  </w:style>
  <w:style w:type="character" w:customStyle="1" w:styleId="510">
    <w:name w:val="正文3号仿宋 Char"/>
    <w:link w:val="509"/>
    <w:qFormat/>
    <w:locked/>
    <w:uiPriority w:val="99"/>
    <w:rPr>
      <w:rFonts w:ascii="宋体" w:eastAsia="宋体"/>
      <w:sz w:val="24"/>
    </w:rPr>
  </w:style>
  <w:style w:type="paragraph" w:customStyle="1" w:styleId="511">
    <w:name w:val="段落小标题"/>
    <w:basedOn w:val="1"/>
    <w:link w:val="512"/>
    <w:qFormat/>
    <w:uiPriority w:val="99"/>
    <w:pPr>
      <w:adjustRightInd w:val="0"/>
      <w:spacing w:line="360" w:lineRule="auto"/>
      <w:ind w:firstLine="510"/>
      <w:jc w:val="left"/>
      <w:textAlignment w:val="baseline"/>
    </w:pPr>
    <w:rPr>
      <w:rFonts w:ascii="仿宋" w:hAnsi="仿宋" w:eastAsia="仿宋"/>
      <w:b/>
      <w:kern w:val="0"/>
      <w:sz w:val="32"/>
      <w:szCs w:val="32"/>
    </w:rPr>
  </w:style>
  <w:style w:type="character" w:customStyle="1" w:styleId="512">
    <w:name w:val="段落小标题 Char"/>
    <w:link w:val="511"/>
    <w:qFormat/>
    <w:locked/>
    <w:uiPriority w:val="99"/>
    <w:rPr>
      <w:rFonts w:ascii="仿宋" w:hAnsi="仿宋" w:eastAsia="仿宋"/>
      <w:b/>
      <w:sz w:val="32"/>
    </w:rPr>
  </w:style>
  <w:style w:type="character" w:customStyle="1" w:styleId="513">
    <w:name w:val="正文（缩进） Char"/>
    <w:link w:val="514"/>
    <w:qFormat/>
    <w:locked/>
    <w:uiPriority w:val="99"/>
    <w:rPr>
      <w:rFonts w:ascii="宋体" w:eastAsia="宋体"/>
      <w:sz w:val="24"/>
    </w:rPr>
  </w:style>
  <w:style w:type="paragraph" w:customStyle="1" w:styleId="514">
    <w:name w:val="正文（缩进）"/>
    <w:basedOn w:val="1"/>
    <w:link w:val="513"/>
    <w:qFormat/>
    <w:uiPriority w:val="99"/>
    <w:pPr>
      <w:widowControl/>
      <w:spacing w:beforeLines="50" w:afterLines="50" w:line="360" w:lineRule="auto"/>
      <w:ind w:firstLine="480" w:firstLineChars="200"/>
      <w:jc w:val="left"/>
    </w:pPr>
    <w:rPr>
      <w:rFonts w:ascii="宋体" w:hAnsi="宋体"/>
      <w:kern w:val="0"/>
      <w:sz w:val="24"/>
    </w:rPr>
  </w:style>
  <w:style w:type="paragraph" w:customStyle="1" w:styleId="515">
    <w:name w:val="采购内容"/>
    <w:basedOn w:val="1"/>
    <w:qFormat/>
    <w:uiPriority w:val="99"/>
    <w:rPr>
      <w:rFonts w:ascii="仿宋" w:hAnsi="仿宋" w:eastAsia="仿宋"/>
    </w:rPr>
  </w:style>
  <w:style w:type="character" w:customStyle="1" w:styleId="516">
    <w:name w:val="font71"/>
    <w:basedOn w:val="60"/>
    <w:qFormat/>
    <w:uiPriority w:val="0"/>
    <w:rPr>
      <w:rFonts w:hint="default" w:ascii="楷体" w:hAnsi="楷体" w:eastAsia="楷体" w:cs="楷体"/>
      <w:color w:val="000000"/>
      <w:sz w:val="20"/>
      <w:szCs w:val="20"/>
      <w:u w:val="none"/>
    </w:rPr>
  </w:style>
  <w:style w:type="character" w:customStyle="1" w:styleId="517">
    <w:name w:val="bookmark-item"/>
    <w:basedOn w:val="60"/>
    <w:qFormat/>
    <w:uiPriority w:val="0"/>
  </w:style>
  <w:style w:type="character" w:customStyle="1" w:styleId="518">
    <w:name w:val="sub"/>
    <w:basedOn w:val="60"/>
    <w:qFormat/>
    <w:uiPriority w:val="0"/>
  </w:style>
  <w:style w:type="paragraph" w:customStyle="1" w:styleId="519">
    <w:name w:val="采购正文"/>
    <w:basedOn w:val="1"/>
    <w:link w:val="522"/>
    <w:qFormat/>
    <w:uiPriority w:val="0"/>
    <w:pPr>
      <w:snapToGrid w:val="0"/>
      <w:spacing w:line="560" w:lineRule="exact"/>
      <w:ind w:firstLine="480" w:firstLineChars="200"/>
    </w:pPr>
    <w:rPr>
      <w:rFonts w:ascii="仿宋" w:hAnsi="仿宋" w:eastAsia="仿宋"/>
      <w:sz w:val="24"/>
    </w:rPr>
  </w:style>
  <w:style w:type="paragraph" w:customStyle="1" w:styleId="52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1">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22">
    <w:name w:val="采购正文 Char"/>
    <w:basedOn w:val="60"/>
    <w:link w:val="519"/>
    <w:qFormat/>
    <w:uiPriority w:val="0"/>
    <w:rPr>
      <w:rFonts w:ascii="仿宋" w:hAnsi="仿宋" w:eastAsia="仿宋"/>
      <w:kern w:val="2"/>
      <w:sz w:val="24"/>
      <w:szCs w:val="24"/>
    </w:rPr>
  </w:style>
  <w:style w:type="paragraph" w:customStyle="1" w:styleId="523">
    <w:name w:val="WG标题2"/>
    <w:basedOn w:val="1"/>
    <w:qFormat/>
    <w:uiPriority w:val="0"/>
    <w:pPr>
      <w:autoSpaceDE w:val="0"/>
      <w:autoSpaceDN w:val="0"/>
      <w:adjustRightInd w:val="0"/>
      <w:spacing w:before="60" w:after="60" w:line="360" w:lineRule="exact"/>
      <w:textAlignment w:val="baseline"/>
      <w:outlineLvl w:val="1"/>
    </w:pPr>
    <w:rPr>
      <w:rFonts w:eastAsia="黑体" w:cs="宋体"/>
      <w:color w:val="000000"/>
      <w:kern w:val="20"/>
      <w:sz w:val="28"/>
      <w:szCs w:val="20"/>
    </w:rPr>
  </w:style>
  <w:style w:type="paragraph" w:customStyle="1" w:styleId="524">
    <w:name w:val="List Paragraph1"/>
    <w:basedOn w:val="1"/>
    <w:qFormat/>
    <w:uiPriority w:val="99"/>
    <w:pPr>
      <w:ind w:firstLine="420" w:firstLineChars="200"/>
    </w:pPr>
  </w:style>
  <w:style w:type="paragraph" w:customStyle="1" w:styleId="525">
    <w:name w:val="采购二级"/>
    <w:basedOn w:val="1"/>
    <w:qFormat/>
    <w:uiPriority w:val="0"/>
    <w:pPr>
      <w:snapToGrid w:val="0"/>
      <w:spacing w:line="560" w:lineRule="exact"/>
      <w:ind w:firstLine="480" w:firstLineChars="200"/>
      <w:outlineLvl w:val="1"/>
    </w:pPr>
    <w:rPr>
      <w:rFonts w:ascii="仿宋" w:hAnsi="仿宋" w:eastAsia="仿宋"/>
      <w:b/>
      <w:kern w:val="0"/>
      <w:sz w:val="24"/>
      <w:szCs w:val="24"/>
    </w:rPr>
  </w:style>
  <w:style w:type="paragraph" w:customStyle="1" w:styleId="526">
    <w:name w:val="K&amp;W heading 2"/>
    <w:basedOn w:val="1"/>
    <w:qFormat/>
    <w:uiPriority w:val="0"/>
    <w:pPr>
      <w:tabs>
        <w:tab w:val="left" w:pos="817"/>
      </w:tabs>
      <w:spacing w:after="360" w:line="320" w:lineRule="exact"/>
      <w:outlineLvl w:val="1"/>
    </w:pPr>
    <w:rPr>
      <w:rFonts w:ascii="Arial" w:hAnsi="Arial" w:eastAsia="楷体_GB2312"/>
      <w:color w:val="000000"/>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342C8A-963F-4A39-80D8-9ABA029E618C}">
  <ds:schemaRefs/>
</ds:datastoreItem>
</file>

<file path=docProps/app.xml><?xml version="1.0" encoding="utf-8"?>
<Properties xmlns="http://schemas.openxmlformats.org/officeDocument/2006/extended-properties" xmlns:vt="http://schemas.openxmlformats.org/officeDocument/2006/docPropsVTypes">
  <Template>Normal</Template>
  <Company>注册单位=China</Company>
  <Pages>49</Pages>
  <Words>4505</Words>
  <Characters>25683</Characters>
  <Lines>214</Lines>
  <Paragraphs>60</Paragraphs>
  <TotalTime>39</TotalTime>
  <ScaleCrop>false</ScaleCrop>
  <LinksUpToDate>false</LinksUpToDate>
  <CharactersWithSpaces>30128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2020-03-20T11:28:00Z</dcterms:created>
  <dc:creator>微软用户</dc:creator>
  <cp:lastModifiedBy>Administrator</cp:lastModifiedBy>
  <cp:lastPrinted>2021-04-21T09:50:00Z</cp:lastPrinted>
  <dcterms:modified xsi:type="dcterms:W3CDTF">2021-10-15T10:47:36Z</dcterms:modified>
  <dc:title>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0C8EF8A829F44793AF777D38F5F6EF72</vt:lpwstr>
  </property>
</Properties>
</file>