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240"/>
        </w:tabs>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694690" cy="419100"/>
            <wp:effectExtent l="0" t="0" r="1016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694690" cy="419100"/>
                    </a:xfrm>
                    <a:prstGeom prst="rect">
                      <a:avLst/>
                    </a:prstGeom>
                    <a:noFill/>
                    <a:ln>
                      <a:noFill/>
                    </a:ln>
                  </pic:spPr>
                </pic:pic>
              </a:graphicData>
            </a:graphic>
          </wp:inline>
        </w:drawing>
      </w:r>
    </w:p>
    <w:p>
      <w:pPr>
        <w:ind w:right="105"/>
        <w:jc w:val="right"/>
        <w:rPr>
          <w:rFonts w:ascii="楷体_GB2312" w:eastAsia="楷体_GB2312"/>
          <w:b/>
          <w:color w:val="000000" w:themeColor="text1"/>
          <w:highlight w:val="none"/>
          <w14:textFill>
            <w14:solidFill>
              <w14:schemeClr w14:val="tx1"/>
            </w14:solidFill>
          </w14:textFill>
        </w:rPr>
      </w:pPr>
      <w:r>
        <w:rPr>
          <w:rFonts w:hint="eastAsia" w:ascii="楷体_GB2312" w:eastAsia="楷体_GB2312"/>
          <w:b/>
          <w:color w:val="000000" w:themeColor="text1"/>
          <w:highlight w:val="none"/>
          <w14:textFill>
            <w14:solidFill>
              <w14:schemeClr w14:val="tx1"/>
            </w14:solidFill>
          </w14:textFill>
        </w:rPr>
        <w:t>新疆天麒</w:t>
      </w:r>
    </w:p>
    <w:p>
      <w:pPr>
        <w:spacing w:line="360" w:lineRule="auto"/>
        <w:ind w:left="420" w:leftChars="200"/>
        <w:jc w:val="center"/>
        <w:rPr>
          <w:rFonts w:ascii="仿宋_GB2312" w:eastAsia="仿宋_GB2312"/>
          <w:b/>
          <w:color w:val="000000" w:themeColor="text1"/>
          <w:sz w:val="36"/>
          <w:szCs w:val="36"/>
          <w:highlight w:val="none"/>
          <w14:textFill>
            <w14:solidFill>
              <w14:schemeClr w14:val="tx1"/>
            </w14:solidFill>
          </w14:textFill>
        </w:rPr>
      </w:pPr>
    </w:p>
    <w:p>
      <w:pPr>
        <w:spacing w:line="360" w:lineRule="auto"/>
        <w:jc w:val="center"/>
        <w:rPr>
          <w:rFonts w:ascii="仿宋_GB2312" w:eastAsia="仿宋_GB2312"/>
          <w:b/>
          <w:color w:val="000000" w:themeColor="text1"/>
          <w:sz w:val="44"/>
          <w:szCs w:val="44"/>
          <w:highlight w:val="none"/>
          <w14:textFill>
            <w14:solidFill>
              <w14:schemeClr w14:val="tx1"/>
            </w14:solidFill>
          </w14:textFill>
        </w:rPr>
      </w:pPr>
      <w:bookmarkStart w:id="0" w:name="_Toc225166185"/>
      <w:r>
        <w:rPr>
          <w:rFonts w:hint="eastAsia" w:ascii="宋体" w:hAnsi="宋体" w:cs="宋体"/>
          <w:b/>
          <w:color w:val="000000" w:themeColor="text1"/>
          <w:sz w:val="44"/>
          <w:szCs w:val="44"/>
          <w:highlight w:val="none"/>
          <w:lang w:eastAsia="zh-CN"/>
          <w14:textFill>
            <w14:solidFill>
              <w14:schemeClr w14:val="tx1"/>
            </w14:solidFill>
          </w14:textFill>
        </w:rPr>
        <w:t>某支队蔬菜大棚建设项目</w:t>
      </w: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ascii="仿宋_GB2312" w:eastAsia="仿宋_GB2312"/>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color w:val="000000" w:themeColor="text1"/>
          <w:sz w:val="72"/>
          <w:szCs w:val="72"/>
          <w:highlight w:val="none"/>
          <w14:textFill>
            <w14:solidFill>
              <w14:schemeClr w14:val="tx1"/>
            </w14:solidFill>
          </w14:textFill>
        </w:rPr>
        <w:t>招</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文</w:t>
      </w:r>
      <w:r>
        <w:rPr>
          <w:rFonts w:hint="eastAsia" w:ascii="宋体" w:hAnsi="宋体" w:eastAsia="宋体" w:cs="宋体"/>
          <w:b/>
          <w:color w:val="000000" w:themeColor="text1"/>
          <w:sz w:val="72"/>
          <w:szCs w:val="72"/>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72"/>
          <w:szCs w:val="72"/>
          <w:highlight w:val="none"/>
          <w14:textFill>
            <w14:solidFill>
              <w14:schemeClr w14:val="tx1"/>
            </w14:solidFill>
          </w14:textFill>
        </w:rPr>
        <w:t>件</w:t>
      </w:r>
      <w:bookmarkEnd w:id="0"/>
    </w:p>
    <w:p>
      <w:pPr>
        <w:spacing w:line="360" w:lineRule="auto"/>
        <w:jc w:val="center"/>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招标文件编号：</w:t>
      </w:r>
      <w:r>
        <w:rPr>
          <w:rFonts w:hint="eastAsia" w:ascii="宋体" w:hAnsi="宋体" w:cs="宋体"/>
          <w:b/>
          <w:color w:val="000000" w:themeColor="text1"/>
          <w:sz w:val="28"/>
          <w:szCs w:val="28"/>
          <w:highlight w:val="none"/>
          <w:lang w:val="en-US" w:eastAsia="zh-CN"/>
          <w14:textFill>
            <w14:solidFill>
              <w14:schemeClr w14:val="tx1"/>
            </w14:solidFill>
          </w14:textFill>
        </w:rPr>
        <w:t>MZDDPJS2021-01</w:t>
      </w: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rPr>
          <w:rFonts w:hint="eastAsia" w:ascii="宋体" w:hAnsi="宋体" w:eastAsia="宋体" w:cs="宋体"/>
          <w:b/>
          <w:color w:val="000000" w:themeColor="text1"/>
          <w:sz w:val="30"/>
          <w:szCs w:val="30"/>
          <w:highlight w:val="none"/>
          <w14:textFill>
            <w14:solidFill>
              <w14:schemeClr w14:val="tx1"/>
            </w14:solidFill>
          </w14:textFill>
        </w:rPr>
      </w:pPr>
    </w:p>
    <w:p>
      <w:pPr>
        <w:pStyle w:val="3"/>
        <w:keepNext w:val="0"/>
        <w:keepLines w:val="0"/>
        <w:widowControl/>
        <w:suppressLineNumbers w:val="0"/>
        <w:spacing w:line="450" w:lineRule="atLeast"/>
        <w:ind w:left="0" w:firstLine="602" w:firstLineChars="200"/>
        <w:jc w:val="both"/>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30"/>
          <w:szCs w:val="30"/>
          <w:highlight w:val="none"/>
          <w:lang w:val="en-US" w:eastAsia="zh-CN" w:bidi="ar-SA"/>
          <w14:textFill>
            <w14:solidFill>
              <w14:schemeClr w14:val="tx1"/>
            </w14:solidFill>
          </w14:textFill>
        </w:rPr>
        <w:t>采购人：</w:t>
      </w:r>
      <w:r>
        <w:rPr>
          <w:rFonts w:hint="eastAsia" w:ascii="宋体" w:hAnsi="宋体" w:cs="宋体"/>
          <w:b/>
          <w:bCs w:val="0"/>
          <w:color w:val="000000" w:themeColor="text1"/>
          <w:kern w:val="2"/>
          <w:sz w:val="30"/>
          <w:szCs w:val="30"/>
          <w:highlight w:val="none"/>
          <w:lang w:val="en-US" w:eastAsia="zh-CN" w:bidi="ar-SA"/>
          <w14:textFill>
            <w14:solidFill>
              <w14:schemeClr w14:val="tx1"/>
            </w14:solidFill>
          </w14:textFill>
        </w:rPr>
        <w:t>某支队</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val="en-US" w:eastAsia="zh-CN"/>
          <w14:textFill>
            <w14:solidFill>
              <w14:schemeClr w14:val="tx1"/>
            </w14:solidFill>
          </w14:textFill>
        </w:rPr>
        <w:t xml:space="preserve"> </w:t>
      </w:r>
    </w:p>
    <w:p>
      <w:pPr>
        <w:spacing w:line="360" w:lineRule="auto"/>
        <w:ind w:firstLine="602" w:firstLineChars="200"/>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招标代理：新疆天麒工程项目管理咨询有限责任公司</w:t>
      </w: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p>
    <w:p>
      <w:pPr>
        <w:spacing w:line="360" w:lineRule="auto"/>
        <w:ind w:firstLine="602" w:firstLineChars="200"/>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二零二</w:t>
      </w:r>
      <w:r>
        <w:rPr>
          <w:rFonts w:hint="eastAsia" w:ascii="宋体" w:hAnsi="宋体" w:eastAsia="宋体" w:cs="宋体"/>
          <w:b/>
          <w:color w:val="000000" w:themeColor="text1"/>
          <w:sz w:val="30"/>
          <w:szCs w:val="30"/>
          <w:highlight w:val="none"/>
          <w:lang w:eastAsia="zh-CN"/>
          <w14:textFill>
            <w14:solidFill>
              <w14:schemeClr w14:val="tx1"/>
            </w14:solidFill>
          </w14:textFill>
        </w:rPr>
        <w:t>一</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cs="宋体"/>
          <w:b/>
          <w:color w:val="000000" w:themeColor="text1"/>
          <w:sz w:val="30"/>
          <w:szCs w:val="30"/>
          <w:highlight w:val="none"/>
          <w:lang w:val="en-US" w:eastAsia="zh-CN"/>
          <w14:textFill>
            <w14:solidFill>
              <w14:schemeClr w14:val="tx1"/>
            </w14:solidFill>
          </w14:textFill>
        </w:rPr>
        <w:t>九</w:t>
      </w:r>
      <w:r>
        <w:rPr>
          <w:rFonts w:hint="eastAsia" w:ascii="宋体" w:hAnsi="宋体" w:eastAsia="宋体" w:cs="宋体"/>
          <w:b/>
          <w:color w:val="000000" w:themeColor="text1"/>
          <w:sz w:val="30"/>
          <w:szCs w:val="30"/>
          <w:highlight w:val="none"/>
          <w14:textFill>
            <w14:solidFill>
              <w14:schemeClr w14:val="tx1"/>
            </w14:solidFill>
          </w14:textFill>
        </w:rPr>
        <w:t>月</w:t>
      </w: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sectPr>
          <w:headerReference r:id="rId3" w:type="default"/>
          <w:footerReference r:id="rId4" w:type="default"/>
          <w:pgSz w:w="11906" w:h="16838"/>
          <w:pgMar w:top="1134" w:right="1134" w:bottom="1134" w:left="1134" w:header="851" w:footer="992" w:gutter="0"/>
          <w:pgNumType w:start="1"/>
          <w:cols w:space="425" w:num="1"/>
          <w:docGrid w:type="lines" w:linePitch="312" w:charSpace="0"/>
        </w:sectPr>
      </w:pPr>
    </w:p>
    <w:p>
      <w:pPr>
        <w:spacing w:line="360" w:lineRule="auto"/>
        <w:jc w:val="center"/>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总目录</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第一章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招标公告--------------------------------------第2页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第二章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投标人须知------------------------------------第4页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第三章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项目采购需求----------------------------------第</w:t>
      </w:r>
      <w:r>
        <w:rPr>
          <w:rFonts w:hint="eastAsia" w:ascii="宋体" w:hAnsi="宋体" w:cs="宋体"/>
          <w:color w:val="000000" w:themeColor="text1"/>
          <w:sz w:val="28"/>
          <w:szCs w:val="28"/>
          <w:highlight w:val="none"/>
          <w:lang w:val="en-US" w:eastAsia="zh-CN"/>
          <w14:textFill>
            <w14:solidFill>
              <w14:schemeClr w14:val="tx1"/>
            </w14:solidFill>
          </w14:textFill>
        </w:rPr>
        <w:t>31</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第四章 合同主要条款----------------------------------第</w:t>
      </w:r>
      <w:r>
        <w:rPr>
          <w:rFonts w:hint="eastAsia" w:ascii="宋体" w:hAnsi="宋体" w:eastAsia="宋体" w:cs="宋体"/>
          <w:color w:val="000000" w:themeColor="text1"/>
          <w:sz w:val="28"/>
          <w:szCs w:val="28"/>
          <w:highlight w:val="none"/>
          <w:lang w:val="en-US" w:eastAsia="zh-CN"/>
          <w14:textFill>
            <w14:solidFill>
              <w14:schemeClr w14:val="tx1"/>
            </w14:solidFill>
          </w14:textFill>
        </w:rPr>
        <w:t>33</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numPr>
          <w:ilvl w:val="0"/>
          <w:numId w:val="0"/>
        </w:num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五</w:t>
      </w:r>
      <w:r>
        <w:rPr>
          <w:rFonts w:hint="eastAsia" w:ascii="宋体" w:hAnsi="宋体" w:eastAsia="宋体" w:cs="宋体"/>
          <w:color w:val="000000" w:themeColor="text1"/>
          <w:sz w:val="28"/>
          <w:szCs w:val="28"/>
          <w:highlight w:val="none"/>
          <w14:textFill>
            <w14:solidFill>
              <w14:schemeClr w14:val="tx1"/>
            </w14:solidFill>
          </w14:textFill>
        </w:rPr>
        <w:t>章</w:t>
      </w:r>
      <w:r>
        <w:rPr>
          <w:rFonts w:hint="eastAsia" w:ascii="宋体" w:hAnsi="宋体" w:eastAsia="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投标文件格式----------------------------------第</w:t>
      </w:r>
      <w:r>
        <w:rPr>
          <w:rFonts w:hint="eastAsia" w:ascii="宋体" w:hAnsi="宋体" w:cs="宋体"/>
          <w:color w:val="000000" w:themeColor="text1"/>
          <w:sz w:val="28"/>
          <w:szCs w:val="28"/>
          <w:highlight w:val="none"/>
          <w:lang w:val="en-US" w:eastAsia="zh-CN"/>
          <w14:textFill>
            <w14:solidFill>
              <w14:schemeClr w14:val="tx1"/>
            </w14:solidFill>
          </w14:textFill>
        </w:rPr>
        <w:t>65</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第</w:t>
      </w:r>
      <w:r>
        <w:rPr>
          <w:rFonts w:hint="eastAsia" w:ascii="宋体" w:hAnsi="宋体" w:cs="宋体"/>
          <w:color w:val="000000" w:themeColor="text1"/>
          <w:sz w:val="28"/>
          <w:szCs w:val="28"/>
          <w:highlight w:val="none"/>
          <w:lang w:eastAsia="zh-CN"/>
          <w14:textFill>
            <w14:solidFill>
              <w14:schemeClr w14:val="tx1"/>
            </w14:solidFill>
          </w14:textFill>
        </w:rPr>
        <w:t>六</w:t>
      </w:r>
      <w:r>
        <w:rPr>
          <w:rFonts w:hint="eastAsia" w:ascii="宋体" w:hAnsi="宋体" w:eastAsia="宋体" w:cs="宋体"/>
          <w:color w:val="000000" w:themeColor="text1"/>
          <w:sz w:val="28"/>
          <w:szCs w:val="28"/>
          <w:highlight w:val="none"/>
          <w14:textFill>
            <w14:solidFill>
              <w14:schemeClr w14:val="tx1"/>
            </w14:solidFill>
          </w14:textFill>
        </w:rPr>
        <w:t>章</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评标办法（综合评分法）------------------------第</w:t>
      </w:r>
      <w:r>
        <w:rPr>
          <w:rFonts w:hint="eastAsia" w:ascii="宋体" w:hAnsi="宋体" w:cs="宋体"/>
          <w:color w:val="000000" w:themeColor="text1"/>
          <w:sz w:val="28"/>
          <w:szCs w:val="28"/>
          <w:highlight w:val="none"/>
          <w:lang w:val="en-US" w:eastAsia="zh-CN"/>
          <w14:textFill>
            <w14:solidFill>
              <w14:schemeClr w14:val="tx1"/>
            </w14:solidFill>
          </w14:textFill>
        </w:rPr>
        <w:t>101</w:t>
      </w:r>
      <w:r>
        <w:rPr>
          <w:rFonts w:hint="eastAsia" w:ascii="宋体" w:hAnsi="宋体" w:eastAsia="宋体" w:cs="宋体"/>
          <w:color w:val="000000" w:themeColor="text1"/>
          <w:sz w:val="28"/>
          <w:szCs w:val="28"/>
          <w:highlight w:val="none"/>
          <w14:textFill>
            <w14:solidFill>
              <w14:schemeClr w14:val="tx1"/>
            </w14:solidFill>
          </w14:textFill>
        </w:rPr>
        <w:t>页</w:t>
      </w:r>
    </w:p>
    <w:p>
      <w:pPr>
        <w:spacing w:line="360" w:lineRule="auto"/>
        <w:rPr>
          <w:rFonts w:hint="eastAsia" w:ascii="宋体" w:hAnsi="宋体" w:eastAsia="宋体" w:cs="宋体"/>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spacing w:line="360" w:lineRule="auto"/>
        <w:rPr>
          <w:rFonts w:ascii="仿宋_GB2312" w:hAnsi="仿宋_GB2312" w:eastAsia="仿宋_GB2312" w:cs="仿宋_GB2312"/>
          <w:b/>
          <w:bCs/>
          <w:color w:val="000000" w:themeColor="text1"/>
          <w:sz w:val="24"/>
          <w:highlight w:val="none"/>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after="121"/>
        <w:jc w:val="center"/>
        <w:rPr>
          <w:rFonts w:hint="eastAsia" w:ascii="Arial" w:hAnsi="Arial" w:cs="Arial"/>
          <w:color w:val="000000" w:themeColor="text1"/>
          <w:kern w:val="0"/>
          <w:sz w:val="19"/>
          <w:szCs w:val="19"/>
          <w:highlight w:val="none"/>
          <w:lang w:eastAsia="zh-CN"/>
          <w14:textFill>
            <w14:solidFill>
              <w14:schemeClr w14:val="tx1"/>
            </w14:solidFill>
          </w14:textFill>
        </w:rPr>
      </w:pPr>
    </w:p>
    <w:p>
      <w:pPr>
        <w:widowControl/>
        <w:spacing w:before="61" w:after="61"/>
        <w:jc w:val="left"/>
        <w:rPr>
          <w:rFonts w:hint="eastAsia" w:ascii="Arial" w:hAnsi="Arial" w:cs="Arial"/>
          <w:color w:val="000000" w:themeColor="text1"/>
          <w:kern w:val="0"/>
          <w:sz w:val="19"/>
          <w:highlight w:val="none"/>
          <w:lang w:eastAsia="zh-CN"/>
          <w14:textFill>
            <w14:solidFill>
              <w14:schemeClr w14:val="tx1"/>
            </w14:solidFill>
          </w14:textFill>
        </w:rPr>
      </w:pPr>
    </w:p>
    <w:p>
      <w:pPr>
        <w:pStyle w:val="3"/>
        <w:numPr>
          <w:ilvl w:val="0"/>
          <w:numId w:val="0"/>
        </w:numPr>
        <w:spacing w:line="360" w:lineRule="auto"/>
        <w:jc w:val="cente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pPr>
      <w:bookmarkStart w:id="1" w:name="_Toc154996575"/>
      <w:r>
        <w:rPr>
          <w:rFonts w:hint="eastAsia" w:ascii="宋体" w:hAnsi="宋体" w:eastAsia="宋体" w:cs="宋体"/>
          <w:b/>
          <w:bCs w:val="0"/>
          <w:color w:val="000000" w:themeColor="text1"/>
          <w:kern w:val="2"/>
          <w:sz w:val="28"/>
          <w:szCs w:val="28"/>
          <w:highlight w:val="none"/>
          <w:lang w:val="en-US" w:eastAsia="zh-CN" w:bidi="ar-SA"/>
          <w14:textFill>
            <w14:solidFill>
              <w14:schemeClr w14:val="tx1"/>
            </w14:solidFill>
          </w14:textFill>
        </w:rPr>
        <w:t>第一章  招标公告</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w:t>
      </w:r>
      <w:r>
        <w:rPr>
          <w:rFonts w:hint="eastAsia" w:ascii="宋体" w:hAnsi="宋体" w:cs="宋体"/>
          <w:b w:val="0"/>
          <w:bCs w:val="0"/>
          <w:color w:val="000000" w:themeColor="text1"/>
          <w:kern w:val="44"/>
          <w:sz w:val="24"/>
          <w:szCs w:val="24"/>
          <w:highlight w:val="none"/>
          <w:u w:val="single"/>
          <w:lang w:val="en-US" w:eastAsia="zh-CN" w:bidi="ar-SA"/>
          <w14:textFill>
            <w14:solidFill>
              <w14:schemeClr w14:val="tx1"/>
            </w14:solidFill>
          </w14:textFill>
        </w:rPr>
        <w:t>某支队蔬菜大棚建设项目</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招标项目的潜在投标人应在</w:t>
      </w:r>
      <w:r>
        <w:rPr>
          <w:rFonts w:hint="eastAsia" w:ascii="宋体" w:hAnsi="宋体" w:cs="宋体"/>
          <w:color w:val="000000" w:themeColor="text1"/>
          <w:sz w:val="24"/>
          <w:szCs w:val="24"/>
          <w:highlight w:val="none"/>
          <w:u w:val="single"/>
          <w:lang w:val="en-US" w:eastAsia="zh-CN"/>
          <w14:textFill>
            <w14:solidFill>
              <w14:schemeClr w14:val="tx1"/>
            </w14:solidFill>
          </w14:textFill>
        </w:rPr>
        <w:t>线下</w:t>
      </w:r>
      <w:r>
        <w:rPr>
          <w:rFonts w:hint="eastAsia" w:ascii="宋体" w:hAnsi="宋体" w:eastAsia="宋体" w:cs="宋体"/>
          <w:color w:val="000000" w:themeColor="text1"/>
          <w:sz w:val="24"/>
          <w:szCs w:val="24"/>
          <w:highlight w:val="none"/>
          <w14:textFill>
            <w14:solidFill>
              <w14:schemeClr w14:val="tx1"/>
            </w14:solidFill>
          </w14:textFill>
        </w:rPr>
        <w:t>获取招标文件，并于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202</w:t>
      </w:r>
      <w:r>
        <w:rPr>
          <w:rFonts w:hint="eastAsia" w:ascii="宋体" w:hAnsi="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08</w:t>
      </w:r>
      <w:r>
        <w:rPr>
          <w:rFonts w:hint="eastAsia" w:ascii="宋体" w:hAnsi="宋体" w:eastAsia="宋体" w:cs="宋体"/>
          <w:bCs/>
          <w:color w:val="000000" w:themeColor="text1"/>
          <w:sz w:val="24"/>
          <w:szCs w:val="24"/>
          <w:highlight w:val="none"/>
          <w:u w:val="single"/>
          <w14:textFill>
            <w14:solidFill>
              <w14:schemeClr w14:val="tx1"/>
            </w14:solidFill>
          </w14:textFill>
        </w:rPr>
        <w:t>日</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1</w:t>
      </w:r>
      <w:r>
        <w:rPr>
          <w:rFonts w:hint="eastAsia" w:ascii="宋体" w:hAnsi="宋体" w:cs="宋体"/>
          <w:bCs/>
          <w:color w:val="000000" w:themeColor="text1"/>
          <w:sz w:val="24"/>
          <w:szCs w:val="24"/>
          <w:highlight w:val="none"/>
          <w:u w:val="singl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u w:val="single"/>
          <w14:textFill>
            <w14:solidFill>
              <w14:schemeClr w14:val="tx1"/>
            </w14:solidFill>
          </w14:textFill>
        </w:rPr>
        <w:t>点</w:t>
      </w:r>
      <w:r>
        <w:rPr>
          <w:rFonts w:hint="eastAsia" w:ascii="宋体" w:hAnsi="宋体" w:cs="宋体"/>
          <w:bCs/>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bCs/>
          <w:color w:val="000000" w:themeColor="text1"/>
          <w:sz w:val="24"/>
          <w:szCs w:val="24"/>
          <w:highlight w:val="none"/>
          <w:u w:val="single"/>
          <w14:textFill>
            <w14:solidFill>
              <w14:schemeClr w14:val="tx1"/>
            </w14:solidFill>
          </w14:textFill>
        </w:rPr>
        <w:t>分（</w:t>
      </w:r>
      <w:r>
        <w:rPr>
          <w:rFonts w:hint="eastAsia" w:ascii="宋体" w:hAnsi="宋体" w:eastAsia="宋体" w:cs="宋体"/>
          <w:bCs/>
          <w:color w:val="000000" w:themeColor="text1"/>
          <w:sz w:val="24"/>
          <w:szCs w:val="24"/>
          <w:highlight w:val="none"/>
          <w14:textFill>
            <w14:solidFill>
              <w14:schemeClr w14:val="tx1"/>
            </w14:solidFill>
          </w14:textFill>
        </w:rPr>
        <w:t>北京时间）前递交投标文件</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000000" w:themeColor="text1"/>
          <w:sz w:val="24"/>
          <w:szCs w:val="24"/>
          <w:highlight w:val="none"/>
          <w14:textFill>
            <w14:solidFill>
              <w14:schemeClr w14:val="tx1"/>
            </w14:solidFill>
          </w14:textFill>
        </w:rPr>
      </w:pP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2" w:name="_Toc35393790"/>
      <w:bookmarkStart w:id="3" w:name="_Toc28359079"/>
      <w:bookmarkStart w:id="4" w:name="_Toc28359002"/>
      <w:bookmarkStart w:id="5" w:name="_Toc35393621"/>
      <w:bookmarkStart w:id="6" w:name="_Hlk24379207"/>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一、项目基本情况</w:t>
      </w:r>
      <w:bookmarkEnd w:id="2"/>
      <w:bookmarkEnd w:id="3"/>
      <w:bookmarkEnd w:id="4"/>
      <w:bookmarkEnd w:id="5"/>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项目编号：</w:t>
      </w:r>
      <w:r>
        <w:rPr>
          <w:rFonts w:hint="eastAsia" w:cs="宋体"/>
          <w:b w:val="0"/>
          <w:bCs w:val="0"/>
          <w:color w:val="000000" w:themeColor="text1"/>
          <w:kern w:val="44"/>
          <w:sz w:val="24"/>
          <w:szCs w:val="24"/>
          <w:highlight w:val="none"/>
          <w:lang w:val="en-US" w:eastAsia="zh-CN" w:bidi="ar-SA"/>
          <w14:textFill>
            <w14:solidFill>
              <w14:schemeClr w14:val="tx1"/>
            </w14:solidFill>
          </w14:textFill>
        </w:rPr>
        <w:t>MZDDPJS2021-01</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项目名称：</w:t>
      </w:r>
      <w:r>
        <w:rPr>
          <w:rFonts w:hint="eastAsia" w:cs="宋体"/>
          <w:b w:val="0"/>
          <w:bCs w:val="0"/>
          <w:color w:val="000000" w:themeColor="text1"/>
          <w:kern w:val="44"/>
          <w:sz w:val="24"/>
          <w:szCs w:val="24"/>
          <w:highlight w:val="none"/>
          <w:lang w:val="en-US" w:eastAsia="zh-CN" w:bidi="ar-SA"/>
          <w14:textFill>
            <w14:solidFill>
              <w14:schemeClr w14:val="tx1"/>
            </w14:solidFill>
          </w14:textFill>
        </w:rPr>
        <w:t>某支队蔬菜大棚建设项目</w:t>
      </w:r>
    </w:p>
    <w:bookmarkEnd w:id="6"/>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预算金额：</w:t>
      </w:r>
      <w:r>
        <w:rPr>
          <w:rFonts w:hint="eastAsia" w:cs="宋体"/>
          <w:b w:val="0"/>
          <w:bCs w:val="0"/>
          <w:color w:val="000000" w:themeColor="text1"/>
          <w:kern w:val="44"/>
          <w:sz w:val="24"/>
          <w:szCs w:val="24"/>
          <w:highlight w:val="none"/>
          <w:lang w:val="en-US" w:eastAsia="zh-CN" w:bidi="ar-SA"/>
          <w14:textFill>
            <w14:solidFill>
              <w14:schemeClr w14:val="tx1"/>
            </w14:solidFill>
          </w14:textFill>
        </w:rPr>
        <w:t>70</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万元</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最高限价：</w:t>
      </w:r>
      <w:r>
        <w:rPr>
          <w:rFonts w:hint="eastAsia" w:cs="宋体"/>
          <w:b w:val="0"/>
          <w:bCs w:val="0"/>
          <w:color w:val="000000" w:themeColor="text1"/>
          <w:kern w:val="44"/>
          <w:sz w:val="24"/>
          <w:szCs w:val="24"/>
          <w:highlight w:val="none"/>
          <w:lang w:val="en-US" w:eastAsia="zh-CN" w:bidi="ar-SA"/>
          <w14:textFill>
            <w14:solidFill>
              <w14:schemeClr w14:val="tx1"/>
            </w14:solidFill>
          </w14:textFill>
        </w:rPr>
        <w:t>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采购需求：详见招标文件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合同履行期限：详见招标文件</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本项目</w:t>
      </w:r>
      <w:r>
        <w:rPr>
          <w:rFonts w:hint="eastAsia" w:cs="宋体"/>
          <w:b w:val="0"/>
          <w:bCs w:val="0"/>
          <w:color w:val="000000" w:themeColor="text1"/>
          <w:kern w:val="44"/>
          <w:sz w:val="24"/>
          <w:szCs w:val="24"/>
          <w:highlight w:val="none"/>
          <w:lang w:val="en-US" w:eastAsia="zh-CN" w:bidi="ar-SA"/>
          <w14:textFill>
            <w14:solidFill>
              <w14:schemeClr w14:val="tx1"/>
            </w14:solidFill>
          </w14:textFill>
        </w:rPr>
        <w:t>不</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接受联合体投标。</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7" w:name="_Toc28359080"/>
      <w:bookmarkStart w:id="8" w:name="_Toc28359003"/>
      <w:bookmarkStart w:id="9" w:name="_Toc35393791"/>
      <w:bookmarkStart w:id="10" w:name="_Toc35393622"/>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二、申请人的资格要求：</w:t>
      </w:r>
      <w:bookmarkEnd w:id="7"/>
      <w:bookmarkEnd w:id="8"/>
      <w:bookmarkEnd w:id="9"/>
      <w:bookmarkEnd w:id="10"/>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w:t>
      </w:r>
      <w:r>
        <w:rPr>
          <w:rFonts w:hint="eastAsia" w:cs="宋体"/>
          <w:b w:val="0"/>
          <w:bCs w:val="0"/>
          <w:color w:val="000000" w:themeColor="text1"/>
          <w:kern w:val="44"/>
          <w:sz w:val="24"/>
          <w:szCs w:val="24"/>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满足《中华人民共和国政府采购法》第二十二条规定；</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11" w:name="_Toc28359081"/>
      <w:bookmarkStart w:id="12" w:name="_Toc28359004"/>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2、落实政府采购政策需满足的资格要求：按照《财政部 工业和信息化部关于印发&lt;政府采购促进中小企业发展管理办法&gt;的通知》（财库〔2020〕46号）的规定，落实促进中小企业发展政策</w:t>
      </w:r>
      <w:r>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3、本项目的特定资格要求</w:t>
      </w:r>
      <w:bookmarkStart w:id="13" w:name="_Toc35393792"/>
      <w:bookmarkStart w:id="14" w:name="_Toc35393623"/>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3.1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具有建设行政主管部门核发的建筑工程施工总承包</w:t>
      </w:r>
      <w:r>
        <w:rPr>
          <w:rFonts w:hint="eastAsia" w:cs="宋体"/>
          <w:b w:val="0"/>
          <w:bCs w:val="0"/>
          <w:color w:val="000000" w:themeColor="text1"/>
          <w:kern w:val="44"/>
          <w:sz w:val="24"/>
          <w:szCs w:val="24"/>
          <w:highlight w:val="none"/>
          <w:lang w:val="en-US" w:eastAsia="zh-CN" w:bidi="ar-SA"/>
          <w14:textFill>
            <w14:solidFill>
              <w14:schemeClr w14:val="tx1"/>
            </w14:solidFill>
          </w14:textFill>
        </w:rPr>
        <w:t>三</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级及以上资质和有效的安全生产许可证；</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3.2</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拟派项目负责人应具有建设行政主管部门核发的建筑工程贰级及以上建造师注册证书，并取得有效期内的安全生产考核合格证（A类或B类）。疆外申请人拟派的项目主要管理人员必须为《（202</w:t>
      </w:r>
      <w:r>
        <w:rPr>
          <w:rFonts w:hint="eastAsia" w:cs="宋体"/>
          <w:b w:val="0"/>
          <w:bCs w:val="0"/>
          <w:color w:val="000000" w:themeColor="text1"/>
          <w:kern w:val="44"/>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）年新疆维吾尔自治区区外进疆建筑企业信息报送册》中相对应的已登记人员；</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3.3</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疆外申请人应具有新疆维吾尔自治区住房和城乡建设厅出具的有效期内的《（202</w:t>
      </w:r>
      <w:r>
        <w:rPr>
          <w:rFonts w:hint="eastAsia" w:cs="宋体"/>
          <w:b w:val="0"/>
          <w:bCs w:val="0"/>
          <w:color w:val="000000" w:themeColor="text1"/>
          <w:kern w:val="44"/>
          <w:sz w:val="24"/>
          <w:szCs w:val="24"/>
          <w:highlight w:val="none"/>
          <w:lang w:val="en-US" w:eastAsia="zh-CN" w:bidi="ar-SA"/>
          <w14:textFill>
            <w14:solidFill>
              <w14:schemeClr w14:val="tx1"/>
            </w14:solidFill>
          </w14:textFill>
        </w:rPr>
        <w:t>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）年新疆维吾尔自治区区外进疆建筑企业信息报送册》且信息报送册中具备本招标公告要求的相应施工资质；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3.4</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在人员、设备、资金等方面具备相应的履约能力，没有处于被责令停业、投标资格被取消或暂停、财产被接管、冻结、破产状态</w:t>
      </w:r>
      <w:r>
        <w:rPr>
          <w:rFonts w:hint="eastAsia" w:cs="宋体"/>
          <w:b w:val="0"/>
          <w:bCs w:val="0"/>
          <w:color w:val="000000" w:themeColor="text1"/>
          <w:kern w:val="44"/>
          <w:sz w:val="24"/>
          <w:szCs w:val="24"/>
          <w:highlight w:val="none"/>
          <w:lang w:val="en-US" w:eastAsia="zh-CN" w:bidi="ar-SA"/>
          <w14:textFill>
            <w14:solidFill>
              <w14:schemeClr w14:val="tx1"/>
            </w14:solidFill>
          </w14:textFill>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三、获取招标文件</w:t>
      </w:r>
      <w:bookmarkEnd w:id="11"/>
      <w:bookmarkEnd w:id="12"/>
      <w:bookmarkEnd w:id="13"/>
      <w:bookmarkEnd w:id="1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时间：</w:t>
      </w: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年9月14日至</w:t>
      </w: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年9月22日</w:t>
      </w:r>
      <w:r>
        <w:rPr>
          <w:rFonts w:hint="eastAsia" w:eastAsia="宋体" w:cs="宋体"/>
          <w:b w:val="0"/>
          <w:bCs w:val="0"/>
          <w:color w:val="000000"/>
          <w:kern w:val="44"/>
          <w:sz w:val="24"/>
          <w:szCs w:val="24"/>
          <w:highlight w:val="none"/>
          <w:u w:val="single"/>
          <w:lang w:val="en-US" w:eastAsia="zh-CN" w:bidi="ar-SA"/>
        </w:rPr>
        <w:t xml:space="preserve"> 1</w:t>
      </w:r>
      <w:r>
        <w:rPr>
          <w:rFonts w:hint="eastAsia" w:cs="宋体"/>
          <w:b w:val="0"/>
          <w:bCs w:val="0"/>
          <w:color w:val="000000"/>
          <w:kern w:val="44"/>
          <w:sz w:val="24"/>
          <w:szCs w:val="24"/>
          <w:highlight w:val="none"/>
          <w:u w:val="single"/>
          <w:lang w:val="en-US" w:eastAsia="zh-CN" w:bidi="ar-SA"/>
        </w:rPr>
        <w:t>9</w:t>
      </w:r>
      <w:r>
        <w:rPr>
          <w:rFonts w:hint="eastAsia" w:eastAsia="宋体" w:cs="宋体"/>
          <w:b w:val="0"/>
          <w:bCs w:val="0"/>
          <w:color w:val="000000"/>
          <w:kern w:val="44"/>
          <w:sz w:val="24"/>
          <w:szCs w:val="24"/>
          <w:highlight w:val="none"/>
          <w:u w:val="single"/>
          <w:lang w:val="en-US" w:eastAsia="zh-CN" w:bidi="ar-SA"/>
        </w:rPr>
        <w:t>:00</w:t>
      </w:r>
      <w:r>
        <w:rPr>
          <w:rFonts w:hint="eastAsia" w:ascii="宋体" w:hAnsi="宋体" w:eastAsia="宋体" w:cs="宋体"/>
          <w:b w:val="0"/>
          <w:bCs w:val="0"/>
          <w:color w:val="000000"/>
          <w:kern w:val="44"/>
          <w:sz w:val="24"/>
          <w:szCs w:val="24"/>
          <w:highlight w:val="none"/>
          <w:u w:val="single"/>
          <w:lang w:val="en-US" w:eastAsia="zh-CN" w:bidi="ar-SA"/>
        </w:rPr>
        <w:t>（提供期限自本公告发布之日起不得少于5个工作日），每天上午</w:t>
      </w:r>
      <w:r>
        <w:rPr>
          <w:rFonts w:hint="eastAsia" w:eastAsia="宋体" w:cs="宋体"/>
          <w:b w:val="0"/>
          <w:bCs w:val="0"/>
          <w:color w:val="000000"/>
          <w:kern w:val="44"/>
          <w:sz w:val="24"/>
          <w:szCs w:val="24"/>
          <w:highlight w:val="none"/>
          <w:u w:val="single"/>
          <w:lang w:val="en-US" w:eastAsia="zh-CN" w:bidi="ar-SA"/>
        </w:rPr>
        <w:t>10:00</w:t>
      </w:r>
      <w:r>
        <w:rPr>
          <w:rFonts w:hint="eastAsia" w:ascii="宋体" w:hAnsi="宋体" w:eastAsia="宋体" w:cs="宋体"/>
          <w:b w:val="0"/>
          <w:bCs w:val="0"/>
          <w:color w:val="000000"/>
          <w:kern w:val="44"/>
          <w:sz w:val="24"/>
          <w:szCs w:val="24"/>
          <w:highlight w:val="none"/>
          <w:u w:val="single"/>
          <w:lang w:val="en-US" w:eastAsia="zh-CN" w:bidi="ar-SA"/>
        </w:rPr>
        <w:t>至</w:t>
      </w:r>
      <w:r>
        <w:rPr>
          <w:rFonts w:hint="eastAsia" w:eastAsia="宋体" w:cs="宋体"/>
          <w:b w:val="0"/>
          <w:bCs w:val="0"/>
          <w:color w:val="000000"/>
          <w:kern w:val="44"/>
          <w:sz w:val="24"/>
          <w:szCs w:val="24"/>
          <w:highlight w:val="none"/>
          <w:u w:val="single"/>
          <w:lang w:val="en-US" w:eastAsia="zh-CN" w:bidi="ar-SA"/>
        </w:rPr>
        <w:t>13:00</w:t>
      </w:r>
      <w:r>
        <w:rPr>
          <w:rFonts w:hint="eastAsia" w:ascii="宋体" w:hAnsi="宋体" w:eastAsia="宋体" w:cs="宋体"/>
          <w:b w:val="0"/>
          <w:bCs w:val="0"/>
          <w:color w:val="000000"/>
          <w:kern w:val="44"/>
          <w:sz w:val="24"/>
          <w:szCs w:val="24"/>
          <w:highlight w:val="none"/>
          <w:u w:val="single"/>
          <w:lang w:val="en-US" w:eastAsia="zh-CN" w:bidi="ar-SA"/>
        </w:rPr>
        <w:t>，</w:t>
      </w:r>
      <w:r>
        <w:rPr>
          <w:rFonts w:hint="eastAsia" w:eastAsia="宋体" w:cs="宋体"/>
          <w:b w:val="0"/>
          <w:bCs w:val="0"/>
          <w:color w:val="000000"/>
          <w:kern w:val="44"/>
          <w:sz w:val="24"/>
          <w:szCs w:val="24"/>
          <w:highlight w:val="none"/>
          <w:u w:val="single"/>
          <w:lang w:val="en-US" w:eastAsia="zh-CN" w:bidi="ar-SA"/>
        </w:rPr>
        <w:t>下午16:00</w:t>
      </w:r>
      <w:r>
        <w:rPr>
          <w:rFonts w:hint="eastAsia" w:ascii="宋体" w:hAnsi="宋体" w:eastAsia="宋体" w:cs="宋体"/>
          <w:b w:val="0"/>
          <w:bCs w:val="0"/>
          <w:color w:val="000000"/>
          <w:kern w:val="44"/>
          <w:sz w:val="24"/>
          <w:szCs w:val="24"/>
          <w:highlight w:val="none"/>
          <w:u w:val="single"/>
          <w:lang w:val="en-US" w:eastAsia="zh-CN" w:bidi="ar-SA"/>
        </w:rPr>
        <w:t>至</w:t>
      </w:r>
      <w:r>
        <w:rPr>
          <w:rFonts w:hint="eastAsia" w:eastAsia="宋体" w:cs="宋体"/>
          <w:b w:val="0"/>
          <w:bCs w:val="0"/>
          <w:color w:val="000000"/>
          <w:kern w:val="44"/>
          <w:sz w:val="24"/>
          <w:szCs w:val="24"/>
          <w:highlight w:val="none"/>
          <w:u w:val="single"/>
          <w:lang w:val="en-US" w:eastAsia="zh-CN" w:bidi="ar-SA"/>
        </w:rPr>
        <w:t>19:00</w:t>
      </w:r>
      <w:r>
        <w:rPr>
          <w:rFonts w:hint="eastAsia" w:ascii="宋体" w:hAnsi="宋体" w:eastAsia="宋体" w:cs="宋体"/>
          <w:b w:val="0"/>
          <w:bCs w:val="0"/>
          <w:color w:val="000000"/>
          <w:kern w:val="44"/>
          <w:sz w:val="24"/>
          <w:szCs w:val="24"/>
          <w:highlight w:val="none"/>
          <w:u w:val="single"/>
          <w:lang w:val="en-US" w:eastAsia="zh-CN" w:bidi="ar-SA"/>
        </w:rPr>
        <w:t>（北京时间，法定节假日除外）</w:t>
      </w:r>
      <w:r>
        <w:rPr>
          <w:rFonts w:hint="eastAsia" w:cs="宋体"/>
          <w:b w:val="0"/>
          <w:bCs w:val="0"/>
          <w:color w:val="000000"/>
          <w:kern w:val="44"/>
          <w:sz w:val="24"/>
          <w:szCs w:val="24"/>
          <w:highlight w:val="none"/>
          <w:u w:val="single"/>
          <w:lang w:val="en-US" w:eastAsia="zh-CN" w:bidi="ar-SA"/>
        </w:rPr>
        <w:t>。</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地点：新疆天麒工程项目管理咨询有限责任公司二楼招标代理部205室（克拉玛依市通讯路44号）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方式：</w:t>
      </w:r>
      <w:r>
        <w:rPr>
          <w:rFonts w:hint="eastAsia" w:cs="宋体"/>
          <w:b w:val="0"/>
          <w:bCs w:val="0"/>
          <w:color w:val="000000" w:themeColor="text1"/>
          <w:kern w:val="44"/>
          <w:sz w:val="24"/>
          <w:szCs w:val="24"/>
          <w:highlight w:val="none"/>
          <w:lang w:val="en-US" w:eastAsia="zh-CN" w:bidi="ar-SA"/>
          <w14:textFill>
            <w14:solidFill>
              <w14:schemeClr w14:val="tx1"/>
            </w14:solidFill>
          </w14:textFill>
        </w:rPr>
        <w:t>线下获取</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售价：</w:t>
      </w:r>
      <w:r>
        <w:rPr>
          <w:rFonts w:hint="eastAsia" w:eastAsia="宋体" w:cs="宋体"/>
          <w:b w:val="0"/>
          <w:bCs w:val="0"/>
          <w:color w:val="000000" w:themeColor="text1"/>
          <w:kern w:val="44"/>
          <w:sz w:val="24"/>
          <w:szCs w:val="24"/>
          <w:highlight w:val="none"/>
          <w:lang w:val="en-US" w:eastAsia="zh-CN" w:bidi="ar-SA"/>
          <w14:textFill>
            <w14:solidFill>
              <w14:schemeClr w14:val="tx1"/>
            </w14:solidFill>
          </w14:textFill>
        </w:rPr>
        <w:t>200元/份</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15" w:name="_Toc28359005"/>
      <w:bookmarkStart w:id="16" w:name="_Toc28359082"/>
      <w:bookmarkStart w:id="17" w:name="_Toc35393793"/>
      <w:bookmarkStart w:id="18" w:name="_Toc35393624"/>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四、提交投标文件</w:t>
      </w:r>
      <w:bookmarkEnd w:id="15"/>
      <w:bookmarkEnd w:id="16"/>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截止时间、开标时间和地点</w:t>
      </w:r>
      <w:bookmarkEnd w:id="17"/>
      <w:bookmarkEnd w:id="1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pPr>
      <w:r>
        <w:rPr>
          <w:rFonts w:hint="eastAsia" w:eastAsia="宋体" w:cs="宋体"/>
          <w:b w:val="0"/>
          <w:bCs w:val="0"/>
          <w:color w:val="000000"/>
          <w:kern w:val="44"/>
          <w:sz w:val="24"/>
          <w:szCs w:val="24"/>
          <w:highlight w:val="none"/>
          <w:u w:val="single"/>
          <w:lang w:val="en-US" w:eastAsia="zh-CN" w:bidi="ar-SA"/>
        </w:rPr>
        <w:t>202</w:t>
      </w:r>
      <w:r>
        <w:rPr>
          <w:rFonts w:hint="eastAsia" w:cs="宋体"/>
          <w:b w:val="0"/>
          <w:bCs w:val="0"/>
          <w:color w:val="000000"/>
          <w:kern w:val="44"/>
          <w:sz w:val="24"/>
          <w:szCs w:val="24"/>
          <w:highlight w:val="none"/>
          <w:u w:val="single"/>
          <w:lang w:val="en-US" w:eastAsia="zh-CN" w:bidi="ar-SA"/>
        </w:rPr>
        <w:t>1</w:t>
      </w:r>
      <w:r>
        <w:rPr>
          <w:rFonts w:hint="eastAsia" w:ascii="宋体" w:hAnsi="宋体" w:eastAsia="宋体" w:cs="宋体"/>
          <w:b w:val="0"/>
          <w:bCs w:val="0"/>
          <w:color w:val="000000"/>
          <w:kern w:val="44"/>
          <w:sz w:val="24"/>
          <w:szCs w:val="24"/>
          <w:highlight w:val="none"/>
          <w:u w:val="single"/>
          <w:lang w:val="en-US" w:eastAsia="zh-CN" w:bidi="ar-SA"/>
        </w:rPr>
        <w:t>年10月08日</w:t>
      </w:r>
      <w:r>
        <w:rPr>
          <w:rFonts w:hint="eastAsia" w:eastAsia="宋体" w:cs="宋体"/>
          <w:b w:val="0"/>
          <w:bCs w:val="0"/>
          <w:color w:val="000000"/>
          <w:kern w:val="44"/>
          <w:sz w:val="24"/>
          <w:szCs w:val="24"/>
          <w:highlight w:val="none"/>
          <w:u w:val="single"/>
          <w:lang w:val="en-US" w:eastAsia="zh-CN" w:bidi="ar-SA"/>
        </w:rPr>
        <w:t>16</w:t>
      </w:r>
      <w:r>
        <w:rPr>
          <w:rFonts w:hint="eastAsia" w:ascii="宋体" w:hAnsi="宋体" w:eastAsia="宋体" w:cs="宋体"/>
          <w:b w:val="0"/>
          <w:bCs w:val="0"/>
          <w:color w:val="000000"/>
          <w:kern w:val="44"/>
          <w:sz w:val="24"/>
          <w:szCs w:val="24"/>
          <w:highlight w:val="none"/>
          <w:u w:val="single"/>
          <w:lang w:val="en-US" w:eastAsia="zh-CN" w:bidi="ar-SA"/>
        </w:rPr>
        <w:t>点</w:t>
      </w:r>
      <w:r>
        <w:rPr>
          <w:rFonts w:hint="eastAsia" w:cs="宋体"/>
          <w:b w:val="0"/>
          <w:bCs w:val="0"/>
          <w:color w:val="000000"/>
          <w:kern w:val="44"/>
          <w:sz w:val="24"/>
          <w:szCs w:val="24"/>
          <w:highlight w:val="none"/>
          <w:u w:val="single"/>
          <w:lang w:val="en-US" w:eastAsia="zh-CN" w:bidi="ar-SA"/>
        </w:rPr>
        <w:t>30</w:t>
      </w:r>
      <w:r>
        <w:rPr>
          <w:rFonts w:hint="eastAsia" w:ascii="宋体" w:hAnsi="宋体" w:eastAsia="宋体" w:cs="宋体"/>
          <w:b w:val="0"/>
          <w:bCs w:val="0"/>
          <w:color w:val="000000"/>
          <w:kern w:val="44"/>
          <w:sz w:val="24"/>
          <w:szCs w:val="24"/>
          <w:highlight w:val="none"/>
          <w:u w:val="single"/>
          <w:lang w:val="en-US" w:eastAsia="zh-CN" w:bidi="ar-SA"/>
        </w:rPr>
        <w:t>分</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（北京时间）</w:t>
      </w:r>
      <w:r>
        <w:rPr>
          <w:rFonts w:hint="eastAsia" w:ascii="宋体" w:hAnsi="宋体" w:eastAsia="宋体" w:cs="宋体"/>
          <w:b w:val="0"/>
          <w:bCs w:val="0"/>
          <w:color w:val="000000" w:themeColor="text1"/>
          <w:kern w:val="44"/>
          <w:sz w:val="24"/>
          <w:szCs w:val="24"/>
          <w:highlight w:val="none"/>
          <w:u w:val="single"/>
          <w:lang w:val="en-US" w:eastAsia="zh-CN" w:bidi="ar-SA"/>
          <w14:textFill>
            <w14:solidFill>
              <w14:schemeClr w14:val="tx1"/>
            </w14:solidFill>
          </w14:textFill>
        </w:rPr>
        <w:t>（自招标文件开始发出之日起至投标人提交投标文件截止之日止，不得少于20日）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default"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地点：新疆天麒工程项目管理咨询有限责任公司一楼评标室（克拉玛依市通讯路44号）</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19" w:name="_Toc35393794"/>
      <w:bookmarkStart w:id="20" w:name="_Toc28359084"/>
      <w:bookmarkStart w:id="21" w:name="_Toc28359007"/>
      <w:bookmarkStart w:id="22" w:name="_Toc35393625"/>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五、公告期限</w:t>
      </w:r>
      <w:bookmarkEnd w:id="19"/>
      <w:bookmarkEnd w:id="20"/>
      <w:bookmarkEnd w:id="21"/>
      <w:bookmarkEnd w:id="22"/>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自本公告发布之日起5个工作日。</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bookmarkStart w:id="23" w:name="_Toc35393795"/>
      <w:bookmarkStart w:id="24" w:name="_Toc35393626"/>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六、其他补充事宜</w:t>
      </w:r>
      <w:bookmarkEnd w:id="23"/>
      <w:bookmarkEnd w:id="24"/>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bookmarkStart w:id="25" w:name="_Toc28359008"/>
      <w:bookmarkStart w:id="26" w:name="_Toc35393627"/>
      <w:bookmarkStart w:id="27" w:name="_Toc35393796"/>
      <w:bookmarkStart w:id="28" w:name="_Toc28359085"/>
      <w:r>
        <w:rPr>
          <w:rFonts w:hint="eastAsia" w:cs="宋体"/>
          <w:b w:val="0"/>
          <w:bCs w:val="0"/>
          <w:color w:val="000000" w:themeColor="text1"/>
          <w:kern w:val="44"/>
          <w:sz w:val="24"/>
          <w:szCs w:val="24"/>
          <w:highlight w:val="none"/>
          <w:lang w:val="en-US" w:eastAsia="zh-CN" w:bidi="ar-SA"/>
          <w14:textFill>
            <w14:solidFill>
              <w14:schemeClr w14:val="tx1"/>
            </w14:solidFill>
          </w14:textFill>
        </w:rPr>
        <w:t>1、填</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写《</w:t>
      </w:r>
      <w:r>
        <w:rPr>
          <w:rFonts w:hint="eastAsia" w:cs="宋体"/>
          <w:b w:val="0"/>
          <w:bCs w:val="0"/>
          <w:color w:val="000000" w:themeColor="text1"/>
          <w:kern w:val="44"/>
          <w:sz w:val="24"/>
          <w:szCs w:val="24"/>
          <w:highlight w:val="none"/>
          <w:lang w:val="en-US" w:eastAsia="zh-CN" w:bidi="ar-SA"/>
          <w14:textFill>
            <w14:solidFill>
              <w14:schemeClr w14:val="tx1"/>
            </w14:solidFill>
          </w14:textFill>
        </w:rPr>
        <w:t>投标人</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参加政府采购项目申请表》和《政府采购诚信承诺书》，将《申请表》、《政府采购诚信承诺书》及招标文件费交纳凭证扫描件一同发送至邮箱</w:t>
      </w:r>
      <w:r>
        <w:rPr>
          <w:rFonts w:hint="eastAsia" w:cs="宋体"/>
          <w:b w:val="0"/>
          <w:bCs w:val="0"/>
          <w:color w:val="000000" w:themeColor="text1"/>
          <w:kern w:val="44"/>
          <w:sz w:val="24"/>
          <w:szCs w:val="24"/>
          <w:highlight w:val="none"/>
          <w:lang w:val="en-US" w:eastAsia="zh-CN" w:bidi="ar-SA"/>
          <w14:textFill>
            <w14:solidFill>
              <w14:schemeClr w14:val="tx1"/>
            </w14:solidFill>
          </w14:textFill>
        </w:rPr>
        <w:t>453430273</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@qq.com，邮件名称必须为：项目名称+项目编号+投标人名称，未提交申请表及文件费交纳凭证的投标人不得参加采购活动。申请表必须填写完整并加盖公章。</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cs="宋体"/>
          <w:b w:val="0"/>
          <w:bCs w:val="0"/>
          <w:color w:val="000000" w:themeColor="text1"/>
          <w:kern w:val="44"/>
          <w:sz w:val="24"/>
          <w:szCs w:val="24"/>
          <w:highlight w:val="none"/>
          <w:lang w:val="en-US" w:eastAsia="zh-CN" w:bidi="ar-SA"/>
          <w14:textFill>
            <w14:solidFill>
              <w14:schemeClr w14:val="tx1"/>
            </w14:solidFill>
          </w14:textFill>
        </w:rPr>
        <w:t>2、</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参加现场交易活动的所有人员须自行全程佩戴口罩，配合进行体温检测和身份登记，符合疫情防控要求方可参加现场交易活动。</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firstLineChars="200"/>
        <w:textAlignment w:val="auto"/>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44"/>
          <w:sz w:val="24"/>
          <w:szCs w:val="24"/>
          <w:highlight w:val="none"/>
          <w:lang w:val="en-US" w:eastAsia="zh-CN" w:bidi="ar-SA"/>
          <w14:textFill>
            <w14:solidFill>
              <w14:schemeClr w14:val="tx1"/>
            </w14:solidFill>
          </w14:textFill>
        </w:rPr>
        <w:t>七、对本次招标提出询问，请按以下方式联系。</w:t>
      </w:r>
      <w:bookmarkEnd w:id="25"/>
      <w:bookmarkEnd w:id="26"/>
      <w:bookmarkEnd w:id="27"/>
      <w:bookmarkEnd w:id="28"/>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1.采购人信息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cs="宋体"/>
          <w:color w:val="000000" w:themeColor="text1"/>
          <w:sz w:val="24"/>
          <w:szCs w:val="24"/>
          <w:highlight w:val="none"/>
          <w:u w:val="single"/>
          <w:lang w:val="en-US" w:eastAsia="zh-CN"/>
          <w14:textFill>
            <w14:solidFill>
              <w14:schemeClr w14:val="tx1"/>
            </w14:solidFill>
          </w14:textFill>
        </w:rPr>
        <w:t>某支队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u w:val="single"/>
          <w:lang w:val="en-US" w:eastAsia="zh-CN"/>
          <w14:textFill>
            <w14:solidFill>
              <w14:schemeClr w14:val="tx1"/>
            </w14:solidFill>
          </w14:textFill>
        </w:rPr>
        <w:t>克拉玛依市</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eastAsia" w:ascii="宋体" w:hAnsi="宋体" w:cs="宋体"/>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right="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　　</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xml:space="preserve">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r>
        <w:rPr>
          <w:rFonts w:hint="eastAsia" w:ascii="宋体" w:hAnsi="宋体" w:eastAsia="宋体" w:cs="宋体"/>
          <w:color w:val="000000" w:themeColor="text1"/>
          <w:sz w:val="24"/>
          <w:szCs w:val="24"/>
          <w:highlight w:val="none"/>
          <w:u w:val="single"/>
          <w14:textFill>
            <w14:solidFill>
              <w14:schemeClr w14:val="tx1"/>
            </w14:solidFill>
          </w14:textFill>
        </w:rPr>
        <w:t>新疆天麒工程项目管理咨询有限责任公司</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新疆克拉玛依市通讯路44号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0990-6222961</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　　　　　　　　　　</w:t>
      </w:r>
    </w:p>
    <w:p>
      <w:pPr>
        <w:pStyle w:val="5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firstLineChars="200"/>
        <w:textAlignment w:val="auto"/>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3.项目联系方式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项目联系人：</w:t>
      </w:r>
      <w:r>
        <w:rPr>
          <w:rFonts w:hint="eastAsia" w:ascii="宋体" w:hAnsi="宋体" w:cs="宋体"/>
          <w:color w:val="000000" w:themeColor="text1"/>
          <w:sz w:val="24"/>
          <w:szCs w:val="24"/>
          <w:highlight w:val="none"/>
          <w:u w:val="single"/>
          <w:lang w:val="en-US" w:eastAsia="zh-CN"/>
          <w14:textFill>
            <w14:solidFill>
              <w14:schemeClr w14:val="tx1"/>
            </w14:solidFill>
          </w14:textFill>
        </w:rPr>
        <w:t>字太龙</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（采购人）   王敏、</w:t>
      </w:r>
      <w:r>
        <w:rPr>
          <w:rFonts w:hint="eastAsia" w:ascii="宋体" w:hAnsi="宋体" w:cs="宋体"/>
          <w:color w:val="000000" w:themeColor="text1"/>
          <w:sz w:val="24"/>
          <w:szCs w:val="24"/>
          <w:highlight w:val="none"/>
          <w:u w:val="single"/>
          <w:lang w:val="en-US" w:eastAsia="zh-CN"/>
          <w14:textFill>
            <w14:solidFill>
              <w14:schemeClr w14:val="tx1"/>
            </w14:solidFill>
          </w14:textFill>
        </w:rPr>
        <w:t>阚荷彬</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（采购代理机构）</w:t>
      </w:r>
    </w:p>
    <w:p>
      <w:pPr>
        <w:pStyle w:val="51"/>
        <w:keepNext w:val="0"/>
        <w:keepLines w:val="0"/>
        <w:pageBreakBefore w:val="0"/>
        <w:kinsoku/>
        <w:wordWrap/>
        <w:overflowPunct/>
        <w:topLinePunct w:val="0"/>
        <w:autoSpaceDE/>
        <w:autoSpaceDN/>
        <w:bidi w:val="0"/>
        <w:adjustRightInd/>
        <w:snapToGrid w:val="0"/>
        <w:spacing w:before="0" w:beforeAutospacing="0" w:after="0" w:afterAutospacing="0" w:line="3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w:t>
      </w:r>
      <w:r>
        <w:rPr>
          <w:rFonts w:hint="eastAsia"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0990-6280079</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、0990-6222961</w:t>
      </w:r>
    </w:p>
    <w:p>
      <w:pPr>
        <w:spacing w:line="30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第二章  投标人须知</w:t>
      </w:r>
    </w:p>
    <w:tbl>
      <w:tblPr>
        <w:tblStyle w:val="57"/>
        <w:tblpPr w:leftFromText="180" w:rightFromText="180" w:vertAnchor="text" w:horzAnchor="margin" w:tblpXSpec="center" w:tblpY="815"/>
        <w:tblW w:w="11001"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0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77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0231"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70" w:type="dxa"/>
            <w:vAlign w:val="center"/>
          </w:tcPr>
          <w:p>
            <w:pPr>
              <w:pStyle w:val="35"/>
              <w:keepNext w:val="0"/>
              <w:keepLines w:val="0"/>
              <w:pageBreakBefore w:val="0"/>
              <w:kinsoku/>
              <w:wordWrap/>
              <w:overflowPunct/>
              <w:topLinePunct w:val="0"/>
              <w:autoSpaceDE/>
              <w:autoSpaceDN/>
              <w:bidi w:val="0"/>
              <w:adjustRightInd/>
              <w:snapToGrid/>
              <w:spacing w:line="340" w:lineRule="exact"/>
              <w:ind w:left="0" w:leftChars="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0231" w:type="dxa"/>
            <w:vAlign w:val="center"/>
          </w:tcPr>
          <w:p>
            <w:pPr>
              <w:pStyle w:val="51"/>
              <w:keepNext w:val="0"/>
              <w:keepLines w:val="0"/>
              <w:pageBreakBefore w:val="0"/>
              <w:kinsoku/>
              <w:wordWrap/>
              <w:overflowPunct/>
              <w:topLinePunct w:val="0"/>
              <w:autoSpaceDE/>
              <w:autoSpaceDN/>
              <w:bidi w:val="0"/>
              <w:adjustRightInd/>
              <w:snapToGrid/>
              <w:spacing w:before="0" w:beforeAutospacing="0" w:after="0" w:afterAutospacing="0" w:line="340" w:lineRule="exact"/>
              <w:textAlignment w:val="auto"/>
              <w:rPr>
                <w:rFonts w:hint="eastAsia" w:cs="宋体"/>
                <w:color w:val="000000" w:themeColor="text1"/>
                <w:highlight w:val="none"/>
                <w:lang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项目名称：某支队蔬菜大棚建设项目</w:t>
            </w:r>
          </w:p>
          <w:p>
            <w:pPr>
              <w:pStyle w:val="51"/>
              <w:keepNext w:val="0"/>
              <w:keepLines w:val="0"/>
              <w:pageBreakBefore w:val="0"/>
              <w:kinsoku/>
              <w:wordWrap/>
              <w:overflowPunct/>
              <w:topLinePunct w:val="0"/>
              <w:autoSpaceDE/>
              <w:autoSpaceDN/>
              <w:bidi w:val="0"/>
              <w:adjustRightInd/>
              <w:snapToGrid/>
              <w:spacing w:before="0" w:beforeAutospacing="0" w:after="0" w:afterAutospacing="0" w:line="340" w:lineRule="exact"/>
              <w:textAlignment w:val="auto"/>
              <w:rPr>
                <w:rFonts w:hint="default"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eastAsia="zh-CN"/>
                <w14:textFill>
                  <w14:solidFill>
                    <w14:schemeClr w14:val="tx1"/>
                  </w14:solidFill>
                </w14:textFill>
              </w:rPr>
              <w:t>招标文件编号：</w:t>
            </w:r>
            <w:r>
              <w:rPr>
                <w:rFonts w:hint="eastAsia" w:cs="宋体"/>
                <w:color w:val="000000" w:themeColor="text1"/>
                <w:highlight w:val="none"/>
                <w:lang w:val="en-US" w:eastAsia="zh-CN"/>
                <w14:textFill>
                  <w14:solidFill>
                    <w14:schemeClr w14:val="tx1"/>
                  </w14:solidFill>
                </w14:textFill>
              </w:rPr>
              <w:t>MZDDPJS2021-01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340" w:lineRule="exact"/>
              <w:jc w:val="center"/>
              <w:textAlignment w:val="auto"/>
              <w:rPr>
                <w:rFonts w:cs="宋体"/>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2</w:t>
            </w:r>
          </w:p>
        </w:tc>
        <w:tc>
          <w:tcPr>
            <w:tcW w:w="10231" w:type="dxa"/>
            <w:vAlign w:val="center"/>
          </w:tcPr>
          <w:p>
            <w:pPr>
              <w:pStyle w:val="33"/>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采购人：</w:t>
            </w:r>
            <w:r>
              <w:rPr>
                <w:rFonts w:hint="eastAsia" w:hAnsi="宋体" w:cs="宋体"/>
                <w:color w:val="000000" w:themeColor="text1"/>
                <w:kern w:val="0"/>
                <w:sz w:val="24"/>
                <w:szCs w:val="24"/>
                <w:highlight w:val="none"/>
                <w:lang w:val="en-US" w:eastAsia="zh-CN" w:bidi="ar-SA"/>
                <w14:textFill>
                  <w14:solidFill>
                    <w14:schemeClr w14:val="tx1"/>
                  </w14:solidFill>
                </w14:textFill>
              </w:rPr>
              <w:t>某支队</w:t>
            </w:r>
          </w:p>
          <w:p>
            <w:pPr>
              <w:pStyle w:val="33"/>
              <w:keepNext w:val="0"/>
              <w:keepLines w:val="0"/>
              <w:pageBreakBefore w:val="0"/>
              <w:kinsoku/>
              <w:wordWrap/>
              <w:overflowPunct/>
              <w:topLinePunct w:val="0"/>
              <w:autoSpaceDE/>
              <w:autoSpaceDN/>
              <w:bidi w:val="0"/>
              <w:adjustRightInd/>
              <w:snapToGrid/>
              <w:spacing w:line="340" w:lineRule="exact"/>
              <w:textAlignment w:val="auto"/>
              <w:outlineLvl w:val="9"/>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地  址：</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克拉玛依市    </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邮政编码：8340</w:t>
            </w:r>
            <w:r>
              <w:rPr>
                <w:rFonts w:hint="eastAsia" w:hAnsi="宋体" w:cs="宋体"/>
                <w:color w:val="000000" w:themeColor="text1"/>
                <w:kern w:val="0"/>
                <w:sz w:val="24"/>
                <w:szCs w:val="24"/>
                <w:highlight w:val="none"/>
                <w:lang w:val="en-US" w:eastAsia="zh-CN" w:bidi="ar-SA"/>
                <w14:textFill>
                  <w14:solidFill>
                    <w14:schemeClr w14:val="tx1"/>
                  </w14:solidFill>
                </w14:textFill>
              </w:rPr>
              <w:t>00</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p>
          <w:p>
            <w:pPr>
              <w:pStyle w:val="33"/>
              <w:keepNext w:val="0"/>
              <w:keepLines w:val="0"/>
              <w:pageBreakBefore w:val="0"/>
              <w:kinsoku/>
              <w:wordWrap/>
              <w:overflowPunct/>
              <w:topLinePunct w:val="0"/>
              <w:autoSpaceDE/>
              <w:autoSpaceDN/>
              <w:bidi w:val="0"/>
              <w:adjustRightInd/>
              <w:snapToGrid/>
              <w:spacing w:line="340" w:lineRule="exact"/>
              <w:textAlignment w:val="auto"/>
              <w:outlineLvl w:val="9"/>
              <w:rPr>
                <w:rFonts w:hint="default"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联系人：</w:t>
            </w:r>
            <w:r>
              <w:rPr>
                <w:rFonts w:hint="eastAsia" w:hAnsi="宋体" w:cs="宋体"/>
                <w:color w:val="000000" w:themeColor="text1"/>
                <w:kern w:val="0"/>
                <w:sz w:val="24"/>
                <w:szCs w:val="24"/>
                <w:highlight w:val="none"/>
                <w:lang w:val="en-US" w:eastAsia="zh-CN" w:bidi="ar-SA"/>
                <w14:textFill>
                  <w14:solidFill>
                    <w14:schemeClr w14:val="tx1"/>
                  </w14:solidFill>
                </w14:textFill>
              </w:rPr>
              <w:t>字太龙</w:t>
            </w: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 xml:space="preserve">         </w:t>
            </w:r>
            <w:r>
              <w:rPr>
                <w:rFonts w:hint="eastAsia" w:hAnsi="宋体" w:cs="宋体"/>
                <w:color w:val="000000" w:themeColor="text1"/>
                <w:kern w:val="0"/>
                <w:sz w:val="24"/>
                <w:szCs w:val="24"/>
                <w:highlight w:val="none"/>
                <w:lang w:val="en-US" w:eastAsia="zh-CN" w:bidi="ar-SA"/>
                <w14:textFill>
                  <w14:solidFill>
                    <w14:schemeClr w14:val="tx1"/>
                  </w14:solidFill>
                </w14:textFill>
              </w:rPr>
              <w:t xml:space="preserve">      联系电话：</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0990-6280079</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3</w:t>
            </w:r>
          </w:p>
        </w:tc>
        <w:tc>
          <w:tcPr>
            <w:tcW w:w="10231" w:type="dxa"/>
            <w:vAlign w:val="center"/>
          </w:tcPr>
          <w:p>
            <w:pPr>
              <w:pStyle w:val="33"/>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采购代理机构：新疆天麒工程项目管理咨询有限责任公司</w:t>
            </w:r>
          </w:p>
          <w:p>
            <w:pPr>
              <w:pStyle w:val="33"/>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地址：克拉玛依市通讯路44号     邮政编码：834000</w:t>
            </w:r>
          </w:p>
          <w:p>
            <w:pPr>
              <w:pStyle w:val="33"/>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联系人：王敏 </w:t>
            </w:r>
            <w:r>
              <w:rPr>
                <w:rFonts w:hint="eastAsia" w:hAnsi="宋体" w:cs="宋体"/>
                <w:color w:val="000000" w:themeColor="text1"/>
                <w:kern w:val="2"/>
                <w:sz w:val="24"/>
                <w:szCs w:val="24"/>
                <w:highlight w:val="none"/>
                <w:lang w:val="en-US" w:eastAsia="zh-CN"/>
                <w14:textFill>
                  <w14:solidFill>
                    <w14:schemeClr w14:val="tx1"/>
                  </w14:solidFill>
                </w14:textFill>
              </w:rPr>
              <w:t xml:space="preserve">  阚荷彬</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 xml:space="preserve">           </w:t>
            </w:r>
            <w:r>
              <w:rPr>
                <w:rFonts w:hint="eastAsia" w:hAnsi="宋体" w:cs="宋体"/>
                <w:color w:val="000000" w:themeColor="text1"/>
                <w:kern w:val="2"/>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联系电话：0990-</w:t>
            </w:r>
            <w:r>
              <w:rPr>
                <w:rFonts w:hint="eastAsia" w:hAnsi="宋体" w:cs="宋体"/>
                <w:color w:val="000000" w:themeColor="text1"/>
                <w:kern w:val="2"/>
                <w:sz w:val="24"/>
                <w:szCs w:val="24"/>
                <w:highlight w:val="none"/>
                <w:lang w:val="en-US" w:eastAsia="zh-CN"/>
                <w14:textFill>
                  <w14:solidFill>
                    <w14:schemeClr w14:val="tx1"/>
                  </w14:solidFill>
                </w14:textFill>
              </w:rPr>
              <w:t>6222961</w:t>
            </w:r>
          </w:p>
          <w:p>
            <w:pPr>
              <w:pStyle w:val="33"/>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开户行：中国工商银行股份有限公司克拉玛依石油分行</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行号：102882000037</w:t>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br w:type="textWrapping"/>
            </w:r>
            <w:r>
              <w:rPr>
                <w:rFonts w:hint="eastAsia" w:ascii="宋体" w:hAnsi="宋体" w:eastAsia="宋体" w:cs="宋体"/>
                <w:b/>
                <w:bCs/>
                <w:color w:val="000000" w:themeColor="text1"/>
                <w:kern w:val="2"/>
                <w:sz w:val="24"/>
                <w:szCs w:val="24"/>
                <w:highlight w:val="none"/>
                <w:lang w:val="en-US" w:eastAsia="zh-CN"/>
                <w14:textFill>
                  <w14:solidFill>
                    <w14:schemeClr w14:val="tx1"/>
                  </w14:solidFill>
                </w14:textFill>
              </w:rPr>
              <w:t>银行账号：3003020209024539038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7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4</w:t>
            </w:r>
          </w:p>
        </w:tc>
        <w:tc>
          <w:tcPr>
            <w:tcW w:w="10231" w:type="dxa"/>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投标有效期：递交投标文件截止日起</w:t>
            </w:r>
            <w:r>
              <w:rPr>
                <w:rFonts w:hint="eastAsia" w:ascii="宋体" w:hAnsi="宋体" w:cs="宋体"/>
                <w:color w:val="000000" w:themeColor="text1"/>
                <w:sz w:val="24"/>
                <w:highlight w:val="none"/>
                <w:lang w:val="en-US" w:eastAsia="zh-CN"/>
                <w14:textFill>
                  <w14:solidFill>
                    <w14:schemeClr w14:val="tx1"/>
                  </w14:solidFill>
                </w14:textFill>
              </w:rPr>
              <w:t>90天</w:t>
            </w:r>
            <w:r>
              <w:rPr>
                <w:rFonts w:hint="eastAsia" w:ascii="宋体" w:hAnsi="宋体" w:cs="宋体"/>
                <w:color w:val="000000" w:themeColor="text1"/>
                <w:sz w:val="24"/>
                <w:highlight w:val="none"/>
                <w14:textFill>
                  <w14:solidFill>
                    <w14:schemeClr w14:val="tx1"/>
                  </w14:solidFill>
                </w14:textFill>
              </w:rPr>
              <w:t>（日历日）</w:t>
            </w:r>
            <w:r>
              <w:rPr>
                <w:rFonts w:hint="eastAsia" w:ascii="宋体" w:hAnsi="宋体" w:cs="宋体"/>
                <w:color w:val="000000" w:themeColor="text1"/>
                <w:sz w:val="24"/>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340" w:lineRule="exact"/>
              <w:jc w:val="center"/>
              <w:textAlignment w:val="auto"/>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5</w:t>
            </w:r>
          </w:p>
        </w:tc>
        <w:tc>
          <w:tcPr>
            <w:tcW w:w="10231" w:type="dxa"/>
            <w:vAlign w:val="center"/>
          </w:tcPr>
          <w:p>
            <w:pPr>
              <w:pStyle w:val="33"/>
              <w:keepNext w:val="0"/>
              <w:keepLines w:val="0"/>
              <w:pageBreakBefore w:val="0"/>
              <w:kinsoku/>
              <w:wordWrap/>
              <w:overflowPunct/>
              <w:topLinePunct w:val="0"/>
              <w:autoSpaceDE/>
              <w:autoSpaceDN/>
              <w:bidi w:val="0"/>
              <w:adjustRightInd/>
              <w:snapToGrid/>
              <w:spacing w:line="340" w:lineRule="exact"/>
              <w:jc w:val="left"/>
              <w:textAlignment w:val="auto"/>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kern w:val="2"/>
                <w:sz w:val="24"/>
                <w:szCs w:val="24"/>
                <w14:textFill>
                  <w14:solidFill>
                    <w14:schemeClr w14:val="tx1"/>
                  </w14:solidFill>
                </w14:textFill>
              </w:rPr>
              <w:t>投标文件的份数：</w:t>
            </w:r>
            <w:r>
              <w:rPr>
                <w:rFonts w:hint="eastAsia" w:hAnsi="宋体" w:cs="宋体"/>
                <w:b/>
                <w:color w:val="000000" w:themeColor="text1"/>
                <w:kern w:val="2"/>
                <w:sz w:val="24"/>
                <w:szCs w:val="24"/>
                <w14:textFill>
                  <w14:solidFill>
                    <w14:schemeClr w14:val="tx1"/>
                  </w14:solidFill>
                </w14:textFill>
              </w:rPr>
              <w:t>一式</w:t>
            </w:r>
            <w:r>
              <w:rPr>
                <w:rFonts w:hint="eastAsia" w:hAnsi="宋体" w:cs="宋体"/>
                <w:b/>
                <w:color w:val="000000" w:themeColor="text1"/>
                <w:kern w:val="2"/>
                <w:sz w:val="24"/>
                <w:szCs w:val="24"/>
                <w:lang w:eastAsia="zh-CN"/>
                <w14:textFill>
                  <w14:solidFill>
                    <w14:schemeClr w14:val="tx1"/>
                  </w14:solidFill>
                </w14:textFill>
              </w:rPr>
              <w:t>陆</w:t>
            </w:r>
            <w:r>
              <w:rPr>
                <w:rFonts w:hint="eastAsia" w:hAnsi="宋体" w:cs="宋体"/>
                <w:b/>
                <w:color w:val="000000" w:themeColor="text1"/>
                <w:kern w:val="2"/>
                <w:sz w:val="24"/>
                <w:szCs w:val="24"/>
                <w14:textFill>
                  <w14:solidFill>
                    <w14:schemeClr w14:val="tx1"/>
                  </w14:solidFill>
                </w14:textFill>
              </w:rPr>
              <w:t>份，其中正本壹份，副本</w:t>
            </w:r>
            <w:r>
              <w:rPr>
                <w:rFonts w:hint="eastAsia" w:hAnsi="宋体" w:cs="宋体"/>
                <w:b/>
                <w:color w:val="000000" w:themeColor="text1"/>
                <w:kern w:val="2"/>
                <w:sz w:val="24"/>
                <w:szCs w:val="24"/>
                <w:lang w:eastAsia="zh-CN"/>
                <w14:textFill>
                  <w14:solidFill>
                    <w14:schemeClr w14:val="tx1"/>
                  </w14:solidFill>
                </w14:textFill>
              </w:rPr>
              <w:t>伍</w:t>
            </w:r>
            <w:r>
              <w:rPr>
                <w:rFonts w:hint="eastAsia" w:hAnsi="宋体" w:cs="宋体"/>
                <w:b/>
                <w:color w:val="000000" w:themeColor="text1"/>
                <w:kern w:val="2"/>
                <w:sz w:val="24"/>
                <w:szCs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trPr>
        <w:tc>
          <w:tcPr>
            <w:tcW w:w="770" w:type="dxa"/>
            <w:vAlign w:val="center"/>
          </w:tcPr>
          <w:p>
            <w:pPr>
              <w:pStyle w:val="33"/>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6</w:t>
            </w:r>
          </w:p>
        </w:tc>
        <w:tc>
          <w:tcPr>
            <w:tcW w:w="10231" w:type="dxa"/>
            <w:vAlign w:val="center"/>
          </w:tcPr>
          <w:p>
            <w:pPr>
              <w:pStyle w:val="5"/>
              <w:keepNext w:val="0"/>
              <w:keepLines w:val="0"/>
              <w:pageBreakBefore w:val="0"/>
              <w:kinsoku/>
              <w:wordWrap/>
              <w:overflowPunct/>
              <w:topLinePunct w:val="0"/>
              <w:autoSpaceDE/>
              <w:autoSpaceDN/>
              <w:bidi w:val="0"/>
              <w:adjustRightInd/>
              <w:snapToGrid/>
              <w:spacing w:line="340" w:lineRule="exact"/>
              <w:ind w:firstLine="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采购人不统一组织考察，各</w:t>
            </w:r>
            <w:r>
              <w:rPr>
                <w:rFonts w:hint="eastAsia" w:ascii="宋体" w:hAnsi="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z w:val="24"/>
                <w:szCs w:val="24"/>
                <w:highlight w:val="none"/>
                <w:lang w:eastAsia="zh-CN"/>
                <w14:textFill>
                  <w14:solidFill>
                    <w14:schemeClr w14:val="tx1"/>
                  </w14:solidFill>
                </w14:textFill>
              </w:rPr>
              <w:t>须</w:t>
            </w:r>
            <w:r>
              <w:rPr>
                <w:rFonts w:hint="eastAsia" w:ascii="宋体" w:hAnsi="宋体" w:eastAsia="宋体" w:cs="宋体"/>
                <w:b/>
                <w:bCs/>
                <w:color w:val="000000" w:themeColor="text1"/>
                <w:sz w:val="24"/>
                <w:szCs w:val="24"/>
                <w:highlight w:val="none"/>
                <w14:textFill>
                  <w14:solidFill>
                    <w14:schemeClr w14:val="tx1"/>
                  </w14:solidFill>
                </w14:textFill>
              </w:rPr>
              <w:t>自行对采购项目进行考察。</w:t>
            </w:r>
          </w:p>
          <w:p>
            <w:pPr>
              <w:pStyle w:val="5"/>
              <w:keepNext w:val="0"/>
              <w:keepLines w:val="0"/>
              <w:pageBreakBefore w:val="0"/>
              <w:kinsoku/>
              <w:wordWrap/>
              <w:overflowPunct/>
              <w:topLinePunct w:val="0"/>
              <w:autoSpaceDE/>
              <w:autoSpaceDN/>
              <w:bidi w:val="0"/>
              <w:adjustRightInd/>
              <w:snapToGrid/>
              <w:spacing w:line="340" w:lineRule="exact"/>
              <w:ind w:firstLine="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如有疑问，于20</w:t>
            </w:r>
            <w:r>
              <w:rPr>
                <w:rFonts w:hint="eastAsia" w:ascii="宋体" w:hAnsi="宋体" w:eastAsia="宋体" w:cs="宋体"/>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z w:val="24"/>
                <w:szCs w:val="24"/>
                <w:highlight w:val="none"/>
                <w14:textFill>
                  <w14:solidFill>
                    <w14:schemeClr w14:val="tx1"/>
                  </w14:solidFill>
                </w14:textFill>
              </w:rPr>
              <w:t>日1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：00前将有关疑问以</w:t>
            </w:r>
            <w:r>
              <w:rPr>
                <w:rFonts w:hint="eastAsia" w:ascii="宋体" w:hAnsi="宋体" w:eastAsia="宋体" w:cs="宋体"/>
                <w:color w:val="000000" w:themeColor="text1"/>
                <w:sz w:val="24"/>
                <w:szCs w:val="24"/>
                <w:highlight w:val="none"/>
                <w:lang w:eastAsia="zh-CN"/>
                <w14:textFill>
                  <w14:solidFill>
                    <w14:schemeClr w14:val="tx1"/>
                  </w14:solidFill>
                </w14:textFill>
              </w:rPr>
              <w:t>扫描件</w:t>
            </w:r>
            <w:r>
              <w:rPr>
                <w:rFonts w:hint="eastAsia" w:ascii="宋体" w:hAnsi="宋体" w:eastAsia="宋体" w:cs="宋体"/>
                <w:color w:val="000000" w:themeColor="text1"/>
                <w:sz w:val="24"/>
                <w:szCs w:val="24"/>
                <w:highlight w:val="none"/>
                <w14:textFill>
                  <w14:solidFill>
                    <w14:schemeClr w14:val="tx1"/>
                  </w14:solidFill>
                </w14:textFill>
              </w:rPr>
              <w:t>形式（必须加盖</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b/>
                <w:color w:val="000000" w:themeColor="text1"/>
                <w:sz w:val="24"/>
                <w:szCs w:val="24"/>
                <w:highlight w:val="none"/>
                <w14:textFill>
                  <w14:solidFill>
                    <w14:schemeClr w14:val="tx1"/>
                  </w14:solidFill>
                </w14:textFill>
              </w:rPr>
              <w:t>发至</w:t>
            </w:r>
            <w:r>
              <w:rPr>
                <w:rFonts w:hint="eastAsia" w:ascii="宋体" w:hAnsi="宋体" w:eastAsia="宋体" w:cs="宋体"/>
                <w:b/>
                <w:color w:val="000000" w:themeColor="text1"/>
                <w:sz w:val="24"/>
                <w:szCs w:val="24"/>
                <w:highlight w:val="none"/>
                <w:lang w:eastAsia="zh-CN"/>
                <w14:textFill>
                  <w14:solidFill>
                    <w14:schemeClr w14:val="tx1"/>
                  </w14:solidFill>
                </w14:textFill>
              </w:rPr>
              <w:t>邮箱</w:t>
            </w:r>
            <w:r>
              <w:rPr>
                <w:rFonts w:hint="eastAsia" w:ascii="宋体" w:hAnsi="宋体" w:cs="宋体"/>
                <w:b/>
                <w:color w:val="000000" w:themeColor="text1"/>
                <w:sz w:val="24"/>
                <w:szCs w:val="24"/>
                <w:highlight w:val="none"/>
                <w:lang w:val="en-US" w:eastAsia="zh-CN"/>
                <w14:textFill>
                  <w14:solidFill>
                    <w14:schemeClr w14:val="tx1"/>
                  </w14:solidFill>
                </w14:textFill>
              </w:rPr>
              <w:t>453430273</w:t>
            </w:r>
            <w:r>
              <w:rPr>
                <w:rFonts w:hint="eastAsia" w:ascii="宋体" w:hAnsi="宋体" w:cs="宋体"/>
                <w:b/>
                <w:color w:val="000000" w:themeColor="text1"/>
                <w:sz w:val="24"/>
                <w:szCs w:val="24"/>
                <w:highlight w:val="none"/>
                <w:lang w:eastAsia="zh-CN"/>
                <w14:textFill>
                  <w14:solidFill>
                    <w14:schemeClr w14:val="tx1"/>
                  </w14:solidFill>
                </w14:textFill>
              </w:rPr>
              <w:t>@qq.com</w:t>
            </w:r>
            <w:r>
              <w:rPr>
                <w:rFonts w:hint="eastAsia" w:ascii="宋体" w:hAnsi="宋体" w:eastAsia="宋体" w:cs="宋体"/>
                <w:color w:val="000000" w:themeColor="text1"/>
                <w:sz w:val="24"/>
                <w:szCs w:val="24"/>
                <w:highlight w:val="none"/>
                <w14:textFill>
                  <w14:solidFill>
                    <w14:schemeClr w14:val="tx1"/>
                  </w14:solidFill>
                </w14:textFill>
              </w:rPr>
              <w:t>，采购人将对所提疑问以书面形式发至领取</w:t>
            </w:r>
            <w:r>
              <w:rPr>
                <w:rFonts w:hint="eastAsia" w:ascii="宋体" w:hAnsi="宋体" w:cs="宋体"/>
                <w:color w:val="000000" w:themeColor="text1"/>
                <w:sz w:val="24"/>
                <w:szCs w:val="24"/>
                <w:highlight w:val="none"/>
                <w:lang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文件的每位</w:t>
            </w:r>
            <w:r>
              <w:rPr>
                <w:rFonts w:hint="eastAsia" w:ascii="宋体" w:hAnsi="宋体" w:cs="宋体"/>
                <w:color w:val="000000" w:themeColor="text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，超过此时间所提疑问采购人或采购代理机构均不予答复。</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书面提问传真截止时间：20</w:t>
            </w:r>
            <w:r>
              <w:rPr>
                <w:rFonts w:hint="eastAsia" w:ascii="宋体" w:hAnsi="宋体" w:eastAsia="宋体" w:cs="宋体"/>
                <w:color w:val="000000" w:themeColor="text1"/>
                <w:sz w:val="24"/>
                <w:highlight w:val="none"/>
                <w:lang w:val="en-US" w:eastAsia="zh-CN"/>
                <w14:textFill>
                  <w14:solidFill>
                    <w14:schemeClr w14:val="tx1"/>
                  </w14:solidFill>
                </w14:textFill>
              </w:rPr>
              <w:t>21</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日 </w:t>
            </w: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：00</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w:t>
            </w:r>
            <w:r>
              <w:rPr>
                <w:rFonts w:hint="eastAsia" w:ascii="宋体" w:hAnsi="宋体" w:eastAsia="宋体" w:cs="宋体"/>
                <w:color w:val="000000" w:themeColor="text1"/>
                <w:sz w:val="24"/>
                <w:highlight w:val="none"/>
                <w14:textFill>
                  <w14:solidFill>
                    <w14:schemeClr w14:val="tx1"/>
                  </w14:solidFill>
                </w14:textFill>
              </w:rPr>
              <w:t>电话： 0990－6</w:t>
            </w:r>
            <w:r>
              <w:rPr>
                <w:rFonts w:hint="eastAsia" w:ascii="宋体" w:hAnsi="宋体" w:eastAsia="宋体" w:cs="宋体"/>
                <w:color w:val="000000" w:themeColor="text1"/>
                <w:sz w:val="24"/>
                <w:highlight w:val="none"/>
                <w:lang w:val="en-US" w:eastAsia="zh-CN"/>
                <w14:textFill>
                  <w14:solidFill>
                    <w14:schemeClr w14:val="tx1"/>
                  </w14:solidFill>
                </w14:textFill>
              </w:rPr>
              <w:t>222961</w:t>
            </w:r>
            <w:r>
              <w:rPr>
                <w:rFonts w:hint="eastAsia" w:ascii="宋体" w:hAnsi="宋体" w:eastAsia="宋体" w:cs="宋体"/>
                <w:color w:val="000000" w:themeColor="text1"/>
                <w:sz w:val="24"/>
                <w:highlight w:val="none"/>
                <w14:textFill>
                  <w14:solidFill>
                    <w14:schemeClr w14:val="tx1"/>
                  </w14:solidFill>
                </w14:textFill>
              </w:rPr>
              <w:t xml:space="preserve">   联系人：</w:t>
            </w:r>
            <w:r>
              <w:rPr>
                <w:rFonts w:hint="eastAsia" w:ascii="宋体" w:hAnsi="宋体" w:eastAsia="宋体" w:cs="宋体"/>
                <w:color w:val="000000" w:themeColor="text1"/>
                <w:sz w:val="24"/>
                <w:szCs w:val="24"/>
                <w:highlight w:val="none"/>
                <w:lang w:eastAsia="zh-CN"/>
                <w14:textFill>
                  <w14:solidFill>
                    <w14:schemeClr w14:val="tx1"/>
                  </w14:solidFill>
                </w14:textFill>
              </w:rPr>
              <w:t>王敏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kern w:val="2"/>
                <w:sz w:val="24"/>
                <w:szCs w:val="24"/>
                <w:highlight w:val="none"/>
                <w:lang w:val="en-US" w:eastAsia="zh-CN"/>
                <w14:textFill>
                  <w14:solidFill>
                    <w14:schemeClr w14:val="tx1"/>
                  </w14:solidFill>
                </w14:textFill>
              </w:rPr>
              <w:t>阚荷彬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trPr>
        <w:tc>
          <w:tcPr>
            <w:tcW w:w="77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p>
        </w:tc>
        <w:tc>
          <w:tcPr>
            <w:tcW w:w="10231"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递交投标文件截止时间：202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递交投标文件时间：202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0～1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 xml:space="preserve">0  </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黑体" w:hAnsi="黑体" w:eastAsia="黑体" w:cs="黑体"/>
                <w:b/>
                <w:bCs/>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新疆天麒工程项目管理咨询有限责任公司一楼评标室（克拉玛依市通讯路44号）</w:t>
            </w:r>
            <w:r>
              <w:rPr>
                <w:rFonts w:hint="eastAsia" w:ascii="宋体" w:hAnsi="宋体" w:cs="宋体"/>
                <w:color w:val="000000" w:themeColor="text1"/>
                <w:sz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p>
        </w:tc>
        <w:tc>
          <w:tcPr>
            <w:tcW w:w="10231" w:type="dxa"/>
            <w:vAlign w:val="center"/>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开标时间：202</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08</w:t>
            </w:r>
            <w:r>
              <w:rPr>
                <w:rFonts w:hint="eastAsia" w:ascii="宋体" w:hAnsi="宋体" w:cs="宋体"/>
                <w:color w:val="000000" w:themeColor="text1"/>
                <w:sz w:val="24"/>
                <w:highlight w:val="none"/>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16:30</w:t>
            </w:r>
            <w:r>
              <w:rPr>
                <w:rFonts w:hint="eastAsia" w:ascii="宋体" w:hAnsi="宋体" w:cs="宋体"/>
                <w:color w:val="000000" w:themeColor="text1"/>
                <w:sz w:val="24"/>
                <w:highlight w:val="non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点</w:t>
            </w:r>
            <w:r>
              <w:rPr>
                <w:rFonts w:hint="eastAsia" w:ascii="黑体" w:hAnsi="黑体" w:eastAsia="黑体" w:cs="黑体"/>
                <w:b/>
                <w:bCs/>
                <w:color w:val="000000" w:themeColor="text1"/>
                <w:sz w:val="24"/>
                <w:highlight w:val="none"/>
                <w:lang w:eastAsia="zh-CN"/>
                <w14:textFill>
                  <w14:solidFill>
                    <w14:schemeClr w14:val="tx1"/>
                  </w14:solidFill>
                </w14:textFill>
              </w:rPr>
              <w:t>：</w:t>
            </w:r>
            <w:r>
              <w:rPr>
                <w:rFonts w:hint="eastAsia" w:ascii="宋体" w:hAnsi="宋体" w:eastAsia="宋体" w:cs="宋体"/>
                <w:b w:val="0"/>
                <w:bCs w:val="0"/>
                <w:color w:val="000000" w:themeColor="text1"/>
                <w:kern w:val="44"/>
                <w:sz w:val="24"/>
                <w:szCs w:val="24"/>
                <w:highlight w:val="none"/>
                <w:lang w:val="en-US" w:eastAsia="zh-CN" w:bidi="ar-SA"/>
                <w14:textFill>
                  <w14:solidFill>
                    <w14:schemeClr w14:val="tx1"/>
                  </w14:solidFill>
                </w14:textFill>
              </w:rPr>
              <w:t>新疆天麒工程项目管理咨询有限责任公司一楼评标室（克拉玛依市通讯路44号）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pStyle w:val="3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9</w:t>
            </w:r>
          </w:p>
        </w:tc>
        <w:tc>
          <w:tcPr>
            <w:tcW w:w="1023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0" w:rightChars="0"/>
              <w:jc w:val="both"/>
              <w:textAlignment w:val="auto"/>
              <w:outlineLvl w:val="9"/>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本工程设定招标控制价，投标人的投标总价、招标控制价总价均为分部分项工程费用+措施项目费用（不含安全文明施工费）+其他项目费用（含暂列金额）+规费+税金</w:t>
            </w:r>
            <w:r>
              <w:rPr>
                <w:rFonts w:hint="eastAsia" w:ascii="宋体" w:hAnsi="宋体" w:eastAsia="宋体" w:cs="宋体"/>
                <w:b/>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color w:val="000000" w:themeColor="text1"/>
                <w:sz w:val="24"/>
                <w:szCs w:val="24"/>
                <w:highlight w:val="none"/>
                <w:lang w:eastAsia="zh-CN"/>
                <w14:textFill>
                  <w14:solidFill>
                    <w14:schemeClr w14:val="tx1"/>
                  </w14:solidFill>
                </w14:textFill>
              </w:rPr>
              <w:t>安全文明施工费（</w:t>
            </w:r>
            <w:r>
              <w:rPr>
                <w:rFonts w:hint="eastAsia" w:ascii="宋体" w:hAnsi="宋体" w:cs="宋体"/>
                <w:b/>
                <w:color w:val="000000" w:themeColor="text1"/>
                <w:sz w:val="24"/>
                <w:szCs w:val="24"/>
                <w:highlight w:val="none"/>
                <w:lang w:eastAsia="zh-CN"/>
                <w14:textFill>
                  <w14:solidFill>
                    <w14:schemeClr w14:val="tx1"/>
                  </w14:solidFill>
                </w14:textFill>
              </w:rPr>
              <w:t>格式</w:t>
            </w:r>
            <w:r>
              <w:rPr>
                <w:rFonts w:hint="eastAsia" w:ascii="宋体" w:hAnsi="宋体" w:cs="宋体"/>
                <w:b/>
                <w:color w:val="000000" w:themeColor="text1"/>
                <w:sz w:val="24"/>
                <w:szCs w:val="24"/>
                <w:highlight w:val="none"/>
                <w:lang w:val="en-US" w:eastAsia="zh-CN"/>
                <w14:textFill>
                  <w14:solidFill>
                    <w14:schemeClr w14:val="tx1"/>
                  </w14:solidFill>
                </w14:textFill>
              </w:rPr>
              <w:t>12-1</w:t>
            </w:r>
            <w:r>
              <w:rPr>
                <w:rFonts w:hint="eastAsia" w:ascii="宋体" w:hAnsi="宋体" w:eastAsia="宋体" w:cs="宋体"/>
                <w:b/>
                <w:color w:val="000000" w:themeColor="text1"/>
                <w:sz w:val="24"/>
                <w:szCs w:val="24"/>
                <w:highlight w:val="none"/>
                <w:lang w:eastAsia="zh-CN"/>
                <w14:textFill>
                  <w14:solidFill>
                    <w14:schemeClr w14:val="tx1"/>
                  </w14:solidFill>
                </w14:textFill>
              </w:rPr>
              <w:t>）的合计。投标人的投标总价及投标报价不得高于公布的招标控制总价及招标控制报价。</w:t>
            </w:r>
            <w:r>
              <w:rPr>
                <w:rFonts w:hint="eastAsia" w:ascii="宋体" w:hAnsi="宋体" w:cs="宋体"/>
                <w:b/>
                <w:color w:val="000000" w:themeColor="text1"/>
                <w:sz w:val="24"/>
                <w:szCs w:val="24"/>
                <w:highlight w:val="none"/>
                <w:lang w:eastAsia="zh-CN"/>
                <w14:textFill>
                  <w14:solidFill>
                    <w14:schemeClr w14:val="tx1"/>
                  </w14:solidFill>
                </w14:textFill>
              </w:rPr>
              <w:t>否则</w:t>
            </w:r>
            <w:r>
              <w:rPr>
                <w:rFonts w:hint="eastAsia" w:ascii="宋体" w:hAnsi="宋体" w:eastAsia="宋体" w:cs="宋体"/>
                <w:b/>
                <w:color w:val="000000" w:themeColor="text1"/>
                <w:sz w:val="24"/>
                <w:szCs w:val="24"/>
                <w:highlight w:val="none"/>
                <w:lang w:eastAsia="zh-CN"/>
                <w14:textFill>
                  <w14:solidFill>
                    <w14:schemeClr w14:val="tx1"/>
                  </w14:solidFill>
                </w14:textFill>
              </w:rPr>
              <w:t>则该投标人的投标文件作无效响应处理。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trPr>
        <w:tc>
          <w:tcPr>
            <w:tcW w:w="770" w:type="dxa"/>
            <w:vAlign w:val="center"/>
          </w:tcPr>
          <w:p>
            <w:pPr>
              <w:pStyle w:val="3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hAnsi="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sz w:val="24"/>
                <w:highlight w:val="none"/>
                <w:lang w:val="en-US" w:eastAsia="zh-CN"/>
                <w14:textFill>
                  <w14:solidFill>
                    <w14:schemeClr w14:val="tx1"/>
                  </w14:solidFill>
                </w14:textFill>
              </w:rPr>
              <w:t>10</w:t>
            </w:r>
          </w:p>
        </w:tc>
        <w:tc>
          <w:tcPr>
            <w:tcW w:w="1023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0" w:rightChars="0"/>
              <w:jc w:val="both"/>
              <w:textAlignment w:val="auto"/>
              <w:outlineLvl w:val="9"/>
              <w:rPr>
                <w:rFonts w:hint="eastAsia" w:ascii="宋体" w:hAnsi="宋体" w:eastAsia="宋体" w:cs="宋体"/>
                <w:b/>
                <w:color w:val="000000" w:themeColor="text1"/>
                <w:sz w:val="24"/>
                <w:szCs w:val="24"/>
                <w:highlight w:val="none"/>
                <w:lang w:eastAsia="zh-CN"/>
                <w14:textFill>
                  <w14:solidFill>
                    <w14:schemeClr w14:val="tx1"/>
                  </w14:solidFill>
                </w14:textFill>
              </w:rPr>
            </w:pPr>
            <w:r>
              <w:rPr>
                <w:rFonts w:hint="eastAsia" w:ascii="宋体" w:hAnsi="宋体" w:eastAsia="宋体" w:cs="宋体"/>
                <w:b/>
                <w:color w:val="000000" w:themeColor="text1"/>
                <w:sz w:val="24"/>
                <w:szCs w:val="24"/>
                <w:highlight w:val="none"/>
                <w:lang w:eastAsia="zh-CN"/>
                <w14:textFill>
                  <w14:solidFill>
                    <w14:schemeClr w14:val="tx1"/>
                  </w14:solidFill>
                </w14:textFill>
              </w:rPr>
              <w:t>本工程招标控制总价为</w:t>
            </w:r>
            <w:r>
              <w:rPr>
                <w:rFonts w:hint="default" w:ascii="宋体" w:hAnsi="宋体" w:eastAsia="宋体" w:cs="宋体"/>
                <w:b/>
                <w:color w:val="000000" w:themeColor="text1"/>
                <w:sz w:val="24"/>
                <w:szCs w:val="24"/>
                <w:highlight w:val="none"/>
                <w:lang w:eastAsia="zh-CN"/>
                <w14:textFill>
                  <w14:solidFill>
                    <w14:schemeClr w14:val="tx1"/>
                  </w14:solidFill>
                </w14:textFill>
              </w:rPr>
              <w:t>¥69</w:t>
            </w:r>
            <w:r>
              <w:rPr>
                <w:rFonts w:hint="eastAsia" w:ascii="宋体" w:hAnsi="宋体" w:cs="宋体"/>
                <w:b/>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color w:val="000000" w:themeColor="text1"/>
                <w:sz w:val="24"/>
                <w:szCs w:val="24"/>
                <w:highlight w:val="none"/>
                <w:lang w:eastAsia="zh-CN"/>
                <w14:textFill>
                  <w14:solidFill>
                    <w14:schemeClr w14:val="tx1"/>
                  </w14:solidFill>
                </w14:textFill>
              </w:rPr>
              <w:t>723438</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eastAsia="zh-CN"/>
                <w14:textFill>
                  <w14:solidFill>
                    <w14:schemeClr w14:val="tx1"/>
                  </w14:solidFill>
                </w14:textFill>
              </w:rPr>
              <w:t>陆拾玖万柒仟贰佰叁拾肆元叁角捌分</w:t>
            </w:r>
            <w:r>
              <w:rPr>
                <w:rFonts w:hint="eastAsia" w:ascii="宋体" w:hAnsi="宋体" w:eastAsia="宋体" w:cs="宋体"/>
                <w:b/>
                <w:color w:val="000000" w:themeColor="text1"/>
                <w:sz w:val="24"/>
                <w:szCs w:val="24"/>
                <w:highlight w:val="none"/>
                <w:lang w:eastAsia="zh-CN"/>
                <w14:textFill>
                  <w14:solidFill>
                    <w14:schemeClr w14:val="tx1"/>
                  </w14:solidFill>
                </w14:textFill>
              </w:rPr>
              <w:t>），其中招标控制价为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69.199398</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陆拾玖万壹仟玖佰玖拾叁元玖角捌分</w:t>
            </w:r>
            <w:bookmarkStart w:id="641" w:name="_GoBack"/>
            <w:bookmarkEnd w:id="641"/>
            <w:r>
              <w:rPr>
                <w:rFonts w:hint="eastAsia" w:ascii="宋体" w:hAnsi="宋体" w:eastAsia="宋体" w:cs="宋体"/>
                <w:b/>
                <w:color w:val="000000" w:themeColor="text1"/>
                <w:sz w:val="24"/>
                <w:szCs w:val="24"/>
                <w:highlight w:val="none"/>
                <w:lang w:eastAsia="zh-CN"/>
                <w14:textFill>
                  <w14:solidFill>
                    <w14:schemeClr w14:val="tx1"/>
                  </w14:solidFill>
                </w14:textFill>
              </w:rPr>
              <w:t>），安全文明施工费为</w:t>
            </w:r>
            <w:r>
              <w:rPr>
                <w:rFonts w:hint="default"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cs="宋体"/>
                <w:b/>
                <w:color w:val="000000" w:themeColor="text1"/>
                <w:sz w:val="24"/>
                <w:szCs w:val="24"/>
                <w:highlight w:val="none"/>
                <w:lang w:val="en-US" w:eastAsia="zh-CN"/>
                <w14:textFill>
                  <w14:solidFill>
                    <w14:schemeClr w14:val="tx1"/>
                  </w14:solidFill>
                </w14:textFill>
              </w:rPr>
              <w:t>0.52404</w:t>
            </w:r>
            <w:r>
              <w:rPr>
                <w:rFonts w:hint="eastAsia" w:ascii="宋体" w:hAnsi="宋体" w:eastAsia="宋体" w:cs="宋体"/>
                <w:b/>
                <w:color w:val="000000" w:themeColor="text1"/>
                <w:sz w:val="24"/>
                <w:szCs w:val="24"/>
                <w:highlight w:val="none"/>
                <w:lang w:eastAsia="zh-CN"/>
                <w14:textFill>
                  <w14:solidFill>
                    <w14:schemeClr w14:val="tx1"/>
                  </w14:solidFill>
                </w14:textFill>
              </w:rPr>
              <w:t>万元（大写：人民币</w:t>
            </w:r>
            <w:r>
              <w:rPr>
                <w:rFonts w:hint="eastAsia" w:ascii="宋体" w:hAnsi="宋体" w:cs="宋体"/>
                <w:b/>
                <w:color w:val="000000" w:themeColor="text1"/>
                <w:sz w:val="24"/>
                <w:szCs w:val="24"/>
                <w:highlight w:val="none"/>
                <w:lang w:val="en-US" w:eastAsia="zh-CN"/>
                <w14:textFill>
                  <w14:solidFill>
                    <w14:schemeClr w14:val="tx1"/>
                  </w14:solidFill>
                </w14:textFill>
              </w:rPr>
              <w:t>伍仟贰佰肆拾元肆角整</w:t>
            </w:r>
            <w:r>
              <w:rPr>
                <w:rFonts w:hint="eastAsia" w:ascii="宋体" w:hAnsi="宋体" w:eastAsia="宋体" w:cs="宋体"/>
                <w:b/>
                <w:color w:val="000000" w:themeColor="text1"/>
                <w:sz w:val="24"/>
                <w:szCs w:val="24"/>
                <w:highlight w:val="none"/>
                <w:lang w:eastAsia="zh-CN"/>
                <w14:textFill>
                  <w14:solidFill>
                    <w14:schemeClr w14:val="tx1"/>
                  </w14:solidFill>
                </w14:textFill>
              </w:rPr>
              <w:t>）。</w:t>
            </w:r>
          </w:p>
        </w:tc>
      </w:tr>
    </w:tbl>
    <w:p>
      <w:pPr>
        <w:spacing w:line="300" w:lineRule="exact"/>
        <w:jc w:val="center"/>
        <w:rPr>
          <w:rFonts w:hint="eastAsia" w:ascii="宋体" w:hAnsi="宋体" w:cs="宋体"/>
          <w:b/>
          <w:bCs/>
          <w:color w:val="000000" w:themeColor="text1"/>
          <w:sz w:val="24"/>
          <w:highlight w:val="none"/>
          <w14:textFill>
            <w14:solidFill>
              <w14:schemeClr w14:val="tx1"/>
            </w14:solidFill>
          </w14:textFill>
        </w:rPr>
      </w:pPr>
    </w:p>
    <w:p>
      <w:pPr>
        <w:spacing w:line="300" w:lineRule="exact"/>
        <w:jc w:val="center"/>
        <w:rPr>
          <w:rFonts w:hint="eastAsia" w:ascii="宋体" w:hAnsi="宋体" w:cs="宋体"/>
          <w:b/>
          <w:bCs/>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p>
    <w:p>
      <w:pPr>
        <w:keepNext w:val="0"/>
        <w:keepLines w:val="0"/>
        <w:pageBreakBefore w:val="0"/>
        <w:kinsoku/>
        <w:wordWrap/>
        <w:overflowPunct/>
        <w:topLinePunct w:val="0"/>
        <w:autoSpaceDE/>
        <w:autoSpaceDN/>
        <w:bidi w:val="0"/>
        <w:spacing w:line="360" w:lineRule="auto"/>
        <w:jc w:val="center"/>
        <w:rPr>
          <w:rFonts w:hint="eastAsia"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前  附  表</w:t>
      </w:r>
    </w:p>
    <w:p>
      <w:pPr>
        <w:keepNext w:val="0"/>
        <w:keepLines w:val="0"/>
        <w:pageBreakBefore w:val="0"/>
        <w:kinsoku/>
        <w:wordWrap/>
        <w:overflowPunct/>
        <w:topLinePunct w:val="0"/>
        <w:autoSpaceDE/>
        <w:autoSpaceDN/>
        <w:bidi w:val="0"/>
        <w:spacing w:line="360" w:lineRule="auto"/>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A</w:t>
      </w:r>
      <w:bookmarkEnd w:id="1"/>
      <w:bookmarkStart w:id="29" w:name="_Toc154996576"/>
      <w:r>
        <w:rPr>
          <w:rFonts w:hint="eastAsia" w:ascii="宋体" w:hAnsi="宋体" w:cs="宋体"/>
          <w:b/>
          <w:bCs/>
          <w:color w:val="000000" w:themeColor="text1"/>
          <w:sz w:val="28"/>
          <w:szCs w:val="28"/>
          <w:highlight w:val="none"/>
          <w14:textFill>
            <w14:solidFill>
              <w14:schemeClr w14:val="tx1"/>
            </w14:solidFill>
          </w14:textFill>
        </w:rPr>
        <w:t>说明</w:t>
      </w:r>
      <w:bookmarkStart w:id="30" w:name="_Toc243906311"/>
      <w:bookmarkStart w:id="31" w:name="_Toc243907571"/>
      <w:bookmarkStart w:id="32" w:name="_Toc233274811"/>
      <w:bookmarkStart w:id="33" w:name="_Toc246216180"/>
    </w:p>
    <w:p>
      <w:pPr>
        <w:pStyle w:val="33"/>
        <w:keepNext w:val="0"/>
        <w:keepLines w:val="0"/>
        <w:pageBreakBefore w:val="0"/>
        <w:tabs>
          <w:tab w:val="right" w:pos="8306"/>
        </w:tabs>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1、适用范围</w:t>
      </w:r>
      <w:bookmarkEnd w:id="30"/>
      <w:bookmarkEnd w:id="31"/>
      <w:bookmarkEnd w:id="32"/>
      <w:bookmarkEnd w:id="33"/>
      <w:r>
        <w:rPr>
          <w:rFonts w:hint="eastAsia" w:hAnsi="宋体" w:cs="宋体"/>
          <w:color w:val="000000" w:themeColor="text1"/>
          <w:sz w:val="24"/>
          <w:highlight w:val="none"/>
          <w14:textFill>
            <w14:solidFill>
              <w14:schemeClr w14:val="tx1"/>
            </w14:solidFill>
          </w14:textFill>
        </w:rPr>
        <w:t>及招标依据</w:t>
      </w:r>
      <w:r>
        <w:rPr>
          <w:rFonts w:hint="eastAsia" w:hAnsi="宋体" w:cs="宋体"/>
          <w:color w:val="000000" w:themeColor="text1"/>
          <w:sz w:val="24"/>
          <w:highlight w:val="none"/>
          <w14:textFill>
            <w14:solidFill>
              <w14:schemeClr w14:val="tx1"/>
            </w14:solidFill>
          </w14:textFill>
        </w:rPr>
        <w:tab/>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 适用范围</w:t>
      </w:r>
    </w:p>
    <w:p>
      <w:pPr>
        <w:pStyle w:val="51"/>
        <w:keepNext w:val="0"/>
        <w:keepLines w:val="0"/>
        <w:pageBreakBefore w:val="0"/>
        <w:kinsoku/>
        <w:wordWrap/>
        <w:overflowPunct/>
        <w:topLinePunct w:val="0"/>
        <w:autoSpaceDE/>
        <w:autoSpaceDN/>
        <w:bidi w:val="0"/>
        <w:spacing w:before="0" w:beforeAutospacing="0" w:after="0" w:afterAutospacing="0" w:line="360" w:lineRule="auto"/>
        <w:ind w:firstLine="480" w:firstLineChars="20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本招标文件仅针对于</w:t>
      </w:r>
      <w:r>
        <w:rPr>
          <w:rFonts w:hint="eastAsia" w:cs="宋体"/>
          <w:color w:val="000000" w:themeColor="text1"/>
          <w:highlight w:val="none"/>
          <w:lang w:eastAsia="zh-CN"/>
          <w14:textFill>
            <w14:solidFill>
              <w14:schemeClr w14:val="tx1"/>
            </w14:solidFill>
          </w14:textFill>
        </w:rPr>
        <w:t>某支队蔬菜大棚建设项目</w:t>
      </w:r>
      <w:r>
        <w:rPr>
          <w:rFonts w:hint="eastAsia" w:cs="宋体"/>
          <w:color w:val="000000" w:themeColor="text1"/>
          <w:highlight w:val="none"/>
          <w14:textFill>
            <w14:solidFill>
              <w14:schemeClr w14:val="tx1"/>
            </w14:solidFill>
          </w14:textFill>
        </w:rPr>
        <w:t>的招标。</w:t>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1.2招标依据</w:t>
      </w:r>
    </w:p>
    <w:p>
      <w:pPr>
        <w:keepNext w:val="0"/>
        <w:keepLines w:val="0"/>
        <w:pageBreakBefore w:val="0"/>
        <w:widowControl/>
        <w:kinsoku/>
        <w:wordWrap/>
        <w:overflowPunct/>
        <w:topLinePunct w:val="0"/>
        <w:autoSpaceDE/>
        <w:autoSpaceDN/>
        <w:bidi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根据《中华人民共和国政府采购法》、《中华人民共和国政府采购法实施条例》、《政府采购货物和服务招标投标管理办法》及有关法律、法规。</w:t>
      </w:r>
    </w:p>
    <w:p>
      <w:pPr>
        <w:pStyle w:val="33"/>
        <w:keepNext w:val="0"/>
        <w:keepLines w:val="0"/>
        <w:pageBreakBefore w:val="0"/>
        <w:kinsoku/>
        <w:wordWrap/>
        <w:overflowPunct/>
        <w:topLinePunct w:val="0"/>
        <w:autoSpaceDE/>
        <w:autoSpaceDN/>
        <w:bidi w:val="0"/>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34" w:name="_Toc243906312"/>
      <w:bookmarkStart w:id="35" w:name="_Toc233274812"/>
      <w:bookmarkStart w:id="36" w:name="_Toc243907572"/>
      <w:bookmarkStart w:id="37" w:name="_Toc246216181"/>
      <w:r>
        <w:rPr>
          <w:rFonts w:hint="eastAsia" w:hAnsi="宋体" w:cs="宋体"/>
          <w:color w:val="000000" w:themeColor="text1"/>
          <w:sz w:val="24"/>
          <w:highlight w:val="none"/>
          <w14:textFill>
            <w14:solidFill>
              <w14:schemeClr w14:val="tx1"/>
            </w14:solidFill>
          </w14:textFill>
        </w:rPr>
        <w:t>2、定义</w:t>
      </w:r>
      <w:bookmarkEnd w:id="34"/>
      <w:bookmarkEnd w:id="35"/>
      <w:bookmarkEnd w:id="36"/>
      <w:bookmarkEnd w:id="37"/>
    </w:p>
    <w:p>
      <w:pPr>
        <w:pStyle w:val="33"/>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2.1 “采购人”系指</w:t>
      </w:r>
      <w:r>
        <w:rPr>
          <w:rFonts w:hint="eastAsia" w:hAnsi="宋体" w:cs="宋体"/>
          <w:color w:val="000000" w:themeColor="text1"/>
          <w:sz w:val="24"/>
          <w:highlight w:val="none"/>
          <w:lang w:eastAsia="zh-CN"/>
          <w14:textFill>
            <w14:solidFill>
              <w14:schemeClr w14:val="tx1"/>
            </w14:solidFill>
          </w14:textFill>
        </w:rPr>
        <w:t>某支队</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发包人</w:t>
      </w:r>
      <w:r>
        <w:rPr>
          <w:rFonts w:hint="eastAsia" w:hAnsi="宋体" w:cs="宋体"/>
          <w:color w:val="000000" w:themeColor="text1"/>
          <w:sz w:val="24"/>
          <w:highlight w:val="none"/>
          <w14:textFill>
            <w14:solidFill>
              <w14:schemeClr w14:val="tx1"/>
            </w14:solidFill>
          </w14:textFill>
        </w:rPr>
        <w:t>”。</w:t>
      </w:r>
    </w:p>
    <w:p>
      <w:pPr>
        <w:pStyle w:val="33"/>
        <w:keepNext w:val="0"/>
        <w:keepLines w:val="0"/>
        <w:pageBreakBefore w:val="0"/>
        <w:kinsoku/>
        <w:wordWrap/>
        <w:overflowPunct/>
        <w:topLinePunct w:val="0"/>
        <w:autoSpaceDE/>
        <w:autoSpaceDN/>
        <w:bidi w:val="0"/>
        <w:spacing w:line="360" w:lineRule="auto"/>
        <w:ind w:firstLine="480" w:firstLineChars="200"/>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2.2 </w:t>
      </w:r>
      <w:r>
        <w:rPr>
          <w:rFonts w:hint="eastAsia" w:hAnsi="宋体" w:cs="宋体"/>
          <w:color w:val="000000" w:themeColor="text1"/>
          <w:sz w:val="24"/>
          <w:szCs w:val="24"/>
          <w:highlight w:val="none"/>
          <w14:textFill>
            <w14:solidFill>
              <w14:schemeClr w14:val="tx1"/>
            </w14:solidFill>
          </w14:textFill>
        </w:rPr>
        <w:t>“招标代理机构”</w:t>
      </w:r>
      <w:r>
        <w:rPr>
          <w:rFonts w:hint="eastAsia" w:hAnsi="宋体" w:cs="宋体"/>
          <w:color w:val="000000" w:themeColor="text1"/>
          <w:sz w:val="24"/>
          <w:highlight w:val="none"/>
          <w14:textFill>
            <w14:solidFill>
              <w14:schemeClr w14:val="tx1"/>
            </w14:solidFill>
          </w14:textFill>
        </w:rPr>
        <w:t>系指新疆天麒工程项目管理咨询有限责任公司。</w:t>
      </w:r>
    </w:p>
    <w:p>
      <w:pPr>
        <w:pStyle w:val="33"/>
        <w:keepNext w:val="0"/>
        <w:keepLines w:val="0"/>
        <w:pageBreakBefore w:val="0"/>
        <w:kinsoku/>
        <w:wordWrap/>
        <w:overflowPunct/>
        <w:topLinePunct w:val="0"/>
        <w:autoSpaceDE/>
        <w:autoSpaceDN/>
        <w:bidi w:val="0"/>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2.3 “投标人”系指具备资格并按招标文件要求提交投标文件的法人，投标人若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，在签订和执行合同阶段称“</w:t>
      </w:r>
      <w:r>
        <w:rPr>
          <w:rFonts w:hint="eastAsia" w:hAnsi="宋体" w:cs="宋体"/>
          <w:color w:val="000000" w:themeColor="text1"/>
          <w:sz w:val="24"/>
          <w:highlight w:val="none"/>
          <w:lang w:eastAsia="zh-CN"/>
          <w14:textFill>
            <w14:solidFill>
              <w14:schemeClr w14:val="tx1"/>
            </w14:solidFill>
          </w14:textFill>
        </w:rPr>
        <w:t>承包人</w:t>
      </w:r>
      <w:r>
        <w:rPr>
          <w:rFonts w:hint="eastAsia" w:hAnsi="宋体" w:cs="宋体"/>
          <w:color w:val="000000" w:themeColor="text1"/>
          <w:sz w:val="24"/>
          <w:highlight w:val="none"/>
          <w14:textFill>
            <w14:solidFill>
              <w14:schemeClr w14:val="tx1"/>
            </w14:solidFill>
          </w14:textFill>
        </w:rPr>
        <w:t>”。</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2.4 “招标文件”系指由采购人向投标人发出的本招标项目的全部文件（包括项目采购</w:t>
      </w:r>
      <w:r>
        <w:rPr>
          <w:rFonts w:hint="eastAsia" w:ascii="宋体" w:hAnsi="宋体" w:eastAsia="宋体" w:cs="宋体"/>
          <w:color w:val="000000" w:themeColor="text1"/>
          <w:sz w:val="24"/>
          <w:highlight w:val="none"/>
          <w14:textFill>
            <w14:solidFill>
              <w14:schemeClr w14:val="tx1"/>
            </w14:solidFill>
          </w14:textFill>
        </w:rPr>
        <w:t>需求、修改文件、补充文件、答疑纪要、各种通知和附件等）。</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 “投标文件”系指投标人根据招标文件提交的所有文件。</w:t>
      </w:r>
    </w:p>
    <w:p>
      <w:pPr>
        <w:spacing w:line="360" w:lineRule="auto"/>
        <w:ind w:firstLine="480" w:firstLineChars="200"/>
        <w:rPr>
          <w:rFonts w:ascii="仿宋_GB2312" w:hAnsi="宋体" w:eastAsia="仿宋_GB2312"/>
          <w:b/>
          <w:color w:val="auto"/>
          <w:sz w:val="24"/>
        </w:rPr>
      </w:pPr>
      <w:bookmarkStart w:id="38" w:name="_Toc233274814"/>
      <w:bookmarkStart w:id="39" w:name="_Toc243907574"/>
      <w:bookmarkStart w:id="40" w:name="_Toc243906314"/>
      <w:bookmarkStart w:id="41" w:name="_Toc246216183"/>
      <w:r>
        <w:rPr>
          <w:rFonts w:hint="eastAsia" w:ascii="宋体" w:hAnsi="宋体" w:eastAsia="宋体" w:cs="宋体"/>
          <w:color w:val="000000" w:themeColor="text1"/>
          <w:sz w:val="24"/>
          <w:highlight w:val="none"/>
          <w14:textFill>
            <w14:solidFill>
              <w14:schemeClr w14:val="tx1"/>
            </w14:solidFill>
          </w14:textFill>
        </w:rPr>
        <w:t>2.6“服务”系指合同条款、技术规范及标准、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项目采购需求、本招标文件规定，中标人</w:t>
      </w:r>
      <w:r>
        <w:rPr>
          <w:rFonts w:hint="eastAsia" w:ascii="宋体" w:hAnsi="宋体" w:eastAsia="宋体" w:cs="宋体"/>
          <w:color w:val="auto"/>
          <w:sz w:val="24"/>
          <w:highlight w:val="none"/>
          <w:lang w:eastAsia="zh-CN"/>
        </w:rPr>
        <w:t>完成</w:t>
      </w:r>
      <w:r>
        <w:rPr>
          <w:rFonts w:hint="eastAsia" w:ascii="宋体" w:hAnsi="宋体" w:cs="宋体"/>
          <w:color w:val="auto"/>
          <w:sz w:val="24"/>
          <w:highlight w:val="none"/>
          <w:lang w:eastAsia="zh-CN"/>
        </w:rPr>
        <w:t>某支队蔬菜大棚建设项目施工设计图纸所包括</w:t>
      </w:r>
      <w:r>
        <w:rPr>
          <w:rFonts w:hint="eastAsia" w:hAnsi="宋体" w:cs="宋体"/>
          <w:b/>
          <w:color w:val="auto"/>
          <w:sz w:val="24"/>
          <w:szCs w:val="24"/>
          <w:highlight w:val="none"/>
          <w:lang w:val="en-US" w:eastAsia="zh-CN"/>
        </w:rPr>
        <w:t>建筑工程、装饰装修工程、钢结构工程（含覆盖材料）</w:t>
      </w:r>
      <w:r>
        <w:rPr>
          <w:rFonts w:hint="eastAsia" w:ascii="宋体" w:hAnsi="宋体" w:cs="宋体"/>
          <w:color w:val="auto"/>
          <w:sz w:val="24"/>
          <w:highlight w:val="none"/>
          <w:lang w:eastAsia="zh-CN"/>
        </w:rPr>
        <w:t>等全部施工内容以及</w:t>
      </w:r>
      <w:r>
        <w:rPr>
          <w:rFonts w:hint="eastAsia" w:ascii="宋体" w:hAnsi="宋体" w:eastAsia="宋体" w:cs="宋体"/>
          <w:color w:val="auto"/>
          <w:sz w:val="24"/>
          <w:highlight w:val="none"/>
        </w:rPr>
        <w:t>合同条款、技术规范及标准、</w:t>
      </w:r>
      <w:r>
        <w:rPr>
          <w:rFonts w:hint="eastAsia" w:ascii="宋体" w:hAnsi="宋体" w:eastAsia="宋体" w:cs="宋体"/>
          <w:color w:val="auto"/>
          <w:sz w:val="24"/>
          <w:highlight w:val="none"/>
          <w:lang w:eastAsia="zh-CN"/>
        </w:rPr>
        <w:t>技术规格及要求、</w:t>
      </w:r>
      <w:r>
        <w:rPr>
          <w:rFonts w:hint="eastAsia" w:ascii="宋体" w:hAnsi="宋体" w:eastAsia="宋体" w:cs="宋体"/>
          <w:color w:val="auto"/>
          <w:sz w:val="24"/>
          <w:highlight w:val="none"/>
        </w:rPr>
        <w:t>项目采购需求、本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文件约定的全部内容及责任和义务。</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hAnsi="宋体" w:cs="宋体"/>
          <w:color w:val="auto"/>
          <w:sz w:val="24"/>
          <w:highlight w:val="none"/>
          <w:lang w:val="en-US" w:eastAsia="zh-CN"/>
        </w:rPr>
        <w:t>7</w:t>
      </w:r>
      <w:r>
        <w:rPr>
          <w:rFonts w:hint="eastAsia" w:ascii="宋体" w:hAnsi="宋体" w:eastAsia="宋体" w:cs="宋体"/>
          <w:color w:val="auto"/>
          <w:sz w:val="24"/>
          <w:highlight w:val="none"/>
          <w:lang w:eastAsia="zh-CN"/>
        </w:rPr>
        <w:t>凡提及的“天、日期、星期、月份和年份”系指公历日历的日历天、日期、</w:t>
      </w:r>
      <w:r>
        <w:rPr>
          <w:rFonts w:hint="eastAsia" w:ascii="宋体" w:hAnsi="宋体" w:eastAsia="宋体" w:cs="宋体"/>
          <w:color w:val="000000" w:themeColor="text1"/>
          <w:sz w:val="24"/>
          <w:highlight w:val="none"/>
          <w:lang w:eastAsia="zh-CN"/>
          <w14:textFill>
            <w14:solidFill>
              <w14:schemeClr w14:val="tx1"/>
            </w14:solidFill>
          </w14:textFill>
        </w:rPr>
        <w:t>星期、月份和年份。</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auto"/>
          <w:sz w:val="24"/>
          <w:szCs w:val="24"/>
          <w:highlight w:val="none"/>
          <w:lang w:eastAsia="zh-CN"/>
        </w:rPr>
      </w:pPr>
      <w:r>
        <w:rPr>
          <w:rFonts w:hint="eastAsia" w:hAnsi="宋体" w:cs="宋体"/>
          <w:b/>
          <w:color w:val="auto"/>
          <w:sz w:val="24"/>
          <w:szCs w:val="24"/>
          <w:highlight w:val="none"/>
          <w:lang w:val="en-US" w:eastAsia="zh-CN"/>
        </w:rPr>
        <w:t>3、</w:t>
      </w:r>
      <w:r>
        <w:rPr>
          <w:rFonts w:hint="eastAsia" w:hAnsi="宋体" w:cs="宋体"/>
          <w:b/>
          <w:color w:val="auto"/>
          <w:sz w:val="24"/>
          <w:szCs w:val="24"/>
          <w:highlight w:val="none"/>
          <w:lang w:eastAsia="zh-CN"/>
        </w:rPr>
        <w:t>招标范围、质量目标、工期</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auto"/>
          <w:sz w:val="24"/>
          <w:szCs w:val="24"/>
          <w:highlight w:val="none"/>
          <w:lang w:val="en-US" w:eastAsia="zh-CN"/>
        </w:rPr>
      </w:pPr>
      <w:r>
        <w:rPr>
          <w:rFonts w:hint="eastAsia" w:hAnsi="宋体" w:cs="宋体"/>
          <w:b/>
          <w:color w:val="auto"/>
          <w:kern w:val="0"/>
          <w:sz w:val="24"/>
          <w:szCs w:val="24"/>
          <w:highlight w:val="none"/>
          <w:lang w:val="en-US" w:eastAsia="zh-CN" w:bidi="ar-SA"/>
        </w:rPr>
        <w:t>3.1</w:t>
      </w:r>
      <w:r>
        <w:rPr>
          <w:rFonts w:hint="eastAsia" w:hAnsi="宋体" w:cs="宋体"/>
          <w:b/>
          <w:color w:val="auto"/>
          <w:sz w:val="24"/>
          <w:szCs w:val="24"/>
          <w:highlight w:val="none"/>
          <w:lang w:eastAsia="zh-CN"/>
        </w:rPr>
        <w:t>招标范围</w:t>
      </w:r>
      <w:r>
        <w:rPr>
          <w:rFonts w:hint="eastAsia" w:hAnsi="宋体" w:cs="宋体"/>
          <w:b/>
          <w:color w:val="auto"/>
          <w:sz w:val="24"/>
          <w:szCs w:val="24"/>
          <w:highlight w:val="none"/>
          <w:lang w:val="en-US" w:eastAsia="zh-CN"/>
        </w:rPr>
        <w:t>：中标人完成某支队蔬菜大棚建设项目所包括建筑工程、装饰装修工程、钢结构工程（含覆盖材料）等全部施工内容以及合同条款、技术规范及标准、技术规格及要求、项目采购需求、本招标文件约定的全部内容及责任和义务。</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default" w:hAnsi="宋体" w:cs="宋体"/>
          <w:b/>
          <w:color w:val="auto"/>
          <w:sz w:val="24"/>
          <w:szCs w:val="24"/>
          <w:highlight w:val="none"/>
          <w:lang w:val="en-US" w:eastAsia="zh-CN"/>
        </w:rPr>
      </w:pPr>
      <w:r>
        <w:rPr>
          <w:rFonts w:hint="eastAsia" w:hAnsi="宋体" w:cs="宋体"/>
          <w:b/>
          <w:color w:val="auto"/>
          <w:sz w:val="24"/>
          <w:szCs w:val="24"/>
          <w:highlight w:val="none"/>
          <w:lang w:val="en-US" w:eastAsia="zh-CN"/>
        </w:rPr>
        <w:t>3.2质量目标：合格。</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en-US" w:eastAsia="zh-CN"/>
        </w:rPr>
        <w:t>3.3工期：计划2021年10月12日进场，2021年11月15日工程竣工验收合格，计划总工期35天（日历日）。投标人可根据采购人要求工期及自身实力并结合本项目规模自报合理施工工期，中标后以中标人自报工期签订合同。</w:t>
      </w:r>
    </w:p>
    <w:bookmarkEnd w:id="29"/>
    <w:bookmarkEnd w:id="38"/>
    <w:bookmarkEnd w:id="39"/>
    <w:bookmarkEnd w:id="40"/>
    <w:bookmarkEnd w:id="41"/>
    <w:p>
      <w:pPr>
        <w:keepNext w:val="0"/>
        <w:keepLines w:val="0"/>
        <w:pageBreakBefore w:val="0"/>
        <w:kinsoku/>
        <w:wordWrap/>
        <w:overflowPunct/>
        <w:topLinePunct w:val="0"/>
        <w:autoSpaceDE/>
        <w:autoSpaceDN/>
        <w:bidi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、合格投标人资格要求</w:t>
      </w:r>
    </w:p>
    <w:p>
      <w:pPr>
        <w:keepNext w:val="0"/>
        <w:keepLines w:val="0"/>
        <w:pageBreakBefore w:val="0"/>
        <w:kinsoku/>
        <w:wordWrap/>
        <w:overflowPunct/>
        <w:topLinePunct w:val="0"/>
        <w:autoSpaceDE/>
        <w:autoSpaceDN/>
        <w:bidi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4.1详见第一章“招标公告”中的投标人资格及相关要求。</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42" w:name="_Toc233274815"/>
      <w:bookmarkStart w:id="43" w:name="_Toc243907575"/>
      <w:bookmarkStart w:id="44" w:name="_Toc245897275"/>
      <w:bookmarkStart w:id="45" w:name="_Toc243906315"/>
      <w:r>
        <w:rPr>
          <w:rFonts w:hint="eastAsia" w:ascii="宋体" w:hAnsi="宋体" w:cs="宋体"/>
          <w:b/>
          <w:color w:val="000000" w:themeColor="text1"/>
          <w:sz w:val="24"/>
          <w:highlight w:val="none"/>
          <w14:textFill>
            <w14:solidFill>
              <w14:schemeClr w14:val="tx1"/>
            </w14:solidFill>
          </w14:textFill>
        </w:rPr>
        <w:t>4.2单位负责人为同一人或者存在直接控股、管理关系的不同投标人，不得参加同一合同项下的政府采购活动。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4.3为采购项目提供整体设计、规范编制或者项目管理、监理、检测等服务的投标人，不得再参加该采购项目的其他采购活动。</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4.4在单一品目的货物采购招标中，同一品牌同一型号的产品有多家投标人参加采购，只能按照一家投标人计算。</w:t>
      </w:r>
    </w:p>
    <w:p>
      <w:pPr>
        <w:keepNext w:val="0"/>
        <w:keepLines w:val="0"/>
        <w:pageBreakBefore w:val="0"/>
        <w:kinsoku/>
        <w:wordWrap/>
        <w:overflowPunct/>
        <w:topLinePunct w:val="0"/>
        <w:autoSpaceDE/>
        <w:autoSpaceDN/>
        <w:bidi w:val="0"/>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4.5同一分包的货物，制造商参与采购的，不得再委托代理商参与采购。</w:t>
      </w:r>
    </w:p>
    <w:p>
      <w:pPr>
        <w:pStyle w:val="520"/>
        <w:keepNext w:val="0"/>
        <w:keepLines w:val="0"/>
        <w:pageBreakBefore w:val="0"/>
        <w:kinsoku/>
        <w:wordWrap/>
        <w:overflowPunct/>
        <w:topLinePunct w:val="0"/>
        <w:autoSpaceDE/>
        <w:autoSpaceDN/>
        <w:bidi w:val="0"/>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5、回避。政府采购活动中，采购人员及相关人员与投标人有下列利害关系之一的，应当回避：</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5.1参加采购活动前3年内与投标人存在劳动关系；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5.2参加采购活动前3年内担任投标人的董事、监事；</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5.3参加采购活动前3年内是投标人的控股股东或者实际控制人；</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5.4与投标人的法定代表人或者负责人有夫妻、直系血亲、三代以内旁系血亲或者近姻亲关系；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5.5与投标人有其他可能影响政府采购活动公平、公正进行的关系。</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本项目政府采购活动中需要依法回避的采购人员是指采购人内部负责采购项目的具体经办工作人员和直接分管采购项目的负责人，以及招标代理机构负责采购项目的具体经办工作人员和直接分管采购活动的负责人。本项目政府采购活动中需要依法回避的相关人员是指评标小组成员。</w:t>
      </w:r>
    </w:p>
    <w:p>
      <w:pPr>
        <w:pStyle w:val="520"/>
        <w:keepNext w:val="0"/>
        <w:keepLines w:val="0"/>
        <w:pageBreakBefore w:val="0"/>
        <w:widowControl w:val="0"/>
        <w:kinsoku/>
        <w:wordWrap/>
        <w:overflowPunct/>
        <w:topLinePunct w:val="0"/>
        <w:autoSpaceDE/>
        <w:autoSpaceDN/>
        <w:bidi w:val="0"/>
        <w:snapToGrid/>
        <w:spacing w:line="360" w:lineRule="auto"/>
        <w:ind w:left="1"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投标人认为采购人员及相关人员与其他投标人有利害关系的，可以向招标代理机构书面提出回避申请，并说明理由。招标代理机构将及时询问被申请回避人员，有利害关系的被申请回避人员应当回避。</w:t>
      </w:r>
    </w:p>
    <w:bookmarkEnd w:id="42"/>
    <w:bookmarkEnd w:id="43"/>
    <w:bookmarkEnd w:id="44"/>
    <w:bookmarkEnd w:id="45"/>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6、实地考察和费用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6.1实地考察</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不统一组织投标人的实地考察。投标人须自行对招标项目的现场及招标项目所涉及的国家、自治区、克拉玛依地区、相关部门等与此相关的政策进行充分的调查、研究，参观并勘察现场及其周围环境（包括当地气候条件及自然环境等）以取得所有与准备公开招标和实施公开招标有关的必要资料及信息。实地考察所发生的任何费用均由投标人自理。</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6.2参与公开招标费用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6.2.1投标人应承担所有与公开招标准备和公开招标有关的全部费用，不论公开招标结果如何，采购人和招标代理机构无义务和责任承担投标人所发生的一切费用。</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6.2.2投标人在公开招标准备、实地考察和公开招标的全过程中，如果发生人身伤亡、财物或其它任何损失，不论何种原因所造成，均由投标人自行承担全部责任和损失。</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46" w:name="_Toc245897276"/>
      <w:bookmarkStart w:id="47" w:name="_Toc233274816"/>
      <w:bookmarkStart w:id="48" w:name="_Toc243906316"/>
      <w:bookmarkStart w:id="49" w:name="_Toc243907576"/>
      <w:r>
        <w:rPr>
          <w:rFonts w:hint="eastAsia" w:hAnsi="宋体" w:cs="宋体"/>
          <w:color w:val="000000" w:themeColor="text1"/>
          <w:sz w:val="24"/>
          <w:szCs w:val="24"/>
          <w:highlight w:val="none"/>
          <w14:textFill>
            <w14:solidFill>
              <w14:schemeClr w14:val="tx1"/>
            </w14:solidFill>
          </w14:textFill>
        </w:rPr>
        <w:t>7、法律适用</w:t>
      </w:r>
      <w:bookmarkEnd w:id="46"/>
      <w:bookmarkEnd w:id="47"/>
      <w:bookmarkEnd w:id="48"/>
      <w:bookmarkEnd w:id="49"/>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7.1本次公开招标活动及由本次公开招标产生的合同受中国法律制约和保护。</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50" w:name="_Toc233274817"/>
      <w:bookmarkStart w:id="51" w:name="_Toc243907577"/>
      <w:bookmarkStart w:id="52" w:name="_Toc245897277"/>
      <w:bookmarkStart w:id="53" w:name="_Toc243906317"/>
      <w:r>
        <w:rPr>
          <w:rFonts w:hint="eastAsia" w:hAnsi="宋体" w:cs="宋体"/>
          <w:color w:val="000000" w:themeColor="text1"/>
          <w:sz w:val="24"/>
          <w:szCs w:val="24"/>
          <w:highlight w:val="none"/>
          <w14:textFill>
            <w14:solidFill>
              <w14:schemeClr w14:val="tx1"/>
            </w14:solidFill>
          </w14:textFill>
        </w:rPr>
        <w:t>8、招标文件的约束力</w:t>
      </w:r>
      <w:bookmarkEnd w:id="50"/>
      <w:bookmarkEnd w:id="51"/>
      <w:bookmarkEnd w:id="52"/>
      <w:bookmarkEnd w:id="53"/>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8.1投标人若</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，即被认为接受了本招标文件中的所有条件和规定。是采购人与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单位签订合同的依据且是合同的组成部分。</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9、费用报价内容</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w:t>
      </w:r>
      <w:r>
        <w:rPr>
          <w:rFonts w:hint="eastAsia" w:ascii="宋体" w:hAnsi="宋体" w:cs="宋体"/>
          <w:color w:val="000000" w:themeColor="text1"/>
          <w:sz w:val="24"/>
          <w:highlight w:val="none"/>
          <w:lang w:eastAsia="zh-CN"/>
          <w14:textFill>
            <w14:solidFill>
              <w14:schemeClr w14:val="tx1"/>
            </w14:solidFill>
          </w14:textFill>
        </w:rPr>
        <w:t>招标范围</w:t>
      </w:r>
      <w:r>
        <w:rPr>
          <w:rFonts w:hint="eastAsia" w:ascii="宋体" w:hAnsi="宋体" w:cs="宋体"/>
          <w:color w:val="000000" w:themeColor="text1"/>
          <w:sz w:val="24"/>
          <w:highlight w:val="none"/>
          <w14:textFill>
            <w14:solidFill>
              <w14:schemeClr w14:val="tx1"/>
            </w14:solidFill>
          </w14:textFill>
        </w:rPr>
        <w:t>、本招标文件及合同约定等完成本采购项目的全部费用（包括：运输费、人工费、保管费、税费等所有相关费用）。</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9.2投标人认为需包含的其它费用。</w:t>
      </w:r>
    </w:p>
    <w:p>
      <w:pPr>
        <w:pStyle w:val="33"/>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p>
    <w:p>
      <w:pPr>
        <w:pStyle w:val="33"/>
        <w:keepNext w:val="0"/>
        <w:keepLines w:val="0"/>
        <w:pageBreakBefore w:val="0"/>
        <w:widowControl w:val="0"/>
        <w:kinsoku/>
        <w:wordWrap/>
        <w:overflowPunct/>
        <w:topLinePunct w:val="0"/>
        <w:autoSpaceDE/>
        <w:autoSpaceDN/>
        <w:bidi w:val="0"/>
        <w:snapToGrid/>
        <w:spacing w:line="36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B  招标文件</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ascii="仿宋_GB2312" w:eastAsia="仿宋_GB2312"/>
          <w:color w:val="000000" w:themeColor="text1"/>
          <w:sz w:val="24"/>
          <w:highlight w:val="none"/>
          <w14:textFill>
            <w14:solidFill>
              <w14:schemeClr w14:val="tx1"/>
            </w14:solidFill>
          </w14:textFill>
        </w:rPr>
      </w:pPr>
      <w:bookmarkStart w:id="54" w:name="_Toc233274819"/>
      <w:bookmarkStart w:id="55" w:name="_Toc243906319"/>
      <w:bookmarkStart w:id="56" w:name="_Toc243907579"/>
      <w:bookmarkStart w:id="57" w:name="_Toc246216188"/>
    </w:p>
    <w:bookmarkEnd w:id="54"/>
    <w:bookmarkEnd w:id="55"/>
    <w:bookmarkEnd w:id="56"/>
    <w:bookmarkEnd w:id="57"/>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58" w:name="_Toc233274822"/>
      <w:bookmarkStart w:id="59" w:name="_Toc246216191"/>
      <w:bookmarkStart w:id="60" w:name="_Toc243906322"/>
      <w:bookmarkStart w:id="61" w:name="_Toc243907582"/>
      <w:bookmarkStart w:id="62" w:name="_Toc154996580"/>
      <w:r>
        <w:rPr>
          <w:rFonts w:hint="eastAsia" w:hAnsi="宋体" w:cs="宋体"/>
          <w:color w:val="000000" w:themeColor="text1"/>
          <w:sz w:val="24"/>
          <w:highlight w:val="none"/>
          <w14:textFill>
            <w14:solidFill>
              <w14:schemeClr w14:val="tx1"/>
            </w14:solidFill>
          </w14:textFill>
        </w:rPr>
        <w:t>10、招标文件的组成</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 本招标文件是对</w:t>
      </w:r>
      <w:r>
        <w:rPr>
          <w:rFonts w:hint="eastAsia" w:ascii="宋体" w:hAnsi="宋体" w:cs="宋体"/>
          <w:color w:val="000000" w:themeColor="text1"/>
          <w:sz w:val="24"/>
          <w:highlight w:val="none"/>
          <w:lang w:eastAsia="zh-CN"/>
          <w14:textFill>
            <w14:solidFill>
              <w14:schemeClr w14:val="tx1"/>
            </w14:solidFill>
          </w14:textFill>
        </w:rPr>
        <w:t>某支队蔬菜大棚建设项目</w:t>
      </w:r>
      <w:r>
        <w:rPr>
          <w:rFonts w:hint="eastAsia" w:ascii="宋体" w:hAnsi="宋体" w:cs="宋体"/>
          <w:color w:val="000000" w:themeColor="text1"/>
          <w:sz w:val="24"/>
          <w:highlight w:val="none"/>
          <w14:textFill>
            <w14:solidFill>
              <w14:schemeClr w14:val="tx1"/>
            </w14:solidFill>
          </w14:textFill>
        </w:rPr>
        <w:t>公开招标程序、合同条款进行说明。招标文件包括下列内容：</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第一章  招标公告</w:t>
      </w:r>
    </w:p>
    <w:p>
      <w:pPr>
        <w:keepNext w:val="0"/>
        <w:keepLines w:val="0"/>
        <w:pageBreakBefore w:val="0"/>
        <w:widowControl w:val="0"/>
        <w:kinsoku/>
        <w:wordWrap/>
        <w:overflowPunct/>
        <w:topLinePunct w:val="0"/>
        <w:autoSpaceDE/>
        <w:autoSpaceDN/>
        <w:bidi w:val="0"/>
        <w:snapToGrid/>
        <w:spacing w:line="360" w:lineRule="auto"/>
        <w:ind w:firstLine="48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第二章  投标人须知</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第四章  </w:t>
      </w:r>
      <w:r>
        <w:rPr>
          <w:rFonts w:hint="eastAsia" w:ascii="宋体" w:hAnsi="宋体" w:cs="宋体"/>
          <w:color w:val="000000" w:themeColor="text1"/>
          <w:sz w:val="24"/>
          <w:highlight w:val="none"/>
          <w:lang w:eastAsia="zh-CN"/>
          <w14:textFill>
            <w14:solidFill>
              <w14:schemeClr w14:val="tx1"/>
            </w14:solidFill>
          </w14:textFill>
        </w:rPr>
        <w:t>通用合同条款</w:t>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五</w:t>
      </w:r>
      <w:r>
        <w:rPr>
          <w:rFonts w:hint="eastAsia" w:ascii="宋体" w:hAnsi="宋体" w:cs="宋体"/>
          <w:color w:val="000000" w:themeColor="text1"/>
          <w:sz w:val="24"/>
          <w:highlight w:val="none"/>
          <w14:textFill>
            <w14:solidFill>
              <w14:schemeClr w14:val="tx1"/>
            </w14:solidFill>
          </w14:textFill>
        </w:rPr>
        <w:t>章</w:t>
      </w:r>
      <w:r>
        <w:rPr>
          <w:rFonts w:hint="eastAsia" w:ascii="宋体" w:hAnsi="宋体" w:cs="宋体"/>
          <w:color w:val="000000" w:themeColor="text1"/>
          <w:sz w:val="24"/>
          <w:highlight w:val="none"/>
          <w:lang w:val="en-US" w:eastAsia="zh-CN"/>
          <w14:textFill>
            <w14:solidFill>
              <w14:schemeClr w14:val="tx1"/>
            </w14:solidFill>
          </w14:textFill>
        </w:rPr>
        <w:t xml:space="preserve">  专用合同条款</w:t>
      </w:r>
      <w:r>
        <w:rPr>
          <w:rFonts w:hint="eastAsia" w:ascii="宋体" w:hAnsi="宋体" w:cs="宋体"/>
          <w:color w:val="000000" w:themeColor="text1"/>
          <w:sz w:val="24"/>
          <w:highlight w:val="none"/>
          <w14:textFill>
            <w14:solidFill>
              <w14:schemeClr w14:val="tx1"/>
            </w14:solidFill>
          </w14:textFill>
        </w:rPr>
        <w:tab/>
      </w:r>
      <w:r>
        <w:rPr>
          <w:rFonts w:hint="eastAsia" w:ascii="宋体" w:hAnsi="宋体" w:cs="宋体"/>
          <w:color w:val="000000" w:themeColor="text1"/>
          <w:sz w:val="24"/>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snapToGrid/>
        <w:spacing w:line="360" w:lineRule="auto"/>
        <w:ind w:firstLine="48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lang w:eastAsia="zh-CN"/>
          <w14:textFill>
            <w14:solidFill>
              <w14:schemeClr w14:val="tx1"/>
            </w14:solidFill>
          </w14:textFill>
        </w:rPr>
        <w:t>六</w:t>
      </w:r>
      <w:r>
        <w:rPr>
          <w:rFonts w:hint="eastAsia" w:ascii="宋体" w:hAnsi="宋体" w:cs="宋体"/>
          <w:color w:val="000000" w:themeColor="text1"/>
          <w:sz w:val="24"/>
          <w:highlight w:val="none"/>
          <w14:textFill>
            <w14:solidFill>
              <w14:schemeClr w14:val="tx1"/>
            </w14:solidFill>
          </w14:textFill>
        </w:rPr>
        <w:t>章  投标文件格式</w:t>
      </w:r>
    </w:p>
    <w:p>
      <w:pPr>
        <w:keepNext w:val="0"/>
        <w:keepLines w:val="0"/>
        <w:pageBreakBefore w:val="0"/>
        <w:widowControl w:val="0"/>
        <w:kinsoku/>
        <w:wordWrap/>
        <w:overflowPunct/>
        <w:topLinePunct w:val="0"/>
        <w:autoSpaceDE/>
        <w:autoSpaceDN/>
        <w:bidi w:val="0"/>
        <w:snapToGrid/>
        <w:spacing w:line="360" w:lineRule="auto"/>
        <w:ind w:firstLine="481"/>
        <w:rPr>
          <w:rFonts w:hint="eastAsia" w:eastAsia="宋体"/>
          <w:lang w:eastAsia="zh-CN"/>
        </w:rPr>
      </w:pPr>
      <w:r>
        <w:rPr>
          <w:rFonts w:hint="eastAsia" w:ascii="宋体" w:hAnsi="宋体" w:cs="宋体"/>
          <w:color w:val="000000" w:themeColor="text1"/>
          <w:sz w:val="24"/>
          <w:highlight w:val="none"/>
          <w:lang w:eastAsia="zh-CN"/>
          <w14:textFill>
            <w14:solidFill>
              <w14:schemeClr w14:val="tx1"/>
            </w14:solidFill>
          </w14:textFill>
        </w:rPr>
        <w:t>第七章</w:t>
      </w:r>
      <w:r>
        <w:rPr>
          <w:rFonts w:hint="eastAsia"/>
          <w:lang w:val="en-US" w:eastAsia="zh-CN"/>
        </w:rPr>
        <w:t xml:space="preserve">  </w:t>
      </w:r>
      <w:r>
        <w:rPr>
          <w:rFonts w:hint="eastAsia" w:ascii="宋体" w:hAnsi="宋体" w:cs="宋体"/>
          <w:color w:val="000000" w:themeColor="text1"/>
          <w:sz w:val="24"/>
          <w:highlight w:val="none"/>
          <w14:textFill>
            <w14:solidFill>
              <w14:schemeClr w14:val="tx1"/>
            </w14:solidFill>
          </w14:textFill>
        </w:rPr>
        <w:t>评标办法（综合评分法）</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10.2 招标文件以中文编印，以中文文本为准。</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10.3 除非有特殊要求，招标文件不单独提供招标项目使用地的自然环境、气候条件、劳动力及公用设施等情况，投标人被视为熟悉上述条件或若</w:t>
      </w:r>
      <w:r>
        <w:rPr>
          <w:rFonts w:hint="eastAsia" w:hAnsi="宋体" w:cs="宋体"/>
          <w:color w:val="000000" w:themeColor="text1"/>
          <w:sz w:val="24"/>
          <w:highlight w:val="none"/>
          <w:lang w:eastAsia="zh-CN"/>
          <w14:textFill>
            <w14:solidFill>
              <w14:schemeClr w14:val="tx1"/>
            </w14:solidFill>
          </w14:textFill>
        </w:rPr>
        <w:t>中标</w:t>
      </w:r>
      <w:r>
        <w:rPr>
          <w:rFonts w:hint="eastAsia" w:hAnsi="宋体" w:cs="宋体"/>
          <w:color w:val="000000" w:themeColor="text1"/>
          <w:sz w:val="24"/>
          <w:highlight w:val="none"/>
          <w14:textFill>
            <w14:solidFill>
              <w14:schemeClr w14:val="tx1"/>
            </w14:solidFill>
          </w14:textFill>
        </w:rPr>
        <w:t>履行合同有关的一切情况。</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10.4采购人向投标人提供的有关数据和资料，是采购人现有的能被投标人利用的资料，投标人对此做出的推论、理解和结论自行负责。</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63" w:name="_Toc243906320"/>
      <w:bookmarkStart w:id="64" w:name="_Toc233274820"/>
      <w:bookmarkStart w:id="65" w:name="_Toc243907580"/>
      <w:bookmarkStart w:id="66" w:name="_Toc245897280"/>
      <w:r>
        <w:rPr>
          <w:rFonts w:hint="eastAsia" w:hAnsi="宋体" w:cs="宋体"/>
          <w:color w:val="000000" w:themeColor="text1"/>
          <w:sz w:val="24"/>
          <w:highlight w:val="none"/>
          <w14:textFill>
            <w14:solidFill>
              <w14:schemeClr w14:val="tx1"/>
            </w14:solidFill>
          </w14:textFill>
        </w:rPr>
        <w:t>11、招标文件的澄清</w:t>
      </w:r>
      <w:bookmarkEnd w:id="63"/>
      <w:bookmarkEnd w:id="64"/>
      <w:bookmarkEnd w:id="65"/>
      <w:bookmarkEnd w:id="66"/>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11.1 投标人对招标文件如有疑问，可要求澄清，应按</w:t>
      </w:r>
      <w:r>
        <w:rPr>
          <w:rFonts w:hint="eastAsia" w:hAnsi="宋体" w:cs="宋体"/>
          <w:b/>
          <w:bCs/>
          <w:color w:val="000000" w:themeColor="text1"/>
          <w:sz w:val="24"/>
          <w:highlight w:val="none"/>
          <w14:textFill>
            <w14:solidFill>
              <w14:schemeClr w14:val="tx1"/>
            </w14:solidFill>
          </w14:textFill>
        </w:rPr>
        <w:t>招标文件“投标人须知前附表第</w:t>
      </w:r>
      <w:r>
        <w:rPr>
          <w:rFonts w:hint="eastAsia" w:hAnsi="宋体" w:cs="宋体"/>
          <w:b/>
          <w:bCs/>
          <w:color w:val="000000" w:themeColor="text1"/>
          <w:sz w:val="24"/>
          <w:highlight w:val="none"/>
          <w:lang w:val="en-US" w:eastAsia="zh-CN"/>
          <w14:textFill>
            <w14:solidFill>
              <w14:schemeClr w14:val="tx1"/>
            </w14:solidFill>
          </w14:textFill>
        </w:rPr>
        <w:t>6</w:t>
      </w:r>
      <w:r>
        <w:rPr>
          <w:rFonts w:hint="eastAsia" w:hAnsi="宋体" w:cs="宋体"/>
          <w:b/>
          <w:bCs/>
          <w:color w:val="000000" w:themeColor="text1"/>
          <w:sz w:val="24"/>
          <w:highlight w:val="none"/>
          <w14:textFill>
            <w14:solidFill>
              <w14:schemeClr w14:val="tx1"/>
            </w14:solidFill>
          </w14:textFill>
        </w:rPr>
        <w:t>条”以</w:t>
      </w:r>
      <w:r>
        <w:rPr>
          <w:rFonts w:hint="eastAsia" w:hAnsi="宋体" w:cs="宋体"/>
          <w:b/>
          <w:bCs/>
          <w:color w:val="000000" w:themeColor="text1"/>
          <w:sz w:val="24"/>
          <w:highlight w:val="none"/>
          <w:lang w:eastAsia="zh-CN"/>
          <w14:textFill>
            <w14:solidFill>
              <w14:schemeClr w14:val="tx1"/>
            </w14:solidFill>
          </w14:textFill>
        </w:rPr>
        <w:t>扫描件</w:t>
      </w:r>
      <w:r>
        <w:rPr>
          <w:rFonts w:hint="eastAsia" w:hAnsi="宋体" w:cs="宋体"/>
          <w:b/>
          <w:bCs/>
          <w:color w:val="000000" w:themeColor="text1"/>
          <w:sz w:val="24"/>
          <w:highlight w:val="none"/>
          <w14:textFill>
            <w14:solidFill>
              <w14:schemeClr w14:val="tx1"/>
            </w14:solidFill>
          </w14:textFill>
        </w:rPr>
        <w:t>形式（必须加盖</w:t>
      </w:r>
      <w:r>
        <w:rPr>
          <w:rFonts w:hint="eastAsia" w:hAnsi="宋体" w:cs="宋体"/>
          <w:b/>
          <w:bCs/>
          <w:color w:val="000000" w:themeColor="text1"/>
          <w:sz w:val="24"/>
          <w:highlight w:val="none"/>
          <w:lang w:eastAsia="zh-CN"/>
          <w14:textFill>
            <w14:solidFill>
              <w14:schemeClr w14:val="tx1"/>
            </w14:solidFill>
          </w14:textFill>
        </w:rPr>
        <w:t>投标人</w:t>
      </w:r>
      <w:r>
        <w:rPr>
          <w:rFonts w:hint="eastAsia" w:hAnsi="宋体" w:cs="宋体"/>
          <w:b/>
          <w:bCs/>
          <w:color w:val="000000" w:themeColor="text1"/>
          <w:sz w:val="24"/>
          <w:highlight w:val="none"/>
          <w14:textFill>
            <w14:solidFill>
              <w14:schemeClr w14:val="tx1"/>
            </w14:solidFill>
          </w14:textFill>
        </w:rPr>
        <w:t>公章）发至</w:t>
      </w:r>
      <w:r>
        <w:rPr>
          <w:rFonts w:hint="eastAsia" w:hAnsi="宋体" w:cs="宋体"/>
          <w:b/>
          <w:bCs/>
          <w:color w:val="000000" w:themeColor="text1"/>
          <w:sz w:val="24"/>
          <w:highlight w:val="none"/>
          <w:lang w:eastAsia="zh-CN"/>
          <w14:textFill>
            <w14:solidFill>
              <w14:schemeClr w14:val="tx1"/>
            </w14:solidFill>
          </w14:textFill>
        </w:rPr>
        <w:t>邮箱</w:t>
      </w:r>
      <w:r>
        <w:rPr>
          <w:rFonts w:hint="eastAsia" w:hAnsi="宋体" w:cs="宋体"/>
          <w:b/>
          <w:bCs/>
          <w:color w:val="000000" w:themeColor="text1"/>
          <w:sz w:val="24"/>
          <w:highlight w:val="none"/>
          <w:lang w:val="en-US" w:eastAsia="zh-CN"/>
          <w14:textFill>
            <w14:solidFill>
              <w14:schemeClr w14:val="tx1"/>
            </w14:solidFill>
          </w14:textFill>
        </w:rPr>
        <w:t>453430273</w:t>
      </w:r>
      <w:r>
        <w:rPr>
          <w:rFonts w:hint="eastAsia" w:hAnsi="宋体" w:cs="宋体"/>
          <w:b/>
          <w:bCs/>
          <w:color w:val="000000" w:themeColor="text1"/>
          <w:sz w:val="24"/>
          <w:highlight w:val="none"/>
          <w:lang w:eastAsia="zh-CN"/>
          <w14:textFill>
            <w14:solidFill>
              <w14:schemeClr w14:val="tx1"/>
            </w14:solidFill>
          </w14:textFill>
        </w:rPr>
        <w:t>@qq.com</w:t>
      </w:r>
      <w:r>
        <w:rPr>
          <w:rFonts w:hint="eastAsia" w:hAnsi="宋体" w:cs="宋体"/>
          <w:b/>
          <w:bCs/>
          <w:color w:val="000000" w:themeColor="text1"/>
          <w:sz w:val="24"/>
          <w:highlight w:val="none"/>
          <w14:textFill>
            <w14:solidFill>
              <w14:schemeClr w14:val="tx1"/>
            </w14:solidFill>
          </w14:textFill>
        </w:rPr>
        <w:t>。</w:t>
      </w:r>
      <w:r>
        <w:rPr>
          <w:rFonts w:hint="eastAsia" w:hAnsi="宋体" w:cs="宋体"/>
          <w:color w:val="000000" w:themeColor="text1"/>
          <w:sz w:val="24"/>
          <w:highlight w:val="none"/>
          <w14:textFill>
            <w14:solidFill>
              <w14:schemeClr w14:val="tx1"/>
            </w14:solidFill>
          </w14:textFill>
        </w:rPr>
        <w:t>采购人和招标代理机构将视情况以书面形式予以答复，并发至领取招标文件的每位投标人。答复中包括所提问题，但不包括问题的来源。</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11.2 如果上述答复涉及对招标文件的修改或补充，则它将被视为招标文件的组成部分。凡原先所发招标文件中的内容与答复中的内容不一致之处，以最后书面答复为准。任何电话或口头咨询和答复的意思解释均不具有法律约束力。</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bookmarkStart w:id="67" w:name="_Toc245897281"/>
      <w:bookmarkStart w:id="68" w:name="_Toc243907581"/>
      <w:bookmarkStart w:id="69" w:name="_Toc233274821"/>
      <w:bookmarkStart w:id="70" w:name="_Toc243906321"/>
      <w:r>
        <w:rPr>
          <w:rFonts w:hint="eastAsia" w:hAnsi="宋体" w:cs="宋体"/>
          <w:color w:val="000000" w:themeColor="text1"/>
          <w:sz w:val="24"/>
          <w:highlight w:val="none"/>
          <w14:textFill>
            <w14:solidFill>
              <w14:schemeClr w14:val="tx1"/>
            </w14:solidFill>
          </w14:textFill>
        </w:rPr>
        <w:t>12、招标文件的修改和补充</w:t>
      </w:r>
      <w:bookmarkEnd w:id="67"/>
      <w:bookmarkEnd w:id="68"/>
      <w:bookmarkEnd w:id="69"/>
      <w:bookmarkEnd w:id="70"/>
      <w:r>
        <w:rPr>
          <w:rFonts w:hint="eastAsia" w:hAnsi="宋体" w:cs="宋体"/>
          <w:color w:val="000000" w:themeColor="text1"/>
          <w:sz w:val="24"/>
          <w:highlight w:val="none"/>
          <w14:textFill>
            <w14:solidFill>
              <w14:schemeClr w14:val="tx1"/>
            </w14:solidFill>
          </w14:textFill>
        </w:rPr>
        <w:tab/>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12.1澄清或者修改的内容可能影响投标文件编制的，采购人或者招标代理机构应当在投标截止时间至少15日前，以书面形式通知所有获取招标文件的潜在投标人；不足15日的，采购人或者招标代理机构应当顺延提交投标文件的截止时间。修改或补充文件将作为招标文件的组成部分，对所有投标人具有约束力。</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12.2投标人在每次收到招标代理机构发至的书面文件后，应在收到后24小时内以书面形式并加盖投标人公章予以确认。</w:t>
      </w:r>
    </w:p>
    <w:p>
      <w:pPr>
        <w:pStyle w:val="33"/>
        <w:keepNext w:val="0"/>
        <w:keepLines w:val="0"/>
        <w:pageBreakBefore w:val="0"/>
        <w:widowControl w:val="0"/>
        <w:kinsoku/>
        <w:wordWrap/>
        <w:overflowPunct/>
        <w:topLinePunct w:val="0"/>
        <w:autoSpaceDE/>
        <w:autoSpaceDN/>
        <w:bidi w:val="0"/>
        <w:snapToGrid/>
        <w:spacing w:line="360" w:lineRule="auto"/>
        <w:ind w:firstLine="562" w:firstLineChars="200"/>
        <w:jc w:val="center"/>
        <w:outlineLvl w:val="1"/>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 xml:space="preserve">   C 投标文件的编写</w:t>
      </w:r>
      <w:bookmarkEnd w:id="58"/>
      <w:bookmarkEnd w:id="59"/>
      <w:bookmarkEnd w:id="60"/>
      <w:bookmarkEnd w:id="61"/>
    </w:p>
    <w:p>
      <w:pPr>
        <w:pStyle w:val="33"/>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bookmarkStart w:id="71" w:name="_Toc243907583"/>
      <w:bookmarkStart w:id="72" w:name="_Toc243906323"/>
      <w:bookmarkStart w:id="73" w:name="_Toc245897283"/>
      <w:bookmarkStart w:id="74" w:name="_Toc233274823"/>
      <w:r>
        <w:rPr>
          <w:rFonts w:hint="eastAsia" w:hAnsi="宋体" w:cs="宋体"/>
          <w:color w:val="000000" w:themeColor="text1"/>
          <w:sz w:val="24"/>
          <w:highlight w:val="none"/>
          <w14:textFill>
            <w14:solidFill>
              <w14:schemeClr w14:val="tx1"/>
            </w14:solidFill>
          </w14:textFill>
        </w:rPr>
        <w:t>13、投标文件的编写</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13.1投标人必须详细阅读招标文件的章、节、条款、格式等所有内容，按招标文件的要求提交投标文件，并保证所提供的全部文件及相关资料的真实性，以使其对招标文件做出实质性投标。投标人应仔细阅读并充分理解招标文件、技术规范及标准、项目采购需求、合同条款后</w:t>
      </w:r>
      <w:r>
        <w:rPr>
          <w:rFonts w:hint="eastAsia" w:ascii="宋体" w:hAnsi="宋体" w:cs="宋体"/>
          <w:b/>
          <w:color w:val="000000" w:themeColor="text1"/>
          <w:sz w:val="24"/>
          <w:highlight w:val="none"/>
          <w14:textFill>
            <w14:solidFill>
              <w14:schemeClr w14:val="tx1"/>
            </w14:solidFill>
          </w14:textFill>
        </w:rPr>
        <w:t>编制投标文件</w:t>
      </w:r>
      <w:r>
        <w:rPr>
          <w:rFonts w:hint="eastAsia" w:ascii="宋体" w:hAnsi="宋体" w:cs="宋体"/>
          <w:color w:val="000000" w:themeColor="text1"/>
          <w:sz w:val="24"/>
          <w:highlight w:val="none"/>
          <w14:textFill>
            <w14:solidFill>
              <w14:schemeClr w14:val="tx1"/>
            </w14:solidFill>
          </w14:textFill>
        </w:rPr>
        <w:t>。</w:t>
      </w:r>
    </w:p>
    <w:p>
      <w:pPr>
        <w:pStyle w:val="33"/>
        <w:keepNext w:val="0"/>
        <w:keepLines w:val="0"/>
        <w:pageBreakBefore w:val="0"/>
        <w:widowControl w:val="0"/>
        <w:kinsoku/>
        <w:wordWrap/>
        <w:overflowPunct/>
        <w:topLinePunct w:val="0"/>
        <w:autoSpaceDE/>
        <w:autoSpaceDN/>
        <w:bidi w:val="0"/>
        <w:snapToGrid/>
        <w:spacing w:line="360" w:lineRule="auto"/>
        <w:ind w:firstLine="480" w:firstLineChars="200"/>
        <w:outlineLvl w:val="1"/>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14、投标文件的语言及计量单位</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14.1 投标文件及投标人和采购人及招标代理机构就有关公开的所有文件和来往函件，应以中文书写。投标人可以提交用其他语言（原文）打印的资料，但必须翻译成中文，当原文和译文（中文）之间存有差异和/或矛盾时，以中文为准。</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14.2 除在招标文件的项目采购需求中另有规定外，计量单位应使用中华人民共和国法定计量单位（国际单位制和国家选定的其它计量单位）。如投标人采用其它计量单位，需事先得到采购人的同意。</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15、知识产权</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15.1投标人应保证在本项目使用的任何产品和服务时，不会产生因第三方提出侵犯其专利权、商标权或其它知识产权而引起的法律和经济纠纷，如因专利权、商标权或其它知识产权而引起法律和经济纠纷，由投标人承担所有相关责任。</w:t>
      </w:r>
    </w:p>
    <w:p>
      <w:pPr>
        <w:pStyle w:val="33"/>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14.2 采购人享有本项目实施过程中产生的知识成果及知识产权。</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15.3投标人如欲在项目实施过程中采用自有知识成果，需在投标文件中声明，并提供相关知识产权证明文件。使用该知识成果后，投标人需承诺提供无限期技术支持，采购人享有永久使用权。</w:t>
      </w:r>
    </w:p>
    <w:p>
      <w:pPr>
        <w:spacing w:line="360" w:lineRule="auto"/>
        <w:ind w:firstLine="460" w:firstLineChars="19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15.4 投标人如采用其所不拥有的知识产权，则在其商务报价中必须包括合法获取该知识产权的相关费用。 </w:t>
      </w:r>
    </w:p>
    <w:p>
      <w:pPr>
        <w:pStyle w:val="33"/>
        <w:spacing w:line="360" w:lineRule="auto"/>
        <w:ind w:firstLine="482" w:firstLineChars="200"/>
        <w:outlineLvl w:val="1"/>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16、投标文件的组成：</w:t>
      </w:r>
      <w:r>
        <w:rPr>
          <w:rFonts w:hint="eastAsia" w:hAnsi="宋体" w:cs="宋体"/>
          <w:b/>
          <w:color w:val="000000" w:themeColor="text1"/>
          <w:sz w:val="24"/>
          <w:szCs w:val="24"/>
          <w:highlight w:val="none"/>
          <w14:textFill>
            <w14:solidFill>
              <w14:schemeClr w14:val="tx1"/>
            </w14:solidFill>
          </w14:textFill>
        </w:rPr>
        <w:t>由</w:t>
      </w:r>
      <w:r>
        <w:rPr>
          <w:rFonts w:hint="eastAsia" w:hAnsi="宋体" w:cs="宋体"/>
          <w:b/>
          <w:color w:val="000000" w:themeColor="text1"/>
          <w:sz w:val="24"/>
          <w:highlight w:val="none"/>
          <w14:textFill>
            <w14:solidFill>
              <w14:schemeClr w14:val="tx1"/>
            </w14:solidFill>
          </w14:textFill>
        </w:rPr>
        <w:t>资格证明文件、</w:t>
      </w:r>
      <w:r>
        <w:rPr>
          <w:rFonts w:hint="eastAsia" w:hAnsi="宋体" w:cs="宋体"/>
          <w:b/>
          <w:color w:val="000000" w:themeColor="text1"/>
          <w:sz w:val="24"/>
          <w:szCs w:val="24"/>
          <w:highlight w:val="none"/>
          <w14:textFill>
            <w14:solidFill>
              <w14:schemeClr w14:val="tx1"/>
            </w14:solidFill>
          </w14:textFill>
        </w:rPr>
        <w:t>商务文件、技术文件组成，分别打印、装订、密封，均须编制目录及页码。</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各投标人应对照第三章“项目采购需求”及第</w:t>
      </w:r>
      <w:r>
        <w:rPr>
          <w:rFonts w:hint="eastAsia" w:ascii="宋体" w:hAnsi="宋体" w:cs="宋体"/>
          <w:b/>
          <w:color w:val="000000" w:themeColor="text1"/>
          <w:sz w:val="24"/>
          <w:highlight w:val="none"/>
          <w:lang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章“评标办法（综合评分法）”提供必要的证明资料，投标文件应包括但不限于以下内容：</w:t>
      </w:r>
    </w:p>
    <w:p>
      <w:pPr>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16.1资格证明文件</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投标人资格证明文件应简要客观反映企业面貌，使</w:t>
      </w:r>
      <w:r>
        <w:rPr>
          <w:rFonts w:hint="eastAsia" w:ascii="宋体" w:hAnsi="宋体" w:cs="宋体"/>
          <w:b/>
          <w:bCs/>
          <w:color w:val="000000" w:themeColor="text1"/>
          <w:sz w:val="24"/>
          <w:highlight w:val="none"/>
          <w:lang w:eastAsia="zh-CN"/>
          <w14:textFill>
            <w14:solidFill>
              <w14:schemeClr w14:val="tx1"/>
            </w14:solidFill>
          </w14:textFill>
        </w:rPr>
        <w:t>采购人</w:t>
      </w:r>
      <w:r>
        <w:rPr>
          <w:rFonts w:hint="eastAsia" w:ascii="宋体" w:hAnsi="宋体" w:cs="宋体"/>
          <w:b/>
          <w:bCs/>
          <w:color w:val="000000" w:themeColor="text1"/>
          <w:sz w:val="24"/>
          <w:highlight w:val="none"/>
          <w14:textFill>
            <w14:solidFill>
              <w14:schemeClr w14:val="tx1"/>
            </w14:solidFill>
          </w14:textFill>
        </w:rPr>
        <w:t>对其有感性了解，必须如实提供，如发现失实之处将影响其</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。资格证明文件包括但不仅限于以下内容，投标人对照第六章“1</w:t>
      </w:r>
      <w:r>
        <w:rPr>
          <w:rFonts w:hint="eastAsia" w:ascii="宋体" w:hAnsi="宋体" w:cs="宋体"/>
          <w:b/>
          <w:bCs/>
          <w:color w:val="000000" w:themeColor="text1"/>
          <w:sz w:val="24"/>
          <w:highlight w:val="none"/>
          <w:lang w:val="en-US"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1资格性审查”提供必要的证明材料：</w:t>
      </w:r>
    </w:p>
    <w:p>
      <w:pPr>
        <w:tabs>
          <w:tab w:val="left" w:pos="360"/>
          <w:tab w:val="left" w:pos="1800"/>
        </w:tabs>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（1）法定代表人资格证明书</w:t>
      </w:r>
      <w:r>
        <w:rPr>
          <w:rFonts w:hint="eastAsia" w:ascii="宋体" w:hAnsi="宋体" w:cs="宋体"/>
          <w:color w:val="000000" w:themeColor="text1"/>
          <w:sz w:val="24"/>
          <w:highlight w:val="none"/>
          <w14:textFill>
            <w14:solidFill>
              <w14:schemeClr w14:val="tx1"/>
            </w14:solidFill>
          </w14:textFill>
        </w:rPr>
        <w:t>（详见格式1）；</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（2）法定代表人授权书</w:t>
      </w:r>
      <w:r>
        <w:rPr>
          <w:rFonts w:hint="eastAsia" w:ascii="宋体" w:hAnsi="宋体" w:cs="宋体"/>
          <w:color w:val="000000" w:themeColor="text1"/>
          <w:sz w:val="24"/>
          <w:highlight w:val="none"/>
          <w14:textFill>
            <w14:solidFill>
              <w14:schemeClr w14:val="tx1"/>
            </w14:solidFill>
          </w14:textFill>
        </w:rPr>
        <w:t>（详见格式2）；</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（3）投标人资格声明（详见格式3）；</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）中小企业声明函（详见格式</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zh-CN"/>
          <w14:textFill>
            <w14:solidFill>
              <w14:schemeClr w14:val="tx1"/>
            </w14:solidFill>
          </w14:textFill>
        </w:rPr>
        <w:t>）有效的三证合一营业执照（复印件）；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lang w:eastAsia="zh-CN"/>
          <w14:textFill>
            <w14:solidFill>
              <w14:schemeClr w14:val="tx1"/>
            </w14:solidFill>
          </w14:textFill>
        </w:rPr>
        <w:t>）提供</w:t>
      </w:r>
      <w:r>
        <w:rPr>
          <w:rFonts w:hint="eastAsia" w:ascii="宋体" w:hAnsi="宋体" w:eastAsia="宋体" w:cs="宋体"/>
          <w:color w:val="000000" w:themeColor="text1"/>
          <w:sz w:val="24"/>
          <w:highlight w:val="none"/>
          <w14:textFill>
            <w14:solidFill>
              <w14:schemeClr w14:val="tx1"/>
            </w14:solidFill>
          </w14:textFill>
        </w:rPr>
        <w:t>建设行政主管部门核发的建筑工程施工总承包三级及以上资质证书和有效的安全生产许可证；</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）项目负责人简历表（详见格式</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），项目负责人提供建设行政主管部门核发的有效期内的</w:t>
      </w:r>
      <w:r>
        <w:rPr>
          <w:rFonts w:hint="eastAsia" w:ascii="宋体" w:hAnsi="宋体" w:eastAsia="宋体" w:cs="宋体"/>
          <w:color w:val="000000" w:themeColor="text1"/>
          <w:sz w:val="24"/>
          <w:highlight w:val="none"/>
          <w:lang w:eastAsia="zh-CN"/>
          <w14:textFill>
            <w14:solidFill>
              <w14:schemeClr w14:val="tx1"/>
            </w14:solidFill>
          </w14:textFill>
        </w:rPr>
        <w:t>建筑</w:t>
      </w:r>
      <w:r>
        <w:rPr>
          <w:rFonts w:hint="eastAsia" w:ascii="宋体" w:hAnsi="宋体" w:eastAsia="宋体" w:cs="宋体"/>
          <w:color w:val="000000" w:themeColor="text1"/>
          <w:sz w:val="24"/>
          <w:highlight w:val="none"/>
          <w14:textFill>
            <w14:solidFill>
              <w14:schemeClr w14:val="tx1"/>
            </w14:solidFill>
          </w14:textFill>
        </w:rPr>
        <w:t>工程贰级及以上建造师注册证书，并提供有效期内的安全生产考核合格证（A类或B类）；</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8</w:t>
      </w:r>
      <w:r>
        <w:rPr>
          <w:rFonts w:hint="eastAsia" w:ascii="宋体" w:hAnsi="宋体" w:eastAsia="宋体" w:cs="宋体"/>
          <w:color w:val="000000" w:themeColor="text1"/>
          <w:sz w:val="24"/>
          <w:highlight w:val="none"/>
          <w14:textFill>
            <w14:solidFill>
              <w14:schemeClr w14:val="tx1"/>
            </w14:solidFill>
          </w14:textFill>
        </w:rPr>
        <w:t>）主要施工管理人员表（详见格式</w:t>
      </w:r>
      <w:r>
        <w:rPr>
          <w:rFonts w:hint="eastAsia" w:ascii="宋体" w:hAnsi="宋体" w:eastAsia="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）投标人应提供具有完成本工程所需的施工机械和设备，提供《拟投入本工程的主要机械、设备及检测仪器表》（详见格式</w:t>
      </w: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）项目拟分包情况表（详见格式</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投标人根据《中华人民共和国政府采购法》第二十二条相关规定（共5条）提供相应的证明材料；</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b/>
          <w:color w:val="000000" w:themeColor="text1"/>
          <w:sz w:val="24"/>
          <w:highlight w:val="none"/>
          <w14:textFill>
            <w14:solidFill>
              <w14:schemeClr w14:val="tx1"/>
            </w14:solidFill>
          </w14:textFill>
        </w:rPr>
        <w:t>）提供其完整并在有效期内的信合联服信用报告,并且综合信用等级为C级以上（含C级）（复印件）；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13</w:t>
      </w:r>
      <w:r>
        <w:rPr>
          <w:rFonts w:hint="eastAsia" w:ascii="宋体" w:hAnsi="宋体" w:cs="宋体"/>
          <w:bCs/>
          <w:color w:val="000000" w:themeColor="text1"/>
          <w:sz w:val="24"/>
          <w:highlight w:val="none"/>
          <w14:textFill>
            <w14:solidFill>
              <w14:schemeClr w14:val="tx1"/>
            </w14:solidFill>
          </w14:textFill>
        </w:rPr>
        <w:t>）资格性/符合性自查表</w:t>
      </w:r>
      <w:r>
        <w:rPr>
          <w:rFonts w:hint="eastAsia" w:ascii="宋体" w:hAnsi="宋体" w:cs="宋体"/>
          <w:color w:val="000000" w:themeColor="text1"/>
          <w:sz w:val="24"/>
          <w:highlight w:val="none"/>
          <w14:textFill>
            <w14:solidFill>
              <w14:schemeClr w14:val="tx1"/>
            </w14:solidFill>
          </w14:textFill>
        </w:rPr>
        <w:t>（详见格式</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p>
    <w:p>
      <w:pPr>
        <w:pStyle w:val="5"/>
        <w:tabs>
          <w:tab w:val="left" w:pos="0"/>
        </w:tabs>
        <w:overflowPunct w:val="0"/>
        <w:spacing w:line="360" w:lineRule="auto"/>
        <w:ind w:firstLine="480" w:firstLineChars="200"/>
        <w:jc w:val="both"/>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cs="宋体"/>
          <w:b w:val="0"/>
          <w:bCs/>
          <w:color w:val="000000" w:themeColor="text1"/>
          <w:sz w:val="24"/>
          <w:highlight w:val="none"/>
          <w14:textFill>
            <w14:solidFill>
              <w14:schemeClr w14:val="tx1"/>
            </w14:solidFill>
          </w14:textFill>
        </w:rPr>
        <w:t>（1</w:t>
      </w:r>
      <w:r>
        <w:rPr>
          <w:rFonts w:hint="eastAsia" w:ascii="宋体" w:hAnsi="宋体" w:cs="宋体"/>
          <w:b w:val="0"/>
          <w:bCs/>
          <w:color w:val="000000" w:themeColor="text1"/>
          <w:sz w:val="24"/>
          <w:highlight w:val="none"/>
          <w:lang w:val="en-US" w:eastAsia="zh-CN"/>
          <w14:textFill>
            <w14:solidFill>
              <w14:schemeClr w14:val="tx1"/>
            </w14:solidFill>
          </w14:textFill>
        </w:rPr>
        <w:t>4</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提供近</w:t>
      </w:r>
      <w:r>
        <w:rPr>
          <w:rFonts w:hint="eastAsia" w:ascii="宋体" w:hAnsi="宋体" w:cs="宋体"/>
          <w:color w:val="000000" w:themeColor="text1"/>
          <w:sz w:val="24"/>
          <w:szCs w:val="24"/>
          <w:lang w:eastAsia="zh-CN"/>
          <w14:textFill>
            <w14:solidFill>
              <w14:schemeClr w14:val="tx1"/>
            </w14:solidFill>
          </w14:textFill>
        </w:rPr>
        <w:t>上一年度</w:t>
      </w:r>
      <w:r>
        <w:rPr>
          <w:rFonts w:hint="eastAsia" w:ascii="宋体" w:hAnsi="宋体" w:cs="宋体"/>
          <w:color w:val="000000" w:themeColor="text1"/>
          <w:sz w:val="24"/>
          <w:szCs w:val="24"/>
          <w14:textFill>
            <w14:solidFill>
              <w14:schemeClr w14:val="tx1"/>
            </w14:solidFill>
          </w14:textFill>
        </w:rPr>
        <w:t>的财务审计报告复印件</w:t>
      </w:r>
      <w:r>
        <w:rPr>
          <w:rFonts w:hint="eastAsia" w:ascii="宋体" w:hAnsi="宋体" w:eastAsia="宋体" w:cs="宋体"/>
          <w:color w:val="000000" w:themeColor="text1"/>
          <w:sz w:val="24"/>
          <w:szCs w:val="24"/>
          <w14:textFill>
            <w14:solidFill>
              <w14:schemeClr w14:val="tx1"/>
            </w14:solidFill>
          </w14:textFill>
        </w:rPr>
        <w:t>（包括资产负债表、现金流量表、利润表、财务审计报告，</w:t>
      </w:r>
      <w:r>
        <w:rPr>
          <w:rFonts w:hint="eastAsia" w:ascii="宋体" w:hAnsi="宋体" w:eastAsia="宋体" w:cs="宋体"/>
          <w:b/>
          <w:bCs/>
          <w:color w:val="000000" w:themeColor="text1"/>
          <w:sz w:val="24"/>
          <w:szCs w:val="24"/>
          <w14:textFill>
            <w14:solidFill>
              <w14:schemeClr w14:val="tx1"/>
            </w14:solidFill>
          </w14:textFill>
        </w:rPr>
        <w:t>新成立的公司提供情况说明</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w:t>
      </w:r>
    </w:p>
    <w:p>
      <w:pPr>
        <w:pStyle w:val="5"/>
        <w:tabs>
          <w:tab w:val="left" w:pos="0"/>
        </w:tabs>
        <w:overflowPunct w:val="0"/>
        <w:spacing w:line="360" w:lineRule="auto"/>
        <w:ind w:firstLine="480" w:firstLineChars="200"/>
        <w:jc w:val="both"/>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）提供近三个月依法缴纳税收和社会保障资金的良好记录的证明材料（附复印件）；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）企业近三年（201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年1月1日至今）的获奖、荣誉证书等能够体现企业信誉及其它与本项目有关的能证明企业实力的各项证明资料；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）体现企业生产能力、管理水平、技术力量、设备配备的相关证明资料；</w:t>
      </w:r>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）在本行业相关的技术领域的技术创新和技术突破情况。</w:t>
      </w:r>
    </w:p>
    <w:p>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16.2商务文件</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（1）投标函（详见格式</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）投标总价封面（详</w:t>
      </w:r>
      <w:r>
        <w:rPr>
          <w:rFonts w:hint="eastAsia" w:ascii="宋体" w:hAnsi="宋体" w:cs="宋体"/>
          <w:color w:val="000000" w:themeColor="text1"/>
          <w:sz w:val="24"/>
          <w:highlight w:val="none"/>
          <w:lang w:eastAsia="zh-CN"/>
          <w14:textFill>
            <w14:solidFill>
              <w14:schemeClr w14:val="tx1"/>
            </w14:solidFill>
          </w14:textFill>
        </w:rPr>
        <w:t>见格式</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）投标总价（详见格式</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）安全文明施工费明细表（详</w:t>
      </w:r>
      <w:r>
        <w:rPr>
          <w:rFonts w:hint="eastAsia" w:ascii="宋体" w:hAnsi="宋体" w:cs="宋体"/>
          <w:color w:val="000000" w:themeColor="text1"/>
          <w:sz w:val="24"/>
          <w:highlight w:val="none"/>
          <w14:textFill>
            <w14:solidFill>
              <w14:schemeClr w14:val="tx1"/>
            </w14:solidFill>
          </w14:textFill>
        </w:rPr>
        <w:t>见格式</w:t>
      </w:r>
      <w:r>
        <w:rPr>
          <w:rFonts w:hint="eastAsia" w:ascii="宋体" w:hAnsi="宋体" w:cs="宋体"/>
          <w:color w:val="000000" w:themeColor="text1"/>
          <w:sz w:val="24"/>
          <w:highlight w:val="none"/>
          <w:lang w:val="en-US" w:eastAsia="zh-CN"/>
          <w14:textFill>
            <w14:solidFill>
              <w14:schemeClr w14:val="tx1"/>
            </w14:solidFill>
          </w14:textFill>
        </w:rPr>
        <w:t>12-1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投标总价总说明（详见格式</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建设项目投标报价汇总表（详见格式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单项工程投标报价汇总表（详见格式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单位工程投标报价汇总表（详见格式</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分部分项工程和单价措施项目清单与计价表（详见格式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综合单价分析表（详见格式</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总价措施项目清单与计价表（详见格式</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措施项目汇总表（详见格式</w:t>
      </w:r>
      <w:r>
        <w:rPr>
          <w:rFonts w:hint="eastAsia" w:ascii="宋体" w:hAnsi="宋体" w:cs="宋体"/>
          <w:color w:val="000000" w:themeColor="text1"/>
          <w:sz w:val="24"/>
          <w:highlight w:val="none"/>
          <w:lang w:val="en-US" w:eastAsia="zh-CN"/>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其他项目清单与计价汇总表（详见格式</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15</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暂列金额明细表（详见格式</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材料（工程设备）暂估单价及调整表（详见格式</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17</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专业工程暂估表及结算价表（详见格式</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计日工表（详见格式</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19</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总承包服务费计价表（详见格式</w:t>
      </w:r>
      <w:r>
        <w:rPr>
          <w:rFonts w:hint="eastAsia" w:ascii="宋体" w:hAnsi="宋体" w:cs="宋体"/>
          <w:color w:val="000000" w:themeColor="text1"/>
          <w:sz w:val="24"/>
          <w:highlight w:val="none"/>
          <w:lang w:val="en-US" w:eastAsia="zh-CN"/>
          <w14:textFill>
            <w14:solidFill>
              <w14:schemeClr w14:val="tx1"/>
            </w14:solidFill>
          </w14:textFill>
        </w:rPr>
        <w:t>25</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20</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规费、税金项目计价表（建筑工程）（详见格式</w:t>
      </w:r>
      <w:r>
        <w:rPr>
          <w:rFonts w:hint="eastAsia" w:ascii="宋体" w:hAnsi="宋体" w:cs="宋体"/>
          <w:color w:val="000000" w:themeColor="text1"/>
          <w:sz w:val="24"/>
          <w:highlight w:val="none"/>
          <w:lang w:val="en-US" w:eastAsia="zh-CN"/>
          <w14:textFill>
            <w14:solidFill>
              <w14:schemeClr w14:val="tx1"/>
            </w14:solidFill>
          </w14:textFill>
        </w:rPr>
        <w:t>26</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规费、税金项目计价表（</w:t>
      </w:r>
      <w:r>
        <w:rPr>
          <w:rFonts w:hint="eastAsia" w:ascii="宋体" w:hAnsi="宋体" w:cs="宋体"/>
          <w:color w:val="000000" w:themeColor="text1"/>
          <w:sz w:val="24"/>
          <w:highlight w:val="none"/>
          <w:lang w:eastAsia="zh-CN"/>
          <w14:textFill>
            <w14:solidFill>
              <w14:schemeClr w14:val="tx1"/>
            </w14:solidFill>
          </w14:textFill>
        </w:rPr>
        <w:t>装饰装修</w:t>
      </w:r>
      <w:r>
        <w:rPr>
          <w:rFonts w:hint="eastAsia" w:ascii="宋体" w:hAnsi="宋体" w:cs="宋体"/>
          <w:color w:val="000000" w:themeColor="text1"/>
          <w:sz w:val="24"/>
          <w:highlight w:val="none"/>
          <w14:textFill>
            <w14:solidFill>
              <w14:schemeClr w14:val="tx1"/>
            </w14:solidFill>
          </w14:textFill>
        </w:rPr>
        <w:t>工程）（详见格式</w:t>
      </w:r>
      <w:r>
        <w:rPr>
          <w:rFonts w:hint="eastAsia" w:ascii="宋体" w:hAnsi="宋体" w:cs="宋体"/>
          <w:color w:val="000000" w:themeColor="text1"/>
          <w:sz w:val="24"/>
          <w:highlight w:val="none"/>
          <w:lang w:val="en-US" w:eastAsia="zh-CN"/>
          <w14:textFill>
            <w14:solidFill>
              <w14:schemeClr w14:val="tx1"/>
            </w14:solidFill>
          </w14:textFill>
        </w:rPr>
        <w:t>27</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主要材料、设备价格表（</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提供）（详见格式</w:t>
      </w:r>
      <w:r>
        <w:rPr>
          <w:rFonts w:hint="eastAsia" w:ascii="宋体" w:hAnsi="宋体" w:cs="宋体"/>
          <w:color w:val="000000" w:themeColor="text1"/>
          <w:sz w:val="24"/>
          <w:highlight w:val="none"/>
          <w:lang w:val="en-US" w:eastAsia="zh-CN"/>
          <w14:textFill>
            <w14:solidFill>
              <w14:schemeClr w14:val="tx1"/>
            </w14:solidFill>
          </w14:textFill>
        </w:rPr>
        <w:t>28</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商务条款偏离表（详见格式</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24</w:t>
      </w:r>
      <w:r>
        <w:rPr>
          <w:rFonts w:hint="eastAsia" w:ascii="宋体" w:hAnsi="宋体" w:cs="宋体"/>
          <w:b/>
          <w:bCs/>
          <w:color w:val="000000" w:themeColor="text1"/>
          <w:sz w:val="24"/>
          <w:highlight w:val="none"/>
          <w14:textFill>
            <w14:solidFill>
              <w14:schemeClr w14:val="tx1"/>
            </w14:solidFill>
          </w14:textFill>
        </w:rPr>
        <w:t>）项目采购需求及评审、评分所需提供的其它资料。</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16.3技术文件</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）企业实力、信誉及业绩：投标人情况简介、投标人近三年（201</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 xml:space="preserve">年1月1日日至今）类似工程业绩。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）施工组织设计：施工部署是否全面、主要工序衔接是否合理，关键节点控制措施是否可行。</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）工机械设备投入：主要针对施工机械投入与施工进度计划是否相呼应且能满足工序衔接的要求及施工机械搭配周全是否合理</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 xml:space="preserve">）劳动力安排计划及其保证措施：主要针对调配投入计划合理性及劳动力安排计划。 </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eastAsia="zh-CN"/>
          <w14:textFill>
            <w14:solidFill>
              <w14:schemeClr w14:val="tx1"/>
            </w14:solidFill>
          </w14:textFill>
        </w:rPr>
        <w:t>）材料(周转材料)投入计划：主要针对调配投入计划的合理性,材料组织供应计划及保证措施及是否与施工进度计划相呼应。</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lang w:eastAsia="zh-CN"/>
          <w14:textFill>
            <w14:solidFill>
              <w14:schemeClr w14:val="tx1"/>
            </w14:solidFill>
          </w14:textFill>
        </w:rPr>
        <w:t>管理人员投入：主要针对项目管理人员对工程实际配置是否合理，项目管理人员配置是否能够满足该工程管理需要。</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lang w:eastAsia="zh-CN"/>
          <w14:textFill>
            <w14:solidFill>
              <w14:schemeClr w14:val="tx1"/>
            </w14:solidFill>
          </w14:textFill>
        </w:rPr>
        <w:t>施工技术方案：主要针对施工技术方案的合理性,施工部署全面性、是否对本项目的针对性强,对工程施工具有较强的指导性。</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施工进度计划：主要针对工程总进度计划是否合理且留有余地、对施工进度安排是否有切实可行的保证措施。</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lang w:eastAsia="zh-CN"/>
          <w14:textFill>
            <w14:solidFill>
              <w14:schemeClr w14:val="tx1"/>
            </w14:solidFill>
          </w14:textFill>
        </w:rPr>
        <w:t>质量安全文明施工保证措施：主要针对是否有具体可行的质量、安全、文明保证措施，具体的违约责任、管理机构及管理制度是否健全、质量检测能力与手段是否完善。</w:t>
      </w:r>
    </w:p>
    <w:p>
      <w:pPr>
        <w:spacing w:line="360" w:lineRule="auto"/>
        <w:ind w:firstLine="480" w:firstLineChars="200"/>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cs="宋体"/>
          <w:color w:val="000000" w:themeColor="text1"/>
          <w:sz w:val="24"/>
          <w:highlight w:val="none"/>
          <w:lang w:eastAsia="zh-CN"/>
          <w14:textFill>
            <w14:solidFill>
              <w14:schemeClr w14:val="tx1"/>
            </w14:solidFill>
          </w14:textFill>
        </w:rPr>
        <w:t>技术难点及相应解决方案：主要针对技术难点及相应解决方案、施工重点难点解决的方案。</w:t>
      </w:r>
    </w:p>
    <w:p>
      <w:pPr>
        <w:spacing w:line="360" w:lineRule="auto"/>
        <w:ind w:firstLine="480" w:firstLineChars="20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cs="宋体"/>
          <w:color w:val="000000" w:themeColor="text1"/>
          <w:sz w:val="24"/>
          <w:highlight w:val="none"/>
          <w:lang w:eastAsia="zh-CN"/>
          <w14:textFill>
            <w14:solidFill>
              <w14:schemeClr w14:val="tx1"/>
            </w14:solidFill>
          </w14:textFill>
        </w:rPr>
        <w:t>企业使用劳务工工资发放到位的保证措施是否合理。</w:t>
      </w:r>
    </w:p>
    <w:p>
      <w:pPr>
        <w:spacing w:line="360" w:lineRule="auto"/>
        <w:ind w:firstLine="480" w:firstLineChars="200"/>
        <w:rPr>
          <w:rFonts w:hint="eastAsia" w:ascii="宋体" w:hAnsi="宋体" w:cs="宋体"/>
          <w:color w:val="000000" w:themeColor="text1"/>
          <w:sz w:val="24"/>
          <w:highlight w:val="none"/>
          <w:lang w:val="zh-CN" w:eastAsia="zh-CN"/>
          <w14:textFill>
            <w14:solidFill>
              <w14:schemeClr w14:val="tx1"/>
            </w14:solidFill>
          </w14:textFill>
        </w:rPr>
      </w:pPr>
      <w:r>
        <w:rPr>
          <w:rFonts w:hint="eastAsia" w:ascii="宋体" w:hAnsi="宋体" w:cs="宋体"/>
          <w:color w:val="000000" w:themeColor="text1"/>
          <w:sz w:val="24"/>
          <w:highlight w:val="none"/>
          <w:lang w:val="zh-CN"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cs="宋体"/>
          <w:color w:val="000000" w:themeColor="text1"/>
          <w:sz w:val="24"/>
          <w:highlight w:val="none"/>
          <w:lang w:val="zh-CN" w:eastAsia="zh-CN"/>
          <w14:textFill>
            <w14:solidFill>
              <w14:schemeClr w14:val="tx1"/>
            </w14:solidFill>
          </w14:textFill>
        </w:rPr>
        <w:t>）技术规格响应偏离表（详见格式</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lang w:val="zh-CN" w:eastAsia="zh-CN"/>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）招标文件要求提供的其它材料以及投标人认为需要提交的材料。</w:t>
      </w:r>
    </w:p>
    <w:p>
      <w:pPr>
        <w:pStyle w:val="33"/>
        <w:spacing w:line="360" w:lineRule="auto"/>
        <w:ind w:firstLine="482" w:firstLineChars="20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特别说明：①上述各种证件、证书复印件须加盖投标人公章。</w:t>
      </w:r>
    </w:p>
    <w:p>
      <w:pPr>
        <w:pStyle w:val="33"/>
        <w:spacing w:line="360" w:lineRule="auto"/>
        <w:ind w:firstLine="482" w:firstLineChars="200"/>
        <w:rPr>
          <w:rFonts w:hint="eastAsia" w:hAnsi="宋体" w:eastAsia="宋体" w:cs="宋体"/>
          <w:b/>
          <w:color w:val="000000" w:themeColor="text1"/>
          <w:sz w:val="24"/>
          <w:szCs w:val="24"/>
          <w:lang w:eastAsia="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② 投标人应如实提供投标资料，并保证真实可靠，不得弄虚作假。如投标人隐瞒事实真相、弄虚作假，一经查实，取消该投标人的投标资格</w:t>
      </w:r>
      <w:r>
        <w:rPr>
          <w:rFonts w:hint="eastAsia" w:hAnsi="宋体" w:cs="宋体"/>
          <w:b/>
          <w:color w:val="000000" w:themeColor="text1"/>
          <w:sz w:val="24"/>
          <w:szCs w:val="24"/>
          <w:lang w:eastAsia="zh-CN"/>
          <w14:textFill>
            <w14:solidFill>
              <w14:schemeClr w14:val="tx1"/>
            </w14:solidFill>
          </w14:textFill>
        </w:rPr>
        <w:t>，若中标，取消其中标资格。</w:t>
      </w:r>
    </w:p>
    <w:p>
      <w:pPr>
        <w:pStyle w:val="33"/>
        <w:spacing w:line="360" w:lineRule="auto"/>
        <w:ind w:firstLine="48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17、投标文件格式</w:t>
      </w:r>
    </w:p>
    <w:p>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7</w:t>
      </w:r>
      <w:r>
        <w:rPr>
          <w:rFonts w:hint="eastAsia" w:ascii="宋体" w:hAnsi="宋体" w:eastAsia="宋体" w:cs="宋体"/>
          <w:color w:val="000000" w:themeColor="text1"/>
          <w:sz w:val="24"/>
          <w:highlight w:val="none"/>
          <w14:textFill>
            <w14:solidFill>
              <w14:schemeClr w14:val="tx1"/>
            </w14:solidFill>
          </w14:textFill>
        </w:rPr>
        <w:t>.1投标人应按招标文件提供的格式及商务报价说明完整地填写所提供的合同项目、服务以及单价等内容。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、编制招标控制价，投标报价的依据及要求</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本工程设定招标控制总价及招标控制价报价，公布招标控制价的时间详见前附表，投标人的投标总价、招标控制价总价为分部分项工程费用+措施项目费用（不含安全文明施工费）+其他项目费用（含暂列金额）+规费+税金+安全文明施工费（</w:t>
      </w:r>
      <w:r>
        <w:rPr>
          <w:rFonts w:hint="eastAsia" w:ascii="宋体" w:hAnsi="宋体" w:eastAsia="宋体" w:cs="宋体"/>
          <w:b/>
          <w:color w:val="000000" w:themeColor="text1"/>
          <w:sz w:val="24"/>
          <w:szCs w:val="24"/>
          <w:highlight w:val="none"/>
          <w:lang w:eastAsia="zh-CN"/>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12-1</w:t>
      </w:r>
      <w:r>
        <w:rPr>
          <w:rFonts w:hint="eastAsia" w:ascii="宋体" w:hAnsi="宋体" w:eastAsia="宋体" w:cs="宋体"/>
          <w:b/>
          <w:color w:val="000000" w:themeColor="text1"/>
          <w:sz w:val="24"/>
          <w:szCs w:val="24"/>
          <w:highlight w:val="none"/>
          <w14:textFill>
            <w14:solidFill>
              <w14:schemeClr w14:val="tx1"/>
            </w14:solidFill>
          </w14:textFill>
        </w:rPr>
        <w:t>）的合计。投标人投标总价及投标报价不得高于公布的招标控制价总价及招标控制价报价。</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.2.1采用工程量清单计价方式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.2.2工程量清单计价方式是指按《建设工程工程量清单计价规范》（GB50500-2013）、新疆维吾尔自治区及克拉玛依市相关规定，由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提供工程量清单，投标人根据企业自身实力自主报价的计价方式。</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.2.3工程量清单的编制：由</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委托有相应资质的中介机构按照《建设工程工程量清单计价规范》（GB50500-2013）及《工程量计算规范》（GB50854-2013至GB50862-2013）以及新疆维吾尔自治区及克拉玛依市相关计价依据及规定和招标范围，根据施工设计图纸及施工现场实际情况进行编制，随招标文件一同发至各投标人。</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2.4招标工程量清单格式：包括招标工程量清单封面、招标工程量清单扉页、工程量清单总说明、分部分项工程和单价措施项目清单与计价表、总价措施项目清单与计价表、其他项目清单与计价汇总表【包括暂列金额明细表、材料（工程设备）暂估单价及调整表、专业工程暂估价及结算价表、计日工表、总承包服务费计价表】，规费、税金项目清单与计价表等。</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2.5工程量清单投标报价计价格式：包括投标总价封面、投标总价扉页、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 </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.3投标报价编制要求：</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.3.1投标人必须按照</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提供的招标工程量清单、招标文件、招标答疑纪要等在招标过程中发至各投标人所有文件、施工设计图纸及相应的技术规范、标准内容以及合同约定的相关内容，依据《建设工程工程量清单计价规范》（GB50500-2013）及《工程量计算规范》（GB50854-2013至GB50862-2013）以及新疆维吾尔自治区、克拉玛依市相关计价依据及规定和招标范围，根据施工设计图纸及施工现场实际情况编制的施工组织设计（或施工方案），结合市场情况报出各项综合单价和合价。</w:t>
      </w:r>
    </w:p>
    <w:p>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.3.2投标人应按照招标工程量清单逐项填写单价及合价，招标工程量清单中的</w:t>
      </w:r>
      <w:r>
        <w:rPr>
          <w:rFonts w:hint="eastAsia" w:ascii="宋体" w:hAnsi="宋体" w:eastAsia="宋体" w:cs="宋体"/>
          <w:b/>
          <w:color w:val="000000" w:themeColor="text1"/>
          <w:sz w:val="24"/>
          <w:szCs w:val="24"/>
          <w:highlight w:val="none"/>
          <w14:textFill>
            <w14:solidFill>
              <w14:schemeClr w14:val="tx1"/>
            </w14:solidFill>
          </w14:textFill>
        </w:rPr>
        <w:t>每一项只允许有一个报价，任何有选择性的报价将不予接受。</w:t>
      </w:r>
      <w:r>
        <w:rPr>
          <w:rFonts w:hint="eastAsia" w:ascii="宋体" w:hAnsi="宋体" w:eastAsia="宋体" w:cs="宋体"/>
          <w:color w:val="000000" w:themeColor="text1"/>
          <w:sz w:val="24"/>
          <w:szCs w:val="24"/>
          <w:highlight w:val="none"/>
          <w14:textFill>
            <w14:solidFill>
              <w14:schemeClr w14:val="tx1"/>
            </w14:solidFill>
          </w14:textFill>
        </w:rPr>
        <w:t>投标人未报出综合单价或合价的分项工程，若中标，在实施过程中，</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将不予支付并视为该分项费用已含在已标价工程量清单中其他项目单价和合价内。竣工结算时，此项目不得重新组价予以调整。</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3.3投标人应依据《建设工程工程量清单计价规范》（GB50500-2013）及《工程量计算规范》（GB50854-2013至GB50862-2013）以及新疆维吾尔自治区、克拉玛依市相关计价依据及规定、招标范围编制投标报价，投标报价中所填写的单价、合价、各项费率、规费、税金应被视为是对本招标文件、施工设计图纸及相应的技术规范、标准所述的所有条款考虑清楚后所填写的价格，并以综合单价形式确定。本工程所涉及的范围必须按施工设计图纸、招标文件、协议书及合同条款、施工及验收技术规范标准要求进行，任何投标人在投标时出现的减少工程量或漏填工程量清单的风险，一律由投标人自行承担。中标单价不会因投标人的少算和/或漏算而做出调整。</w:t>
      </w:r>
      <w:r>
        <w:rPr>
          <w:rFonts w:hint="eastAsia" w:ascii="宋体" w:hAnsi="宋体" w:eastAsia="宋体" w:cs="宋体"/>
          <w:color w:val="000000" w:themeColor="text1"/>
          <w:sz w:val="24"/>
          <w:highlight w:val="none"/>
          <w14:textFill>
            <w14:solidFill>
              <w14:schemeClr w14:val="tx1"/>
            </w14:solidFill>
          </w14:textFill>
        </w:rPr>
        <w:t>综合单价中一切在投标时没有加入综合单价的项目，而该项为招标文件、招标工程量清单、施工设计图纸、施工验收及技术规范、标准或为完成某项工程或安装所需者，均被视为已包含在报价内</w:t>
      </w:r>
      <w:r>
        <w:rPr>
          <w:rFonts w:hint="eastAsia" w:ascii="宋体" w:hAnsi="宋体" w:eastAsia="宋体" w:cs="宋体"/>
          <w:color w:val="000000" w:themeColor="text1"/>
          <w:sz w:val="24"/>
          <w:szCs w:val="24"/>
          <w:highlight w:val="none"/>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4设备、材料价格均由投标人参考《关于实施建筑业增值税新税率调整克拉玛依地区建设工程计价依据的通知》（克住建发[2018]59号附件1-克拉玛依地区建设工程材料除税预算价格表），并结合市场价并考虑风险自行报价，其余设备、材料价格在竣工结算时均不予调整。</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关于实施建筑业增值税新税率调整克拉玛依地区建设工程计价依据的通知》（克住建发[2018]59号附件1-克拉玛依地区建设工程材料除税预算价格表）中无价格的设备、材料均由投标人结合市场价自行考虑进入投标报价，设备、材料价格均应为除税价格，竣工结算时不予调整。</w:t>
      </w:r>
    </w:p>
    <w:p>
      <w:pPr>
        <w:spacing w:line="360" w:lineRule="auto"/>
        <w:ind w:right="240" w:firstLine="482" w:firstLineChars="200"/>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1</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bCs/>
          <w:color w:val="000000" w:themeColor="text1"/>
          <w:sz w:val="24"/>
          <w:szCs w:val="24"/>
          <w:highlight w:val="none"/>
          <w14:textFill>
            <w14:solidFill>
              <w14:schemeClr w14:val="tx1"/>
            </w14:solidFill>
          </w14:textFill>
        </w:rPr>
        <w:t>.5</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人工费单价执行克拉玛依市克拉玛依区住房和城乡建设局2020年9月27日下发的《关于发布克拉玛依市2020年4-9月建设工程定额内市场人工单价信息的通知》</w:t>
      </w:r>
      <w:r>
        <w:rPr>
          <w:rFonts w:hint="eastAsia" w:ascii="宋体" w:hAnsi="宋体" w:eastAsia="宋体" w:cs="宋体"/>
          <w:b/>
          <w:bCs/>
          <w:color w:val="000000" w:themeColor="text1"/>
          <w:sz w:val="24"/>
          <w:szCs w:val="24"/>
          <w:highlight w:val="none"/>
          <w14:textFill>
            <w14:solidFill>
              <w14:schemeClr w14:val="tx1"/>
            </w14:solidFill>
          </w14:textFill>
        </w:rPr>
        <w:t>。</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18.6税金、税率调整执行克住建发【2019】21号文《关于实施建筑业增值税新税率调整克拉玛依地区建设工程计价依据的通知》规定。</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18.7本工程涉及营改增的费率调整按调整费率执行，详见《关于调整克拉依玛市建设工程计价依据增值税税率的通知》（克住建发[2019]21号）的规定。除此之外的其他费用执行《新疆维吾尔自治区建筑安装工程费用定额》（2010年）。</w:t>
      </w:r>
    </w:p>
    <w:p>
      <w:pPr>
        <w:spacing w:line="360" w:lineRule="auto"/>
        <w:ind w:right="240" w:firstLine="482" w:firstLineChars="200"/>
        <w:jc w:val="left"/>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18.8</w:t>
      </w:r>
      <w:r>
        <w:rPr>
          <w:rFonts w:hint="eastAsia" w:ascii="宋体" w:hAnsi="宋体" w:eastAsia="宋体" w:cs="宋体"/>
          <w:b/>
          <w:bCs/>
          <w:color w:val="auto"/>
          <w:sz w:val="24"/>
          <w:szCs w:val="24"/>
          <w:highlight w:val="none"/>
          <w:lang w:val="en-US" w:eastAsia="zh-CN"/>
        </w:rPr>
        <w:t xml:space="preserve">投标人计取的企业管理费费率及利润率均不得超过本工程类别的区间范围,否则经评标委员会评审，在该投标人商务报价得分中扣3分。 </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垃圾（含弃土）由各投标人按就近原则选择环保部门指定的垃圾倾倒地点，自行踏勘现场测算垃圾（含弃土）外运运距进入投标报价，竣工结算时不予调整。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本工程的取土运距均由各投标人根据国土、城管部门等相关规定按就近原则自行踏勘现场测算取土点运距进入投标报价，竣工结算时不予调整。</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如发现不按就近原则计算运距或不符合实事求是情况的，将在工程竣工结算时予以扣减。</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.10</w:t>
      </w:r>
      <w:r>
        <w:rPr>
          <w:rFonts w:hint="eastAsia" w:ascii="宋体" w:hAnsi="宋体" w:eastAsia="宋体" w:cs="宋体"/>
          <w:b/>
          <w:bCs/>
          <w:color w:val="auto"/>
          <w:sz w:val="24"/>
          <w:szCs w:val="24"/>
          <w:highlight w:val="none"/>
        </w:rPr>
        <w:t>本项目施工现场有水源、电源，接水、接电由各投标人自行</w:t>
      </w:r>
      <w:r>
        <w:rPr>
          <w:rFonts w:hint="eastAsia" w:ascii="宋体" w:hAnsi="宋体" w:eastAsia="宋体" w:cs="宋体"/>
          <w:b/>
          <w:color w:val="auto"/>
          <w:sz w:val="24"/>
          <w:highlight w:val="none"/>
        </w:rPr>
        <w:t>考虑进行报价，用水、用电费用由各投标人自行考虑计入相应工程量清单综合单价中</w:t>
      </w:r>
      <w:r>
        <w:rPr>
          <w:rFonts w:hint="eastAsia" w:ascii="宋体" w:hAnsi="宋体" w:eastAsia="宋体" w:cs="宋体"/>
          <w:b/>
          <w:color w:val="auto"/>
          <w:sz w:val="24"/>
          <w:szCs w:val="24"/>
          <w:highlight w:val="none"/>
        </w:rPr>
        <w:t>。</w:t>
      </w:r>
    </w:p>
    <w:p>
      <w:pPr>
        <w:spacing w:line="360" w:lineRule="auto"/>
        <w:ind w:firstLine="482" w:firstLineChars="200"/>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18.11</w:t>
      </w:r>
      <w:r>
        <w:rPr>
          <w:rFonts w:hint="eastAsia" w:ascii="宋体" w:hAnsi="宋体" w:eastAsia="宋体" w:cs="宋体"/>
          <w:b/>
          <w:color w:val="000000" w:themeColor="text1"/>
          <w:sz w:val="24"/>
          <w:szCs w:val="24"/>
          <w:highlight w:val="none"/>
          <w:lang w:eastAsia="zh-CN"/>
          <w14:textFill>
            <w14:solidFill>
              <w14:schemeClr w14:val="tx1"/>
            </w14:solidFill>
          </w14:textFill>
        </w:rPr>
        <w:t>根据新疆维吾尔自治区住房和城乡建设厅文件新建标【</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2020</w:t>
      </w:r>
      <w:r>
        <w:rPr>
          <w:rFonts w:hint="eastAsia" w:ascii="宋体" w:hAnsi="宋体" w:eastAsia="宋体" w:cs="宋体"/>
          <w:b/>
          <w:color w:val="000000" w:themeColor="text1"/>
          <w:sz w:val="24"/>
          <w:szCs w:val="24"/>
          <w:highlight w:val="none"/>
          <w:lang w:eastAsia="zh-CN"/>
          <w14:textFill>
            <w14:solidFill>
              <w14:schemeClr w14:val="tx1"/>
            </w14:solidFill>
          </w14:textFill>
        </w:rPr>
        <w:t>】</w:t>
      </w:r>
      <w:r>
        <w:rPr>
          <w:rFonts w:hint="eastAsia" w:ascii="宋体" w:hAnsi="宋体" w:eastAsia="宋体" w:cs="宋体"/>
          <w:b/>
          <w:color w:val="000000" w:themeColor="text1"/>
          <w:sz w:val="24"/>
          <w:szCs w:val="24"/>
          <w:highlight w:val="none"/>
          <w:lang w:val="en-US" w:eastAsia="zh-CN"/>
          <w14:textFill>
            <w14:solidFill>
              <w14:schemeClr w14:val="tx1"/>
            </w14:solidFill>
          </w14:textFill>
        </w:rPr>
        <w:t>1号文件相关要求，因疫情防控增加的防疫物资费用（包括口罩、酒精、消毒水、手套、体温监测器、电动喷雾器等物品费用）、防护人员费用等，由发承包双方按时签证。</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sz w:val="24"/>
          <w:highlight w:val="none"/>
          <w14:textFill>
            <w14:solidFill>
              <w14:schemeClr w14:val="tx1"/>
            </w14:solidFill>
          </w14:textFill>
        </w:rPr>
        <w:t>安全文明施工费</w:t>
      </w:r>
      <w:r>
        <w:rPr>
          <w:rFonts w:hint="eastAsia" w:ascii="宋体" w:hAnsi="宋体" w:cs="宋体"/>
          <w:b/>
          <w:color w:val="000000" w:themeColor="text1"/>
          <w:sz w:val="24"/>
          <w:highlight w:val="none"/>
          <w:lang w:eastAsia="zh-CN"/>
          <w14:textFill>
            <w14:solidFill>
              <w14:schemeClr w14:val="tx1"/>
            </w14:solidFill>
          </w14:textFill>
        </w:rPr>
        <w:t>（包括扬尘污染防治增加费）</w:t>
      </w:r>
      <w:r>
        <w:rPr>
          <w:rFonts w:hint="eastAsia" w:ascii="宋体" w:hAnsi="宋体" w:eastAsia="宋体" w:cs="宋体"/>
          <w:b/>
          <w:color w:val="000000" w:themeColor="text1"/>
          <w:sz w:val="24"/>
          <w:highlight w:val="none"/>
          <w14:textFill>
            <w14:solidFill>
              <w14:schemeClr w14:val="tx1"/>
            </w14:solidFill>
          </w14:textFill>
        </w:rPr>
        <w:t>在按《</w:t>
      </w:r>
      <w:r>
        <w:rPr>
          <w:rFonts w:hint="eastAsia" w:ascii="宋体" w:hAnsi="宋体" w:eastAsia="宋体" w:cs="宋体"/>
          <w:b/>
          <w:color w:val="000000" w:themeColor="text1"/>
          <w:sz w:val="24"/>
          <w:highlight w:val="none"/>
          <w:lang w:eastAsia="zh-CN"/>
          <w14:textFill>
            <w14:solidFill>
              <w14:schemeClr w14:val="tx1"/>
            </w14:solidFill>
          </w14:textFill>
        </w:rPr>
        <w:t>格式</w:t>
      </w:r>
      <w:r>
        <w:rPr>
          <w:rFonts w:hint="eastAsia" w:ascii="宋体" w:hAnsi="宋体" w:eastAsia="宋体" w:cs="宋体"/>
          <w:b/>
          <w:color w:val="000000" w:themeColor="text1"/>
          <w:sz w:val="24"/>
          <w:highlight w:val="none"/>
          <w:lang w:val="en-US" w:eastAsia="zh-CN"/>
          <w14:textFill>
            <w14:solidFill>
              <w14:schemeClr w14:val="tx1"/>
            </w14:solidFill>
          </w14:textFill>
        </w:rPr>
        <w:t>12-1</w:t>
      </w:r>
      <w:r>
        <w:rPr>
          <w:rFonts w:hint="eastAsia" w:ascii="宋体" w:hAnsi="宋体" w:eastAsia="宋体" w:cs="宋体"/>
          <w:b/>
          <w:color w:val="000000" w:themeColor="text1"/>
          <w:sz w:val="24"/>
          <w:highlight w:val="none"/>
          <w14:textFill>
            <w14:solidFill>
              <w14:schemeClr w14:val="tx1"/>
            </w14:solidFill>
          </w14:textFill>
        </w:rPr>
        <w:t xml:space="preserve"> 安全文明施工费明细表》单独列出，不计入投标报价，计入投标总价。安全文明施工费的计取应执行《关于建筑业营业税改增值税调整克拉玛依市建设工程计价依据的通知》（克建发[2016]65号）附件1-建筑业营改增建设工程费用调整表，竣工结算时均按建设行政主管部门核定的等级标准调整和</w:t>
      </w:r>
      <w:r>
        <w:rPr>
          <w:rFonts w:hint="eastAsia" w:ascii="宋体" w:hAnsi="宋体" w:eastAsia="宋体" w:cs="宋体"/>
          <w:b/>
          <w:color w:val="000000" w:themeColor="text1"/>
          <w:sz w:val="24"/>
          <w:highlight w:val="none"/>
          <w:lang w:eastAsia="zh-CN"/>
          <w14:textFill>
            <w14:solidFill>
              <w14:schemeClr w14:val="tx1"/>
            </w14:solidFill>
          </w14:textFill>
        </w:rPr>
        <w:t>采购人</w:t>
      </w:r>
      <w:r>
        <w:rPr>
          <w:rFonts w:hint="eastAsia" w:ascii="宋体" w:hAnsi="宋体" w:eastAsia="宋体" w:cs="宋体"/>
          <w:b/>
          <w:color w:val="000000" w:themeColor="text1"/>
          <w:sz w:val="24"/>
          <w:highlight w:val="none"/>
          <w14:textFill>
            <w14:solidFill>
              <w14:schemeClr w14:val="tx1"/>
            </w14:solidFill>
          </w14:textFill>
        </w:rPr>
        <w:t>、现场监理共同确认的实际发生的工程量进行结算。中标人在实施过程中应严格按安全文明施工规范做到安全、文明施工。</w:t>
      </w:r>
    </w:p>
    <w:p>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此项费用的计取应执行《关于调整建设工程安全文明施工费用计取方法的通知》（克建发【2014】225号）。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合同价格调整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r>
        <w:rPr>
          <w:rFonts w:hint="eastAsia" w:ascii="宋体" w:hAnsi="宋体" w:eastAsia="宋体" w:cs="宋体"/>
          <w:bCs/>
          <w:color w:val="000000" w:themeColor="text1"/>
          <w:sz w:val="24"/>
          <w:szCs w:val="24"/>
          <w14:textFill>
            <w14:solidFill>
              <w14:schemeClr w14:val="tx1"/>
            </w14:solidFill>
          </w14:textFill>
        </w:rPr>
        <w:t>。</w:t>
      </w:r>
    </w:p>
    <w:p>
      <w:pPr>
        <w:spacing w:line="360" w:lineRule="auto"/>
        <w:ind w:left="-1"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本工程所涉及到的设计变更内容，在实施前须经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、设计单位及监理单位签字确认的调整内容部分，不予调整合同价格。</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本工程所涉及到的工程经济签证或工程经济洽商单内容，在实施前须经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及监理单位签字确认后方可执行。未经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及监理单位确认的调整内容部分，不予调整合同价款。</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合同价款调整事项发生后，中标人应在14天内，将调整原因、金额以书面形式向</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提出，经</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审核同意后作为调整合同价款的结算依据。14天内未申报书面调整合同价款金额及明细预算的，竣工结算时不予调整。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合同价款调整方法详见专用合同条款中的合同价款调整方法。</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投标总价：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.1自报投标报价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根据招标范围内的施工内容和具体情况，施工图设计文件及投标总价的编制依据及要求，依据招标工程量清单及施工设计图纸所示全部内容、拟定的施工方案或施工组织设计、合同条款约定的内容等有关要求，按照企业定额或参照现行新计价依据以及工程造价管理机构发布的价格信息及结合市场价格，在保证工期、质量、安全、环境保护的前提下结合企业自身的实力，自报投标报价。</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的投标报价均包括本工程招标范围和招标工程量清单、施工设计图纸、合同条款约定等所述的全部工作内容和完成该工程的全部费用，包括分部分项工程和单价措施项目清单费用、总价措施项目清单费用、其他项目清单费用和规费及税金等所有费用，各级建设主管部门颁发的现行有关建设工程施工验收规范、技术标准、质量、安全、环境保护规程、规范、标准，以及新疆维吾尔自治区建设厅、克拉玛依市建设行政主管部门规定应由投标人支付的其它应缴纳的全部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.2分部分项工程和措施项目中的单价项目清单费用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分部分项工程和措施项目中的单价项目清单综合单价包括分部分项工程和措施项目中的单价项目所发生的人工费、材料费、机械费、管理费、利润及投标人承担的风险等全部费用。投标人漏报或少报，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将视为其费用已包括在工程量清单项目的其它单价及合价中，若中标，</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将不予支付。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.3措施项目中的总价项目费用</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各投标人应根据本工程的规模、项目复杂程度、施工难易程度、项目特点及施工现场实际情况，结合投标时自身编制的施工组织设计或施工方案确定措施项目，充分考虑完成本工程全部施工内容所需的各项措施项目费用。投标人漏报或少报，</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将视为其费用已包括在其它费用内而不予调整。</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.4其他项目费用</w:t>
      </w:r>
    </w:p>
    <w:p>
      <w:pPr>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Cs/>
          <w:color w:val="000000" w:themeColor="text1"/>
          <w:sz w:val="24"/>
          <w:szCs w:val="24"/>
          <w:highlight w:val="none"/>
          <w14:textFill>
            <w14:solidFill>
              <w14:schemeClr w14:val="tx1"/>
            </w14:solidFill>
          </w14:textFill>
        </w:rPr>
        <w:t>.4.1暂列金额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Cs/>
          <w:color w:val="000000" w:themeColor="text1"/>
          <w:sz w:val="24"/>
          <w:szCs w:val="24"/>
          <w:highlight w:val="none"/>
          <w14:textFill>
            <w14:solidFill>
              <w14:schemeClr w14:val="tx1"/>
            </w14:solidFill>
          </w14:textFill>
        </w:rPr>
        <w:t>暂列金额的作用：暂列金额是</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在工程量清单中暂定并包括在合同价格中的一笔款项，用于施工合同签订时尚未确定或者不可预见的所需材料、工程设备、服务的采购，施工中可能发生的工程变更、合同约定调整因素出现时的合同价款调整以及发生的索赔、现场签证确认等费用。投标人应按《</w:t>
      </w:r>
      <w:r>
        <w:rPr>
          <w:rFonts w:hint="eastAsia" w:ascii="宋体" w:hAnsi="宋体" w:eastAsia="宋体" w:cs="宋体"/>
          <w:bCs/>
          <w:color w:val="000000" w:themeColor="text1"/>
          <w:sz w:val="24"/>
          <w:szCs w:val="24"/>
          <w:highlight w:val="none"/>
          <w:lang w:eastAsia="zh-CN"/>
          <w14:textFill>
            <w14:solidFill>
              <w14:schemeClr w14:val="tx1"/>
            </w14:solidFill>
          </w14:textFill>
        </w:rPr>
        <w:t>格式</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Cs/>
          <w:color w:val="000000" w:themeColor="text1"/>
          <w:sz w:val="24"/>
          <w:szCs w:val="24"/>
          <w:highlight w:val="none"/>
          <w14:textFill>
            <w14:solidFill>
              <w14:schemeClr w14:val="tx1"/>
            </w14:solidFill>
          </w14:textFill>
        </w:rPr>
        <w:t xml:space="preserve"> 其他项目清单与计价汇总表》中的金额进行填写，计入投标总价中，暂列金额不得更改。暂列金额减去工程实施过程中发生的合同价格调整、索赔、设计变更等金额后，余额归属于</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Cs/>
          <w:color w:val="000000" w:themeColor="text1"/>
          <w:sz w:val="24"/>
          <w:szCs w:val="24"/>
          <w:highlight w:val="none"/>
          <w14:textFill>
            <w14:solidFill>
              <w14:schemeClr w14:val="tx1"/>
            </w14:solidFill>
          </w14:textFill>
        </w:rPr>
        <w:t>材料、工程设备暂估价应按招标工程量清单中列出的单价计入综合单价。投标人不得改变。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14:textFill>
            <w14:solidFill>
              <w14:schemeClr w14:val="tx1"/>
            </w14:solidFill>
          </w14:textFill>
        </w:rPr>
        <w:t>专业工程暂估价应按招标工程量清单中列出的金额填写。投标人不得改变。</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Cs/>
          <w:color w:val="000000" w:themeColor="text1"/>
          <w:sz w:val="24"/>
          <w:szCs w:val="24"/>
          <w:highlight w:val="none"/>
          <w14:textFill>
            <w14:solidFill>
              <w14:schemeClr w14:val="tx1"/>
            </w14:solidFill>
          </w14:textFill>
        </w:rPr>
        <w:t>计日工应按招标工程量清单中列出的项目和数量自主确定综合单价并计算计日工金额。</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总承包服务费应根据招标工程量清单列出的专业工程暂估价内容和供应材料、设备情况，按照</w:t>
      </w:r>
      <w:r>
        <w:rPr>
          <w:rFonts w:hint="eastAsia" w:ascii="宋体" w:hAnsi="宋体" w:eastAsia="宋体" w:cs="宋体"/>
          <w:bCs/>
          <w:color w:val="000000" w:themeColor="text1"/>
          <w:sz w:val="24"/>
          <w:szCs w:val="24"/>
          <w:highlight w:val="none"/>
          <w:lang w:eastAsia="zh-CN"/>
          <w14:textFill>
            <w14:solidFill>
              <w14:schemeClr w14:val="tx1"/>
            </w14:solidFill>
          </w14:textFill>
        </w:rPr>
        <w:t>采购人</w:t>
      </w:r>
      <w:r>
        <w:rPr>
          <w:rFonts w:hint="eastAsia" w:ascii="宋体" w:hAnsi="宋体" w:eastAsia="宋体" w:cs="宋体"/>
          <w:bCs/>
          <w:color w:val="000000" w:themeColor="text1"/>
          <w:sz w:val="24"/>
          <w:szCs w:val="24"/>
          <w:highlight w:val="none"/>
          <w14:textFill>
            <w14:solidFill>
              <w14:schemeClr w14:val="tx1"/>
            </w14:solidFill>
          </w14:textFill>
        </w:rPr>
        <w:t>提出的协调、配合及服务要求和施工现场管理需要自主确定。</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.5规费、税金</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.5.1投标人所报的规费应包括工程排污费、社会保险费（养老保险费、失业保险费、医疗保险费、工伤保险费、生育保险费）、住房公积金、危险作业意外伤害保险费。</w:t>
      </w:r>
    </w:p>
    <w:p>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color w:val="000000" w:themeColor="text1"/>
          <w:sz w:val="24"/>
          <w:szCs w:val="24"/>
          <w:highlight w:val="none"/>
          <w14:textFill>
            <w14:solidFill>
              <w14:schemeClr w14:val="tx1"/>
            </w14:solidFill>
          </w14:textFill>
        </w:rPr>
        <w:t>.1</w:t>
      </w:r>
      <w:r>
        <w:rPr>
          <w:rFonts w:hint="eastAsia" w:ascii="宋体" w:hAnsi="宋体" w:eastAsia="宋体" w:cs="宋体"/>
          <w:b/>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color w:val="000000" w:themeColor="text1"/>
          <w:sz w:val="24"/>
          <w:szCs w:val="24"/>
          <w:highlight w:val="none"/>
          <w14:textFill>
            <w14:solidFill>
              <w14:schemeClr w14:val="tx1"/>
            </w14:solidFill>
          </w14:textFill>
        </w:rPr>
        <w:t>.5.2投标人所报的税金是指国家税法规定应计入建筑安装工程造价内的增值税销项税额。</w:t>
      </w:r>
    </w:p>
    <w:p>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投标人在投标报价时应按照国家或省级建设行政主管部门的有关规定标准计算规费、税金，不得作为竞争性费用或随意调整计算标准。</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.6投标报价风险</w:t>
      </w:r>
    </w:p>
    <w:p>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.6.1除合同价款调整范围外的所有风险均应由投标人自行考虑在投标报价中。</w:t>
      </w:r>
    </w:p>
    <w:p>
      <w:pPr>
        <w:pStyle w:val="33"/>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、商务报价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14:textFill>
            <w14:solidFill>
              <w14:schemeClr w14:val="tx1"/>
            </w14:solidFill>
          </w14:textFill>
        </w:rPr>
        <w:t>.1投标人的商务报价应是为采购人提供全部合同</w:t>
      </w:r>
      <w:r>
        <w:rPr>
          <w:rFonts w:hint="eastAsia" w:ascii="宋体" w:hAnsi="宋体" w:eastAsia="宋体" w:cs="宋体"/>
          <w:color w:val="000000" w:themeColor="text1"/>
          <w:sz w:val="24"/>
          <w:highlight w:val="none"/>
          <w:lang w:eastAsia="zh-CN"/>
          <w14:textFill>
            <w14:solidFill>
              <w14:schemeClr w14:val="tx1"/>
            </w14:solidFill>
          </w14:textFill>
        </w:rPr>
        <w:t>货物及</w:t>
      </w:r>
      <w:r>
        <w:rPr>
          <w:rFonts w:hint="eastAsia" w:ascii="宋体" w:hAnsi="宋体" w:eastAsia="宋体" w:cs="宋体"/>
          <w:color w:val="000000" w:themeColor="text1"/>
          <w:sz w:val="24"/>
          <w:highlight w:val="none"/>
          <w14:textFill>
            <w14:solidFill>
              <w14:schemeClr w14:val="tx1"/>
            </w14:solidFill>
          </w14:textFill>
        </w:rPr>
        <w:t>服务，并保证合同条款、技术规范及标准、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项目采购需求、本招标文件约定的所有费用的总和。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任何因投标人忽视或误解</w:t>
      </w:r>
      <w:r>
        <w:rPr>
          <w:rFonts w:hint="eastAsia" w:ascii="宋体" w:hAnsi="宋体" w:cs="宋体"/>
          <w:color w:val="000000" w:themeColor="text1"/>
          <w:sz w:val="24"/>
          <w:highlight w:val="none"/>
          <w:lang w:eastAsia="zh-CN"/>
          <w14:textFill>
            <w14:solidFill>
              <w14:schemeClr w14:val="tx1"/>
            </w14:solidFill>
          </w14:textFill>
        </w:rPr>
        <w:t>招标范围</w:t>
      </w:r>
      <w:r>
        <w:rPr>
          <w:rFonts w:hint="eastAsia" w:ascii="宋体" w:hAnsi="宋体" w:eastAsia="宋体" w:cs="宋体"/>
          <w:color w:val="000000" w:themeColor="text1"/>
          <w:sz w:val="24"/>
          <w:highlight w:val="none"/>
          <w14:textFill>
            <w14:solidFill>
              <w14:schemeClr w14:val="tx1"/>
            </w14:solidFill>
          </w14:textFill>
        </w:rPr>
        <w:t>、技术规范及标准、</w:t>
      </w:r>
      <w:r>
        <w:rPr>
          <w:rFonts w:hint="eastAsia" w:ascii="宋体" w:hAnsi="宋体" w:eastAsia="宋体" w:cs="宋体"/>
          <w:color w:val="000000" w:themeColor="text1"/>
          <w:sz w:val="24"/>
          <w:highlight w:val="none"/>
          <w:lang w:eastAsia="zh-CN"/>
          <w14:textFill>
            <w14:solidFill>
              <w14:schemeClr w14:val="tx1"/>
            </w14:solidFill>
          </w14:textFill>
        </w:rPr>
        <w:t>技术规格及要求、施工设计图纸、</w:t>
      </w:r>
      <w:r>
        <w:rPr>
          <w:rFonts w:hint="eastAsia" w:ascii="宋体" w:hAnsi="宋体" w:eastAsia="宋体" w:cs="宋体"/>
          <w:color w:val="000000" w:themeColor="text1"/>
          <w:sz w:val="24"/>
          <w:highlight w:val="none"/>
          <w14:textFill>
            <w14:solidFill>
              <w14:schemeClr w14:val="tx1"/>
            </w14:solidFill>
          </w14:textFill>
        </w:rPr>
        <w:t>项目采购需求、合同条款和项目现场情况，若</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，采购人将不予批准由此而产生的索赔或</w:t>
      </w:r>
      <w:r>
        <w:rPr>
          <w:rFonts w:hint="eastAsia" w:ascii="宋体" w:hAnsi="宋体" w:eastAsia="宋体" w:cs="宋体"/>
          <w:color w:val="000000" w:themeColor="text1"/>
          <w:sz w:val="24"/>
          <w:highlight w:val="none"/>
          <w:lang w:eastAsia="zh-CN"/>
          <w14:textFill>
            <w14:solidFill>
              <w14:schemeClr w14:val="tx1"/>
            </w14:solidFill>
          </w14:textFill>
        </w:rPr>
        <w:t>工期</w:t>
      </w:r>
      <w:r>
        <w:rPr>
          <w:rFonts w:hint="eastAsia" w:ascii="宋体" w:hAnsi="宋体" w:eastAsia="宋体" w:cs="宋体"/>
          <w:color w:val="000000" w:themeColor="text1"/>
          <w:sz w:val="24"/>
          <w:highlight w:val="none"/>
          <w14:textFill>
            <w14:solidFill>
              <w14:schemeClr w14:val="tx1"/>
            </w14:solidFill>
          </w14:textFill>
        </w:rPr>
        <w:t>延长申请。</w:t>
      </w: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商务报价中不得包含合同条款、技术规范及标准、</w:t>
      </w:r>
      <w:r>
        <w:rPr>
          <w:rFonts w:hint="eastAsia" w:ascii="宋体" w:hAnsi="宋体" w:eastAsia="宋体" w:cs="宋体"/>
          <w:b/>
          <w:color w:val="000000" w:themeColor="text1"/>
          <w:sz w:val="24"/>
          <w:highlight w:val="none"/>
          <w:lang w:eastAsia="zh-CN"/>
          <w14:textFill>
            <w14:solidFill>
              <w14:schemeClr w14:val="tx1"/>
            </w14:solidFill>
          </w14:textFill>
        </w:rPr>
        <w:t>技术规格及要求、施工设计图纸、项目</w:t>
      </w:r>
      <w:r>
        <w:rPr>
          <w:rFonts w:hint="eastAsia" w:ascii="宋体" w:hAnsi="宋体" w:eastAsia="宋体" w:cs="宋体"/>
          <w:b/>
          <w:color w:val="000000" w:themeColor="text1"/>
          <w:sz w:val="24"/>
          <w:highlight w:val="none"/>
          <w14:textFill>
            <w14:solidFill>
              <w14:schemeClr w14:val="tx1"/>
            </w14:solidFill>
          </w14:textFill>
        </w:rPr>
        <w:t>采购需求、本招标文件要求以外的其他内容。</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14:textFill>
            <w14:solidFill>
              <w14:schemeClr w14:val="tx1"/>
            </w14:solidFill>
          </w14:textFill>
        </w:rPr>
        <w:t>.2商务报价总价应包括的内容和计价因</w:t>
      </w:r>
      <w:r>
        <w:rPr>
          <w:rFonts w:hint="eastAsia" w:ascii="宋体" w:hAnsi="宋体" w:eastAsia="宋体" w:cs="宋体"/>
          <w:b/>
          <w:bCs/>
          <w:color w:val="auto"/>
          <w:sz w:val="24"/>
          <w:highlight w:val="none"/>
        </w:rPr>
        <w:t>素</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auto"/>
          <w:sz w:val="24"/>
          <w:highlight w:val="none"/>
          <w:lang w:eastAsia="zh-CN"/>
        </w:rPr>
      </w:pPr>
      <w:r>
        <w:rPr>
          <w:rFonts w:hint="eastAsia" w:ascii="宋体" w:hAnsi="宋体" w:eastAsia="宋体" w:cs="宋体"/>
          <w:b/>
          <w:color w:val="auto"/>
          <w:sz w:val="24"/>
          <w:szCs w:val="24"/>
          <w:highlight w:val="none"/>
        </w:rPr>
        <w:t>（1）</w:t>
      </w:r>
      <w:r>
        <w:rPr>
          <w:rFonts w:hint="eastAsia" w:hAnsi="宋体" w:cs="宋体"/>
          <w:b/>
          <w:color w:val="auto"/>
          <w:sz w:val="24"/>
          <w:szCs w:val="24"/>
          <w:highlight w:val="none"/>
          <w:lang w:val="en-US" w:eastAsia="zh-CN"/>
        </w:rPr>
        <w:t>中标人完成某支队蔬菜大棚建设项目所包括建筑工程、装饰装修工程、钢结构工程（含覆盖材料）等全部施工内容以及合同条款、技术规范及标准、技术规格及要求、项目采购需求、本招标文件约定的全部内容及责任和义务</w:t>
      </w:r>
      <w:r>
        <w:rPr>
          <w:rFonts w:hint="eastAsia" w:hAnsi="宋体" w:cs="宋体"/>
          <w:b/>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2"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auto"/>
          <w:sz w:val="24"/>
          <w:highlight w:val="none"/>
        </w:rPr>
        <w:t>（2）投标人根据对本招标文件、技术规范和标准、</w:t>
      </w:r>
      <w:r>
        <w:rPr>
          <w:rFonts w:hint="eastAsia" w:ascii="宋体" w:hAnsi="宋体" w:eastAsia="宋体" w:cs="宋体"/>
          <w:b/>
          <w:bCs/>
          <w:color w:val="auto"/>
          <w:sz w:val="24"/>
          <w:highlight w:val="none"/>
          <w:lang w:eastAsia="zh-CN"/>
        </w:rPr>
        <w:t>技术规格及要求、</w:t>
      </w:r>
      <w:r>
        <w:rPr>
          <w:rFonts w:hint="eastAsia" w:ascii="宋体" w:hAnsi="宋体" w:cs="宋体"/>
          <w:b/>
          <w:bCs/>
          <w:color w:val="auto"/>
          <w:sz w:val="24"/>
          <w:highlight w:val="none"/>
          <w:lang w:eastAsia="zh-CN"/>
        </w:rPr>
        <w:t>施工设计图纸</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项目采购需求、合同条款的理解，应达到的技术指标、检验及验收标准等要</w:t>
      </w:r>
      <w:r>
        <w:rPr>
          <w:rFonts w:hint="eastAsia" w:ascii="宋体" w:hAnsi="宋体" w:eastAsia="宋体" w:cs="宋体"/>
          <w:b/>
          <w:bCs/>
          <w:color w:val="000000" w:themeColor="text1"/>
          <w:sz w:val="24"/>
          <w:highlight w:val="none"/>
          <w14:textFill>
            <w14:solidFill>
              <w14:schemeClr w14:val="tx1"/>
            </w14:solidFill>
          </w14:textFill>
        </w:rPr>
        <w:t>求，结合市场情况进行商务报价。投标人应充分考虑合同执行期内各类市场风险和国家政策性调整风险等因素对商务报价的影响。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投标人应按照招标文件所附的格式完整地填写商务报价一览表。</w:t>
      </w:r>
      <w:r>
        <w:rPr>
          <w:rFonts w:hint="eastAsia" w:ascii="宋体" w:hAnsi="宋体" w:cs="宋体"/>
          <w:b/>
          <w:color w:val="000000" w:themeColor="text1"/>
          <w:sz w:val="24"/>
          <w:highlight w:val="none"/>
          <w14:textFill>
            <w14:solidFill>
              <w14:schemeClr w14:val="tx1"/>
            </w14:solidFill>
          </w14:textFill>
        </w:rPr>
        <w:t>投标人应对</w:t>
      </w:r>
      <w:r>
        <w:rPr>
          <w:rFonts w:hint="eastAsia" w:ascii="宋体" w:hAnsi="宋体" w:cs="宋体"/>
          <w:b/>
          <w:color w:val="000000" w:themeColor="text1"/>
          <w:sz w:val="24"/>
          <w:highlight w:val="none"/>
          <w:lang w:eastAsia="zh-CN"/>
          <w14:textFill>
            <w14:solidFill>
              <w14:schemeClr w14:val="tx1"/>
            </w14:solidFill>
          </w14:textFill>
        </w:rPr>
        <w:t>招标范围</w:t>
      </w:r>
      <w:r>
        <w:rPr>
          <w:rFonts w:hint="eastAsia" w:ascii="宋体" w:hAnsi="宋体" w:cs="宋体"/>
          <w:b/>
          <w:color w:val="000000" w:themeColor="text1"/>
          <w:sz w:val="24"/>
          <w:highlight w:val="none"/>
          <w14:textFill>
            <w14:solidFill>
              <w14:schemeClr w14:val="tx1"/>
            </w14:solidFill>
          </w14:textFill>
        </w:rPr>
        <w:t>内的全部内容进行报价。</w:t>
      </w:r>
    </w:p>
    <w:bookmarkEnd w:id="62"/>
    <w:bookmarkEnd w:id="71"/>
    <w:bookmarkEnd w:id="72"/>
    <w:bookmarkEnd w:id="73"/>
    <w:bookmarkEnd w:id="74"/>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75" w:name="_Toc245897288"/>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、商务报价货币</w:t>
      </w:r>
      <w:bookmarkEnd w:id="75"/>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20</w:t>
      </w:r>
      <w:r>
        <w:rPr>
          <w:rFonts w:hint="eastAsia" w:hAnsi="宋体" w:cs="宋体"/>
          <w:color w:val="000000" w:themeColor="text1"/>
          <w:sz w:val="24"/>
          <w:szCs w:val="24"/>
          <w:highlight w:val="none"/>
          <w14:textFill>
            <w14:solidFill>
              <w14:schemeClr w14:val="tx1"/>
            </w14:solidFill>
          </w14:textFill>
        </w:rPr>
        <w:t>.1商务报价一览表和投标文件中的所有报价一律使用人民币（RMB）填报。</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76" w:name="_Toc243907589"/>
      <w:bookmarkStart w:id="77" w:name="_Toc233274829"/>
      <w:bookmarkStart w:id="78" w:name="_Toc245897289"/>
      <w:bookmarkStart w:id="79" w:name="_Toc243906328"/>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、投标人资格证明文件</w:t>
      </w:r>
      <w:bookmarkEnd w:id="76"/>
      <w:bookmarkEnd w:id="77"/>
      <w:bookmarkEnd w:id="78"/>
      <w:bookmarkEnd w:id="79"/>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1</w:t>
      </w:r>
      <w:r>
        <w:rPr>
          <w:rFonts w:hint="eastAsia" w:hAnsi="宋体" w:cs="宋体"/>
          <w:color w:val="000000" w:themeColor="text1"/>
          <w:sz w:val="24"/>
          <w:szCs w:val="24"/>
          <w:highlight w:val="none"/>
          <w14:textFill>
            <w14:solidFill>
              <w14:schemeClr w14:val="tx1"/>
            </w14:solidFill>
          </w14:textFill>
        </w:rPr>
        <w:t>.1 投标人必须提交证明其有资格参加招标和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后有能力履行合同的文件。</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0" w:name="_Toc233274830"/>
      <w:bookmarkStart w:id="81" w:name="_Toc245897290"/>
      <w:bookmarkStart w:id="82" w:name="_Toc243906329"/>
      <w:bookmarkStart w:id="83" w:name="_Toc243907590"/>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、提供的服务符合招标文件规定的技术</w:t>
      </w:r>
      <w:bookmarkEnd w:id="80"/>
      <w:bookmarkEnd w:id="81"/>
      <w:bookmarkEnd w:id="82"/>
      <w:bookmarkEnd w:id="83"/>
      <w:r>
        <w:rPr>
          <w:rFonts w:hint="eastAsia" w:hAnsi="宋体" w:cs="宋体"/>
          <w:color w:val="000000" w:themeColor="text1"/>
          <w:sz w:val="24"/>
          <w:szCs w:val="24"/>
          <w:highlight w:val="none"/>
          <w14:textFill>
            <w14:solidFill>
              <w14:schemeClr w14:val="tx1"/>
            </w14:solidFill>
          </w14:textFill>
        </w:rPr>
        <w:t>投标文件</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.1 投标人须提交证明其拟供服务符合招标文件、技术规范及标准、项目采购需求规定的技术投标文件，作为投标文件的一部分；</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hAnsi="宋体" w:cs="宋体"/>
          <w:color w:val="000000" w:themeColor="text1"/>
          <w:sz w:val="24"/>
          <w:szCs w:val="24"/>
          <w:highlight w:val="none"/>
          <w14:textFill>
            <w14:solidFill>
              <w14:schemeClr w14:val="tx1"/>
            </w14:solidFill>
          </w14:textFill>
        </w:rPr>
        <w:t>.2上述文件可以是文字资料、图纸和数据，并对所提供服务进行详细说明；</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.3投标人应逐条对招标文件、项目采购需求、合同条款等进行仔细阅读，提出自己提供的服务是否对其做出了实质性的响应。</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、投标文件有效期</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b/>
          <w:color w:val="000000" w:themeColor="text1"/>
          <w:sz w:val="24"/>
          <w:szCs w:val="24"/>
          <w:highlight w:val="none"/>
          <w14:textFill>
            <w14:solidFill>
              <w14:schemeClr w14:val="tx1"/>
            </w14:solidFill>
          </w14:textFill>
        </w:rPr>
        <w:t>投标文件</w:t>
      </w:r>
      <w:r>
        <w:rPr>
          <w:rFonts w:hint="eastAsia" w:hAnsi="宋体" w:cs="宋体"/>
          <w:color w:val="000000" w:themeColor="text1"/>
          <w:sz w:val="24"/>
          <w:szCs w:val="24"/>
          <w:highlight w:val="none"/>
          <w14:textFill>
            <w14:solidFill>
              <w14:schemeClr w14:val="tx1"/>
            </w14:solidFill>
          </w14:textFill>
        </w:rPr>
        <w:t>有效期为递交投标文件截止之日起90天（日历日）。投标人的投标文件有效期比规定的有效期短的，将被视为非响应而予以拒绝。</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.2 特殊情况下，在原有效期届满之前，采购人可征得投标人的同意延长其有效期，这种要求与答复均应以书面形式。投标人拒绝延长的，其投标文件失效，但投标人有权收回其投标保证金。同意延长有效期的投标人，既不要求也不允许其修改投标文件，但将相应延长投标保证金的有效期。有关退还和不予退还投标保证金的规定在有效期的延长期内继续有效。</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84" w:name="_Toc243907592"/>
      <w:bookmarkStart w:id="85" w:name="_Toc243906331"/>
      <w:bookmarkStart w:id="86" w:name="_Toc245897292"/>
      <w:bookmarkStart w:id="87" w:name="_Toc233274832"/>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、投标文件的签署及规定</w:t>
      </w:r>
      <w:bookmarkEnd w:id="84"/>
      <w:bookmarkEnd w:id="85"/>
      <w:bookmarkEnd w:id="86"/>
      <w:bookmarkEnd w:id="87"/>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.1投标人应提交本须知第16条规定的</w:t>
      </w:r>
      <w:r>
        <w:rPr>
          <w:rFonts w:hint="eastAsia" w:ascii="宋体" w:hAnsi="宋体" w:cs="宋体"/>
          <w:b/>
          <w:color w:val="000000" w:themeColor="text1"/>
          <w:sz w:val="24"/>
          <w:highlight w:val="none"/>
          <w14:textFill>
            <w14:solidFill>
              <w14:schemeClr w14:val="tx1"/>
            </w14:solidFill>
          </w14:textFill>
        </w:rPr>
        <w:t>书面投标文件一式</w:t>
      </w:r>
      <w:r>
        <w:rPr>
          <w:rFonts w:hint="eastAsia" w:ascii="宋体" w:hAnsi="宋体" w:cs="宋体"/>
          <w:b/>
          <w:color w:val="000000" w:themeColor="text1"/>
          <w:sz w:val="24"/>
          <w:highlight w:val="none"/>
          <w:u w:val="single"/>
          <w:lang w:eastAsia="zh-CN"/>
          <w14:textFill>
            <w14:solidFill>
              <w14:schemeClr w14:val="tx1"/>
            </w14:solidFill>
          </w14:textFill>
        </w:rPr>
        <w:t>陆</w:t>
      </w:r>
      <w:r>
        <w:rPr>
          <w:rFonts w:hint="eastAsia" w:ascii="宋体" w:hAnsi="宋体" w:cs="宋体"/>
          <w:b/>
          <w:color w:val="000000" w:themeColor="text1"/>
          <w:sz w:val="24"/>
          <w:highlight w:val="none"/>
          <w14:textFill>
            <w14:solidFill>
              <w14:schemeClr w14:val="tx1"/>
            </w14:solidFill>
          </w14:textFill>
        </w:rPr>
        <w:t>份</w:t>
      </w:r>
      <w:r>
        <w:rPr>
          <w:rFonts w:hint="eastAsia" w:ascii="宋体" w:hAnsi="宋体" w:cs="宋体"/>
          <w:color w:val="000000" w:themeColor="text1"/>
          <w:sz w:val="24"/>
          <w:highlight w:val="none"/>
          <w14:textFill>
            <w14:solidFill>
              <w14:schemeClr w14:val="tx1"/>
            </w14:solidFill>
          </w14:textFill>
        </w:rPr>
        <w:t>，其中：</w:t>
      </w:r>
      <w:r>
        <w:rPr>
          <w:rFonts w:hint="eastAsia" w:ascii="宋体" w:hAnsi="宋体" w:cs="宋体"/>
          <w:b/>
          <w:color w:val="000000" w:themeColor="text1"/>
          <w:sz w:val="24"/>
          <w:highlight w:val="none"/>
          <w:u w:val="single"/>
          <w14:textFill>
            <w14:solidFill>
              <w14:schemeClr w14:val="tx1"/>
            </w14:solidFill>
          </w14:textFill>
        </w:rPr>
        <w:t>壹份正本</w:t>
      </w:r>
      <w:r>
        <w:rPr>
          <w:rFonts w:hint="eastAsia" w:ascii="宋体" w:hAnsi="宋体" w:cs="宋体"/>
          <w:b/>
          <w:color w:val="000000" w:themeColor="text1"/>
          <w:sz w:val="24"/>
          <w:highlight w:val="none"/>
          <w14:textFill>
            <w14:solidFill>
              <w14:schemeClr w14:val="tx1"/>
            </w14:solidFill>
          </w14:textFill>
        </w:rPr>
        <w:t>和</w:t>
      </w:r>
      <w:r>
        <w:rPr>
          <w:rFonts w:hint="eastAsia" w:ascii="宋体" w:hAnsi="宋体" w:cs="宋体"/>
          <w:b/>
          <w:color w:val="000000" w:themeColor="text1"/>
          <w:sz w:val="24"/>
          <w:highlight w:val="none"/>
          <w:u w:val="single"/>
          <w:lang w:eastAsia="zh-CN"/>
          <w14:textFill>
            <w14:solidFill>
              <w14:schemeClr w14:val="tx1"/>
            </w14:solidFill>
          </w14:textFill>
        </w:rPr>
        <w:t>伍</w:t>
      </w:r>
      <w:r>
        <w:rPr>
          <w:rFonts w:hint="eastAsia" w:ascii="宋体" w:hAnsi="宋体" w:cs="宋体"/>
          <w:b/>
          <w:color w:val="000000" w:themeColor="text1"/>
          <w:sz w:val="24"/>
          <w:highlight w:val="none"/>
          <w:u w:val="single"/>
          <w14:textFill>
            <w14:solidFill>
              <w14:schemeClr w14:val="tx1"/>
            </w14:solidFill>
          </w14:textFill>
        </w:rPr>
        <w:t>份副本</w:t>
      </w:r>
      <w:r>
        <w:rPr>
          <w:rFonts w:hint="eastAsia" w:ascii="宋体" w:hAnsi="宋体" w:cs="宋体"/>
          <w:color w:val="000000" w:themeColor="text1"/>
          <w:sz w:val="24"/>
          <w:highlight w:val="none"/>
          <w14:textFill>
            <w14:solidFill>
              <w14:schemeClr w14:val="tx1"/>
            </w14:solidFill>
          </w14:textFill>
        </w:rPr>
        <w:t>，在每一份投标文件上应明确注明“正本”或“副本”字样，如正、副本之间有差异，以正本为准。</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.2投标文件正本和副本须打印并由法定代表人或委托代理人签字或盖章。投标文件应加盖投标人的公章。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.3 除投标人对错误做必要修改外，投标文件中不许有增删、涂改或改写。若确有修改必须由签署投标文件的委托代理人签字或盖章。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.4投标文件副本的上述签名及盖章之处既可由投标人的投标人代表人或其委托代理人签字或盖章，也可通过复印正本将上述签名及盖章复制到副本上。</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hAnsi="宋体" w:cs="宋体"/>
          <w:color w:val="000000" w:themeColor="text1"/>
          <w:sz w:val="24"/>
          <w:szCs w:val="24"/>
          <w:highlight w:val="none"/>
          <w14:textFill>
            <w14:solidFill>
              <w14:schemeClr w14:val="tx1"/>
            </w14:solidFill>
          </w14:textFill>
        </w:rPr>
        <w:t>.5 采购人概不接受电报、电传、电话、邮寄以及电子邮件等方式的公开投标。</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bookmarkStart w:id="88" w:name="_Toc233274833"/>
      <w:bookmarkStart w:id="89" w:name="_Toc245897293"/>
      <w:bookmarkStart w:id="90" w:name="_Toc243906332"/>
      <w:bookmarkStart w:id="91" w:name="_Toc243907593"/>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、投标保证金及退还</w:t>
      </w:r>
      <w:bookmarkEnd w:id="88"/>
      <w:bookmarkEnd w:id="89"/>
      <w:bookmarkEnd w:id="90"/>
      <w:bookmarkEnd w:id="91"/>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.1 投标保证金为投标文件的组成部分之一。投标保证金是为了保护采购人免遭因投标人的行为而蒙受的损失，采购人在因投标人的行为而蒙受损失时，采购人可根据本须知第24.3条的规定对其投标保证金不予退还。</w:t>
      </w:r>
    </w:p>
    <w:p>
      <w:pPr>
        <w:pStyle w:val="33"/>
        <w:spacing w:line="360" w:lineRule="auto"/>
        <w:ind w:firstLine="482" w:firstLineChars="200"/>
        <w:rPr>
          <w:rFonts w:hAnsi="宋体" w:cs="宋体"/>
          <w:b/>
          <w:bCs/>
          <w:color w:val="000000" w:themeColor="text1"/>
          <w:kern w:val="2"/>
          <w:sz w:val="24"/>
          <w:szCs w:val="24"/>
          <w:highlight w:val="none"/>
          <w14:textFill>
            <w14:solidFill>
              <w14:schemeClr w14:val="tx1"/>
            </w14:solidFill>
          </w14:textFill>
        </w:rPr>
      </w:pPr>
      <w:r>
        <w:rPr>
          <w:rFonts w:hint="eastAsia" w:hAnsi="宋体" w:cs="宋体"/>
          <w:b/>
          <w:bCs/>
          <w:color w:val="000000" w:themeColor="text1"/>
          <w:kern w:val="2"/>
          <w:sz w:val="24"/>
          <w:szCs w:val="24"/>
          <w:highlight w:val="none"/>
          <w14:textFill>
            <w14:solidFill>
              <w14:schemeClr w14:val="tx1"/>
            </w14:solidFill>
          </w14:textFill>
        </w:rPr>
        <w:t>2</w:t>
      </w:r>
      <w:r>
        <w:rPr>
          <w:rFonts w:hint="eastAsia" w:hAnsi="宋体" w:cs="宋体"/>
          <w:b/>
          <w:bCs/>
          <w:color w:val="000000" w:themeColor="text1"/>
          <w:kern w:val="2"/>
          <w:sz w:val="24"/>
          <w:szCs w:val="24"/>
          <w:highlight w:val="none"/>
          <w:lang w:val="en-US" w:eastAsia="zh-CN"/>
          <w14:textFill>
            <w14:solidFill>
              <w14:schemeClr w14:val="tx1"/>
            </w14:solidFill>
          </w14:textFill>
        </w:rPr>
        <w:t>5</w:t>
      </w:r>
      <w:r>
        <w:rPr>
          <w:rFonts w:hint="eastAsia" w:hAnsi="宋体" w:cs="宋体"/>
          <w:b/>
          <w:bCs/>
          <w:color w:val="000000" w:themeColor="text1"/>
          <w:kern w:val="2"/>
          <w:sz w:val="24"/>
          <w:szCs w:val="24"/>
          <w:highlight w:val="none"/>
          <w14:textFill>
            <w14:solidFill>
              <w14:schemeClr w14:val="tx1"/>
            </w14:solidFill>
          </w14:textFill>
        </w:rPr>
        <w:t>.2投标保证金的退还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.2.1未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通知书发出之日起5个工作日内一次性无息退还。</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.2.2</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单位的投标保证金应自签订采购合同后5个工作日内一次性无息予以退还。</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.2.3符合退还投标保证金条件的</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的投标人应及时到招标代理机构办理退还手续，如</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单位和未</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的投标人因自身原因逾期办理投标保证金退还的，招标代理机构不承担逾期退还的责任。</w:t>
      </w: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2</w:t>
      </w:r>
      <w:r>
        <w:rPr>
          <w:rFonts w:hint="eastAsia" w:hAnsi="宋体" w:cs="宋体"/>
          <w:b/>
          <w:color w:val="000000" w:themeColor="text1"/>
          <w:sz w:val="24"/>
          <w:szCs w:val="24"/>
          <w:highlight w:val="none"/>
          <w:lang w:val="en-US" w:eastAsia="zh-CN"/>
          <w14:textFill>
            <w14:solidFill>
              <w14:schemeClr w14:val="tx1"/>
            </w14:solidFill>
          </w14:textFill>
        </w:rPr>
        <w:t>5</w:t>
      </w:r>
      <w:r>
        <w:rPr>
          <w:rFonts w:hint="eastAsia" w:hAnsi="宋体" w:cs="宋体"/>
          <w:b/>
          <w:color w:val="000000" w:themeColor="text1"/>
          <w:sz w:val="24"/>
          <w:szCs w:val="24"/>
          <w:highlight w:val="none"/>
          <w14:textFill>
            <w14:solidFill>
              <w14:schemeClr w14:val="tx1"/>
            </w14:solidFill>
          </w14:textFill>
        </w:rPr>
        <w:t>.3 有下列情形之一者，其投标保证金将不予退还：</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.3.1投标人在提交投标文件截止时间后撤回投标文件；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.3.2投标人在投标文件中提供虚假材料的；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.3.3投标人与采购人、其他投标人或者招标代理机构恶意串通的。</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.3.4除因不可抗力或招标文件认可的情形外，</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单位在投标文件有效期内收到</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通知书后，由于</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单位原因未能按照招标文件要求与采购人签订并履行合同；</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.3.5《中华人民共和国政府采购法》及相关法律、法规及本招标文件规定不予退还投标保证金的其它情形。</w:t>
      </w:r>
      <w:bookmarkStart w:id="92" w:name="_Toc154996583"/>
    </w:p>
    <w:bookmarkEnd w:id="92"/>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firstLine="482" w:firstLineChars="200"/>
        <w:jc w:val="center"/>
        <w:outlineLvl w:val="1"/>
        <w:rPr>
          <w:rFonts w:hint="eastAsia"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D  投标文件的递交、修改和撤回</w:t>
      </w:r>
    </w:p>
    <w:p>
      <w:pPr>
        <w:pStyle w:val="33"/>
        <w:spacing w:line="360" w:lineRule="auto"/>
        <w:ind w:firstLine="482" w:firstLineChars="200"/>
        <w:jc w:val="center"/>
        <w:outlineLvl w:val="1"/>
        <w:rPr>
          <w:rFonts w:hint="eastAsia" w:hAnsi="宋体" w:cs="宋体"/>
          <w:b/>
          <w:bCs/>
          <w:color w:val="000000" w:themeColor="text1"/>
          <w:sz w:val="24"/>
          <w:szCs w:val="24"/>
          <w:highlight w:val="none"/>
          <w14:textFill>
            <w14:solidFill>
              <w14:schemeClr w14:val="tx1"/>
            </w14:solidFill>
          </w14:textFill>
        </w:rPr>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93" w:name="_Toc245897295"/>
      <w:bookmarkStart w:id="94" w:name="_Toc243907595"/>
      <w:bookmarkStart w:id="95" w:name="_Toc243906334"/>
      <w:bookmarkStart w:id="96" w:name="_Toc233274835"/>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、投标文件的密封和标记</w:t>
      </w:r>
      <w:bookmarkEnd w:id="93"/>
      <w:bookmarkEnd w:id="94"/>
      <w:bookmarkEnd w:id="95"/>
      <w:bookmarkEnd w:id="96"/>
    </w:p>
    <w:p>
      <w:pPr>
        <w:spacing w:line="360" w:lineRule="auto"/>
        <w:ind w:firstLine="480"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投标文件均按A4复印纸页面编制、装订。所有投标文件均为明标。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.2投标人应将投标文件“资格证明文件”“商务文件”“技术文件”分别装订、密封，并在密封处加盖投标人公章。</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.3投标文件密封袋上均应写明“资格证明文件”“商务文件”“技术文件”，并同时写明“采购人”、“ 项目名称”、“ 招标文件编号”、“ 投标人名称”和“地址”等事项并注明“开启前不准启封”等字样。</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.4未按本要求密封、标记的投标文件，采购人（或招标代理机构）不对后果负责。</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97" w:name="_Toc243907596"/>
      <w:bookmarkStart w:id="98" w:name="_Toc245897296"/>
      <w:bookmarkStart w:id="99" w:name="_Toc233274836"/>
      <w:bookmarkStart w:id="100" w:name="_Toc243906335"/>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、递交投标文件截止时间</w:t>
      </w:r>
      <w:bookmarkEnd w:id="97"/>
      <w:bookmarkEnd w:id="98"/>
      <w:bookmarkEnd w:id="99"/>
      <w:bookmarkEnd w:id="100"/>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.1 所有投标文件都必须按采购人在投标人须知前附表中规定的截止时间之前送达。</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.2出现因招标文件的修改推迟截止日期时，则按招标代理机构修改通知规定的时间递交投标文件。在此情况下，采购人和招标代理机构与投标人之间受截止期制约的所有权利和义务应延长至新的截止期。</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1" w:name="_Toc233274837"/>
      <w:bookmarkStart w:id="102" w:name="_Toc243906336"/>
      <w:bookmarkStart w:id="103" w:name="_Toc243907597"/>
      <w:bookmarkStart w:id="104" w:name="_Toc245897297"/>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、迟交的投标文件</w:t>
      </w:r>
      <w:bookmarkEnd w:id="101"/>
      <w:bookmarkEnd w:id="102"/>
      <w:bookmarkEnd w:id="103"/>
      <w:bookmarkEnd w:id="104"/>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8</w:t>
      </w:r>
      <w:r>
        <w:rPr>
          <w:rFonts w:hint="eastAsia" w:hAnsi="宋体" w:cs="宋体"/>
          <w:color w:val="000000" w:themeColor="text1"/>
          <w:sz w:val="24"/>
          <w:szCs w:val="24"/>
          <w:highlight w:val="none"/>
          <w14:textFill>
            <w14:solidFill>
              <w14:schemeClr w14:val="tx1"/>
            </w14:solidFill>
          </w14:textFill>
        </w:rPr>
        <w:t>.1 采购人将拒绝并原封退回在其规定的截止时间后送达的投标文件。</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05" w:name="_Toc233274838"/>
      <w:bookmarkStart w:id="106" w:name="_Toc243907598"/>
      <w:bookmarkStart w:id="107" w:name="_Toc245897298"/>
      <w:bookmarkStart w:id="108" w:name="_Toc243906337"/>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、投标文件的修改和撤回</w:t>
      </w:r>
      <w:bookmarkEnd w:id="105"/>
      <w:bookmarkEnd w:id="106"/>
      <w:bookmarkEnd w:id="107"/>
      <w:bookmarkEnd w:id="108"/>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.1 投标人在提交投标文件后可在截止时间前对其投标文件进行修改或撤回，但采购人须在截止时间之前收到该修改或撤回的书面通知，该通知须有投标人代表人或经有效授权的委托代理人签字或盖章。</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.2 投标人对投标文件修改的书面材料或撤回的通知应按第2</w:t>
      </w:r>
      <w:r>
        <w:rPr>
          <w:rFonts w:hint="eastAsia" w:hAnsi="宋体" w:cs="宋体"/>
          <w:color w:val="000000" w:themeColor="text1"/>
          <w:sz w:val="24"/>
          <w:szCs w:val="24"/>
          <w:highlight w:val="none"/>
          <w:lang w:val="en-US" w:eastAsia="zh-CN"/>
          <w14:textFill>
            <w14:solidFill>
              <w14:schemeClr w14:val="tx1"/>
            </w14:solidFill>
          </w14:textFill>
        </w:rPr>
        <w:t>6</w:t>
      </w:r>
      <w:r>
        <w:rPr>
          <w:rFonts w:hint="eastAsia" w:hAnsi="宋体" w:cs="宋体"/>
          <w:color w:val="000000" w:themeColor="text1"/>
          <w:sz w:val="24"/>
          <w:szCs w:val="24"/>
          <w:highlight w:val="none"/>
          <w14:textFill>
            <w14:solidFill>
              <w14:schemeClr w14:val="tx1"/>
            </w14:solidFill>
          </w14:textFill>
        </w:rPr>
        <w:t>条和第2</w:t>
      </w:r>
      <w:r>
        <w:rPr>
          <w:rFonts w:hint="eastAsia" w:hAnsi="宋体" w:cs="宋体"/>
          <w:color w:val="000000" w:themeColor="text1"/>
          <w:sz w:val="24"/>
          <w:szCs w:val="24"/>
          <w:highlight w:val="none"/>
          <w:lang w:val="en-US" w:eastAsia="zh-CN"/>
          <w14:textFill>
            <w14:solidFill>
              <w14:schemeClr w14:val="tx1"/>
            </w14:solidFill>
          </w14:textFill>
        </w:rPr>
        <w:t>7</w:t>
      </w:r>
      <w:r>
        <w:rPr>
          <w:rFonts w:hint="eastAsia" w:hAnsi="宋体" w:cs="宋体"/>
          <w:color w:val="000000" w:themeColor="text1"/>
          <w:sz w:val="24"/>
          <w:szCs w:val="24"/>
          <w:highlight w:val="none"/>
          <w14:textFill>
            <w14:solidFill>
              <w14:schemeClr w14:val="tx1"/>
            </w14:solidFill>
          </w14:textFill>
        </w:rPr>
        <w:t>条规定进行编写、密封、标记和递交，并注明“修改投标文件”或“撤回投标文件”字样。否则采购人将按2</w:t>
      </w:r>
      <w:r>
        <w:rPr>
          <w:rFonts w:hint="eastAsia" w:hAnsi="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14:textFill>
            <w14:solidFill>
              <w14:schemeClr w14:val="tx1"/>
            </w14:solidFill>
          </w14:textFill>
        </w:rPr>
        <w:t>.3款的规定不予退还其全部投标保证金。</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.3截止时间之后，投标人不得对投标文件做任何修改。</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w:t>
      </w:r>
      <w:r>
        <w:rPr>
          <w:rFonts w:hint="eastAsia" w:hAnsi="宋体" w:cs="宋体"/>
          <w:color w:val="000000" w:themeColor="text1"/>
          <w:sz w:val="24"/>
          <w:szCs w:val="24"/>
          <w:highlight w:val="none"/>
          <w:lang w:val="en-US" w:eastAsia="zh-CN"/>
          <w14:textFill>
            <w14:solidFill>
              <w14:schemeClr w14:val="tx1"/>
            </w14:solidFill>
          </w14:textFill>
        </w:rPr>
        <w:t>9</w:t>
      </w:r>
      <w:r>
        <w:rPr>
          <w:rFonts w:hint="eastAsia" w:hAnsi="宋体" w:cs="宋体"/>
          <w:color w:val="000000" w:themeColor="text1"/>
          <w:sz w:val="24"/>
          <w:szCs w:val="24"/>
          <w:highlight w:val="none"/>
          <w14:textFill>
            <w14:solidFill>
              <w14:schemeClr w14:val="tx1"/>
            </w14:solidFill>
          </w14:textFill>
        </w:rPr>
        <w:t>.4 投标人不得在截止时间起至投标文件有效期期满前撤回投标文件。</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09" w:name="_Toc243907599"/>
      <w:bookmarkStart w:id="110" w:name="_Toc243906338"/>
      <w:bookmarkStart w:id="111" w:name="_Toc233274839"/>
      <w:bookmarkStart w:id="112" w:name="_Toc245897299"/>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、递交投标文件</w:t>
      </w:r>
      <w:bookmarkEnd w:id="109"/>
      <w:bookmarkEnd w:id="110"/>
      <w:bookmarkEnd w:id="111"/>
      <w:bookmarkEnd w:id="112"/>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.1投标人应按本投标人须知前附表第</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项规定的时间及地点递交投标文件。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.2有下列情形之一的，采购人不予接收其投标文件：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.2.1投标人在递交投标文件截止时间后送达或未送达到指定地点的投标文件；</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cs="宋体"/>
          <w:color w:val="000000" w:themeColor="text1"/>
          <w:sz w:val="24"/>
          <w:highlight w:val="none"/>
          <w14:textFill>
            <w14:solidFill>
              <w14:schemeClr w14:val="tx1"/>
            </w14:solidFill>
          </w14:textFill>
        </w:rPr>
        <w:t>.2.2 投标文件未按招标文件要求密封的。</w:t>
      </w:r>
    </w:p>
    <w:p>
      <w:pPr>
        <w:spacing w:line="360" w:lineRule="auto"/>
        <w:ind w:firstLine="482" w:firstLineChars="200"/>
        <w:jc w:val="center"/>
        <w:outlineLvl w:val="1"/>
        <w:rPr>
          <w:rFonts w:ascii="宋体" w:hAnsi="宋体" w:cs="宋体"/>
          <w:b/>
          <w:bCs/>
          <w:color w:val="000000" w:themeColor="text1"/>
          <w:sz w:val="24"/>
          <w:highlight w:val="none"/>
          <w14:textFill>
            <w14:solidFill>
              <w14:schemeClr w14:val="tx1"/>
            </w14:solidFill>
          </w14:textFill>
        </w:rPr>
      </w:pPr>
      <w:bookmarkStart w:id="113" w:name="_Toc243906339"/>
      <w:bookmarkStart w:id="114" w:name="_Toc246216209"/>
      <w:bookmarkStart w:id="115" w:name="_Toc243907600"/>
      <w:bookmarkStart w:id="116" w:name="_Toc233274840"/>
    </w:p>
    <w:p>
      <w:pPr>
        <w:spacing w:line="360" w:lineRule="auto"/>
        <w:ind w:firstLine="482" w:firstLineChars="200"/>
        <w:jc w:val="center"/>
        <w:outlineLvl w:val="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E  开标、评标、</w:t>
      </w:r>
      <w:bookmarkEnd w:id="113"/>
      <w:bookmarkEnd w:id="114"/>
      <w:bookmarkEnd w:id="115"/>
      <w:bookmarkEnd w:id="116"/>
      <w:r>
        <w:rPr>
          <w:rFonts w:hint="eastAsia" w:ascii="宋体" w:hAnsi="宋体" w:cs="宋体"/>
          <w:b/>
          <w:bCs/>
          <w:color w:val="000000" w:themeColor="text1"/>
          <w:sz w:val="24"/>
          <w:highlight w:val="none"/>
          <w14:textFill>
            <w14:solidFill>
              <w14:schemeClr w14:val="tx1"/>
            </w14:solidFill>
          </w14:textFill>
        </w:rPr>
        <w:t>确定</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w:t>
      </w:r>
    </w:p>
    <w:p>
      <w:pPr>
        <w:pStyle w:val="33"/>
        <w:bidi w:val="0"/>
      </w:pP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17" w:name="_Toc243906340"/>
      <w:bookmarkStart w:id="118" w:name="_Toc233274841"/>
      <w:bookmarkStart w:id="119" w:name="_Toc243907601"/>
      <w:bookmarkStart w:id="120" w:name="_Toc245897301"/>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w:t>
      </w:r>
      <w:bookmarkEnd w:id="117"/>
      <w:bookmarkEnd w:id="118"/>
      <w:bookmarkEnd w:id="119"/>
      <w:bookmarkEnd w:id="120"/>
      <w:r>
        <w:rPr>
          <w:rFonts w:hint="eastAsia" w:ascii="宋体" w:hAnsi="宋体" w:cs="宋体"/>
          <w:color w:val="000000" w:themeColor="text1"/>
          <w:sz w:val="24"/>
          <w:highlight w:val="none"/>
          <w14:textFill>
            <w14:solidFill>
              <w14:schemeClr w14:val="tx1"/>
            </w14:solidFill>
          </w14:textFill>
        </w:rPr>
        <w:t>开标会议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.1采购人在本投标人须知前附表第</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项规定的时间和地点组织开标会议。</w:t>
      </w:r>
    </w:p>
    <w:p>
      <w:pPr>
        <w:spacing w:line="360" w:lineRule="auto"/>
        <w:ind w:firstLine="480"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.2各投标人法定代表人或其授权代表应准时参加，开标时</w:t>
      </w:r>
      <w:r>
        <w:rPr>
          <w:rFonts w:hint="eastAsia" w:ascii="宋体" w:hAnsi="宋体" w:cs="宋体"/>
          <w:b/>
          <w:color w:val="000000" w:themeColor="text1"/>
          <w:sz w:val="24"/>
          <w:highlight w:val="none"/>
          <w14:textFill>
            <w14:solidFill>
              <w14:schemeClr w14:val="tx1"/>
            </w14:solidFill>
          </w14:textFill>
        </w:rPr>
        <w:t>参加会议的代表应持有投标人法定代表人授权委托书及委托代理人身份证原件</w:t>
      </w:r>
      <w:r>
        <w:rPr>
          <w:rFonts w:hint="eastAsia" w:ascii="宋体" w:hAnsi="宋体" w:cs="宋体"/>
          <w:color w:val="000000" w:themeColor="text1"/>
          <w:sz w:val="24"/>
          <w:highlight w:val="none"/>
          <w14:textFill>
            <w14:solidFill>
              <w14:schemeClr w14:val="tx1"/>
            </w14:solidFill>
          </w14:textFill>
        </w:rPr>
        <w:t>。投标文件中按要求提供法定代表人授权书。招标代理机构将核验出席开标活动现场的各投标人法定代表人或其授权代表及相关单位人员身份，并组织其分别登记、签到，无关人员不得进入现场。投标人如不派代表参加开标会议的，事后不得对采购相关人员、开标过程和开标结果提出异议</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招标代理机构接收投标文件并予以登记，各投标人法定代表人或其授权代表对投标文件的递交情况进行签字确认。</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.4开标会议由招标代理机构组织并主持。开标时，应当由投标人或者其推选的代表检查投标文件的密封情况，也可以由</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委托的公证机构检查并公证；经确认无误后，由招标代理机构工作人员当众拆封，按投标人提交投标文件的登记顺序当众拆封、清点投标文件（包括正本、副本）数量，各投标人法定代表人或其授权代表等候招标代理机构拆封商务文件，由招标代理机构工作人员宣读投标人名称、投标价格和招标文件规定的需要宣布的其他内容。</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5开标结束后，采购人、招标代理机构应当依法对投标人的资格进行审查。投标人未按照招标文件要求提供其相应的有效资格证明材料的，视为投标人不具备招标文件中规定的资格要求，其投标无效，不得进入评标程序。</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21" w:name="_Toc245897302"/>
      <w:bookmarkStart w:id="122" w:name="_Toc243907602"/>
      <w:bookmarkStart w:id="123" w:name="_Toc233274842"/>
      <w:bookmarkStart w:id="124" w:name="_Toc243906341"/>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、评标委员会</w:t>
      </w:r>
      <w:bookmarkEnd w:id="121"/>
      <w:bookmarkEnd w:id="122"/>
      <w:bookmarkEnd w:id="123"/>
      <w:bookmarkEnd w:id="124"/>
    </w:p>
    <w:p>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1评标委员会成员组成：按照《中华人民共和国政府采购法》、《中华人民共和国政府采购法实施条例》、《政府采购货物和服务招标投标管理办法》及相关法律、法规规定组建，由采购人代表和评审专家组成。评标委员会将负责对投标人提交的投标文件进行公开、评审，确保公开、评审过程公正、合法、保密，并向采购人推荐</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w:t>
      </w:r>
    </w:p>
    <w:p>
      <w:pPr>
        <w:spacing w:line="360" w:lineRule="auto"/>
        <w:ind w:firstLine="482" w:firstLineChars="200"/>
        <w:outlineLvl w:val="1"/>
        <w:rPr>
          <w:rFonts w:ascii="宋体" w:hAnsi="宋体" w:cs="宋体"/>
          <w:color w:val="000000" w:themeColor="text1"/>
          <w:sz w:val="24"/>
          <w:highlight w:val="none"/>
          <w14:textFill>
            <w14:solidFill>
              <w14:schemeClr w14:val="tx1"/>
            </w14:solidFill>
          </w14:textFill>
        </w:rPr>
      </w:pPr>
      <w:bookmarkStart w:id="125" w:name="_Toc245897306"/>
      <w:bookmarkStart w:id="126" w:name="_Toc233274845"/>
      <w:bookmarkStart w:id="127" w:name="_Toc243907607"/>
      <w:bookmarkStart w:id="128" w:name="_Toc243906346"/>
      <w:bookmarkStart w:id="129" w:name="_Toc243907605"/>
      <w:bookmarkStart w:id="130" w:name="_Toc243906344"/>
      <w:bookmarkStart w:id="131" w:name="_Toc245897304"/>
      <w:bookmarkStart w:id="132" w:name="_Toc233274843"/>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、重大偏离</w:t>
      </w:r>
      <w:bookmarkEnd w:id="125"/>
      <w:bookmarkEnd w:id="126"/>
      <w:bookmarkEnd w:id="127"/>
      <w:bookmarkEnd w:id="128"/>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bookmarkStart w:id="133" w:name="_Toc245897307"/>
      <w:bookmarkStart w:id="134" w:name="_Toc233274846"/>
      <w:bookmarkStart w:id="135" w:name="_Toc243907608"/>
      <w:bookmarkStart w:id="136" w:name="_Toc243906347"/>
      <w:r>
        <w:rPr>
          <w:rFonts w:hint="eastAsia" w:ascii="宋体" w:hAnsi="宋体" w:cs="宋体"/>
          <w:b/>
          <w:color w:val="000000" w:themeColor="text1"/>
          <w:sz w:val="24"/>
          <w:highlight w:val="none"/>
          <w14:textFill>
            <w14:solidFill>
              <w14:schemeClr w14:val="tx1"/>
            </w14:solidFill>
          </w14:textFill>
        </w:rPr>
        <w:t>重大偏离是指实质上影响合同的招标范围、质量和性能、</w:t>
      </w:r>
      <w:r>
        <w:rPr>
          <w:rFonts w:hint="eastAsia" w:ascii="宋体" w:hAnsi="宋体" w:cs="宋体"/>
          <w:b/>
          <w:color w:val="000000" w:themeColor="text1"/>
          <w:sz w:val="24"/>
          <w:highlight w:val="none"/>
          <w:lang w:eastAsia="zh-CN"/>
          <w14:textFill>
            <w14:solidFill>
              <w14:schemeClr w14:val="tx1"/>
            </w14:solidFill>
          </w14:textFill>
        </w:rPr>
        <w:t>工期</w:t>
      </w:r>
      <w:r>
        <w:rPr>
          <w:rFonts w:hint="eastAsia" w:ascii="宋体" w:hAnsi="宋体" w:cs="宋体"/>
          <w:b/>
          <w:color w:val="000000" w:themeColor="text1"/>
          <w:sz w:val="24"/>
          <w:highlight w:val="none"/>
          <w14:textFill>
            <w14:solidFill>
              <w14:schemeClr w14:val="tx1"/>
            </w14:solidFill>
          </w14:textFill>
        </w:rPr>
        <w:t>等，或者实质上不满足招标文件的要求，而且限制了采购人的权力或减轻了投标人的义务。纠正或承认这些偏离将会对其他实质上投标要求的投标人合理的竞争地位产生不公正的影响。</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bookmarkEnd w:id="133"/>
      <w:bookmarkEnd w:id="134"/>
      <w:bookmarkEnd w:id="135"/>
      <w:bookmarkEnd w:id="136"/>
      <w:r>
        <w:rPr>
          <w:rFonts w:hint="eastAsia" w:ascii="宋体" w:hAnsi="宋体" w:cs="宋体"/>
          <w:b/>
          <w:color w:val="000000" w:themeColor="text1"/>
          <w:sz w:val="24"/>
          <w:highlight w:val="none"/>
          <w14:textFill>
            <w14:solidFill>
              <w14:schemeClr w14:val="tx1"/>
            </w14:solidFill>
          </w14:textFill>
        </w:rPr>
        <w:t>废标</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在招标采购中，出现下列情形之一的，应予废标：</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34.1</w:t>
      </w:r>
      <w:r>
        <w:rPr>
          <w:rFonts w:hint="eastAsia" w:ascii="宋体" w:hAnsi="宋体" w:cs="宋体"/>
          <w:b/>
          <w:color w:val="000000" w:themeColor="text1"/>
          <w:sz w:val="24"/>
          <w:highlight w:val="none"/>
          <w14:textFill>
            <w14:solidFill>
              <w14:schemeClr w14:val="tx1"/>
            </w14:solidFill>
          </w14:textFill>
        </w:rPr>
        <w:t>投标文件无法定代表人或其委托代理人签字或盖章和加盖投标人公章的；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34.2</w:t>
      </w:r>
      <w:r>
        <w:rPr>
          <w:rFonts w:hint="eastAsia" w:ascii="宋体" w:hAnsi="宋体" w:cs="宋体"/>
          <w:b/>
          <w:color w:val="000000" w:themeColor="text1"/>
          <w:sz w:val="24"/>
          <w:highlight w:val="none"/>
          <w14:textFill>
            <w14:solidFill>
              <w14:schemeClr w14:val="tx1"/>
            </w14:solidFill>
          </w14:textFill>
        </w:rPr>
        <w:t>投标文件《</w:t>
      </w:r>
      <w:r>
        <w:rPr>
          <w:rFonts w:hint="eastAsia" w:ascii="宋体" w:hAnsi="宋体" w:cs="宋体"/>
          <w:b/>
          <w:color w:val="000000" w:themeColor="text1"/>
          <w:sz w:val="24"/>
          <w:highlight w:val="none"/>
          <w:lang w:eastAsia="zh-CN"/>
          <w14:textFill>
            <w14:solidFill>
              <w14:schemeClr w14:val="tx1"/>
            </w14:solidFill>
          </w14:textFill>
        </w:rPr>
        <w:t>格式</w:t>
      </w:r>
      <w:r>
        <w:rPr>
          <w:rFonts w:hint="eastAsia" w:ascii="宋体" w:hAnsi="宋体" w:cs="宋体"/>
          <w:b/>
          <w:color w:val="000000" w:themeColor="text1"/>
          <w:sz w:val="24"/>
          <w:highlight w:val="none"/>
          <w:lang w:val="en-US" w:eastAsia="zh-CN"/>
          <w14:textFill>
            <w14:solidFill>
              <w14:schemeClr w14:val="tx1"/>
            </w14:solidFill>
          </w14:textFill>
        </w:rPr>
        <w:t xml:space="preserve">12  </w:t>
      </w:r>
      <w:r>
        <w:rPr>
          <w:rFonts w:hint="eastAsia" w:ascii="宋体" w:hAnsi="宋体" w:cs="宋体"/>
          <w:b/>
          <w:color w:val="000000" w:themeColor="text1"/>
          <w:sz w:val="24"/>
          <w:highlight w:val="none"/>
          <w14:textFill>
            <w14:solidFill>
              <w14:schemeClr w14:val="tx1"/>
            </w14:solidFill>
          </w14:textFill>
        </w:rPr>
        <w:t>投标总价》未加盖投标人公章及造价人员执业章且签字的；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34.3</w:t>
      </w:r>
      <w:r>
        <w:rPr>
          <w:rFonts w:hint="eastAsia" w:ascii="宋体" w:hAnsi="宋体" w:cs="宋体"/>
          <w:b/>
          <w:color w:val="000000" w:themeColor="text1"/>
          <w:sz w:val="24"/>
          <w:highlight w:val="none"/>
          <w14:textFill>
            <w14:solidFill>
              <w14:schemeClr w14:val="tx1"/>
            </w14:solidFill>
          </w14:textFill>
        </w:rPr>
        <w:t>投标人的投标总价、投标报价高于公布的招标控制价总价、招标控制价报价的；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34.4</w:t>
      </w:r>
      <w:r>
        <w:rPr>
          <w:rFonts w:hint="eastAsia" w:ascii="宋体" w:hAnsi="宋体" w:cs="宋体"/>
          <w:b/>
          <w:color w:val="000000" w:themeColor="text1"/>
          <w:sz w:val="24"/>
          <w:highlight w:val="none"/>
          <w14:textFill>
            <w14:solidFill>
              <w14:schemeClr w14:val="tx1"/>
            </w14:solidFill>
          </w14:textFill>
        </w:rPr>
        <w:t>材料、设备价格明显高于市场价格的；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34.5</w:t>
      </w:r>
      <w:r>
        <w:rPr>
          <w:rFonts w:hint="eastAsia" w:ascii="宋体" w:hAnsi="宋体" w:cs="宋体"/>
          <w:b/>
          <w:color w:val="000000" w:themeColor="text1"/>
          <w:sz w:val="24"/>
          <w:highlight w:val="none"/>
          <w14:textFill>
            <w14:solidFill>
              <w14:schemeClr w14:val="tx1"/>
            </w14:solidFill>
          </w14:textFill>
        </w:rPr>
        <w:t>工程排污费、社会保险费（养老保险费、失业保险费、医疗保险费、工伤保险费、生育保险费）、住房公积金，以及将安全文明施工费列入可竞争性费用的；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34.6修改招标文件提供的工程量清单中的计量单位、工程量的；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34.7未严格按照招标文件规定的格式填写，内容不全或关键字迹模糊、无法辨认的；</w:t>
      </w:r>
    </w:p>
    <w:p>
      <w:pPr>
        <w:spacing w:line="360" w:lineRule="auto"/>
        <w:ind w:firstLine="482" w:firstLineChars="200"/>
        <w:rPr>
          <w:rFonts w:hint="eastAsia" w:ascii="宋体" w:hAnsi="宋体" w:cs="宋体"/>
          <w:b/>
          <w:color w:val="000000" w:themeColor="text1"/>
          <w:sz w:val="24"/>
          <w:highlight w:val="none"/>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34.8不满足招标文件实质性要求的其他情形；</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符合专业条件的投标人或者对招标文件作实质响应的投标人不足三家的；</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10</w:t>
      </w:r>
      <w:r>
        <w:rPr>
          <w:rFonts w:hint="eastAsia" w:ascii="宋体" w:hAnsi="宋体" w:cs="宋体"/>
          <w:b/>
          <w:color w:val="000000" w:themeColor="text1"/>
          <w:sz w:val="24"/>
          <w:highlight w:val="none"/>
          <w14:textFill>
            <w14:solidFill>
              <w14:schemeClr w14:val="tx1"/>
            </w14:solidFill>
          </w14:textFill>
        </w:rPr>
        <w:t>出现影响采购公正的违法、违规行为的；</w:t>
      </w:r>
    </w:p>
    <w:p>
      <w:pPr>
        <w:pageBreakBefore w:val="0"/>
        <w:kinsoku/>
        <w:topLinePunct w:val="0"/>
        <w:bidi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11</w:t>
      </w:r>
      <w:r>
        <w:rPr>
          <w:rFonts w:hint="eastAsia" w:ascii="宋体" w:hAnsi="宋体" w:eastAsia="宋体" w:cs="宋体"/>
          <w:b/>
          <w:color w:val="000000" w:themeColor="text1"/>
          <w:sz w:val="24"/>
          <w:szCs w:val="24"/>
          <w:highlight w:val="none"/>
          <w14:textFill>
            <w14:solidFill>
              <w14:schemeClr w14:val="tx1"/>
            </w14:solidFill>
          </w14:textFill>
        </w:rPr>
        <w:t>投标人的报价均超过了采购预算，采购人不能支付的</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12</w:t>
      </w:r>
      <w:r>
        <w:rPr>
          <w:rFonts w:hint="eastAsia" w:ascii="宋体" w:hAnsi="宋体" w:cs="宋体"/>
          <w:b/>
          <w:color w:val="000000" w:themeColor="text1"/>
          <w:sz w:val="24"/>
          <w:highlight w:val="none"/>
          <w14:textFill>
            <w14:solidFill>
              <w14:schemeClr w14:val="tx1"/>
            </w14:solidFill>
          </w14:textFill>
        </w:rPr>
        <w:t>因重大变故，采购任务取消的；</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13</w:t>
      </w:r>
      <w:r>
        <w:rPr>
          <w:rFonts w:hint="eastAsia" w:ascii="宋体" w:hAnsi="宋体" w:cs="宋体"/>
          <w:b/>
          <w:color w:val="000000" w:themeColor="text1"/>
          <w:sz w:val="24"/>
          <w:highlight w:val="none"/>
          <w14:textFill>
            <w14:solidFill>
              <w14:schemeClr w14:val="tx1"/>
            </w14:solidFill>
          </w14:textFill>
        </w:rPr>
        <w:t>《中华人民共和国政府采购法》及相关法律法规及招标文件明确规定废标的其他情形。</w:t>
      </w:r>
      <w:bookmarkStart w:id="137" w:name="_Toc243907609"/>
      <w:bookmarkStart w:id="138" w:name="_Toc233274847"/>
      <w:bookmarkStart w:id="139" w:name="_Toc245897308"/>
      <w:bookmarkStart w:id="140" w:name="_Toc243906348"/>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、投标人串通投标</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有下列情形之一的，视为投标人串通投标，其投标无效：</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.1不同投标人的投标文件由同一单位或者个人编制；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.2不同投标人委托同一单位或者个人办理投标事宜；</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.3不同投标人的投标文件载明的项目管理成员或者联系人员为同一人；</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.4不同投标人的投标文件异常一致或者投标报价呈规律性差异；</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.5不同投标人的投标文件相互混装；</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.6不同投标人的投标保证金从同一单位或者个人的账户转出。</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、投标无效：投标人存在下列情况之一的，其投标无效:</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.1投标文件未按招标文件要求签署、盖章的；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不具备招标文件中规定的资格要求的；</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报价超过招标文件中规定的预算金额或者最高限价的；</w:t>
      </w:r>
    </w:p>
    <w:p>
      <w:pPr>
        <w:spacing w:line="360" w:lineRule="auto"/>
        <w:ind w:firstLine="482" w:firstLineChars="200"/>
        <w:outlineLvl w:val="1"/>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4</w:t>
      </w:r>
      <w:r>
        <w:rPr>
          <w:rFonts w:hint="eastAsia" w:ascii="宋体" w:hAnsi="宋体" w:cs="宋体"/>
          <w:b/>
          <w:color w:val="000000" w:themeColor="text1"/>
          <w:sz w:val="24"/>
          <w:highlight w:val="none"/>
          <w14:textFill>
            <w14:solidFill>
              <w14:schemeClr w14:val="tx1"/>
            </w14:solidFill>
          </w14:textFill>
        </w:rPr>
        <w:t>投标文件含有采购人不能接受的附加条件的</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6</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5</w:t>
      </w:r>
      <w:r>
        <w:rPr>
          <w:rFonts w:hint="eastAsia" w:ascii="宋体" w:hAnsi="宋体" w:cs="宋体"/>
          <w:b/>
          <w:color w:val="000000" w:themeColor="text1"/>
          <w:sz w:val="24"/>
          <w:highlight w:val="none"/>
          <w14:textFill>
            <w14:solidFill>
              <w14:schemeClr w14:val="tx1"/>
            </w14:solidFill>
          </w14:textFill>
        </w:rPr>
        <w:t>《中华人民共和国政府采购法》、《中华人民共和国政府采购法实施条例》、《政府采购货物和服务招标投标管理办法》及相关法律法规及招标文件明确规定可以作无效投标文件的其他情形。</w:t>
      </w:r>
    </w:p>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bookmarkEnd w:id="137"/>
      <w:bookmarkEnd w:id="138"/>
      <w:bookmarkEnd w:id="139"/>
      <w:bookmarkEnd w:id="140"/>
      <w:r>
        <w:rPr>
          <w:rFonts w:hint="eastAsia" w:ascii="宋体" w:hAnsi="宋体" w:cs="宋体"/>
          <w:b/>
          <w:color w:val="000000" w:themeColor="text1"/>
          <w:sz w:val="24"/>
          <w:highlight w:val="none"/>
          <w14:textFill>
            <w14:solidFill>
              <w14:schemeClr w14:val="tx1"/>
            </w14:solidFill>
          </w14:textFill>
        </w:rPr>
        <w:t>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1按照《财政部关于在政府采购活动中查询及使用信用记录有关问题的通知》（财库〔2016〕125号）的要求，根据开标当日“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bookmarkEnd w:id="129"/>
    <w:bookmarkEnd w:id="130"/>
    <w:bookmarkEnd w:id="131"/>
    <w:bookmarkEnd w:id="132"/>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.2本项目评审采用综合评分法，并严格按照招标文件的要求和条件进行。</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投标文件符合性审查：由评标委员会评委对符合资格的各投标人投标文件进行符合性审查。符合性审查是从投标文件的有效性、完整性和对招标文件的响应程度进行审查。未通过符合性审查的投标人其投标文件将按照无效投标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.2.1.1澄清有关问题。对投标文件中含义不明确、同类问题表述不一致或者有明显文</w:t>
      </w:r>
      <w:r>
        <w:rPr>
          <w:rFonts w:hint="eastAsia" w:ascii="宋体" w:hAnsi="宋体" w:eastAsia="宋体" w:cs="宋体"/>
          <w:b/>
          <w:color w:val="000000" w:themeColor="text1"/>
          <w:sz w:val="24"/>
          <w:highlight w:val="none"/>
          <w14:textFill>
            <w14:solidFill>
              <w14:schemeClr w14:val="tx1"/>
            </w14:solidFill>
          </w14:textFill>
        </w:rPr>
        <w:t>字和计算错误的内容，评标委员会可以书面形式要求投标人作出必要的澄清、说明或者纠正。</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.2.1.2比较与评价。评标委员会应当按照招标文件中规定的评标方法和标准，对符合性审查合格的投标文件进行商务和技术评估，综合比较与评价。</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eastAsia="宋体" w:cs="宋体"/>
          <w:b/>
          <w:color w:val="000000" w:themeColor="text1"/>
          <w:sz w:val="24"/>
          <w:highlight w:val="none"/>
          <w14:textFill>
            <w14:solidFill>
              <w14:schemeClr w14:val="tx1"/>
            </w14:solidFill>
          </w14:textFill>
        </w:rPr>
        <w:t>.3综合评分法是指投标文件满足招标文件全部实质性要求，且按照评审因素的量化指标评审得分最高的投标人为中标候选人的评标方法。</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.4评标分值：总分值为</w:t>
      </w:r>
      <w:r>
        <w:rPr>
          <w:rFonts w:hint="eastAsia" w:ascii="宋体" w:hAnsi="宋体" w:cs="宋体"/>
          <w:b/>
          <w:color w:val="000000" w:themeColor="text1"/>
          <w:sz w:val="24"/>
          <w:highlight w:val="none"/>
          <w:lang w:val="en-US" w:eastAsia="zh-CN"/>
          <w14:textFill>
            <w14:solidFill>
              <w14:schemeClr w14:val="tx1"/>
            </w14:solidFill>
          </w14:textFill>
        </w:rPr>
        <w:t>100</w:t>
      </w:r>
      <w:r>
        <w:rPr>
          <w:rFonts w:hint="eastAsia" w:ascii="宋体" w:hAnsi="宋体" w:cs="宋体"/>
          <w:b/>
          <w:color w:val="000000" w:themeColor="text1"/>
          <w:sz w:val="24"/>
          <w:highlight w:val="none"/>
          <w14:textFill>
            <w14:solidFill>
              <w14:schemeClr w14:val="tx1"/>
            </w14:solidFill>
          </w14:textFill>
        </w:rPr>
        <w:t>分，其中商务报价价格分值为</w:t>
      </w:r>
      <w:r>
        <w:rPr>
          <w:rFonts w:hint="eastAsia" w:ascii="宋体" w:hAnsi="宋体" w:cs="宋体"/>
          <w:b/>
          <w:color w:val="000000" w:themeColor="text1"/>
          <w:sz w:val="24"/>
          <w:highlight w:val="none"/>
          <w:lang w:val="en-US" w:eastAsia="zh-CN"/>
          <w14:textFill>
            <w14:solidFill>
              <w14:schemeClr w14:val="tx1"/>
            </w14:solidFill>
          </w14:textFill>
        </w:rPr>
        <w:t>30</w:t>
      </w:r>
      <w:r>
        <w:rPr>
          <w:rFonts w:hint="eastAsia" w:ascii="宋体" w:hAnsi="宋体" w:cs="宋体"/>
          <w:b/>
          <w:color w:val="000000" w:themeColor="text1"/>
          <w:sz w:val="24"/>
          <w:highlight w:val="none"/>
          <w14:textFill>
            <w14:solidFill>
              <w14:schemeClr w14:val="tx1"/>
            </w14:solidFill>
          </w14:textFill>
        </w:rPr>
        <w:t>分，其余部分分值为</w:t>
      </w:r>
      <w:r>
        <w:rPr>
          <w:rFonts w:hint="eastAsia" w:ascii="宋体" w:hAnsi="宋体" w:cs="宋体"/>
          <w:b/>
          <w:color w:val="000000" w:themeColor="text1"/>
          <w:sz w:val="24"/>
          <w:highlight w:val="none"/>
          <w:lang w:val="en-US" w:eastAsia="zh-CN"/>
          <w14:textFill>
            <w14:solidFill>
              <w14:schemeClr w14:val="tx1"/>
            </w14:solidFill>
          </w14:textFill>
        </w:rPr>
        <w:t>70</w:t>
      </w:r>
      <w:r>
        <w:rPr>
          <w:rFonts w:hint="eastAsia" w:ascii="宋体" w:hAnsi="宋体" w:cs="宋体"/>
          <w:b/>
          <w:color w:val="000000" w:themeColor="text1"/>
          <w:sz w:val="24"/>
          <w:highlight w:val="none"/>
          <w14:textFill>
            <w14:solidFill>
              <w14:schemeClr w14:val="tx1"/>
            </w14:solidFill>
          </w14:textFill>
        </w:rPr>
        <w:t>分，具体评标方法详本招标文件第</w:t>
      </w:r>
      <w:r>
        <w:rPr>
          <w:rFonts w:hint="eastAsia" w:ascii="宋体" w:hAnsi="宋体" w:cs="宋体"/>
          <w:b/>
          <w:color w:val="000000" w:themeColor="text1"/>
          <w:sz w:val="24"/>
          <w:highlight w:val="none"/>
          <w:lang w:val="en-US" w:eastAsia="zh-CN"/>
          <w14:textFill>
            <w14:solidFill>
              <w14:schemeClr w14:val="tx1"/>
            </w14:solidFill>
          </w14:textFill>
        </w:rPr>
        <w:t>七</w:t>
      </w:r>
      <w:r>
        <w:rPr>
          <w:rFonts w:hint="eastAsia" w:ascii="宋体" w:hAnsi="宋体" w:cs="宋体"/>
          <w:b/>
          <w:color w:val="000000" w:themeColor="text1"/>
          <w:sz w:val="24"/>
          <w:highlight w:val="none"/>
          <w14:textFill>
            <w14:solidFill>
              <w14:schemeClr w14:val="tx1"/>
            </w14:solidFill>
          </w14:textFill>
        </w:rPr>
        <w:t>章“评标方法（综合评分法）”。</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.5商务报价错误的修正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.5.1如果发现商务报价存在计算或表达上错误，则按下列原则进行修正：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（1）开标时，投标文件中开标一览表(报价表)内容与投标文件中相应内容不一致的，以开标一览表(报价表)为准。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41" w:name="_Toc224622928"/>
      <w:bookmarkStart w:id="142" w:name="_Toc243907606"/>
      <w:bookmarkStart w:id="143" w:name="_Toc224623663"/>
      <w:bookmarkStart w:id="144" w:name="_Toc224624488"/>
      <w:bookmarkStart w:id="145" w:name="_Toc243906345"/>
      <w:bookmarkStart w:id="146" w:name="_Toc224623557"/>
      <w:bookmarkStart w:id="147" w:name="_Toc224624628"/>
      <w:bookmarkStart w:id="148" w:name="_Toc224624767"/>
      <w:bookmarkStart w:id="149" w:name="_Toc224620150"/>
      <w:bookmarkStart w:id="150" w:name="_Toc224620071"/>
      <w:bookmarkStart w:id="151" w:name="_Toc245897305"/>
      <w:bookmarkStart w:id="152" w:name="_Toc224623451"/>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总价金额与按单价汇总金额不一致的，以单价金额计算结果为准；单价金额小数点或者百分比有明显错位的，以开标一览表的总价为准，并修改单价；对不同文字文本投标文件的解释发生异议的，以中文文本为准。</w:t>
      </w:r>
    </w:p>
    <w:p>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.5.2同时出现两种以上不一致的，按照前款规定的顺序修正。修正后的报价按照财政部公布第87号令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bookmarkEnd w:id="141"/>
    <w:bookmarkEnd w:id="142"/>
    <w:bookmarkEnd w:id="143"/>
    <w:bookmarkEnd w:id="144"/>
    <w:bookmarkEnd w:id="145"/>
    <w:bookmarkEnd w:id="146"/>
    <w:bookmarkEnd w:id="147"/>
    <w:bookmarkEnd w:id="148"/>
    <w:bookmarkEnd w:id="149"/>
    <w:bookmarkEnd w:id="150"/>
    <w:bookmarkEnd w:id="151"/>
    <w:bookmarkEnd w:id="152"/>
    <w:p>
      <w:pPr>
        <w:spacing w:line="360" w:lineRule="auto"/>
        <w:ind w:firstLine="482" w:firstLineChars="200"/>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bookmarkStart w:id="153" w:name="_Toc245897309"/>
      <w:bookmarkStart w:id="154" w:name="_Toc233274848"/>
      <w:bookmarkStart w:id="155" w:name="_Toc243907610"/>
      <w:bookmarkStart w:id="156" w:name="_Toc243906349"/>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、推荐中标候选人</w:t>
      </w:r>
    </w:p>
    <w:p>
      <w:pPr>
        <w:spacing w:line="360" w:lineRule="auto"/>
        <w:ind w:firstLine="482" w:firstLineChars="200"/>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.1投标人的综合得分由高至低排序，综合得分排列前3名的投标人被推荐为中标候选人。</w:t>
      </w:r>
      <w:r>
        <w:rPr>
          <w:rFonts w:hint="eastAsia" w:ascii="宋体" w:hAnsi="宋体" w:eastAsia="宋体" w:cs="宋体"/>
          <w:b/>
          <w:color w:val="000000" w:themeColor="text1"/>
          <w:sz w:val="24"/>
          <w:highlight w:val="none"/>
          <w14:textFill>
            <w14:solidFill>
              <w14:schemeClr w14:val="tx1"/>
            </w14:solidFill>
          </w14:textFill>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注：评分计算保留两位小数，第三位小数四舍五入。</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b/>
          <w:color w:val="000000" w:themeColor="text1"/>
          <w:sz w:val="24"/>
          <w:highlight w:val="none"/>
          <w:lang w:val="en-US" w:eastAsia="zh-CN"/>
          <w14:textFill>
            <w14:solidFill>
              <w14:schemeClr w14:val="tx1"/>
            </w14:solidFill>
          </w14:textFill>
        </w:rPr>
        <w:t>8</w:t>
      </w:r>
      <w:r>
        <w:rPr>
          <w:rFonts w:hint="eastAsia" w:ascii="宋体" w:hAnsi="宋体" w:eastAsia="宋体" w:cs="宋体"/>
          <w:b/>
          <w:color w:val="000000" w:themeColor="text1"/>
          <w:sz w:val="24"/>
          <w:highlight w:val="none"/>
          <w14:textFill>
            <w14:solidFill>
              <w14:schemeClr w14:val="tx1"/>
            </w14:solidFill>
          </w14:textFill>
        </w:rPr>
        <w:t>.2评标委员会评审专家复核。评标小组评分汇总结束后，评标小组应当进行评审复核，对拟推荐为中标候选人的、报价最低的、投标人资格审查未通过的、投标人投标文件作无效处理的重点复核。</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.3确定中标人</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.3.1招标代理机构应当在评标结束后2个工作日内将评标报告送采购人确认。</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3.2采购人应当在收到评标报告后5个工作日内，按照评标报告中推荐的中标候选人顺序确定中标人；也可以事先授权评标委员会直接确定中标人。中标候选人并列的，由采购人或者采购人委托评标委员会按照招标文件规定的方式确定中标人；招标文件未规定的，采取随机抽取的方式确定。</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3.3中标人因不可抗力或者自身原因不能履行政府采购合同的，采购人可以与排位在中标人之后第一位的中标候选人签订政府采购合同，以此类推。</w:t>
      </w:r>
    </w:p>
    <w:p>
      <w:pPr>
        <w:spacing w:line="360" w:lineRule="auto"/>
        <w:ind w:firstLine="482" w:firstLineChars="200"/>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3</w:t>
      </w:r>
      <w:r>
        <w:rPr>
          <w:rFonts w:hint="eastAsia" w:ascii="宋体" w:hAnsi="宋体" w:eastAsia="宋体" w:cs="宋体"/>
          <w:b/>
          <w:color w:val="000000" w:themeColor="text1"/>
          <w:sz w:val="24"/>
          <w:szCs w:val="20"/>
          <w:highlight w:val="none"/>
          <w:lang w:val="en-US" w:eastAsia="zh-CN"/>
          <w14:textFill>
            <w14:solidFill>
              <w14:schemeClr w14:val="tx1"/>
            </w14:solidFill>
          </w14:textFill>
        </w:rPr>
        <w:t>8</w:t>
      </w:r>
      <w:r>
        <w:rPr>
          <w:rFonts w:hint="eastAsia" w:ascii="宋体" w:hAnsi="宋体" w:eastAsia="宋体" w:cs="宋体"/>
          <w:b/>
          <w:color w:val="000000" w:themeColor="text1"/>
          <w:sz w:val="24"/>
          <w:szCs w:val="20"/>
          <w:highlight w:val="none"/>
          <w14:textFill>
            <w14:solidFill>
              <w14:schemeClr w14:val="tx1"/>
            </w14:solidFill>
          </w14:textFill>
        </w:rPr>
        <w:t>.</w:t>
      </w:r>
      <w:r>
        <w:rPr>
          <w:rFonts w:hint="eastAsia" w:ascii="宋体" w:hAnsi="宋体" w:eastAsia="宋体" w:cs="宋体"/>
          <w:b/>
          <w:color w:val="000000" w:themeColor="text1"/>
          <w:sz w:val="24"/>
          <w:szCs w:val="20"/>
          <w:highlight w:val="none"/>
          <w:lang w:val="en-US" w:eastAsia="zh-CN"/>
          <w14:textFill>
            <w14:solidFill>
              <w14:schemeClr w14:val="tx1"/>
            </w14:solidFill>
          </w14:textFill>
        </w:rPr>
        <w:t>3</w:t>
      </w:r>
      <w:r>
        <w:rPr>
          <w:rFonts w:hint="eastAsia" w:ascii="宋体" w:hAnsi="宋体" w:eastAsia="宋体" w:cs="宋体"/>
          <w:b/>
          <w:color w:val="000000" w:themeColor="text1"/>
          <w:sz w:val="24"/>
          <w:szCs w:val="20"/>
          <w:highlight w:val="none"/>
          <w14:textFill>
            <w14:solidFill>
              <w14:schemeClr w14:val="tx1"/>
            </w14:solidFill>
          </w14:textFill>
        </w:rPr>
        <w:t>.4在确定中标人前，招标采购单位不得与投标投标人就投标价格、投标方案等实质性内容进行谈判。</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3</w:t>
      </w:r>
      <w:r>
        <w:rPr>
          <w:rFonts w:hint="eastAsia" w:ascii="宋体" w:hAnsi="宋体" w:eastAsia="宋体" w:cs="宋体"/>
          <w:color w:val="000000" w:themeColor="text1"/>
          <w:sz w:val="24"/>
          <w:highlight w:val="none"/>
          <w:lang w:val="en-US" w:eastAsia="zh-CN"/>
          <w14:textFill>
            <w14:solidFill>
              <w14:schemeClr w14:val="tx1"/>
            </w14:solidFill>
          </w14:textFill>
        </w:rPr>
        <w:t>9</w:t>
      </w:r>
      <w:r>
        <w:rPr>
          <w:rFonts w:hint="eastAsia" w:ascii="宋体" w:hAnsi="宋体" w:eastAsia="宋体" w:cs="宋体"/>
          <w:color w:val="000000" w:themeColor="text1"/>
          <w:sz w:val="24"/>
          <w:highlight w:val="none"/>
          <w:lang w:eastAsia="zh-CN"/>
          <w14:textFill>
            <w14:solidFill>
              <w14:schemeClr w14:val="tx1"/>
            </w14:solidFill>
          </w14:textFill>
        </w:rPr>
        <w:t>、采购人依法接受和拒绝任一或所有投标人的权力</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采购人保留确定中标人之前的任何时候依法接受或拒绝任一或所有投标人的权力，对受影响的投标人不承担任何责任，也无义务向受影响的投标人解释采取这一行动的理由。</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w:t>
      </w:r>
      <w:bookmarkEnd w:id="153"/>
      <w:bookmarkEnd w:id="154"/>
      <w:bookmarkEnd w:id="155"/>
      <w:bookmarkEnd w:id="156"/>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.1采购人确定</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单位后，及时通知招标代理机构，招标代理机构将按程序公告</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结果，同时向</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单位发出</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通知书一经发出即发生法律效力。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通知书》将是合同的组成部分。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40</w:t>
      </w:r>
      <w:r>
        <w:rPr>
          <w:rFonts w:hint="eastAsia" w:ascii="宋体" w:hAnsi="宋体" w:eastAsia="宋体" w:cs="宋体"/>
          <w:color w:val="000000" w:themeColor="text1"/>
          <w:sz w:val="24"/>
          <w:highlight w:val="none"/>
          <w14:textFill>
            <w14:solidFill>
              <w14:schemeClr w14:val="tx1"/>
            </w14:solidFill>
          </w14:textFill>
        </w:rPr>
        <w:t>.3采购人将通知其他未</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的投标人。</w:t>
      </w:r>
    </w:p>
    <w:p>
      <w:pPr>
        <w:spacing w:line="360" w:lineRule="auto"/>
        <w:ind w:firstLine="480" w:firstLineChars="200"/>
        <w:outlineLvl w:val="1"/>
        <w:rPr>
          <w:rFonts w:hint="eastAsia" w:ascii="宋体" w:hAnsi="宋体" w:eastAsia="宋体" w:cs="宋体"/>
          <w:color w:val="000000" w:themeColor="text1"/>
          <w:sz w:val="24"/>
          <w:highlight w:val="none"/>
          <w14:textFill>
            <w14:solidFill>
              <w14:schemeClr w14:val="tx1"/>
            </w14:solidFill>
          </w14:textFill>
        </w:rPr>
      </w:pPr>
      <w:bookmarkStart w:id="157" w:name="_Toc245897310"/>
      <w:bookmarkStart w:id="158" w:name="_Toc233274849"/>
      <w:bookmarkStart w:id="159" w:name="_Toc243906350"/>
      <w:bookmarkStart w:id="160" w:name="_Toc243907611"/>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、纪律与保密事项</w:t>
      </w:r>
      <w:bookmarkEnd w:id="157"/>
      <w:bookmarkEnd w:id="158"/>
      <w:bookmarkEnd w:id="159"/>
      <w:bookmarkEnd w:id="160"/>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.1凡参与公开招标的有关人员均应自觉接受有关主管部门的监督，不得向他人透露可能影响公平竞争的有关公开的其他情况。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.2领取本招标文件及其它相关资料者，应对文件进行保密，不得用作本次公开以外的任何用途。由采购人向投标人提供的技术资料和所有其它资料，均视为保密资料，除非得到采购人的同意，不得向第三方透露。</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.3投标人不得与采购人串通公开，不得向采购人或者评标委员会成员行贿谋取</w:t>
      </w:r>
      <w:r>
        <w:rPr>
          <w:rFonts w:hint="eastAsia" w:ascii="宋体" w:hAnsi="宋体" w:eastAsia="宋体" w:cs="宋体"/>
          <w:color w:val="000000" w:themeColor="text1"/>
          <w:sz w:val="24"/>
          <w:highlight w:val="none"/>
          <w:lang w:eastAsia="zh-CN"/>
          <w14:textFill>
            <w14:solidFill>
              <w14:schemeClr w14:val="tx1"/>
            </w14:solidFill>
          </w14:textFill>
        </w:rPr>
        <w:t>中标</w:t>
      </w:r>
      <w:r>
        <w:rPr>
          <w:rFonts w:hint="eastAsia" w:ascii="宋体" w:hAnsi="宋体" w:eastAsia="宋体" w:cs="宋体"/>
          <w:color w:val="000000" w:themeColor="text1"/>
          <w:sz w:val="24"/>
          <w:highlight w:val="none"/>
          <w14:textFill>
            <w14:solidFill>
              <w14:schemeClr w14:val="tx1"/>
            </w14:solidFill>
          </w14:textFill>
        </w:rPr>
        <w:t>，不得以他人名义参与公开或者以其它任何方式弄虚作假骗取参与公开；投标人不得以任何方</w:t>
      </w:r>
      <w:r>
        <w:rPr>
          <w:rFonts w:hint="eastAsia" w:ascii="宋体" w:hAnsi="宋体" w:cs="宋体"/>
          <w:color w:val="000000" w:themeColor="text1"/>
          <w:sz w:val="24"/>
          <w:highlight w:val="none"/>
          <w14:textFill>
            <w14:solidFill>
              <w14:schemeClr w14:val="tx1"/>
            </w14:solidFill>
          </w14:textFill>
        </w:rPr>
        <w:t>式干扰、影响评标工作。如果投标人或者其他利害关系人通过捏造事实、伪造证明材料等方式提出质疑，干扰政府采购活动正常进行的，属于严重不良行为，采购人、招标代理机构将提请财政部门将其列入不良行为记录名单，并依法予以处罚。</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投标人不得在公开采购过程中互相串通、结盟、损害公开的公正性和竞争性，或以任何方式影响其他投标人参与正当公开。扰乱公开市场，破坏公平竞争原则。如投标人在公开招标过程中互相串通，一经查实，将取消公开招标资格。</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 公开之日起直至授予</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单位合同为止，凡属于对投标文件的审查、澄清、评价、比较有关的资料和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单位的推荐情况及与评审有关的其他任何情况均严格保密。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.6从公开之日起至授予合同期间，投标人试图向评标委员会、招标代理机构施加任何影响或对采购人的比较及授予合同的决定进行影响，都可能导致其投标文件被拒绝。</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.7除投标人被要求对投标文件进行澄清外，从公开之时起至授予合同期间，投标人不得就与其投标文件有关的事项主动与评标委员会、招标代理机构以及采购人联系。</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单位确定后，采购人不对未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单位就评审过程以及未能</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原因作出任何解释，未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单位不得向评标委员会或其他有关人员询问评审过程的情况和索取评审过程的资料。</w:t>
      </w:r>
    </w:p>
    <w:p>
      <w:pPr>
        <w:pStyle w:val="33"/>
        <w:bidi w:val="0"/>
      </w:pPr>
    </w:p>
    <w:p>
      <w:pPr>
        <w:pStyle w:val="33"/>
        <w:spacing w:line="360" w:lineRule="auto"/>
        <w:ind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F   授予合同</w:t>
      </w:r>
      <w:bookmarkStart w:id="161" w:name="_Toc243906355"/>
      <w:bookmarkStart w:id="162" w:name="_Toc233274853"/>
      <w:bookmarkStart w:id="163" w:name="_Toc243907618"/>
      <w:bookmarkStart w:id="164" w:name="_Toc245897315"/>
    </w:p>
    <w:bookmarkEnd w:id="161"/>
    <w:bookmarkEnd w:id="162"/>
    <w:bookmarkEnd w:id="163"/>
    <w:bookmarkEnd w:id="164"/>
    <w:p>
      <w:pPr>
        <w:pStyle w:val="33"/>
        <w:spacing w:line="360" w:lineRule="auto"/>
        <w:ind w:firstLine="480" w:firstLineChars="200"/>
        <w:outlineLvl w:val="1"/>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、授予合同标准</w:t>
      </w:r>
    </w:p>
    <w:p>
      <w:pPr>
        <w:pStyle w:val="33"/>
        <w:spacing w:line="360" w:lineRule="auto"/>
        <w:ind w:firstLine="480" w:firstLineChars="200"/>
        <w:rPr>
          <w:rFonts w:hAnsi="宋体" w:cs="宋体"/>
          <w:bCs/>
          <w:color w:val="000000" w:themeColor="text1"/>
          <w:sz w:val="24"/>
          <w:szCs w:val="24"/>
          <w:highlight w:val="none"/>
          <w14:textFill>
            <w14:solidFill>
              <w14:schemeClr w14:val="tx1"/>
            </w14:solidFill>
          </w14:textFill>
        </w:rPr>
      </w:pPr>
      <w:r>
        <w:rPr>
          <w:rFonts w:hint="eastAsia" w:hAnsi="宋体" w:cs="宋体"/>
          <w:bCs/>
          <w:color w:val="000000" w:themeColor="text1"/>
          <w:sz w:val="24"/>
          <w:szCs w:val="24"/>
          <w:highlight w:val="none"/>
          <w14:textFill>
            <w14:solidFill>
              <w14:schemeClr w14:val="tx1"/>
            </w14:solidFill>
          </w14:textFill>
        </w:rPr>
        <w:t>4</w:t>
      </w:r>
      <w:r>
        <w:rPr>
          <w:rFonts w:hint="eastAsia" w:hAnsi="宋体" w:cs="宋体"/>
          <w:bCs/>
          <w:color w:val="000000" w:themeColor="text1"/>
          <w:sz w:val="24"/>
          <w:szCs w:val="24"/>
          <w:highlight w:val="none"/>
          <w:lang w:val="en-US" w:eastAsia="zh-CN"/>
          <w14:textFill>
            <w14:solidFill>
              <w14:schemeClr w14:val="tx1"/>
            </w14:solidFill>
          </w14:textFill>
        </w:rPr>
        <w:t>2</w:t>
      </w:r>
      <w:r>
        <w:rPr>
          <w:rFonts w:hint="eastAsia" w:hAnsi="宋体" w:cs="宋体"/>
          <w:bCs/>
          <w:color w:val="000000" w:themeColor="text1"/>
          <w:sz w:val="24"/>
          <w:szCs w:val="24"/>
          <w:highlight w:val="none"/>
          <w14:textFill>
            <w14:solidFill>
              <w14:schemeClr w14:val="tx1"/>
            </w14:solidFill>
          </w14:textFill>
        </w:rPr>
        <w:t>.1本招标项目的采购合同将授予按本须知第3</w:t>
      </w:r>
      <w:r>
        <w:rPr>
          <w:rFonts w:hint="eastAsia" w:hAnsi="宋体" w:cs="宋体"/>
          <w:bCs/>
          <w:color w:val="000000" w:themeColor="text1"/>
          <w:sz w:val="24"/>
          <w:szCs w:val="24"/>
          <w:highlight w:val="none"/>
          <w:lang w:val="en-US" w:eastAsia="zh-CN"/>
          <w14:textFill>
            <w14:solidFill>
              <w14:schemeClr w14:val="tx1"/>
            </w14:solidFill>
          </w14:textFill>
        </w:rPr>
        <w:t>8</w:t>
      </w:r>
      <w:r>
        <w:rPr>
          <w:rFonts w:hint="eastAsia" w:hAnsi="宋体" w:cs="宋体"/>
          <w:bCs/>
          <w:color w:val="000000" w:themeColor="text1"/>
          <w:sz w:val="24"/>
          <w:szCs w:val="24"/>
          <w:highlight w:val="none"/>
          <w14:textFill>
            <w14:solidFill>
              <w14:schemeClr w14:val="tx1"/>
            </w14:solidFill>
          </w14:textFill>
        </w:rPr>
        <w:t>条所确定</w:t>
      </w:r>
      <w:r>
        <w:rPr>
          <w:rFonts w:hint="eastAsia" w:hAnsi="宋体" w:cs="宋体"/>
          <w:bCs/>
          <w:color w:val="000000" w:themeColor="text1"/>
          <w:sz w:val="24"/>
          <w:szCs w:val="24"/>
          <w:highlight w:val="none"/>
          <w:lang w:eastAsia="zh-CN"/>
          <w14:textFill>
            <w14:solidFill>
              <w14:schemeClr w14:val="tx1"/>
            </w14:solidFill>
          </w14:textFill>
        </w:rPr>
        <w:t>中标</w:t>
      </w:r>
      <w:r>
        <w:rPr>
          <w:rFonts w:hint="eastAsia" w:hAnsi="宋体" w:cs="宋体"/>
          <w:bCs/>
          <w:color w:val="000000" w:themeColor="text1"/>
          <w:sz w:val="24"/>
          <w:szCs w:val="24"/>
          <w:highlight w:val="none"/>
          <w14:textFill>
            <w14:solidFill>
              <w14:schemeClr w14:val="tx1"/>
            </w14:solidFill>
          </w14:textFill>
        </w:rPr>
        <w:t>单位。</w:t>
      </w:r>
    </w:p>
    <w:p>
      <w:pPr>
        <w:pStyle w:val="33"/>
        <w:spacing w:line="360" w:lineRule="auto"/>
        <w:ind w:firstLine="480" w:firstLineChars="200"/>
        <w:outlineLvl w:val="1"/>
        <w:rPr>
          <w:rFonts w:hAnsi="宋体" w:cs="宋体"/>
          <w:color w:val="000000" w:themeColor="text1"/>
          <w:sz w:val="24"/>
          <w:szCs w:val="24"/>
          <w:highlight w:val="none"/>
          <w14:textFill>
            <w14:solidFill>
              <w14:schemeClr w14:val="tx1"/>
            </w14:solidFill>
          </w14:textFill>
        </w:rPr>
      </w:pPr>
      <w:bookmarkStart w:id="165" w:name="_Toc245897317"/>
      <w:bookmarkStart w:id="166" w:name="_Toc233274855"/>
      <w:bookmarkStart w:id="167" w:name="_Toc243906357"/>
      <w:bookmarkStart w:id="168" w:name="_Toc243907620"/>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、签订合同</w:t>
      </w:r>
      <w:bookmarkEnd w:id="165"/>
      <w:bookmarkEnd w:id="166"/>
      <w:bookmarkEnd w:id="167"/>
      <w:bookmarkEnd w:id="168"/>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单位应当自</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通知书发出之日起三十日内，按照招标文件和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单位的投标文件订立书面合同。</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单位不得要求订立背离本投标文件合同条款等投标文件实质性内容的其他协议。</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 xml:space="preserve">.2 </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通知书、</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单位的投标文件及其技术规范及标准、项目采购需求、本招标文件（含修改文件或补充文件）及答疑纪要等，均为签订合同的依据。</w:t>
      </w:r>
    </w:p>
    <w:p>
      <w:pPr>
        <w:pStyle w:val="33"/>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.3采购人如不按本须知4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单位签订合同，或者采购人、</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单位签订背离合同实质性内容的协议，由监督管理部门责令其改正。</w:t>
      </w:r>
    </w:p>
    <w:p>
      <w:pPr>
        <w:pStyle w:val="33"/>
        <w:tabs>
          <w:tab w:val="left" w:pos="7770"/>
        </w:tabs>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.4</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单位如不按本须知4</w:t>
      </w:r>
      <w:r>
        <w:rPr>
          <w:rFonts w:hint="eastAsia" w:hAnsi="宋体" w:cs="宋体"/>
          <w:color w:val="000000" w:themeColor="text1"/>
          <w:sz w:val="24"/>
          <w:szCs w:val="24"/>
          <w:highlight w:val="none"/>
          <w:lang w:val="en-US" w:eastAsia="zh-CN"/>
          <w14:textFill>
            <w14:solidFill>
              <w14:schemeClr w14:val="tx1"/>
            </w14:solidFill>
          </w14:textFill>
        </w:rPr>
        <w:t>3</w:t>
      </w:r>
      <w:r>
        <w:rPr>
          <w:rFonts w:hint="eastAsia" w:hAnsi="宋体" w:cs="宋体"/>
          <w:color w:val="000000" w:themeColor="text1"/>
          <w:sz w:val="24"/>
          <w:szCs w:val="24"/>
          <w:highlight w:val="none"/>
          <w14:textFill>
            <w14:solidFill>
              <w14:schemeClr w14:val="tx1"/>
            </w14:solidFill>
          </w14:textFill>
        </w:rPr>
        <w:t>.1条规定与采购人签订合同，则按违约处理，采购人将有权取消</w:t>
      </w:r>
      <w:r>
        <w:rPr>
          <w:rFonts w:hint="eastAsia" w:hAnsi="宋体" w:cs="宋体"/>
          <w:color w:val="000000" w:themeColor="text1"/>
          <w:sz w:val="24"/>
          <w:szCs w:val="24"/>
          <w:highlight w:val="none"/>
          <w:lang w:eastAsia="zh-CN"/>
          <w14:textFill>
            <w14:solidFill>
              <w14:schemeClr w14:val="tx1"/>
            </w14:solidFill>
          </w14:textFill>
        </w:rPr>
        <w:t>中标</w:t>
      </w:r>
      <w:r>
        <w:rPr>
          <w:rFonts w:hint="eastAsia" w:hAnsi="宋体" w:cs="宋体"/>
          <w:color w:val="000000" w:themeColor="text1"/>
          <w:sz w:val="24"/>
          <w:szCs w:val="24"/>
          <w:highlight w:val="none"/>
          <w14:textFill>
            <w14:solidFill>
              <w14:schemeClr w14:val="tx1"/>
            </w14:solidFill>
          </w14:textFill>
        </w:rPr>
        <w:t>单位资格，给采购人造成损失的，还应当予以赔偿，同时依法承担相应的法律责任。</w:t>
      </w:r>
    </w:p>
    <w:p>
      <w:pPr>
        <w:spacing w:line="360" w:lineRule="auto"/>
        <w:ind w:firstLine="480" w:firstLineChars="200"/>
        <w:outlineLvl w:val="1"/>
        <w:rPr>
          <w:rFonts w:ascii="宋体" w:hAnsi="宋体" w:cs="宋体"/>
          <w:color w:val="000000" w:themeColor="text1"/>
          <w:sz w:val="24"/>
          <w:highlight w:val="none"/>
          <w14:textFill>
            <w14:solidFill>
              <w14:schemeClr w14:val="tx1"/>
            </w14:solidFill>
          </w14:textFill>
        </w:rPr>
      </w:pPr>
      <w:bookmarkStart w:id="169" w:name="_Toc245897318"/>
      <w:bookmarkStart w:id="170" w:name="_Toc243907621"/>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、合同的签订准则</w:t>
      </w:r>
      <w:bookmarkEnd w:id="169"/>
      <w:bookmarkEnd w:id="170"/>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.1合同签订必须由采购人、</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单位双方法定代表人或其委托代理人签署并加盖法人公章后方能生效。</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.2合同转包（实质性要求）</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本采购项目严禁</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单位将任何政府采购合同义务转包。本项目所称转包，是指</w:t>
      </w: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单位将政府采购合同义务转让给第三人，并退出现有政府采购合同当事人双方的权利义务关系，受让人（即第三人）成为政府采购合同的另一方当事人的行为。</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中标</w:t>
      </w:r>
      <w:r>
        <w:rPr>
          <w:rFonts w:hint="eastAsia" w:ascii="宋体" w:hAnsi="宋体" w:cs="宋体"/>
          <w:b/>
          <w:bCs/>
          <w:color w:val="000000" w:themeColor="text1"/>
          <w:sz w:val="24"/>
          <w:highlight w:val="none"/>
          <w14:textFill>
            <w14:solidFill>
              <w14:schemeClr w14:val="tx1"/>
            </w14:solidFill>
          </w14:textFill>
        </w:rPr>
        <w:t>单位转包的，视同拒绝履行政府采购合同义务，将依法追究法律责任。</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、验收</w:t>
      </w:r>
    </w:p>
    <w:p>
      <w:pPr>
        <w:spacing w:line="360" w:lineRule="auto"/>
        <w:ind w:firstLine="482" w:firstLineChars="200"/>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cs="宋体"/>
          <w:b/>
          <w:bCs/>
          <w:color w:val="000000" w:themeColor="text1"/>
          <w:sz w:val="24"/>
          <w:highlight w:val="none"/>
          <w14:textFill>
            <w14:solidFill>
              <w14:schemeClr w14:val="tx1"/>
            </w14:solidFill>
          </w14:textFill>
        </w:rPr>
        <w:t>.1本项目采购人将严格按照政府采购相关法律法规以及《克拉玛依市政府采购项目需求论证和履约验收管理办法》（克财发〔2016〕9号）的要求进行验收。</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G  询问、质疑、投诉</w:t>
      </w:r>
    </w:p>
    <w:p>
      <w:pPr>
        <w:pStyle w:val="33"/>
        <w:bidi w:val="0"/>
      </w:pPr>
    </w:p>
    <w:p>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、询问</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.1投标人对采购活动事项有疑问的，可以向采购人或招标代理机构提出询问，采购人或招标代理机构应当在三个工作日内对投标人依法提出的询问作出答复，但答复的内容不得涉及商业秘密。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、质疑</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.1 投标人认为招标文件、采购过程和</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结果使自己的合法权益受到损害的，可以在知道或者应知其权益受到损害之日起七个工作日内，将质疑文件原件和必要的证明材料送达招标代理机构。</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2投标人如对招标文件技术指标、参数、评分标准有质疑，向采购人提出，由采购人按相关规定作出答复或委托招标代理代理机构代为答复。投标人如对采购过程和采购结果有质疑，向招标代理代理机构提出，由招标代理机构按相关规定作出答复。</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.3上述应知其权益受到损害之日是指：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（1）对招标文件提出质疑的，为招标文件公告期限届满之日起计算；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（2）对采购过程提出质疑的，自采购程序环节结束之日起计算；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（3）对</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结果提出质疑的，自</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或者</w:t>
      </w:r>
      <w:r>
        <w:rPr>
          <w:rFonts w:hint="eastAsia" w:ascii="宋体" w:hAnsi="宋体" w:cs="宋体"/>
          <w:color w:val="000000" w:themeColor="text1"/>
          <w:sz w:val="24"/>
          <w:highlight w:val="none"/>
          <w:lang w:eastAsia="zh-CN"/>
          <w14:textFill>
            <w14:solidFill>
              <w14:schemeClr w14:val="tx1"/>
            </w14:solidFill>
          </w14:textFill>
        </w:rPr>
        <w:t>中标</w:t>
      </w:r>
      <w:r>
        <w:rPr>
          <w:rFonts w:hint="eastAsia" w:ascii="宋体" w:hAnsi="宋体" w:cs="宋体"/>
          <w:color w:val="000000" w:themeColor="text1"/>
          <w:sz w:val="24"/>
          <w:highlight w:val="none"/>
          <w14:textFill>
            <w14:solidFill>
              <w14:schemeClr w14:val="tx1"/>
            </w14:solidFill>
          </w14:textFill>
        </w:rPr>
        <w:t>结果公告期限届满之日起计算。</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.4质疑投标人在法定质疑期内应当一次性提出针对同一采购环节提出质疑。</w:t>
      </w:r>
    </w:p>
    <w:p>
      <w:pPr>
        <w:pStyle w:val="521"/>
        <w:spacing w:line="360" w:lineRule="auto"/>
        <w:ind w:left="1"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4</w:t>
      </w:r>
      <w:r>
        <w:rPr>
          <w:rFonts w:hint="eastAsia" w:hAnsi="宋体" w:cs="宋体"/>
          <w:b/>
          <w:color w:val="000000" w:themeColor="text1"/>
          <w:sz w:val="24"/>
          <w:szCs w:val="24"/>
          <w:highlight w:val="none"/>
          <w:lang w:val="en-US" w:eastAsia="zh-CN"/>
          <w14:textFill>
            <w14:solidFill>
              <w14:schemeClr w14:val="tx1"/>
            </w14:solidFill>
          </w14:textFill>
        </w:rPr>
        <w:t>7</w:t>
      </w:r>
      <w:r>
        <w:rPr>
          <w:rFonts w:hint="eastAsia" w:hAnsi="宋体" w:cs="宋体"/>
          <w:b/>
          <w:color w:val="000000" w:themeColor="text1"/>
          <w:sz w:val="24"/>
          <w:szCs w:val="24"/>
          <w:highlight w:val="none"/>
          <w14:textFill>
            <w14:solidFill>
              <w14:schemeClr w14:val="tx1"/>
            </w14:solidFill>
          </w14:textFill>
        </w:rPr>
        <w:t>.5质疑文件应包括以下主要内容，并按照“谁主张、谁举证”的原则，附上相关证明材料。否则，招标代理机构不予受理【财政部发布了《政府采购投标人质疑函范本》和《政府采购投标人投诉书范本》，两范本指投标人提出质疑、投诉人提起投诉时，应提交的质疑函、投诉书和必要的证明材料（下载路径：中国政府采购网→下载专区）】：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（1）投标人的姓名或者名称、地址、邮编、联系人及联系电话（包括座机、手机、传真号码等）；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（2）质疑项目的名称、项目编号、包号、采购公告发布时间、递交投标文件或投标文件截止时间；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（3）具体、明确的质疑事项和与质疑事项相关的请求；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（4）事实依据（具体条款，认为自己合法权益受到损害或可能受到损害的相关证据材料。如涉及到产品功能或技术指标的，应出具相关制造商的证明文件）；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（5）必要的法律依据；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（7）质疑文件应当署名，质疑人为自然人的，应当由本人签字并附有效身份证明；质疑人为法人或其他组织的，应当由法定代表人签字并加盖单位公章；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（8）投标人委托代理质疑的，应当提交授权委托书，并载明代理人的姓名或者名称、代理事项、 具体权限、期限和相关事项。</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.6质疑投标人是指直接参加本项目采购活动的投标人，未参加政府采购活动的投标人或在采购活动中自身权益未受到损害的投标人所提出的质疑不予受理。</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.7采购人、招标代理机构在收到投标人的书面质疑后将及时组织调查核实，在七个工作日内作出答复，并以书面形式通知质疑投标人和其他有关投标人，答复的内容不涉及商业秘密。</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8</w:t>
      </w:r>
      <w:r>
        <w:rPr>
          <w:rFonts w:hint="eastAsia" w:ascii="宋体" w:hAnsi="宋体" w:cs="宋体"/>
          <w:b/>
          <w:color w:val="000000" w:themeColor="text1"/>
          <w:sz w:val="24"/>
          <w:highlight w:val="none"/>
          <w14:textFill>
            <w14:solidFill>
              <w14:schemeClr w14:val="tx1"/>
            </w14:solidFill>
          </w14:textFill>
        </w:rPr>
        <w:t>、投诉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.1 质疑投标人对采购人、招标代理机构的答复不满意，或采购人、招标代理机构未在规定的时间内作出答复的，可以在答复期满后十五个工作日内向采购项目同级财政部门提起投诉。</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14:textFill>
            <w14:solidFill>
              <w14:schemeClr w14:val="tx1"/>
            </w14:solidFill>
          </w14:textFill>
        </w:rPr>
        <w:t>.2投标人投诉的事项不得超出已质疑事项的范围，但基于质疑答复内容提出的投诉事项除外。</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w:t>
      </w:r>
      <w:r>
        <w:rPr>
          <w:rFonts w:hint="eastAsia" w:ascii="宋体" w:hAnsi="宋体" w:cs="宋体"/>
          <w:b/>
          <w:color w:val="000000" w:themeColor="text1"/>
          <w:sz w:val="24"/>
          <w:highlight w:val="none"/>
          <w:lang w:val="en-US" w:eastAsia="zh-CN"/>
          <w14:textFill>
            <w14:solidFill>
              <w14:schemeClr w14:val="tx1"/>
            </w14:solidFill>
          </w14:textFill>
        </w:rPr>
        <w:t>9</w:t>
      </w:r>
      <w:r>
        <w:rPr>
          <w:rFonts w:hint="eastAsia" w:ascii="宋体" w:hAnsi="宋体" w:cs="宋体"/>
          <w:b/>
          <w:color w:val="000000" w:themeColor="text1"/>
          <w:sz w:val="24"/>
          <w:highlight w:val="none"/>
          <w14:textFill>
            <w14:solidFill>
              <w14:schemeClr w14:val="tx1"/>
            </w14:solidFill>
          </w14:textFill>
        </w:rPr>
        <w:t>、诚实信用</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.1投标人不得虚假质疑和恶意质疑，并对质疑内容的真实性承担责任。</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lang w:val="en-US" w:eastAsia="zh-CN"/>
          <w14:textFill>
            <w14:solidFill>
              <w14:schemeClr w14:val="tx1"/>
            </w14:solidFill>
          </w14:textFill>
        </w:rPr>
        <w:t>9</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提供中小企业声明函内容不实的，属于提供虚假材料谋取中标，依照《中华人民共和国政府采购法》等国家有关规定追究相应责任。</w:t>
      </w: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p>
    <w:p>
      <w:pPr>
        <w:snapToGrid w:val="0"/>
        <w:spacing w:line="360" w:lineRule="auto"/>
        <w:ind w:firstLine="482" w:firstLineChars="200"/>
        <w:jc w:val="center"/>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H   义务、工作纪律</w:t>
      </w:r>
    </w:p>
    <w:p>
      <w:pPr>
        <w:pStyle w:val="33"/>
        <w:bidi w:val="0"/>
      </w:pP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、采购人或者招标代理机构负责组织评标工作，并履行下列职责：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.1核对评审专家身份和采购人代表授权函，对评审专家在政府采购活动中的职责履行情况予以记录，并及时将有关违法违规行为向财政部门报告；</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50.2宣布评标纪律；</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50.3公布投标人名单，告知评审专家应当回避的情形；</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50.4组织评标委员会推选评标组长，采购人代表不得担任组长；</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50.5在评标期间采取必要的通讯管理措施，保证评标活动不受外界干扰；</w:t>
      </w:r>
    </w:p>
    <w:p>
      <w:pPr>
        <w:tabs>
          <w:tab w:val="left" w:pos="7665"/>
        </w:tabs>
        <w:spacing w:line="360" w:lineRule="auto"/>
        <w:ind w:firstLine="482" w:firstLineChars="200"/>
        <w:rPr>
          <w:rFonts w:hint="eastAsia" w:ascii="宋体" w:hAnsi="宋体" w:eastAsia="宋体" w:cs="宋体"/>
          <w:b/>
          <w:color w:val="000000" w:themeColor="text1"/>
          <w:sz w:val="24"/>
          <w:highlight w:val="none"/>
          <w:lang w:val="en-US" w:eastAsia="zh-CN"/>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50.6根据评标委员会的要求介绍政府采购相关政策法规、招标文件；</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val="en-US" w:eastAsia="zh-CN"/>
          <w14:textFill>
            <w14:solidFill>
              <w14:schemeClr w14:val="tx1"/>
            </w14:solidFill>
          </w14:textFill>
        </w:rPr>
        <w:t>50.7维护评标秩序，监督评标委员</w:t>
      </w:r>
      <w:r>
        <w:rPr>
          <w:rFonts w:hint="eastAsia" w:ascii="宋体" w:hAnsi="宋体" w:cs="宋体"/>
          <w:b/>
          <w:color w:val="000000" w:themeColor="text1"/>
          <w:sz w:val="24"/>
          <w:highlight w:val="none"/>
          <w14:textFill>
            <w14:solidFill>
              <w14:schemeClr w14:val="tx1"/>
            </w14:solidFill>
          </w14:textFill>
        </w:rPr>
        <w:t>会依照招标文件规定的评标程序、方法和标准进行独立评审，及时制止和纠正采购人代表、评审专家的倾向性言论或者违法违规行为；</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.8核对评标结果，有本办法第六十四条规定情形的，要求评标委员会复核或者书面说明理由，评标委员会拒绝的，应予记录并向本级财政部门报告；</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.9评审工作完成后，按照规定向评审专家支付劳务报酬和异地评审差旅费，不得向评审专家以外的其他人员支付评审劳务报酬；</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50</w:t>
      </w:r>
      <w:r>
        <w:rPr>
          <w:rFonts w:hint="eastAsia" w:ascii="宋体" w:hAnsi="宋体" w:cs="宋体"/>
          <w:b/>
          <w:color w:val="000000" w:themeColor="text1"/>
          <w:sz w:val="24"/>
          <w:highlight w:val="none"/>
          <w14:textFill>
            <w14:solidFill>
              <w14:schemeClr w14:val="tx1"/>
            </w14:solidFill>
          </w14:textFill>
        </w:rPr>
        <w:t>.10处理与评标有关的其他事项。</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采购人可以在评标前说明项目背景和采购需求，说明内容不得含有歧视性、倾向性意见，不得超出招标文件所述范围。说明应当提交书面材料，并随招标文件一并存档。</w:t>
      </w:r>
    </w:p>
    <w:p>
      <w:pPr>
        <w:tabs>
          <w:tab w:val="left" w:pos="7665"/>
        </w:tabs>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cs="宋体"/>
          <w:b/>
          <w:color w:val="000000" w:themeColor="text1"/>
          <w:sz w:val="24"/>
          <w:highlight w:val="none"/>
          <w14:textFill>
            <w14:solidFill>
              <w14:schemeClr w14:val="tx1"/>
            </w14:solidFill>
          </w14:textFill>
        </w:rPr>
        <w:t>、评标委员会在政府采购活动中应当遵守以下工作纪律</w:t>
      </w:r>
      <w:r>
        <w:rPr>
          <w:rFonts w:hint="eastAsia" w:ascii="宋体" w:hAnsi="宋体" w:cs="宋体"/>
          <w:color w:val="000000" w:themeColor="text1"/>
          <w:sz w:val="24"/>
          <w:highlight w:val="none"/>
          <w14:textFill>
            <w14:solidFill>
              <w14:schemeClr w14:val="tx1"/>
            </w14:solidFill>
          </w14:textFill>
        </w:rPr>
        <w:t>：</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.1不得参加与自己有《中华人民共和国政府采购法实施条例》第九条规定的利害关系的政府采购项目的评标活动。发现参加了与自己有利害关系的评审活动，须主动提出回避，退出评审；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.2评审前，应当将通讯工具或者相关电子设备交由招标代理机构统一保管；</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.3评审过程中，不得与外界联系，因发生不可预见情况，确实需要与外界联系的，应当在监督人员监督之下办理；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4评审过程中，不得发表影响评审公正的倾向性、歧视性言论，不得征询或者接受采购人的倾向性意见，不得明示或暗示投标人在澄清时表达与其投标文件原义不同的意见，不得以招标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.5在评审过程中和评审结束后，不得记录、复制或带走任何评审资料，不得向外界透露评审内容；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.6评审现场服从招标代理机构工作人员的管理，接受现场监督人员的合法监督；</w:t>
      </w:r>
    </w:p>
    <w:p>
      <w:pPr>
        <w:tabs>
          <w:tab w:val="left" w:pos="7665"/>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.7遵守有关廉洁自律规定，不得私下接触投标人，不得收受投标人及有关业务单位和个人的财物或好处，不得接受招标代理机构的请托。</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、评标委员会负责具体评标事务，并独立履行下列职责：</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.1审查、评价投标文件是否符合招标文件的商务、技术等实质性要求；</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.2要求投标人对投标文件有关事项作出澄清或者说明；</w:t>
      </w:r>
    </w:p>
    <w:p>
      <w:pPr>
        <w:tabs>
          <w:tab w:val="left" w:pos="7665"/>
        </w:tabs>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.3对投标文件进行比较和评价；</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.4确定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单位名单，以及根据采购人委托直接确定</w:t>
      </w:r>
      <w:r>
        <w:rPr>
          <w:rFonts w:hint="eastAsia" w:ascii="宋体" w:hAnsi="宋体" w:cs="宋体"/>
          <w:b/>
          <w:color w:val="000000" w:themeColor="text1"/>
          <w:sz w:val="24"/>
          <w:highlight w:val="none"/>
          <w:lang w:eastAsia="zh-CN"/>
          <w14:textFill>
            <w14:solidFill>
              <w14:schemeClr w14:val="tx1"/>
            </w14:solidFill>
          </w14:textFill>
        </w:rPr>
        <w:t>中标</w:t>
      </w:r>
      <w:r>
        <w:rPr>
          <w:rFonts w:hint="eastAsia" w:ascii="宋体" w:hAnsi="宋体" w:cs="宋体"/>
          <w:b/>
          <w:color w:val="000000" w:themeColor="text1"/>
          <w:sz w:val="24"/>
          <w:highlight w:val="none"/>
          <w14:textFill>
            <w14:solidFill>
              <w14:schemeClr w14:val="tx1"/>
            </w14:solidFill>
          </w14:textFill>
        </w:rPr>
        <w:t>单位；</w:t>
      </w:r>
    </w:p>
    <w:p>
      <w:pPr>
        <w:tabs>
          <w:tab w:val="left" w:pos="7665"/>
        </w:tabs>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w:t>
      </w:r>
      <w:r>
        <w:rPr>
          <w:rFonts w:hint="eastAsia" w:ascii="宋体" w:hAnsi="宋体" w:cs="宋体"/>
          <w:b/>
          <w:color w:val="000000" w:themeColor="text1"/>
          <w:sz w:val="24"/>
          <w:highlight w:val="none"/>
          <w:lang w:val="en-US" w:eastAsia="zh-CN"/>
          <w14:textFill>
            <w14:solidFill>
              <w14:schemeClr w14:val="tx1"/>
            </w14:solidFill>
          </w14:textFill>
        </w:rPr>
        <w:t>2</w:t>
      </w:r>
      <w:r>
        <w:rPr>
          <w:rFonts w:hint="eastAsia" w:ascii="宋体" w:hAnsi="宋体" w:cs="宋体"/>
          <w:b/>
          <w:color w:val="000000" w:themeColor="text1"/>
          <w:sz w:val="24"/>
          <w:highlight w:val="none"/>
          <w14:textFill>
            <w14:solidFill>
              <w14:schemeClr w14:val="tx1"/>
            </w14:solidFill>
          </w14:textFill>
        </w:rPr>
        <w:t>.5向采购人、招标代理机构或者有关部门报告评标中发现的违法行为。</w:t>
      </w:r>
    </w:p>
    <w:p>
      <w:pPr>
        <w:tabs>
          <w:tab w:val="left" w:pos="7665"/>
        </w:tabs>
        <w:spacing w:line="360" w:lineRule="auto"/>
        <w:ind w:firstLine="482" w:firstLineChars="200"/>
        <w:rPr>
          <w:rFonts w:hint="eastAsia" w:ascii="宋体" w:hAnsi="宋体" w:cs="宋体"/>
          <w:b/>
          <w:color w:val="auto"/>
          <w:sz w:val="24"/>
          <w:highlight w:val="none"/>
          <w:lang w:val="en-US" w:eastAsia="zh-CN"/>
        </w:rPr>
      </w:pPr>
      <w:r>
        <w:rPr>
          <w:rFonts w:hint="eastAsia" w:ascii="宋体" w:hAnsi="宋体" w:cs="宋体"/>
          <w:b/>
          <w:color w:val="000000" w:themeColor="text1"/>
          <w:sz w:val="24"/>
          <w:highlight w:val="none"/>
          <w:lang w:val="en-US" w:eastAsia="zh-CN"/>
          <w14:textFill>
            <w14:solidFill>
              <w14:schemeClr w14:val="tx1"/>
            </w14:solidFill>
          </w14:textFill>
        </w:rPr>
        <w:t>53、代理服务费：</w:t>
      </w:r>
      <w:r>
        <w:rPr>
          <w:rFonts w:hint="eastAsia" w:ascii="宋体" w:hAnsi="宋体" w:cs="宋体"/>
          <w:b/>
          <w:color w:val="auto"/>
          <w:sz w:val="24"/>
          <w:highlight w:val="none"/>
          <w:lang w:val="en-US" w:eastAsia="zh-CN"/>
        </w:rPr>
        <w:t>与采购人协商，本项目采购代理服务费由中标单位在领取中标通知书同时向采购代理机构支付，采购代理服务费为：¥1.2万元整（大写：人民币壹万贰仟元整）。</w:t>
      </w: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p>
    <w:p>
      <w:pPr>
        <w:snapToGrid w:val="0"/>
        <w:spacing w:line="360" w:lineRule="auto"/>
        <w:ind w:firstLine="562" w:firstLineChars="200"/>
        <w:jc w:val="cente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44"/>
          <w:sz w:val="28"/>
          <w:szCs w:val="28"/>
          <w:highlight w:val="none"/>
          <w:lang w:val="en-US" w:eastAsia="zh-CN" w:bidi="ar-SA"/>
          <w14:textFill>
            <w14:solidFill>
              <w14:schemeClr w14:val="tx1"/>
            </w14:solidFill>
          </w14:textFill>
        </w:rPr>
        <w:t>第三章 项目采购需求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1、总则</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1.1本章条款仅限于</w:t>
      </w:r>
      <w:r>
        <w:rPr>
          <w:rFonts w:hint="eastAsia" w:ascii="宋体" w:hAnsi="宋体" w:cs="宋体"/>
          <w:color w:val="000000" w:themeColor="text1"/>
          <w:sz w:val="24"/>
          <w:highlight w:val="none"/>
          <w:lang w:eastAsia="zh-CN"/>
          <w14:textFill>
            <w14:solidFill>
              <w14:schemeClr w14:val="tx1"/>
            </w14:solidFill>
          </w14:textFill>
        </w:rPr>
        <w:t>某支队蔬菜大棚建设项目</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本章条款提出的是最低限度的技术要求，并未对一切技术细节做出规定，也未引述有关规范条文，投标人不得以本文件未提出要求为理由而规避国家和行业强制规范、标准的规定，投标人应保证提供符合本章条款和相关标准的服务。</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1.3如果投标人没有以书面形式对本章条款提出异议，采购人就可以认为投标人提供的成果符合本章条款的要求。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1.4投标人在投标文件中，应对招标文件中的服务进行详细的说明。</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1.5在签订合同之后，采购人有权提出因规范标准有变化而产生的一些补充要求。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1.6本章条款使用标准如与投标人所执行标准发生矛盾时，按较高标准执行。</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2、执行的规范和标准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投标人所提供的设备、材料必须为全新产品，应符合中华人民共和国国家标准、行业标准、制造商的产品验收标准及出厂标准以及招标文件规定的技术要求。</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工程量清单</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某支队蔬菜大棚建设项目</w:t>
      </w:r>
      <w:r>
        <w:rPr>
          <w:rFonts w:hint="eastAsia" w:ascii="宋体" w:hAnsi="宋体" w:eastAsia="宋体" w:cs="宋体"/>
          <w:color w:val="000000" w:themeColor="text1"/>
          <w:sz w:val="24"/>
          <w:highlight w:val="none"/>
          <w14:textFill>
            <w14:solidFill>
              <w14:schemeClr w14:val="tx1"/>
            </w14:solidFill>
          </w14:textFill>
        </w:rPr>
        <w:t>量清单（共   页）</w:t>
      </w:r>
    </w:p>
    <w:p>
      <w:pPr>
        <w:keepNext w:val="0"/>
        <w:keepLines w:val="0"/>
        <w:pageBreakBefore w:val="0"/>
        <w:widowControl w:val="0"/>
        <w:kinsoku/>
        <w:wordWrap/>
        <w:overflowPunct/>
        <w:topLinePunct w:val="0"/>
        <w:autoSpaceDE/>
        <w:autoSpaceDN/>
        <w:bidi w:val="0"/>
        <w:spacing w:line="360" w:lineRule="auto"/>
        <w:ind w:firstLine="481"/>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cs="宋体"/>
          <w:color w:val="000000" w:themeColor="text1"/>
          <w:sz w:val="24"/>
          <w:highlight w:val="none"/>
          <w:lang w:eastAsia="zh-CN"/>
          <w14:textFill>
            <w14:solidFill>
              <w14:schemeClr w14:val="tx1"/>
            </w14:solidFill>
          </w14:textFill>
        </w:rPr>
        <w:t>某支队蔬菜大棚建设项目</w:t>
      </w:r>
      <w:r>
        <w:rPr>
          <w:rFonts w:hint="eastAsia" w:ascii="宋体" w:hAnsi="宋体" w:eastAsia="宋体" w:cs="宋体"/>
          <w:color w:val="000000" w:themeColor="text1"/>
          <w:sz w:val="24"/>
          <w:highlight w:val="none"/>
          <w14:textFill>
            <w14:solidFill>
              <w14:schemeClr w14:val="tx1"/>
            </w14:solidFill>
          </w14:textFill>
        </w:rPr>
        <w:t>电子版工程量清单随招标文件发至各投标人，招标答疑后发放书面版工程量清单。</w:t>
      </w:r>
      <w:r>
        <w:rPr>
          <w:rFonts w:hint="eastAsia" w:ascii="宋体" w:hAnsi="宋体" w:cs="宋体"/>
          <w:color w:val="000000" w:themeColor="text1"/>
          <w:sz w:val="24"/>
          <w:highlight w:val="none"/>
          <w:lang w:eastAsia="zh-CN"/>
          <w14:textFill>
            <w14:solidFill>
              <w14:schemeClr w14:val="tx1"/>
            </w14:solidFill>
          </w14:textFill>
        </w:rPr>
        <w:t>某支队蔬菜大棚建设项目</w:t>
      </w:r>
      <w:r>
        <w:rPr>
          <w:rFonts w:hint="eastAsia" w:ascii="宋体" w:hAnsi="宋体" w:eastAsia="宋体" w:cs="宋体"/>
          <w:color w:val="000000" w:themeColor="text1"/>
          <w:sz w:val="24"/>
          <w:highlight w:val="none"/>
          <w14:textFill>
            <w14:solidFill>
              <w14:schemeClr w14:val="tx1"/>
            </w14:solidFill>
          </w14:textFill>
        </w:rPr>
        <w:t>电子版工程量清单与书面版工程量清单不符之处，以书面版工程量清单为准。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p>
    <w:p>
      <w:pPr>
        <w:spacing w:line="480" w:lineRule="exact"/>
        <w:jc w:val="center"/>
        <w:rPr>
          <w:rFonts w:hint="eastAsia" w:ascii="仿宋_GB2312" w:hAnsi="宋体" w:eastAsia="仿宋_GB2312"/>
          <w:b/>
          <w:color w:val="000000"/>
          <w:sz w:val="36"/>
          <w:szCs w:val="36"/>
        </w:rPr>
      </w:pPr>
    </w:p>
    <w:p>
      <w:pPr>
        <w:spacing w:line="480" w:lineRule="exact"/>
        <w:jc w:val="center"/>
        <w:rPr>
          <w:rFonts w:hint="eastAsia" w:ascii="仿宋_GB2312" w:hAnsi="宋体" w:eastAsia="仿宋_GB2312"/>
          <w:b/>
          <w:color w:val="000000"/>
          <w:sz w:val="36"/>
          <w:szCs w:val="36"/>
        </w:rPr>
      </w:pPr>
    </w:p>
    <w:p>
      <w:pPr>
        <w:spacing w:line="480" w:lineRule="exact"/>
        <w:jc w:val="center"/>
        <w:rPr>
          <w:rFonts w:hint="eastAsia" w:ascii="仿宋_GB2312" w:hAnsi="宋体" w:eastAsia="仿宋_GB2312"/>
          <w:b/>
          <w:color w:val="000000"/>
          <w:sz w:val="36"/>
          <w:szCs w:val="36"/>
        </w:rPr>
      </w:pPr>
    </w:p>
    <w:p>
      <w:pPr>
        <w:numPr>
          <w:ilvl w:val="0"/>
          <w:numId w:val="1"/>
        </w:numPr>
        <w:spacing w:line="360" w:lineRule="auto"/>
        <w:jc w:val="cente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 xml:space="preserve"> 通用合同条款</w:t>
      </w:r>
    </w:p>
    <w:p>
      <w:pPr>
        <w:numPr>
          <w:ilvl w:val="0"/>
          <w:numId w:val="0"/>
        </w:numPr>
        <w:bidi w:val="0"/>
        <w:spacing w:line="360" w:lineRule="auto"/>
        <w:ind w:firstLine="480" w:firstLineChars="200"/>
        <w:rPr>
          <w:rFonts w:hint="eastAsia"/>
          <w:lang w:eastAsia="zh-CN"/>
        </w:rPr>
      </w:pPr>
      <w:r>
        <w:rPr>
          <w:rFonts w:hint="eastAsia"/>
          <w:sz w:val="24"/>
          <w:szCs w:val="32"/>
          <w:lang w:eastAsia="zh-CN"/>
        </w:rPr>
        <w:t>本工程合同通用条款采用中华人民共和国建设部和国家工商行政管理局颁发的《建设工程施工合同》（GF－201</w:t>
      </w:r>
      <w:r>
        <w:rPr>
          <w:rFonts w:hint="eastAsia"/>
          <w:sz w:val="24"/>
          <w:szCs w:val="32"/>
          <w:lang w:val="en-US" w:eastAsia="zh-CN"/>
        </w:rPr>
        <w:t>7</w:t>
      </w:r>
      <w:r>
        <w:rPr>
          <w:rFonts w:hint="eastAsia"/>
          <w:sz w:val="24"/>
          <w:szCs w:val="32"/>
          <w:lang w:eastAsia="zh-CN"/>
        </w:rPr>
        <w:t>－0201）的“合同条件”。</w:t>
      </w:r>
    </w:p>
    <w:p>
      <w:pPr>
        <w:spacing w:line="360" w:lineRule="auto"/>
        <w:ind w:firstLine="540"/>
        <w:rPr>
          <w:rFonts w:hint="eastAsia" w:ascii="仿宋_GB2312" w:hAnsi="宋体" w:eastAsia="仿宋_GB2312"/>
          <w:b/>
          <w:color w:val="000000"/>
          <w:sz w:val="24"/>
        </w:rPr>
      </w:pPr>
    </w:p>
    <w:p>
      <w:pPr>
        <w:pStyle w:val="5"/>
        <w:spacing w:line="360" w:lineRule="auto"/>
        <w:ind w:firstLine="0"/>
        <w:jc w:val="center"/>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14:textFill>
            <w14:solidFill>
              <w14:schemeClr w14:val="tx1"/>
            </w14:solidFill>
          </w14:textFill>
        </w:rPr>
        <w:t xml:space="preserve">章  </w:t>
      </w:r>
      <w:r>
        <w:rPr>
          <w:rFonts w:hint="eastAsia" w:ascii="宋体" w:hAnsi="宋体" w:cs="宋体"/>
          <w:b/>
          <w:bCs/>
          <w:color w:val="000000" w:themeColor="text1"/>
          <w:sz w:val="28"/>
          <w:szCs w:val="28"/>
          <w:highlight w:val="none"/>
          <w:lang w:eastAsia="zh-CN"/>
          <w14:textFill>
            <w14:solidFill>
              <w14:schemeClr w14:val="tx1"/>
            </w14:solidFill>
          </w14:textFill>
        </w:rPr>
        <w:t>专用合同条款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《建设工程施工合同》（GF－20</w:t>
      </w:r>
      <w:r>
        <w:rPr>
          <w:rFonts w:hint="eastAsia" w:ascii="仿宋" w:hAnsi="仿宋" w:eastAsia="仿宋" w:cs="仿宋"/>
          <w:color w:val="000000"/>
          <w:sz w:val="24"/>
          <w:szCs w:val="24"/>
          <w:lang w:val="en-US" w:eastAsia="zh-CN"/>
        </w:rPr>
        <w:t>17</w:t>
      </w:r>
      <w:r>
        <w:rPr>
          <w:rFonts w:hint="eastAsia" w:ascii="仿宋" w:hAnsi="仿宋" w:eastAsia="仿宋" w:cs="仿宋"/>
          <w:color w:val="000000"/>
          <w:sz w:val="24"/>
          <w:szCs w:val="24"/>
        </w:rPr>
        <w:t>－0201）专用合同条款中的条款号与通用合同条款号相同，适当需要时增加新的条款,两者应对照阅读,若出现矛盾或不一致,则以本条款为准。未补充或修改条款执行通用合同条款。在本条款中未约定的专用合同条款，由发包人、承包人在签订合同时约定。</w:t>
      </w:r>
    </w:p>
    <w:p>
      <w:pPr>
        <w:keepNext w:val="0"/>
        <w:keepLines w:val="0"/>
        <w:pageBreakBefore w:val="0"/>
        <w:widowControl w:val="0"/>
        <w:kinsoku w:val="0"/>
        <w:wordWrap/>
        <w:overflowPunct w:val="0"/>
        <w:topLinePunct w:val="0"/>
        <w:autoSpaceDE w:val="0"/>
        <w:autoSpaceDN w:val="0"/>
        <w:bidi w:val="0"/>
        <w:spacing w:line="360" w:lineRule="auto"/>
        <w:ind w:firstLine="480" w:firstLineChars="200"/>
        <w:jc w:val="left"/>
        <w:textAlignment w:val="auto"/>
        <w:outlineLvl w:val="2"/>
        <w:rPr>
          <w:rFonts w:hint="eastAsia" w:ascii="仿宋" w:hAnsi="仿宋" w:eastAsia="仿宋" w:cs="仿宋"/>
          <w:bCs/>
          <w:color w:val="000000"/>
          <w:sz w:val="44"/>
          <w:szCs w:val="44"/>
        </w:rPr>
      </w:pPr>
      <w:r>
        <w:rPr>
          <w:rFonts w:hint="eastAsia" w:ascii="仿宋" w:hAnsi="仿宋" w:eastAsia="仿宋" w:cs="仿宋"/>
          <w:bCs/>
          <w:color w:val="000000"/>
          <w:sz w:val="24"/>
          <w:szCs w:val="24"/>
        </w:rPr>
        <w:t>1</w:t>
      </w:r>
      <w:bookmarkStart w:id="171" w:name="_Toc296346657"/>
      <w:bookmarkStart w:id="172" w:name="_Toc296347155"/>
      <w:bookmarkStart w:id="173" w:name="_Toc297048342"/>
      <w:bookmarkStart w:id="174" w:name="_Toc296890984"/>
      <w:bookmarkStart w:id="175" w:name="_Toc297120456"/>
      <w:bookmarkStart w:id="176" w:name="_Toc292559361"/>
      <w:bookmarkStart w:id="177" w:name="_Toc296503156"/>
      <w:bookmarkStart w:id="178" w:name="_Toc296944495"/>
      <w:bookmarkStart w:id="179" w:name="_Toc292559866"/>
      <w:bookmarkStart w:id="180" w:name="_Toc296891196"/>
      <w:r>
        <w:rPr>
          <w:rFonts w:hint="eastAsia" w:ascii="仿宋" w:hAnsi="仿宋" w:eastAsia="仿宋" w:cs="仿宋"/>
          <w:bCs/>
          <w:color w:val="000000"/>
          <w:sz w:val="24"/>
          <w:szCs w:val="24"/>
        </w:rPr>
        <w:t>. 一般约定</w:t>
      </w:r>
    </w:p>
    <w:bookmarkEnd w:id="171"/>
    <w:bookmarkEnd w:id="172"/>
    <w:bookmarkEnd w:id="173"/>
    <w:bookmarkEnd w:id="174"/>
    <w:bookmarkEnd w:id="175"/>
    <w:bookmarkEnd w:id="176"/>
    <w:bookmarkEnd w:id="177"/>
    <w:bookmarkEnd w:id="178"/>
    <w:bookmarkEnd w:id="179"/>
    <w:bookmarkEnd w:id="180"/>
    <w:p>
      <w:pPr>
        <w:keepNext w:val="0"/>
        <w:keepLines w:val="0"/>
        <w:pageBreakBefore w:val="0"/>
        <w:widowControl w:val="0"/>
        <w:kinsoku w:val="0"/>
        <w:wordWrap/>
        <w:overflowPunct w:val="0"/>
        <w:topLinePunct w:val="0"/>
        <w:autoSpaceDE w:val="0"/>
        <w:autoSpaceDN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 词语定义</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1.1.1合同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1.1.1.10其他合同文件包括：</w:t>
      </w:r>
      <w:r>
        <w:rPr>
          <w:rFonts w:hint="eastAsia" w:ascii="仿宋" w:hAnsi="仿宋" w:eastAsia="仿宋" w:cs="仿宋"/>
          <w:color w:val="000000"/>
          <w:sz w:val="24"/>
          <w:szCs w:val="24"/>
          <w:u w:val="single"/>
          <w:lang w:eastAsia="zh-CN"/>
        </w:rPr>
        <w:t>竞争性磋商采购文件</w:t>
      </w:r>
      <w:r>
        <w:rPr>
          <w:rFonts w:hint="eastAsia" w:ascii="仿宋" w:hAnsi="仿宋" w:eastAsia="仿宋" w:cs="仿宋"/>
          <w:color w:val="000000"/>
          <w:sz w:val="24"/>
          <w:szCs w:val="24"/>
          <w:u w:val="single"/>
        </w:rPr>
        <w:t>，承包人按照</w:t>
      </w:r>
      <w:r>
        <w:rPr>
          <w:rFonts w:hint="eastAsia" w:ascii="仿宋" w:hAnsi="仿宋" w:eastAsia="仿宋" w:cs="仿宋"/>
          <w:color w:val="000000"/>
          <w:sz w:val="24"/>
          <w:szCs w:val="24"/>
          <w:u w:val="single"/>
          <w:lang w:eastAsia="zh-CN"/>
        </w:rPr>
        <w:t>竞争性磋商采购文件</w:t>
      </w:r>
      <w:r>
        <w:rPr>
          <w:rFonts w:hint="eastAsia" w:ascii="仿宋" w:hAnsi="仿宋" w:eastAsia="仿宋" w:cs="仿宋"/>
          <w:color w:val="000000"/>
          <w:sz w:val="24"/>
          <w:szCs w:val="24"/>
          <w:u w:val="single"/>
        </w:rPr>
        <w:t>要求向发包人提交的投标文件[除投标函及其附录、已标价工程量清单或预算书外的其他投标文件]等。</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1.1.3 工程和设备</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1.1.3.7作为施工现场组成部分的其他场所包括：</w:t>
      </w:r>
      <w:r>
        <w:rPr>
          <w:rFonts w:hint="eastAsia" w:ascii="仿宋" w:hAnsi="仿宋" w:eastAsia="仿宋" w:cs="仿宋"/>
          <w:color w:val="000000"/>
          <w:sz w:val="24"/>
          <w:szCs w:val="24"/>
          <w:u w:val="single"/>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1.1.3.9 永久占地包括：</w:t>
      </w:r>
      <w:r>
        <w:rPr>
          <w:rFonts w:hint="eastAsia" w:ascii="仿宋" w:hAnsi="仿宋" w:eastAsia="仿宋" w:cs="仿宋"/>
          <w:color w:val="000000"/>
          <w:sz w:val="24"/>
          <w:szCs w:val="24"/>
          <w:u w:val="single"/>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1.1.3.10 临时占地包括：</w:t>
      </w:r>
      <w:r>
        <w:rPr>
          <w:rFonts w:hint="eastAsia" w:ascii="仿宋" w:hAnsi="仿宋" w:eastAsia="仿宋" w:cs="仿宋"/>
          <w:color w:val="000000"/>
          <w:sz w:val="24"/>
          <w:szCs w:val="24"/>
          <w:u w:val="single"/>
        </w:rPr>
        <w:t>承包人在施工现场须临时占用土地时，发包人应按照克拉玛依市的相关规定办理必要的占地审批手续。工程建设完工后，临时占用的地上建筑物和构筑物应予以拆除，并做好场地复原工作。所发生的费用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1.3法律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适用于合同的其他规范性文件：</w:t>
      </w:r>
      <w:r>
        <w:rPr>
          <w:rFonts w:hint="eastAsia" w:ascii="仿宋" w:hAnsi="仿宋" w:eastAsia="仿宋" w:cs="仿宋"/>
          <w:color w:val="000000"/>
          <w:sz w:val="24"/>
          <w:szCs w:val="24"/>
          <w:u w:val="single"/>
        </w:rPr>
        <w:t>除符合国家、部及行业规范性文件外，还应符合新疆维吾尔自治区和克拉玛依市有关工程建设的管理办法及相关规定。</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 标准和规范</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1.4.1适用于工程的标准规范包括：</w:t>
      </w:r>
      <w:r>
        <w:rPr>
          <w:rFonts w:hint="eastAsia" w:ascii="仿宋" w:hAnsi="仿宋" w:eastAsia="仿宋" w:cs="仿宋"/>
          <w:color w:val="000000"/>
          <w:sz w:val="24"/>
          <w:szCs w:val="24"/>
          <w:u w:val="single"/>
        </w:rPr>
        <w:t>执行通用合同条款本条款。执行有关工程建设的国家、部、行业及地方标准以及相应的规范、规程等，地方标准有高于或严于现行国家、部、行业标准的，承包人应熟悉并遵守。</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1.4.2 发包人提供国外标准、规范的名称：</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发包人提供国外标准、规范的份数：</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发包人提供国外标准、规范的名称：</w:t>
      </w:r>
      <w:r>
        <w:rPr>
          <w:rFonts w:hint="eastAsia" w:ascii="仿宋" w:hAnsi="仿宋" w:eastAsia="仿宋" w:cs="仿宋"/>
          <w:color w:val="000000"/>
          <w:kern w:val="0"/>
          <w:sz w:val="24"/>
          <w:szCs w:val="24"/>
          <w:u w:val="single"/>
        </w:rPr>
        <w:t xml:space="preserve">  无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1.4.3发包人对工程的技术标准和功能要求的特殊要求：</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 合同文件的优先顺序</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合同文件组成及优先顺序为：</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（1）合同协议书；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成交</w:t>
      </w:r>
      <w:r>
        <w:rPr>
          <w:rFonts w:hint="eastAsia" w:ascii="仿宋" w:hAnsi="仿宋" w:eastAsia="仿宋" w:cs="仿宋"/>
          <w:color w:val="000000"/>
          <w:sz w:val="24"/>
          <w:szCs w:val="24"/>
        </w:rPr>
        <w:t>通知书；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响应</w:t>
      </w:r>
      <w:r>
        <w:rPr>
          <w:rFonts w:hint="eastAsia" w:ascii="仿宋" w:hAnsi="仿宋" w:eastAsia="仿宋" w:cs="仿宋"/>
          <w:color w:val="000000"/>
          <w:sz w:val="24"/>
          <w:szCs w:val="24"/>
        </w:rPr>
        <w:t>函及其附录；</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（4）专用合同条款及其附件；</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（5）通用合同条款；</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（6）技术标准和要求；</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（7）图纸；</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（8）已标价工程量清单或预算书；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（9）其他合同文件（</w:t>
      </w:r>
      <w:r>
        <w:rPr>
          <w:rFonts w:hint="eastAsia" w:ascii="仿宋" w:hAnsi="仿宋" w:eastAsia="仿宋" w:cs="仿宋"/>
          <w:color w:val="000000"/>
          <w:sz w:val="24"/>
          <w:szCs w:val="24"/>
          <w:lang w:eastAsia="zh-CN"/>
        </w:rPr>
        <w:t>竞争性磋商采购文件</w:t>
      </w:r>
      <w:r>
        <w:rPr>
          <w:rFonts w:hint="eastAsia" w:ascii="仿宋" w:hAnsi="仿宋" w:eastAsia="仿宋" w:cs="仿宋"/>
          <w:color w:val="000000"/>
          <w:sz w:val="24"/>
          <w:szCs w:val="24"/>
        </w:rPr>
        <w:t>，除投标函及其附录、已标价工程量清单或预算书外的其他投标文件等）。</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 图纸和承包人文件</w:t>
      </w:r>
      <w:r>
        <w:rPr>
          <w:rFonts w:hint="eastAsia" w:ascii="仿宋" w:hAnsi="仿宋" w:eastAsia="仿宋" w:cs="仿宋"/>
          <w:color w:val="000000"/>
          <w:sz w:val="24"/>
          <w:szCs w:val="24"/>
        </w:rPr>
        <w:tab/>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1.6.1 图纸的提供</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发包人向承包人提供图纸的数量：</w:t>
      </w:r>
      <w:r>
        <w:rPr>
          <w:rFonts w:hint="eastAsia" w:ascii="仿宋" w:hAnsi="仿宋" w:eastAsia="仿宋" w:cs="仿宋"/>
          <w:color w:val="000000"/>
          <w:sz w:val="24"/>
          <w:szCs w:val="24"/>
          <w:u w:val="single"/>
        </w:rPr>
        <w:t>向承包人免费提供完整的施工设计图纸四套，由于承包人自身原因造成需要加晒图纸，承包人应提请发包人加晒，费用由承包人自理。承包人任何时候不得将发包人提供的图纸等所有资料转让给第三方，并承担保密责任，工程竣工验收合格后，其所有资料应返还发包人</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发包人向承包人提供图纸的内容：</w:t>
      </w:r>
      <w:r>
        <w:rPr>
          <w:rFonts w:hint="eastAsia" w:ascii="仿宋" w:hAnsi="仿宋" w:eastAsia="仿宋" w:cs="仿宋"/>
          <w:color w:val="000000"/>
          <w:sz w:val="24"/>
          <w:szCs w:val="24"/>
          <w:u w:val="single"/>
        </w:rPr>
        <w:t>提供施工设计图纸的具体内容详见图纸目录清单</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1.6.4 承包人文件</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需要由承包人提供的文件，包括：</w:t>
      </w:r>
      <w:r>
        <w:rPr>
          <w:rFonts w:hint="eastAsia" w:ascii="仿宋" w:hAnsi="仿宋" w:eastAsia="仿宋" w:cs="仿宋"/>
          <w:color w:val="000000"/>
          <w:sz w:val="24"/>
          <w:szCs w:val="24"/>
          <w:u w:val="single"/>
        </w:rPr>
        <w:t>施工组织设计（包括安全施工方案）、工程进度计划、专项施工方案、本合同约定的有关文件以及在工程建设过程中所需的相关文件。承包人应根据工程项目特点及技术要求编制适应于本工程项目的各类文件，防止简单套用其他工程的相关文件，以保证工程的质量和施工安全。</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承包人提供的文件的期限为：</w:t>
      </w:r>
      <w:r>
        <w:rPr>
          <w:rFonts w:hint="eastAsia" w:ascii="仿宋" w:hAnsi="仿宋" w:eastAsia="仿宋" w:cs="仿宋"/>
          <w:color w:val="000000"/>
          <w:sz w:val="24"/>
          <w:szCs w:val="24"/>
          <w:u w:val="single"/>
        </w:rPr>
        <w:t>按照本合同第7条约定的时间及发包人或监理人的要求提供。</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承包人提供的文件的数量为：</w:t>
      </w:r>
      <w:r>
        <w:rPr>
          <w:rFonts w:hint="eastAsia" w:ascii="仿宋" w:hAnsi="仿宋" w:eastAsia="仿宋" w:cs="仿宋"/>
          <w:color w:val="000000"/>
          <w:sz w:val="24"/>
          <w:szCs w:val="24"/>
          <w:u w:val="single"/>
        </w:rPr>
        <w:t>书面文件一式伍份，电子版文件一式壹份</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承包人提供的文件的形式为：</w:t>
      </w:r>
      <w:r>
        <w:rPr>
          <w:rFonts w:hint="eastAsia" w:ascii="仿宋" w:hAnsi="仿宋" w:eastAsia="仿宋" w:cs="仿宋"/>
          <w:color w:val="000000"/>
          <w:sz w:val="24"/>
          <w:szCs w:val="24"/>
          <w:u w:val="single"/>
        </w:rPr>
        <w:t>书面文件和电子版文件</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发包人审批承包人文件的期限：</w:t>
      </w:r>
      <w:r>
        <w:rPr>
          <w:rFonts w:hint="eastAsia" w:ascii="仿宋" w:hAnsi="仿宋" w:eastAsia="仿宋" w:cs="仿宋"/>
          <w:color w:val="000000"/>
          <w:sz w:val="24"/>
          <w:szCs w:val="24"/>
          <w:u w:val="single"/>
        </w:rPr>
        <w:t>收到承包人文件之日起7日内审查完毕</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1.6.5 现场图纸准备</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关于现场图纸准备的约定：</w:t>
      </w:r>
      <w:r>
        <w:rPr>
          <w:rFonts w:hint="eastAsia" w:ascii="仿宋" w:hAnsi="仿宋" w:eastAsia="仿宋" w:cs="仿宋"/>
          <w:color w:val="000000"/>
          <w:sz w:val="24"/>
          <w:szCs w:val="24"/>
          <w:u w:val="single"/>
        </w:rPr>
        <w:t>承包人在施工现场另行保留一套完整的施工设计图纸及相关的设计变更文件、承包人的文件供发包人、监理人等有关人员使用。本套文件由监理人负责保管。</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1.7 联络</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1.7.1发包人和承包人应当在</w:t>
      </w:r>
      <w:r>
        <w:rPr>
          <w:rFonts w:hint="eastAsia" w:ascii="仿宋" w:hAnsi="仿宋" w:eastAsia="仿宋" w:cs="仿宋"/>
          <w:color w:val="000000"/>
          <w:sz w:val="24"/>
          <w:szCs w:val="24"/>
          <w:u w:val="single"/>
        </w:rPr>
        <w:t xml:space="preserve"> 2 </w:t>
      </w:r>
      <w:r>
        <w:rPr>
          <w:rFonts w:hint="eastAsia" w:ascii="仿宋" w:hAnsi="仿宋" w:eastAsia="仿宋" w:cs="仿宋"/>
          <w:color w:val="000000"/>
          <w:kern w:val="0"/>
          <w:sz w:val="24"/>
          <w:szCs w:val="24"/>
        </w:rPr>
        <w:t>天内将与合同有关的通知、批准、证明、证书、指示、指令、要求、请求、同意、意见、确定和决定等书面函件送达对方当事人。</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1.10 交通运输</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181" w:name="_Toc300934943"/>
      <w:bookmarkStart w:id="182" w:name="_Toc312677986"/>
      <w:bookmarkStart w:id="183" w:name="_Toc303539100"/>
      <w:bookmarkStart w:id="184" w:name="_Toc304295521"/>
      <w:bookmarkStart w:id="185" w:name="_Toc318581155"/>
      <w:r>
        <w:rPr>
          <w:rFonts w:hint="eastAsia" w:ascii="仿宋" w:hAnsi="仿宋" w:eastAsia="仿宋" w:cs="仿宋"/>
          <w:color w:val="000000"/>
          <w:sz w:val="24"/>
          <w:szCs w:val="24"/>
        </w:rPr>
        <w:t>.10.1 出入现场的权利</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关于出入现场的权利的约定：</w:t>
      </w:r>
      <w:r>
        <w:rPr>
          <w:rFonts w:hint="eastAsia" w:ascii="仿宋" w:hAnsi="仿宋" w:eastAsia="仿宋" w:cs="仿宋"/>
          <w:color w:val="000000"/>
          <w:sz w:val="24"/>
          <w:szCs w:val="24"/>
          <w:u w:val="single"/>
        </w:rPr>
        <w:t>执行通用合同条款本条款。</w:t>
      </w:r>
    </w:p>
    <w:bookmarkEnd w:id="181"/>
    <w:bookmarkEnd w:id="182"/>
    <w:bookmarkEnd w:id="183"/>
    <w:bookmarkEnd w:id="184"/>
    <w:bookmarkEnd w:id="185"/>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186" w:name="_Toc304295522"/>
      <w:bookmarkStart w:id="187" w:name="_Toc318581156"/>
      <w:bookmarkStart w:id="188" w:name="_Toc300934944"/>
      <w:bookmarkStart w:id="189" w:name="_Toc312677987"/>
      <w:bookmarkStart w:id="190" w:name="_Toc303539101"/>
      <w:r>
        <w:rPr>
          <w:rFonts w:hint="eastAsia" w:ascii="仿宋" w:hAnsi="仿宋" w:eastAsia="仿宋" w:cs="仿宋"/>
          <w:color w:val="000000"/>
          <w:sz w:val="24"/>
          <w:szCs w:val="24"/>
        </w:rPr>
        <w:t>.10.3 场内交通</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关于场外交通和场内交通的边界的约定：</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关于发包人向承包人免费提供满足工程施工需要的场内道路和交通设施的约定：</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bookmarkEnd w:id="186"/>
      <w:bookmarkEnd w:id="187"/>
      <w:bookmarkEnd w:id="188"/>
      <w:bookmarkEnd w:id="189"/>
      <w:bookmarkEnd w:id="190"/>
      <w:bookmarkStart w:id="191" w:name="_Toc318581157"/>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1.10.4超大件和超重件的运输</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运输超大件或超重件所需的道路和桥梁临时加固改造费用和其他有关费用由</w:t>
      </w:r>
      <w:r>
        <w:rPr>
          <w:rFonts w:hint="eastAsia" w:ascii="仿宋" w:hAnsi="仿宋" w:eastAsia="仿宋" w:cs="仿宋"/>
          <w:color w:val="000000"/>
          <w:sz w:val="24"/>
          <w:szCs w:val="24"/>
          <w:u w:val="single"/>
        </w:rPr>
        <w:t xml:space="preserve"> 承包人承担。承包人根据工程项目情况应合理预见工程所需超大件或超重件，以及相关采购、运输、仓储等所有可能增加的难度和费用，其费用由承包人自行承担。</w:t>
      </w:r>
    </w:p>
    <w:bookmarkEnd w:id="191"/>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1.11 知识产权</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000000"/>
          <w:sz w:val="24"/>
          <w:szCs w:val="24"/>
          <w:u w:val="single"/>
        </w:rPr>
        <w:t>发包人</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关于发包人提供的上述文件的使用限制的要求：</w:t>
      </w:r>
      <w:r>
        <w:rPr>
          <w:rFonts w:hint="eastAsia" w:ascii="仿宋" w:hAnsi="仿宋" w:eastAsia="仿宋" w:cs="仿宋"/>
          <w:color w:val="000000"/>
          <w:sz w:val="24"/>
          <w:szCs w:val="24"/>
          <w:u w:val="single"/>
        </w:rPr>
        <w:t xml:space="preserve"> 承包人不得将发包人提供的上述文件用于与本合同无关的其他任何事项，如用于承揽其他工程、向第三方出售或用于广告宣传等，否则，发包人有权追究承包人的责任。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1.11.2 关于承包人为实施工程所编制文件的著作权的归属：</w:t>
      </w:r>
      <w:r>
        <w:rPr>
          <w:rFonts w:hint="eastAsia" w:ascii="仿宋" w:hAnsi="仿宋" w:eastAsia="仿宋" w:cs="仿宋"/>
          <w:color w:val="000000"/>
          <w:sz w:val="24"/>
          <w:szCs w:val="24"/>
          <w:u w:val="single"/>
        </w:rPr>
        <w:t>除署名权以外的著作权属于发包人。</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关于承包人提供的上述文件的使用限制的要求：</w:t>
      </w:r>
      <w:r>
        <w:rPr>
          <w:rFonts w:hint="eastAsia" w:ascii="仿宋" w:hAnsi="仿宋" w:eastAsia="仿宋" w:cs="仿宋"/>
          <w:color w:val="000000"/>
          <w:sz w:val="24"/>
          <w:szCs w:val="24"/>
          <w:u w:val="single"/>
        </w:rPr>
        <w:t>承包人不得以本工程提供的上述文件用于与本合同无关的其他任何事项，如用于承揽其他工程、向第三方出售或用于广告宣传等，否则，发包人有权追究承包人的责任。</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1.11.4 承包人在施工过程中所采用的专利、专有技术、技术秘密的使用费的承担方式：</w:t>
      </w:r>
      <w:r>
        <w:rPr>
          <w:rFonts w:hint="eastAsia" w:ascii="仿宋" w:hAnsi="仿宋" w:eastAsia="仿宋" w:cs="仿宋"/>
          <w:color w:val="000000"/>
          <w:sz w:val="24"/>
          <w:szCs w:val="24"/>
          <w:u w:val="single"/>
        </w:rPr>
        <w:t xml:space="preserve">承包人无论使用第三方的或自有的专利、专有技术和技术秘密等，其费用均由承包人自行承担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1.13工程量清单错误的修正</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出现工程量清单错误时，是否调整合同价格：</w:t>
      </w:r>
      <w:r>
        <w:rPr>
          <w:rFonts w:hint="eastAsia" w:ascii="仿宋" w:hAnsi="仿宋" w:eastAsia="仿宋" w:cs="仿宋"/>
          <w:color w:val="000000"/>
          <w:sz w:val="24"/>
          <w:szCs w:val="24"/>
          <w:u w:val="single"/>
        </w:rPr>
        <w:t>调整</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允许调整合同价格的工程量偏差范围：</w:t>
      </w:r>
      <w:bookmarkStart w:id="192" w:name="_Toc351203634"/>
      <w:r>
        <w:rPr>
          <w:rFonts w:hint="eastAsia" w:ascii="仿宋" w:hAnsi="仿宋" w:eastAsia="仿宋" w:cs="仿宋"/>
          <w:color w:val="000000"/>
          <w:sz w:val="24"/>
          <w:szCs w:val="24"/>
          <w:u w:val="single"/>
        </w:rPr>
        <w:t>执行2013年《建设工程工程量清单计价规范》的规定，调整的方法执行本专用合同条款第12条的相关规定</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2</w:t>
      </w:r>
      <w:bookmarkStart w:id="193" w:name="_Toc297120457"/>
      <w:bookmarkStart w:id="194" w:name="_Toc296346658"/>
      <w:bookmarkStart w:id="195" w:name="_Toc296890985"/>
      <w:bookmarkStart w:id="196" w:name="_Toc292559867"/>
      <w:bookmarkStart w:id="197" w:name="_Toc297048343"/>
      <w:bookmarkStart w:id="198" w:name="_Toc292559362"/>
      <w:bookmarkStart w:id="199" w:name="_Toc296944496"/>
      <w:bookmarkStart w:id="200" w:name="_Toc296503157"/>
      <w:bookmarkStart w:id="201" w:name="_Toc296347156"/>
      <w:bookmarkStart w:id="202" w:name="_Toc296891197"/>
      <w:r>
        <w:rPr>
          <w:rFonts w:hint="eastAsia" w:ascii="仿宋" w:hAnsi="仿宋" w:eastAsia="仿宋" w:cs="仿宋"/>
          <w:color w:val="000000"/>
          <w:sz w:val="24"/>
          <w:szCs w:val="24"/>
        </w:rPr>
        <w:t>. 发包人</w:t>
      </w:r>
      <w:bookmarkEnd w:id="192"/>
    </w:p>
    <w:bookmarkEnd w:id="193"/>
    <w:bookmarkEnd w:id="194"/>
    <w:bookmarkEnd w:id="195"/>
    <w:bookmarkEnd w:id="196"/>
    <w:bookmarkEnd w:id="197"/>
    <w:bookmarkEnd w:id="198"/>
    <w:bookmarkEnd w:id="199"/>
    <w:bookmarkEnd w:id="200"/>
    <w:bookmarkEnd w:id="201"/>
    <w:bookmarkEnd w:id="202"/>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发包人对发包人代表的授权范围如下：</w:t>
      </w:r>
      <w:r>
        <w:rPr>
          <w:rFonts w:hint="eastAsia" w:ascii="仿宋" w:hAnsi="仿宋" w:eastAsia="仿宋" w:cs="仿宋"/>
          <w:color w:val="000000"/>
          <w:sz w:val="24"/>
          <w:szCs w:val="24"/>
          <w:u w:val="single"/>
        </w:rPr>
        <w:t>设计变更、工程经济签证等引起工程价款洽商、索赔事项的处理、合同的变更、工期调整等</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 施工现场、施工条件和基础资料的提供</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2.4.1 提供施工现场</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关于发包人移交施工现场的期限要求：</w:t>
      </w:r>
      <w:r>
        <w:rPr>
          <w:rFonts w:hint="eastAsia" w:ascii="仿宋" w:hAnsi="仿宋" w:eastAsia="仿宋" w:cs="仿宋"/>
          <w:color w:val="000000"/>
          <w:sz w:val="24"/>
          <w:szCs w:val="24"/>
          <w:u w:val="single"/>
        </w:rPr>
        <w:t>最迟于开工日期7天前</w:t>
      </w:r>
      <w:r>
        <w:rPr>
          <w:rFonts w:hint="eastAsia" w:ascii="仿宋" w:hAnsi="仿宋" w:eastAsia="仿宋" w:cs="仿宋"/>
          <w:color w:val="000000"/>
          <w:sz w:val="24"/>
          <w:szCs w:val="24"/>
        </w:rPr>
        <w:t>。</w:t>
      </w:r>
      <w:bookmarkStart w:id="203" w:name="_Toc351203635"/>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2.4.2 提供施工条件</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关于发包人应负责提供施工所需要的条件，包括：</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after="120"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2.5 资金来源证明及支付担保</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发包人提供资金来源证明的期限要求：</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发包人是否提供支付担保：</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发包人提供支付担保的形式：</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bookmarkStart w:id="204" w:name="_Toc296891198"/>
      <w:bookmarkStart w:id="205" w:name="_Toc296347157"/>
      <w:bookmarkStart w:id="206" w:name="_Toc296944497"/>
      <w:bookmarkStart w:id="207" w:name="_Toc296890986"/>
      <w:bookmarkStart w:id="208" w:name="_Toc292559363"/>
      <w:bookmarkStart w:id="209" w:name="_Toc296503158"/>
      <w:bookmarkStart w:id="210" w:name="_Toc296346659"/>
      <w:bookmarkStart w:id="211" w:name="_Toc297048344"/>
      <w:bookmarkStart w:id="212" w:name="_Toc292559868"/>
      <w:bookmarkStart w:id="213" w:name="_Toc297120458"/>
      <w:r>
        <w:rPr>
          <w:rFonts w:hint="eastAsia" w:ascii="仿宋" w:hAnsi="仿宋" w:eastAsia="仿宋" w:cs="仿宋"/>
          <w:color w:val="000000"/>
          <w:sz w:val="24"/>
          <w:szCs w:val="24"/>
        </w:rPr>
        <w:t>. 承包人</w:t>
      </w:r>
      <w:bookmarkEnd w:id="203"/>
    </w:p>
    <w:bookmarkEnd w:id="204"/>
    <w:bookmarkEnd w:id="205"/>
    <w:bookmarkEnd w:id="206"/>
    <w:bookmarkEnd w:id="207"/>
    <w:bookmarkEnd w:id="208"/>
    <w:bookmarkEnd w:id="209"/>
    <w:bookmarkEnd w:id="210"/>
    <w:bookmarkEnd w:id="211"/>
    <w:bookmarkEnd w:id="212"/>
    <w:bookmarkEnd w:id="213"/>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3.1 承包人的一般义务</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（5）</w:t>
      </w:r>
      <w:r>
        <w:rPr>
          <w:rFonts w:hint="eastAsia" w:ascii="仿宋" w:hAnsi="仿宋" w:eastAsia="仿宋" w:cs="仿宋"/>
          <w:color w:val="000000"/>
          <w:sz w:val="24"/>
          <w:szCs w:val="24"/>
        </w:rPr>
        <w:t>承包人提交的竣工资料的内容：</w:t>
      </w:r>
      <w:r>
        <w:rPr>
          <w:rFonts w:hint="eastAsia" w:ascii="仿宋" w:hAnsi="仿宋" w:eastAsia="仿宋" w:cs="仿宋"/>
          <w:color w:val="000000"/>
          <w:sz w:val="24"/>
          <w:szCs w:val="24"/>
          <w:u w:val="single"/>
        </w:rPr>
        <w:t>按照法律法规及相关规定、克拉玛依市城建档案馆或高新区（白碱滩区）档案馆要求以及监理人、发包人要求提供工程建设过程中的各项资料</w:t>
      </w:r>
      <w:r>
        <w:rPr>
          <w:rFonts w:hint="eastAsia" w:ascii="仿宋" w:hAnsi="仿宋" w:eastAsia="仿宋" w:cs="仿宋"/>
          <w:color w:val="000000"/>
          <w:sz w:val="24"/>
          <w:szCs w:val="24"/>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承包人需要提交的竣工资料套数：</w:t>
      </w:r>
      <w:r>
        <w:rPr>
          <w:rFonts w:hint="eastAsia" w:ascii="仿宋" w:hAnsi="仿宋" w:eastAsia="仿宋" w:cs="仿宋"/>
          <w:bCs/>
          <w:color w:val="000000"/>
          <w:sz w:val="24"/>
          <w:szCs w:val="24"/>
          <w:u w:val="single"/>
        </w:rPr>
        <w:t>一式叁份书面资料（其中二套为原始件），并提供相应光盘3套。符合《质量管理条例》、《城市建设档案管理规定》的要求。</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承包人提交的竣工资料的费用承担：</w:t>
      </w:r>
      <w:r>
        <w:rPr>
          <w:rFonts w:hint="eastAsia" w:ascii="仿宋" w:hAnsi="仿宋" w:eastAsia="仿宋" w:cs="仿宋"/>
          <w:color w:val="000000"/>
          <w:sz w:val="24"/>
          <w:szCs w:val="24"/>
          <w:u w:val="single"/>
        </w:rPr>
        <w:t xml:space="preserve">承包人自行承担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承包人提交的竣工资料移交时间：</w:t>
      </w:r>
      <w:r>
        <w:rPr>
          <w:rFonts w:hint="eastAsia" w:ascii="仿宋" w:hAnsi="仿宋" w:eastAsia="仿宋" w:cs="仿宋"/>
          <w:color w:val="000000"/>
          <w:sz w:val="24"/>
          <w:szCs w:val="24"/>
          <w:u w:val="single"/>
        </w:rPr>
        <w:t xml:space="preserve"> 竣工验收合格签字之日起90日内提供</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承包人提交的竣工资料形式要求：</w:t>
      </w:r>
      <w:r>
        <w:rPr>
          <w:rFonts w:hint="eastAsia" w:ascii="仿宋" w:hAnsi="仿宋" w:eastAsia="仿宋" w:cs="仿宋"/>
          <w:color w:val="000000"/>
          <w:sz w:val="24"/>
          <w:szCs w:val="24"/>
          <w:u w:val="single"/>
        </w:rPr>
        <w:t>承包人提供的所有资料应满足工程备案要求并经克拉玛依市城建档案馆或高新区（白碱滩区）档案馆档案验收合格。如未通过克拉玛依市城建档案馆或高新区（白碱滩区）档案馆档案验收者，则发包人将停止支付承包人的工程结算款，待合格后再进行结算。</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书面版按档案管理要求装订成册并符合克拉玛依市城建档案馆或高新区（白碱滩区）档案馆对档案资料归档的相关规定；必须包含竣工资料的所有全部内容并与书面版资料一致</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（6）承包人应履行的其他义务：</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①做好生活设施、料场、临时作业场地的租赁工作（在施工场地之外）。</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②协助发包人做好工程开工前的施工许可证等有关手续的办理并及时提供办理手续所需的相关资料。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③按发包人代表要求每月20日递交各类报表，一式伍份。</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④负责协调施工场内、场外与施工有关的各种关系，办理应由承包人办理的各种证件、批件并承担由此所发生的费用。</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⑤施工防护工作：施工期间承包人须对本工程的及其不能影响到的其他专业工程和现场采取必要的措施进行加固、维护、安全防护和损毁修复，并承担由此发生的一切费用。</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szCs w:val="24"/>
          <w:u w:val="single"/>
        </w:rPr>
        <w:t>⑥</w:t>
      </w:r>
      <w:r>
        <w:rPr>
          <w:rFonts w:hint="eastAsia" w:ascii="仿宋" w:hAnsi="仿宋" w:eastAsia="仿宋" w:cs="仿宋"/>
          <w:color w:val="000000"/>
          <w:sz w:val="24"/>
          <w:u w:val="single"/>
        </w:rPr>
        <w:t xml:space="preserve">工地作业和施工方法：承包人应对工地所有作业和施工方法适当性、可靠性及安全性负责。同时根据施工现场的实际情况建立健全的质量保证体系、环境保证体系和职业健康与安全保证体系。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szCs w:val="24"/>
          <w:u w:val="single"/>
        </w:rPr>
        <w:t>⑦</w:t>
      </w:r>
      <w:r>
        <w:rPr>
          <w:rFonts w:hint="eastAsia" w:ascii="仿宋" w:hAnsi="仿宋" w:eastAsia="仿宋" w:cs="仿宋"/>
          <w:color w:val="000000"/>
          <w:sz w:val="24"/>
          <w:u w:val="single"/>
        </w:rPr>
        <w:t>对于承包人或其分包人所雇用的工人发生意外事故或伤害和赔偿，应由承包人自行承担。对于此类事故或损害和赔偿，发包人均不予承担任何责任，且发包人不承担涉及此类事故或损害与赔偿或与此有关的索赔、诉讼、损害赔偿、诉讼费、赔偿费及其它所有费用。</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szCs w:val="24"/>
          <w:u w:val="single"/>
        </w:rPr>
        <w:t>⑧</w:t>
      </w:r>
      <w:r>
        <w:rPr>
          <w:rFonts w:hint="eastAsia" w:ascii="仿宋" w:hAnsi="仿宋" w:eastAsia="仿宋" w:cs="仿宋"/>
          <w:color w:val="000000"/>
          <w:sz w:val="24"/>
          <w:u w:val="single"/>
        </w:rPr>
        <w:t>承包人应当加强工程款管理，做到专款专用，不得拖欠材料、设备货款、农民工和工人工资等费用。监理工程师或发包人对工程款使用情况进行监督检查时，承包人应当积极配合，不得阻扰和拒绝。如承包人发生本款所述拖欠行为，一经查实，发包人责令承包人自行组织资金迅速偿还欠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szCs w:val="24"/>
          <w:u w:val="single"/>
        </w:rPr>
        <w:t>⑨承包人应按照合同实施完成本工程，并在质量保修期内承担修补工程中的任何质量缺陷等。</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u w:val="single"/>
        </w:rPr>
        <w:t>⑩依法纳税：承包人应根据政府相关规定，缴纳相关税费，如需发包人代扣代缴的，发包人有权代扣代缴。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u w:val="single"/>
        </w:rPr>
        <w:fldChar w:fldCharType="begin"/>
      </w:r>
      <w:r>
        <w:rPr>
          <w:rFonts w:hint="eastAsia" w:ascii="仿宋" w:hAnsi="仿宋" w:eastAsia="仿宋" w:cs="仿宋"/>
          <w:color w:val="000000"/>
          <w:sz w:val="24"/>
          <w:u w:val="single"/>
        </w:rPr>
        <w:instrText xml:space="preserve"> eq \o\ac(○,</w:instrText>
      </w:r>
      <w:r>
        <w:rPr>
          <w:rFonts w:hint="eastAsia" w:ascii="仿宋" w:hAnsi="仿宋" w:eastAsia="仿宋" w:cs="仿宋"/>
          <w:color w:val="000000"/>
          <w:position w:val="2"/>
          <w:sz w:val="16"/>
        </w:rPr>
        <w:instrText xml:space="preserve">⑾</w:instrText>
      </w:r>
      <w:r>
        <w:rPr>
          <w:rFonts w:hint="eastAsia" w:ascii="仿宋" w:hAnsi="仿宋" w:eastAsia="仿宋" w:cs="仿宋"/>
          <w:color w:val="000000"/>
          <w:sz w:val="24"/>
          <w:u w:val="single"/>
        </w:rPr>
        <w:instrText xml:space="preserve">)</w:instrText>
      </w:r>
      <w:r>
        <w:rPr>
          <w:rFonts w:hint="eastAsia" w:ascii="仿宋" w:hAnsi="仿宋" w:eastAsia="仿宋" w:cs="仿宋"/>
          <w:color w:val="000000"/>
          <w:sz w:val="24"/>
          <w:u w:val="single"/>
        </w:rPr>
        <w:fldChar w:fldCharType="end"/>
      </w:r>
      <w:r>
        <w:rPr>
          <w:rFonts w:hint="eastAsia" w:ascii="仿宋" w:hAnsi="仿宋" w:eastAsia="仿宋" w:cs="仿宋"/>
          <w:color w:val="000000"/>
          <w:sz w:val="24"/>
          <w:szCs w:val="24"/>
          <w:u w:val="single"/>
        </w:rPr>
        <w:t>配合发包人做好本工程其它相关工作。</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3.2 项目经理</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 xml:space="preserve">3.2.1 </w:t>
      </w:r>
      <w:r>
        <w:rPr>
          <w:rFonts w:hint="eastAsia" w:ascii="仿宋" w:hAnsi="仿宋" w:eastAsia="仿宋" w:cs="仿宋"/>
          <w:color w:val="000000"/>
          <w:sz w:val="24"/>
          <w:szCs w:val="24"/>
        </w:rPr>
        <w:t>项目经理：</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承包人对项目经理的授权范围如下：</w:t>
      </w:r>
      <w:r>
        <w:rPr>
          <w:rFonts w:hint="eastAsia" w:ascii="仿宋" w:hAnsi="仿宋" w:eastAsia="仿宋" w:cs="仿宋"/>
          <w:color w:val="000000"/>
          <w:sz w:val="24"/>
          <w:szCs w:val="24"/>
          <w:u w:val="single"/>
        </w:rPr>
        <w:t>按照承包人的授权范围执行。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kern w:val="0"/>
          <w:sz w:val="24"/>
          <w:szCs w:val="24"/>
        </w:rPr>
        <w:t>关于项目经理每月在施工现场的时间要求：</w:t>
      </w:r>
      <w:r>
        <w:rPr>
          <w:rFonts w:hint="eastAsia" w:ascii="仿宋" w:hAnsi="仿宋" w:eastAsia="仿宋" w:cs="仿宋"/>
          <w:color w:val="000000"/>
          <w:sz w:val="24"/>
          <w:szCs w:val="24"/>
          <w:u w:val="single"/>
        </w:rPr>
        <w:t>承包人在项目实施过程中的项目经理应为投标文件中所报的项目经理，并经发包人认可。</w:t>
      </w:r>
      <w:r>
        <w:rPr>
          <w:rFonts w:hint="eastAsia" w:ascii="仿宋" w:hAnsi="仿宋" w:eastAsia="仿宋" w:cs="仿宋"/>
          <w:color w:val="000000"/>
          <w:kern w:val="0"/>
          <w:sz w:val="24"/>
          <w:szCs w:val="24"/>
          <w:u w:val="single"/>
        </w:rPr>
        <w:t>常驻施工现场每月</w:t>
      </w:r>
      <w:r>
        <w:rPr>
          <w:rFonts w:hint="eastAsia" w:ascii="仿宋" w:hAnsi="仿宋" w:eastAsia="仿宋" w:cs="仿宋"/>
          <w:color w:val="000000"/>
          <w:sz w:val="24"/>
          <w:szCs w:val="24"/>
          <w:u w:val="single"/>
        </w:rPr>
        <w:t>不得少于25天。负责协调承包人在工程建设全过程的各项协调配合工作，随时解决施工过程中出现的问题。承包人项目经理短期（指5日及以下）离开施工现场时，应事先征得发包人同意，并委派代表行其职责。</w:t>
      </w:r>
      <w:r>
        <w:rPr>
          <w:rFonts w:hint="eastAsia" w:ascii="仿宋" w:hAnsi="仿宋" w:eastAsia="仿宋" w:cs="仿宋"/>
          <w:color w:val="000000"/>
          <w:sz w:val="24"/>
          <w:u w:val="single"/>
        </w:rPr>
        <w:t>项目经理必须出席由发包人及监理单位主持的每周例会并书面汇报本周进度完成情况并提出下周进度计划及重要协调会。</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承包人未提交劳动合同，以及没有为项目经理缴纳社会保险证明的违约责任：</w:t>
      </w:r>
      <w:r>
        <w:rPr>
          <w:rFonts w:hint="eastAsia" w:ascii="仿宋" w:hAnsi="仿宋" w:eastAsia="仿宋" w:cs="仿宋"/>
          <w:color w:val="000000"/>
          <w:sz w:val="24"/>
          <w:szCs w:val="24"/>
          <w:u w:val="single"/>
        </w:rPr>
        <w:t>每发生一次，向发包人支付签约合同价格5‰的违约金，并无条件予以纠正，由此造成的责任和损失由承包人自行承担</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项目经理未经批准，擅自离开施工现场的违约责任：</w:t>
      </w:r>
      <w:r>
        <w:rPr>
          <w:rFonts w:hint="eastAsia" w:ascii="仿宋" w:hAnsi="仿宋" w:eastAsia="仿宋" w:cs="仿宋"/>
          <w:color w:val="000000"/>
          <w:sz w:val="24"/>
          <w:szCs w:val="24"/>
          <w:u w:val="single"/>
        </w:rPr>
        <w:t>每发生一次，向发包人支付签约合同价格5‰的违约金；并无条件予以纠正。由此造成的责任和损失由承包人自行承担。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3.2.3 承包人擅自更换项目经理的违约责任：</w:t>
      </w:r>
      <w:r>
        <w:rPr>
          <w:rFonts w:hint="eastAsia" w:ascii="仿宋" w:hAnsi="仿宋" w:eastAsia="仿宋" w:cs="仿宋"/>
          <w:color w:val="000000"/>
          <w:sz w:val="24"/>
          <w:szCs w:val="24"/>
          <w:u w:val="single"/>
        </w:rPr>
        <w:t>承包人不得随意擅自更换项目经理，承包人确需更换项目经理时，必须征得发包人同意，并应在更换前14日通知发包人和监理人。</w:t>
      </w:r>
      <w:r>
        <w:rPr>
          <w:rFonts w:hint="eastAsia" w:ascii="仿宋" w:hAnsi="仿宋" w:eastAsia="仿宋" w:cs="仿宋"/>
          <w:b/>
          <w:bCs/>
          <w:color w:val="000000"/>
          <w:kern w:val="0"/>
          <w:sz w:val="24"/>
          <w:u w:val="single"/>
        </w:rPr>
        <w:t>项目经理原则上不得变更，除克建发【2011】210号文件中规定的第二条第（二）、（四）条款除外。项目负责人变更，承包人应向发包人支付壹拾万元/人次的违约金</w:t>
      </w:r>
      <w:r>
        <w:rPr>
          <w:rFonts w:hint="eastAsia" w:ascii="仿宋" w:hAnsi="仿宋" w:eastAsia="仿宋" w:cs="仿宋"/>
          <w:bCs/>
          <w:color w:val="000000"/>
          <w:kern w:val="0"/>
          <w:sz w:val="24"/>
          <w:u w:val="single"/>
        </w:rPr>
        <w:t>；</w:t>
      </w:r>
      <w:r>
        <w:rPr>
          <w:rFonts w:hint="eastAsia" w:ascii="仿宋" w:hAnsi="仿宋" w:eastAsia="仿宋" w:cs="仿宋"/>
          <w:color w:val="000000"/>
          <w:sz w:val="24"/>
          <w:szCs w:val="24"/>
          <w:u w:val="single"/>
        </w:rPr>
        <w:t>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3.2.4 承包人无正当理由拒绝更换项目经理的违约责任：</w:t>
      </w:r>
      <w:r>
        <w:rPr>
          <w:rFonts w:hint="eastAsia" w:ascii="仿宋" w:hAnsi="仿宋" w:eastAsia="仿宋" w:cs="仿宋"/>
          <w:color w:val="000000"/>
          <w:sz w:val="24"/>
          <w:szCs w:val="24"/>
          <w:u w:val="single"/>
        </w:rPr>
        <w:t>承包人应对其项目经理进行有效管理，发包人要求撤换不胜任本职工作、行为不端或玩忽职守的项目经理，承包人应无条件予以撤换。由此而产生的一切费用和责任均由承包人承担。且每发生一次，向发包人支付签约合同价格5‰的违约金。并无条件予以更换。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 承包人人员</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3.3.1 承包人提交项目管理机构及施工现场管理人员安排报告的期限：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3.3.3 承包人无正当理由拒绝撤换主要施工管理人员的违约责任：</w:t>
      </w:r>
      <w:r>
        <w:rPr>
          <w:rFonts w:hint="eastAsia" w:ascii="仿宋" w:hAnsi="仿宋" w:eastAsia="仿宋" w:cs="仿宋"/>
          <w:color w:val="000000"/>
          <w:sz w:val="24"/>
          <w:szCs w:val="24"/>
          <w:u w:val="single"/>
        </w:rPr>
        <w:t>承包人应对其项目组织机构人员及其他人员进行有效管理，发包人要求撤换不胜任本职工作、行为不端或玩忽职守的项目组织机构人员及其他人员的，承包人应无条件予以撤换。由此而产生的一切费用和责任均由承包人承担。且每发生一次，向发包人支付签约合同价格5‰的违约金。并无条件予以更换。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3.3.4 承包人主要施工管理人员离开施工现场的批准要求：</w:t>
      </w:r>
      <w:r>
        <w:rPr>
          <w:rFonts w:hint="eastAsia" w:ascii="仿宋" w:hAnsi="仿宋" w:eastAsia="仿宋" w:cs="仿宋"/>
          <w:color w:val="000000"/>
          <w:sz w:val="24"/>
          <w:szCs w:val="24"/>
          <w:u w:val="single"/>
        </w:rPr>
        <w:t xml:space="preserve">执行通用合同条款本条款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
          <w:color w:val="000000"/>
          <w:sz w:val="24"/>
          <w:szCs w:val="24"/>
          <w:u w:val="single"/>
        </w:rPr>
      </w:pPr>
      <w:r>
        <w:rPr>
          <w:rFonts w:hint="eastAsia" w:ascii="仿宋" w:hAnsi="仿宋" w:eastAsia="仿宋" w:cs="仿宋"/>
          <w:color w:val="000000"/>
          <w:sz w:val="24"/>
          <w:szCs w:val="24"/>
        </w:rPr>
        <w:t>3.3.5承包人擅自更换主要施工管理人员的违约责任：</w:t>
      </w:r>
      <w:r>
        <w:rPr>
          <w:rFonts w:hint="eastAsia" w:ascii="仿宋" w:hAnsi="仿宋" w:eastAsia="仿宋" w:cs="仿宋"/>
          <w:color w:val="000000"/>
          <w:sz w:val="24"/>
          <w:szCs w:val="24"/>
          <w:u w:val="single"/>
        </w:rPr>
        <w:t>承包人在项目实施过程中的项目组织机构人员应为投标文件中所报的项目组织机构人员并满足</w:t>
      </w:r>
      <w:r>
        <w:rPr>
          <w:rFonts w:hint="eastAsia" w:ascii="仿宋" w:hAnsi="仿宋" w:eastAsia="仿宋" w:cs="仿宋"/>
          <w:color w:val="000000"/>
          <w:sz w:val="24"/>
          <w:szCs w:val="24"/>
          <w:u w:val="single"/>
          <w:lang w:val="zh-CN"/>
        </w:rPr>
        <w:t>本工程建设需要</w:t>
      </w:r>
      <w:r>
        <w:rPr>
          <w:rFonts w:hint="eastAsia" w:ascii="仿宋" w:hAnsi="仿宋" w:eastAsia="仿宋" w:cs="仿宋"/>
          <w:color w:val="000000"/>
          <w:sz w:val="24"/>
          <w:szCs w:val="24"/>
          <w:u w:val="single"/>
        </w:rPr>
        <w:t>。</w:t>
      </w:r>
      <w:r>
        <w:rPr>
          <w:rFonts w:hint="eastAsia" w:ascii="仿宋" w:hAnsi="仿宋" w:eastAsia="仿宋" w:cs="仿宋"/>
          <w:b/>
          <w:bCs/>
          <w:color w:val="000000"/>
          <w:kern w:val="0"/>
          <w:sz w:val="24"/>
          <w:u w:val="single"/>
        </w:rPr>
        <w:t>承包人应拟派强有力的现场管理班子，提供的项目技术负责人、施工员、</w:t>
      </w:r>
      <w:r>
        <w:rPr>
          <w:rFonts w:hint="eastAsia" w:ascii="仿宋" w:hAnsi="仿宋" w:eastAsia="仿宋" w:cs="仿宋"/>
          <w:b/>
          <w:bCs/>
          <w:color w:val="000000"/>
          <w:kern w:val="0"/>
          <w:sz w:val="24"/>
          <w:u w:val="single"/>
          <w:lang w:eastAsia="zh-CN"/>
        </w:rPr>
        <w:t>劳务员</w:t>
      </w:r>
      <w:r>
        <w:rPr>
          <w:rFonts w:hint="eastAsia" w:ascii="仿宋" w:hAnsi="仿宋" w:eastAsia="仿宋" w:cs="仿宋"/>
          <w:b/>
          <w:bCs/>
          <w:color w:val="000000"/>
          <w:kern w:val="0"/>
          <w:sz w:val="24"/>
          <w:u w:val="single"/>
        </w:rPr>
        <w:t>、质量员、安全员、材料员、机械员、资料员等人员名单，须有相应的资格证或上岗证。投标所报的主要施工管理人员必须与中标后实际施工时人员名单相一致。现场管理人员原则上不得变更，</w:t>
      </w:r>
      <w:r>
        <w:rPr>
          <w:rFonts w:hint="eastAsia" w:ascii="仿宋" w:hAnsi="仿宋" w:eastAsia="仿宋" w:cs="仿宋"/>
          <w:color w:val="000000"/>
          <w:sz w:val="24"/>
          <w:szCs w:val="24"/>
          <w:u w:val="single"/>
        </w:rPr>
        <w:t>承包人不得随意擅自更换项目组织机构人员，承包人确需更换项目组织机构人员时，必须征得发包人同意，并应在更换前14日通知发包人和监理人。</w:t>
      </w:r>
      <w:r>
        <w:rPr>
          <w:rFonts w:hint="eastAsia" w:ascii="仿宋" w:hAnsi="仿宋" w:eastAsia="仿宋" w:cs="仿宋"/>
          <w:b/>
          <w:bCs/>
          <w:color w:val="000000"/>
          <w:kern w:val="0"/>
          <w:sz w:val="24"/>
          <w:u w:val="single"/>
        </w:rPr>
        <w:t>除克建发【2011】210号文件中规定的第二条第（二）、（四）条款除外。技术负责人、安全员、质检员变更，承包人应向发包人支付伍万元/人次的违约金；其他管理人员变更，承包人应向发包人支付叁万元/人次的违约金。施工现场项目管理人员变更执行克建发【2011】210号文。</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承包人主要施工管理人员擅自离开施工现场的违约责任：</w:t>
      </w:r>
      <w:r>
        <w:rPr>
          <w:rFonts w:hint="eastAsia" w:ascii="仿宋" w:hAnsi="仿宋" w:eastAsia="仿宋" w:cs="仿宋"/>
          <w:color w:val="000000"/>
          <w:sz w:val="24"/>
          <w:szCs w:val="24"/>
          <w:u w:val="single"/>
        </w:rPr>
        <w:t>每发生一次，向发包人支付签约合同价格5‰的违约金。并无条件予以纠正。由此造成的责任和损失由承包人自行承担。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还应执行：</w:t>
      </w:r>
    </w:p>
    <w:p>
      <w:pPr>
        <w:keepNext w:val="0"/>
        <w:keepLines w:val="0"/>
        <w:pageBreakBefore w:val="0"/>
        <w:widowControl w:val="0"/>
        <w:numPr>
          <w:ilvl w:val="0"/>
          <w:numId w:val="0"/>
        </w:numPr>
        <w:wordWrap/>
        <w:topLinePunct w:val="0"/>
        <w:bidi w:val="0"/>
        <w:spacing w:line="360" w:lineRule="auto"/>
        <w:ind w:leftChars="200"/>
        <w:textAlignment w:val="auto"/>
        <w:rPr>
          <w:rFonts w:hint="eastAsia" w:ascii="仿宋" w:hAnsi="仿宋" w:eastAsia="仿宋" w:cs="仿宋"/>
          <w:b/>
          <w:color w:val="000000"/>
          <w:sz w:val="24"/>
          <w:szCs w:val="24"/>
          <w:u w:val="single"/>
        </w:rPr>
      </w:pPr>
      <w:r>
        <w:rPr>
          <w:rFonts w:hint="eastAsia" w:ascii="仿宋" w:hAnsi="仿宋" w:eastAsia="仿宋" w:cs="仿宋"/>
          <w:b/>
          <w:bCs/>
          <w:color w:val="000000"/>
          <w:kern w:val="0"/>
          <w:sz w:val="24"/>
          <w:u w:val="single"/>
        </w:rPr>
        <w:t>①建筑施工工地作业人员实名制管理执行克劳社发【2012】15号文。</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②</w:t>
      </w:r>
      <w:r>
        <w:rPr>
          <w:rFonts w:hint="eastAsia" w:ascii="仿宋" w:hAnsi="仿宋" w:eastAsia="仿宋" w:cs="仿宋"/>
          <w:color w:val="000000"/>
          <w:sz w:val="24"/>
          <w:szCs w:val="24"/>
          <w:u w:val="single"/>
        </w:rPr>
        <w:t>承包人配置在本工程的造价人员必须根据工程建设进度随时跟踪、收集工程变更及各项经济签证资料，在合同规定的时间内编制出预算书，并与洽商、签证、变更资料一同报送监理人和发包人审核，以确认变更价款。承包人未在规定时间内提供相应资料的，发包人有权不予确认且</w:t>
      </w:r>
      <w:r>
        <w:rPr>
          <w:rFonts w:hint="eastAsia" w:ascii="仿宋" w:hAnsi="仿宋" w:eastAsia="仿宋" w:cs="仿宋"/>
          <w:b/>
          <w:color w:val="000000"/>
          <w:sz w:val="24"/>
          <w:szCs w:val="24"/>
          <w:u w:val="single"/>
        </w:rPr>
        <w:t>每发生一次向发包人支付签约合同价格1%的违约金。并无条件予以纠正，由此造成的一切责任和损失均由承包人承担。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③</w:t>
      </w:r>
      <w:r>
        <w:rPr>
          <w:rFonts w:hint="eastAsia" w:ascii="仿宋" w:hAnsi="仿宋" w:eastAsia="仿宋" w:cs="仿宋"/>
          <w:color w:val="000000"/>
          <w:sz w:val="24"/>
          <w:szCs w:val="24"/>
          <w:u w:val="single"/>
        </w:rPr>
        <w:t>承包人配备在本工程项目的专职的安全员必须满足国家相关法律法规要求。</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尽管承包人已按投标文件中所列的数量派遣了施工管理各类人员，但若监理人或发包人认为这些人员仍不足以适应现场施工的需要并不能保证工程进度时，监理人有权要求承包人继续增派或雇用这类人员并书面通知承包人。承包人在接到通知后应立即执行监理人的指示，不得无故拖延。</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⑤特殊工种（电工、电梯工、起重工、电焊工、驾驶员、爆破工等）必须经过专业培训，并持有效合格证或上岗证上岗。监理人有权随时检查承包人派驻现场人员的上岗资格证明情况。如发现无证上岗人员，每发生一次，向发包人支付签约合同价格5‰的违约金。并无条件予以纠正。由此造成的责任和损失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w:t>
      </w:r>
      <w:bookmarkStart w:id="214" w:name="_Toc296890987"/>
      <w:bookmarkStart w:id="215" w:name="_Toc296891199"/>
      <w:bookmarkStart w:id="216" w:name="_Toc292559364"/>
      <w:bookmarkStart w:id="217" w:name="_Toc312677988"/>
      <w:bookmarkStart w:id="218" w:name="_Toc296346660"/>
      <w:bookmarkStart w:id="219" w:name="_Toc300934945"/>
      <w:bookmarkStart w:id="220" w:name="_Toc296347158"/>
      <w:bookmarkStart w:id="221" w:name="_Toc296944498"/>
      <w:bookmarkStart w:id="222" w:name="_Toc304295523"/>
      <w:bookmarkStart w:id="223" w:name="_Toc292559869"/>
      <w:bookmarkStart w:id="224" w:name="_Toc303539102"/>
      <w:bookmarkStart w:id="225" w:name="_Toc297123492"/>
      <w:bookmarkStart w:id="226" w:name="_Toc297120459"/>
      <w:bookmarkStart w:id="227" w:name="_Toc297048345"/>
      <w:bookmarkStart w:id="228" w:name="_Toc296503159"/>
      <w:bookmarkStart w:id="229" w:name="_Toc297216151"/>
      <w:r>
        <w:rPr>
          <w:rFonts w:hint="eastAsia" w:ascii="仿宋" w:hAnsi="仿宋" w:eastAsia="仿宋" w:cs="仿宋"/>
          <w:color w:val="000000"/>
          <w:sz w:val="24"/>
          <w:szCs w:val="24"/>
          <w:highlight w:val="none"/>
        </w:rPr>
        <w:t>.5 分包</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keepNext w:val="0"/>
        <w:keepLines w:val="0"/>
        <w:pageBreakBefore w:val="0"/>
        <w:widowControl w:val="0"/>
        <w:numPr>
          <w:ilvl w:val="0"/>
          <w:numId w:val="0"/>
        </w:numPr>
        <w:wordWrap/>
        <w:topLinePunct w:val="0"/>
        <w:bidi w:val="0"/>
        <w:spacing w:line="360" w:lineRule="auto"/>
        <w:ind w:leftChars="200"/>
        <w:textAlignment w:val="auto"/>
        <w:rPr>
          <w:rFonts w:hint="eastAsia" w:ascii="仿宋" w:hAnsi="仿宋" w:eastAsia="仿宋" w:cs="仿宋"/>
          <w:color w:val="000000"/>
          <w:sz w:val="24"/>
          <w:szCs w:val="24"/>
          <w:highlight w:val="none"/>
        </w:rPr>
      </w:pPr>
      <w:bookmarkStart w:id="230" w:name="_Toc300934946"/>
      <w:bookmarkStart w:id="231" w:name="_Toc297048346"/>
      <w:bookmarkStart w:id="232" w:name="_Toc297123493"/>
      <w:bookmarkStart w:id="233" w:name="_Toc297216152"/>
      <w:bookmarkStart w:id="234" w:name="_Toc312677989"/>
      <w:bookmarkStart w:id="235" w:name="_Toc292559365"/>
      <w:bookmarkStart w:id="236" w:name="_Toc296346661"/>
      <w:bookmarkStart w:id="237" w:name="_Toc292559870"/>
      <w:bookmarkStart w:id="238" w:name="_Toc297120460"/>
      <w:bookmarkStart w:id="239" w:name="_Toc296890988"/>
      <w:bookmarkStart w:id="240" w:name="_Toc318581158"/>
      <w:bookmarkStart w:id="241" w:name="_Toc304295524"/>
      <w:bookmarkStart w:id="242" w:name="_Toc296503160"/>
      <w:bookmarkStart w:id="243" w:name="_Toc296944499"/>
      <w:bookmarkStart w:id="244" w:name="_Toc296891200"/>
      <w:bookmarkStart w:id="245" w:name="_Toc303539103"/>
      <w:bookmarkStart w:id="246" w:name="_Toc296347159"/>
      <w:r>
        <w:rPr>
          <w:rFonts w:hint="eastAsia" w:ascii="仿宋" w:hAnsi="仿宋" w:eastAsia="仿宋" w:cs="仿宋"/>
          <w:color w:val="000000"/>
          <w:sz w:val="24"/>
          <w:szCs w:val="24"/>
          <w:highlight w:val="none"/>
          <w:lang w:val="en-US" w:eastAsia="zh-CN"/>
        </w:rPr>
        <w:t>3.5.1</w:t>
      </w:r>
      <w:r>
        <w:rPr>
          <w:rFonts w:hint="eastAsia" w:ascii="仿宋" w:hAnsi="仿宋" w:eastAsia="仿宋" w:cs="仿宋"/>
          <w:color w:val="000000"/>
          <w:sz w:val="24"/>
          <w:szCs w:val="24"/>
          <w:highlight w:val="none"/>
        </w:rPr>
        <w:t>分包的一般约定</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Start w:id="247" w:name="_Toc312677990"/>
      <w:bookmarkStart w:id="248" w:name="_Toc318581159"/>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禁止分包的工程包括：</w:t>
      </w:r>
      <w:r>
        <w:rPr>
          <w:rFonts w:hint="eastAsia" w:ascii="仿宋" w:hAnsi="仿宋" w:eastAsia="仿宋" w:cs="仿宋"/>
          <w:color w:val="000000"/>
          <w:sz w:val="24"/>
          <w:szCs w:val="24"/>
          <w:highlight w:val="none"/>
          <w:u w:val="single"/>
        </w:rPr>
        <w:t>（1）主体结构和关键性工作。承包人违反本款规定分包的，发包人和监理人向承包人发出整改通知，要求其在指定的期限内改正或解除合同。承包人应承担其违约所引起的费用增加和（或）工期延误及一切责任，并向发包人支付签约合同价格3％的违约金。</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u w:val="single"/>
        </w:rPr>
        <w:t>（2）承包人不得转包或转让所承包的全部或部分工程，也不得肢解所承包的工程以分包的名义分别转包给他人。</w:t>
      </w:r>
    </w:p>
    <w:bookmarkEnd w:id="247"/>
    <w:bookmarkEnd w:id="248"/>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3.5.2分包的确定</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允许分包的专业工程包括：</w:t>
      </w:r>
      <w:r>
        <w:rPr>
          <w:rFonts w:hint="eastAsia" w:ascii="仿宋" w:hAnsi="仿宋" w:eastAsia="仿宋" w:cs="仿宋"/>
          <w:color w:val="000000"/>
          <w:sz w:val="24"/>
          <w:szCs w:val="24"/>
          <w:highlight w:val="none"/>
          <w:u w:val="single"/>
          <w:lang w:val="en-US" w:eastAsia="zh-CN"/>
        </w:rPr>
        <w:t>/</w:t>
      </w:r>
    </w:p>
    <w:p>
      <w:pPr>
        <w:keepNext w:val="0"/>
        <w:keepLines w:val="0"/>
        <w:pageBreakBefore w:val="0"/>
        <w:widowControl w:val="0"/>
        <w:numPr>
          <w:ilvl w:val="0"/>
          <w:numId w:val="0"/>
        </w:numPr>
        <w:wordWrap/>
        <w:topLinePunct w:val="0"/>
        <w:bidi w:val="0"/>
        <w:spacing w:line="360" w:lineRule="auto"/>
        <w:ind w:left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3.5.4</w:t>
      </w:r>
      <w:r>
        <w:rPr>
          <w:rFonts w:hint="eastAsia" w:ascii="仿宋" w:hAnsi="仿宋" w:eastAsia="仿宋" w:cs="仿宋"/>
          <w:color w:val="000000"/>
          <w:sz w:val="24"/>
          <w:szCs w:val="24"/>
        </w:rPr>
        <w:t>分包合同价格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关于分包合同价格支付的约定：</w:t>
      </w:r>
      <w:r>
        <w:rPr>
          <w:rFonts w:hint="eastAsia" w:ascii="仿宋" w:hAnsi="仿宋" w:eastAsia="仿宋" w:cs="仿宋"/>
          <w:color w:val="000000"/>
          <w:sz w:val="24"/>
          <w:szCs w:val="24"/>
          <w:u w:val="single"/>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3.6工程照管与成品、半成品保护</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承包人负责照管工程及工程相关的材料、工程设备的起始时间：</w:t>
      </w:r>
      <w:r>
        <w:rPr>
          <w:rFonts w:hint="eastAsia" w:ascii="仿宋" w:hAnsi="仿宋" w:eastAsia="仿宋" w:cs="仿宋"/>
          <w:color w:val="000000"/>
          <w:kern w:val="0"/>
          <w:sz w:val="24"/>
          <w:szCs w:val="24"/>
          <w:u w:val="single"/>
        </w:rPr>
        <w:t>除</w:t>
      </w:r>
      <w:r>
        <w:rPr>
          <w:rFonts w:hint="eastAsia" w:ascii="仿宋" w:hAnsi="仿宋" w:eastAsia="仿宋" w:cs="仿宋"/>
          <w:color w:val="000000"/>
          <w:sz w:val="24"/>
          <w:szCs w:val="24"/>
          <w:u w:val="single"/>
        </w:rPr>
        <w:t>执行通用合同条款本条款外，还应执行：①工程竣工验收移交前，承包人负责对工程照管、已完工程成品、半成品保护工作，承包人负责对其采取必要的措施进行维护，使其免于损毁或破坏。如出现损毁或破坏，承包人须及时进行修复并承担由此发生的一切费用。工程接收证书颁发时，尚有部分未竣工工程的，承包人还应负责该未竣工工程的照管和维护工作，直至竣工后移交给发包人为止。②如果在承包人负责照管期间，由于不可抗力以外的原因，致使其工程、货物等发生任何损失或损害，承包人应自行承担风险和费用，并修复该项损失或损害，使其符合合同约定。③承包人不按要求对工程成品进行管护，发包人有权委托其他承包人进行该项工作，费用由承包人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3.7履约担保</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承包人是否提供履约担保：</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承包人提供履约担保的形式金额及期限的：</w:t>
      </w:r>
      <w:r>
        <w:rPr>
          <w:rFonts w:hint="eastAsia" w:ascii="仿宋" w:hAnsi="仿宋" w:eastAsia="仿宋" w:cs="仿宋"/>
          <w:color w:val="000000"/>
          <w:sz w:val="24"/>
          <w:szCs w:val="24"/>
          <w:u w:val="single"/>
        </w:rPr>
        <w:t xml:space="preserve">  无。</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bookmarkStart w:id="249" w:name="_Toc351203636"/>
      <w:r>
        <w:rPr>
          <w:rFonts w:hint="eastAsia" w:ascii="仿宋" w:hAnsi="仿宋" w:eastAsia="仿宋" w:cs="仿宋"/>
          <w:color w:val="000000"/>
          <w:sz w:val="24"/>
          <w:szCs w:val="24"/>
        </w:rPr>
        <w:t>4</w:t>
      </w:r>
      <w:bookmarkStart w:id="250" w:name="_Toc296503162"/>
      <w:bookmarkStart w:id="251" w:name="_Toc296944501"/>
      <w:bookmarkStart w:id="252" w:name="_Toc296346663"/>
      <w:bookmarkStart w:id="253" w:name="_Toc296347161"/>
      <w:bookmarkStart w:id="254" w:name="_Toc267251413"/>
      <w:bookmarkStart w:id="255" w:name="_Toc296891202"/>
      <w:bookmarkStart w:id="256" w:name="_Toc297048348"/>
      <w:bookmarkStart w:id="257" w:name="_Toc292559366"/>
      <w:bookmarkStart w:id="258" w:name="_Toc297120462"/>
      <w:bookmarkStart w:id="259" w:name="_Toc296890990"/>
      <w:bookmarkStart w:id="260" w:name="_Toc292559871"/>
      <w:r>
        <w:rPr>
          <w:rFonts w:hint="eastAsia" w:ascii="仿宋" w:hAnsi="仿宋" w:eastAsia="仿宋" w:cs="仿宋"/>
          <w:color w:val="000000"/>
          <w:sz w:val="24"/>
          <w:szCs w:val="24"/>
        </w:rPr>
        <w:t>. 监</w:t>
      </w:r>
      <w:bookmarkEnd w:id="250"/>
      <w:bookmarkEnd w:id="251"/>
      <w:bookmarkEnd w:id="252"/>
      <w:bookmarkEnd w:id="253"/>
      <w:bookmarkEnd w:id="254"/>
      <w:bookmarkEnd w:id="255"/>
      <w:bookmarkEnd w:id="256"/>
      <w:bookmarkEnd w:id="257"/>
      <w:bookmarkEnd w:id="258"/>
      <w:bookmarkEnd w:id="259"/>
      <w:bookmarkEnd w:id="260"/>
      <w:r>
        <w:rPr>
          <w:rFonts w:hint="eastAsia" w:ascii="仿宋" w:hAnsi="仿宋" w:eastAsia="仿宋" w:cs="仿宋"/>
          <w:color w:val="000000"/>
          <w:sz w:val="24"/>
          <w:szCs w:val="24"/>
        </w:rPr>
        <w:t>理人</w:t>
      </w:r>
      <w:bookmarkEnd w:id="249"/>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4.1监理人的一般规定</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关于监理人的监理内容：</w:t>
      </w:r>
      <w:r>
        <w:rPr>
          <w:rFonts w:hint="eastAsia" w:ascii="仿宋" w:hAnsi="仿宋" w:eastAsia="仿宋" w:cs="仿宋"/>
          <w:color w:val="000000"/>
          <w:sz w:val="24"/>
          <w:szCs w:val="24"/>
          <w:u w:val="single"/>
        </w:rPr>
        <w:t>监理合同约定的监理工作内容。</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关于监理人的监理权限：</w:t>
      </w:r>
      <w:r>
        <w:rPr>
          <w:rFonts w:hint="eastAsia" w:ascii="仿宋" w:hAnsi="仿宋" w:eastAsia="仿宋" w:cs="仿宋"/>
          <w:color w:val="000000"/>
          <w:sz w:val="24"/>
          <w:szCs w:val="24"/>
          <w:u w:val="single"/>
        </w:rPr>
        <w:t xml:space="preserve">①须经发包人事先批准行使的权力：涉及工程开工、竣工、工期变化、工程变更、工程范围变化、工程计量、工程费用变化等事项须发包人事先批准。发包人在合同履行期间有权根据具体情况调整监理人须经发包人批准的权力范围并及时通知承包人。②当监理人认为出现了危及生命、工程或毗邻财产等安全的紧急事件时，在不免除合同规定的承包人责任的情况下，监理人可以指示承包人实施为消除或减少这种危险所必须进行的工作，即使未经发包人的事先批准，承包人也应立即遵照执行并在事件发生后2日内形成书面材料报发包人审批。③监理人应公正地履行职责，在按合同要求由监理人发出指示、表示意见、审批文件、确定价格以及采取可能涉及发包人或承包人的义务和权利的行动时，应认真查清事实，并与双方充分协商后作出公正的决定。 </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关于监理人在施工现场的办公场所、生活场所的提供和费用承担的约定：</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4.4 商定或确定</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bookmarkStart w:id="261" w:name="_Toc267251418"/>
      <w:r>
        <w:rPr>
          <w:rFonts w:hint="eastAsia" w:ascii="仿宋" w:hAnsi="仿宋" w:eastAsia="仿宋" w:cs="仿宋"/>
          <w:color w:val="000000"/>
          <w:sz w:val="24"/>
          <w:szCs w:val="24"/>
        </w:rPr>
        <w:t>在发包人和承包人不能通过协商达成一致意见时，发包人授权监理人对以下事项进行确定：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bookmarkStart w:id="262" w:name="_Toc351203637"/>
      <w:r>
        <w:rPr>
          <w:rFonts w:hint="eastAsia" w:ascii="仿宋" w:hAnsi="仿宋" w:eastAsia="仿宋" w:cs="仿宋"/>
          <w:color w:val="000000"/>
          <w:sz w:val="24"/>
          <w:szCs w:val="24"/>
          <w:u w:val="single"/>
        </w:rPr>
        <w:t>(1)替代材料价格的确认；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(2)变更引起的工期调整；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(3)变更估价（变更工作的单价确定）；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(4)计日工（变更工作的单价）；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(5)法律变化引起的调整（合同价格和工期）；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(6)因承包人违约解除合同后，承包人实际完成的工作对应的合同价款等的确定；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(7)因不可抗力解除合同后，确定发包人应支付的款项；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(8)合同当事人对是否属于不可抗力或其损失的意见不一致的。</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5</w:t>
      </w:r>
      <w:bookmarkEnd w:id="261"/>
      <w:bookmarkStart w:id="263" w:name="_Toc296503163"/>
      <w:bookmarkStart w:id="264" w:name="_Toc296346664"/>
      <w:bookmarkStart w:id="265" w:name="_Toc296944502"/>
      <w:bookmarkStart w:id="266" w:name="_Toc297120463"/>
      <w:bookmarkStart w:id="267" w:name="_Toc296347162"/>
      <w:bookmarkStart w:id="268" w:name="_Toc296890991"/>
      <w:bookmarkStart w:id="269" w:name="_Toc292559367"/>
      <w:bookmarkStart w:id="270" w:name="_Toc292559872"/>
      <w:bookmarkStart w:id="271" w:name="_Toc296891203"/>
      <w:bookmarkStart w:id="272" w:name="_Toc297048349"/>
      <w:r>
        <w:rPr>
          <w:rFonts w:hint="eastAsia" w:ascii="仿宋" w:hAnsi="仿宋" w:eastAsia="仿宋" w:cs="仿宋"/>
          <w:color w:val="000000"/>
          <w:sz w:val="24"/>
          <w:szCs w:val="24"/>
        </w:rPr>
        <w:t>. 工程质量</w:t>
      </w:r>
      <w:bookmarkEnd w:id="262"/>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 质量要求</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本工程按国家、部委和设计要求的规范及标准，同时执行新疆维吾尔自治区、克拉玛依市建设工程竣工备案实施的具体要求。</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bookmarkStart w:id="273" w:name="_Toc318581164"/>
      <w:bookmarkStart w:id="274" w:name="_Toc312677997"/>
      <w:bookmarkStart w:id="275" w:name="_Toc303539106"/>
      <w:bookmarkStart w:id="276" w:name="_Toc297123496"/>
      <w:bookmarkStart w:id="277" w:name="_Toc304295527"/>
      <w:bookmarkStart w:id="278" w:name="_Toc300934949"/>
      <w:bookmarkStart w:id="279" w:name="_Toc297216155"/>
      <w:r>
        <w:rPr>
          <w:rFonts w:hint="eastAsia" w:ascii="仿宋" w:hAnsi="仿宋" w:eastAsia="仿宋" w:cs="仿宋"/>
          <w:color w:val="000000"/>
          <w:sz w:val="24"/>
          <w:szCs w:val="24"/>
        </w:rPr>
        <w:t>.1.1 特殊质量标准和要求：</w:t>
      </w:r>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关于工程奖项的约定：</w:t>
      </w:r>
      <w:r>
        <w:rPr>
          <w:rFonts w:hint="eastAsia" w:ascii="仿宋" w:hAnsi="仿宋" w:eastAsia="仿宋" w:cs="仿宋"/>
          <w:color w:val="000000"/>
          <w:sz w:val="24"/>
          <w:szCs w:val="24"/>
          <w:u w:val="single"/>
        </w:rPr>
        <w:t>无</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5.3 隐蔽工程检查</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5.3.2承包人提前通知监理人隐蔽工程检查的期限的约定：</w:t>
      </w:r>
      <w:r>
        <w:rPr>
          <w:rFonts w:hint="eastAsia" w:ascii="仿宋" w:hAnsi="仿宋" w:eastAsia="仿宋" w:cs="仿宋"/>
          <w:color w:val="000000"/>
          <w:sz w:val="24"/>
          <w:szCs w:val="24"/>
          <w:u w:val="single"/>
        </w:rPr>
        <w:t>除执行通用合同条款本条款外，还应执行：根据工程进度及监理工程师指令及时向监理工程师递交隐蔽工程验收通知、工程质量自检报告、竣工验收申请报告等。</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监理人不能按时进行检查时，应提前</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小时提交书面延期要求。</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关于延期最长不得超过：</w:t>
      </w:r>
      <w:r>
        <w:rPr>
          <w:rFonts w:hint="eastAsia" w:ascii="仿宋" w:hAnsi="仿宋" w:eastAsia="仿宋" w:cs="仿宋"/>
          <w:color w:val="000000"/>
          <w:sz w:val="24"/>
          <w:szCs w:val="24"/>
          <w:u w:val="single"/>
        </w:rPr>
        <w:t xml:space="preserve"> 48  </w:t>
      </w:r>
      <w:r>
        <w:rPr>
          <w:rFonts w:hint="eastAsia" w:ascii="仿宋" w:hAnsi="仿宋" w:eastAsia="仿宋" w:cs="仿宋"/>
          <w:color w:val="000000"/>
          <w:sz w:val="24"/>
          <w:szCs w:val="24"/>
        </w:rPr>
        <w:t>小时。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5.4不合格工程处理</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除执行通用合同条款外，还应执行：① 由于承包人使用了不合格材料和工程设备造成了工程损害，监理人可以随时发出指示，要求承包人立即采取措施进行补救，直至彻底清除工程的不合格部位以及不合格的材料或工程设备，由此增加的费用和工期延误责任由承包人承担。② 若承包人无故拖延或拒绝执行监理人的指示，则发包人有权委托其它承包人执行该项指示，由此增加的费用和工期延误的责任，均由承包人承担。</w:t>
      </w:r>
      <w:bookmarkStart w:id="280" w:name="_Toc351203638"/>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 安全文明施工与环境保护</w:t>
      </w:r>
      <w:bookmarkEnd w:id="280"/>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6.1安全文明施工</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6.1.1 项目安全生产的达标目标及相应事项的约定：</w:t>
      </w:r>
      <w:r>
        <w:rPr>
          <w:rFonts w:hint="eastAsia" w:ascii="仿宋" w:hAnsi="仿宋" w:eastAsia="仿宋" w:cs="仿宋"/>
          <w:color w:val="000000"/>
          <w:sz w:val="24"/>
          <w:szCs w:val="24"/>
          <w:u w:val="single"/>
        </w:rPr>
        <w:t>承包人必须严格执行《中华人民共和国安全生产法》、《建筑安装施工安全检查标准》（JGJ59-2011）、《中华人民共和国建筑法》、《安全生产许可证条例》和《建筑工程安全生产管理条例》等法律、法规及新疆维吾尔自治区、克拉玛依《克拉玛依市建筑工程安全文明施工-标准化指南》等有关安全文明施工管理的相关规定，施工现场由专职持证上岗的安全员负责安全事宜。</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6.1.4 关于治安保卫的特别约定：</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关于编制施工场地治安管理计划的约定：</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6.1.5 文明施工</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合同当事人对文明施工的要求：除执行通用合同条款外还应执行：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①承包人应采取有效管理措施，保证施工现场特种作业人员均持有有效证件，经过安全培训合格后持证上岗。</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承包人必须认真组织实施施工组织设计中制定的安全防护、文明施工措施，严格执行《消防法》及自治区、克拉玛依市的相关安全消防管理规定。承包人必须根据现场情况制定严格的用火、用电制度和消防设施管理制度，严禁现场吸烟和违章用水、用电以及其他可能导致火灾事故和人身伤亡事故的行为。</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承包人在施工过程中，遵守有关环境保护的法律、法规，履行环境保护义务，并对违反法律、法规所造成的环境破坏、人身伤害和财产损失负责。承包人应按批准的施工环保措施计划有序地堆放和处理施工废弃物，避免对环境造成的破坏，保持现场清洁，不得出现不必要的障碍。各类设备和材料应妥善存放，并随时将废料、垃圾及不再需要的临时设施清运出指定地点内。当承包人未能按要求完成清理工作，发包人可指定他人完成此项工作，其费用从发包人向承包人支付的的任何款项中扣除。</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④承包人加强对噪音、粉尘、废气、废水和废油的控制，降低噪音、控制粉尘和废气浓度，做好废水和废油的治理和排放。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
          <w:color w:val="000000"/>
          <w:sz w:val="24"/>
          <w:szCs w:val="24"/>
          <w:u w:val="single"/>
        </w:rPr>
      </w:pPr>
      <w:r>
        <w:rPr>
          <w:rFonts w:hint="eastAsia" w:ascii="仿宋" w:hAnsi="仿宋" w:eastAsia="仿宋" w:cs="仿宋"/>
          <w:color w:val="000000"/>
          <w:sz w:val="24"/>
          <w:szCs w:val="24"/>
          <w:u w:val="single"/>
        </w:rPr>
        <w:t>⑤因承包人任意堆放、排放废水废油或弃置施工废弃物造成妨碍公共交通、影响城镇居民生活、危及居民安全、破坏周边环境等后果，承包人承担一切责任和费用。</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⑥施工场地周围地下管线和邻近建筑物、构筑物（含文物保护建筑）、古树名木的保护要求及费用承担：承包人被认为在送交投标文件之前，已进行了现场考察，对现场和其周围环境以及可得到的有关资料进行了查看和核查，承包人已取得可能对投标有影响或起作用的风险、意外等必要资料。承包人应采取一切合理的措施保护施工场地内外环境并防止由于其作业方法导致的污染、噪音或其它原因造成的对周围地下管线和邻近建筑物、构筑物（文物保护建筑）、古树名木等的伤害和受损。</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⑦做好施工现场（包括进出口附近道路）的整洁卫生，搞好文明施工，工程验收一周前应作好清场工作。</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⑧减少夜间噪声：承包人不得在夜间安排噪声很大的机械施工。若承包人违反有关安全文明施工、扬尘治理的有关规定，情节严重的发包人有权终止合同。由此造成政府相关部门处罚的亦由承包人自行承担。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6.1.6 关于安全文明施工费支付比例和支付期限的约定：</w:t>
      </w:r>
      <w:bookmarkEnd w:id="273"/>
      <w:bookmarkEnd w:id="274"/>
      <w:bookmarkEnd w:id="275"/>
      <w:bookmarkEnd w:id="276"/>
      <w:bookmarkEnd w:id="277"/>
      <w:bookmarkEnd w:id="278"/>
      <w:bookmarkEnd w:id="279"/>
      <w:bookmarkStart w:id="281" w:name="_Toc351203639"/>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安全文明施工费：a、安全文明施工费包括的内容和使用范围，符合国家现行有关文件和计量规范的规定。b、发包人在工程开工后的28天内预付不低于安全文明施工费总额的</w:t>
      </w:r>
      <w:r>
        <w:rPr>
          <w:rFonts w:hint="eastAsia" w:ascii="仿宋" w:hAnsi="仿宋" w:eastAsia="仿宋" w:cs="仿宋"/>
          <w:color w:val="000000"/>
          <w:sz w:val="24"/>
          <w:szCs w:val="24"/>
          <w:u w:val="single"/>
          <w:lang w:val="en-US" w:eastAsia="zh-CN"/>
        </w:rPr>
        <w:t>6</w:t>
      </w:r>
      <w:r>
        <w:rPr>
          <w:rFonts w:hint="eastAsia" w:ascii="仿宋" w:hAnsi="仿宋" w:eastAsia="仿宋" w:cs="仿宋"/>
          <w:color w:val="000000"/>
          <w:sz w:val="24"/>
          <w:szCs w:val="24"/>
          <w:u w:val="single"/>
        </w:rPr>
        <w:t>0%，其余部分按照提前安排的原则进行分解，与进度款同期支付。c、承包人对安全文明施工费应专款专用，在财务账目中应单独列项备查，不得挪作他用，否则发包人有权要求其限期改正；逾期未改正的，造成的损失和延误的工期应由承包人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 工期和进度</w:t>
      </w:r>
      <w:bookmarkEnd w:id="281"/>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 施工组织设计</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7.1.1 合</w:t>
      </w:r>
      <w:r>
        <w:rPr>
          <w:rFonts w:hint="eastAsia" w:ascii="仿宋" w:hAnsi="仿宋" w:eastAsia="仿宋" w:cs="仿宋"/>
          <w:color w:val="000000"/>
          <w:kern w:val="0"/>
          <w:sz w:val="24"/>
          <w:szCs w:val="24"/>
        </w:rPr>
        <w:t>同当事人约定的施工组织设计应包括的其他内容：</w:t>
      </w:r>
      <w:r>
        <w:rPr>
          <w:rFonts w:hint="eastAsia" w:ascii="仿宋" w:hAnsi="仿宋" w:eastAsia="仿宋" w:cs="仿宋"/>
          <w:color w:val="000000"/>
          <w:kern w:val="0"/>
          <w:sz w:val="24"/>
          <w:szCs w:val="24"/>
          <w:u w:val="single"/>
        </w:rPr>
        <w:t>除执行通用合同条款约定内容外，</w:t>
      </w:r>
      <w:r>
        <w:rPr>
          <w:rFonts w:hint="eastAsia" w:ascii="仿宋" w:hAnsi="仿宋" w:eastAsia="仿宋" w:cs="仿宋"/>
          <w:color w:val="000000"/>
          <w:sz w:val="24"/>
          <w:szCs w:val="24"/>
          <w:u w:val="single"/>
        </w:rPr>
        <w:t>承包人应结合本工程实际情况编制涵盖合同范围内全部工作内容的施工组织设计文件。</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 xml:space="preserve">7.1.2 </w:t>
      </w:r>
      <w:r>
        <w:rPr>
          <w:rFonts w:hint="eastAsia" w:ascii="仿宋" w:hAnsi="仿宋" w:eastAsia="仿宋" w:cs="仿宋"/>
          <w:color w:val="000000"/>
          <w:kern w:val="0"/>
          <w:sz w:val="24"/>
          <w:szCs w:val="24"/>
        </w:rPr>
        <w:t>施工组织设计的提交和修改</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承包人提交详细施工组织设计的期限的约定：</w:t>
      </w:r>
      <w:r>
        <w:rPr>
          <w:rFonts w:hint="eastAsia" w:ascii="仿宋" w:hAnsi="仿宋" w:eastAsia="仿宋" w:cs="仿宋"/>
          <w:color w:val="000000"/>
          <w:sz w:val="24"/>
          <w:szCs w:val="24"/>
          <w:u w:val="single"/>
        </w:rPr>
        <w:t>在会审图纸和设计交底完成后7日内向监理人提交详细的施工组织设计、施工进度计划及开工申请报告。其中施工总平面图应在搭设临设前7天提供，分部分项工程施工方案应在该项目开工前14天提供。如未能按期提供，由此引起的延误由承包人负责。当月报表，下月计划应在当月20日提交，否则工程进度款相应延期支付。上述资料应不少于一式伍份。</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发包人和监理人在收到详细的施工组织设计后确认或提出修改意见的期限：</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82" w:name="_Toc312677479"/>
      <w:bookmarkStart w:id="283" w:name="_Toc297216173"/>
      <w:bookmarkStart w:id="284" w:name="_Toc304295541"/>
      <w:bookmarkStart w:id="285" w:name="_Toc312678005"/>
      <w:bookmarkStart w:id="286" w:name="_Toc303539123"/>
      <w:bookmarkStart w:id="287" w:name="_Toc297123514"/>
      <w:bookmarkStart w:id="288" w:name="_Toc300934966"/>
      <w:r>
        <w:rPr>
          <w:rFonts w:hint="eastAsia" w:ascii="仿宋" w:hAnsi="仿宋" w:eastAsia="仿宋" w:cs="仿宋"/>
          <w:color w:val="000000"/>
          <w:sz w:val="24"/>
          <w:szCs w:val="24"/>
        </w:rPr>
        <w:t>.2 施工进度计划</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7.2.2 施工进度计划的修订</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发包人和监理人在收到修订的施工进度计划后确认或提出修改意见的期限：</w:t>
      </w:r>
      <w:r>
        <w:rPr>
          <w:rFonts w:hint="eastAsia" w:ascii="仿宋" w:hAnsi="仿宋" w:eastAsia="仿宋" w:cs="仿宋"/>
          <w:color w:val="000000"/>
          <w:kern w:val="0"/>
          <w:sz w:val="24"/>
          <w:szCs w:val="24"/>
          <w:u w:val="single"/>
        </w:rPr>
        <w:t>发包人和监理人应在收到修订的施工进度计划后7天内完成审核和批准或提出修改意见</w:t>
      </w:r>
      <w:r>
        <w:rPr>
          <w:rFonts w:hint="eastAsia" w:ascii="仿宋" w:hAnsi="仿宋" w:eastAsia="仿宋" w:cs="仿宋"/>
          <w:color w:val="000000"/>
          <w:sz w:val="24"/>
          <w:szCs w:val="24"/>
          <w:u w:val="single"/>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承包人必须按批准的进度计划组织施工，接受发包人代表和监理人对工程进度的检查监督，无论何种原因造成工程的实际进度与合同进度计划不符时，承包人应按监理人的指示在7天内提交一份修订的进度计划报送监理人审批。批准后的修订进度计划作为实际实施的合同进度计划。承包人无权就加快进度采取措施提出追加合同价格。</w:t>
      </w:r>
    </w:p>
    <w:p>
      <w:pPr>
        <w:keepNext w:val="0"/>
        <w:keepLines w:val="0"/>
        <w:pageBreakBefore w:val="0"/>
        <w:widowControl w:val="0"/>
        <w:kinsoku w:val="0"/>
        <w:wordWrap/>
        <w:overflowPunct w:val="0"/>
        <w:topLinePunct w:val="0"/>
        <w:autoSpaceDE w:val="0"/>
        <w:autoSpaceDN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承包人在施工过程中，不允许以任何理由拖延工程。无论何种原因造成施工进度计划拖后，承包人均应按监理人的指示，采取有效措施加快工程进度。承包人应在向监理人报送修订进度计划的同时，编制一份赶工措施报告报送监理人审批，加快工程进度措施应以保证工程按期完工为前提调整和修改进度计划。承包人无权因此采取此种措施而获得任何追加款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7.3 开工</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7.3.1 开工准备</w:t>
      </w:r>
    </w:p>
    <w:p>
      <w:pPr>
        <w:keepNext w:val="0"/>
        <w:keepLines w:val="0"/>
        <w:pageBreakBefore w:val="0"/>
        <w:widowControl w:val="0"/>
        <w:kinsoku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关于承包人提交</w:t>
      </w:r>
      <w:r>
        <w:rPr>
          <w:rFonts w:hint="eastAsia" w:ascii="仿宋" w:hAnsi="仿宋" w:eastAsia="仿宋" w:cs="仿宋"/>
          <w:color w:val="000000"/>
          <w:kern w:val="0"/>
          <w:sz w:val="24"/>
          <w:szCs w:val="24"/>
        </w:rPr>
        <w:t>工程开工报审表的期限：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kinsoku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关于发包人应完成的其他开工准备工作及期限：</w:t>
      </w:r>
      <w:r>
        <w:rPr>
          <w:rFonts w:hint="eastAsia" w:ascii="仿宋" w:hAnsi="仿宋" w:eastAsia="仿宋" w:cs="仿宋"/>
          <w:color w:val="000000"/>
          <w:sz w:val="24"/>
          <w:szCs w:val="24"/>
          <w:u w:val="single"/>
        </w:rPr>
        <w:t xml:space="preserve">开工日期前14天内。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关于承包人应完成的其他开工准备工作及期限：</w:t>
      </w:r>
      <w:r>
        <w:rPr>
          <w:rFonts w:hint="eastAsia" w:ascii="仿宋" w:hAnsi="仿宋" w:eastAsia="仿宋" w:cs="仿宋"/>
          <w:color w:val="000000"/>
          <w:sz w:val="24"/>
          <w:szCs w:val="24"/>
          <w:u w:val="single"/>
        </w:rPr>
        <w:t xml:space="preserve">开工日期前14天内。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7.3.2开工通知</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因发包人原因造成监理人未能在计划开工日期之日起</w:t>
      </w:r>
      <w:r>
        <w:rPr>
          <w:rFonts w:hint="eastAsia" w:ascii="仿宋" w:hAnsi="仿宋" w:eastAsia="仿宋" w:cs="仿宋"/>
          <w:color w:val="000000"/>
          <w:sz w:val="24"/>
          <w:szCs w:val="24"/>
          <w:u w:val="single"/>
        </w:rPr>
        <w:t xml:space="preserve"> 90 </w:t>
      </w:r>
      <w:r>
        <w:rPr>
          <w:rFonts w:hint="eastAsia" w:ascii="仿宋" w:hAnsi="仿宋" w:eastAsia="仿宋" w:cs="仿宋"/>
          <w:color w:val="000000"/>
          <w:sz w:val="24"/>
          <w:szCs w:val="24"/>
        </w:rPr>
        <w:t>天内发出开工通知的，承包人有权提出价格调整要求，或者解除合同。</w:t>
      </w:r>
    </w:p>
    <w:bookmarkEnd w:id="282"/>
    <w:bookmarkEnd w:id="283"/>
    <w:bookmarkEnd w:id="284"/>
    <w:bookmarkEnd w:id="285"/>
    <w:bookmarkEnd w:id="286"/>
    <w:bookmarkEnd w:id="287"/>
    <w:bookmarkEnd w:id="288"/>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7.4 测量放线</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7.4.1发包人通过监理人向承包人提供测量基准点、基准线和水准点及其书面资料的期限：</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还应执行：①承包人应根据本工程中规定的原始基准点、基准线和基准标高进行工程放线。承包人应负责对工程的所有部分正确定位，并应纠正在工程的位置、标高、尺寸或定线中的任何差错。承包人应根据国家测绘基准、测绘系统和工程测量技术规范，按上述基准点（线）以及本工程精度要求，测设施工控制网，并将施工控制网数据报送监理人审批。②承包人应负责管理好施工控制网点，若有丢失或损坏，应及时修复，其所需的管理和修复费用由承包人承担。工程竣工后应完好地移交给发包人。</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89" w:name="_Toc300934968"/>
      <w:bookmarkStart w:id="290" w:name="_Toc312678010"/>
      <w:bookmarkStart w:id="291" w:name="_Toc297216175"/>
      <w:bookmarkStart w:id="292" w:name="_Toc297123516"/>
      <w:bookmarkStart w:id="293" w:name="_Toc303539125"/>
      <w:bookmarkStart w:id="294" w:name="_Toc312677484"/>
      <w:bookmarkStart w:id="295" w:name="_Toc304295546"/>
      <w:r>
        <w:rPr>
          <w:rFonts w:hint="eastAsia" w:ascii="仿宋" w:hAnsi="仿宋" w:eastAsia="仿宋" w:cs="仿宋"/>
          <w:color w:val="000000"/>
          <w:sz w:val="24"/>
          <w:szCs w:val="24"/>
        </w:rPr>
        <w:t>.5 工期延误</w:t>
      </w:r>
    </w:p>
    <w:bookmarkEnd w:id="289"/>
    <w:bookmarkEnd w:id="290"/>
    <w:bookmarkEnd w:id="291"/>
    <w:bookmarkEnd w:id="292"/>
    <w:bookmarkEnd w:id="293"/>
    <w:bookmarkEnd w:id="294"/>
    <w:bookmarkEnd w:id="295"/>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7.5.1 因发包人原因导致工期延误</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Cs w:val="20"/>
          <w:u w:val="single"/>
        </w:rPr>
      </w:pPr>
      <w:r>
        <w:rPr>
          <w:rFonts w:hint="eastAsia" w:ascii="仿宋" w:hAnsi="仿宋" w:eastAsia="仿宋" w:cs="仿宋"/>
          <w:color w:val="000000"/>
          <w:sz w:val="24"/>
          <w:szCs w:val="24"/>
        </w:rPr>
        <w:t>（7）因发包人原因导致工期延误的其他情形：</w:t>
      </w:r>
      <w:r>
        <w:rPr>
          <w:rFonts w:hint="eastAsia" w:ascii="仿宋" w:hAnsi="仿宋" w:eastAsia="仿宋" w:cs="仿宋"/>
          <w:color w:val="000000"/>
          <w:sz w:val="24"/>
          <w:szCs w:val="24"/>
          <w:u w:val="single"/>
        </w:rPr>
        <w:t>无</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296" w:name="_Toc312677486"/>
      <w:bookmarkStart w:id="297" w:name="_Toc312678012"/>
      <w:bookmarkStart w:id="298" w:name="_Toc318581169"/>
      <w:bookmarkStart w:id="299" w:name="_Toc300934970"/>
      <w:bookmarkStart w:id="300" w:name="_Toc303539127"/>
      <w:bookmarkStart w:id="301" w:name="_Toc304295548"/>
      <w:bookmarkStart w:id="302" w:name="_Toc297123518"/>
      <w:bookmarkStart w:id="303" w:name="_Toc297216177"/>
      <w:r>
        <w:rPr>
          <w:rFonts w:hint="eastAsia" w:ascii="仿宋" w:hAnsi="仿宋" w:eastAsia="仿宋" w:cs="仿宋"/>
          <w:color w:val="000000"/>
          <w:sz w:val="24"/>
          <w:szCs w:val="24"/>
        </w:rPr>
        <w:t>.5.2 因承包人原因导致工期延误</w:t>
      </w:r>
    </w:p>
    <w:bookmarkEnd w:id="296"/>
    <w:bookmarkEnd w:id="297"/>
    <w:bookmarkEnd w:id="298"/>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w:t>
      </w:r>
      <w:bookmarkStart w:id="304" w:name="_Toc318581170"/>
      <w:bookmarkStart w:id="305" w:name="_Toc312677487"/>
      <w:bookmarkStart w:id="306" w:name="_Toc312678013"/>
      <w:r>
        <w:rPr>
          <w:rFonts w:hint="eastAsia" w:ascii="仿宋" w:hAnsi="仿宋" w:eastAsia="仿宋" w:cs="仿宋"/>
          <w:color w:val="000000"/>
          <w:sz w:val="24"/>
          <w:szCs w:val="24"/>
        </w:rPr>
        <w:t>承包人原因造成工期延误，逾期竣工违约金的计算方法为：</w:t>
      </w:r>
      <w:r>
        <w:rPr>
          <w:rFonts w:hint="eastAsia" w:ascii="仿宋" w:hAnsi="仿宋" w:eastAsia="仿宋" w:cs="仿宋"/>
          <w:color w:val="000000"/>
          <w:sz w:val="24"/>
          <w:szCs w:val="24"/>
          <w:u w:val="single"/>
        </w:rPr>
        <w:t>每延误一天工期，向发包人支付签约合同价格5‰的违约金。</w:t>
      </w:r>
    </w:p>
    <w:bookmarkEnd w:id="299"/>
    <w:bookmarkEnd w:id="300"/>
    <w:bookmarkEnd w:id="301"/>
    <w:bookmarkEnd w:id="302"/>
    <w:bookmarkEnd w:id="303"/>
    <w:bookmarkEnd w:id="304"/>
    <w:bookmarkEnd w:id="305"/>
    <w:bookmarkEnd w:id="306"/>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因承包人原因造成工期延误，逾</w:t>
      </w:r>
      <w:bookmarkStart w:id="307" w:name="_Toc318581171"/>
      <w:bookmarkStart w:id="308" w:name="_Toc312678014"/>
      <w:r>
        <w:rPr>
          <w:rFonts w:hint="eastAsia" w:ascii="仿宋" w:hAnsi="仿宋" w:eastAsia="仿宋" w:cs="仿宋"/>
          <w:color w:val="000000"/>
          <w:sz w:val="24"/>
          <w:szCs w:val="24"/>
        </w:rPr>
        <w:t>期竣工违约金的上限：</w:t>
      </w:r>
      <w:r>
        <w:rPr>
          <w:rFonts w:hint="eastAsia" w:ascii="仿宋" w:hAnsi="仿宋" w:eastAsia="仿宋" w:cs="仿宋"/>
          <w:color w:val="000000"/>
          <w:sz w:val="24"/>
          <w:szCs w:val="24"/>
          <w:u w:val="single"/>
        </w:rPr>
        <w:t>工程审定竣工结算价款的</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w:t>
      </w:r>
    </w:p>
    <w:bookmarkEnd w:id="307"/>
    <w:bookmarkEnd w:id="308"/>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09" w:name="_Toc297123519"/>
      <w:bookmarkStart w:id="310" w:name="_Toc304295549"/>
      <w:bookmarkStart w:id="311" w:name="_Toc312678015"/>
      <w:bookmarkStart w:id="312" w:name="_Toc297216178"/>
      <w:bookmarkStart w:id="313" w:name="_Toc303539128"/>
      <w:bookmarkStart w:id="314" w:name="_Toc300934971"/>
      <w:r>
        <w:rPr>
          <w:rFonts w:hint="eastAsia" w:ascii="仿宋" w:hAnsi="仿宋" w:eastAsia="仿宋" w:cs="仿宋"/>
          <w:color w:val="000000"/>
          <w:sz w:val="24"/>
          <w:szCs w:val="24"/>
        </w:rPr>
        <w:t>.6 不</w:t>
      </w:r>
      <w:bookmarkEnd w:id="309"/>
      <w:bookmarkEnd w:id="310"/>
      <w:bookmarkEnd w:id="311"/>
      <w:bookmarkEnd w:id="312"/>
      <w:bookmarkEnd w:id="313"/>
      <w:bookmarkEnd w:id="314"/>
      <w:r>
        <w:rPr>
          <w:rFonts w:hint="eastAsia" w:ascii="仿宋" w:hAnsi="仿宋" w:eastAsia="仿宋" w:cs="仿宋"/>
          <w:color w:val="000000"/>
          <w:sz w:val="24"/>
          <w:szCs w:val="24"/>
        </w:rPr>
        <w:t>利物质条件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bookmarkStart w:id="315" w:name="_Toc300934972"/>
      <w:bookmarkStart w:id="316" w:name="_Toc312678016"/>
      <w:bookmarkStart w:id="317" w:name="_Toc297123520"/>
      <w:bookmarkStart w:id="318" w:name="_Toc303539129"/>
      <w:bookmarkStart w:id="319" w:name="_Toc297216179"/>
      <w:bookmarkStart w:id="320" w:name="_Toc304295550"/>
      <w:bookmarkStart w:id="321" w:name="_Toc318581172"/>
      <w:r>
        <w:rPr>
          <w:rFonts w:hint="eastAsia" w:ascii="仿宋" w:hAnsi="仿宋" w:eastAsia="仿宋" w:cs="仿宋"/>
          <w:color w:val="000000"/>
          <w:sz w:val="24"/>
          <w:szCs w:val="24"/>
        </w:rPr>
        <w:t>不利物质条件的其他情形和有关约定：</w:t>
      </w:r>
      <w:r>
        <w:rPr>
          <w:rFonts w:hint="eastAsia" w:ascii="仿宋" w:hAnsi="仿宋" w:eastAsia="仿宋" w:cs="仿宋"/>
          <w:color w:val="000000"/>
          <w:sz w:val="24"/>
          <w:szCs w:val="24"/>
          <w:u w:val="single"/>
        </w:rPr>
        <w:t>无</w:t>
      </w:r>
    </w:p>
    <w:bookmarkEnd w:id="315"/>
    <w:bookmarkEnd w:id="316"/>
    <w:bookmarkEnd w:id="317"/>
    <w:bookmarkEnd w:id="318"/>
    <w:bookmarkEnd w:id="319"/>
    <w:bookmarkEnd w:id="320"/>
    <w:bookmarkEnd w:id="321"/>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w:t>
      </w:r>
      <w:bookmarkStart w:id="322" w:name="_Toc312678017"/>
      <w:bookmarkStart w:id="323" w:name="_Toc297216180"/>
      <w:bookmarkStart w:id="324" w:name="_Toc303539130"/>
      <w:bookmarkStart w:id="325" w:name="_Toc304295551"/>
      <w:bookmarkStart w:id="326" w:name="_Toc297123521"/>
      <w:bookmarkStart w:id="327" w:name="_Toc300934973"/>
      <w:r>
        <w:rPr>
          <w:rFonts w:hint="eastAsia" w:ascii="仿宋" w:hAnsi="仿宋" w:eastAsia="仿宋" w:cs="仿宋"/>
          <w:color w:val="000000"/>
          <w:sz w:val="24"/>
          <w:szCs w:val="24"/>
        </w:rPr>
        <w:t>.7异常恶劣的气候条件</w:t>
      </w:r>
    </w:p>
    <w:bookmarkEnd w:id="322"/>
    <w:bookmarkEnd w:id="323"/>
    <w:bookmarkEnd w:id="324"/>
    <w:bookmarkEnd w:id="325"/>
    <w:bookmarkEnd w:id="326"/>
    <w:bookmarkEnd w:id="327"/>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发包人和承包人同意以下情形视为异常恶劣的气候条件：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执行国家的相关规定 。由于异常恶劣气候（按国家有关规定确定）造成的工期误延按国家有关规定执行。</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u w:val="single"/>
        </w:rPr>
        <w:t xml:space="preserve"> 无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u w:val="single"/>
        </w:rPr>
        <w:t xml:space="preserve"> 无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7.9 提前竣工的奖励</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7.9.2提前竣工的奖励：</w:t>
      </w:r>
      <w:bookmarkStart w:id="328" w:name="_Toc351203640"/>
      <w:r>
        <w:rPr>
          <w:rFonts w:hint="eastAsia" w:ascii="仿宋" w:hAnsi="仿宋" w:eastAsia="仿宋" w:cs="仿宋"/>
          <w:color w:val="000000"/>
          <w:sz w:val="24"/>
          <w:szCs w:val="24"/>
          <w:u w:val="single"/>
        </w:rPr>
        <w:t>无</w:t>
      </w:r>
      <w:r>
        <w:rPr>
          <w:rFonts w:hint="eastAsia" w:ascii="仿宋" w:hAnsi="仿宋" w:eastAsia="仿宋" w:cs="仿宋"/>
          <w:color w:val="000000"/>
          <w:sz w:val="24"/>
          <w:szCs w:val="24"/>
        </w:rPr>
        <w:t>。</w:t>
      </w:r>
    </w:p>
    <w:bookmarkEnd w:id="263"/>
    <w:bookmarkEnd w:id="264"/>
    <w:bookmarkEnd w:id="265"/>
    <w:bookmarkEnd w:id="266"/>
    <w:bookmarkEnd w:id="267"/>
    <w:bookmarkEnd w:id="268"/>
    <w:bookmarkEnd w:id="269"/>
    <w:bookmarkEnd w:id="270"/>
    <w:bookmarkEnd w:id="271"/>
    <w:bookmarkEnd w:id="272"/>
    <w:bookmarkEnd w:id="328"/>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 材料与设备</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8.2承包人采购与工程设备</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除执行通用合同条款外，还应执行：</w:t>
      </w:r>
      <w:r>
        <w:rPr>
          <w:rFonts w:hint="eastAsia" w:ascii="仿宋" w:hAnsi="仿宋" w:eastAsia="仿宋" w:cs="仿宋"/>
          <w:color w:val="000000"/>
          <w:sz w:val="24"/>
          <w:szCs w:val="24"/>
          <w:u w:val="single"/>
        </w:rPr>
        <w:t>①承包人用于本工程的材料或设备，必须符合设计文件及相关标准合要求且是合格产品，否则，监理人不予验收，由此造成的损失由承包人自行承担。②对承包人负责采购的材料和设备，承包人应保证完成货物、材料或设备的货款支付，避免因货款支付纠纷给工程建设带来不利影响。如承包人未及时支付材料和设备货款影响工程进度的，发包人有权根据监理人签发的证书，直接向此供货人支付按材料、设备合同应付而承包人未支付的一切款项（扣除保留金），并加收代为支付总金额的10%管理费，且每发生一次，向发包人支付人民币壹万元/次违约金。监理人在签发给承包人下一期或当期支付证书时，应从中扣除已由发包人直接支付的款额及相应管理费。</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w:t>
      </w:r>
      <w:bookmarkStart w:id="329" w:name="_Toc296891207"/>
      <w:bookmarkStart w:id="330" w:name="_Toc296944506"/>
      <w:bookmarkStart w:id="331" w:name="_Toc297123527"/>
      <w:bookmarkStart w:id="332" w:name="_Toc296347166"/>
      <w:bookmarkStart w:id="333" w:name="_Toc300934979"/>
      <w:bookmarkStart w:id="334" w:name="_Toc297048353"/>
      <w:bookmarkStart w:id="335" w:name="_Toc280868654"/>
      <w:bookmarkStart w:id="336" w:name="_Toc296503167"/>
      <w:bookmarkStart w:id="337" w:name="_Toc303539136"/>
      <w:bookmarkStart w:id="338" w:name="_Toc304295556"/>
      <w:bookmarkStart w:id="339" w:name="_Toc312678019"/>
      <w:bookmarkStart w:id="340" w:name="_Toc297120467"/>
      <w:bookmarkStart w:id="341" w:name="_Toc312677493"/>
      <w:bookmarkStart w:id="342" w:name="_Toc296890995"/>
      <w:bookmarkStart w:id="343" w:name="_Toc292559372"/>
      <w:bookmarkStart w:id="344" w:name="_Toc297216186"/>
      <w:bookmarkStart w:id="345" w:name="_Toc292559877"/>
      <w:bookmarkStart w:id="346" w:name="_Toc296346668"/>
      <w:bookmarkStart w:id="347" w:name="_Toc280868655"/>
      <w:bookmarkStart w:id="348" w:name="_Toc280868656"/>
      <w:bookmarkStart w:id="349" w:name="_Toc267251424"/>
      <w:r>
        <w:rPr>
          <w:rFonts w:hint="eastAsia" w:ascii="仿宋" w:hAnsi="仿宋" w:eastAsia="仿宋" w:cs="仿宋"/>
          <w:color w:val="000000"/>
          <w:sz w:val="24"/>
          <w:szCs w:val="24"/>
        </w:rPr>
        <w:t>.4材料与工程设备的保管与使用</w:t>
      </w:r>
    </w:p>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8</w:t>
      </w:r>
      <w:bookmarkStart w:id="350" w:name="_Toc292559878"/>
      <w:bookmarkStart w:id="351" w:name="_Toc292559373"/>
      <w:bookmarkStart w:id="352" w:name="_Toc304295557"/>
      <w:bookmarkStart w:id="353" w:name="_Toc303539137"/>
      <w:bookmarkStart w:id="354" w:name="_Toc296944507"/>
      <w:bookmarkStart w:id="355" w:name="_Toc297048354"/>
      <w:bookmarkStart w:id="356" w:name="_Toc296890996"/>
      <w:bookmarkStart w:id="357" w:name="_Toc318581173"/>
      <w:bookmarkStart w:id="358" w:name="_Toc297120468"/>
      <w:bookmarkStart w:id="359" w:name="_Toc296347167"/>
      <w:bookmarkStart w:id="360" w:name="_Toc312678020"/>
      <w:bookmarkStart w:id="361" w:name="_Toc297216187"/>
      <w:bookmarkStart w:id="362" w:name="_Toc296346669"/>
      <w:bookmarkStart w:id="363" w:name="_Toc296891208"/>
      <w:bookmarkStart w:id="364" w:name="_Toc297123528"/>
      <w:bookmarkStart w:id="365" w:name="_Toc296503168"/>
      <w:bookmarkStart w:id="366" w:name="_Toc300934980"/>
      <w:bookmarkStart w:id="367" w:name="_Toc312677494"/>
      <w:r>
        <w:rPr>
          <w:rFonts w:hint="eastAsia" w:ascii="仿宋" w:hAnsi="仿宋" w:eastAsia="仿宋" w:cs="仿宋"/>
          <w:color w:val="000000"/>
          <w:sz w:val="24"/>
          <w:szCs w:val="24"/>
        </w:rPr>
        <w:t>.4.1发包人供应的材料设备的保管费用的承担：</w:t>
      </w:r>
      <w:r>
        <w:rPr>
          <w:rFonts w:hint="eastAsia" w:ascii="仿宋" w:hAnsi="仿宋" w:eastAsia="仿宋" w:cs="仿宋"/>
          <w:color w:val="000000"/>
          <w:sz w:val="24"/>
          <w:szCs w:val="24"/>
          <w:u w:val="single"/>
        </w:rPr>
        <w:t>执行通用合同条款本条款。</w:t>
      </w:r>
    </w:p>
    <w:bookmarkEnd w:id="350"/>
    <w:bookmarkEnd w:id="351"/>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8.6 样品</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8.6.1</w:t>
      </w:r>
      <w:r>
        <w:rPr>
          <w:rFonts w:hint="eastAsia" w:ascii="仿宋" w:hAnsi="仿宋" w:eastAsia="仿宋" w:cs="仿宋"/>
          <w:color w:val="000000"/>
          <w:kern w:val="0"/>
          <w:sz w:val="24"/>
          <w:szCs w:val="24"/>
        </w:rPr>
        <w:tab/>
      </w:r>
      <w:r>
        <w:rPr>
          <w:rFonts w:hint="eastAsia" w:ascii="仿宋" w:hAnsi="仿宋" w:eastAsia="仿宋" w:cs="仿宋"/>
          <w:color w:val="000000"/>
          <w:kern w:val="0"/>
          <w:sz w:val="24"/>
          <w:szCs w:val="24"/>
        </w:rPr>
        <w:t>样品的报送与封存</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需要承包人报送样品的材料或工程设备，样品的种类、名称、规格、数量要求：</w:t>
      </w:r>
      <w:r>
        <w:rPr>
          <w:rFonts w:hint="eastAsia" w:ascii="仿宋" w:hAnsi="仿宋" w:eastAsia="仿宋" w:cs="仿宋"/>
          <w:color w:val="000000"/>
          <w:sz w:val="24"/>
          <w:szCs w:val="24"/>
          <w:u w:val="single"/>
        </w:rPr>
        <w:t>无</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8.8 施工设备和临时设施</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8.8.1 承包人提供的施工设备和临时设施</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关于修建临时设施费用承担的约定：</w:t>
      </w:r>
      <w:r>
        <w:rPr>
          <w:rFonts w:hint="eastAsia" w:ascii="仿宋" w:hAnsi="仿宋" w:eastAsia="仿宋" w:cs="仿宋"/>
          <w:color w:val="000000"/>
          <w:sz w:val="24"/>
          <w:szCs w:val="24"/>
          <w:u w:val="single"/>
        </w:rPr>
        <w:t>执行通用合同条款本条款</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Start w:id="368" w:name="_Toc351203641"/>
      <w:r>
        <w:rPr>
          <w:rFonts w:hint="eastAsia" w:ascii="仿宋" w:hAnsi="仿宋" w:eastAsia="仿宋" w:cs="仿宋"/>
          <w:color w:val="000000"/>
          <w:sz w:val="24"/>
          <w:szCs w:val="24"/>
          <w:u w:val="single"/>
        </w:rPr>
        <w:t>。</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9</w:t>
      </w:r>
      <w:bookmarkEnd w:id="347"/>
      <w:bookmarkEnd w:id="348"/>
      <w:bookmarkEnd w:id="349"/>
      <w:bookmarkStart w:id="369" w:name="_Toc297123533"/>
      <w:bookmarkStart w:id="370" w:name="_Toc312678021"/>
      <w:bookmarkStart w:id="371" w:name="_Toc300934982"/>
      <w:bookmarkStart w:id="372" w:name="_Toc303539139"/>
      <w:bookmarkStart w:id="373" w:name="_Toc304295559"/>
      <w:bookmarkStart w:id="374" w:name="_Toc312677495"/>
      <w:bookmarkStart w:id="375" w:name="_Toc297216192"/>
      <w:bookmarkStart w:id="376" w:name="_Toc296503173"/>
      <w:bookmarkStart w:id="377" w:name="_Toc296347172"/>
      <w:bookmarkStart w:id="378" w:name="_Toc296346674"/>
      <w:bookmarkStart w:id="379" w:name="_Toc267251427"/>
      <w:bookmarkStart w:id="380" w:name="_Toc296891001"/>
      <w:bookmarkStart w:id="381" w:name="_Toc267251428"/>
      <w:bookmarkStart w:id="382" w:name="_Toc296891213"/>
      <w:bookmarkStart w:id="383" w:name="_Toc297048359"/>
      <w:bookmarkStart w:id="384" w:name="_Toc296944512"/>
      <w:bookmarkStart w:id="385" w:name="_Toc297120473"/>
      <w:bookmarkStart w:id="386" w:name="_Toc292559378"/>
      <w:bookmarkStart w:id="387" w:name="_Toc292559883"/>
      <w:r>
        <w:rPr>
          <w:rFonts w:hint="eastAsia" w:ascii="仿宋" w:hAnsi="仿宋" w:eastAsia="仿宋" w:cs="仿宋"/>
          <w:color w:val="000000"/>
          <w:sz w:val="24"/>
          <w:szCs w:val="24"/>
        </w:rPr>
        <w:t>. 试验与检验</w:t>
      </w:r>
      <w:bookmarkEnd w:id="368"/>
    </w:p>
    <w:bookmarkEnd w:id="369"/>
    <w:bookmarkEnd w:id="370"/>
    <w:bookmarkEnd w:id="371"/>
    <w:bookmarkEnd w:id="372"/>
    <w:bookmarkEnd w:id="373"/>
    <w:bookmarkEnd w:id="374"/>
    <w:bookmarkEnd w:id="375"/>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388" w:name="_Toc297123534"/>
      <w:bookmarkStart w:id="389" w:name="_Toc312677496"/>
      <w:bookmarkStart w:id="390" w:name="_Toc297216193"/>
      <w:bookmarkStart w:id="391" w:name="_Toc300934983"/>
      <w:bookmarkStart w:id="392" w:name="_Toc312678022"/>
      <w:bookmarkStart w:id="393" w:name="_Toc304295560"/>
      <w:bookmarkStart w:id="394" w:name="_Toc303539140"/>
      <w:r>
        <w:rPr>
          <w:rFonts w:hint="eastAsia" w:ascii="仿宋" w:hAnsi="仿宋" w:eastAsia="仿宋" w:cs="仿宋"/>
          <w:color w:val="000000"/>
          <w:sz w:val="24"/>
          <w:szCs w:val="24"/>
        </w:rPr>
        <w:t>.1试验设备与试验人员</w:t>
      </w:r>
    </w:p>
    <w:bookmarkEnd w:id="388"/>
    <w:bookmarkEnd w:id="389"/>
    <w:bookmarkEnd w:id="390"/>
    <w:bookmarkEnd w:id="391"/>
    <w:bookmarkEnd w:id="392"/>
    <w:bookmarkEnd w:id="393"/>
    <w:bookmarkEnd w:id="394"/>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w:t>
      </w:r>
      <w:bookmarkStart w:id="395" w:name="_Toc304295561"/>
      <w:bookmarkStart w:id="396" w:name="_Toc297216194"/>
      <w:bookmarkStart w:id="397" w:name="_Toc312678023"/>
      <w:bookmarkStart w:id="398" w:name="_Toc312677497"/>
      <w:bookmarkStart w:id="399" w:name="_Toc297123535"/>
      <w:bookmarkStart w:id="400" w:name="_Toc303539141"/>
      <w:bookmarkStart w:id="401" w:name="_Toc300934984"/>
      <w:bookmarkStart w:id="402" w:name="_Toc318581174"/>
      <w:r>
        <w:rPr>
          <w:rFonts w:hint="eastAsia" w:ascii="仿宋" w:hAnsi="仿宋" w:eastAsia="仿宋" w:cs="仿宋"/>
          <w:color w:val="000000"/>
          <w:sz w:val="24"/>
          <w:szCs w:val="24"/>
        </w:rPr>
        <w:t>.1.2 试验设备</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施工现场需要配置的试验场所：</w:t>
      </w:r>
      <w:bookmarkEnd w:id="395"/>
      <w:bookmarkEnd w:id="396"/>
      <w:bookmarkEnd w:id="397"/>
      <w:bookmarkEnd w:id="398"/>
      <w:bookmarkEnd w:id="399"/>
      <w:bookmarkEnd w:id="400"/>
      <w:bookmarkEnd w:id="401"/>
      <w:bookmarkStart w:id="403" w:name="_Toc297123536"/>
      <w:bookmarkStart w:id="404" w:name="_Toc304295562"/>
      <w:bookmarkStart w:id="405" w:name="_Toc300934985"/>
      <w:bookmarkStart w:id="406" w:name="_Toc312678024"/>
      <w:bookmarkStart w:id="407" w:name="_Toc312677498"/>
      <w:bookmarkStart w:id="408" w:name="_Toc297216195"/>
      <w:bookmarkStart w:id="409" w:name="_Toc303539142"/>
      <w:r>
        <w:rPr>
          <w:rFonts w:hint="eastAsia" w:ascii="仿宋" w:hAnsi="仿宋" w:eastAsia="仿宋" w:cs="仿宋"/>
          <w:color w:val="000000"/>
          <w:sz w:val="24"/>
          <w:szCs w:val="24"/>
          <w:u w:val="single"/>
        </w:rPr>
        <w:t xml:space="preserve"> 根据本工程实际情况配置，并满足施工现场的试验需求。</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施工现场需要配备的试验设备：</w:t>
      </w:r>
      <w:r>
        <w:rPr>
          <w:rFonts w:hint="eastAsia" w:ascii="仿宋" w:hAnsi="仿宋" w:eastAsia="仿宋" w:cs="仿宋"/>
          <w:color w:val="000000"/>
          <w:sz w:val="24"/>
          <w:szCs w:val="24"/>
          <w:u w:val="single"/>
        </w:rPr>
        <w:t xml:space="preserve"> 根据本工程实际情况配置，并满足施工现场的试验需求。如混凝土试验所需设备，砌筑砂浆试验所需设备，回填土试验所需设备等，配置常用器具等。</w:t>
      </w:r>
      <w:r>
        <w:rPr>
          <w:rFonts w:hint="eastAsia" w:ascii="仿宋" w:hAnsi="仿宋" w:eastAsia="仿宋" w:cs="仿宋"/>
          <w:color w:val="000000"/>
          <w:sz w:val="24"/>
          <w:szCs w:val="24"/>
        </w:rPr>
        <w:t xml:space="preserve">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施工现场需要具备的其他试验条件：</w:t>
      </w:r>
      <w:r>
        <w:rPr>
          <w:rFonts w:hint="eastAsia" w:ascii="仿宋" w:hAnsi="仿宋" w:eastAsia="仿宋" w:cs="仿宋"/>
          <w:color w:val="000000"/>
          <w:sz w:val="24"/>
          <w:szCs w:val="24"/>
          <w:u w:val="single"/>
        </w:rPr>
        <w:t xml:space="preserve"> 根据本工程实际情况配置并满足施工现场试验需求。</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9.3材料、工程设备和工程的试验和检验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除执行通用合同条款外，还应执行：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承包人负责采购的材料和工程设备，承包人应通知监理人共同进行检验和交货验收，验收时应同时查验材质证明和产品合格证书。承包人还应按国家规范的规定进行材料的抽样检验和工程设备的检验测试，并将检验结果提交监理人，其所需费用由承包人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②监理人应按合同规定参加交货验收，承包人应为监理人进行交货验收的监督检查提供一切方便。监理人参加交货验收不免除承包人在检验和交货验收中应负的责任。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sym w:font="Wingdings" w:char="F083"/>
      </w:r>
      <w:r>
        <w:rPr>
          <w:rFonts w:hint="eastAsia" w:ascii="仿宋" w:hAnsi="仿宋" w:eastAsia="仿宋" w:cs="仿宋"/>
          <w:color w:val="000000"/>
          <w:sz w:val="24"/>
          <w:szCs w:val="24"/>
          <w:u w:val="single"/>
        </w:rPr>
        <w:t>额外检验和重新检验：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若监理人要求承包人对某项材料和工程设备进行的检查和检验在超出国家规范和本合同的规定，监理人可以指示承包人增加额外检验，承包人应遵照执行。若检验结果合格，则相关费用由发包人承担，否则由承包人自行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承包人不按合同的规定完成监理人指示的检查和检验工作，监理人可以指派自己的人员或委托其它有资质的检验机构或人员进行检查和检验，承包人不得拒绝，并应提供一切方便。由此增加的费用和工期延误责任由承包人承担。</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无论何种原因，若监理人对以往的检验结果有疑问时，可以指示承包人重新检验，承包人不得拒绝。</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9.4 现场工艺试验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现场工艺试验的有关约定：</w:t>
      </w:r>
      <w:bookmarkEnd w:id="402"/>
      <w:bookmarkEnd w:id="403"/>
      <w:bookmarkEnd w:id="404"/>
      <w:bookmarkEnd w:id="405"/>
      <w:bookmarkEnd w:id="406"/>
      <w:bookmarkEnd w:id="407"/>
      <w:bookmarkEnd w:id="408"/>
      <w:bookmarkEnd w:id="409"/>
      <w:bookmarkStart w:id="410" w:name="_Toc351203642"/>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w:t>
      </w:r>
      <w:bookmarkEnd w:id="376"/>
      <w:bookmarkEnd w:id="377"/>
      <w:bookmarkEnd w:id="378"/>
      <w:bookmarkEnd w:id="379"/>
      <w:bookmarkEnd w:id="380"/>
      <w:bookmarkEnd w:id="381"/>
      <w:bookmarkEnd w:id="382"/>
      <w:bookmarkEnd w:id="383"/>
      <w:bookmarkEnd w:id="384"/>
      <w:bookmarkEnd w:id="385"/>
      <w:bookmarkEnd w:id="386"/>
      <w:bookmarkEnd w:id="387"/>
      <w:bookmarkStart w:id="411" w:name="_Toc296891021"/>
      <w:bookmarkStart w:id="412" w:name="_Toc297123540"/>
      <w:bookmarkStart w:id="413" w:name="_Toc292559903"/>
      <w:bookmarkStart w:id="414" w:name="_Toc296891233"/>
      <w:bookmarkStart w:id="415" w:name="_Toc292559398"/>
      <w:bookmarkStart w:id="416" w:name="_Toc297048379"/>
      <w:bookmarkStart w:id="417" w:name="_Toc296346694"/>
      <w:bookmarkStart w:id="418" w:name="_Toc303539146"/>
      <w:bookmarkStart w:id="419" w:name="_Toc297216199"/>
      <w:bookmarkStart w:id="420" w:name="_Toc296347192"/>
      <w:bookmarkStart w:id="421" w:name="_Toc296944532"/>
      <w:bookmarkStart w:id="422" w:name="_Toc300934989"/>
      <w:bookmarkStart w:id="423" w:name="_Toc304295566"/>
      <w:bookmarkStart w:id="424" w:name="_Toc297120493"/>
      <w:bookmarkStart w:id="425" w:name="_Toc296503193"/>
      <w:bookmarkStart w:id="426" w:name="_Toc312678025"/>
      <w:bookmarkStart w:id="427" w:name="_Toc312677499"/>
      <w:bookmarkStart w:id="428" w:name="_Toc267251437"/>
      <w:bookmarkStart w:id="429" w:name="_Toc267251441"/>
      <w:bookmarkStart w:id="430" w:name="_Toc267251433"/>
      <w:bookmarkStart w:id="431" w:name="_Toc267251439"/>
      <w:bookmarkStart w:id="432" w:name="_Toc267251440"/>
      <w:bookmarkStart w:id="433" w:name="_Toc267251435"/>
      <w:bookmarkStart w:id="434" w:name="_Toc267251442"/>
      <w:r>
        <w:rPr>
          <w:rFonts w:hint="eastAsia" w:ascii="仿宋" w:hAnsi="仿宋" w:eastAsia="仿宋" w:cs="仿宋"/>
          <w:color w:val="000000"/>
          <w:sz w:val="24"/>
          <w:szCs w:val="24"/>
        </w:rPr>
        <w:t>0. 变更</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bookmarkEnd w:id="426"/>
    <w:bookmarkEnd w:id="427"/>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rPr>
      </w:pPr>
      <w:bookmarkStart w:id="435" w:name="_Toc296891234"/>
      <w:bookmarkStart w:id="436" w:name="_Toc297216200"/>
      <w:bookmarkStart w:id="437" w:name="_Toc304295567"/>
      <w:bookmarkStart w:id="438" w:name="_Toc292559904"/>
      <w:bookmarkStart w:id="439" w:name="_Toc296347193"/>
      <w:bookmarkStart w:id="440" w:name="_Toc312677500"/>
      <w:bookmarkStart w:id="441" w:name="_Toc292559399"/>
      <w:bookmarkStart w:id="442" w:name="_Toc312678026"/>
      <w:bookmarkStart w:id="443" w:name="_Toc297120494"/>
      <w:bookmarkStart w:id="444" w:name="_Toc297123541"/>
      <w:bookmarkStart w:id="445" w:name="_Toc296944533"/>
      <w:bookmarkStart w:id="446" w:name="_Toc297048380"/>
      <w:bookmarkStart w:id="447" w:name="_Toc296346695"/>
      <w:bookmarkStart w:id="448" w:name="_Toc296891022"/>
      <w:bookmarkStart w:id="449" w:name="_Toc296503194"/>
      <w:bookmarkStart w:id="450" w:name="_Toc303539147"/>
      <w:bookmarkStart w:id="451" w:name="_Toc300934990"/>
      <w:r>
        <w:rPr>
          <w:rFonts w:hint="eastAsia" w:ascii="仿宋" w:hAnsi="仿宋" w:eastAsia="仿宋" w:cs="仿宋"/>
          <w:bCs/>
          <w:color w:val="000000"/>
          <w:sz w:val="24"/>
          <w:szCs w:val="24"/>
        </w:rPr>
        <w:t>10.1变更的范围</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关于变更的范围的约定：</w:t>
      </w:r>
      <w:r>
        <w:rPr>
          <w:rFonts w:hint="eastAsia" w:ascii="仿宋" w:hAnsi="仿宋" w:eastAsia="仿宋" w:cs="仿宋"/>
          <w:bCs/>
          <w:color w:val="000000"/>
          <w:sz w:val="24"/>
          <w:szCs w:val="24"/>
          <w:u w:val="single"/>
        </w:rPr>
        <w:t>经发包人、监理共同确认的通用合同条款事项内容。</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10.3变更程序</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除执行通用合同条款外，还应执行：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①变更指示只能由监理人经发包人批准后发出，否则视为无效，因无效变更导致费用增加和（或）工期延误的，由承包人自行承担。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②所有变更必须得到发包人的认可且获得发包人的书面确认，否则所有变更视为无效。若是减少金额的变更，未经双方确认，发包人也将在结算及付款时进行扣除。</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③因承包人自身原因而引起的工程变更增加或减少费用的，承包人无权要求增加费用，减少的费用予以扣减。因承包人自身原因而引起工程变更所产生的其它责任和损失均由承包人自行承担。</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10.4 变更估价</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10.4.1 变更估价原则</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 xml:space="preserve">关于变更估价的约定: </w:t>
      </w:r>
      <w:r>
        <w:rPr>
          <w:rFonts w:hint="eastAsia" w:ascii="仿宋" w:hAnsi="仿宋" w:eastAsia="仿宋" w:cs="仿宋"/>
          <w:color w:val="000000"/>
          <w:sz w:val="24"/>
          <w:szCs w:val="24"/>
          <w:u w:val="single"/>
        </w:rPr>
        <w:t>执行本专用合同条款12.1条的相关规定。</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Start w:id="452" w:name="_Toc296891025"/>
      <w:bookmarkStart w:id="453" w:name="_Toc297216203"/>
      <w:bookmarkStart w:id="454" w:name="_Toc296346698"/>
      <w:bookmarkStart w:id="455" w:name="_Toc297048383"/>
      <w:bookmarkStart w:id="456" w:name="_Toc296944536"/>
      <w:bookmarkStart w:id="457" w:name="_Toc303539150"/>
      <w:bookmarkStart w:id="458" w:name="_Toc296891237"/>
      <w:bookmarkStart w:id="459" w:name="_Toc292559907"/>
      <w:bookmarkStart w:id="460" w:name="_Toc297123544"/>
      <w:bookmarkStart w:id="461" w:name="_Toc300934993"/>
      <w:bookmarkStart w:id="462" w:name="_Toc292559402"/>
      <w:bookmarkStart w:id="463" w:name="_Toc297120497"/>
      <w:bookmarkStart w:id="464" w:name="_Toc296347196"/>
      <w:bookmarkStart w:id="465" w:name="_Toc296503197"/>
      <w:bookmarkStart w:id="466" w:name="_Toc312678029"/>
      <w:bookmarkStart w:id="467" w:name="_Toc312677503"/>
      <w:bookmarkStart w:id="468" w:name="_Toc304295570"/>
      <w:r>
        <w:rPr>
          <w:rFonts w:hint="eastAsia" w:ascii="仿宋" w:hAnsi="仿宋" w:eastAsia="仿宋" w:cs="仿宋"/>
          <w:color w:val="000000"/>
          <w:sz w:val="24"/>
          <w:szCs w:val="24"/>
        </w:rPr>
        <w:t>0.5承</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Start w:id="469" w:name="_Toc292559408"/>
      <w:bookmarkStart w:id="470" w:name="_Toc296503203"/>
      <w:bookmarkStart w:id="471" w:name="_Toc300934994"/>
      <w:bookmarkStart w:id="472" w:name="_Toc296346704"/>
      <w:bookmarkStart w:id="473" w:name="_Toc296944542"/>
      <w:bookmarkStart w:id="474" w:name="_Toc297216204"/>
      <w:bookmarkStart w:id="475" w:name="_Toc303539151"/>
      <w:bookmarkStart w:id="476" w:name="_Toc297123545"/>
      <w:bookmarkStart w:id="477" w:name="_Toc296891243"/>
      <w:bookmarkStart w:id="478" w:name="_Toc296347202"/>
      <w:bookmarkStart w:id="479" w:name="_Toc292559913"/>
      <w:bookmarkStart w:id="480" w:name="_Toc296891031"/>
      <w:bookmarkStart w:id="481" w:name="_Toc297048389"/>
      <w:bookmarkStart w:id="482" w:name="_Toc297120503"/>
      <w:r>
        <w:rPr>
          <w:rFonts w:hint="eastAsia" w:ascii="仿宋" w:hAnsi="仿宋" w:eastAsia="仿宋" w:cs="仿宋"/>
          <w:color w:val="000000"/>
          <w:sz w:val="24"/>
          <w:szCs w:val="24"/>
        </w:rPr>
        <w:t>包人的合理化建议</w:t>
      </w:r>
    </w:p>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监理人审查承包人合理化建议的期限：</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发包人审批承包人合理化建议的期限：</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w:t>
      </w:r>
      <w:bookmarkStart w:id="483" w:name="_Toc296346705"/>
      <w:bookmarkStart w:id="484" w:name="_Toc300934995"/>
      <w:bookmarkStart w:id="485" w:name="_Toc303539152"/>
      <w:bookmarkStart w:id="486" w:name="_Toc296347203"/>
      <w:bookmarkStart w:id="487" w:name="_Toc292559409"/>
      <w:bookmarkStart w:id="488" w:name="_Toc312677504"/>
      <w:bookmarkStart w:id="489" w:name="_Toc297048390"/>
      <w:bookmarkStart w:id="490" w:name="_Toc318581175"/>
      <w:bookmarkStart w:id="491" w:name="_Toc296944543"/>
      <w:bookmarkStart w:id="492" w:name="_Toc296503204"/>
      <w:bookmarkStart w:id="493" w:name="_Toc297123546"/>
      <w:bookmarkStart w:id="494" w:name="_Toc297120504"/>
      <w:bookmarkStart w:id="495" w:name="_Toc297216205"/>
      <w:bookmarkStart w:id="496" w:name="_Toc296891032"/>
      <w:bookmarkStart w:id="497" w:name="_Toc292559914"/>
      <w:bookmarkStart w:id="498" w:name="_Toc312678030"/>
      <w:bookmarkStart w:id="499" w:name="_Toc304295571"/>
      <w:bookmarkStart w:id="500" w:name="_Toc296891244"/>
      <w:r>
        <w:rPr>
          <w:rFonts w:hint="eastAsia" w:ascii="仿宋" w:hAnsi="仿宋" w:eastAsia="仿宋" w:cs="仿宋"/>
          <w:color w:val="000000"/>
          <w:sz w:val="24"/>
          <w:szCs w:val="24"/>
        </w:rPr>
        <w:t>包人提出的合理化建议降低了合同价格或者提高了工程经济效益的奖励的方法和金额为：</w:t>
      </w:r>
      <w:r>
        <w:rPr>
          <w:rFonts w:hint="eastAsia" w:ascii="仿宋" w:hAnsi="仿宋" w:eastAsia="仿宋" w:cs="仿宋"/>
          <w:color w:val="000000"/>
          <w:sz w:val="24"/>
          <w:szCs w:val="24"/>
          <w:u w:val="single"/>
        </w:rPr>
        <w:t>不奖励</w:t>
      </w:r>
      <w:r>
        <w:rPr>
          <w:rFonts w:hint="eastAsia" w:ascii="仿宋" w:hAnsi="仿宋" w:eastAsia="仿宋" w:cs="仿宋"/>
          <w:color w:val="000000"/>
          <w:sz w:val="24"/>
          <w:szCs w:val="24"/>
        </w:rPr>
        <w:t>。</w:t>
      </w:r>
    </w:p>
    <w:bookmarkEnd w:id="428"/>
    <w:bookmarkEnd w:id="429"/>
    <w:bookmarkEnd w:id="430"/>
    <w:bookmarkEnd w:id="431"/>
    <w:bookmarkEnd w:id="432"/>
    <w:bookmarkEnd w:id="433"/>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bookmarkStart w:id="501" w:name="_Toc292559917"/>
      <w:bookmarkStart w:id="502" w:name="_Toc304295581"/>
      <w:bookmarkStart w:id="503" w:name="_Toc296891247"/>
      <w:bookmarkStart w:id="504" w:name="_Toc297216213"/>
      <w:bookmarkStart w:id="505" w:name="_Toc297048393"/>
      <w:bookmarkStart w:id="506" w:name="_Toc300935004"/>
      <w:bookmarkStart w:id="507" w:name="_Toc312678042"/>
      <w:bookmarkStart w:id="508" w:name="_Toc296891035"/>
      <w:bookmarkStart w:id="509" w:name="_Toc303539161"/>
      <w:bookmarkStart w:id="510" w:name="_Toc292559412"/>
      <w:bookmarkStart w:id="511" w:name="_Toc297123554"/>
      <w:bookmarkStart w:id="512" w:name="_Toc297120507"/>
      <w:bookmarkStart w:id="513" w:name="_Toc296944546"/>
      <w:bookmarkStart w:id="514" w:name="_Toc296346708"/>
      <w:bookmarkStart w:id="515" w:name="_Toc296347206"/>
      <w:bookmarkStart w:id="516" w:name="_Toc296503207"/>
      <w:r>
        <w:rPr>
          <w:rFonts w:hint="eastAsia" w:ascii="仿宋" w:hAnsi="仿宋" w:eastAsia="仿宋" w:cs="仿宋"/>
          <w:color w:val="000000"/>
          <w:sz w:val="24"/>
          <w:szCs w:val="24"/>
        </w:rPr>
        <w:t>1</w:t>
      </w:r>
      <w:bookmarkStart w:id="517" w:name="_Toc292559404"/>
      <w:bookmarkStart w:id="518" w:name="_Toc297123548"/>
      <w:bookmarkStart w:id="519" w:name="_Toc297048385"/>
      <w:bookmarkStart w:id="520" w:name="_Toc296891027"/>
      <w:bookmarkStart w:id="521" w:name="_Toc297120499"/>
      <w:bookmarkStart w:id="522" w:name="_Toc296944538"/>
      <w:bookmarkStart w:id="523" w:name="_Toc296347198"/>
      <w:bookmarkStart w:id="524" w:name="_Toc312678033"/>
      <w:bookmarkStart w:id="525" w:name="_Toc296891239"/>
      <w:bookmarkStart w:id="526" w:name="_Toc296503199"/>
      <w:bookmarkStart w:id="527" w:name="_Toc303539154"/>
      <w:bookmarkStart w:id="528" w:name="_Toc300934997"/>
      <w:bookmarkStart w:id="529" w:name="_Toc304295574"/>
      <w:bookmarkStart w:id="530" w:name="_Toc296346700"/>
      <w:bookmarkStart w:id="531" w:name="_Toc297216207"/>
      <w:bookmarkStart w:id="532" w:name="_Toc292559909"/>
      <w:bookmarkStart w:id="533" w:name="_Toc312677507"/>
      <w:r>
        <w:rPr>
          <w:rFonts w:hint="eastAsia" w:ascii="仿宋" w:hAnsi="仿宋" w:eastAsia="仿宋" w:cs="仿宋"/>
          <w:color w:val="000000"/>
          <w:sz w:val="24"/>
          <w:szCs w:val="24"/>
        </w:rPr>
        <w:t>0.7 暂估价</w:t>
      </w:r>
    </w:p>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暂</w:t>
      </w:r>
      <w:bookmarkStart w:id="534" w:name="_Toc312678034"/>
      <w:bookmarkStart w:id="535" w:name="_Toc318581176"/>
      <w:bookmarkStart w:id="536" w:name="_Toc312677508"/>
      <w:r>
        <w:rPr>
          <w:rFonts w:hint="eastAsia" w:ascii="仿宋" w:hAnsi="仿宋" w:eastAsia="仿宋" w:cs="仿宋"/>
          <w:color w:val="000000"/>
          <w:kern w:val="0"/>
          <w:sz w:val="24"/>
          <w:szCs w:val="24"/>
        </w:rPr>
        <w:t>估价材料和工程设备的明细详见附件11：《</w:t>
      </w:r>
      <w:r>
        <w:rPr>
          <w:rFonts w:hint="eastAsia" w:ascii="仿宋" w:hAnsi="仿宋" w:eastAsia="仿宋" w:cs="仿宋"/>
          <w:color w:val="000000"/>
          <w:sz w:val="24"/>
          <w:szCs w:val="24"/>
        </w:rPr>
        <w:t>暂估价一览表》</w:t>
      </w:r>
      <w:r>
        <w:rPr>
          <w:rFonts w:hint="eastAsia" w:ascii="仿宋" w:hAnsi="仿宋" w:eastAsia="仿宋" w:cs="仿宋"/>
          <w:color w:val="000000"/>
          <w:kern w:val="0"/>
          <w:sz w:val="24"/>
          <w:szCs w:val="24"/>
        </w:rPr>
        <w:t>。</w:t>
      </w:r>
    </w:p>
    <w:bookmarkEnd w:id="534"/>
    <w:bookmarkEnd w:id="535"/>
    <w:bookmarkEnd w:id="536"/>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bookmarkStart w:id="537" w:name="_Toc318581177"/>
      <w:bookmarkStart w:id="538" w:name="_Toc312678035"/>
      <w:bookmarkStart w:id="539" w:name="_Toc312677509"/>
      <w:r>
        <w:rPr>
          <w:rFonts w:hint="eastAsia" w:ascii="仿宋" w:hAnsi="仿宋" w:eastAsia="仿宋" w:cs="仿宋"/>
          <w:color w:val="000000"/>
          <w:sz w:val="24"/>
          <w:szCs w:val="24"/>
        </w:rPr>
        <w:t>0.7.1 依法必须招标的暂估价项目</w:t>
      </w:r>
    </w:p>
    <w:bookmarkEnd w:id="537"/>
    <w:bookmarkEnd w:id="538"/>
    <w:bookmarkEnd w:id="539"/>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对于依法必须招标的暂估价项目的确认和批准采取第</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种方式确定。</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10.7.2 不属于依法必须招标的暂估价项目</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对于不属于依法必须招标的暂估价项目的确认和批准采取第</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种方式确定。</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sz w:val="24"/>
          <w:szCs w:val="24"/>
        </w:rPr>
        <w:t>第3种方式：</w:t>
      </w:r>
      <w:r>
        <w:rPr>
          <w:rFonts w:hint="eastAsia" w:ascii="仿宋" w:hAnsi="仿宋" w:eastAsia="仿宋" w:cs="仿宋"/>
          <w:color w:val="000000"/>
          <w:kern w:val="0"/>
          <w:sz w:val="24"/>
          <w:szCs w:val="24"/>
        </w:rPr>
        <w:t>承包人直接实施的暂估价项目</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承包人直接实施的暂估价项目的约定：</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10.8 暂列金额</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合同当事人关于暂列金额使用的约定：</w:t>
      </w:r>
      <w:bookmarkStart w:id="540" w:name="_Toc351203643"/>
      <w:r>
        <w:rPr>
          <w:rFonts w:hint="eastAsia" w:ascii="仿宋" w:hAnsi="仿宋" w:eastAsia="仿宋" w:cs="仿宋"/>
          <w:color w:val="000000"/>
          <w:kern w:val="0"/>
          <w:sz w:val="24"/>
          <w:szCs w:val="24"/>
          <w:u w:val="single"/>
          <w:lang w:val="en-US" w:eastAsia="zh-CN"/>
        </w:rPr>
        <w:t>/</w:t>
      </w:r>
    </w:p>
    <w:bookmarkEnd w:id="540"/>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11.1 市场价格波动引起的调整</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kern w:val="0"/>
          <w:sz w:val="24"/>
          <w:szCs w:val="24"/>
        </w:rPr>
        <w:t>市场价格波动是否调整合同价格的约定：</w:t>
      </w:r>
      <w:r>
        <w:rPr>
          <w:rFonts w:hint="eastAsia" w:ascii="仿宋" w:hAnsi="仿宋" w:eastAsia="仿宋" w:cs="仿宋"/>
          <w:color w:val="000000"/>
          <w:sz w:val="24"/>
          <w:szCs w:val="24"/>
          <w:u w:val="single"/>
        </w:rPr>
        <w:t>不调整</w:t>
      </w:r>
      <w:r>
        <w:rPr>
          <w:rFonts w:hint="eastAsia" w:ascii="仿宋" w:hAnsi="仿宋" w:eastAsia="仿宋" w:cs="仿宋"/>
          <w:bCs/>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12. 合同价格、计量与支付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12.1 合同价格形式</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1、单价合同。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szCs w:val="24"/>
        </w:rPr>
        <w:t>综合单价包含的风险范围：</w:t>
      </w:r>
      <w:r>
        <w:rPr>
          <w:rFonts w:hint="eastAsia" w:ascii="仿宋" w:hAnsi="仿宋" w:eastAsia="仿宋" w:cs="仿宋"/>
          <w:color w:val="000000"/>
          <w:sz w:val="24"/>
          <w:u w:val="single"/>
        </w:rPr>
        <w:t>承包人所填报综合单价在合同实施期间除合同约定调整的内容，均不予调整。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风险范围以外合同价格的调整方法： </w:t>
      </w:r>
    </w:p>
    <w:p>
      <w:pPr>
        <w:keepNext w:val="0"/>
        <w:keepLines w:val="0"/>
        <w:pageBreakBefore w:val="0"/>
        <w:widowControl w:val="0"/>
        <w:wordWrap/>
        <w:topLinePunct w:val="0"/>
        <w:bidi w:val="0"/>
        <w:spacing w:line="360" w:lineRule="auto"/>
        <w:ind w:left="-1"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Ⅰ、合同价格调整的范围：（1）工程变更引起已标价工程量清单项目或其工程数量的变化；（2）招标工程量清单项目特征描述与实际施工要求不符；（3）因设计变更或施工条件改变或工程量清单编制错误造成工程量清单缺项；（4）实际完成工程量与招标工程量清单的工程量偏差。</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本工程所涉及到的设计变更内容，在实施前须经发包人、设计单位及监理单位签字确认后方可执行。未经发包人、设计单位及监理单位签字确认的调整内容部分，不予调整合同价格。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本工程所涉及到的工程经济签证或工程经济洽商单内容，在实施前须经发包人及监理单位签字确认后方可执行。未经发包人及监理单位确认的调整内容部分，不予调整合同价格。</w:t>
      </w:r>
    </w:p>
    <w:p>
      <w:pPr>
        <w:keepNext w:val="0"/>
        <w:keepLines w:val="0"/>
        <w:pageBreakBefore w:val="0"/>
        <w:widowControl w:val="0"/>
        <w:wordWrap/>
        <w:topLinePunct w:val="0"/>
        <w:bidi w:val="0"/>
        <w:spacing w:line="360" w:lineRule="auto"/>
        <w:ind w:firstLine="456" w:firstLineChars="200"/>
        <w:textAlignment w:val="auto"/>
        <w:rPr>
          <w:rFonts w:hint="eastAsia" w:ascii="仿宋" w:hAnsi="仿宋" w:eastAsia="仿宋" w:cs="仿宋"/>
          <w:color w:val="000000"/>
          <w:spacing w:val="-6"/>
          <w:sz w:val="24"/>
          <w:szCs w:val="24"/>
          <w:u w:val="single"/>
        </w:rPr>
      </w:pPr>
      <w:r>
        <w:rPr>
          <w:rFonts w:hint="eastAsia" w:ascii="仿宋" w:hAnsi="仿宋" w:eastAsia="仿宋" w:cs="仿宋"/>
          <w:color w:val="000000"/>
          <w:spacing w:val="-6"/>
          <w:sz w:val="24"/>
          <w:szCs w:val="24"/>
          <w:u w:val="single"/>
        </w:rPr>
        <w:t xml:space="preserve"> 合同价格调整事项发生后，承包人应在14天内，将调整原因、金额以书面形式向发包人提出，经发包人审核同意后作为调整合同价格的结算依据。14天内未申报书面调整合同价格金额及明细预算的，竣工结算时不予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Ⅱ、合同价款调整方法：</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（一）合同价格调整的范围（1）的调整原则：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1、因工程变更引起已标价工程量清单项目或其他工程数量发生变化时，应按照下列规定调整：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a、已标价工程量清单中有适用于变更工程项目的，应采用该项目的单价；但当工程变更导致该清单项目的工程数量发生变化，且工程量偏差超过15%时，该项目单价的调整原则：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当工程量减少15%以上时，减少后剩余部分的工程量的综合单价予以调高；当工程量增加15%以上时，增加部分的工程量的综合单价予以调低。</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其计算公式如下：</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①当Q</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＞1.15Q</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时，S=1.15Q</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+（Q</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-1.15Q</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②当Q</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＜0.85Q</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时，S=Q</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③当P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×（1-L）×（1-15%）时，该类项目的综合单价：P</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按照P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×（1-L）×（1-15%）调整；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④当P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×（1+15%）时，该类项目的综合单价：P</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按照P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×（1+15%）调整；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⑤当P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×（1-L）×（1-15%）或P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×（1+15%）时，可不调整综合单价。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式中：S—调整后的某一分部分项工程费结算价；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Q</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—最终完成的工程量；</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Q</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—招标工程量清单中列出的工程量；</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0</w:t>
      </w:r>
      <w:r>
        <w:rPr>
          <w:rFonts w:hint="eastAsia" w:ascii="仿宋" w:hAnsi="仿宋" w:eastAsia="仿宋" w:cs="仿宋"/>
          <w:color w:val="000000"/>
          <w:sz w:val="24"/>
          <w:szCs w:val="24"/>
          <w:u w:val="single"/>
        </w:rPr>
        <w:t>—承包人在工程量清单中填报的综合单价；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1</w:t>
      </w:r>
      <w:r>
        <w:rPr>
          <w:rFonts w:hint="eastAsia" w:ascii="仿宋" w:hAnsi="仿宋" w:eastAsia="仿宋" w:cs="仿宋"/>
          <w:color w:val="000000"/>
          <w:sz w:val="24"/>
          <w:szCs w:val="24"/>
          <w:u w:val="single"/>
        </w:rPr>
        <w:t>—按照最终完成工程量重新调整后的综合单价；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P</w:t>
      </w:r>
      <w:r>
        <w:rPr>
          <w:rFonts w:hint="eastAsia" w:ascii="仿宋" w:hAnsi="仿宋" w:eastAsia="仿宋" w:cs="仿宋"/>
          <w:color w:val="000000"/>
          <w:sz w:val="24"/>
          <w:szCs w:val="24"/>
          <w:u w:val="single"/>
          <w:vertAlign w:val="subscript"/>
        </w:rPr>
        <w:t>2</w:t>
      </w:r>
      <w:r>
        <w:rPr>
          <w:rFonts w:hint="eastAsia" w:ascii="仿宋" w:hAnsi="仿宋" w:eastAsia="仿宋" w:cs="仿宋"/>
          <w:color w:val="000000"/>
          <w:sz w:val="24"/>
          <w:szCs w:val="24"/>
          <w:u w:val="single"/>
        </w:rPr>
        <w:t>—发包人招标控制价相应项目的综合单价；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L—承包人报价浮动率=（1-中标价/招标控制价）×100%。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b、已标价工程量清单中没有适用于但有类似于变更工程项目的，可在合理范围内参照类似项目的单价。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c、已标价工程量清单中没有适用也没有类似于变更工程项目的，由承包人根据变更工程资料、计量规则和计价办法，工程造价管理机构发布的信息价格和承包人报价浮动率提出变更工程项目的单价，报发包人确认后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承包人报价浮动率L =（1-中标价/招标控制价）×100%。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d、已标价工程量清单中没有适用也没有类似于变更工程项目，且工程造价管理机构发布的信息价格缺价的，由承包人根据变更工程资料、计量规则、计价办法和通过市场调查等取得有合法依据的市场价格提出变更工程项目单价，报发包人确认后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工程变更引起施工方案改变并使措施项目发生变化时，承包人提出调整措施项目费的，应事先将拟实施的方案提交发包人确认，并应详细说明与原方案措施项目相比的变化情况。拟实施的方案经发承包双方确认后执行，并按下列规定调整措施费：</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a、安全文明措施费按照实际发生变化的措施项目按国家或省级、行业建设主管部门的规定计算；</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b、采用单价计算的措施项目费，按照实际发生变化的措施项目，依照本款（1）的调整原则确定单价；</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c、按总价（或系数）计算的措施项目费，按照实际发生变化的措施项目调整，但应考虑承包人报价浮动因素，即调整金额按实际调整金额乘以承包人报价浮动率计算【承包人报价浮动率L =（1-中标价/招标控制价）×100%】。</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d、如工程变更未引起相关措施项目发生变化，则不予调整。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如承包人未事先将拟实施的方案提交给发包人确认，则视为工程变更不引起措施项目费的调整或承包人放弃调整措施项目费的权利。</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（二）合同价格调整的范围（2）的调整原则：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承包人按发包人提供的设计图纸实施合同工程，在合同履行期间出现设计图纸（含设计变更）与招标工程量清单任一项目的特征描述不符，且该变化引起该项目工程造价增减变化的，按照实际施工的项目特征，依据合同价格调整的范围调整（1）的调整原则重新确定相应工程量清单项目的综合单价，并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（三）合同价格调整的范围（3）的调整原则：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1、招标工程量清单中缺项、新增分部分项工程清单项目的，应按照合同价格调整的范围（1）的调整原则中的第1款规定确定单价，并调整合同价格。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2、新增分部分项工程清单项目后，引起措施项目发生变化的，按合同价格调整的范围（1）的调整原则中的第2款规定，在承包人提交的实际实施方案经发包人批准后调整合同价格。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3、工程量清单中措施项目的缺项，承包人将新增措施项目实施方案提交发包人批准后，按合同价格调整的范围（1）的调整原则调整合同价格。</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（四）合同价格调整的范围（4）的调整原则：</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1、任一招标工程量清单项目，当工程量偏差和工程变更等原因导致工程量偏差超过15%时，按合同价格调整的范围（1）的调整原则中第1款中a调整。</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当工程量出现本款1的变化，且该变化引起相关措施项目相应发生变化时，按总价（或系数）计算措施项目的，工程量增加的措施项目费调增，工程量减少的措施项目费调减。如未引起相关措施项目发生变化的，则不予调整。</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2、总价合同。</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总价包含的风险范围：</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风险费用的计算方法：</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风险范围以外合同价格的调整方法：</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3、其他价格方式：</w:t>
      </w:r>
      <w:r>
        <w:rPr>
          <w:rFonts w:hint="eastAsia" w:ascii="仿宋" w:hAnsi="仿宋" w:eastAsia="仿宋" w:cs="仿宋"/>
          <w:color w:val="000000"/>
          <w:sz w:val="24"/>
          <w:szCs w:val="24"/>
          <w:u w:val="single"/>
        </w:rPr>
        <w:t xml:space="preserve">      /           </w:t>
      </w: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12.2 预付款</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12.2.1 预付款的支付</w:t>
      </w:r>
    </w:p>
    <w:p>
      <w:pPr>
        <w:keepNext w:val="0"/>
        <w:keepLines w:val="0"/>
        <w:pageBreakBefore w:val="0"/>
        <w:widowControl w:val="0"/>
        <w:wordWrap/>
        <w:topLinePunct w:val="0"/>
        <w:bidi w:val="0"/>
        <w:spacing w:line="360" w:lineRule="auto"/>
        <w:ind w:right="0" w:rightChars="0" w:firstLine="480" w:firstLineChars="200"/>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预付款支付比例或金额：</w:t>
      </w:r>
      <w:r>
        <w:rPr>
          <w:rFonts w:hint="eastAsia" w:ascii="仿宋" w:hAnsi="仿宋" w:eastAsia="仿宋" w:cs="仿宋"/>
          <w:color w:val="000000"/>
          <w:sz w:val="24"/>
          <w:szCs w:val="24"/>
          <w:highlight w:val="none"/>
          <w:u w:val="single"/>
        </w:rPr>
        <w:t>本工程预付款为签约合同价款的</w:t>
      </w:r>
      <w:r>
        <w:rPr>
          <w:rFonts w:hint="eastAsia" w:ascii="仿宋" w:hAnsi="仿宋" w:eastAsia="仿宋" w:cs="仿宋"/>
          <w:color w:val="000000"/>
          <w:sz w:val="24"/>
          <w:szCs w:val="24"/>
          <w:highlight w:val="none"/>
          <w:u w:val="single"/>
          <w:lang w:val="en-US" w:eastAsia="zh-CN"/>
        </w:rPr>
        <w:t>3</w:t>
      </w:r>
      <w:r>
        <w:rPr>
          <w:rFonts w:hint="eastAsia" w:ascii="仿宋" w:hAnsi="仿宋" w:eastAsia="仿宋" w:cs="仿宋"/>
          <w:color w:val="000000"/>
          <w:sz w:val="24"/>
          <w:szCs w:val="24"/>
          <w:highlight w:val="none"/>
          <w:u w:val="single"/>
        </w:rPr>
        <w:t>0％（不含暂列金额</w:t>
      </w:r>
      <w:r>
        <w:rPr>
          <w:rFonts w:hint="eastAsia" w:ascii="仿宋" w:hAnsi="仿宋" w:eastAsia="仿宋" w:cs="仿宋"/>
          <w:color w:val="000000"/>
          <w:sz w:val="24"/>
          <w:szCs w:val="24"/>
          <w:highlight w:val="none"/>
          <w:u w:val="single"/>
          <w:lang w:eastAsia="zh-CN"/>
        </w:rPr>
        <w:t>及</w:t>
      </w:r>
      <w:r>
        <w:rPr>
          <w:rFonts w:hint="eastAsia" w:ascii="仿宋" w:hAnsi="仿宋" w:eastAsia="仿宋" w:cs="仿宋"/>
          <w:color w:val="000000"/>
          <w:sz w:val="24"/>
          <w:szCs w:val="24"/>
          <w:highlight w:val="none"/>
          <w:u w:val="single"/>
        </w:rPr>
        <w:t>安全文明施工费）作为备料款，预付款必须专用于本合同工程</w:t>
      </w:r>
      <w:r>
        <w:rPr>
          <w:rFonts w:hint="eastAsia" w:ascii="仿宋" w:hAnsi="仿宋" w:eastAsia="仿宋" w:cs="仿宋"/>
          <w:color w:val="000000"/>
          <w:sz w:val="24"/>
          <w:szCs w:val="24"/>
          <w:u w:val="single"/>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预付款支付期限：</w:t>
      </w:r>
      <w:r>
        <w:rPr>
          <w:rFonts w:hint="eastAsia" w:ascii="仿宋" w:hAnsi="仿宋" w:eastAsia="仿宋" w:cs="仿宋"/>
          <w:bCs/>
          <w:color w:val="000000"/>
          <w:sz w:val="24"/>
          <w:szCs w:val="24"/>
          <w:u w:val="single"/>
        </w:rPr>
        <w:t xml:space="preserve">发、承包双方在签订合同时中约定 </w:t>
      </w:r>
      <w:r>
        <w:rPr>
          <w:rFonts w:hint="eastAsia" w:ascii="仿宋" w:hAnsi="仿宋" w:eastAsia="仿宋" w:cs="仿宋"/>
          <w:bCs/>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u w:val="single"/>
          <w:lang w:eastAsia="zh-CN"/>
        </w:rPr>
      </w:pPr>
      <w:r>
        <w:rPr>
          <w:rFonts w:hint="eastAsia" w:ascii="仿宋" w:hAnsi="仿宋" w:eastAsia="仿宋" w:cs="仿宋"/>
          <w:bCs/>
          <w:color w:val="000000"/>
          <w:sz w:val="24"/>
          <w:szCs w:val="24"/>
        </w:rPr>
        <w:t>预付款扣回的方式：</w:t>
      </w:r>
      <w:r>
        <w:rPr>
          <w:rFonts w:hint="eastAsia" w:ascii="仿宋" w:hAnsi="仿宋" w:eastAsia="仿宋" w:cs="仿宋"/>
          <w:bCs/>
          <w:color w:val="000000"/>
          <w:sz w:val="24"/>
          <w:szCs w:val="24"/>
          <w:u w:val="single"/>
        </w:rPr>
        <w:t>预付款的起扣时间为支付工程进度款开始起扣，</w:t>
      </w:r>
      <w:r>
        <w:rPr>
          <w:rFonts w:hint="eastAsia" w:ascii="仿宋" w:hAnsi="仿宋" w:eastAsia="仿宋" w:cs="仿宋"/>
          <w:bCs/>
          <w:color w:val="000000"/>
          <w:sz w:val="24"/>
          <w:szCs w:val="24"/>
          <w:u w:val="single"/>
          <w:lang w:eastAsia="zh-CN"/>
        </w:rPr>
        <w:t>一次性扣完。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12.2.2 预付款担保</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承包人提交预付款担保的期限：</w:t>
      </w:r>
      <w:r>
        <w:rPr>
          <w:rFonts w:hint="eastAsia" w:ascii="仿宋" w:hAnsi="仿宋" w:eastAsia="仿宋" w:cs="仿宋"/>
          <w:color w:val="000000"/>
          <w:sz w:val="24"/>
          <w:szCs w:val="24"/>
          <w:u w:val="single"/>
        </w:rPr>
        <w:t xml:space="preserve">无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预付款担保的形式为：</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 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12.3.1 计量原则</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工程量计算规则：</w:t>
      </w:r>
      <w:r>
        <w:rPr>
          <w:rFonts w:hint="eastAsia" w:ascii="仿宋" w:hAnsi="仿宋" w:eastAsia="仿宋" w:cs="仿宋"/>
          <w:bCs/>
          <w:color w:val="000000"/>
          <w:sz w:val="24"/>
          <w:szCs w:val="24"/>
          <w:u w:val="single"/>
        </w:rPr>
        <w:t>《建设工程工程量清单计价规范》（GB50500-2013）、《房屋建筑与装饰工程工程量计算规范》（GB50854-2013）、《通用安装工程工程量计价规范（GB50856-2013）等相关规定。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12.3.2 计量周期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关于计量周期的约定：</w:t>
      </w:r>
      <w:r>
        <w:rPr>
          <w:rFonts w:hint="eastAsia" w:ascii="仿宋" w:hAnsi="仿宋" w:eastAsia="仿宋" w:cs="仿宋"/>
          <w:color w:val="000000"/>
          <w:sz w:val="24"/>
          <w:szCs w:val="24"/>
          <w:u w:val="single"/>
        </w:rPr>
        <w:t xml:space="preserve">工程量的计量按月进行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12.3.3 单价合同的计量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关于单价合同计量的约定：</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12.3.4 总价合同的计量</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关于总价合同计量的约定</w:t>
      </w:r>
      <w:r>
        <w:rPr>
          <w:rFonts w:hint="eastAsia" w:ascii="仿宋" w:hAnsi="仿宋" w:eastAsia="仿宋" w:cs="仿宋"/>
          <w:color w:val="000000"/>
          <w:sz w:val="24"/>
          <w:szCs w:val="24"/>
          <w:u w:val="single"/>
        </w:rPr>
        <w:t>：/</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12.3.5总价合同采用支付分解表计量支付的，是否适用第</w:t>
      </w:r>
      <w:r>
        <w:rPr>
          <w:rFonts w:hint="eastAsia" w:ascii="仿宋" w:hAnsi="仿宋" w:eastAsia="仿宋" w:cs="仿宋"/>
          <w:color w:val="000000"/>
          <w:kern w:val="0"/>
          <w:sz w:val="24"/>
          <w:szCs w:val="24"/>
        </w:rPr>
        <w:t xml:space="preserve">12.3.4 </w:t>
      </w:r>
      <w:r>
        <w:rPr>
          <w:rFonts w:hint="eastAsia" w:ascii="仿宋" w:hAnsi="仿宋" w:eastAsia="仿宋" w:cs="仿宋"/>
          <w:color w:val="000000"/>
          <w:sz w:val="24"/>
          <w:szCs w:val="24"/>
        </w:rPr>
        <w:t>项</w:t>
      </w:r>
      <w:r>
        <w:rPr>
          <w:rFonts w:hint="eastAsia" w:ascii="仿宋" w:hAnsi="仿宋" w:eastAsia="仿宋" w:cs="仿宋"/>
          <w:color w:val="000000"/>
          <w:kern w:val="0"/>
          <w:sz w:val="24"/>
          <w:szCs w:val="24"/>
        </w:rPr>
        <w:t>〔总价合同的计量〕</w:t>
      </w:r>
      <w:r>
        <w:rPr>
          <w:rFonts w:hint="eastAsia" w:ascii="仿宋" w:hAnsi="仿宋" w:eastAsia="仿宋" w:cs="仿宋"/>
          <w:color w:val="000000"/>
          <w:sz w:val="24"/>
          <w:szCs w:val="24"/>
        </w:rPr>
        <w:t>约定进行计量：</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12.3.6 其他价格形式合同的计量</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其他价格形式的计量方式和程序：</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12.4 工程进度款支付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bookmarkStart w:id="541" w:name="_Toc296891039"/>
      <w:bookmarkStart w:id="542" w:name="_Toc297216215"/>
      <w:bookmarkStart w:id="543" w:name="_Toc292559921"/>
      <w:bookmarkStart w:id="544" w:name="_Toc296347210"/>
      <w:bookmarkStart w:id="545" w:name="_Toc292559416"/>
      <w:bookmarkStart w:id="546" w:name="_Toc296346712"/>
      <w:bookmarkStart w:id="547" w:name="_Toc297123556"/>
      <w:bookmarkStart w:id="548" w:name="_Toc296891251"/>
      <w:bookmarkStart w:id="549" w:name="_Toc303539163"/>
      <w:bookmarkStart w:id="550" w:name="_Toc297120511"/>
      <w:bookmarkStart w:id="551" w:name="_Toc296503211"/>
      <w:bookmarkStart w:id="552" w:name="_Toc296944550"/>
      <w:bookmarkStart w:id="553" w:name="_Toc297048397"/>
      <w:bookmarkStart w:id="554" w:name="_Toc300935006"/>
      <w:r>
        <w:rPr>
          <w:rFonts w:hint="eastAsia" w:ascii="仿宋" w:hAnsi="仿宋" w:eastAsia="仿宋" w:cs="仿宋"/>
          <w:color w:val="000000"/>
          <w:sz w:val="24"/>
          <w:szCs w:val="24"/>
        </w:rPr>
        <w:t>12.4.1 付款周期</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关于付款周期的约定：</w:t>
      </w:r>
      <w:r>
        <w:rPr>
          <w:rFonts w:hint="eastAsia" w:ascii="仿宋" w:hAnsi="仿宋" w:eastAsia="仿宋" w:cs="仿宋"/>
          <w:color w:val="000000"/>
          <w:sz w:val="24"/>
          <w:szCs w:val="24"/>
          <w:u w:val="single"/>
        </w:rPr>
        <w:t xml:space="preserve"> 执行本专用合同条款第12.3.2条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12.4.2 进度付款申请单的编制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关于进度付款申请单编制的约定：</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12.4.3 进度付款申请单的提交</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（1）单价合同进度付款申请单提交的约定：</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（2）总价合同进度付款申请单提交的约定： </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（3）其他价格形式合同进度付款申请单提交的约定：</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12.4.4 进度款审核和支付</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（1）监理人审查并报送发包人的期限：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发包人完成审批并签发进度款支付证书的期限：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（2）发包人支付进度款的期限：</w:t>
      </w:r>
      <w:r>
        <w:rPr>
          <w:rFonts w:hint="eastAsia" w:ascii="仿宋" w:hAnsi="仿宋" w:eastAsia="仿宋" w:cs="仿宋"/>
          <w:color w:val="000000"/>
          <w:sz w:val="24"/>
          <w:szCs w:val="24"/>
          <w:u w:val="single"/>
        </w:rPr>
        <w:t>发包人应在进度款支付证书或临时进度款支付证书签发后14天内完成支付。</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发包人逾期支付进度款的违约金的计算方式：</w:t>
      </w:r>
      <w:r>
        <w:rPr>
          <w:rFonts w:hint="eastAsia" w:ascii="仿宋" w:hAnsi="仿宋" w:eastAsia="仿宋" w:cs="仿宋"/>
          <w:color w:val="000000"/>
          <w:kern w:val="0"/>
          <w:sz w:val="24"/>
          <w:szCs w:val="24"/>
          <w:u w:val="single"/>
        </w:rPr>
        <w:t>应按照中国人民银行发布的同期同类贷款基准利率支付违约金。</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u w:val="single"/>
        </w:rPr>
      </w:pPr>
      <w:r>
        <w:rPr>
          <w:rFonts w:hint="eastAsia" w:ascii="仿宋" w:hAnsi="仿宋" w:eastAsia="仿宋" w:cs="仿宋"/>
          <w:color w:val="000000"/>
          <w:sz w:val="24"/>
          <w:u w:val="single"/>
        </w:rPr>
        <w:t>还应执行</w:t>
      </w:r>
      <w:r>
        <w:rPr>
          <w:rFonts w:hint="eastAsia" w:ascii="仿宋" w:hAnsi="仿宋" w:eastAsia="仿宋" w:cs="仿宋"/>
          <w:color w:val="auto"/>
          <w:sz w:val="24"/>
          <w:u w:val="single"/>
        </w:rPr>
        <w:t>：待工程通过竣工验收，达到质量等级要求后支付至签约合同价格的</w:t>
      </w:r>
      <w:r>
        <w:rPr>
          <w:rFonts w:hint="eastAsia" w:ascii="仿宋" w:hAnsi="仿宋" w:eastAsia="仿宋" w:cs="仿宋"/>
          <w:color w:val="auto"/>
          <w:sz w:val="24"/>
          <w:u w:val="single"/>
          <w:lang w:val="en-US" w:eastAsia="zh-CN"/>
        </w:rPr>
        <w:t>8</w:t>
      </w:r>
      <w:r>
        <w:rPr>
          <w:rFonts w:hint="eastAsia" w:ascii="仿宋" w:hAnsi="仿宋" w:eastAsia="仿宋" w:cs="仿宋"/>
          <w:color w:val="auto"/>
          <w:sz w:val="24"/>
          <w:u w:val="single"/>
        </w:rPr>
        <w:t>0％（含</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0%预付款，不含暂列金额</w:t>
      </w:r>
      <w:r>
        <w:rPr>
          <w:rFonts w:hint="eastAsia" w:ascii="仿宋" w:hAnsi="仿宋" w:eastAsia="仿宋" w:cs="仿宋"/>
          <w:color w:val="000000"/>
          <w:sz w:val="24"/>
          <w:u w:val="single"/>
          <w:lang w:eastAsia="zh-CN"/>
        </w:rPr>
        <w:t>及</w:t>
      </w:r>
      <w:r>
        <w:rPr>
          <w:rFonts w:hint="eastAsia" w:ascii="仿宋" w:hAnsi="仿宋" w:eastAsia="仿宋" w:cs="仿宋"/>
          <w:color w:val="000000"/>
          <w:sz w:val="24"/>
          <w:u w:val="single"/>
        </w:rPr>
        <w:t>安全文明施工费）时停止支付; 工程竣工结算经审计完成后留取结算价的</w:t>
      </w:r>
      <w:r>
        <w:rPr>
          <w:rFonts w:hint="eastAsia" w:ascii="仿宋" w:hAnsi="仿宋" w:eastAsia="仿宋" w:cs="仿宋"/>
          <w:color w:val="000000"/>
          <w:sz w:val="24"/>
          <w:u w:val="single"/>
          <w:lang w:val="en-US" w:eastAsia="zh-CN"/>
        </w:rPr>
        <w:t>3</w:t>
      </w:r>
      <w:r>
        <w:rPr>
          <w:rFonts w:hint="eastAsia" w:ascii="仿宋" w:hAnsi="仿宋" w:eastAsia="仿宋" w:cs="仿宋"/>
          <w:color w:val="000000"/>
          <w:sz w:val="24"/>
          <w:u w:val="single"/>
        </w:rPr>
        <w:t>％作为工程质量保修金外，余款一次无息付清。暂列金额使用详见本专用合同条款第10.8条。安全文明施工费的支付按本专用合同条款第6.1.6条执行。</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如签约合同价格中含本工程</w:t>
      </w:r>
      <w:r>
        <w:rPr>
          <w:rFonts w:hint="eastAsia" w:ascii="仿宋" w:hAnsi="仿宋" w:eastAsia="仿宋" w:cs="仿宋"/>
          <w:color w:val="000000"/>
          <w:sz w:val="24"/>
          <w:szCs w:val="24"/>
          <w:u w:val="single"/>
          <w:lang w:eastAsia="zh-CN"/>
        </w:rPr>
        <w:t>采购范围</w:t>
      </w:r>
      <w:r>
        <w:rPr>
          <w:rFonts w:hint="eastAsia" w:ascii="仿宋" w:hAnsi="仿宋" w:eastAsia="仿宋" w:cs="仿宋"/>
          <w:color w:val="000000"/>
          <w:sz w:val="24"/>
          <w:szCs w:val="24"/>
          <w:u w:val="single"/>
        </w:rPr>
        <w:t>内招标（或发包人提供）的材料、设备及专业分包的款项，承包人必须按照发包人组织招标的材料、设备中标价（或发包人提供的价格）、专业分包招标价与各自</w:t>
      </w:r>
      <w:r>
        <w:rPr>
          <w:rFonts w:hint="eastAsia" w:ascii="仿宋" w:hAnsi="仿宋" w:eastAsia="仿宋" w:cs="仿宋"/>
          <w:color w:val="000000"/>
          <w:sz w:val="24"/>
          <w:szCs w:val="24"/>
          <w:u w:val="single"/>
          <w:lang w:eastAsia="zh-CN"/>
        </w:rPr>
        <w:t>竞争性磋商采购文件</w:t>
      </w:r>
      <w:r>
        <w:rPr>
          <w:rFonts w:hint="eastAsia" w:ascii="仿宋" w:hAnsi="仿宋" w:eastAsia="仿宋" w:cs="仿宋"/>
          <w:color w:val="000000"/>
          <w:sz w:val="24"/>
          <w:szCs w:val="24"/>
          <w:u w:val="single"/>
        </w:rPr>
        <w:t>规定的合同价格与其签订合同，签订合同时间为自接到中标通知书之日起7日内，并交发包人备案。承包人必须在发包人规定时间内办理相关手续并按合同规定支付货款，以避免因货款支付纠纷给工程建设带来不利影响，否则将向发包人支付壹拾万元违约金。</w:t>
      </w:r>
    </w:p>
    <w:bookmarkEnd w:id="434"/>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bookmarkStart w:id="555" w:name="_Toc351203645"/>
      <w:bookmarkStart w:id="556" w:name="_Toc304295593"/>
      <w:bookmarkStart w:id="557" w:name="_Toc300935015"/>
      <w:bookmarkStart w:id="558" w:name="_Toc303539172"/>
      <w:bookmarkStart w:id="559" w:name="_Toc296944558"/>
      <w:bookmarkStart w:id="560" w:name="_Toc312678053"/>
      <w:bookmarkStart w:id="561" w:name="_Toc292559929"/>
      <w:bookmarkStart w:id="562" w:name="_Toc296347218"/>
      <w:bookmarkStart w:id="563" w:name="_Toc297123564"/>
      <w:bookmarkStart w:id="564" w:name="_Toc296503219"/>
      <w:bookmarkStart w:id="565" w:name="_Toc296891047"/>
      <w:bookmarkStart w:id="566" w:name="_Toc297216223"/>
      <w:bookmarkStart w:id="567" w:name="_Toc296346720"/>
      <w:bookmarkStart w:id="568" w:name="_Toc292559424"/>
      <w:bookmarkStart w:id="569" w:name="_Toc297048405"/>
      <w:bookmarkStart w:id="570" w:name="_Toc297120519"/>
      <w:bookmarkStart w:id="571" w:name="_Toc296891259"/>
      <w:r>
        <w:rPr>
          <w:rFonts w:hint="eastAsia" w:ascii="仿宋" w:hAnsi="仿宋" w:eastAsia="仿宋" w:cs="仿宋"/>
          <w:color w:val="000000"/>
          <w:sz w:val="24"/>
          <w:szCs w:val="24"/>
        </w:rPr>
        <w:t>12.4.6 支付分解表的编制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2、总价合同支付分解表的编制与审批：</w:t>
      </w:r>
      <w:r>
        <w:rPr>
          <w:rFonts w:hint="eastAsia" w:ascii="仿宋" w:hAnsi="仿宋" w:eastAsia="仿宋" w:cs="仿宋"/>
          <w:color w:val="000000"/>
          <w:sz w:val="24"/>
          <w:szCs w:val="24"/>
          <w:u w:val="single"/>
        </w:rPr>
        <w:t xml:space="preserve">   无   </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3、单价合同的总价项目支付分解表的编制与审批：</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13. 验收和工程试车</w:t>
      </w:r>
      <w:bookmarkEnd w:id="555"/>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13.1 分部分项工程验收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13.1.2监理人不能按时进行验收时，应提前</w:t>
      </w:r>
      <w:r>
        <w:rPr>
          <w:rFonts w:hint="eastAsia" w:ascii="仿宋" w:hAnsi="仿宋" w:eastAsia="仿宋" w:cs="仿宋"/>
          <w:color w:val="000000"/>
          <w:sz w:val="24"/>
          <w:szCs w:val="24"/>
          <w:u w:val="single"/>
        </w:rPr>
        <w:t xml:space="preserve"> 24 </w:t>
      </w:r>
      <w:r>
        <w:rPr>
          <w:rFonts w:hint="eastAsia" w:ascii="仿宋" w:hAnsi="仿宋" w:eastAsia="仿宋" w:cs="仿宋"/>
          <w:color w:val="000000"/>
          <w:sz w:val="24"/>
          <w:szCs w:val="24"/>
        </w:rPr>
        <w:t>小时提交书面延期要求。</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关于延期最长不得超过：</w:t>
      </w:r>
      <w:r>
        <w:rPr>
          <w:rFonts w:hint="eastAsia" w:ascii="仿宋" w:hAnsi="仿宋" w:eastAsia="仿宋" w:cs="仿宋"/>
          <w:color w:val="000000"/>
          <w:sz w:val="24"/>
          <w:szCs w:val="24"/>
          <w:u w:val="single"/>
        </w:rPr>
        <w:t xml:space="preserve">48 </w:t>
      </w:r>
      <w:r>
        <w:rPr>
          <w:rFonts w:hint="eastAsia" w:ascii="仿宋" w:hAnsi="仿宋" w:eastAsia="仿宋" w:cs="仿宋"/>
          <w:color w:val="000000"/>
          <w:sz w:val="24"/>
          <w:szCs w:val="24"/>
        </w:rPr>
        <w:t>小时。</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bookmarkStart w:id="572" w:name="_Toc297123565"/>
      <w:bookmarkStart w:id="573" w:name="_Toc296891051"/>
      <w:bookmarkStart w:id="574" w:name="_Toc296891263"/>
      <w:bookmarkStart w:id="575" w:name="_Toc297120523"/>
      <w:bookmarkStart w:id="576" w:name="_Toc297048409"/>
      <w:bookmarkStart w:id="577" w:name="_Toc300935016"/>
      <w:bookmarkStart w:id="578" w:name="_Toc297216224"/>
      <w:bookmarkStart w:id="579" w:name="_Toc296347222"/>
      <w:bookmarkStart w:id="580" w:name="_Toc296346724"/>
      <w:bookmarkStart w:id="581" w:name="_Toc312678056"/>
      <w:bookmarkStart w:id="582" w:name="_Toc303539173"/>
      <w:bookmarkStart w:id="583" w:name="_Toc292559933"/>
      <w:bookmarkStart w:id="584" w:name="_Toc304295596"/>
      <w:bookmarkStart w:id="585" w:name="_Toc296944562"/>
      <w:bookmarkStart w:id="586" w:name="_Toc292559428"/>
      <w:bookmarkStart w:id="587" w:name="_Toc296503223"/>
      <w:bookmarkStart w:id="588" w:name="_Toc267251475"/>
      <w:bookmarkStart w:id="589" w:name="_Toc267251476"/>
      <w:bookmarkStart w:id="590" w:name="_Toc267251470"/>
      <w:bookmarkStart w:id="591" w:name="_Toc267251474"/>
      <w:bookmarkStart w:id="592" w:name="_Toc267251472"/>
      <w:bookmarkStart w:id="593" w:name="_Toc267251473"/>
      <w:bookmarkStart w:id="594" w:name="_Toc267251471"/>
      <w:r>
        <w:rPr>
          <w:rFonts w:hint="eastAsia" w:ascii="仿宋" w:hAnsi="仿宋" w:eastAsia="仿宋" w:cs="仿宋"/>
          <w:color w:val="000000"/>
          <w:sz w:val="24"/>
          <w:szCs w:val="24"/>
        </w:rPr>
        <w:t>13.2 竣工验收</w:t>
      </w:r>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u w:val="single"/>
        </w:rPr>
      </w:pPr>
      <w:bookmarkStart w:id="595" w:name="_Toc280868704"/>
      <w:bookmarkStart w:id="596" w:name="_Toc280868705"/>
      <w:bookmarkStart w:id="597" w:name="_Toc280868706"/>
      <w:bookmarkStart w:id="598" w:name="_Toc280868707"/>
      <w:bookmarkStart w:id="599" w:name="_Toc280868708"/>
      <w:bookmarkStart w:id="600" w:name="_Toc280868709"/>
      <w:r>
        <w:rPr>
          <w:rFonts w:hint="eastAsia" w:ascii="仿宋" w:hAnsi="仿宋" w:eastAsia="仿宋" w:cs="仿宋"/>
          <w:color w:val="000000"/>
          <w:sz w:val="24"/>
          <w:szCs w:val="24"/>
          <w:u w:val="single"/>
        </w:rPr>
        <w:t>除执行通用合同条款外，还应执行：发包人、承包人在办理工程竣工验收申请时，应先到市建设局造价管理站办理竣工结算登记，发包人应确认承包人提交的竣工结算书和结算资料已包括：经批准的施工图纸、设计变更图纸、</w:t>
      </w:r>
      <w:r>
        <w:rPr>
          <w:rFonts w:hint="eastAsia" w:ascii="仿宋" w:hAnsi="仿宋" w:eastAsia="仿宋" w:cs="仿宋"/>
          <w:color w:val="000000"/>
          <w:sz w:val="24"/>
          <w:szCs w:val="24"/>
          <w:u w:val="single"/>
          <w:lang w:eastAsia="zh-CN"/>
        </w:rPr>
        <w:t>竞争性磋商采购文件</w:t>
      </w:r>
      <w:r>
        <w:rPr>
          <w:rFonts w:hint="eastAsia" w:ascii="仿宋" w:hAnsi="仿宋" w:eastAsia="仿宋" w:cs="仿宋"/>
          <w:color w:val="000000"/>
          <w:sz w:val="24"/>
          <w:szCs w:val="24"/>
          <w:u w:val="single"/>
        </w:rPr>
        <w:t>、招标答疑纪要、中标的投标总报价组成明细、中标通知书、施工合同、工程签证、设计变更确认文件、双方合同价格调整确认资料、批准的索赔费用明细等一切办理竣工结算核对所需资料，自此另行追加结算资料将不作为竣工结算的依据。如未办理竣工结算登记，市质量监督部门不办理竣工验收。</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13.2.2竣工验收程序</w:t>
      </w:r>
    </w:p>
    <w:bookmarkEnd w:id="595"/>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关于竣工验收程序的约定：</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kern w:val="0"/>
          <w:sz w:val="24"/>
          <w:szCs w:val="24"/>
        </w:rPr>
        <w:t>发包人不按照本项约定组织竣工验收、颁发工程接收证书的违约金的计算方法：</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bookmarkEnd w:id="596"/>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13.2.5移交、接收全部与部分工程</w:t>
      </w:r>
    </w:p>
    <w:bookmarkEnd w:id="597"/>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承包人向发包人移交工程的期限：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发包人未按本合同约定接收全部或部分工程的，违约金的计算方法为：</w:t>
      </w:r>
      <w:bookmarkEnd w:id="598"/>
      <w:r>
        <w:rPr>
          <w:rFonts w:hint="eastAsia" w:ascii="仿宋" w:hAnsi="仿宋" w:eastAsia="仿宋" w:cs="仿宋"/>
          <w:color w:val="000000"/>
          <w:sz w:val="24"/>
          <w:szCs w:val="24"/>
          <w:u w:val="single"/>
        </w:rPr>
        <w:t>除承担工程照管、成品保护、保管等与工程有关的各项费用外，每延误一天，向承包人支付签约合同价格1‰的违约金。</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承包人未按时移交工程的，违约金的计算方法为：</w:t>
      </w:r>
      <w:r>
        <w:rPr>
          <w:rFonts w:hint="eastAsia" w:ascii="仿宋" w:hAnsi="仿宋" w:eastAsia="仿宋" w:cs="仿宋"/>
          <w:color w:val="000000"/>
          <w:sz w:val="24"/>
          <w:szCs w:val="24"/>
          <w:u w:val="single"/>
        </w:rPr>
        <w:t>除承担工程照管、成品保护、保管等与工程有关的各项费用外，每延误一天，向发包人支付签约合同价格1‰的违约金</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13.3 工程试车</w:t>
      </w:r>
    </w:p>
    <w:bookmarkEnd w:id="599"/>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13.3.1 试车程序</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工程试车内容：</w:t>
      </w:r>
      <w:r>
        <w:rPr>
          <w:rFonts w:hint="eastAsia" w:ascii="仿宋" w:hAnsi="仿宋" w:eastAsia="仿宋" w:cs="仿宋"/>
          <w:color w:val="000000"/>
          <w:sz w:val="24"/>
          <w:szCs w:val="24"/>
          <w:u w:val="single"/>
        </w:rPr>
        <w:t>与本合同约定的承包范围一致。</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（1）单机无负荷试车费用由</w:t>
      </w:r>
      <w:r>
        <w:rPr>
          <w:rFonts w:hint="eastAsia" w:ascii="仿宋" w:hAnsi="仿宋" w:eastAsia="仿宋" w:cs="仿宋"/>
          <w:color w:val="000000"/>
          <w:sz w:val="24"/>
          <w:szCs w:val="24"/>
          <w:u w:val="single"/>
        </w:rPr>
        <w:t xml:space="preserve"> 承包人 </w:t>
      </w:r>
      <w:r>
        <w:rPr>
          <w:rFonts w:hint="eastAsia" w:ascii="仿宋" w:hAnsi="仿宋" w:eastAsia="仿宋" w:cs="仿宋"/>
          <w:color w:val="000000"/>
          <w:kern w:val="0"/>
          <w:sz w:val="24"/>
          <w:szCs w:val="24"/>
        </w:rPr>
        <w:t>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（2）无负荷联动试车费用由</w:t>
      </w:r>
      <w:r>
        <w:rPr>
          <w:rFonts w:hint="eastAsia" w:ascii="仿宋" w:hAnsi="仿宋" w:eastAsia="仿宋" w:cs="仿宋"/>
          <w:color w:val="000000"/>
          <w:sz w:val="24"/>
          <w:szCs w:val="24"/>
          <w:u w:val="single"/>
        </w:rPr>
        <w:t xml:space="preserve"> 发包人 </w:t>
      </w:r>
      <w:r>
        <w:rPr>
          <w:rFonts w:hint="eastAsia" w:ascii="仿宋" w:hAnsi="仿宋" w:eastAsia="仿宋" w:cs="仿宋"/>
          <w:color w:val="000000"/>
          <w:kern w:val="0"/>
          <w:sz w:val="24"/>
          <w:szCs w:val="24"/>
        </w:rPr>
        <w:t>承担。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13.3.3 投料试车</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关于投料试车相关事项的约定：</w:t>
      </w:r>
      <w:r>
        <w:rPr>
          <w:rFonts w:hint="eastAsia" w:ascii="仿宋" w:hAnsi="仿宋" w:eastAsia="仿宋" w:cs="仿宋"/>
          <w:color w:val="000000"/>
          <w:sz w:val="24"/>
          <w:szCs w:val="24"/>
          <w:u w:val="single"/>
        </w:rPr>
        <w:t xml:space="preserve">    无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13.6 竣工退场</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13.6.1 竣工退场</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承包人完成竣工退场的期限：</w:t>
      </w:r>
      <w:r>
        <w:rPr>
          <w:rFonts w:hint="eastAsia" w:ascii="仿宋" w:hAnsi="仿宋" w:eastAsia="仿宋" w:cs="仿宋"/>
          <w:color w:val="000000"/>
          <w:sz w:val="24"/>
          <w:szCs w:val="24"/>
          <w:u w:val="single"/>
        </w:rPr>
        <w:t xml:space="preserve">颁发工程接收证书之日起14日内 </w:t>
      </w:r>
      <w:r>
        <w:rPr>
          <w:rFonts w:hint="eastAsia" w:ascii="仿宋" w:hAnsi="仿宋" w:eastAsia="仿宋" w:cs="仿宋"/>
          <w:color w:val="000000"/>
          <w:kern w:val="0"/>
          <w:sz w:val="24"/>
          <w:szCs w:val="24"/>
        </w:rPr>
        <w:t>。</w:t>
      </w:r>
      <w:bookmarkStart w:id="601" w:name="_Toc351203646"/>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除执行通用合同条款外，还应执行：</w:t>
      </w:r>
      <w:r>
        <w:rPr>
          <w:rFonts w:hint="eastAsia" w:ascii="仿宋" w:hAnsi="仿宋" w:eastAsia="仿宋" w:cs="仿宋"/>
          <w:color w:val="000000"/>
          <w:kern w:val="0"/>
          <w:sz w:val="24"/>
          <w:szCs w:val="24"/>
          <w:u w:val="single"/>
        </w:rPr>
        <w:t>①承包人应当保留为完成甩尾工作和保修工作的必要人员、工程设备和设施，发包人应为承包人履行上述义务、进出和占用现场提供方便和协助。②在承包人逾期退场，发包人处理承包人遗留在现场的物品时应当慎重。原则上，发包人应事先通知承包人自行处理，承包人在发包人规定的合理期限内仍不处理的，发包人有权出售或另行处理，包括进行拍卖、提存等。</w:t>
      </w:r>
    </w:p>
    <w:bookmarkEnd w:id="601"/>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sz w:val="24"/>
          <w:szCs w:val="24"/>
        </w:rPr>
        <w:t>14. 竣工结算</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14.1 竣工</w:t>
      </w:r>
      <w:r>
        <w:rPr>
          <w:rFonts w:hint="eastAsia" w:ascii="仿宋" w:hAnsi="仿宋" w:eastAsia="仿宋" w:cs="仿宋"/>
          <w:bCs/>
          <w:color w:val="000000"/>
          <w:sz w:val="24"/>
          <w:szCs w:val="24"/>
          <w:lang w:eastAsia="zh-CN"/>
        </w:rPr>
        <w:t>结算</w:t>
      </w:r>
      <w:r>
        <w:rPr>
          <w:rFonts w:hint="eastAsia" w:ascii="仿宋" w:hAnsi="仿宋" w:eastAsia="仿宋" w:cs="仿宋"/>
          <w:bCs/>
          <w:color w:val="000000"/>
          <w:sz w:val="24"/>
          <w:szCs w:val="24"/>
        </w:rPr>
        <w:t>申请</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承包人提交竣工</w:t>
      </w:r>
      <w:r>
        <w:rPr>
          <w:rFonts w:hint="eastAsia" w:ascii="仿宋" w:hAnsi="仿宋" w:eastAsia="仿宋" w:cs="仿宋"/>
          <w:bCs/>
          <w:color w:val="000000"/>
          <w:sz w:val="24"/>
          <w:szCs w:val="24"/>
          <w:lang w:eastAsia="zh-CN"/>
        </w:rPr>
        <w:t>结算</w:t>
      </w:r>
      <w:r>
        <w:rPr>
          <w:rFonts w:hint="eastAsia" w:ascii="仿宋" w:hAnsi="仿宋" w:eastAsia="仿宋" w:cs="仿宋"/>
          <w:bCs/>
          <w:color w:val="000000"/>
          <w:sz w:val="24"/>
          <w:szCs w:val="24"/>
        </w:rPr>
        <w:t>申请单的期限：</w:t>
      </w:r>
      <w:r>
        <w:rPr>
          <w:rFonts w:hint="eastAsia" w:ascii="仿宋" w:hAnsi="仿宋" w:eastAsia="仿宋" w:cs="仿宋"/>
          <w:bCs/>
          <w:color w:val="000000"/>
          <w:sz w:val="24"/>
          <w:szCs w:val="24"/>
          <w:u w:val="single"/>
        </w:rPr>
        <w:t>执行通用合同条款本条款</w:t>
      </w:r>
      <w:r>
        <w:rPr>
          <w:rFonts w:hint="eastAsia" w:ascii="仿宋" w:hAnsi="仿宋" w:eastAsia="仿宋" w:cs="仿宋"/>
          <w:bCs/>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竣工</w:t>
      </w:r>
      <w:r>
        <w:rPr>
          <w:rFonts w:hint="eastAsia" w:ascii="仿宋" w:hAnsi="仿宋" w:eastAsia="仿宋" w:cs="仿宋"/>
          <w:bCs/>
          <w:color w:val="000000"/>
          <w:sz w:val="24"/>
          <w:szCs w:val="24"/>
          <w:lang w:eastAsia="zh-CN"/>
        </w:rPr>
        <w:t>结算申请</w:t>
      </w:r>
      <w:r>
        <w:rPr>
          <w:rFonts w:hint="eastAsia" w:ascii="仿宋" w:hAnsi="仿宋" w:eastAsia="仿宋" w:cs="仿宋"/>
          <w:bCs/>
          <w:color w:val="000000"/>
          <w:sz w:val="24"/>
          <w:szCs w:val="24"/>
        </w:rPr>
        <w:t>单应包括的内容：</w:t>
      </w:r>
      <w:r>
        <w:rPr>
          <w:rFonts w:hint="eastAsia" w:ascii="仿宋" w:hAnsi="仿宋" w:eastAsia="仿宋" w:cs="仿宋"/>
          <w:bCs/>
          <w:color w:val="000000"/>
          <w:sz w:val="24"/>
          <w:szCs w:val="24"/>
          <w:u w:val="single"/>
        </w:rPr>
        <w:t>除执行通用合同条款本条款外，按照发包人、监理人及克拉玛依市各管理部门规定和要求提供。</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14.2 竣工结算审核</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发包人审批竣工结算申请单的期限：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发包人完成竣工付款的期限：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关于竣工付款证书异议部分复核的方式和程序：</w:t>
      </w:r>
      <w:r>
        <w:rPr>
          <w:rFonts w:hint="eastAsia" w:ascii="仿宋" w:hAnsi="仿宋" w:eastAsia="仿宋" w:cs="仿宋"/>
          <w:color w:val="000000"/>
          <w:sz w:val="24"/>
          <w:szCs w:val="24"/>
          <w:u w:val="single"/>
        </w:rPr>
        <w:t>执行通用合同条款本条款。</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14.4 最终结清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14.4.1 最终结清申请单</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承包人提交最终结清申请单的份数：</w:t>
      </w:r>
      <w:r>
        <w:rPr>
          <w:rFonts w:hint="eastAsia" w:ascii="仿宋" w:hAnsi="仿宋" w:eastAsia="仿宋" w:cs="仿宋"/>
          <w:bCs/>
          <w:color w:val="000000"/>
          <w:sz w:val="24"/>
          <w:szCs w:val="24"/>
          <w:u w:val="single"/>
        </w:rPr>
        <w:t>一式伍份。</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kern w:val="0"/>
          <w:sz w:val="24"/>
          <w:szCs w:val="24"/>
        </w:rPr>
        <w:t>承包人提交最终结算申请单的期限：</w:t>
      </w:r>
      <w:r>
        <w:rPr>
          <w:rFonts w:hint="eastAsia" w:ascii="仿宋" w:hAnsi="仿宋" w:eastAsia="仿宋" w:cs="仿宋"/>
          <w:bCs/>
          <w:color w:val="000000"/>
          <w:sz w:val="24"/>
          <w:szCs w:val="24"/>
          <w:u w:val="single"/>
        </w:rPr>
        <w:t>承包人应在缺陷责任期终止证书颁发后7天内。</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14.4.2 最终结清证书和支付</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（1）发包人完成最终结清申请单的审批并颁发最终结清证书的期限：</w:t>
      </w:r>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（2）发包人完成支付的期限：</w:t>
      </w:r>
      <w:bookmarkEnd w:id="588"/>
      <w:bookmarkEnd w:id="589"/>
      <w:bookmarkEnd w:id="590"/>
      <w:bookmarkEnd w:id="591"/>
      <w:bookmarkEnd w:id="592"/>
      <w:bookmarkEnd w:id="593"/>
      <w:bookmarkEnd w:id="594"/>
      <w:bookmarkEnd w:id="600"/>
      <w:bookmarkStart w:id="602" w:name="_Toc351203647"/>
      <w:bookmarkStart w:id="603" w:name="_Toc267251483"/>
      <w:bookmarkStart w:id="604" w:name="_Toc267251482"/>
      <w:bookmarkStart w:id="605" w:name="_Toc267251484"/>
      <w:bookmarkStart w:id="606" w:name="_Toc267251485"/>
      <w:bookmarkStart w:id="607" w:name="_Toc267251490"/>
      <w:bookmarkStart w:id="608" w:name="_Toc267251486"/>
      <w:bookmarkStart w:id="609" w:name="_Toc267251489"/>
      <w:bookmarkStart w:id="610" w:name="_Toc267251488"/>
      <w:bookmarkStart w:id="611" w:name="_Toc267251496"/>
      <w:bookmarkStart w:id="612" w:name="_Toc267251491"/>
      <w:bookmarkStart w:id="613" w:name="_Toc267251501"/>
      <w:bookmarkStart w:id="614" w:name="_Toc267251492"/>
      <w:bookmarkStart w:id="615" w:name="_Toc267251497"/>
      <w:bookmarkStart w:id="616" w:name="_Toc267251502"/>
      <w:bookmarkStart w:id="617" w:name="_Toc267251499"/>
      <w:bookmarkStart w:id="618" w:name="_Toc267251503"/>
      <w:bookmarkStart w:id="619" w:name="_Toc267251504"/>
      <w:bookmarkStart w:id="620" w:name="_Toc267251494"/>
      <w:bookmarkStart w:id="621" w:name="_Toc267251495"/>
      <w:bookmarkStart w:id="622" w:name="_Toc267251498"/>
      <w:bookmarkStart w:id="623" w:name="_Toc267251493"/>
      <w:bookmarkStart w:id="624" w:name="_Toc267251506"/>
      <w:bookmarkStart w:id="625" w:name="_Toc267251507"/>
      <w:bookmarkStart w:id="626" w:name="_Toc267251508"/>
      <w:bookmarkStart w:id="627" w:name="_Toc267251511"/>
      <w:bookmarkStart w:id="628" w:name="_Toc267251509"/>
      <w:bookmarkStart w:id="629" w:name="_Toc267251515"/>
      <w:bookmarkStart w:id="630" w:name="_Toc267251514"/>
      <w:bookmarkStart w:id="631" w:name="_Toc267251510"/>
      <w:bookmarkStart w:id="632" w:name="_Toc267251513"/>
      <w:r>
        <w:rPr>
          <w:rFonts w:hint="eastAsia" w:ascii="仿宋" w:hAnsi="仿宋" w:eastAsia="仿宋" w:cs="仿宋"/>
          <w:color w:val="000000"/>
          <w:sz w:val="24"/>
          <w:szCs w:val="24"/>
          <w:u w:val="single"/>
        </w:rPr>
        <w:t>执行通用合同条款本条款</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还应执行（与通用合同条款不一致之处，以本约定为准）：</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竣工结算与支付：承包人应在提交竣工验收报告的同时向发包人提交竣工结算报告及完整的结算资料，承包人未在约定时间内递交竣工结算书，经发包人催促后仍未提供或未明确答复的，发包人可以根据已有资料办理结算。发包人按《建设工程价款结算暂行办法》（财建〖2004〗369号文）文件规定时间进行核对，在文件规定时间内不核对竣工结算或未提出核对意见的，视为承包人递交的竣工结算书已经认可，发包人向承包人支付工程结算价款时间应执行财建〖2004〗369号文规定。发包人根据确认的竣工结算报告向承包人支付工程竣工结算价款，保留</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%的质量保证（保修）金，质保期内如有返修，发生费用应在质量保证（保修）金内扣除。</w:t>
      </w:r>
    </w:p>
    <w:p>
      <w:pPr>
        <w:keepNext w:val="0"/>
        <w:keepLines w:val="0"/>
        <w:pageBreakBefore w:val="0"/>
        <w:widowControl w:val="0"/>
        <w:wordWrap/>
        <w:topLinePunct w:val="0"/>
        <w:bidi w:val="0"/>
        <w:spacing w:line="360" w:lineRule="auto"/>
        <w:ind w:right="0" w:righ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u w:val="single"/>
        </w:rPr>
        <w:t>②竣工结算审定后发包人按下列方式支付：A、当承包人达到合同要求的工程质量时，发包人按竣工结算造价的9</w:t>
      </w:r>
      <w:r>
        <w:rPr>
          <w:rFonts w:hint="eastAsia" w:ascii="仿宋" w:hAnsi="仿宋" w:eastAsia="仿宋" w:cs="仿宋"/>
          <w:color w:val="000000"/>
          <w:sz w:val="24"/>
          <w:szCs w:val="24"/>
          <w:highlight w:val="none"/>
          <w:u w:val="single"/>
          <w:lang w:val="en-US" w:eastAsia="zh-CN"/>
        </w:rPr>
        <w:t>7</w:t>
      </w:r>
      <w:r>
        <w:rPr>
          <w:rFonts w:hint="eastAsia" w:ascii="仿宋" w:hAnsi="仿宋" w:eastAsia="仿宋" w:cs="仿宋"/>
          <w:color w:val="000000"/>
          <w:sz w:val="24"/>
          <w:szCs w:val="24"/>
          <w:highlight w:val="none"/>
          <w:u w:val="single"/>
        </w:rPr>
        <w:t>%支付给承包人，剩余部分作为工程质量保证（保修）金，依据国家和自治区的有关规定进行返还。B、因发包人原因造成工程质量不合格的，发包人应承担全部经济责任。C、因承包人原因造成工程质量不合格或返工后不合格的，承包人应承担全部经济责任，并依据相关要求进行处理。</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③承包人提供的所有竣工资料应满足工程备案要求，并经克拉玛依市</w:t>
      </w:r>
      <w:r>
        <w:rPr>
          <w:rFonts w:hint="eastAsia" w:ascii="仿宋" w:hAnsi="仿宋" w:eastAsia="仿宋" w:cs="仿宋"/>
          <w:color w:val="000000"/>
          <w:sz w:val="24"/>
          <w:szCs w:val="24"/>
          <w:u w:val="single"/>
          <w:lang w:eastAsia="zh-CN"/>
        </w:rPr>
        <w:t>城建</w:t>
      </w:r>
      <w:r>
        <w:rPr>
          <w:rFonts w:hint="eastAsia" w:ascii="仿宋" w:hAnsi="仿宋" w:eastAsia="仿宋" w:cs="仿宋"/>
          <w:color w:val="000000"/>
          <w:sz w:val="24"/>
          <w:szCs w:val="24"/>
          <w:u w:val="single"/>
        </w:rPr>
        <w:t>档案馆或高新区（白碱滩区）档案馆档案验收合格，如未通过克拉玛依市</w:t>
      </w:r>
      <w:r>
        <w:rPr>
          <w:rFonts w:hint="eastAsia" w:ascii="仿宋" w:hAnsi="仿宋" w:eastAsia="仿宋" w:cs="仿宋"/>
          <w:color w:val="000000"/>
          <w:sz w:val="24"/>
          <w:szCs w:val="24"/>
          <w:u w:val="single"/>
          <w:lang w:eastAsia="zh-CN"/>
        </w:rPr>
        <w:t>城建</w:t>
      </w:r>
      <w:r>
        <w:rPr>
          <w:rFonts w:hint="eastAsia" w:ascii="仿宋" w:hAnsi="仿宋" w:eastAsia="仿宋" w:cs="仿宋"/>
          <w:color w:val="000000"/>
          <w:sz w:val="24"/>
          <w:szCs w:val="24"/>
          <w:u w:val="single"/>
        </w:rPr>
        <w:t>档案馆或高新区（白碱滩区）档案馆档案验收者，则发包人将停止支付承包人的工程结算款，待档案验收合格后再支付结算款。</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④竣工结算完成15日内，发、承包人双方携带核定确认的竣工结算资料，按克建发〖2009〗38号《克拉玛依市建设工程竣工结算备案暂行管理办法》文件要求到克拉玛依市建设局工程造价标准定额管理站备案。</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⑤其他相关规定执行《关于加强政府投资项目工程造价管理工作通知》（克建发[2013]110号）。</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⑥承包人如未在规定时间内提供完整的工程竣工结算资料，经发包人催促后14天内仍未提供或没有明确答复，发包人有权根据已有资料进行审查，且每延误一天支付签约合同价格1‰的违约金。</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 缺陷责任期与保修</w:t>
      </w:r>
      <w:bookmarkEnd w:id="602"/>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15.2缺陷责任期</w:t>
      </w:r>
      <w:bookmarkEnd w:id="603"/>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u w:val="single"/>
        </w:rPr>
      </w:pPr>
      <w:r>
        <w:rPr>
          <w:rFonts w:hint="eastAsia" w:ascii="仿宋" w:hAnsi="仿宋" w:eastAsia="仿宋" w:cs="仿宋"/>
          <w:color w:val="000000"/>
          <w:sz w:val="24"/>
          <w:szCs w:val="24"/>
          <w:highlight w:val="none"/>
        </w:rPr>
        <w:t>缺陷责任期的具体期限：</w:t>
      </w:r>
      <w:r>
        <w:rPr>
          <w:rFonts w:hint="eastAsia" w:ascii="仿宋" w:hAnsi="仿宋" w:eastAsia="仿宋" w:cs="仿宋"/>
          <w:color w:val="000000"/>
          <w:sz w:val="24"/>
          <w:szCs w:val="24"/>
          <w:highlight w:val="none"/>
          <w:u w:val="single"/>
        </w:rPr>
        <w:t xml:space="preserve"> 自工程通过竣工验收之日起24个月。</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15.3 质量保证金</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关于是否扣留质量保证金的约定：</w:t>
      </w:r>
      <w:r>
        <w:rPr>
          <w:rFonts w:hint="eastAsia" w:ascii="仿宋" w:hAnsi="仿宋" w:eastAsia="仿宋" w:cs="仿宋"/>
          <w:color w:val="000000"/>
          <w:sz w:val="24"/>
          <w:szCs w:val="24"/>
          <w:highlight w:val="none"/>
          <w:u w:val="single"/>
        </w:rPr>
        <w:t>扣留质量保证金</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在工程项目竣工前，承包人按本专用合同条款第3.7条提供履约担保的，发包人不得同时预留工程质量保证金</w:t>
      </w:r>
      <w:r>
        <w:rPr>
          <w:rFonts w:hint="eastAsia" w:ascii="仿宋" w:hAnsi="仿宋" w:eastAsia="仿宋" w:cs="仿宋"/>
          <w:color w:val="000000"/>
          <w:sz w:val="24"/>
          <w:szCs w:val="24"/>
          <w:highlight w:val="none"/>
          <w:lang w:eastAsia="zh-CN"/>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15.3.1 承包人提供质量保证金的方式</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质量保证金采用以下第</w:t>
      </w:r>
      <w:r>
        <w:rPr>
          <w:rFonts w:hint="eastAsia" w:ascii="仿宋" w:hAnsi="仿宋" w:eastAsia="仿宋" w:cs="仿宋"/>
          <w:color w:val="000000"/>
          <w:sz w:val="24"/>
          <w:szCs w:val="24"/>
          <w:u w:val="single"/>
        </w:rPr>
        <w:t xml:space="preserve"> （2） </w:t>
      </w:r>
      <w:r>
        <w:rPr>
          <w:rFonts w:hint="eastAsia" w:ascii="仿宋" w:hAnsi="仿宋" w:eastAsia="仿宋" w:cs="仿宋"/>
          <w:color w:val="000000"/>
          <w:sz w:val="24"/>
          <w:szCs w:val="24"/>
        </w:rPr>
        <w:t>种方式：</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（1）质量保证金保函，保证金额为：</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 xml:space="preserve">； </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none"/>
        </w:rPr>
        <w:t>（2）</w:t>
      </w:r>
      <w:r>
        <w:rPr>
          <w:rFonts w:hint="eastAsia" w:ascii="仿宋" w:hAnsi="仿宋" w:eastAsia="仿宋" w:cs="仿宋"/>
          <w:color w:val="000000"/>
          <w:kern w:val="0"/>
          <w:sz w:val="24"/>
          <w:szCs w:val="24"/>
          <w:highlight w:val="none"/>
          <w:u w:val="single"/>
        </w:rPr>
        <w:t>经审定的竣工结算价款的3 %的工程款</w:t>
      </w:r>
      <w:r>
        <w:rPr>
          <w:rFonts w:hint="eastAsia" w:ascii="仿宋" w:hAnsi="仿宋" w:eastAsia="仿宋" w:cs="仿宋"/>
          <w:color w:val="000000"/>
          <w:kern w:val="0"/>
          <w:sz w:val="24"/>
          <w:szCs w:val="24"/>
        </w:rPr>
        <w:t>；</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（3）其他方式:</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15.3.2 质量保证金的扣留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质量保证金的扣留采取以下第</w:t>
      </w:r>
      <w:r>
        <w:rPr>
          <w:rFonts w:hint="eastAsia" w:ascii="仿宋" w:hAnsi="仿宋" w:eastAsia="仿宋" w:cs="仿宋"/>
          <w:color w:val="000000"/>
          <w:sz w:val="24"/>
          <w:szCs w:val="24"/>
          <w:u w:val="single"/>
        </w:rPr>
        <w:t>（2）</w:t>
      </w:r>
      <w:r>
        <w:rPr>
          <w:rFonts w:hint="eastAsia" w:ascii="仿宋" w:hAnsi="仿宋" w:eastAsia="仿宋" w:cs="仿宋"/>
          <w:color w:val="000000"/>
          <w:sz w:val="24"/>
          <w:szCs w:val="24"/>
        </w:rPr>
        <w:t>种方式：</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（1）在支付工程进度款时逐次扣留，在此情形下，质量保证金的计算基数不包括预付款的支付、扣回以及价格调整的金额；</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（2）工程竣工结算时一次性扣留质量保证金；</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（3）其他扣留方式:</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关于质量保证金的补充约定：</w:t>
      </w:r>
      <w:r>
        <w:rPr>
          <w:rFonts w:hint="eastAsia" w:ascii="仿宋" w:hAnsi="仿宋" w:eastAsia="仿宋" w:cs="仿宋"/>
          <w:color w:val="000000"/>
          <w:kern w:val="0"/>
          <w:sz w:val="24"/>
          <w:szCs w:val="24"/>
          <w:u w:val="single"/>
        </w:rPr>
        <w:t>执行质量保证书的相关约定。</w:t>
      </w:r>
    </w:p>
    <w:bookmarkEnd w:id="604"/>
    <w:bookmarkEnd w:id="605"/>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15.4保修</w:t>
      </w:r>
    </w:p>
    <w:bookmarkEnd w:id="606"/>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15.4.1 保修责任</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t>工程保修期为：</w:t>
      </w:r>
      <w:r>
        <w:rPr>
          <w:rFonts w:hint="eastAsia" w:ascii="仿宋" w:hAnsi="仿宋" w:eastAsia="仿宋" w:cs="仿宋"/>
          <w:color w:val="000000"/>
          <w:sz w:val="24"/>
          <w:szCs w:val="24"/>
          <w:u w:val="single"/>
        </w:rPr>
        <w:t>工程质量保修范围、期限和责任按照《工程质量保修书》和本合同相关条款执行。保修期自实际竣工日期起计算。</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15.4.3 修复通知</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承包人收到保修通知并到达工程现场的合理时间：</w:t>
      </w:r>
      <w:r>
        <w:rPr>
          <w:rFonts w:hint="eastAsia" w:ascii="仿宋" w:hAnsi="仿宋" w:eastAsia="仿宋" w:cs="仿宋"/>
          <w:color w:val="000000"/>
          <w:kern w:val="0"/>
          <w:sz w:val="24"/>
          <w:szCs w:val="24"/>
          <w:u w:val="single"/>
        </w:rPr>
        <w:t>接到发包人通知（包括书面和电话通知）之日起8小时内到达工程现场。</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u w:val="single"/>
        </w:rPr>
        <w:t>还应执行：</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①保修期内，承包人应负责未移交工程和工程设备的全部日常维护和质量保修工作，对己移交发包人使用的工程和工程设备，则应由发包人负责日常维护工作，但承包人应按移交证书中所列的质量保修清单进行修复，直至经监理人检验合格为止。</w:t>
      </w:r>
    </w:p>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发包人在保修期内使用工程和工程设备过程中，发现新的缺陷和损坏或原修复的缺陷部位或部件又遭损坏，则承包人应按监理人的指示负责修复，直至经监理人检验合格为止。监理人应会同发包人和承包人共同进行查验，若经查验确属由于承包人施工中隐存的或其它由于承包人责任造成的缺陷或损坏，应由承包人承担修复费用；若经查验确属发包人使用不当或其它由于发包人责任造成的缺陷或损坏，则应由发包人承担修复费用。</w:t>
      </w:r>
      <w:bookmarkEnd w:id="607"/>
      <w:bookmarkEnd w:id="608"/>
      <w:bookmarkEnd w:id="609"/>
      <w:bookmarkEnd w:id="610"/>
      <w:bookmarkStart w:id="633" w:name="_Toc351203648"/>
      <w:bookmarkStart w:id="634" w:name="_Toc280868717"/>
      <w:bookmarkStart w:id="635" w:name="_Toc280868718"/>
    </w:p>
    <w:bookmarkEnd w:id="633"/>
    <w:p>
      <w:pPr>
        <w:keepNext w:val="0"/>
        <w:keepLines w:val="0"/>
        <w:pageBreakBefore w:val="0"/>
        <w:widowControl w:val="0"/>
        <w:wordWrap/>
        <w:topLinePunct w:val="0"/>
        <w:bidi w:val="0"/>
        <w:adjustRightInd w:val="0"/>
        <w:snapToGrid w:val="0"/>
        <w:spacing w:line="360" w:lineRule="auto"/>
        <w:ind w:firstLine="480" w:firstLineChars="200"/>
        <w:textAlignment w:val="auto"/>
        <w:rPr>
          <w:rFonts w:hint="eastAsia" w:ascii="仿宋" w:hAnsi="仿宋" w:eastAsia="仿宋" w:cs="仿宋"/>
          <w:bCs/>
          <w:color w:val="000000"/>
          <w:sz w:val="24"/>
          <w:szCs w:val="24"/>
          <w:u w:val="single"/>
        </w:rPr>
      </w:pPr>
      <w:r>
        <w:rPr>
          <w:rFonts w:hint="eastAsia" w:ascii="仿宋" w:hAnsi="仿宋" w:eastAsia="仿宋" w:cs="仿宋"/>
          <w:bCs/>
          <w:color w:val="000000"/>
          <w:sz w:val="24"/>
          <w:szCs w:val="24"/>
        </w:rPr>
        <w:t>16. 违约</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16.1 发包人违约</w:t>
      </w:r>
    </w:p>
    <w:p>
      <w:pPr>
        <w:keepNext w:val="0"/>
        <w:keepLines w:val="0"/>
        <w:pageBreakBefore w:val="0"/>
        <w:widowControl w:val="0"/>
        <w:wordWrap/>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16.1.1 发包人违约的其他情形：</w:t>
      </w:r>
      <w:r>
        <w:rPr>
          <w:rFonts w:hint="eastAsia" w:ascii="仿宋" w:hAnsi="仿宋" w:eastAsia="仿宋" w:cs="仿宋"/>
          <w:bCs/>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16.1.2 发包人违约的责任</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发包人违约责任的承担方式和计算方法：</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bCs/>
          <w:color w:val="000000"/>
          <w:kern w:val="0"/>
          <w:sz w:val="24"/>
          <w:szCs w:val="24"/>
        </w:rPr>
        <w:t>（1）因发包人原因未能在计划开工日期前7天内下达开工通知的违约责任：</w:t>
      </w:r>
      <w:r>
        <w:rPr>
          <w:rFonts w:hint="eastAsia" w:ascii="仿宋" w:hAnsi="仿宋" w:eastAsia="仿宋" w:cs="仿宋"/>
          <w:color w:val="000000"/>
          <w:kern w:val="0"/>
          <w:sz w:val="24"/>
          <w:szCs w:val="24"/>
          <w:u w:val="single"/>
        </w:rPr>
        <w:t>顺延工期，并支付签约合同价格0.5‰的违约金</w:t>
      </w:r>
      <w:r>
        <w:rPr>
          <w:rFonts w:hint="eastAsia" w:ascii="仿宋" w:hAnsi="仿宋" w:eastAsia="仿宋" w:cs="仿宋"/>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（2）因发包人原因未能按合同约定支付合同价格的违约责任：</w:t>
      </w:r>
      <w:r>
        <w:rPr>
          <w:rFonts w:hint="eastAsia" w:ascii="仿宋" w:hAnsi="仿宋" w:eastAsia="仿宋" w:cs="仿宋"/>
          <w:bCs/>
          <w:color w:val="000000"/>
          <w:kern w:val="0"/>
          <w:sz w:val="24"/>
          <w:szCs w:val="24"/>
          <w:u w:val="single"/>
        </w:rPr>
        <w:t>除执行通用合同条款本条款外，每逾期一天发包人应按约定应付之日起向承包人支付应付款的同期贷款利息</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（3）发包人违反第10.1款〔变更的范围〕第（2）项约定，自行实施被取消的工作或转由他人实施的违约责任：</w:t>
      </w:r>
      <w:r>
        <w:rPr>
          <w:rFonts w:hint="eastAsia" w:ascii="仿宋" w:hAnsi="仿宋" w:eastAsia="仿宋" w:cs="仿宋"/>
          <w:bCs/>
          <w:color w:val="000000"/>
          <w:kern w:val="0"/>
          <w:sz w:val="24"/>
          <w:szCs w:val="24"/>
          <w:u w:val="single"/>
        </w:rPr>
        <w:t>由此给承包人造成的一切损失由发包人承担</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（4）发包人提供的材料、工程设备的规格、数量或质量不符合合同约定，或因发包人原因导致交货日期延误或交货地点变更等情况的违约责任：</w:t>
      </w:r>
      <w:r>
        <w:rPr>
          <w:rFonts w:hint="eastAsia" w:ascii="仿宋" w:hAnsi="仿宋" w:eastAsia="仿宋" w:cs="仿宋"/>
          <w:bCs/>
          <w:color w:val="000000"/>
          <w:kern w:val="0"/>
          <w:sz w:val="24"/>
          <w:szCs w:val="24"/>
          <w:u w:val="single"/>
        </w:rPr>
        <w:t>由此造成的工程质量问题及工期延误由发包人承担质量及工期延误责任，同时承担相应的费用；如发包人原因导致交货日期延误和交货地点变更由此引起的一切相关费用由发包人承担</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（5）因发包人违反合同约定造成暂停施工的违约责任：</w:t>
      </w:r>
      <w:r>
        <w:rPr>
          <w:rFonts w:hint="eastAsia" w:ascii="仿宋" w:hAnsi="仿宋" w:eastAsia="仿宋" w:cs="仿宋"/>
          <w:bCs/>
          <w:color w:val="000000"/>
          <w:kern w:val="0"/>
          <w:sz w:val="24"/>
          <w:szCs w:val="24"/>
          <w:u w:val="single"/>
        </w:rPr>
        <w:t>由此造成工期延误的责任及相关费用由发包人承担，同时工期相应顺延</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（6）发包人无正当理由没有在约定期限内发出复工指示，导致承包人无法复工的违约责任：</w:t>
      </w:r>
      <w:r>
        <w:rPr>
          <w:rFonts w:hint="eastAsia" w:ascii="仿宋" w:hAnsi="仿宋" w:eastAsia="仿宋" w:cs="仿宋"/>
          <w:bCs/>
          <w:color w:val="000000"/>
          <w:kern w:val="0"/>
          <w:sz w:val="24"/>
          <w:szCs w:val="24"/>
          <w:u w:val="single"/>
        </w:rPr>
        <w:t>由此造成工期延误的责任及相关费用由发包人承担，同时工期相应顺延</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（7）其他：</w:t>
      </w:r>
      <w:r>
        <w:rPr>
          <w:rFonts w:hint="eastAsia" w:ascii="仿宋" w:hAnsi="仿宋" w:eastAsia="仿宋" w:cs="仿宋"/>
          <w:bCs/>
          <w:color w:val="000000"/>
          <w:kern w:val="0"/>
          <w:sz w:val="24"/>
          <w:szCs w:val="24"/>
          <w:u w:val="single"/>
        </w:rPr>
        <w:t xml:space="preserve">  /  </w:t>
      </w:r>
      <w:r>
        <w:rPr>
          <w:rFonts w:hint="eastAsia" w:ascii="仿宋" w:hAnsi="仿宋" w:eastAsia="仿宋" w:cs="仿宋"/>
          <w:bCs/>
          <w:color w:val="000000"/>
          <w:kern w:val="0"/>
          <w:sz w:val="24"/>
          <w:szCs w:val="24"/>
        </w:rPr>
        <w:t>。</w:t>
      </w:r>
    </w:p>
    <w:p>
      <w:pPr>
        <w:keepNext w:val="0"/>
        <w:keepLines w:val="0"/>
        <w:pageBreakBefore w:val="0"/>
        <w:widowControl w:val="0"/>
        <w:wordWrap/>
        <w:topLinePunct w:val="0"/>
        <w:bidi w:val="0"/>
        <w:spacing w:line="360" w:lineRule="auto"/>
        <w:ind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16.1.3 因发包人违约解除合同</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承包人按16.1.1项〔发包人违约的情形〕约定暂停施工满</w:t>
      </w:r>
      <w:r>
        <w:rPr>
          <w:rFonts w:hint="eastAsia" w:ascii="仿宋" w:hAnsi="仿宋" w:eastAsia="仿宋" w:cs="仿宋"/>
          <w:bCs/>
          <w:color w:val="000000"/>
          <w:kern w:val="0"/>
          <w:sz w:val="24"/>
          <w:szCs w:val="24"/>
          <w:u w:val="single"/>
        </w:rPr>
        <w:t xml:space="preserve">  28  </w:t>
      </w:r>
      <w:r>
        <w:rPr>
          <w:rFonts w:hint="eastAsia" w:ascii="仿宋" w:hAnsi="仿宋" w:eastAsia="仿宋" w:cs="仿宋"/>
          <w:bCs/>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 承包人违约</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16.2.1 承包人违约的情形</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（1）承包人违反合同约定进行转包或违法分包的；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（2）承包人违反合同约定采购和使用不合格的材料和工程设备的；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xml:space="preserve">（3）因承包人原因导致工程质量不符合合同要求的； </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（4）承包人违反第8.9款〔材料与设备专用要求〕的约定，未经批准，私自将已按照合同约定进入施工现场的材料或设备撤离施工现场的；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（5）承包人未能按施工进度计划及时完成合同约定的工作，造成工期延误的；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（6）承包人在缺陷责任期及保修期内，未能在合理期限对工程缺陷进行修复，或拒绝按发包人要求进行修复的；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（7）承包人明确表示或者以其行为表明不履行合同主要义务的；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（8）承包人未能按照合同约定履行其他义务的。</w:t>
      </w:r>
    </w:p>
    <w:p>
      <w:pPr>
        <w:keepNext w:val="0"/>
        <w:keepLines w:val="0"/>
        <w:pageBreakBefore w:val="0"/>
        <w:widowControl w:val="0"/>
        <w:kinsoku/>
        <w:wordWrap/>
        <w:overflowPunct/>
        <w:topLinePunct w:val="0"/>
        <w:autoSpaceDE w:val="0"/>
        <w:autoSpaceDN w:val="0"/>
        <w:bidi w:val="0"/>
        <w:adjustRightInd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承包人发生除本项第（7）目约定以外的其他违约情况时，监理人可向承包人发出整改通知，要求其在指定的期限内改正。</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u w:val="single"/>
        </w:rPr>
      </w:pPr>
      <w:r>
        <w:rPr>
          <w:rFonts w:hint="eastAsia" w:ascii="仿宋" w:hAnsi="仿宋" w:eastAsia="仿宋" w:cs="仿宋"/>
          <w:color w:val="000000"/>
          <w:kern w:val="0"/>
          <w:sz w:val="24"/>
          <w:szCs w:val="24"/>
        </w:rPr>
        <w:t>承包人违约的其他情形：</w:t>
      </w:r>
      <w:r>
        <w:rPr>
          <w:rFonts w:hint="eastAsia" w:ascii="仿宋" w:hAnsi="仿宋" w:eastAsia="仿宋" w:cs="仿宋"/>
          <w:color w:val="000000"/>
          <w:kern w:val="0"/>
          <w:sz w:val="24"/>
          <w:szCs w:val="24"/>
          <w:u w:val="single"/>
        </w:rPr>
        <w:t xml:space="preserve">   /   </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16.2.2承包人违约的责任</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承包人违约责任的承担方式和计算方法：</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①</w:t>
      </w:r>
      <w:r>
        <w:rPr>
          <w:rFonts w:hint="eastAsia" w:ascii="仿宋" w:hAnsi="仿宋" w:eastAsia="仿宋" w:cs="仿宋"/>
          <w:color w:val="000000"/>
          <w:sz w:val="24"/>
          <w:szCs w:val="24"/>
          <w:u w:val="single"/>
        </w:rPr>
        <w:t>承包人有16.2.1条违约行为时，发包人可向承包人发出解除合同通知，且自承包人接到发包人通知之日起，发包人尚未退还承包人的履约保证金不再退还，并保留进一步追究承包人法律责任的权利；由此造成与任意第三方的经济纠纷全部由承包人自行负责解决。其中，造成与承包人有关的第三方阻碍本项目移交使用的，自承包人接到发包人通知之日起10 日内，承包人必须完全完成清场退出工作，每延迟一天，按日向发包人支付签约合同价格5‰的违约金。违约金的计算公式为：本签约合同价格×5‰×延迟天数。同时给发包人及相关单位工作带来不利影响或造成损失的，由承包人承担相应赔偿等法律责任。</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②工程竣工验收未达到合同约定的质量标准，</w:t>
      </w:r>
      <w:bookmarkStart w:id="636" w:name="工程质量达不到合同约定的质量标准承包人违约责任约定"/>
      <w:r>
        <w:rPr>
          <w:rFonts w:hint="eastAsia" w:ascii="仿宋" w:hAnsi="仿宋" w:eastAsia="仿宋" w:cs="仿宋"/>
          <w:color w:val="000000"/>
          <w:sz w:val="24"/>
          <w:szCs w:val="24"/>
          <w:u w:val="single"/>
        </w:rPr>
        <w:t>承包人负责免费返修或返工重建，直至达到合同约定的质量标准为止，费用由承包人自行承担并承担由此给发包人造成的损失，工期不顺延，同时承包人向发包人支付经审定的工程竣工结算价款5%的违约金，如给发包人造成损失，由此引起的费用由承包人负责，此费用在应付工程款中扣除。施工过程中出现一般质量事故但不影响结构安全和功能的，每次向发包人支付人民币</w:t>
      </w:r>
      <w:r>
        <w:rPr>
          <w:rFonts w:hint="eastAsia" w:ascii="仿宋" w:hAnsi="仿宋" w:eastAsia="仿宋" w:cs="仿宋"/>
          <w:b/>
          <w:color w:val="000000"/>
          <w:sz w:val="24"/>
          <w:szCs w:val="24"/>
          <w:u w:val="single"/>
          <w:lang w:eastAsia="zh-CN"/>
        </w:rPr>
        <w:t>贰仟</w:t>
      </w:r>
      <w:r>
        <w:rPr>
          <w:rFonts w:hint="eastAsia" w:ascii="仿宋" w:hAnsi="仿宋" w:eastAsia="仿宋" w:cs="仿宋"/>
          <w:b/>
          <w:color w:val="000000"/>
          <w:sz w:val="24"/>
          <w:szCs w:val="24"/>
          <w:u w:val="single"/>
        </w:rPr>
        <w:t>元</w:t>
      </w:r>
      <w:r>
        <w:rPr>
          <w:rFonts w:hint="eastAsia" w:ascii="仿宋" w:hAnsi="仿宋" w:eastAsia="仿宋" w:cs="仿宋"/>
          <w:color w:val="000000"/>
          <w:sz w:val="24"/>
          <w:szCs w:val="24"/>
          <w:u w:val="single"/>
        </w:rPr>
        <w:t>以下违约金;施工过程中出现重大质量事故但不影响结构安全和功能的，每次向发包人支付人民币</w:t>
      </w:r>
      <w:r>
        <w:rPr>
          <w:rFonts w:hint="eastAsia" w:ascii="仿宋" w:hAnsi="仿宋" w:eastAsia="仿宋" w:cs="仿宋"/>
          <w:b/>
          <w:color w:val="000000"/>
          <w:sz w:val="24"/>
          <w:szCs w:val="24"/>
          <w:u w:val="single"/>
          <w:lang w:eastAsia="zh-CN"/>
        </w:rPr>
        <w:t>壹</w:t>
      </w:r>
      <w:r>
        <w:rPr>
          <w:rFonts w:hint="eastAsia" w:ascii="仿宋" w:hAnsi="仿宋" w:eastAsia="仿宋" w:cs="仿宋"/>
          <w:b/>
          <w:color w:val="000000"/>
          <w:sz w:val="24"/>
          <w:szCs w:val="24"/>
          <w:u w:val="single"/>
        </w:rPr>
        <w:t>万元</w:t>
      </w:r>
      <w:r>
        <w:rPr>
          <w:rFonts w:hint="eastAsia" w:ascii="仿宋" w:hAnsi="仿宋" w:eastAsia="仿宋" w:cs="仿宋"/>
          <w:color w:val="000000"/>
          <w:sz w:val="24"/>
          <w:szCs w:val="24"/>
          <w:u w:val="single"/>
        </w:rPr>
        <w:t>以下违约金;施工过程中出现重大质量事故且影响结构安全和功能的，每次向发包人支付人民币</w:t>
      </w:r>
      <w:r>
        <w:rPr>
          <w:rFonts w:hint="eastAsia" w:ascii="仿宋" w:hAnsi="仿宋" w:eastAsia="仿宋" w:cs="仿宋"/>
          <w:b/>
          <w:color w:val="000000"/>
          <w:sz w:val="24"/>
          <w:szCs w:val="24"/>
          <w:u w:val="single"/>
          <w:lang w:eastAsia="zh-CN"/>
        </w:rPr>
        <w:t>叁</w:t>
      </w:r>
      <w:r>
        <w:rPr>
          <w:rFonts w:hint="eastAsia" w:ascii="仿宋" w:hAnsi="仿宋" w:eastAsia="仿宋" w:cs="仿宋"/>
          <w:b/>
          <w:color w:val="000000"/>
          <w:sz w:val="24"/>
          <w:szCs w:val="24"/>
          <w:u w:val="single"/>
        </w:rPr>
        <w:t>万</w:t>
      </w:r>
      <w:r>
        <w:rPr>
          <w:rFonts w:hint="eastAsia" w:ascii="仿宋" w:hAnsi="仿宋" w:eastAsia="仿宋" w:cs="仿宋"/>
          <w:color w:val="000000"/>
          <w:sz w:val="24"/>
          <w:szCs w:val="24"/>
          <w:u w:val="single"/>
        </w:rPr>
        <w:t>元以下违约金，承包人同时应承担由此带来的一切损失；外观质量差，但不影响结构安全和功能的，每处向发包人支付人民币</w:t>
      </w:r>
      <w:r>
        <w:rPr>
          <w:rFonts w:hint="eastAsia" w:ascii="仿宋" w:hAnsi="仿宋" w:eastAsia="仿宋" w:cs="仿宋"/>
          <w:b/>
          <w:color w:val="000000"/>
          <w:sz w:val="24"/>
          <w:szCs w:val="24"/>
          <w:u w:val="single"/>
          <w:lang w:eastAsia="zh-CN"/>
        </w:rPr>
        <w:t>壹</w:t>
      </w:r>
      <w:r>
        <w:rPr>
          <w:rFonts w:hint="eastAsia" w:ascii="仿宋" w:hAnsi="仿宋" w:eastAsia="仿宋" w:cs="仿宋"/>
          <w:b/>
          <w:color w:val="000000"/>
          <w:sz w:val="24"/>
          <w:szCs w:val="24"/>
          <w:u w:val="single"/>
        </w:rPr>
        <w:t>万元</w:t>
      </w:r>
      <w:r>
        <w:rPr>
          <w:rFonts w:hint="eastAsia" w:ascii="仿宋" w:hAnsi="仿宋" w:eastAsia="仿宋" w:cs="仿宋"/>
          <w:color w:val="000000"/>
          <w:sz w:val="24"/>
          <w:szCs w:val="24"/>
          <w:u w:val="single"/>
        </w:rPr>
        <w:t>以下违约金;对出现的质量事故必须在监理人、发包人规定的时间内完成整改，否则将按该项违约金的三倍赔偿。</w:t>
      </w:r>
    </w:p>
    <w:bookmarkEnd w:id="636"/>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③承包人未按施工规范施工或施工质量达不到合同规定要求的，自监理人发出整改通知之日起3日内，承包人必须无条件进行整改，费用自行承担。如整改后，仍达不到规定要求的，承包人应承担人民币</w:t>
      </w:r>
      <w:r>
        <w:rPr>
          <w:rFonts w:hint="eastAsia" w:ascii="仿宋" w:hAnsi="仿宋" w:eastAsia="仿宋" w:cs="仿宋"/>
          <w:b/>
          <w:color w:val="000000"/>
          <w:sz w:val="24"/>
          <w:szCs w:val="24"/>
          <w:u w:val="single"/>
          <w:lang w:eastAsia="zh-CN"/>
        </w:rPr>
        <w:t>贰仟</w:t>
      </w:r>
      <w:r>
        <w:rPr>
          <w:rFonts w:hint="eastAsia" w:ascii="仿宋" w:hAnsi="仿宋" w:eastAsia="仿宋" w:cs="仿宋"/>
          <w:b/>
          <w:color w:val="000000"/>
          <w:sz w:val="24"/>
          <w:szCs w:val="24"/>
          <w:u w:val="single"/>
        </w:rPr>
        <w:t>元/次</w:t>
      </w:r>
      <w:r>
        <w:rPr>
          <w:rFonts w:hint="eastAsia" w:ascii="仿宋" w:hAnsi="仿宋" w:eastAsia="仿宋" w:cs="仿宋"/>
          <w:color w:val="000000"/>
          <w:sz w:val="24"/>
          <w:szCs w:val="24"/>
          <w:u w:val="single"/>
        </w:rPr>
        <w:t>的违约金，发包人有权另行指定施工单位进行整改，其费用由承包人承担。</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④因承包人提供和使用了不合格的材料和工程设备，限期在12小时内退场，已使用的必须拆除。由此造成的工期延误由承包人承担工期延误责任，造成的损失由承包人自行承担，并向发包人支付所提供和使用不合格材料和工程设备总价10%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⑤因承包人原因造成的质量事故、工程事故和安全事故，造成人身和财产损害的，承包人承担全部行政、民事和刑事责任，并承担损害赔偿责任。造成人员死亡等重大安全事故的还必须向发包人支付每次人民币贰万元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⑥承包人违反本专用合同条款第6.1.5条相关规定及国家、自治区、克拉玛依市有关文明施工管理、卫生管理、噪声扬尘污染防治等规定，造成后果的，由承包人承担一切责任。一旦被政府有关职能部门处罚、负面通报和媒体负面曝光，除接受相关部门处罚外，还必须向发包人支付签订合同价格5‰的违约金。</w:t>
      </w:r>
    </w:p>
    <w:p>
      <w:pPr>
        <w:keepNext w:val="0"/>
        <w:keepLines w:val="0"/>
        <w:pageBreakBefore w:val="0"/>
        <w:widowControl w:val="0"/>
        <w:tabs>
          <w:tab w:val="left" w:pos="1440"/>
        </w:tabs>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⑦未按发包人、监理人以及主管部门规定建立、健全安全、文明施工制度、措施等，每发现一处，承包人须向发包人支付人民币壹仟元违约金，出现一般安全事故、重大安全事故的按相关规定进行处罚。</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⑧因承包人提供产品材质或工期不能满足发包人要求的，或承包人提供的材料或设备价格差异过大的，自监理人发出整改通知之日起3日内，承包人必须无条件进行整改，费用由承包人自行承担。如整改后，仍达不到规定要求的，发包人有权另行指定分包，其费用由承包人承担。</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⑨如果发生恶意停工、恶意闹事，每发生一次，承包人向发包人支付￥</w:t>
      </w:r>
      <w:r>
        <w:rPr>
          <w:rFonts w:hint="eastAsia" w:ascii="仿宋" w:hAnsi="仿宋" w:eastAsia="仿宋" w:cs="仿宋"/>
          <w:color w:val="000000"/>
          <w:sz w:val="24"/>
          <w:szCs w:val="24"/>
          <w:u w:val="single"/>
          <w:lang w:val="en-US" w:eastAsia="zh-CN"/>
        </w:rPr>
        <w:t>2</w:t>
      </w:r>
      <w:r>
        <w:rPr>
          <w:rFonts w:hint="eastAsia" w:ascii="仿宋" w:hAnsi="仿宋" w:eastAsia="仿宋" w:cs="仿宋"/>
          <w:color w:val="000000"/>
          <w:sz w:val="24"/>
          <w:szCs w:val="24"/>
          <w:u w:val="single"/>
        </w:rPr>
        <w:t>万元违约金。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⑩承包人应严格按照投标文件中的承诺将劳务工工资发放到位，如出现因承包人</w:t>
      </w:r>
      <w:r>
        <w:rPr>
          <w:rFonts w:hint="eastAsia" w:ascii="仿宋" w:hAnsi="仿宋" w:eastAsia="仿宋" w:cs="仿宋"/>
          <w:color w:val="000000"/>
          <w:sz w:val="24"/>
          <w:u w:val="single"/>
        </w:rPr>
        <w:t>恶意</w:t>
      </w:r>
      <w:r>
        <w:rPr>
          <w:rFonts w:hint="eastAsia" w:ascii="仿宋" w:hAnsi="仿宋" w:eastAsia="仿宋" w:cs="仿宋"/>
          <w:color w:val="000000"/>
          <w:sz w:val="24"/>
          <w:szCs w:val="24"/>
          <w:u w:val="single"/>
        </w:rPr>
        <w:t>拖欠</w:t>
      </w:r>
      <w:r>
        <w:rPr>
          <w:rFonts w:hint="eastAsia" w:ascii="仿宋" w:hAnsi="仿宋" w:eastAsia="仿宋" w:cs="仿宋"/>
          <w:color w:val="000000"/>
          <w:sz w:val="24"/>
          <w:u w:val="single"/>
        </w:rPr>
        <w:t>和拒不按计划偿付</w:t>
      </w:r>
      <w:r>
        <w:rPr>
          <w:rFonts w:hint="eastAsia" w:ascii="仿宋" w:hAnsi="仿宋" w:eastAsia="仿宋" w:cs="仿宋"/>
          <w:color w:val="000000"/>
          <w:sz w:val="24"/>
          <w:szCs w:val="24"/>
          <w:u w:val="single"/>
        </w:rPr>
        <w:t>民工工资或未能按期足额支付农民工工资，导致民工到政府部门上访或到发包人处索要工资的情况，则每出现一次，发包人将向承包人收取￥</w:t>
      </w:r>
      <w:r>
        <w:rPr>
          <w:rFonts w:hint="eastAsia" w:ascii="仿宋" w:hAnsi="仿宋" w:eastAsia="仿宋" w:cs="仿宋"/>
          <w:color w:val="000000"/>
          <w:sz w:val="24"/>
          <w:szCs w:val="24"/>
          <w:u w:val="single"/>
          <w:lang w:val="en-US" w:eastAsia="zh-CN"/>
        </w:rPr>
        <w:t>2</w:t>
      </w:r>
      <w:r>
        <w:rPr>
          <w:rFonts w:hint="eastAsia" w:ascii="仿宋" w:hAnsi="仿宋" w:eastAsia="仿宋" w:cs="仿宋"/>
          <w:color w:val="000000"/>
          <w:sz w:val="24"/>
          <w:szCs w:val="24"/>
          <w:u w:val="single"/>
        </w:rPr>
        <w:t>万元违约金；若发包人代为支付民工工资，发包人将按所代付民工工资总金额的10%向承包人收取管理费。并依据国家、自治区、克拉玛依等相关法律、法规、政策文件予以严厉处罚，</w:t>
      </w:r>
      <w:r>
        <w:rPr>
          <w:rFonts w:hint="eastAsia" w:ascii="仿宋" w:hAnsi="仿宋" w:eastAsia="仿宋" w:cs="仿宋"/>
          <w:color w:val="000000"/>
          <w:sz w:val="24"/>
          <w:u w:val="single"/>
        </w:rPr>
        <w:t>必要时可解除合同并依法追究承包人的责任。</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⑾承包人不得以材料价格、清单控制价等经济问题未确定而发生威胁发包人或停工或闹事等不良影响，每发生一次，承包人向发包人支付贰拾万元/次违约金。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⑿承包人如发生二次（含二次）及以上未完成发包人要求的工程进度节点，承包人无条件接受发包人的另行委托，由此造成的损失由承包人承担。</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⒀承包人如未按要求参加发包人、监理人及行业主管部门对本项目组织的专题会，在请假未经同意的条件下（须经会议最高负责人同意），按项目经理</w:t>
      </w:r>
      <w:r>
        <w:rPr>
          <w:rFonts w:hint="eastAsia" w:ascii="仿宋" w:hAnsi="仿宋" w:eastAsia="仿宋" w:cs="仿宋"/>
          <w:color w:val="000000"/>
          <w:sz w:val="24"/>
          <w:szCs w:val="24"/>
          <w:u w:val="single"/>
          <w:lang w:val="en-US" w:eastAsia="zh-CN"/>
        </w:rPr>
        <w:t>1</w:t>
      </w:r>
      <w:r>
        <w:rPr>
          <w:rFonts w:hint="eastAsia" w:ascii="仿宋" w:hAnsi="仿宋" w:eastAsia="仿宋" w:cs="仿宋"/>
          <w:color w:val="000000"/>
          <w:sz w:val="24"/>
          <w:szCs w:val="24"/>
          <w:u w:val="single"/>
        </w:rPr>
        <w:t>000元/次、其他人员</w:t>
      </w:r>
      <w:r>
        <w:rPr>
          <w:rFonts w:hint="eastAsia" w:ascii="仿宋" w:hAnsi="仿宋" w:eastAsia="仿宋" w:cs="仿宋"/>
          <w:color w:val="000000"/>
          <w:sz w:val="24"/>
          <w:szCs w:val="24"/>
          <w:u w:val="single"/>
          <w:lang w:val="en-US" w:eastAsia="zh-CN"/>
        </w:rPr>
        <w:t>2</w:t>
      </w:r>
      <w:r>
        <w:rPr>
          <w:rFonts w:hint="eastAsia" w:ascii="仿宋" w:hAnsi="仿宋" w:eastAsia="仿宋" w:cs="仿宋"/>
          <w:color w:val="000000"/>
          <w:sz w:val="24"/>
          <w:szCs w:val="24"/>
          <w:u w:val="single"/>
        </w:rPr>
        <w:t>00元/次作违约金在当期付款及结算中扣除；若迟到，则项目经理按</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00元/人.次，其他人员</w:t>
      </w:r>
      <w:r>
        <w:rPr>
          <w:rFonts w:hint="eastAsia" w:ascii="仿宋" w:hAnsi="仿宋" w:eastAsia="仿宋" w:cs="仿宋"/>
          <w:color w:val="000000"/>
          <w:sz w:val="24"/>
          <w:szCs w:val="24"/>
          <w:u w:val="single"/>
          <w:lang w:val="en-US" w:eastAsia="zh-CN"/>
        </w:rPr>
        <w:t>1</w:t>
      </w:r>
      <w:r>
        <w:rPr>
          <w:rFonts w:hint="eastAsia" w:ascii="仿宋" w:hAnsi="仿宋" w:eastAsia="仿宋" w:cs="仿宋"/>
          <w:color w:val="000000"/>
          <w:sz w:val="24"/>
          <w:szCs w:val="24"/>
          <w:u w:val="single"/>
        </w:rPr>
        <w:t>00元/人.次以现金方式向发包人支付。</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⒁承包人违约，发包人可发出整改通知要求承包人限期进行整改，如承包人在规定时间内仍不纠正违约行为的，发包人有权解除合同且向承包人发出解除合同通知。合同解除后，发包人可派员进驻施工场地，另行组织人员或委托其他承包人施工。发包人因继续完成该工程需要，有权扣留使用承包人在现场的材料、设备和临时设施。但发包人的这一行为不免除或减轻承包人应承担的违约责任，也不影响发包人根据合同约定享有的索赔权利。</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⒂承包人不得转包或转让所承包的全部或部分工程，也不得肢解所承包的工程以分包的名义分别转包给他人。承包人违反本款规定，发包人和监理人向承包人发出整改通知，要求其在指定的期限内改正或解除合同，承包人应承担其违约所引起的费用增加和（或）工期延误及一切责任，并向发包人支付签约合同价格</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％的违约金。</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u w:val="single"/>
        </w:rPr>
      </w:pPr>
      <w:r>
        <w:rPr>
          <w:rFonts w:hint="eastAsia" w:ascii="仿宋" w:hAnsi="仿宋" w:eastAsia="仿宋" w:cs="仿宋"/>
          <w:color w:val="000000"/>
          <w:sz w:val="24"/>
          <w:szCs w:val="24"/>
          <w:u w:val="single"/>
        </w:rPr>
        <w:t>⒃</w:t>
      </w:r>
      <w:r>
        <w:rPr>
          <w:rFonts w:hint="eastAsia" w:ascii="仿宋" w:hAnsi="仿宋" w:eastAsia="仿宋" w:cs="仿宋"/>
          <w:b/>
          <w:color w:val="000000"/>
          <w:sz w:val="24"/>
          <w:szCs w:val="24"/>
          <w:u w:val="single"/>
        </w:rPr>
        <w:t>承包人在投标时拟投入的各类机械设备</w:t>
      </w:r>
      <w:r>
        <w:rPr>
          <w:rFonts w:hint="eastAsia" w:ascii="仿宋" w:hAnsi="仿宋" w:eastAsia="仿宋" w:cs="仿宋"/>
          <w:color w:val="000000"/>
          <w:sz w:val="24"/>
          <w:szCs w:val="24"/>
          <w:u w:val="single"/>
        </w:rPr>
        <w:t>应按计划进场，不得拖延、减少或降低标准。各施工阶段所投入的各类机械设备数量、规格及型号应与投标文件中所列的各类机械设备数量、规格及型号一致。</w:t>
      </w:r>
      <w:r>
        <w:rPr>
          <w:rFonts w:hint="eastAsia" w:ascii="仿宋" w:hAnsi="仿宋" w:eastAsia="仿宋" w:cs="仿宋"/>
          <w:color w:val="000000"/>
          <w:sz w:val="24"/>
          <w:u w:val="single"/>
        </w:rPr>
        <w:t>承包人开工后按投标文件承诺进场的设备、机械未经监理人或发包人许可，不得擅自撤出现场。</w:t>
      </w:r>
      <w:r>
        <w:rPr>
          <w:rFonts w:hint="eastAsia" w:ascii="仿宋" w:hAnsi="仿宋" w:eastAsia="仿宋" w:cs="仿宋"/>
          <w:color w:val="000000"/>
          <w:sz w:val="24"/>
          <w:szCs w:val="24"/>
          <w:u w:val="single"/>
        </w:rPr>
        <w:t>承包人未按投标文件的承诺及监理工程师的指令进场施工机械设备，每延迟一天，承包人向发包人支付签约合同价格1％的违约金。若承包人进场的设备的数量或性能不能满足施工需要，发包人和监理人有权要求承包人更换或补充设备。否则，由此造成的工期延误和费用的增加均由承包人自行承担。</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⒄在本工程建设过程中，因承包人违约而向发包人支付的违约金，发包人可在应付工程款或承包人履约担保中直接扣除违约金。</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16.2.3 因承包人违约解除合同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关于承包人违约解除合同的特别约定：</w:t>
      </w:r>
      <w:r>
        <w:rPr>
          <w:rFonts w:hint="eastAsia" w:ascii="仿宋" w:hAnsi="仿宋" w:eastAsia="仿宋" w:cs="仿宋"/>
          <w:color w:val="000000"/>
          <w:sz w:val="24"/>
          <w:szCs w:val="24"/>
          <w:u w:val="single"/>
        </w:rPr>
        <w:t>详见本专用合同条款相关条款。</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发包人继续使用承包人在施工现场的材料、设备、临时工程、承包人文件和由承包人或以其名义编制的其他文件的费用承担方式：</w:t>
      </w:r>
      <w:r>
        <w:rPr>
          <w:rFonts w:hint="eastAsia" w:ascii="仿宋" w:hAnsi="仿宋" w:eastAsia="仿宋" w:cs="仿宋"/>
          <w:color w:val="000000"/>
          <w:kern w:val="0"/>
          <w:sz w:val="24"/>
          <w:szCs w:val="24"/>
          <w:u w:val="single"/>
        </w:rPr>
        <w:t>除按实际使用承包人在施工现场的材料、工程设备数量和发包人确认的价格支付承包人在施工现场的材料、工程设备费 ，其他费用发包人不予支付</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还应执行：发包人和承包人未能就解除合同后的清算和款项支付达成一致而形成争议的，除按第20条的约定办理的程序外，发包人有权对项目进行全面管理，承包人不得以任何借口阻扰或拖延发包人的组织安排。</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bookmarkStart w:id="637" w:name="_Toc351203649"/>
      <w:r>
        <w:rPr>
          <w:rFonts w:hint="eastAsia" w:ascii="仿宋" w:hAnsi="仿宋" w:eastAsia="仿宋" w:cs="仿宋"/>
          <w:color w:val="000000"/>
          <w:sz w:val="24"/>
          <w:szCs w:val="24"/>
        </w:rPr>
        <w:t>承包人在施工过程中必须遵守发包人的相应文件规定。</w:t>
      </w:r>
    </w:p>
    <w:p>
      <w:pPr>
        <w:keepNext w:val="0"/>
        <w:keepLines w:val="0"/>
        <w:pageBreakBefore w:val="0"/>
        <w:widowControl w:val="0"/>
        <w:tabs>
          <w:tab w:val="left" w:pos="700"/>
        </w:tabs>
        <w:kinsoku/>
        <w:wordWrap/>
        <w:overflowPunct/>
        <w:topLinePunct w:val="0"/>
        <w:bidi w:val="0"/>
        <w:spacing w:line="360" w:lineRule="auto"/>
        <w:ind w:left="0" w:leftChars="0" w:right="0" w:rightChars="0" w:firstLine="482" w:firstLineChars="200"/>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17. 不可抗力</w:t>
      </w:r>
      <w:bookmarkEnd w:id="637"/>
      <w:r>
        <w:rPr>
          <w:rFonts w:hint="eastAsia" w:ascii="仿宋" w:hAnsi="仿宋" w:eastAsia="仿宋" w:cs="仿宋"/>
          <w:b/>
          <w:color w:val="000000"/>
          <w:sz w:val="24"/>
          <w:szCs w:val="24"/>
        </w:rPr>
        <w:t xml:space="preserve"> </w:t>
      </w:r>
      <w:bookmarkEnd w:id="634"/>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17.1 不可抗力的确认</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除通用合同条款约定的不可抗力事件之外，视为不可抗力的其他情形：</w:t>
      </w:r>
      <w:r>
        <w:rPr>
          <w:rFonts w:hint="eastAsia" w:ascii="仿宋" w:hAnsi="仿宋" w:eastAsia="仿宋" w:cs="仿宋"/>
          <w:color w:val="000000"/>
          <w:kern w:val="0"/>
          <w:sz w:val="24"/>
          <w:szCs w:val="24"/>
          <w:u w:val="single"/>
        </w:rPr>
        <w:t xml:space="preserve"> 自然原因：洪水、暴风、暴风雪、干旱等人类无法控制的灾害事故；社会原因：罢工、政府禁止令等引起的社会突发性事件。</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17.4 因不可抗力解除合同</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合同解除后，发包人应在商定或确定发包人应支付款项后</w:t>
      </w:r>
      <w:r>
        <w:rPr>
          <w:rFonts w:hint="eastAsia" w:ascii="仿宋" w:hAnsi="仿宋" w:eastAsia="仿宋" w:cs="仿宋"/>
          <w:color w:val="000000"/>
          <w:sz w:val="24"/>
          <w:szCs w:val="24"/>
          <w:u w:val="single"/>
        </w:rPr>
        <w:t xml:space="preserve"> 28 </w:t>
      </w:r>
      <w:r>
        <w:rPr>
          <w:rFonts w:hint="eastAsia" w:ascii="仿宋" w:hAnsi="仿宋" w:eastAsia="仿宋" w:cs="仿宋"/>
          <w:color w:val="000000"/>
          <w:sz w:val="24"/>
          <w:szCs w:val="24"/>
        </w:rPr>
        <w:t>天内完成款项的支付。</w:t>
      </w:r>
      <w:bookmarkStart w:id="638" w:name="_Toc351203650"/>
    </w:p>
    <w:p>
      <w:pPr>
        <w:keepNext w:val="0"/>
        <w:keepLines w:val="0"/>
        <w:pageBreakBefore w:val="0"/>
        <w:widowControl w:val="0"/>
        <w:kinsoku/>
        <w:wordWrap/>
        <w:overflowPunct/>
        <w:topLinePunct w:val="0"/>
        <w:bidi w:val="0"/>
        <w:spacing w:line="360" w:lineRule="auto"/>
        <w:ind w:left="0" w:leftChars="0" w:right="0" w:rightChars="0" w:firstLine="482" w:firstLineChars="200"/>
        <w:jc w:val="left"/>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18. 保险</w:t>
      </w:r>
      <w:bookmarkEnd w:id="638"/>
    </w:p>
    <w:bookmarkEnd w:id="635"/>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18.1 工程保险</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关于工程保险的特别约定：</w:t>
      </w:r>
      <w:r>
        <w:rPr>
          <w:rFonts w:hint="eastAsia" w:ascii="仿宋" w:hAnsi="仿宋" w:eastAsia="仿宋" w:cs="仿宋"/>
          <w:color w:val="000000"/>
          <w:sz w:val="24"/>
          <w:szCs w:val="24"/>
          <w:u w:val="single"/>
        </w:rPr>
        <w:t>承包人应以发包人和承包人的共同名义向双方同意的保险人投保建筑工程一切险，保险费用已含在承包人的</w:t>
      </w:r>
      <w:r>
        <w:rPr>
          <w:rFonts w:hint="eastAsia" w:ascii="仿宋" w:hAnsi="仿宋" w:eastAsia="仿宋" w:cs="仿宋"/>
          <w:color w:val="000000"/>
          <w:sz w:val="24"/>
          <w:szCs w:val="24"/>
          <w:u w:val="single"/>
          <w:lang w:eastAsia="zh-CN"/>
        </w:rPr>
        <w:t>响应报价</w:t>
      </w:r>
      <w:r>
        <w:rPr>
          <w:rFonts w:hint="eastAsia" w:ascii="仿宋" w:hAnsi="仿宋" w:eastAsia="仿宋" w:cs="仿宋"/>
          <w:color w:val="000000"/>
          <w:sz w:val="24"/>
          <w:szCs w:val="24"/>
          <w:u w:val="single"/>
        </w:rPr>
        <w:t>中。</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（1）投保内容：本工程工地范围内的建筑、安装工程及用于该工程的材料、机械、设备因自然灾害或意外事故造成的损坏或灭失。</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（2）保险金额：本工程工地范围内的建筑、安装工程及用于该工程的材料、机械、设备的实际总价值。</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（3）保险期限：自被保险工程在工地动工或用于保险工程的材料、机械、设备运抵工地之时起，至发包人签发完工验收证书或验收合格，或发包人实际占有或使用或接收该工程之时止（以最迟者为准）。</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（4）保险受益人：按投资主体确定受益人。</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18.3 其他保险</w:t>
      </w:r>
    </w:p>
    <w:p>
      <w:pPr>
        <w:keepNext w:val="0"/>
        <w:keepLines w:val="0"/>
        <w:pageBreakBefore w:val="0"/>
        <w:widowControl w:val="0"/>
        <w:kinsoku/>
        <w:wordWrap/>
        <w:overflowPunct/>
        <w:topLinePunct w:val="0"/>
        <w:bidi w:val="0"/>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sz w:val="24"/>
          <w:szCs w:val="24"/>
        </w:rPr>
        <w:t>关于其他保险的约定：</w:t>
      </w:r>
      <w:r>
        <w:rPr>
          <w:rFonts w:hint="eastAsia" w:ascii="仿宋" w:hAnsi="仿宋" w:eastAsia="仿宋" w:cs="仿宋"/>
          <w:color w:val="000000"/>
          <w:kern w:val="0"/>
          <w:sz w:val="24"/>
          <w:szCs w:val="24"/>
          <w:u w:val="single"/>
        </w:rPr>
        <w:t xml:space="preserve">       /         </w:t>
      </w:r>
      <w:r>
        <w:rPr>
          <w:rFonts w:hint="eastAsia" w:ascii="仿宋" w:hAnsi="仿宋" w:eastAsia="仿宋" w:cs="仿宋"/>
          <w:color w:val="000000"/>
          <w:kern w:val="0"/>
          <w:sz w:val="24"/>
          <w:szCs w:val="24"/>
        </w:rPr>
        <w:t>。</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承包人是否应为其施工设备等办理财产保险：</w:t>
      </w:r>
      <w:r>
        <w:rPr>
          <w:rFonts w:hint="eastAsia" w:ascii="仿宋" w:hAnsi="仿宋" w:eastAsia="仿宋" w:cs="仿宋"/>
          <w:color w:val="000000"/>
          <w:sz w:val="24"/>
          <w:szCs w:val="24"/>
          <w:u w:val="single"/>
        </w:rPr>
        <w:t xml:space="preserve"> 是 </w:t>
      </w:r>
    </w:p>
    <w:p>
      <w:pPr>
        <w:keepNext w:val="0"/>
        <w:keepLines w:val="0"/>
        <w:pageBreakBefore w:val="0"/>
        <w:widowControl w:val="0"/>
        <w:kinsoku/>
        <w:wordWrap/>
        <w:overflowPunct/>
        <w:topLinePunct w:val="0"/>
        <w:bidi w:val="0"/>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18.5保险凭证</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u w:val="single"/>
        </w:rPr>
        <w:t>还应执行：①承包人应在开工后一个月内向发包人提交各项保险生效的证据和保险单副本。</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保险金不足以补偿损失的，由发包人和承包人协议解决。</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②保险的延期：</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若因非承包人原因（除不可抗力）出现工程尚未完工但保险已过期的情况，承包人应主动续保，涉及费用由发包人及承包人双方协商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若因不可抗力原因出现工程尚未完工但保险已过期的情况，承包人应主动续保，涉及费用由发包人和承包人双方协商予以支付。若承包人不主动续保，因保险过期各类损失无法得到保险赔偿，由此造成损失由承包人自行承担。</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18.7 通知义务</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kern w:val="0"/>
          <w:sz w:val="24"/>
          <w:szCs w:val="24"/>
        </w:rPr>
        <w:t>关于变更保险合同时的通知义务的约定：</w:t>
      </w:r>
      <w:r>
        <w:rPr>
          <w:rFonts w:hint="eastAsia" w:ascii="仿宋" w:hAnsi="仿宋" w:eastAsia="仿宋" w:cs="仿宋"/>
          <w:color w:val="000000"/>
          <w:sz w:val="24"/>
          <w:szCs w:val="24"/>
          <w:u w:val="single"/>
        </w:rPr>
        <w:t xml:space="preserve">  /   </w:t>
      </w:r>
    </w:p>
    <w:p>
      <w:pPr>
        <w:keepNext w:val="0"/>
        <w:keepLines w:val="0"/>
        <w:pageBreakBefore w:val="0"/>
        <w:widowControl w:val="0"/>
        <w:kinsoku/>
        <w:wordWrap/>
        <w:overflowPunct/>
        <w:topLinePunct w:val="0"/>
        <w:bidi w:val="0"/>
        <w:snapToGrid/>
        <w:spacing w:line="360" w:lineRule="auto"/>
        <w:ind w:left="0" w:leftChars="0" w:right="0" w:rightChars="0" w:firstLine="482" w:firstLineChars="200"/>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20. 争议解决</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 争</w:t>
      </w:r>
      <w:bookmarkEnd w:id="625"/>
      <w:r>
        <w:rPr>
          <w:rFonts w:hint="eastAsia" w:ascii="仿宋" w:hAnsi="仿宋" w:eastAsia="仿宋" w:cs="仿宋"/>
          <w:color w:val="000000"/>
          <w:sz w:val="24"/>
          <w:szCs w:val="24"/>
        </w:rPr>
        <w:t>议评审</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合同当事人是否同意将工程争议提交争议评审小组决定：</w:t>
      </w:r>
      <w:r>
        <w:rPr>
          <w:rFonts w:hint="eastAsia" w:ascii="仿宋" w:hAnsi="仿宋" w:eastAsia="仿宋" w:cs="仿宋"/>
          <w:color w:val="000000"/>
          <w:sz w:val="24"/>
          <w:szCs w:val="24"/>
          <w:u w:val="single"/>
        </w:rPr>
        <w:t xml:space="preserve">  同意  </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20.3.1 争议评审小组的确定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争议评审小组成员的确定：</w:t>
      </w:r>
      <w:r>
        <w:rPr>
          <w:rFonts w:hint="eastAsia" w:ascii="仿宋" w:hAnsi="仿宋" w:eastAsia="仿宋" w:cs="仿宋"/>
          <w:color w:val="000000"/>
          <w:sz w:val="24"/>
          <w:szCs w:val="24"/>
          <w:u w:val="single"/>
        </w:rPr>
        <w:t>3名合同当事人各自选1名，第3名成员为首席争议评审员，由合同当事人共同确定或由合同当事人委托已选定的争议评审员共同确定</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选定争议评审员的期限：</w:t>
      </w:r>
      <w:r>
        <w:rPr>
          <w:rFonts w:hint="eastAsia" w:ascii="仿宋" w:hAnsi="仿宋" w:eastAsia="仿宋" w:cs="仿宋"/>
          <w:color w:val="000000"/>
          <w:sz w:val="24"/>
          <w:szCs w:val="24"/>
          <w:u w:val="single"/>
        </w:rPr>
        <w:t>争议发生后7天内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争议评审小组成员的报酬承担方式：</w:t>
      </w:r>
      <w:r>
        <w:rPr>
          <w:rFonts w:hint="eastAsia" w:ascii="仿宋" w:hAnsi="仿宋" w:eastAsia="仿宋" w:cs="仿宋"/>
          <w:color w:val="000000"/>
          <w:sz w:val="24"/>
          <w:szCs w:val="24"/>
          <w:u w:val="single"/>
        </w:rPr>
        <w:t>发、承包双方各承担一半</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其他事项的约定：</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20.3.2 争议评审小组的决定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合同当事人关于本项的约定：。</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20.4仲裁或诉讼</w:t>
      </w:r>
      <w:bookmarkEnd w:id="626"/>
    </w:p>
    <w:p>
      <w:pPr>
        <w:keepNext w:val="0"/>
        <w:keepLines w:val="0"/>
        <w:pageBreakBefore w:val="0"/>
        <w:widowControl w:val="0"/>
        <w:kinsoku/>
        <w:wordWrap/>
        <w:overflowPunct/>
        <w:topLinePunct w:val="0"/>
        <w:bidi w:val="0"/>
        <w:snapToGrid/>
        <w:spacing w:line="360" w:lineRule="auto"/>
        <w:ind w:left="0" w:leftChars="0"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因合同及合同有关事项发生的争议，按下列第</w:t>
      </w:r>
      <w:r>
        <w:rPr>
          <w:rFonts w:hint="eastAsia" w:ascii="仿宋" w:hAnsi="仿宋" w:eastAsia="仿宋" w:cs="仿宋"/>
          <w:color w:val="000000"/>
          <w:sz w:val="24"/>
          <w:szCs w:val="24"/>
          <w:u w:val="single"/>
        </w:rPr>
        <w:t>（2）</w:t>
      </w:r>
      <w:r>
        <w:rPr>
          <w:rFonts w:hint="eastAsia" w:ascii="仿宋" w:hAnsi="仿宋" w:eastAsia="仿宋" w:cs="仿宋"/>
          <w:color w:val="000000"/>
          <w:sz w:val="24"/>
          <w:szCs w:val="24"/>
        </w:rPr>
        <w:t>种方式解决：</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（1）向</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仲裁委员会申请仲裁；</w:t>
      </w:r>
    </w:p>
    <w:p>
      <w:pPr>
        <w:keepNext w:val="0"/>
        <w:keepLines w:val="0"/>
        <w:pageBreakBefore w:val="0"/>
        <w:widowControl w:val="0"/>
        <w:kinsoku/>
        <w:wordWrap/>
        <w:overflowPunct/>
        <w:topLinePunct w:val="0"/>
        <w:bidi w:val="0"/>
        <w:snapToGrid/>
        <w:spacing w:line="360" w:lineRule="auto"/>
        <w:ind w:left="0" w:leftChars="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w:t>
      </w:r>
      <w:bookmarkEnd w:id="627"/>
      <w:bookmarkEnd w:id="628"/>
      <w:bookmarkEnd w:id="629"/>
      <w:bookmarkEnd w:id="630"/>
      <w:bookmarkEnd w:id="631"/>
      <w:bookmarkEnd w:id="632"/>
      <w:r>
        <w:rPr>
          <w:rFonts w:hint="eastAsia" w:ascii="仿宋" w:hAnsi="仿宋" w:eastAsia="仿宋" w:cs="仿宋"/>
          <w:color w:val="000000"/>
          <w:sz w:val="24"/>
          <w:szCs w:val="24"/>
        </w:rPr>
        <w:t>向</w:t>
      </w:r>
      <w:r>
        <w:rPr>
          <w:rFonts w:hint="eastAsia" w:ascii="仿宋" w:hAnsi="仿宋" w:eastAsia="仿宋" w:cs="仿宋"/>
          <w:color w:val="000000"/>
          <w:sz w:val="24"/>
          <w:szCs w:val="24"/>
          <w:u w:val="single"/>
        </w:rPr>
        <w:t xml:space="preserve">   克拉玛依市  </w:t>
      </w:r>
      <w:r>
        <w:rPr>
          <w:rFonts w:hint="eastAsia" w:ascii="仿宋" w:hAnsi="仿宋" w:eastAsia="仿宋" w:cs="仿宋"/>
          <w:color w:val="000000"/>
          <w:sz w:val="24"/>
          <w:szCs w:val="24"/>
        </w:rPr>
        <w:t>人民法院起诉。</w:t>
      </w: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p>
    <w:p>
      <w:pPr>
        <w:bidi w:val="0"/>
        <w:rPr>
          <w:rFonts w:hint="eastAsia"/>
        </w:rPr>
      </w:pPr>
    </w:p>
    <w:p>
      <w:pPr>
        <w:bidi w:val="0"/>
        <w:rPr>
          <w:rFonts w:hint="eastAsia"/>
        </w:rPr>
      </w:pPr>
    </w:p>
    <w:p>
      <w:pPr>
        <w:bidi w:val="0"/>
        <w:rPr>
          <w:rFonts w:hint="eastAsia"/>
        </w:rPr>
      </w:pPr>
    </w:p>
    <w:p>
      <w:pPr>
        <w:bidi w:val="0"/>
        <w:rPr>
          <w:rFonts w:hint="eastAsia"/>
        </w:rPr>
      </w:pPr>
    </w:p>
    <w:p>
      <w:pPr>
        <w:keepNext w:val="0"/>
        <w:keepLines w:val="0"/>
        <w:pageBreakBefore w:val="0"/>
        <w:widowControl w:val="0"/>
        <w:wordWrap/>
        <w:topLinePunct w:val="0"/>
        <w:bidi w:val="0"/>
        <w:spacing w:line="360" w:lineRule="auto"/>
        <w:ind w:firstLine="482" w:firstLineChars="200"/>
        <w:jc w:val="center"/>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工程质量保修书</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发包人（全称）：</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u w:val="single"/>
        </w:rPr>
      </w:pPr>
      <w:r>
        <w:rPr>
          <w:rFonts w:hint="eastAsia" w:ascii="仿宋" w:hAnsi="仿宋" w:eastAsia="仿宋" w:cs="仿宋"/>
          <w:color w:val="000000"/>
          <w:sz w:val="24"/>
          <w:szCs w:val="24"/>
        </w:rPr>
        <w:t>承包人（全称）：</w:t>
      </w:r>
      <w:r>
        <w:rPr>
          <w:rFonts w:hint="eastAsia" w:ascii="仿宋" w:hAnsi="仿宋"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1" w:leftChars="10" w:right="0" w:rightChars="0" w:firstLine="480"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发包人和承包人根据《中华人民共和国建筑法》、《建设工程质量管理条例》，经协商一致</w:t>
      </w:r>
      <w:r>
        <w:rPr>
          <w:rFonts w:hint="eastAsia" w:ascii="仿宋" w:hAnsi="仿宋" w:eastAsia="仿宋" w:cs="仿宋"/>
          <w:color w:val="000000"/>
          <w:sz w:val="24"/>
          <w:szCs w:val="24"/>
          <w:u w:val="single"/>
        </w:rPr>
        <w:t xml:space="preserve">就                          </w:t>
      </w:r>
      <w:r>
        <w:rPr>
          <w:rFonts w:hint="eastAsia" w:ascii="仿宋" w:hAnsi="仿宋" w:eastAsia="仿宋" w:cs="仿宋"/>
          <w:color w:val="000000"/>
          <w:sz w:val="24"/>
          <w:szCs w:val="24"/>
        </w:rPr>
        <w:t>（工程全称）签订工程质量保修书。</w:t>
      </w:r>
    </w:p>
    <w:p>
      <w:pPr>
        <w:keepNext w:val="0"/>
        <w:keepLines w:val="0"/>
        <w:pageBreakBefore w:val="0"/>
        <w:widowControl w:val="0"/>
        <w:kinsoku/>
        <w:wordWrap/>
        <w:overflowPunct/>
        <w:topLinePunct w:val="0"/>
        <w:autoSpaceDE/>
        <w:autoSpaceDN/>
        <w:bidi w:val="0"/>
        <w:adjustRightInd/>
        <w:snapToGrid/>
        <w:spacing w:line="360" w:lineRule="auto"/>
        <w:ind w:left="21" w:leftChars="10" w:right="0" w:rightChars="0" w:firstLine="482" w:firstLineChars="200"/>
        <w:jc w:val="left"/>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t>一、工程质量保修范围和内容</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质量保修范围包括地基基础工程、主体结构工程，屋面防水工程、有防水要求的卫生间、房间和外墙面的防渗漏，供热与供冷系统，电气管线、给排水管道、设备安装和装修工程等，以及双方约定的其他项目。具体质量保修的内容，双方约定如下：</w:t>
      </w:r>
      <w:r>
        <w:rPr>
          <w:rFonts w:hint="eastAsia" w:ascii="仿宋" w:hAnsi="仿宋" w:eastAsia="仿宋" w:cs="仿宋"/>
          <w:color w:val="000000"/>
          <w:sz w:val="24"/>
          <w:szCs w:val="24"/>
          <w:u w:val="single"/>
        </w:rPr>
        <w:t>由承包人承建的全部工程项目均在保修范围内</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二、</w:t>
      </w:r>
      <w:r>
        <w:rPr>
          <w:rFonts w:hint="eastAsia" w:ascii="仿宋" w:hAnsi="仿宋" w:eastAsia="仿宋" w:cs="仿宋"/>
          <w:b/>
          <w:color w:val="000000"/>
          <w:sz w:val="24"/>
          <w:szCs w:val="24"/>
        </w:rPr>
        <w:t>质量保修期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根据《建设工程质量管理条例》及有关规定，工程的质量保修期如下：</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1、地基基础工程和主体结构工程为设计文件规定的该工程合理使用年限；</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2、屋面防水工程、有防水要求的卫生间、房间和外墙面的防渗漏为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6</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3、装修工程为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4、电气管线、给排水管道、设备安装工程为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5、供热与供冷系统为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个采暖期、供冷期；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6、住宅小区内的给排水设施、道路等配套工程为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7、其他项目保修期限约定如下：</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年</w:t>
      </w:r>
      <w:r>
        <w:rPr>
          <w:rFonts w:hint="eastAsia" w:ascii="仿宋" w:hAnsi="仿宋" w:eastAsia="仿宋" w:cs="仿宋"/>
          <w:color w:val="000000"/>
          <w:sz w:val="24"/>
          <w:szCs w:val="24"/>
        </w:rPr>
        <w:t>；</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、质量保修期自工程竣工验收合格签字之日起计算。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b/>
          <w:color w:val="000000"/>
          <w:sz w:val="24"/>
          <w:szCs w:val="24"/>
        </w:rPr>
      </w:pPr>
      <w:r>
        <w:rPr>
          <w:rFonts w:hint="eastAsia" w:ascii="仿宋" w:hAnsi="仿宋" w:eastAsia="仿宋" w:cs="仿宋"/>
          <w:b/>
          <w:color w:val="000000"/>
          <w:sz w:val="24"/>
          <w:szCs w:val="24"/>
        </w:rPr>
        <w:t>三、缺陷责任期</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highlight w:val="none"/>
        </w:rPr>
        <w:t>工程缺陷责任期为</w:t>
      </w:r>
      <w:r>
        <w:rPr>
          <w:rFonts w:hint="eastAsia" w:ascii="仿宋" w:hAnsi="仿宋" w:eastAsia="仿宋" w:cs="仿宋"/>
          <w:color w:val="000000"/>
          <w:sz w:val="24"/>
          <w:szCs w:val="24"/>
          <w:highlight w:val="none"/>
          <w:u w:val="single"/>
        </w:rPr>
        <w:t xml:space="preserve"> 24 </w:t>
      </w:r>
      <w:r>
        <w:rPr>
          <w:rFonts w:hint="eastAsia" w:ascii="仿宋" w:hAnsi="仿宋" w:eastAsia="仿宋" w:cs="仿宋"/>
          <w:color w:val="000000"/>
          <w:sz w:val="24"/>
          <w:szCs w:val="24"/>
          <w:highlight w:val="none"/>
        </w:rPr>
        <w:t>个月，缺陷责任期自工程通过竣工验收之日起计算。单位工程先于全部工程进行验收，单位工程缺陷责任期自单位工程验收合格签字之日起算。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缺陷责任期终止后，发包人应退还剩余的质量保证金。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t>四、质量保修责任</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1、属于保修范围、内容的项目，承包人应当在接到保修通知之日起7天内派人保修。承包人不在约定期限内派人保修的，发包人可以委托他人修理。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2、发生紧急抢修事故的，承包人在接到事故通知</w:t>
      </w:r>
      <w:r>
        <w:rPr>
          <w:rFonts w:hint="eastAsia" w:ascii="仿宋" w:hAnsi="仿宋" w:eastAsia="仿宋" w:cs="仿宋"/>
          <w:color w:val="000000"/>
          <w:sz w:val="24"/>
          <w:szCs w:val="24"/>
          <w:u w:val="single"/>
        </w:rPr>
        <w:t>8小时内</w:t>
      </w:r>
      <w:r>
        <w:rPr>
          <w:rFonts w:hint="eastAsia" w:ascii="仿宋" w:hAnsi="仿宋" w:eastAsia="仿宋" w:cs="仿宋"/>
          <w:color w:val="000000"/>
          <w:sz w:val="24"/>
          <w:szCs w:val="24"/>
        </w:rPr>
        <w:t>到达事故现场抢修。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3、对于涉及结构安全的质量问题，应当按照《建设工程质量管理条例》的规定，立即向当地行政主管部门和有关部门报告，采取安全防范措施；并由原设计人或者具有相应资质等级有设计人提出保修方案，承包人实施保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color w:val="000000"/>
          <w:sz w:val="24"/>
          <w:szCs w:val="24"/>
        </w:rPr>
      </w:pPr>
      <w:r>
        <w:rPr>
          <w:rFonts w:hint="eastAsia" w:ascii="仿宋" w:hAnsi="仿宋" w:eastAsia="仿宋" w:cs="仿宋"/>
          <w:b/>
          <w:color w:val="000000"/>
          <w:sz w:val="24"/>
          <w:szCs w:val="24"/>
        </w:rPr>
        <w:t>五、保修费用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保修费用由造成质量缺陷的责任方承担。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textAlignment w:val="auto"/>
        <w:outlineLvl w:val="9"/>
        <w:rPr>
          <w:rFonts w:hint="eastAsia" w:ascii="仿宋" w:hAnsi="仿宋" w:eastAsia="仿宋" w:cs="仿宋"/>
          <w:b/>
          <w:color w:val="000000"/>
          <w:sz w:val="24"/>
          <w:szCs w:val="24"/>
          <w:u w:val="single"/>
        </w:rPr>
      </w:pPr>
      <w:r>
        <w:rPr>
          <w:rFonts w:hint="eastAsia" w:ascii="仿宋" w:hAnsi="仿宋" w:eastAsia="仿宋" w:cs="仿宋"/>
          <w:b/>
          <w:color w:val="000000"/>
          <w:sz w:val="24"/>
          <w:szCs w:val="24"/>
        </w:rPr>
        <w:t>六、双方约定的其他工程质量保修事项：</w:t>
      </w:r>
      <w:r>
        <w:rPr>
          <w:rFonts w:hint="eastAsia" w:ascii="仿宋" w:hAnsi="仿宋" w:eastAsia="仿宋" w:cs="仿宋"/>
          <w:b/>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工程质量保修书由发包人、承包人在工程竣工验收前共同签署，作为施工合同附件，其有效期限至保修期满。</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发包人(公章)：</w:t>
      </w:r>
      <w:r>
        <w:rPr>
          <w:rFonts w:hint="eastAsia" w:ascii="仿宋" w:hAnsi="仿宋" w:eastAsia="仿宋" w:cs="仿宋"/>
          <w:color w:val="000000"/>
          <w:sz w:val="24"/>
          <w:szCs w:val="24"/>
          <w:u w:val="single"/>
        </w:rPr>
        <w:t xml:space="preserve">        </w:t>
      </w:r>
      <w:r>
        <w:rPr>
          <w:rFonts w:hint="eastAsia" w:ascii="仿宋" w:hAnsi="仿宋" w:eastAsia="仿宋" w:cs="仿宋"/>
          <w:color w:val="000000"/>
          <w:sz w:val="24"/>
          <w:szCs w:val="24"/>
        </w:rPr>
        <w:t xml:space="preserve">        承包人(公章)：</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地  址：</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地  址：</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法定代表人(签字)：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法定代表人(签字)：</w:t>
      </w:r>
      <w:r>
        <w:rPr>
          <w:rFonts w:hint="eastAsia" w:ascii="仿宋" w:hAnsi="仿宋" w:eastAsia="仿宋" w:cs="仿宋"/>
          <w:color w:val="000000"/>
          <w:sz w:val="24"/>
          <w:szCs w:val="24"/>
          <w:u w:val="single"/>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委托代理人(签字)：</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委托代理人(签字)：</w:t>
      </w:r>
      <w:r>
        <w:rPr>
          <w:rFonts w:hint="eastAsia" w:ascii="仿宋" w:hAnsi="仿宋" w:eastAsia="仿宋" w:cs="仿宋"/>
          <w:color w:val="000000"/>
          <w:sz w:val="24"/>
          <w:szCs w:val="24"/>
          <w:u w:val="single"/>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电  话：</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电  话：</w:t>
      </w:r>
      <w:r>
        <w:rPr>
          <w:rFonts w:hint="eastAsia" w:ascii="仿宋" w:hAnsi="仿宋" w:eastAsia="仿宋" w:cs="仿宋"/>
          <w:color w:val="000000"/>
          <w:sz w:val="24"/>
          <w:szCs w:val="24"/>
          <w:u w:val="single"/>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传  真：</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传  真：</w:t>
      </w:r>
      <w:r>
        <w:rPr>
          <w:rFonts w:hint="eastAsia" w:ascii="仿宋" w:hAnsi="仿宋" w:eastAsia="仿宋" w:cs="仿宋"/>
          <w:color w:val="000000"/>
          <w:sz w:val="24"/>
          <w:szCs w:val="24"/>
          <w:u w:val="single"/>
        </w:rPr>
        <w:t xml:space="preserve">  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开户银行：</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开户银行：</w:t>
      </w:r>
      <w:r>
        <w:rPr>
          <w:rFonts w:hint="eastAsia" w:ascii="仿宋" w:hAnsi="仿宋" w:eastAsia="仿宋" w:cs="仿宋"/>
          <w:color w:val="000000"/>
          <w:sz w:val="24"/>
          <w:szCs w:val="24"/>
          <w:u w:val="single"/>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账  号：</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账  号：</w:t>
      </w:r>
      <w:r>
        <w:rPr>
          <w:rFonts w:hint="eastAsia" w:ascii="仿宋" w:hAnsi="仿宋" w:eastAsia="仿宋" w:cs="仿宋"/>
          <w:color w:val="000000"/>
          <w:sz w:val="24"/>
          <w:szCs w:val="24"/>
          <w:u w:val="single"/>
        </w:rPr>
        <w:t xml:space="preserve">     </w:t>
      </w:r>
    </w:p>
    <w:p>
      <w:pPr>
        <w:keepNext w:val="0"/>
        <w:keepLines w:val="0"/>
        <w:pageBreakBefore w:val="0"/>
        <w:widowControl w:val="0"/>
        <w:wordWrap/>
        <w:topLinePunct w:val="0"/>
        <w:bidi w:val="0"/>
        <w:spacing w:line="360" w:lineRule="auto"/>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邮政编码：</w:t>
      </w:r>
      <w:r>
        <w:rPr>
          <w:rFonts w:hint="eastAsia" w:ascii="仿宋" w:hAnsi="仿宋" w:eastAsia="仿宋" w:cs="仿宋"/>
          <w:color w:val="000000"/>
          <w:sz w:val="24"/>
          <w:szCs w:val="24"/>
          <w:u w:val="single"/>
        </w:rPr>
        <w:t xml:space="preserve">     </w:t>
      </w:r>
      <w:r>
        <w:rPr>
          <w:rFonts w:hint="eastAsia" w:ascii="仿宋" w:hAnsi="仿宋" w:eastAsia="仿宋" w:cs="仿宋"/>
          <w:color w:val="000000"/>
          <w:sz w:val="24"/>
          <w:szCs w:val="24"/>
        </w:rPr>
        <w:t xml:space="preserve">          邮政编码：</w:t>
      </w:r>
      <w:r>
        <w:rPr>
          <w:rFonts w:hint="eastAsia" w:ascii="仿宋" w:hAnsi="仿宋" w:eastAsia="仿宋" w:cs="仿宋"/>
          <w:color w:val="000000"/>
          <w:sz w:val="24"/>
          <w:szCs w:val="24"/>
          <w:u w:val="single"/>
        </w:rPr>
        <w:t xml:space="preserve">   </w:t>
      </w:r>
    </w:p>
    <w:p>
      <w:pPr>
        <w:pStyle w:val="3"/>
        <w:spacing w:before="0" w:after="0" w:line="360" w:lineRule="auto"/>
        <w:jc w:val="center"/>
        <w:rPr>
          <w:rFonts w:hint="eastAsia" w:ascii="宋体" w:hAnsi="宋体" w:eastAsia="宋体" w:cs="宋体"/>
          <w:bCs w:val="0"/>
          <w:color w:val="000000"/>
          <w:sz w:val="28"/>
          <w:szCs w:val="28"/>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 w:hAnsi="仿宋" w:eastAsia="仿宋" w:cs="仿宋"/>
          <w:b/>
          <w:color w:val="000000"/>
          <w:sz w:val="28"/>
          <w:szCs w:val="28"/>
          <w:highlight w:val="none"/>
        </w:rPr>
      </w:pPr>
    </w:p>
    <w:p>
      <w:pPr>
        <w:spacing w:line="440" w:lineRule="exact"/>
        <w:jc w:val="center"/>
        <w:rPr>
          <w:rFonts w:hint="eastAsia" w:ascii="仿宋_GB2312" w:eastAsia="仿宋_GB2312"/>
          <w:b/>
          <w:color w:val="000000"/>
          <w:sz w:val="28"/>
          <w:szCs w:val="28"/>
          <w:highlight w:val="none"/>
        </w:rPr>
      </w:pPr>
    </w:p>
    <w:p>
      <w:pPr>
        <w:spacing w:line="440" w:lineRule="exact"/>
        <w:jc w:val="both"/>
        <w:rPr>
          <w:rFonts w:hint="eastAsia" w:ascii="仿宋_GB2312" w:eastAsia="仿宋_GB2312"/>
          <w:b/>
          <w:color w:val="000000"/>
          <w:sz w:val="28"/>
          <w:szCs w:val="28"/>
          <w:highlight w:val="none"/>
        </w:rPr>
      </w:pPr>
    </w:p>
    <w:p>
      <w:pPr>
        <w:pStyle w:val="5"/>
        <w:spacing w:line="360" w:lineRule="auto"/>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p>
    <w:p>
      <w:pPr>
        <w:pStyle w:val="5"/>
        <w:spacing w:line="360" w:lineRule="auto"/>
        <w:ind w:firstLine="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w:t>
      </w:r>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14:textFill>
            <w14:solidFill>
              <w14:schemeClr w14:val="tx1"/>
            </w14:solidFill>
          </w14:textFill>
        </w:rPr>
        <w:t>章  投标文件格式</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格式1   法定代表人资格证明书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格式2   法定代表人授权委托书</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格式3   投标人资格声明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中小企业声明函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5   项目负责人简历表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6   主要施工管理人员表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7   拟投入本工程的主要机械、设备及检测仪器表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8   项目拟分包情况表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9   资格性/符合性自查表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10   投标函</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 xml:space="preserve">11   </w:t>
      </w:r>
      <w:r>
        <w:rPr>
          <w:rFonts w:hint="eastAsia" w:ascii="宋体" w:hAnsi="宋体" w:cs="宋体"/>
          <w:bCs/>
          <w:color w:val="000000" w:themeColor="text1"/>
          <w:sz w:val="24"/>
          <w:highlight w:val="none"/>
          <w:lang w:eastAsia="zh-CN"/>
          <w14:textFill>
            <w14:solidFill>
              <w14:schemeClr w14:val="tx1"/>
            </w14:solidFill>
          </w14:textFill>
        </w:rPr>
        <w:t>投标总价封面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12</w:t>
      </w:r>
      <w:r>
        <w:rPr>
          <w:rFonts w:hint="eastAsia" w:ascii="宋体" w:hAnsi="宋体" w:cs="宋体"/>
          <w:bCs/>
          <w:color w:val="000000" w:themeColor="text1"/>
          <w:sz w:val="24"/>
          <w:highlight w:val="none"/>
          <w:lang w:eastAsia="zh-CN"/>
          <w14:textFill>
            <w14:solidFill>
              <w14:schemeClr w14:val="tx1"/>
            </w14:solidFill>
          </w14:textFill>
        </w:rPr>
        <w:t xml:space="preserve">   投标总价</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-1 安全文明施工费明细表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 xml:space="preserve">   投标总价总说明</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建设项目投标报价汇总表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 xml:space="preserve">   单项工程投标报价汇总表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 xml:space="preserve">   单位工程投标报价汇总表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 xml:space="preserve">   分部分项工程和单价措施项目清单与计价表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eastAsia="宋体" w:cs="宋体"/>
          <w:bCs/>
          <w:color w:val="000000" w:themeColor="text1"/>
          <w:sz w:val="24"/>
          <w:highlight w:val="none"/>
          <w14:textFill>
            <w14:solidFill>
              <w14:schemeClr w14:val="tx1"/>
            </w14:solidFill>
          </w14:textFill>
        </w:rPr>
        <w:t xml:space="preserve">   综合单价分析表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 xml:space="preserve">   总价措施项目清单与计价表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9</w:t>
      </w:r>
      <w:r>
        <w:rPr>
          <w:rFonts w:hint="eastAsia" w:ascii="宋体" w:hAnsi="宋体" w:eastAsia="宋体" w:cs="宋体"/>
          <w:bCs/>
          <w:color w:val="000000" w:themeColor="text1"/>
          <w:sz w:val="24"/>
          <w:highlight w:val="none"/>
          <w14:textFill>
            <w14:solidFill>
              <w14:schemeClr w14:val="tx1"/>
            </w14:solidFill>
          </w14:textFill>
        </w:rPr>
        <w:t>-1 措施项目汇总表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eastAsia="宋体" w:cs="宋体"/>
          <w:bCs/>
          <w:color w:val="000000" w:themeColor="text1"/>
          <w:sz w:val="24"/>
          <w:highlight w:val="none"/>
          <w14:textFill>
            <w14:solidFill>
              <w14:schemeClr w14:val="tx1"/>
            </w14:solidFill>
          </w14:textFill>
        </w:rPr>
        <w:t xml:space="preserve">   其他项目清单与计价汇总表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21</w:t>
      </w:r>
      <w:r>
        <w:rPr>
          <w:rFonts w:hint="eastAsia" w:ascii="宋体" w:hAnsi="宋体" w:eastAsia="宋体" w:cs="宋体"/>
          <w:bCs/>
          <w:color w:val="000000" w:themeColor="text1"/>
          <w:sz w:val="24"/>
          <w:highlight w:val="none"/>
          <w14:textFill>
            <w14:solidFill>
              <w14:schemeClr w14:val="tx1"/>
            </w14:solidFill>
          </w14:textFill>
        </w:rPr>
        <w:t xml:space="preserve">   暂列金额明细表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 xml:space="preserve">   材料（工程设备）暂估单价及调整表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eastAsia="宋体" w:cs="宋体"/>
          <w:bCs/>
          <w:color w:val="000000" w:themeColor="text1"/>
          <w:sz w:val="24"/>
          <w:highlight w:val="none"/>
          <w14:textFill>
            <w14:solidFill>
              <w14:schemeClr w14:val="tx1"/>
            </w14:solidFill>
          </w14:textFill>
        </w:rPr>
        <w:t xml:space="preserve">   专业工程暂估表及结算表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 xml:space="preserve">   计日工表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eastAsia="宋体" w:cs="宋体"/>
          <w:bCs/>
          <w:color w:val="000000" w:themeColor="text1"/>
          <w:sz w:val="24"/>
          <w:highlight w:val="none"/>
          <w14:textFill>
            <w14:solidFill>
              <w14:schemeClr w14:val="tx1"/>
            </w14:solidFill>
          </w14:textFill>
        </w:rPr>
        <w:t xml:space="preserve">   总承包服务费计价表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lang w:val="en-US" w:eastAsia="zh-CN"/>
          <w14:textFill>
            <w14:solidFill>
              <w14:schemeClr w14:val="tx1"/>
            </w14:solidFill>
          </w14:textFill>
        </w:rPr>
        <w:t>6</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规费、税金项目计价表（</w:t>
      </w:r>
      <w:r>
        <w:rPr>
          <w:rFonts w:hint="eastAsia" w:ascii="宋体" w:hAnsi="宋体" w:eastAsia="宋体" w:cs="宋体"/>
          <w:bCs/>
          <w:color w:val="000000" w:themeColor="text1"/>
          <w:sz w:val="24"/>
          <w:highlight w:val="none"/>
          <w:lang w:eastAsia="zh-CN"/>
          <w14:textFill>
            <w14:solidFill>
              <w14:schemeClr w14:val="tx1"/>
            </w14:solidFill>
          </w14:textFill>
        </w:rPr>
        <w:t>建筑工程</w:t>
      </w:r>
      <w:r>
        <w:rPr>
          <w:rFonts w:hint="eastAsia" w:ascii="宋体" w:hAnsi="宋体" w:eastAsia="宋体" w:cs="宋体"/>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eastAsia="宋体" w:cs="宋体"/>
          <w:bCs/>
          <w:color w:val="000000" w:themeColor="text1"/>
          <w:sz w:val="24"/>
          <w:highlight w:val="none"/>
          <w14:textFill>
            <w14:solidFill>
              <w14:schemeClr w14:val="tx1"/>
            </w14:solidFill>
          </w14:textFill>
        </w:rPr>
        <w:t>2</w:t>
      </w:r>
      <w:r>
        <w:rPr>
          <w:rFonts w:hint="eastAsia" w:ascii="宋体" w:hAnsi="宋体" w:eastAsia="宋体" w:cs="宋体"/>
          <w:bCs/>
          <w:color w:val="000000" w:themeColor="text1"/>
          <w:sz w:val="24"/>
          <w:highlight w:val="none"/>
          <w:lang w:val="en-US" w:eastAsia="zh-CN"/>
          <w14:textFill>
            <w14:solidFill>
              <w14:schemeClr w14:val="tx1"/>
            </w14:solidFill>
          </w14:textFill>
        </w:rPr>
        <w:t>7</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规费、税金项目计价表（</w:t>
      </w:r>
      <w:r>
        <w:rPr>
          <w:rFonts w:hint="eastAsia" w:ascii="宋体" w:hAnsi="宋体" w:cs="宋体"/>
          <w:bCs/>
          <w:color w:val="000000" w:themeColor="text1"/>
          <w:sz w:val="24"/>
          <w:highlight w:val="none"/>
          <w:lang w:eastAsia="zh-CN"/>
          <w14:textFill>
            <w14:solidFill>
              <w14:schemeClr w14:val="tx1"/>
            </w14:solidFill>
          </w14:textFill>
        </w:rPr>
        <w:t>装饰装修</w:t>
      </w:r>
      <w:r>
        <w:rPr>
          <w:rFonts w:hint="eastAsia" w:ascii="宋体" w:hAnsi="宋体" w:eastAsia="宋体" w:cs="宋体"/>
          <w:bCs/>
          <w:color w:val="000000" w:themeColor="text1"/>
          <w:sz w:val="24"/>
          <w:highlight w:val="none"/>
          <w:lang w:eastAsia="zh-CN"/>
          <w14:textFill>
            <w14:solidFill>
              <w14:schemeClr w14:val="tx1"/>
            </w14:solidFill>
          </w14:textFill>
        </w:rPr>
        <w:t>工程</w:t>
      </w:r>
      <w:r>
        <w:rPr>
          <w:rFonts w:hint="eastAsia" w:ascii="宋体" w:hAnsi="宋体" w:eastAsia="宋体" w:cs="宋体"/>
          <w:bCs/>
          <w:color w:val="000000" w:themeColor="text1"/>
          <w:sz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28</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主</w:t>
      </w:r>
      <w:r>
        <w:rPr>
          <w:rFonts w:hint="eastAsia" w:ascii="宋体" w:hAnsi="宋体" w:eastAsia="宋体" w:cs="宋体"/>
          <w:bCs/>
          <w:color w:val="000000" w:themeColor="text1"/>
          <w:sz w:val="24"/>
          <w:highlight w:val="none"/>
          <w14:textFill>
            <w14:solidFill>
              <w14:schemeClr w14:val="tx1"/>
            </w14:solidFill>
          </w14:textFill>
        </w:rPr>
        <w:t>要材料、设备价格表（</w:t>
      </w:r>
      <w:r>
        <w:rPr>
          <w:rFonts w:hint="eastAsia" w:ascii="宋体" w:hAnsi="宋体" w:eastAsia="宋体" w:cs="宋体"/>
          <w:bCs/>
          <w:color w:val="000000" w:themeColor="text1"/>
          <w:sz w:val="24"/>
          <w:highlight w:val="none"/>
          <w:lang w:eastAsia="zh-CN"/>
          <w14:textFill>
            <w14:solidFill>
              <w14:schemeClr w14:val="tx1"/>
            </w14:solidFill>
          </w14:textFill>
        </w:rPr>
        <w:t>采购人</w:t>
      </w:r>
      <w:r>
        <w:rPr>
          <w:rFonts w:hint="eastAsia" w:ascii="宋体" w:hAnsi="宋体" w:eastAsia="宋体" w:cs="宋体"/>
          <w:bCs/>
          <w:color w:val="000000" w:themeColor="text1"/>
          <w:sz w:val="24"/>
          <w:highlight w:val="none"/>
          <w14:textFill>
            <w14:solidFill>
              <w14:schemeClr w14:val="tx1"/>
            </w14:solidFill>
          </w14:textFill>
        </w:rPr>
        <w:t>提供）</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29</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商务条款偏离表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格式</w:t>
      </w:r>
      <w:r>
        <w:rPr>
          <w:rFonts w:hint="eastAsia" w:ascii="宋体" w:hAnsi="宋体" w:cs="宋体"/>
          <w:bCs/>
          <w:color w:val="000000" w:themeColor="text1"/>
          <w:sz w:val="24"/>
          <w:highlight w:val="none"/>
          <w:lang w:val="en-US" w:eastAsia="zh-CN"/>
          <w14:textFill>
            <w14:solidFill>
              <w14:schemeClr w14:val="tx1"/>
            </w14:solidFill>
          </w14:textFill>
        </w:rPr>
        <w:t>30</w:t>
      </w: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lang w:val="en-US" w:eastAsia="zh-CN"/>
          <w14:textFill>
            <w14:solidFill>
              <w14:schemeClr w14:val="tx1"/>
            </w14:solidFill>
          </w14:textFill>
        </w:rPr>
        <w:t>技术条款偏离表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w:t>
      </w:r>
      <w:r>
        <w:rPr>
          <w:rFonts w:hint="eastAsia" w:ascii="宋体" w:hAnsi="宋体" w:eastAsia="宋体" w:cs="宋体"/>
          <w:bCs/>
          <w:color w:val="000000" w:themeColor="text1"/>
          <w:sz w:val="24"/>
          <w:highlight w:val="none"/>
          <w:lang w:val="en-US" w:eastAsia="zh-CN"/>
          <w14:textFill>
            <w14:solidFill>
              <w14:schemeClr w14:val="tx1"/>
            </w14:solidFill>
          </w14:textFill>
        </w:rPr>
        <w:t xml:space="preserve">  </w:t>
      </w:r>
    </w:p>
    <w:p>
      <w:pPr>
        <w:spacing w:line="360" w:lineRule="auto"/>
        <w:ind w:firstLine="723" w:firstLineChars="200"/>
        <w:jc w:val="center"/>
        <w:rPr>
          <w:rFonts w:hint="eastAsia" w:ascii="宋体" w:hAnsi="宋体" w:cs="宋体"/>
          <w:b/>
          <w:color w:val="000000" w:themeColor="text1"/>
          <w:sz w:val="36"/>
          <w:szCs w:val="36"/>
          <w:highlight w:val="none"/>
          <w:lang w:eastAsia="zh-CN"/>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highlight w:val="none"/>
          <w:lang w:eastAsia="zh-CN"/>
          <w14:textFill>
            <w14:solidFill>
              <w14:schemeClr w14:val="tx1"/>
            </w14:solidFill>
          </w14:textFill>
        </w:rPr>
      </w:pPr>
    </w:p>
    <w:p>
      <w:pPr>
        <w:spacing w:line="360" w:lineRule="auto"/>
        <w:ind w:firstLine="723" w:firstLineChars="200"/>
        <w:jc w:val="center"/>
        <w:rPr>
          <w:rFonts w:hint="eastAsia" w:ascii="宋体" w:hAnsi="宋体" w:cs="宋体"/>
          <w:b/>
          <w:color w:val="000000" w:themeColor="text1"/>
          <w:sz w:val="36"/>
          <w:szCs w:val="36"/>
          <w:highlight w:val="none"/>
          <w:lang w:eastAsia="zh-CN"/>
          <w14:textFill>
            <w14:solidFill>
              <w14:schemeClr w14:val="tx1"/>
            </w14:solidFill>
          </w14:textFill>
        </w:rPr>
      </w:pPr>
    </w:p>
    <w:p>
      <w:pPr>
        <w:spacing w:line="360" w:lineRule="auto"/>
        <w:ind w:firstLine="723" w:firstLineChars="200"/>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cs="宋体"/>
          <w:b/>
          <w:color w:val="000000" w:themeColor="text1"/>
          <w:sz w:val="36"/>
          <w:szCs w:val="36"/>
          <w:highlight w:val="none"/>
          <w:lang w:eastAsia="zh-CN"/>
          <w14:textFill>
            <w14:solidFill>
              <w14:schemeClr w14:val="tx1"/>
            </w14:solidFill>
          </w14:textFill>
        </w:rPr>
        <w:t>某支队蔬菜大棚建设项目</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pStyle w:val="6"/>
        <w:rPr>
          <w:rFonts w:ascii="宋体" w:hAnsi="宋体" w:cs="宋体"/>
          <w:b/>
          <w:color w:val="000000" w:themeColor="text1"/>
          <w:sz w:val="24"/>
          <w:highlight w:val="none"/>
          <w14:textFill>
            <w14:solidFill>
              <w14:schemeClr w14:val="tx1"/>
            </w14:solidFill>
          </w14:textFill>
        </w:rPr>
      </w:pPr>
    </w:p>
    <w:p/>
    <w:p>
      <w:pPr>
        <w:spacing w:line="360" w:lineRule="auto"/>
        <w:ind w:firstLine="723" w:firstLineChars="200"/>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投  标  文  件</w:t>
      </w:r>
    </w:p>
    <w:p>
      <w:pPr>
        <w:spacing w:line="360" w:lineRule="auto"/>
        <w:ind w:firstLine="482" w:firstLineChars="200"/>
        <w:jc w:val="center"/>
        <w:rPr>
          <w:rFonts w:hint="default" w:ascii="宋体" w:hAnsi="宋体" w:cs="宋体"/>
          <w:b/>
          <w:color w:val="000000" w:themeColor="text1"/>
          <w:sz w:val="24"/>
          <w:szCs w:val="24"/>
          <w:highlight w:val="none"/>
          <w:lang w:val="en-US" w:eastAsia="zh-CN"/>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招标文件编号：</w:t>
      </w:r>
      <w:r>
        <w:rPr>
          <w:rFonts w:hint="eastAsia" w:ascii="宋体" w:hAnsi="宋体" w:cs="宋体"/>
          <w:b/>
          <w:color w:val="000000" w:themeColor="text1"/>
          <w:sz w:val="24"/>
          <w:szCs w:val="24"/>
          <w:highlight w:val="none"/>
          <w:lang w:val="en-US" w:eastAsia="zh-CN"/>
          <w14:textFill>
            <w14:solidFill>
              <w14:schemeClr w14:val="tx1"/>
            </w14:solidFill>
          </w14:textFill>
        </w:rPr>
        <w:t>MZDDPJS2021-01</w:t>
      </w:r>
    </w:p>
    <w:p>
      <w:pPr>
        <w:pStyle w:val="6"/>
        <w:spacing w:line="360" w:lineRule="auto"/>
        <w:ind w:firstLine="602" w:firstLineChars="200"/>
        <w:jc w:val="center"/>
        <w:rPr>
          <w:rFonts w:ascii="宋体" w:hAnsi="宋体" w:cs="宋体"/>
          <w:bCs w:val="0"/>
          <w:color w:val="000000" w:themeColor="text1"/>
          <w:sz w:val="30"/>
          <w:szCs w:val="30"/>
          <w:highlight w:val="none"/>
          <w14:textFill>
            <w14:solidFill>
              <w14:schemeClr w14:val="tx1"/>
            </w14:solidFill>
          </w14:textFill>
        </w:rPr>
      </w:pPr>
      <w:r>
        <w:rPr>
          <w:rFonts w:hint="eastAsia" w:ascii="宋体" w:hAnsi="宋体" w:cs="宋体"/>
          <w:bCs w:val="0"/>
          <w:color w:val="000000" w:themeColor="text1"/>
          <w:sz w:val="30"/>
          <w:szCs w:val="30"/>
          <w:highlight w:val="none"/>
          <w14:textFill>
            <w14:solidFill>
              <w14:schemeClr w14:val="tx1"/>
            </w14:solidFill>
          </w14:textFill>
        </w:rPr>
        <w:t>资格证明文件/商务文件/技术文件</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 （单位名称）盖章</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单位地址：</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p>
    <w:p>
      <w:pPr>
        <w:pStyle w:val="33"/>
        <w:spacing w:line="360" w:lineRule="auto"/>
        <w:ind w:firstLine="482" w:firstLineChars="200"/>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联系人：                   联系电话：</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bCs w:val="0"/>
          <w:color w:val="000000" w:themeColor="text1"/>
          <w:sz w:val="24"/>
          <w:szCs w:val="24"/>
          <w:highlight w:val="none"/>
          <w14:textFill>
            <w14:solidFill>
              <w14:schemeClr w14:val="tx1"/>
            </w14:solidFill>
          </w14:textFill>
        </w:rPr>
        <w:t>格式1  法定代表人资格证明书</w:t>
      </w:r>
    </w:p>
    <w:p>
      <w:pPr>
        <w:tabs>
          <w:tab w:val="left" w:pos="360"/>
          <w:tab w:val="left" w:pos="1800"/>
        </w:tabs>
        <w:spacing w:line="360" w:lineRule="auto"/>
        <w:ind w:left="54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单位名称：</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p>
      <w:pPr>
        <w:tabs>
          <w:tab w:val="left" w:pos="360"/>
          <w:tab w:val="left" w:pos="720"/>
          <w:tab w:val="left" w:pos="90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姓名：        性别：       年龄：         职务： </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单位）的法定代表人。为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的项目，签署上述项目的投标文件、进行合同谈判、签署合同和处理与之有关的一切事务。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left="45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6"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法定代表人身份证复印件或扫描件（正、反两面）</w:t>
            </w:r>
          </w:p>
        </w:tc>
      </w:tr>
    </w:tbl>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注：法定代表人身份证复印件或扫描件应反映出证件有效期等所载内容。</w:t>
      </w:r>
    </w:p>
    <w:p>
      <w:pPr>
        <w:tabs>
          <w:tab w:val="left" w:pos="360"/>
          <w:tab w:val="left" w:pos="1800"/>
        </w:tabs>
        <w:spacing w:line="360" w:lineRule="auto"/>
        <w:ind w:left="1980"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格式2  法定代表人授权书</w:t>
      </w:r>
    </w:p>
    <w:p>
      <w:pPr>
        <w:tabs>
          <w:tab w:val="left" w:pos="360"/>
          <w:tab w:val="left" w:pos="1800"/>
        </w:tabs>
        <w:spacing w:line="360" w:lineRule="auto"/>
        <w:ind w:firstLine="482" w:firstLineChars="200"/>
        <w:jc w:val="center"/>
        <w:rPr>
          <w:rFonts w:ascii="宋体" w:hAnsi="宋体" w:cs="宋体"/>
          <w:b/>
          <w:bCs/>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本授权委托书声明：我（姓名）系（投标人名称）的法定代表人，现授权委托（单位名称）的（姓名），其身份证号为，为我公司代理人，以本公司的名义参加</w:t>
      </w:r>
      <w:r>
        <w:rPr>
          <w:rFonts w:hint="eastAsia" w:ascii="宋体" w:hAnsi="宋体" w:cs="宋体"/>
          <w:color w:val="000000" w:themeColor="text1"/>
          <w:sz w:val="24"/>
          <w:highlight w:val="none"/>
          <w:u w:val="single"/>
          <w14:textFill>
            <w14:solidFill>
              <w14:schemeClr w14:val="tx1"/>
            </w14:solidFill>
          </w14:textFill>
        </w:rPr>
        <w:t>（采购人）（招标项目名称）</w:t>
      </w:r>
      <w:r>
        <w:rPr>
          <w:rFonts w:hint="eastAsia" w:ascii="宋体" w:hAnsi="宋体" w:cs="宋体"/>
          <w:color w:val="000000" w:themeColor="text1"/>
          <w:sz w:val="24"/>
          <w:highlight w:val="none"/>
          <w14:textFill>
            <w14:solidFill>
              <w14:schemeClr w14:val="tx1"/>
            </w14:solidFill>
          </w14:textFill>
        </w:rPr>
        <w:t>项目的投标活动。</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代理人在开标、评标、合同谈判过程中所签署的一切文件和处理与之有关的一切事务，我均予以承认。</w:t>
      </w:r>
    </w:p>
    <w:p>
      <w:pPr>
        <w:tabs>
          <w:tab w:val="left" w:pos="360"/>
          <w:tab w:val="left" w:pos="1800"/>
        </w:tabs>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本授权委托书期限自</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日起至</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日止。</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委托代理人无转委权。特此委托。</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            性别：           年龄：</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              部门：           职务：</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委托代理人：（签字或盖章）</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      年     月     日</w:t>
      </w:r>
    </w:p>
    <w:p>
      <w:pPr>
        <w:tabs>
          <w:tab w:val="left" w:pos="360"/>
          <w:tab w:val="left" w:pos="1800"/>
        </w:tabs>
        <w:spacing w:line="360" w:lineRule="auto"/>
        <w:ind w:firstLine="480" w:firstLineChars="200"/>
        <w:rPr>
          <w:rFonts w:ascii="宋体" w:hAnsi="宋体" w:cs="宋体"/>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9" w:hRule="atLeast"/>
          <w:jc w:val="center"/>
        </w:trPr>
        <w:tc>
          <w:tcPr>
            <w:tcW w:w="6952" w:type="dxa"/>
            <w:noWrap/>
          </w:tcPr>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p>
            <w:pPr>
              <w:tabs>
                <w:tab w:val="left" w:pos="360"/>
                <w:tab w:val="left" w:pos="1800"/>
              </w:tabs>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委托代理人身份证复印件或扫描件（正、反两面）</w:t>
            </w:r>
          </w:p>
        </w:tc>
      </w:tr>
    </w:tbl>
    <w:p>
      <w:pPr>
        <w:tabs>
          <w:tab w:val="left" w:pos="360"/>
          <w:tab w:val="left" w:pos="1800"/>
        </w:tabs>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注：委托代理人身份证复印件或扫描件应反映出证件有效期等所载内容，</w:t>
      </w:r>
      <w:r>
        <w:rPr>
          <w:rFonts w:hint="eastAsia" w:ascii="宋体" w:hAnsi="宋体" w:cs="宋体"/>
          <w:b/>
          <w:color w:val="000000" w:themeColor="text1"/>
          <w:sz w:val="24"/>
          <w:highlight w:val="none"/>
          <w14:textFill>
            <w14:solidFill>
              <w14:schemeClr w14:val="tx1"/>
            </w14:solidFill>
          </w14:textFill>
        </w:rPr>
        <w:t>作为本</w:t>
      </w:r>
      <w:r>
        <w:rPr>
          <w:rFonts w:hint="eastAsia" w:ascii="宋体" w:hAnsi="宋体" w:cs="宋体"/>
          <w:b/>
          <w:bCs/>
          <w:color w:val="000000" w:themeColor="text1"/>
          <w:sz w:val="24"/>
          <w:highlight w:val="none"/>
          <w14:textFill>
            <w14:solidFill>
              <w14:schemeClr w14:val="tx1"/>
            </w14:solidFill>
          </w14:textFill>
        </w:rPr>
        <w:t>法定代表人授权书的附件。</w:t>
      </w: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p>
    <w:p>
      <w:pPr>
        <w:pStyle w:val="33"/>
        <w:spacing w:line="360" w:lineRule="auto"/>
        <w:ind w:right="840" w:firstLine="482" w:firstLineChars="200"/>
        <w:jc w:val="center"/>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格式3   投标人资格声明</w:t>
      </w:r>
    </w:p>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80"/>
        <w:gridCol w:w="1549"/>
        <w:gridCol w:w="1549"/>
        <w:gridCol w:w="158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投标人名称</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 址</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主管部门</w:t>
            </w: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w:t>
            </w: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 务</w:t>
            </w: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注册时间</w:t>
            </w:r>
          </w:p>
        </w:tc>
        <w:tc>
          <w:tcPr>
            <w:tcW w:w="2929"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经济类型</w:t>
            </w:r>
          </w:p>
        </w:tc>
        <w:tc>
          <w:tcPr>
            <w:tcW w:w="3190" w:type="dxa"/>
            <w:gridSpan w:val="2"/>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营业执照号</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4657"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近三年内（201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年）经营活动中有无重大违法纪录</w:t>
            </w:r>
          </w:p>
        </w:tc>
        <w:tc>
          <w:tcPr>
            <w:tcW w:w="4739" w:type="dxa"/>
            <w:gridSpan w:val="3"/>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是否依法缴纳税收</w:t>
            </w:r>
          </w:p>
        </w:tc>
        <w:tc>
          <w:tcPr>
            <w:tcW w:w="2929" w:type="dxa"/>
            <w:gridSpan w:val="2"/>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是否依法缴纳社会保障资金</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单</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位</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概</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况</w:t>
            </w: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注册资本</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占地面积</w:t>
            </w:r>
          </w:p>
        </w:tc>
        <w:tc>
          <w:tcPr>
            <w:tcW w:w="3190" w:type="dxa"/>
            <w:gridSpan w:val="2"/>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职工总数</w:t>
            </w: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人</w:t>
            </w:r>
          </w:p>
        </w:tc>
        <w:tc>
          <w:tcPr>
            <w:tcW w:w="1549" w:type="dxa"/>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建筑面积</w:t>
            </w:r>
          </w:p>
        </w:tc>
        <w:tc>
          <w:tcPr>
            <w:tcW w:w="3190" w:type="dxa"/>
            <w:gridSpan w:val="2"/>
            <w:noWrap/>
          </w:tcPr>
          <w:p>
            <w:pPr>
              <w:spacing w:line="360" w:lineRule="auto"/>
              <w:ind w:firstLine="1920" w:firstLineChars="8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restart"/>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资产情况</w:t>
            </w: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净资产：        万元</w:t>
            </w:r>
          </w:p>
        </w:tc>
        <w:tc>
          <w:tcPr>
            <w:tcW w:w="3190" w:type="dxa"/>
            <w:gridSpan w:val="2"/>
            <w:vMerge w:val="restart"/>
            <w:noWrap/>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固定资产原值 ：      万元</w:t>
            </w:r>
          </w:p>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3098" w:type="dxa"/>
            <w:gridSpan w:val="2"/>
            <w:noWrap/>
            <w:vAlign w:val="center"/>
          </w:tcPr>
          <w:p>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负 债：         万元</w:t>
            </w:r>
          </w:p>
        </w:tc>
        <w:tc>
          <w:tcPr>
            <w:tcW w:w="3190" w:type="dxa"/>
            <w:gridSpan w:val="2"/>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1728" w:type="dxa"/>
            <w:vMerge w:val="restart"/>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财务状况（最近三年201</w:t>
            </w:r>
            <w:r>
              <w:rPr>
                <w:rFonts w:hint="eastAsia" w:ascii="宋体" w:hAnsi="宋体" w:cs="宋体"/>
                <w:bCs/>
                <w:color w:val="000000" w:themeColor="text1"/>
                <w:sz w:val="24"/>
                <w:highlight w:val="none"/>
                <w:lang w:val="en-US" w:eastAsia="zh-CN"/>
                <w14:textFill>
                  <w14:solidFill>
                    <w14:schemeClr w14:val="tx1"/>
                  </w14:solidFill>
                </w14:textFill>
              </w:rPr>
              <w:t>8</w:t>
            </w:r>
            <w:r>
              <w:rPr>
                <w:rFonts w:hint="eastAsia" w:ascii="宋体" w:hAnsi="宋体" w:cs="宋体"/>
                <w:bCs/>
                <w:color w:val="000000" w:themeColor="text1"/>
                <w:sz w:val="24"/>
                <w:highlight w:val="none"/>
                <w14:textFill>
                  <w14:solidFill>
                    <w14:schemeClr w14:val="tx1"/>
                  </w14:solidFill>
                </w14:textFill>
              </w:rPr>
              <w:t>年至20</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14:textFill>
                  <w14:solidFill>
                    <w14:schemeClr w14:val="tx1"/>
                  </w14:solidFill>
                </w14:textFill>
              </w:rPr>
              <w:t>年）</w:t>
            </w:r>
          </w:p>
        </w:tc>
        <w:tc>
          <w:tcPr>
            <w:tcW w:w="1380" w:type="dxa"/>
            <w:noWrap/>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年份</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主营收入</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49"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收入总额</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583"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利润总额</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c>
          <w:tcPr>
            <w:tcW w:w="1607" w:type="dxa"/>
            <w:noWrap/>
            <w:vAlign w:val="center"/>
          </w:tcPr>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净利润</w:t>
            </w:r>
          </w:p>
          <w:p>
            <w:pPr>
              <w:spacing w:line="360" w:lineRule="auto"/>
              <w:ind w:firstLine="480" w:firstLineChars="200"/>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380" w:type="dxa"/>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49"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583"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c>
          <w:tcPr>
            <w:tcW w:w="1607" w:type="dxa"/>
            <w:noWrap/>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经营范围</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ign w:val="center"/>
          </w:tcPr>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备注</w:t>
            </w:r>
          </w:p>
        </w:tc>
        <w:tc>
          <w:tcPr>
            <w:tcW w:w="7668" w:type="dxa"/>
            <w:gridSpan w:val="5"/>
            <w:noWrap/>
            <w:vAlign w:val="center"/>
          </w:tcPr>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tc>
      </w:tr>
    </w:tbl>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6300"/>
        </w:tabs>
        <w:snapToGrid w:val="0"/>
        <w:spacing w:line="360" w:lineRule="auto"/>
        <w:ind w:firstLine="482" w:firstLineChars="200"/>
        <w:jc w:val="center"/>
        <w:rPr>
          <w:rFonts w:ascii="宋体" w:hAnsi="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4</w:t>
      </w:r>
      <w:r>
        <w:rPr>
          <w:rFonts w:hint="eastAsia" w:ascii="宋体" w:hAnsi="宋体" w:eastAsia="宋体" w:cs="宋体"/>
          <w:b/>
          <w:bCs/>
          <w:color w:val="000000" w:themeColor="text1"/>
          <w:sz w:val="24"/>
          <w:highlight w:val="none"/>
          <w14:textFill>
            <w14:solidFill>
              <w14:schemeClr w14:val="tx1"/>
            </w14:solidFill>
          </w14:textFill>
        </w:rPr>
        <w:t xml:space="preserve">  中小企业声明函（工程）</w:t>
      </w:r>
    </w:p>
    <w:p>
      <w:pPr>
        <w:tabs>
          <w:tab w:val="left" w:pos="6300"/>
        </w:tabs>
        <w:snapToGrid w:val="0"/>
        <w:spacing w:line="500" w:lineRule="exact"/>
        <w:ind w:firstLine="720" w:firstLineChars="200"/>
        <w:jc w:val="center"/>
        <w:outlineLvl w:val="0"/>
        <w:rPr>
          <w:rFonts w:hint="eastAsia" w:ascii="宋体" w:hAnsi="宋体" w:eastAsia="宋体" w:cs="宋体"/>
          <w:color w:val="000000" w:themeColor="text1"/>
          <w:sz w:val="36"/>
          <w:szCs w:val="36"/>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 </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 xml:space="preserve">，属于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cs="宋体"/>
          <w:color w:val="000000" w:themeColor="text1"/>
          <w:sz w:val="24"/>
          <w:highlight w:val="none"/>
          <w:u w:val="single"/>
          <w:lang w:eastAsia="zh-CN"/>
          <w14:textFill>
            <w14:solidFill>
              <w14:schemeClr w14:val="tx1"/>
            </w14:solidFill>
          </w14:textFill>
        </w:rPr>
        <w:t>招标</w:t>
      </w:r>
      <w:r>
        <w:rPr>
          <w:rFonts w:hint="eastAsia" w:ascii="宋体" w:hAnsi="宋体" w:eastAsia="宋体" w:cs="宋体"/>
          <w:color w:val="000000" w:themeColor="text1"/>
          <w:sz w:val="24"/>
          <w:highlight w:val="none"/>
          <w:u w:val="single"/>
          <w14:textFill>
            <w14:solidFill>
              <w14:schemeClr w14:val="tx1"/>
            </w14:solidFill>
          </w14:textFill>
        </w:rPr>
        <w:t xml:space="preserve">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 ，属于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highlight w:val="none"/>
          <w:u w:val="single"/>
          <w14:textFill>
            <w14:solidFill>
              <w14:schemeClr w14:val="tx1"/>
            </w14:solidFill>
          </w14:textFill>
        </w:rPr>
        <w:t xml:space="preserve">（标的名称） </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招标</w:t>
      </w:r>
      <w:r>
        <w:rPr>
          <w:rFonts w:hint="eastAsia" w:ascii="宋体" w:hAnsi="宋体" w:eastAsia="宋体" w:cs="宋体"/>
          <w:color w:val="000000" w:themeColor="text1"/>
          <w:sz w:val="24"/>
          <w:highlight w:val="none"/>
          <w:u w:val="single"/>
          <w14:textFill>
            <w14:solidFill>
              <w14:schemeClr w14:val="tx1"/>
            </w14:solidFill>
          </w14:textFill>
        </w:rPr>
        <w:t xml:space="preserve">文件中明确的所属行业） </w:t>
      </w:r>
      <w:r>
        <w:rPr>
          <w:rFonts w:hint="eastAsia" w:ascii="宋体" w:hAnsi="宋体" w:eastAsia="宋体" w:cs="宋体"/>
          <w:color w:val="000000" w:themeColor="text1"/>
          <w:sz w:val="24"/>
          <w:highlight w:val="none"/>
          <w14:textFill>
            <w14:solidFill>
              <w14:schemeClr w14:val="tx1"/>
            </w14:solidFill>
          </w14:textFill>
        </w:rPr>
        <w:t xml:space="preserve">；承建（承接）企业为 </w:t>
      </w:r>
      <w:r>
        <w:rPr>
          <w:rFonts w:hint="eastAsia" w:ascii="宋体" w:hAnsi="宋体" w:eastAsia="宋体" w:cs="宋体"/>
          <w:color w:val="000000" w:themeColor="text1"/>
          <w:sz w:val="24"/>
          <w:highlight w:val="none"/>
          <w:u w:val="single"/>
          <w14:textFill>
            <w14:solidFill>
              <w14:schemeClr w14:val="tx1"/>
            </w14:solidFill>
          </w14:textFill>
        </w:rPr>
        <w:t xml:space="preserve">（企业名称） </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 xml:space="preserve"> （中型企业、小型企业、微型企业） </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0" w:firstLineChars="20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5040" w:firstLineChars="2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360" w:lineRule="auto"/>
        <w:jc w:val="left"/>
        <w:rPr>
          <w:rFonts w:hint="eastAsia" w:ascii="仿宋" w:hAnsi="仿宋" w:eastAsia="仿宋" w:cs="仿宋"/>
          <w:color w:val="000000" w:themeColor="text1"/>
          <w:sz w:val="24"/>
          <w:highlight w:val="none"/>
          <w14:textFill>
            <w14:solidFill>
              <w14:schemeClr w14:val="tx1"/>
            </w14:solidFill>
          </w14:textFill>
        </w:rPr>
      </w:pPr>
    </w:p>
    <w:p>
      <w:pPr>
        <w:spacing w:line="480" w:lineRule="exact"/>
        <w:ind w:firstLine="492" w:firstLineChars="175"/>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注：1、从业人员、营业收入、资产总额填报上一年度数据，无上一年度数据的新成立企业可不填报。</w:t>
      </w:r>
    </w:p>
    <w:p>
      <w:pPr>
        <w:pStyle w:val="4"/>
        <w:keepNext/>
        <w:keepLines/>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仿宋" w:hAnsi="仿宋" w:eastAsia="仿宋" w:cs="仿宋"/>
          <w:b/>
          <w:color w:val="000000"/>
          <w:sz w:val="28"/>
          <w:szCs w:val="28"/>
        </w:rPr>
        <w:t>2、各供应商参照《关于印发中小企业划型标准规定的通知 工信部联企业〔2011〕300号》 中小企业划型标准规定中规定的行业以及划型标准对本企业进行划型。</w:t>
      </w:r>
    </w:p>
    <w:p>
      <w:pPr>
        <w:pStyle w:val="33"/>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sectPr>
          <w:footerReference r:id="rId5" w:type="default"/>
          <w:pgSz w:w="11907" w:h="16840"/>
          <w:pgMar w:top="1304" w:right="1077" w:bottom="1304" w:left="1077" w:header="964" w:footer="992" w:gutter="0"/>
          <w:pgNumType w:start="1"/>
          <w:cols w:space="720" w:num="1"/>
          <w:docGrid w:linePitch="354" w:charSpace="0"/>
        </w:sect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14:textFill>
            <w14:solidFill>
              <w14:schemeClr w14:val="tx1"/>
            </w14:solidFill>
          </w14:textFill>
        </w:rPr>
        <w:t xml:space="preserve">    项目负责人简历表</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99"/>
        <w:gridCol w:w="798"/>
        <w:gridCol w:w="841"/>
        <w:gridCol w:w="380"/>
        <w:gridCol w:w="877"/>
        <w:gridCol w:w="985"/>
        <w:gridCol w:w="809"/>
        <w:gridCol w:w="1362"/>
        <w:gridCol w:w="7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性别</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年龄</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5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183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2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179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436"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拟在本合同担任职务</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项目负责人建造师专业及等级</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等级</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vMerge w:val="continue"/>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3396" w:type="dxa"/>
            <w:gridSpan w:val="4"/>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安全生产考核合格证</w:t>
            </w:r>
          </w:p>
        </w:tc>
        <w:tc>
          <w:tcPr>
            <w:tcW w:w="1257" w:type="dxa"/>
            <w:gridSpan w:val="2"/>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证书编号</w:t>
            </w:r>
          </w:p>
        </w:tc>
        <w:tc>
          <w:tcPr>
            <w:tcW w:w="5038" w:type="dxa"/>
            <w:gridSpan w:val="5"/>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毕业院校</w:t>
            </w:r>
          </w:p>
        </w:tc>
        <w:tc>
          <w:tcPr>
            <w:tcW w:w="7136" w:type="dxa"/>
            <w:gridSpan w:val="8"/>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年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月毕业于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学校</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专业，学制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255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参加工作时间</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323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从事本专业工作时间</w:t>
            </w:r>
          </w:p>
        </w:tc>
        <w:tc>
          <w:tcPr>
            <w:tcW w:w="18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691" w:type="dxa"/>
            <w:gridSpan w:val="11"/>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年～年</w:t>
            </w:r>
          </w:p>
        </w:tc>
        <w:tc>
          <w:tcPr>
            <w:tcW w:w="201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4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参加过施工的工程项目名称</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建设规模</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担任何职</w:t>
            </w:r>
          </w:p>
        </w:tc>
        <w:tc>
          <w:tcPr>
            <w:tcW w:w="188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757"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019"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171"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88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bl>
    <w:p>
      <w:pPr>
        <w:pStyle w:val="35"/>
        <w:tabs>
          <w:tab w:val="left" w:pos="360"/>
          <w:tab w:val="left" w:pos="1800"/>
        </w:tabs>
        <w:spacing w:line="360" w:lineRule="auto"/>
        <w:ind w:left="0" w:leftChars="0" w:firstLine="0" w:firstLineChars="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说明：项目负责人提供建造师注册证书复印件、安全生产考核合格证书复印件附于本表后，作为本表的附件。</w:t>
      </w:r>
    </w:p>
    <w:p>
      <w:pPr>
        <w:tabs>
          <w:tab w:val="left" w:pos="360"/>
          <w:tab w:val="left" w:pos="1800"/>
        </w:tabs>
        <w:spacing w:line="360" w:lineRule="auto"/>
        <w:ind w:right="9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投标人：（盖章）</w:t>
      </w:r>
    </w:p>
    <w:p>
      <w:pPr>
        <w:tabs>
          <w:tab w:val="left" w:pos="360"/>
          <w:tab w:val="left" w:pos="1800"/>
        </w:tabs>
        <w:spacing w:line="360" w:lineRule="auto"/>
        <w:ind w:right="9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法定代表人或委托代理人：（签字或盖章）</w:t>
      </w: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14:textFill>
            <w14:solidFill>
              <w14:schemeClr w14:val="tx1"/>
            </w14:solidFill>
          </w14:textFill>
        </w:rPr>
      </w:pPr>
    </w:p>
    <w:p>
      <w:pPr>
        <w:tabs>
          <w:tab w:val="left" w:pos="360"/>
          <w:tab w:val="left" w:pos="1800"/>
        </w:tabs>
        <w:spacing w:line="360" w:lineRule="auto"/>
        <w:ind w:left="1980" w:leftChars="943" w:firstLine="3960" w:firstLineChars="16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60" w:lineRule="auto"/>
        <w:ind w:right="960" w:firstLine="4935" w:firstLineChars="2350"/>
        <w:rPr>
          <w:rFonts w:hint="eastAsia" w:ascii="宋体" w:hAnsi="宋体" w:eastAsia="宋体" w:cs="宋体"/>
          <w:color w:val="000000" w:themeColor="text1"/>
          <w:highlight w:val="none"/>
          <w14:textFill>
            <w14:solidFill>
              <w14:schemeClr w14:val="tx1"/>
            </w14:solidFill>
          </w14:textFill>
        </w:rPr>
      </w:pPr>
    </w:p>
    <w:p>
      <w:pPr>
        <w:tabs>
          <w:tab w:val="left" w:pos="360"/>
          <w:tab w:val="left" w:pos="1800"/>
        </w:tabs>
        <w:spacing w:line="30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格式</w:t>
      </w:r>
      <w:r>
        <w:rPr>
          <w:rFonts w:hint="eastAsia" w:ascii="宋体" w:hAnsi="宋体" w:eastAsia="宋体" w:cs="宋体"/>
          <w:b/>
          <w:color w:val="000000" w:themeColor="text1"/>
          <w:sz w:val="24"/>
          <w:szCs w:val="24"/>
          <w14:textFill>
            <w14:solidFill>
              <w14:schemeClr w14:val="tx1"/>
            </w14:solidFill>
          </w14:textFill>
        </w:rPr>
        <w:t>6   主要施工管理人员表</w:t>
      </w:r>
    </w:p>
    <w:tbl>
      <w:tblPr>
        <w:tblStyle w:val="57"/>
        <w:tblpPr w:leftFromText="180" w:rightFromText="180" w:vertAnchor="text" w:horzAnchor="margin" w:tblpXSpec="center" w:tblpY="1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793"/>
        <w:gridCol w:w="795"/>
        <w:gridCol w:w="795"/>
        <w:gridCol w:w="795"/>
        <w:gridCol w:w="4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bookmarkStart w:id="639" w:name="OLE_LINK18"/>
            <w:r>
              <w:rPr>
                <w:rFonts w:hint="eastAsia" w:ascii="宋体" w:hAnsi="宋体" w:eastAsia="宋体" w:cs="宋体"/>
                <w:color w:val="000000" w:themeColor="text1"/>
                <w:sz w:val="24"/>
                <w:szCs w:val="24"/>
                <w14:textFill>
                  <w14:solidFill>
                    <w14:schemeClr w14:val="tx1"/>
                  </w14:solidFill>
                </w14:textFill>
              </w:rPr>
              <w:t>名    称</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姓名</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职称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证书</w:t>
            </w: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2、项目技术负责人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3、施工员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劳务员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5、质检员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6、安全员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7、材料员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8、机械员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9、资料员</w:t>
            </w:r>
          </w:p>
        </w:tc>
        <w:tc>
          <w:tcPr>
            <w:tcW w:w="79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19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40" w:lineRule="atLeas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注：1、须提供上述管理人员岗位证书复印件，技术负责人提供职称证书复印件，安全员提供安全生产考核合格证书复印件。</w:t>
            </w:r>
          </w:p>
          <w:p>
            <w:pPr>
              <w:tabs>
                <w:tab w:val="left" w:pos="360"/>
                <w:tab w:val="left" w:pos="1800"/>
              </w:tabs>
              <w:spacing w:line="380" w:lineRule="exact"/>
              <w:ind w:firstLine="482"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2、本工程安全员配置不少于1人。</w:t>
            </w:r>
          </w:p>
        </w:tc>
      </w:tr>
      <w:bookmarkEnd w:id="639"/>
    </w:tbl>
    <w:p>
      <w:pPr>
        <w:tabs>
          <w:tab w:val="left" w:pos="360"/>
          <w:tab w:val="left" w:pos="1800"/>
        </w:tabs>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投标人：（盖章）             </w:t>
      </w: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p>
    <w:p>
      <w:pPr>
        <w:tabs>
          <w:tab w:val="left" w:pos="360"/>
          <w:tab w:val="left" w:pos="1800"/>
        </w:tabs>
        <w:spacing w:line="48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360" w:lineRule="auto"/>
        <w:ind w:right="96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日期：     年   月   日</w:t>
      </w: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snapToGrid w:val="0"/>
        <w:spacing w:line="240" w:lineRule="atLeast"/>
        <w:jc w:val="center"/>
        <w:outlineLvl w:val="0"/>
        <w:rPr>
          <w:rFonts w:hint="eastAsia" w:ascii="宋体" w:hAnsi="宋体" w:eastAsia="宋体" w:cs="宋体"/>
          <w:b/>
          <w:color w:val="000000" w:themeColor="text1"/>
          <w:sz w:val="24"/>
          <w:szCs w:val="24"/>
          <w:highlight w:val="none"/>
          <w14:textFill>
            <w14:solidFill>
              <w14:schemeClr w14:val="tx1"/>
            </w14:solidFill>
          </w14:textFill>
        </w:rPr>
      </w:pPr>
    </w:p>
    <w:p>
      <w:pPr>
        <w:tabs>
          <w:tab w:val="left" w:pos="360"/>
          <w:tab w:val="left" w:pos="1800"/>
        </w:tabs>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w:t>
      </w:r>
      <w:r>
        <w:rPr>
          <w:rFonts w:hint="eastAsia" w:ascii="宋体" w:hAnsi="宋体" w:eastAsia="宋体" w:cs="宋体"/>
          <w:b/>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拟投入本工程的主要机械、设备及检测仪器表</w:t>
      </w:r>
    </w:p>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19"/>
        <w:gridCol w:w="823"/>
        <w:gridCol w:w="822"/>
        <w:gridCol w:w="822"/>
        <w:gridCol w:w="704"/>
        <w:gridCol w:w="704"/>
        <w:gridCol w:w="704"/>
        <w:gridCol w:w="708"/>
        <w:gridCol w:w="570"/>
        <w:gridCol w:w="1064"/>
        <w:gridCol w:w="898"/>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exact"/>
        </w:trPr>
        <w:tc>
          <w:tcPr>
            <w:tcW w:w="467"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819"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设备名称</w:t>
            </w:r>
          </w:p>
        </w:tc>
        <w:tc>
          <w:tcPr>
            <w:tcW w:w="823"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规格型号</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产地</w:t>
            </w:r>
          </w:p>
        </w:tc>
        <w:tc>
          <w:tcPr>
            <w:tcW w:w="822"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出厂时间</w:t>
            </w:r>
          </w:p>
        </w:tc>
        <w:tc>
          <w:tcPr>
            <w:tcW w:w="3390" w:type="dxa"/>
            <w:gridSpan w:val="5"/>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数量（台/套）</w:t>
            </w:r>
          </w:p>
        </w:tc>
        <w:tc>
          <w:tcPr>
            <w:tcW w:w="1064"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进口/国产</w:t>
            </w:r>
          </w:p>
        </w:tc>
        <w:tc>
          <w:tcPr>
            <w:tcW w:w="898"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现状</w:t>
            </w:r>
          </w:p>
        </w:tc>
        <w:tc>
          <w:tcPr>
            <w:tcW w:w="892"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2820" w:type="dxa"/>
            <w:gridSpan w:val="4"/>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其中</w:t>
            </w:r>
          </w:p>
        </w:tc>
        <w:tc>
          <w:tcPr>
            <w:tcW w:w="570" w:type="dxa"/>
            <w:vMerge w:val="restart"/>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小计</w:t>
            </w: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467"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自有</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租赁</w:t>
            </w: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新购</w:t>
            </w: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特别</w:t>
            </w:r>
          </w:p>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制造</w:t>
            </w:r>
          </w:p>
        </w:tc>
        <w:tc>
          <w:tcPr>
            <w:tcW w:w="570"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vMerge w:val="continue"/>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vMerge w:val="continue"/>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467"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19"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3"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2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4"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70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570"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1064" w:type="dxa"/>
            <w:noWrap w:val="0"/>
            <w:vAlign w:val="top"/>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8"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c>
          <w:tcPr>
            <w:tcW w:w="892" w:type="dxa"/>
            <w:noWrap w:val="0"/>
            <w:vAlign w:val="center"/>
          </w:tcPr>
          <w:p>
            <w:pPr>
              <w:snapToGrid w:val="0"/>
              <w:spacing w:line="320" w:lineRule="exact"/>
              <w:jc w:val="center"/>
              <w:rPr>
                <w:rFonts w:hint="eastAsia" w:ascii="宋体" w:hAnsi="宋体" w:eastAsia="宋体" w:cs="宋体"/>
                <w:color w:val="000000" w:themeColor="text1"/>
                <w:sz w:val="24"/>
                <w14:textFill>
                  <w14:solidFill>
                    <w14:schemeClr w14:val="tx1"/>
                  </w14:solidFill>
                </w14:textFill>
              </w:rPr>
            </w:pPr>
          </w:p>
        </w:tc>
      </w:tr>
    </w:tbl>
    <w:p>
      <w:pPr>
        <w:snapToGrid w:val="0"/>
        <w:spacing w:line="3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 施工机械设备按本工程施工需要的顺序填写；</w:t>
      </w:r>
    </w:p>
    <w:p>
      <w:pPr>
        <w:snapToGrid w:val="0"/>
        <w:spacing w:line="360" w:lineRule="exact"/>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填写拟派于本工程的具体设备；</w:t>
      </w:r>
    </w:p>
    <w:p>
      <w:pPr>
        <w:snapToGrid w:val="0"/>
        <w:spacing w:line="360" w:lineRule="exact"/>
        <w:ind w:firstLine="960" w:firstLineChars="4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注明机械设备出厂日期、目前存放地点、承担工作等内容。</w:t>
      </w:r>
    </w:p>
    <w:p>
      <w:pPr>
        <w:snapToGrid w:val="0"/>
        <w:spacing w:line="360" w:lineRule="exact"/>
        <w:rPr>
          <w:rFonts w:hint="eastAsia" w:ascii="宋体" w:hAnsi="宋体" w:eastAsia="宋体" w:cs="宋体"/>
          <w:color w:val="000000" w:themeColor="text1"/>
          <w:sz w:val="24"/>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投标人：（盖章）             </w:t>
      </w: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p>
    <w:p>
      <w:pPr>
        <w:tabs>
          <w:tab w:val="left" w:pos="360"/>
          <w:tab w:val="left" w:pos="1800"/>
        </w:tabs>
        <w:spacing w:line="48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法定代表人或委托代理人：（签字或盖章）</w:t>
      </w:r>
    </w:p>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360" w:lineRule="auto"/>
        <w:ind w:right="96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     年   月   日</w:t>
      </w:r>
    </w:p>
    <w:p>
      <w:pPr>
        <w:tabs>
          <w:tab w:val="left" w:pos="360"/>
          <w:tab w:val="left" w:pos="1800"/>
        </w:tabs>
        <w:spacing w:line="360" w:lineRule="auto"/>
        <w:ind w:right="960"/>
        <w:jc w:val="center"/>
        <w:rPr>
          <w:rFonts w:hint="eastAsia" w:ascii="宋体" w:hAnsi="宋体" w:eastAsia="宋体" w:cs="宋体"/>
          <w:b/>
          <w:color w:val="000000" w:themeColor="text1"/>
          <w:sz w:val="24"/>
          <w:highlight w:val="none"/>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仿宋_GB2312" w:eastAsia="仿宋_GB2312"/>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格式</w:t>
      </w:r>
      <w:r>
        <w:rPr>
          <w:rFonts w:hint="eastAsia" w:ascii="宋体" w:hAnsi="宋体" w:eastAsia="宋体" w:cs="宋体"/>
          <w:b/>
          <w:bCs/>
          <w:color w:val="000000" w:themeColor="text1"/>
          <w:sz w:val="24"/>
          <w:szCs w:val="24"/>
          <w14:textFill>
            <w14:solidFill>
              <w14:schemeClr w14:val="tx1"/>
            </w14:solidFill>
          </w14:textFill>
        </w:rPr>
        <w:t>8   项目拟分包情况表</w:t>
      </w:r>
    </w:p>
    <w:p>
      <w:pPr>
        <w:tabs>
          <w:tab w:val="left" w:pos="360"/>
          <w:tab w:val="left" w:pos="1800"/>
        </w:tabs>
        <w:spacing w:line="480" w:lineRule="exact"/>
        <w:jc w:val="center"/>
        <w:rPr>
          <w:rFonts w:hint="eastAsia" w:ascii="宋体" w:hAnsi="宋体" w:eastAsia="宋体" w:cs="宋体"/>
          <w:color w:val="000000" w:themeColor="text1"/>
          <w:sz w:val="24"/>
          <w:szCs w:val="24"/>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1415"/>
        <w:gridCol w:w="1396"/>
        <w:gridCol w:w="2637"/>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分包项目</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主要内容</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估算价格</w:t>
            </w:r>
          </w:p>
        </w:tc>
        <w:tc>
          <w:tcPr>
            <w:tcW w:w="263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分包单位名称、地址</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承担同类工程的情况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415"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2637"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2618" w:type="dxa"/>
            <w:tcBorders>
              <w:top w:val="single" w:color="auto" w:sz="4" w:space="0"/>
              <w:left w:val="single" w:color="auto" w:sz="4" w:space="0"/>
              <w:bottom w:val="single" w:color="auto" w:sz="4" w:space="0"/>
              <w:right w:val="single" w:color="auto" w:sz="4" w:space="0"/>
            </w:tcBorders>
            <w:noWrap w:val="0"/>
            <w:vAlign w:val="top"/>
          </w:tcPr>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p>
            <w:pPr>
              <w:tabs>
                <w:tab w:val="left" w:pos="360"/>
                <w:tab w:val="left" w:pos="1800"/>
              </w:tabs>
              <w:rPr>
                <w:rFonts w:hint="eastAsia" w:ascii="宋体" w:hAnsi="宋体" w:eastAsia="宋体" w:cs="宋体"/>
                <w:color w:val="000000" w:themeColor="text1"/>
                <w14:textFill>
                  <w14:solidFill>
                    <w14:schemeClr w14:val="tx1"/>
                  </w14:solidFill>
                </w14:textFill>
              </w:rPr>
            </w:pPr>
          </w:p>
        </w:tc>
      </w:tr>
    </w:tbl>
    <w:p>
      <w:pPr>
        <w:snapToGrid w:val="0"/>
        <w:spacing w:line="360" w:lineRule="exact"/>
        <w:ind w:firstLine="960" w:firstLineChars="400"/>
        <w:rPr>
          <w:rFonts w:hint="eastAsia" w:ascii="宋体" w:hAnsi="宋体" w:eastAsia="宋体" w:cs="宋体"/>
          <w:color w:val="000000" w:themeColor="text1"/>
          <w:sz w:val="24"/>
          <w14:textFill>
            <w14:solidFill>
              <w14:schemeClr w14:val="tx1"/>
            </w14:solidFill>
          </w14:textFill>
        </w:rPr>
      </w:pPr>
    </w:p>
    <w:p>
      <w:pPr>
        <w:tabs>
          <w:tab w:val="left" w:pos="360"/>
          <w:tab w:val="left" w:pos="1800"/>
        </w:tabs>
        <w:spacing w:line="48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投标人：（盖章）             </w:t>
      </w:r>
    </w:p>
    <w:p>
      <w:pPr>
        <w:tabs>
          <w:tab w:val="left" w:pos="360"/>
          <w:tab w:val="left" w:pos="1800"/>
        </w:tabs>
        <w:spacing w:line="480" w:lineRule="exact"/>
        <w:ind w:firstLine="210" w:firstLineChars="100"/>
        <w:rPr>
          <w:rFonts w:hint="eastAsia" w:ascii="宋体" w:hAnsi="宋体" w:eastAsia="宋体" w:cs="宋体"/>
          <w:color w:val="000000" w:themeColor="text1"/>
          <w14:textFill>
            <w14:solidFill>
              <w14:schemeClr w14:val="tx1"/>
            </w14:solidFill>
          </w14:textFill>
        </w:rPr>
      </w:pPr>
    </w:p>
    <w:p>
      <w:pPr>
        <w:tabs>
          <w:tab w:val="left" w:pos="360"/>
          <w:tab w:val="left" w:pos="1800"/>
        </w:tabs>
        <w:spacing w:line="480" w:lineRule="exact"/>
        <w:ind w:firstLine="210" w:firstLineChars="1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法定代表人或委托代理人：（签字或盖章）</w:t>
      </w:r>
    </w:p>
    <w:p>
      <w:pPr>
        <w:tabs>
          <w:tab w:val="left" w:pos="360"/>
          <w:tab w:val="left" w:pos="1800"/>
        </w:tabs>
        <w:rPr>
          <w:rFonts w:hint="eastAsia" w:ascii="宋体" w:hAnsi="宋体" w:eastAsia="宋体" w:cs="宋体"/>
          <w:bCs/>
          <w:color w:val="000000" w:themeColor="text1"/>
          <w14:textFill>
            <w14:solidFill>
              <w14:schemeClr w14:val="tx1"/>
            </w14:solidFill>
          </w14:textFill>
        </w:rPr>
      </w:pPr>
    </w:p>
    <w:p>
      <w:pPr>
        <w:tabs>
          <w:tab w:val="left" w:pos="360"/>
          <w:tab w:val="left" w:pos="1800"/>
        </w:tabs>
        <w:spacing w:line="360" w:lineRule="auto"/>
        <w:ind w:right="960" w:firstLine="4935" w:firstLineChars="235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spacing w:line="360" w:lineRule="auto"/>
        <w:ind w:firstLine="522" w:firstLineChars="200"/>
        <w:jc w:val="center"/>
        <w:rPr>
          <w:rFonts w:hint="eastAsia" w:ascii="宋体" w:hAnsi="宋体" w:cs="宋体"/>
          <w:b/>
          <w:bCs/>
          <w:color w:val="000000" w:themeColor="text1"/>
          <w:spacing w:val="10"/>
          <w:sz w:val="24"/>
          <w:highlight w:val="none"/>
          <w14:textFill>
            <w14:solidFill>
              <w14:schemeClr w14:val="tx1"/>
            </w14:solidFill>
          </w14:textFill>
        </w:rPr>
      </w:pPr>
    </w:p>
    <w:p>
      <w:pPr>
        <w:spacing w:line="360" w:lineRule="auto"/>
        <w:ind w:firstLine="522" w:firstLineChars="200"/>
        <w:jc w:val="center"/>
        <w:rPr>
          <w:rFonts w:hint="eastAsia" w:ascii="宋体" w:hAnsi="宋体" w:cs="宋体"/>
          <w:b/>
          <w:bCs/>
          <w:color w:val="000000" w:themeColor="text1"/>
          <w:spacing w:val="10"/>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9  </w:t>
      </w:r>
      <w:r>
        <w:rPr>
          <w:rFonts w:hint="eastAsia" w:ascii="宋体" w:hAnsi="宋体" w:eastAsia="宋体" w:cs="宋体"/>
          <w:color w:val="000000" w:themeColor="text1"/>
          <w:sz w:val="24"/>
          <w:szCs w:val="24"/>
          <w:highlight w:val="none"/>
          <w14:textFill>
            <w14:solidFill>
              <w14:schemeClr w14:val="tx1"/>
            </w14:solidFill>
          </w14:textFill>
        </w:rPr>
        <w:t xml:space="preserve"> 资格性/符合性自查表</w:t>
      </w:r>
    </w:p>
    <w:tbl>
      <w:tblPr>
        <w:tblStyle w:val="57"/>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391"/>
        <w:gridCol w:w="3532"/>
        <w:gridCol w:w="2133"/>
        <w:gridCol w:w="256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评审内容</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522"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lang w:eastAsia="zh-CN"/>
                <w14:textFill>
                  <w14:solidFill>
                    <w14:schemeClr w14:val="tx1"/>
                  </w14:solidFill>
                </w14:textFill>
              </w:rPr>
              <w:t>招标</w:t>
            </w:r>
            <w:r>
              <w:rPr>
                <w:rFonts w:hint="eastAsia" w:ascii="宋体" w:hAnsi="宋体" w:cs="宋体"/>
                <w:b/>
                <w:bCs/>
                <w:color w:val="000000" w:themeColor="text1"/>
                <w:spacing w:val="10"/>
                <w:sz w:val="24"/>
                <w:highlight w:val="none"/>
                <w14:textFill>
                  <w14:solidFill>
                    <w14:schemeClr w14:val="tx1"/>
                  </w14:solidFill>
                </w14:textFill>
              </w:rPr>
              <w:t>文件要求</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14:textFill>
                  <w14:solidFill>
                    <w14:schemeClr w14:val="tx1"/>
                  </w14:solidFill>
                </w14:textFill>
              </w:rPr>
              <w:t>（详见《资格性和符合性审查表》各项）</w:t>
            </w: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自查结论</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pacing w:val="10"/>
                <w:sz w:val="24"/>
                <w:highlight w:val="none"/>
                <w14:textFill>
                  <w14:solidFill>
                    <w14:schemeClr w14:val="tx1"/>
                  </w14:solidFill>
                </w14:textFill>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资格性审查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jc w:val="center"/>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restart"/>
            <w:tcBorders>
              <w:top w:val="outset" w:color="111111" w:sz="6" w:space="0"/>
              <w:left w:val="outset" w:color="111111" w:sz="6" w:space="0"/>
              <w:right w:val="outset" w:color="111111" w:sz="6" w:space="0"/>
            </w:tcBorders>
            <w:noWrap/>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符合性审查</w:t>
            </w: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391" w:type="dxa"/>
            <w:vMerge w:val="continue"/>
            <w:tcBorders>
              <w:left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3532"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ind w:firstLine="480" w:firstLineChars="200"/>
              <w:rPr>
                <w:rFonts w:ascii="宋体" w:hAnsi="宋体" w:cs="宋体"/>
                <w:color w:val="000000" w:themeColor="text1"/>
                <w:sz w:val="24"/>
                <w:highlight w:val="none"/>
                <w14:textFill>
                  <w14:solidFill>
                    <w14:schemeClr w14:val="tx1"/>
                  </w14:solidFill>
                </w14:textFill>
              </w:rPr>
            </w:pPr>
          </w:p>
        </w:tc>
        <w:tc>
          <w:tcPr>
            <w:tcW w:w="2133"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 □不通过</w:t>
            </w:r>
          </w:p>
        </w:tc>
        <w:tc>
          <w:tcPr>
            <w:tcW w:w="2567" w:type="dxa"/>
            <w:tcBorders>
              <w:top w:val="outset" w:color="111111" w:sz="6" w:space="0"/>
              <w:left w:val="outset" w:color="111111" w:sz="6" w:space="0"/>
              <w:bottom w:val="outset" w:color="111111" w:sz="6" w:space="0"/>
              <w:right w:val="outset" w:color="111111" w:sz="6" w:space="0"/>
            </w:tcBorders>
            <w:noWrap/>
            <w:vAlign w:val="center"/>
          </w:tcPr>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见投标文件第（）页</w:t>
            </w:r>
          </w:p>
        </w:tc>
      </w:tr>
    </w:tbl>
    <w:p>
      <w:pPr>
        <w:spacing w:line="360" w:lineRule="auto"/>
        <w:ind w:firstLine="482"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注：1、以上材料将作为招标投标人有效性审核的重要内容之一，投标人必须严格按照其内容及序列要求在投标文件中对应如</w:t>
      </w:r>
      <w:r>
        <w:rPr>
          <w:rFonts w:hint="eastAsia" w:ascii="宋体" w:hAnsi="宋体" w:cs="宋体"/>
          <w:b/>
          <w:color w:val="000000" w:themeColor="text1"/>
          <w:w w:val="90"/>
          <w:sz w:val="24"/>
          <w:highlight w:val="none"/>
          <w14:textFill>
            <w14:solidFill>
              <w14:schemeClr w14:val="tx1"/>
            </w14:solidFill>
          </w14:textFill>
        </w:rPr>
        <w:t>实提供，对资格性和符合性证明文件的任何缺漏和不符合项将会直接导致投标文件无效！投标人根据自查结论在对应的□打“√”。</w:t>
      </w:r>
    </w:p>
    <w:p>
      <w:pPr>
        <w:spacing w:line="360" w:lineRule="auto"/>
        <w:ind w:firstLine="434" w:firstLineChars="200"/>
        <w:rPr>
          <w:rFonts w:ascii="宋体" w:hAnsi="宋体" w:cs="宋体"/>
          <w:b/>
          <w:color w:val="000000" w:themeColor="text1"/>
          <w:w w:val="90"/>
          <w:sz w:val="24"/>
          <w:highlight w:val="none"/>
          <w14:textFill>
            <w14:solidFill>
              <w14:schemeClr w14:val="tx1"/>
            </w14:solidFill>
          </w14:textFill>
        </w:rPr>
      </w:pPr>
      <w:r>
        <w:rPr>
          <w:rFonts w:hint="eastAsia" w:ascii="宋体" w:hAnsi="宋体" w:cs="宋体"/>
          <w:b/>
          <w:color w:val="000000" w:themeColor="text1"/>
          <w:w w:val="90"/>
          <w:sz w:val="24"/>
          <w:highlight w:val="none"/>
          <w14:textFill>
            <w14:solidFill>
              <w14:schemeClr w14:val="tx1"/>
            </w14:solidFill>
          </w14:textFill>
        </w:rPr>
        <w:t>2、各投标人按此表格式填写，表格不够时可自行添加。</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pStyle w:val="4"/>
        <w:spacing w:line="360" w:lineRule="auto"/>
        <w:ind w:firstLine="482" w:firstLineChars="200"/>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格式</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10  </w:t>
      </w:r>
      <w:r>
        <w:rPr>
          <w:rFonts w:hint="eastAsia" w:ascii="宋体" w:hAnsi="宋体" w:eastAsia="宋体" w:cs="宋体"/>
          <w:color w:val="000000" w:themeColor="text1"/>
          <w:sz w:val="24"/>
          <w:szCs w:val="24"/>
          <w:highlight w:val="none"/>
          <w14:textFill>
            <w14:solidFill>
              <w14:schemeClr w14:val="tx1"/>
            </w14:solidFill>
          </w14:textFill>
        </w:rPr>
        <w:t xml:space="preserve"> 投</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  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lang w:eastAsia="zh-CN"/>
          <w14:textFill>
            <w14:solidFill>
              <w14:schemeClr w14:val="tx1"/>
            </w14:solidFill>
          </w14:textFill>
        </w:rPr>
        <w:t>某支队</w:t>
      </w:r>
      <w:r>
        <w:rPr>
          <w:rFonts w:hint="eastAsia" w:ascii="宋体" w:hAnsi="宋体" w:cs="宋体"/>
          <w:bCs/>
          <w:color w:val="000000" w:themeColor="text1"/>
          <w:kern w:val="0"/>
          <w:sz w:val="24"/>
          <w:highlight w:val="none"/>
          <w14:textFill>
            <w14:solidFill>
              <w14:schemeClr w14:val="tx1"/>
            </w14:solidFill>
          </w14:textFill>
        </w:rPr>
        <w:t>：</w:t>
      </w:r>
    </w:p>
    <w:p>
      <w:pPr>
        <w:pStyle w:val="36"/>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479" w:leftChars="22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我方全面研究了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”项目招标文件（文件编号：</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），决定参加本项目投标。我方授权（</w:t>
      </w:r>
      <w:r>
        <w:rPr>
          <w:rFonts w:hint="eastAsia" w:ascii="宋体" w:hAnsi="宋体" w:eastAsia="宋体" w:cs="宋体"/>
          <w:b w:val="0"/>
          <w:bCs/>
          <w:color w:val="000000" w:themeColor="text1"/>
          <w:sz w:val="24"/>
          <w:szCs w:val="24"/>
          <w:highlight w:val="none"/>
          <w:u w:val="single"/>
          <w14:textFill>
            <w14:solidFill>
              <w14:schemeClr w14:val="tx1"/>
            </w14:solidFill>
          </w14:textFill>
        </w:rPr>
        <w:t>姓名、职务</w:t>
      </w:r>
      <w:r>
        <w:rPr>
          <w:rFonts w:hint="eastAsia" w:ascii="宋体" w:hAnsi="宋体" w:eastAsia="宋体" w:cs="宋体"/>
          <w:b w:val="0"/>
          <w:bCs/>
          <w:color w:val="000000" w:themeColor="text1"/>
          <w:sz w:val="24"/>
          <w:szCs w:val="24"/>
          <w:highlight w:val="none"/>
          <w14:textFill>
            <w14:solidFill>
              <w14:schemeClr w14:val="tx1"/>
            </w14:solidFill>
          </w14:textFill>
        </w:rPr>
        <w:t>）代表我方</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（投标人的名称）全权处理本项目投标的有关事宜。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经考察现场并研究上述工程的图纸、合同条款、技术规范后，我方愿以：</w:t>
      </w:r>
      <w:r>
        <w:rPr>
          <w:rFonts w:hint="default" w:ascii="Arial" w:hAnsi="Arial" w:eastAsia="宋体" w:cs="Arial"/>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万元（大写：人民币</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元）的总价</w:t>
      </w:r>
      <w:r>
        <w:rPr>
          <w:rFonts w:hint="eastAsia" w:ascii="宋体" w:hAnsi="宋体" w:eastAsia="宋体" w:cs="宋体"/>
          <w:b/>
          <w:color w:val="000000" w:themeColor="text1"/>
          <w:sz w:val="24"/>
          <w:szCs w:val="24"/>
          <w14:textFill>
            <w14:solidFill>
              <w14:schemeClr w14:val="tx1"/>
            </w14:solidFill>
          </w14:textFill>
        </w:rPr>
        <w:t>【投标报价（含暂列金额）+安全文明施工费的合计】</w:t>
      </w:r>
      <w:r>
        <w:rPr>
          <w:rFonts w:hint="eastAsia" w:ascii="宋体" w:hAnsi="宋体" w:eastAsia="宋体" w:cs="宋体"/>
          <w:color w:val="000000" w:themeColor="text1"/>
          <w:sz w:val="24"/>
          <w:szCs w:val="24"/>
          <w14:textFill>
            <w14:solidFill>
              <w14:schemeClr w14:val="tx1"/>
            </w14:solidFill>
          </w14:textFill>
        </w:rPr>
        <w:t>或按上述合同条款确定的其它总价并按上述合同条款、技术规范的条件要求承包上述工程的实施</w:t>
      </w:r>
      <w:r>
        <w:rPr>
          <w:rFonts w:hint="eastAsia" w:ascii="宋体" w:hAnsi="宋体" w:eastAsia="宋体" w:cs="宋体"/>
          <w:color w:val="000000" w:themeColor="text1"/>
          <w:sz w:val="24"/>
          <w:szCs w:val="24"/>
          <w:lang w:eastAsia="zh-CN"/>
          <w14:textFill>
            <w14:solidFill>
              <w14:schemeClr w14:val="tx1"/>
            </w14:solidFill>
          </w14:textFill>
        </w:rPr>
        <w:t>和</w:t>
      </w:r>
      <w:r>
        <w:rPr>
          <w:rFonts w:hint="eastAsia" w:ascii="宋体" w:hAnsi="宋体" w:eastAsia="宋体" w:cs="宋体"/>
          <w:color w:val="000000" w:themeColor="text1"/>
          <w:sz w:val="24"/>
          <w:szCs w:val="24"/>
          <w14:textFill>
            <w14:solidFill>
              <w14:schemeClr w14:val="tx1"/>
            </w14:solidFill>
          </w14:textFill>
        </w:rPr>
        <w:t>完工。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2、若我方中标，我方保证在中标通知书中规定的开工日期开始施工，并在中标通知书中规定的预计竣工日期完成和交付全部工程。</w:t>
      </w: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、其投标自递交投标文件截止日起有效期为</w:t>
      </w:r>
      <w:r>
        <w:rPr>
          <w:rFonts w:hint="eastAsia"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个日历日。如果我们的投标被接受，则至合同生效时止，本投标始终有效，我们将按合同条款、投标承诺及招标文件的规定履行合同责任和义务。</w:t>
      </w:r>
    </w:p>
    <w:p>
      <w:pPr>
        <w:pStyle w:val="3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cs="宋体"/>
          <w:b w:val="0"/>
          <w:bCs/>
          <w:color w:val="000000" w:themeColor="text1"/>
          <w:lang w:val="en-US" w:eastAsia="zh-CN"/>
          <w14:textFill>
            <w14:solidFill>
              <w14:schemeClr w14:val="tx1"/>
            </w14:solidFill>
          </w14:textFill>
        </w:rPr>
        <w:t>4</w:t>
      </w:r>
      <w:r>
        <w:rPr>
          <w:rFonts w:hint="eastAsia" w:ascii="宋体" w:hAnsi="宋体" w:eastAsia="宋体" w:cs="宋体"/>
          <w:b/>
          <w:bCs w:val="0"/>
          <w:color w:val="000000" w:themeColor="text1"/>
          <w:sz w:val="24"/>
          <w:szCs w:val="24"/>
          <w:highlight w:val="none"/>
          <w14:textFill>
            <w14:solidFill>
              <w14:schemeClr w14:val="tx1"/>
            </w14:solidFill>
          </w14:textFill>
        </w:rPr>
        <w:t>、我方为本项目提交的投标文件一式</w:t>
      </w:r>
      <w:r>
        <w:rPr>
          <w:rFonts w:hint="eastAsia" w:ascii="宋体" w:hAnsi="宋体" w:cs="宋体"/>
          <w:b/>
          <w:bCs w:val="0"/>
          <w:color w:val="000000" w:themeColor="text1"/>
          <w:sz w:val="24"/>
          <w:szCs w:val="24"/>
          <w:highlight w:val="none"/>
          <w:lang w:val="en-US" w:eastAsia="zh-CN"/>
          <w14:textFill>
            <w14:solidFill>
              <w14:schemeClr w14:val="tx1"/>
            </w14:solidFill>
          </w14:textFill>
        </w:rPr>
        <w:t>陆</w:t>
      </w:r>
      <w:r>
        <w:rPr>
          <w:rFonts w:hint="eastAsia" w:ascii="宋体" w:hAnsi="宋体" w:eastAsia="宋体" w:cs="宋体"/>
          <w:b/>
          <w:bCs w:val="0"/>
          <w:color w:val="000000" w:themeColor="text1"/>
          <w:sz w:val="24"/>
          <w:szCs w:val="24"/>
          <w:highlight w:val="none"/>
          <w14:textFill>
            <w14:solidFill>
              <w14:schemeClr w14:val="tx1"/>
            </w14:solidFill>
          </w14:textFill>
        </w:rPr>
        <w:t>份，其中正本壹份，副本</w:t>
      </w:r>
      <w:r>
        <w:rPr>
          <w:rFonts w:hint="eastAsia" w:ascii="宋体" w:hAnsi="宋体" w:cs="宋体"/>
          <w:b/>
          <w:bCs w:val="0"/>
          <w:color w:val="000000" w:themeColor="text1"/>
          <w:sz w:val="24"/>
          <w:szCs w:val="24"/>
          <w:highlight w:val="none"/>
          <w:lang w:val="en-US" w:eastAsia="zh-CN"/>
          <w14:textFill>
            <w14:solidFill>
              <w14:schemeClr w14:val="tx1"/>
            </w14:solidFill>
          </w14:textFill>
        </w:rPr>
        <w:t>伍</w:t>
      </w:r>
      <w:r>
        <w:rPr>
          <w:rFonts w:hint="eastAsia" w:ascii="宋体" w:hAnsi="宋体" w:eastAsia="宋体" w:cs="宋体"/>
          <w:b/>
          <w:bCs w:val="0"/>
          <w:color w:val="000000" w:themeColor="text1"/>
          <w:sz w:val="24"/>
          <w:szCs w:val="24"/>
          <w:highlight w:val="none"/>
          <w14:textFill>
            <w14:solidFill>
              <w14:schemeClr w14:val="tx1"/>
            </w14:solidFill>
          </w14:textFill>
        </w:rPr>
        <w:t>份。</w:t>
      </w:r>
    </w:p>
    <w:p>
      <w:pPr>
        <w:pStyle w:val="36"/>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、我方愿意提供采购人可能另外要求的，与公开有关的文件资料，并保证我方已提供和将要提供的文件资料是真实、准确的。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Cs/>
          <w:color w:val="000000" w:themeColor="text1"/>
          <w:sz w:val="24"/>
          <w:szCs w:val="24"/>
          <w:highlight w:val="none"/>
          <w14:textFill>
            <w14:solidFill>
              <w14:schemeClr w14:val="tx1"/>
            </w14:solidFill>
          </w14:textFill>
        </w:rPr>
        <w:t>、我方完全理解你们将不受必须接受你们所收到的最低投标价及其它任何投标文件的约束。</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投标人名称：        （盖章）</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法定代表人或授权代表（签字）或盖章：</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通讯地址：</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邮政编码：</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联系电话：</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传    真：</w:t>
      </w:r>
    </w:p>
    <w:p>
      <w:pPr>
        <w:pStyle w:val="36"/>
        <w:keepNext w:val="0"/>
        <w:keepLines w:val="0"/>
        <w:pageBreakBefore w:val="0"/>
        <w:widowControl w:val="0"/>
        <w:kinsoku/>
        <w:wordWrap/>
        <w:overflowPunct/>
        <w:topLinePunct w:val="0"/>
        <w:autoSpaceDE/>
        <w:autoSpaceDN/>
        <w:bidi w:val="0"/>
        <w:adjustRightInd/>
        <w:snapToGrid/>
        <w:spacing w:line="360" w:lineRule="auto"/>
        <w:ind w:left="838" w:firstLine="480" w:firstLineChars="20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日    期：</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202</w:t>
      </w: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年  月  日</w:t>
      </w: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30" w:lineRule="exact"/>
        <w:jc w:val="center"/>
        <w:textAlignment w:val="center"/>
        <w:rPr>
          <w:rFonts w:hint="eastAsia" w:ascii="宋体" w:hAnsi="宋体" w:eastAsia="宋体" w:cs="宋体"/>
          <w:b/>
          <w:bCs/>
          <w:color w:val="000000" w:themeColor="text1"/>
          <w:kern w:val="0"/>
          <w:sz w:val="24"/>
          <w:szCs w:val="24"/>
          <w:highlight w:val="none"/>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格式</w:t>
      </w:r>
      <w:r>
        <w:rPr>
          <w:rFonts w:hint="eastAsia" w:ascii="宋体" w:hAnsi="宋体" w:eastAsia="宋体" w:cs="宋体"/>
          <w:b/>
          <w:bCs/>
          <w:color w:val="000000" w:themeColor="text1"/>
          <w:sz w:val="24"/>
          <w:szCs w:val="24"/>
          <w:lang w:val="en-US" w:eastAsia="zh-CN"/>
          <w14:textFill>
            <w14:solidFill>
              <w14:schemeClr w14:val="tx1"/>
            </w14:solidFill>
          </w14:textFill>
        </w:rPr>
        <w:t>11</w:t>
      </w:r>
      <w:r>
        <w:rPr>
          <w:rFonts w:hint="eastAsia" w:ascii="宋体" w:hAnsi="宋体" w:eastAsia="宋体" w:cs="宋体"/>
          <w:b/>
          <w:bCs/>
          <w:color w:val="000000" w:themeColor="text1"/>
          <w:sz w:val="24"/>
          <w:szCs w:val="24"/>
          <w14:textFill>
            <w14:solidFill>
              <w14:schemeClr w14:val="tx1"/>
            </w14:solidFill>
          </w14:textFill>
        </w:rPr>
        <w:t xml:space="preserve">   投标总价封面</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keepNext w:val="0"/>
        <w:keepLines w:val="0"/>
        <w:pageBreakBefore w:val="0"/>
        <w:widowControl w:val="0"/>
        <w:tabs>
          <w:tab w:val="left" w:pos="360"/>
          <w:tab w:val="left" w:pos="180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cs="宋体"/>
          <w:b/>
          <w:color w:val="000000" w:themeColor="text1"/>
          <w:kern w:val="0"/>
          <w:sz w:val="44"/>
          <w:szCs w:val="44"/>
          <w:lang w:eastAsia="zh-CN"/>
          <w14:textFill>
            <w14:solidFill>
              <w14:schemeClr w14:val="tx1"/>
            </w14:solidFill>
          </w14:textFill>
        </w:rPr>
        <w:t>某支队蔬菜大棚建设项目</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360" w:lineRule="auto"/>
        <w:jc w:val="center"/>
        <w:rPr>
          <w:rFonts w:hint="eastAsia" w:ascii="宋体" w:hAnsi="宋体" w:eastAsia="宋体" w:cs="宋体"/>
          <w:b/>
          <w:bCs/>
          <w:color w:val="000000" w:themeColor="text1"/>
          <w:sz w:val="52"/>
          <w:szCs w:val="52"/>
          <w14:textFill>
            <w14:solidFill>
              <w14:schemeClr w14:val="tx1"/>
            </w14:solidFill>
          </w14:textFill>
        </w:rPr>
      </w:pPr>
      <w:r>
        <w:rPr>
          <w:rFonts w:hint="eastAsia" w:ascii="宋体" w:hAnsi="宋体" w:eastAsia="宋体" w:cs="宋体"/>
          <w:b/>
          <w:bCs/>
          <w:color w:val="000000" w:themeColor="text1"/>
          <w:sz w:val="52"/>
          <w:szCs w:val="52"/>
          <w14:textFill>
            <w14:solidFill>
              <w14:schemeClr w14:val="tx1"/>
            </w14:solidFill>
          </w14:textFill>
        </w:rPr>
        <w:t>投 标 总 价</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投标人：</w:t>
      </w:r>
      <w:r>
        <w:rPr>
          <w:rFonts w:hint="eastAsia" w:ascii="宋体" w:hAnsi="宋体" w:eastAsia="宋体" w:cs="宋体"/>
          <w:bCs/>
          <w:color w:val="000000" w:themeColor="text1"/>
          <w:sz w:val="28"/>
          <w:szCs w:val="28"/>
          <w:u w:val="single"/>
          <w14:textFill>
            <w14:solidFill>
              <w14:schemeClr w14:val="tx1"/>
            </w14:solidFill>
          </w14:textFill>
        </w:rPr>
        <w:t xml:space="preserve">     （单位名称）</w:t>
      </w:r>
    </w:p>
    <w:p>
      <w:pPr>
        <w:tabs>
          <w:tab w:val="left" w:pos="360"/>
          <w:tab w:val="left" w:pos="1800"/>
        </w:tabs>
        <w:spacing w:line="480" w:lineRule="exact"/>
        <w:ind w:firstLine="4620" w:firstLineChars="165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（单位盖章）</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bookmarkStart w:id="640" w:name="OLE_LINK13"/>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bookmarkEnd w:id="640"/>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格式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bCs/>
          <w:color w:val="000000" w:themeColor="text1"/>
          <w:sz w:val="24"/>
          <w:szCs w:val="24"/>
          <w:highlight w:val="none"/>
          <w14:textFill>
            <w14:solidFill>
              <w14:schemeClr w14:val="tx1"/>
            </w14:solidFill>
          </w14:textFill>
        </w:rPr>
        <w:t xml:space="preserve">  投标总价</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招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 程 名 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投标总价（小写）：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投标总价=投标报价（含暂列金额）+安全文明施工费</w:t>
      </w:r>
    </w:p>
    <w:p>
      <w:pPr>
        <w:tabs>
          <w:tab w:val="left" w:pos="360"/>
          <w:tab w:val="left" w:pos="1800"/>
        </w:tabs>
        <w:spacing w:line="480" w:lineRule="exact"/>
        <w:rPr>
          <w:rFonts w:hint="eastAsia" w:ascii="宋体" w:hAnsi="宋体" w:eastAsia="宋体" w:cs="宋体"/>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r>
        <w:rPr>
          <w:rFonts w:hint="eastAsia" w:ascii="宋体" w:hAnsi="宋体" w:eastAsia="宋体" w:cs="宋体"/>
          <w:bCs/>
          <w:color w:val="000000" w:themeColor="text1"/>
          <w:sz w:val="24"/>
          <w:szCs w:val="24"/>
          <w:highlight w:val="none"/>
          <w14:textFill>
            <w14:solidFill>
              <w14:schemeClr w14:val="tx1"/>
            </w14:solidFill>
          </w14:textFill>
        </w:rPr>
        <w:t>（小写）：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ind w:firstLine="960" w:firstLine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投标报价中：分部分项工程费用报价+措施项目费用报价（不含安全文明施工费）+其他项目费用（含暂列金额）=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万元</w:t>
      </w:r>
    </w:p>
    <w:p>
      <w:pPr>
        <w:tabs>
          <w:tab w:val="left" w:pos="360"/>
          <w:tab w:val="left" w:pos="1800"/>
        </w:tabs>
        <w:spacing w:line="480" w:lineRule="exact"/>
        <w:jc w:val="lef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2021年  月  日进场，2021年  月  日工程竣工验收合格，总工期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天（日历日）。</w:t>
      </w:r>
    </w:p>
    <w:p>
      <w:pPr>
        <w:spacing w:line="360" w:lineRule="auto"/>
        <w:ind w:left="960" w:hanging="960" w:hangingChars="40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960" w:hanging="960" w:hangingChars="400"/>
        <w:rPr>
          <w:rFonts w:hint="eastAsia" w:ascii="宋体" w:hAnsi="宋体" w:eastAsia="宋体" w:cs="宋体"/>
          <w:bCs/>
          <w:color w:val="000000" w:themeColor="text1"/>
          <w:sz w:val="24"/>
          <w:szCs w:val="24"/>
          <w:highlight w:val="none"/>
          <w14:textFill>
            <w14:solidFill>
              <w14:schemeClr w14:val="tx1"/>
            </w14:solidFill>
          </w14:textFill>
        </w:rPr>
      </w:pPr>
    </w:p>
    <w:p>
      <w:pPr>
        <w:spacing w:line="360" w:lineRule="auto"/>
        <w:ind w:left="960" w:hanging="960" w:hangingChars="400"/>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质量承诺：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项目负责人：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  标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（单位盖章）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法定代表人</w:t>
      </w: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或其</w:t>
      </w: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bCs/>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（签字或盖章）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  制  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pPr>
        <w:tabs>
          <w:tab w:val="left" w:pos="360"/>
          <w:tab w:val="left" w:pos="1800"/>
        </w:tabs>
        <w:spacing w:line="480" w:lineRule="exact"/>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（造价人员签字盖专用章）</w:t>
      </w: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p>
    <w:p>
      <w:pPr>
        <w:tabs>
          <w:tab w:val="left" w:pos="360"/>
          <w:tab w:val="left" w:pos="1800"/>
        </w:tabs>
        <w:spacing w:line="480" w:lineRule="exact"/>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编制时间：        年      月     日</w:t>
      </w: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-1  安全文明施工费明细表</w:t>
      </w:r>
    </w:p>
    <w:p>
      <w:pPr>
        <w:tabs>
          <w:tab w:val="left" w:pos="360"/>
          <w:tab w:val="left" w:pos="1800"/>
        </w:tabs>
        <w:ind w:firstLine="6720" w:firstLineChars="3200"/>
        <w:rPr>
          <w:rFonts w:hint="eastAsia" w:ascii="宋体" w:hAnsi="宋体" w:eastAsia="宋体" w:cs="宋体"/>
          <w:color w:val="000000" w:themeColor="text1"/>
          <w14:textFill>
            <w14:solidFill>
              <w14:schemeClr w14:val="tx1"/>
            </w14:solidFill>
          </w14:textFill>
        </w:rPr>
      </w:pPr>
    </w:p>
    <w:p>
      <w:pPr>
        <w:tabs>
          <w:tab w:val="left" w:pos="360"/>
          <w:tab w:val="left" w:pos="1800"/>
        </w:tabs>
        <w:ind w:firstLine="6720" w:firstLineChars="320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金额单位：万元</w:t>
      </w:r>
    </w:p>
    <w:tbl>
      <w:tblPr>
        <w:tblStyle w:val="57"/>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19"/>
        <w:gridCol w:w="2502"/>
        <w:gridCol w:w="270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898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w:t>
            </w:r>
          </w:p>
        </w:tc>
        <w:tc>
          <w:tcPr>
            <w:tcW w:w="898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临时设施费、环境保护费、文明施工费、安全施工费</w:t>
            </w:r>
            <w:r>
              <w:rPr>
                <w:rFonts w:hint="eastAsia" w:ascii="宋体" w:hAnsi="宋体" w:cs="宋体"/>
                <w:color w:val="000000" w:themeColor="text1"/>
                <w:highlight w:val="none"/>
                <w:lang w:eastAsia="zh-CN"/>
                <w14:textFill>
                  <w14:solidFill>
                    <w14:schemeClr w14:val="tx1"/>
                  </w14:solidFill>
                </w14:textFill>
              </w:rPr>
              <w:t>及扬尘污染防治增加费</w:t>
            </w:r>
            <w:r>
              <w:rPr>
                <w:rFonts w:hint="eastAsia" w:ascii="宋体" w:hAnsi="宋体" w:eastAsia="宋体" w:cs="宋体"/>
                <w:color w:val="000000" w:themeColor="text1"/>
                <w:highlight w:val="none"/>
                <w14:textFill>
                  <w14:solidFill>
                    <w14:schemeClr w14:val="tx1"/>
                  </w14:solidFill>
                </w14:textFill>
              </w:rPr>
              <w:t>（不进入投标报价，进入投标总价）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计取基数</w:t>
            </w: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费率</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金额</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69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502"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520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合  计</w:t>
            </w:r>
          </w:p>
        </w:tc>
        <w:tc>
          <w:tcPr>
            <w:tcW w:w="455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48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万元</w:t>
            </w:r>
          </w:p>
        </w:tc>
      </w:tr>
    </w:tbl>
    <w:p>
      <w:pPr>
        <w:tabs>
          <w:tab w:val="left" w:pos="360"/>
          <w:tab w:val="left" w:pos="1800"/>
        </w:tabs>
        <w:spacing w:line="480" w:lineRule="exact"/>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pStyle w:val="6"/>
        <w:rPr>
          <w:rFonts w:hint="eastAsia" w:ascii="宋体" w:hAnsi="宋体" w:eastAsia="宋体" w:cs="宋体"/>
          <w:b/>
          <w:bCs/>
          <w:color w:val="000000" w:themeColor="text1"/>
          <w:sz w:val="24"/>
          <w:szCs w:val="24"/>
          <w14:textFill>
            <w14:solidFill>
              <w14:schemeClr w14:val="tx1"/>
            </w14:solidFill>
          </w14:textFill>
        </w:rPr>
      </w:pPr>
    </w:p>
    <w:p>
      <w:pPr>
        <w:pStyle w:val="6"/>
        <w:rPr>
          <w:rFonts w:hint="eastAsia" w:ascii="宋体" w:hAnsi="宋体" w:eastAsia="宋体" w:cs="宋体"/>
          <w:b/>
          <w:bCs/>
          <w:color w:val="000000" w:themeColor="text1"/>
          <w:sz w:val="24"/>
          <w:szCs w:val="24"/>
          <w14:textFill>
            <w14:solidFill>
              <w14:schemeClr w14:val="tx1"/>
            </w14:solidFill>
          </w14:textFill>
        </w:rPr>
      </w:pPr>
    </w:p>
    <w:p>
      <w:pP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 xml:space="preserve">  投标总价总说明</w:t>
      </w: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9" w:hRule="atLeast"/>
          <w:jc w:val="center"/>
        </w:trPr>
        <w:tc>
          <w:tcPr>
            <w:tcW w:w="9752" w:type="dxa"/>
            <w:noWrap w:val="0"/>
            <w:vAlign w:val="top"/>
          </w:tcPr>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1、工程概况：</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2、投标报价包括范围：</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3、投标报价编制依据：</w:t>
            </w:r>
          </w:p>
          <w:p>
            <w:pPr>
              <w:tabs>
                <w:tab w:val="left" w:pos="360"/>
                <w:tab w:val="left" w:pos="1800"/>
              </w:tabs>
              <w:spacing w:line="480" w:lineRule="exac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4、其他：</w:t>
            </w: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Cs/>
                <w:color w:val="000000" w:themeColor="text1"/>
                <w:sz w:val="24"/>
                <w:szCs w:val="24"/>
                <w14:textFill>
                  <w14:solidFill>
                    <w14:schemeClr w14:val="tx1"/>
                  </w14:solidFill>
                </w14:textFill>
              </w:rPr>
            </w:pPr>
          </w:p>
        </w:tc>
      </w:tr>
    </w:tbl>
    <w:p>
      <w:pPr>
        <w:pStyle w:val="33"/>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建设项目投标报价汇总表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572"/>
        <w:gridCol w:w="1223"/>
        <w:gridCol w:w="1505"/>
        <w:gridCol w:w="193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40"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572"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单项工程名称</w:t>
            </w:r>
          </w:p>
        </w:tc>
        <w:tc>
          <w:tcPr>
            <w:tcW w:w="1223"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金额（元）</w:t>
            </w:r>
          </w:p>
        </w:tc>
        <w:tc>
          <w:tcPr>
            <w:tcW w:w="4550" w:type="dxa"/>
            <w:gridSpan w:val="3"/>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840" w:type="dxa"/>
            <w:vMerge w:val="continue"/>
            <w:noWrap w:val="0"/>
            <w:vAlign w:val="center"/>
          </w:tcPr>
          <w:p>
            <w:pPr>
              <w:pStyle w:val="38"/>
              <w:jc w:val="center"/>
              <w:rPr>
                <w:rFonts w:hint="eastAsia" w:ascii="宋体" w:hAnsi="宋体" w:eastAsia="宋体" w:cs="宋体"/>
                <w:color w:val="000000" w:themeColor="text1"/>
                <w:sz w:val="24"/>
                <w:szCs w:val="24"/>
                <w14:textFill>
                  <w14:solidFill>
                    <w14:schemeClr w14:val="tx1"/>
                  </w14:solidFill>
                </w14:textFill>
              </w:rPr>
            </w:pPr>
          </w:p>
        </w:tc>
        <w:tc>
          <w:tcPr>
            <w:tcW w:w="3572" w:type="dxa"/>
            <w:vMerge w:val="continue"/>
            <w:noWrap w:val="0"/>
            <w:vAlign w:val="center"/>
          </w:tcPr>
          <w:p>
            <w:pPr>
              <w:pStyle w:val="38"/>
              <w:jc w:val="center"/>
              <w:rPr>
                <w:rFonts w:hint="eastAsia" w:ascii="宋体" w:hAnsi="宋体" w:eastAsia="宋体" w:cs="宋体"/>
                <w:color w:val="000000" w:themeColor="text1"/>
                <w:sz w:val="24"/>
                <w:szCs w:val="24"/>
                <w14:textFill>
                  <w14:solidFill>
                    <w14:schemeClr w14:val="tx1"/>
                  </w14:solidFill>
                </w14:textFill>
              </w:rPr>
            </w:pPr>
          </w:p>
        </w:tc>
        <w:tc>
          <w:tcPr>
            <w:tcW w:w="1223" w:type="dxa"/>
            <w:vMerge w:val="continue"/>
            <w:noWrap w:val="0"/>
            <w:vAlign w:val="center"/>
          </w:tcPr>
          <w:p>
            <w:pPr>
              <w:pStyle w:val="38"/>
              <w:jc w:val="center"/>
              <w:rPr>
                <w:rFonts w:hint="eastAsia" w:ascii="宋体" w:hAnsi="宋体" w:eastAsia="宋体" w:cs="宋体"/>
                <w:color w:val="000000" w:themeColor="text1"/>
                <w:sz w:val="24"/>
                <w:szCs w:val="24"/>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暂估价</w:t>
            </w:r>
          </w:p>
        </w:tc>
        <w:tc>
          <w:tcPr>
            <w:tcW w:w="1932" w:type="dxa"/>
            <w:noWrap w:val="0"/>
            <w:vAlign w:val="center"/>
          </w:tcPr>
          <w:p>
            <w:pPr>
              <w:pStyle w:val="33"/>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安全文明施工费</w:t>
            </w:r>
          </w:p>
        </w:tc>
        <w:tc>
          <w:tcPr>
            <w:tcW w:w="1113"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2" w:hRule="atLeast"/>
        </w:trPr>
        <w:tc>
          <w:tcPr>
            <w:tcW w:w="840"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jc w:val="center"/>
              <w:rPr>
                <w:rFonts w:hint="eastAsia" w:ascii="宋体" w:hAnsi="宋体" w:eastAsia="宋体" w:cs="宋体"/>
                <w:color w:val="000000" w:themeColor="text1"/>
                <w14:textFill>
                  <w14:solidFill>
                    <w14:schemeClr w14:val="tx1"/>
                  </w14:solidFill>
                </w14:textFill>
              </w:rPr>
            </w:pPr>
          </w:p>
          <w:p>
            <w:pPr>
              <w:pStyle w:val="33"/>
              <w:rPr>
                <w:rFonts w:hint="eastAsia" w:ascii="宋体" w:hAnsi="宋体" w:eastAsia="宋体" w:cs="宋体"/>
                <w:color w:val="000000" w:themeColor="text1"/>
                <w14:textFill>
                  <w14:solidFill>
                    <w14:schemeClr w14:val="tx1"/>
                  </w14:solidFill>
                </w14:textFill>
              </w:rPr>
            </w:pPr>
          </w:p>
        </w:tc>
        <w:tc>
          <w:tcPr>
            <w:tcW w:w="3572"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223"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932"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113"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4412" w:type="dxa"/>
            <w:gridSpan w:val="2"/>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  计</w:t>
            </w:r>
          </w:p>
        </w:tc>
        <w:tc>
          <w:tcPr>
            <w:tcW w:w="1223"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505"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932"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113"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r>
    </w:tbl>
    <w:p>
      <w:pPr>
        <w:tabs>
          <w:tab w:val="left" w:pos="2660"/>
        </w:tabs>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注：本表使用于工程项目投标报价的汇总。</w:t>
      </w:r>
    </w:p>
    <w:p>
      <w:pPr>
        <w:pStyle w:val="33"/>
        <w:tabs>
          <w:tab w:val="center" w:pos="4819"/>
          <w:tab w:val="left" w:pos="6675"/>
        </w:tabs>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tabs>
          <w:tab w:val="center" w:pos="4819"/>
          <w:tab w:val="left" w:pos="6675"/>
        </w:tabs>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33"/>
        <w:tabs>
          <w:tab w:val="center" w:pos="4819"/>
          <w:tab w:val="left" w:pos="6675"/>
        </w:tabs>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33"/>
        <w:tabs>
          <w:tab w:val="center" w:pos="4819"/>
          <w:tab w:val="left" w:pos="6675"/>
        </w:tabs>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单项工程投标报价汇总表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968"/>
        <w:gridCol w:w="1262"/>
        <w:gridCol w:w="1069"/>
        <w:gridCol w:w="19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721"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968"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单位工程名称</w:t>
            </w:r>
          </w:p>
        </w:tc>
        <w:tc>
          <w:tcPr>
            <w:tcW w:w="1262"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金额（元）</w:t>
            </w:r>
          </w:p>
        </w:tc>
        <w:tc>
          <w:tcPr>
            <w:tcW w:w="3949" w:type="dxa"/>
            <w:gridSpan w:val="3"/>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1"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3968"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62"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暂估价</w:t>
            </w:r>
          </w:p>
        </w:tc>
        <w:tc>
          <w:tcPr>
            <w:tcW w:w="1980" w:type="dxa"/>
            <w:noWrap w:val="0"/>
            <w:vAlign w:val="center"/>
          </w:tcPr>
          <w:p>
            <w:pPr>
              <w:pStyle w:val="33"/>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安全文明施工费</w:t>
            </w:r>
          </w:p>
        </w:tc>
        <w:tc>
          <w:tcPr>
            <w:tcW w:w="900"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6" w:hRule="atLeast"/>
        </w:trPr>
        <w:tc>
          <w:tcPr>
            <w:tcW w:w="721" w:type="dxa"/>
            <w:noWrap w:val="0"/>
            <w:vAlign w:val="center"/>
          </w:tcPr>
          <w:p>
            <w:pPr>
              <w:pStyle w:val="33"/>
              <w:rPr>
                <w:rFonts w:hint="eastAsia" w:ascii="宋体" w:hAnsi="宋体" w:eastAsia="宋体" w:cs="宋体"/>
                <w:color w:val="000000" w:themeColor="text1"/>
                <w:sz w:val="24"/>
                <w:szCs w:val="24"/>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tc>
        <w:tc>
          <w:tcPr>
            <w:tcW w:w="3968"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62"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980"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900"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689" w:type="dxa"/>
            <w:gridSpan w:val="2"/>
            <w:noWrap w:val="0"/>
            <w:vAlign w:val="center"/>
          </w:tcPr>
          <w:p>
            <w:pPr>
              <w:pStyle w:val="33"/>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  计</w:t>
            </w:r>
          </w:p>
        </w:tc>
        <w:tc>
          <w:tcPr>
            <w:tcW w:w="1262"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069"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980"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900"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注：本表适用于单项工程投标报价的汇总，暂估价包括分部分项工程中的暂估价和专业工程暂估价。</w:t>
      </w:r>
    </w:p>
    <w:p>
      <w:pPr>
        <w:pStyle w:val="33"/>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单位工程投标报价汇总表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4653"/>
        <w:gridCol w:w="138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汇总内容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金额（元）</w:t>
            </w: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分部分项工程</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1.4</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4653"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措施项目</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其中：安全文明施工费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其他项目</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3.1</w:t>
            </w:r>
          </w:p>
        </w:tc>
        <w:tc>
          <w:tcPr>
            <w:tcW w:w="4653" w:type="dxa"/>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w:t>
            </w:r>
            <w:r>
              <w:rPr>
                <w:rFonts w:hint="eastAsia" w:ascii="宋体" w:hAnsi="宋体" w:eastAsia="宋体" w:cs="宋体"/>
                <w:color w:val="000000" w:themeColor="text1"/>
                <w:kern w:val="2"/>
                <w:sz w:val="24"/>
                <w:szCs w:val="24"/>
                <w:lang w:val="en-US" w:eastAsia="zh-CN" w:bidi="ar-SA"/>
                <w14:textFill>
                  <w14:solidFill>
                    <w14:schemeClr w14:val="tx1"/>
                  </w14:solidFill>
                </w14:textFill>
              </w:rPr>
              <w:t>：暂列金额</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0000</w:t>
            </w: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其中：专业工程暂估价</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其中：计日工</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其中：总承包服务费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规费</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70"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4653" w:type="dxa"/>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增值税（销项税额）</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023" w:type="dxa"/>
            <w:gridSpan w:val="2"/>
            <w:noWrap w:val="0"/>
            <w:vAlign w:val="center"/>
          </w:tcPr>
          <w:p>
            <w:pPr>
              <w:pStyle w:val="33"/>
              <w:tabs>
                <w:tab w:val="center" w:pos="4153"/>
                <w:tab w:val="right" w:pos="8306"/>
              </w:tabs>
              <w:snapToGrid w:val="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合计＝1＋2＋3＋4＋5</w:t>
            </w:r>
          </w:p>
        </w:tc>
        <w:tc>
          <w:tcPr>
            <w:tcW w:w="1381"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246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bl>
    <w:p>
      <w:pPr>
        <w:tabs>
          <w:tab w:val="left" w:pos="2660"/>
        </w:tabs>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注：本表适用于单位工程投标报价汇总，如无单位工程划分，单项工程也使用本表汇总。</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7</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分部分项工程和单价措施项目清单与计价表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27"/>
        <w:gridCol w:w="1241"/>
        <w:gridCol w:w="1809"/>
        <w:gridCol w:w="1206"/>
        <w:gridCol w:w="1065"/>
        <w:gridCol w:w="887"/>
        <w:gridCol w:w="104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724"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27"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项目编码</w:t>
            </w:r>
          </w:p>
        </w:tc>
        <w:tc>
          <w:tcPr>
            <w:tcW w:w="1241"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809"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项目特征描述</w:t>
            </w:r>
          </w:p>
        </w:tc>
        <w:tc>
          <w:tcPr>
            <w:tcW w:w="1206"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计量单位</w:t>
            </w:r>
          </w:p>
        </w:tc>
        <w:tc>
          <w:tcPr>
            <w:tcW w:w="1065"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工程量</w:t>
            </w:r>
          </w:p>
        </w:tc>
        <w:tc>
          <w:tcPr>
            <w:tcW w:w="2899" w:type="dxa"/>
            <w:gridSpan w:val="3"/>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724"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27"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41"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809"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06"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065"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887"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综合单价</w:t>
            </w:r>
          </w:p>
        </w:tc>
        <w:tc>
          <w:tcPr>
            <w:tcW w:w="1045" w:type="dxa"/>
            <w:vMerge w:val="restart"/>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w:t>
            </w:r>
          </w:p>
        </w:tc>
        <w:tc>
          <w:tcPr>
            <w:tcW w:w="967"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724"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27"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41"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809"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206"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065"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887"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1045" w:type="dxa"/>
            <w:vMerge w:val="continue"/>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trPr>
        <w:tc>
          <w:tcPr>
            <w:tcW w:w="724"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22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241"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809"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206"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065"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88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272" w:type="dxa"/>
            <w:gridSpan w:val="6"/>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本页小计</w:t>
            </w:r>
          </w:p>
        </w:tc>
        <w:tc>
          <w:tcPr>
            <w:tcW w:w="88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72" w:type="dxa"/>
            <w:gridSpan w:val="6"/>
            <w:noWrap w:val="0"/>
            <w:vAlign w:val="center"/>
          </w:tcPr>
          <w:p>
            <w:pPr>
              <w:pStyle w:val="3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88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1045"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c>
          <w:tcPr>
            <w:tcW w:w="967" w:type="dxa"/>
            <w:noWrap w:val="0"/>
            <w:vAlign w:val="center"/>
          </w:tcPr>
          <w:p>
            <w:pPr>
              <w:pStyle w:val="33"/>
              <w:jc w:val="center"/>
              <w:rPr>
                <w:rFonts w:hint="eastAsia" w:ascii="宋体" w:hAnsi="宋体" w:eastAsia="宋体" w:cs="宋体"/>
                <w:color w:val="000000" w:themeColor="text1"/>
                <w14:textFill>
                  <w14:solidFill>
                    <w14:schemeClr w14:val="tx1"/>
                  </w14:solidFill>
                </w14:textFill>
              </w:rPr>
            </w:pPr>
          </w:p>
        </w:tc>
      </w:tr>
    </w:tbl>
    <w:p>
      <w:pPr>
        <w:pStyle w:val="33"/>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注：为计取规费等的使用，可在表中增设其中：“定额人工费”。</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both"/>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8</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szCs w:val="24"/>
          <w14:textFill>
            <w14:solidFill>
              <w14:schemeClr w14:val="tx1"/>
            </w14:solidFill>
          </w14:textFill>
        </w:rPr>
        <w:t>综合单价分析表（可以横向编制）</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0"/>
        <w:gridCol w:w="618"/>
        <w:gridCol w:w="91"/>
        <w:gridCol w:w="708"/>
        <w:gridCol w:w="426"/>
        <w:gridCol w:w="81"/>
        <w:gridCol w:w="437"/>
        <w:gridCol w:w="519"/>
        <w:gridCol w:w="97"/>
        <w:gridCol w:w="253"/>
        <w:gridCol w:w="168"/>
        <w:gridCol w:w="287"/>
        <w:gridCol w:w="232"/>
        <w:gridCol w:w="619"/>
        <w:gridCol w:w="284"/>
        <w:gridCol w:w="746"/>
        <w:gridCol w:w="169"/>
        <w:gridCol w:w="107"/>
        <w:gridCol w:w="112"/>
        <w:gridCol w:w="709"/>
        <w:gridCol w:w="485"/>
        <w:gridCol w:w="254"/>
        <w:gridCol w:w="537"/>
        <w:gridCol w:w="515"/>
        <w:gridCol w:w="52"/>
        <w:gridCol w:w="75"/>
        <w:gridCol w:w="492"/>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05" w:type="dxa"/>
            <w:gridSpan w:val="3"/>
            <w:noWrap w:val="0"/>
            <w:vAlign w:val="center"/>
          </w:tcPr>
          <w:p>
            <w:pPr>
              <w:pStyle w:val="33"/>
              <w:tabs>
                <w:tab w:val="center" w:pos="4153"/>
                <w:tab w:val="right" w:pos="8306"/>
              </w:tabs>
              <w:snapToGrid w:val="0"/>
              <w:ind w:left="-540" w:leftChars="-257" w:firstLine="540" w:firstLineChars="225"/>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项目编码</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计量单位</w:t>
            </w:r>
          </w:p>
        </w:tc>
        <w:tc>
          <w:tcPr>
            <w:tcW w:w="1306"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1306"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工程量</w:t>
            </w:r>
          </w:p>
        </w:tc>
        <w:tc>
          <w:tcPr>
            <w:tcW w:w="130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447" w:type="dxa"/>
            <w:gridSpan w:val="2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清单综合单价组成明细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编号</w:t>
            </w:r>
          </w:p>
        </w:tc>
        <w:tc>
          <w:tcPr>
            <w:tcW w:w="709"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名称</w:t>
            </w:r>
          </w:p>
        </w:tc>
        <w:tc>
          <w:tcPr>
            <w:tcW w:w="708"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定额</w:t>
            </w:r>
          </w:p>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426"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5559" w:type="dxa"/>
            <w:gridSpan w:val="17"/>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gridSpan w:val="2"/>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8" w:type="dxa"/>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26" w:type="dxa"/>
            <w:vMerge w:val="continue"/>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人工费</w:t>
            </w:r>
          </w:p>
        </w:tc>
        <w:tc>
          <w:tcPr>
            <w:tcW w:w="519"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材料费</w:t>
            </w:r>
          </w:p>
        </w:tc>
        <w:tc>
          <w:tcPr>
            <w:tcW w:w="518" w:type="dxa"/>
            <w:gridSpan w:val="3"/>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机械费</w:t>
            </w:r>
          </w:p>
        </w:tc>
        <w:tc>
          <w:tcPr>
            <w:tcW w:w="519" w:type="dxa"/>
            <w:gridSpan w:val="2"/>
            <w:vMerge w:val="restart"/>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管理费</w:t>
            </w:r>
          </w:p>
        </w:tc>
        <w:tc>
          <w:tcPr>
            <w:tcW w:w="1649" w:type="dxa"/>
            <w:gridSpan w:val="3"/>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管理费分析</w:t>
            </w:r>
          </w:p>
        </w:tc>
        <w:tc>
          <w:tcPr>
            <w:tcW w:w="388" w:type="dxa"/>
            <w:gridSpan w:val="3"/>
            <w:vMerge w:val="restart"/>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利润</w:t>
            </w:r>
          </w:p>
        </w:tc>
        <w:tc>
          <w:tcPr>
            <w:tcW w:w="1448" w:type="dxa"/>
            <w:gridSpan w:val="3"/>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利润分析</w:t>
            </w:r>
          </w:p>
        </w:tc>
        <w:tc>
          <w:tcPr>
            <w:tcW w:w="537"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人工费</w:t>
            </w:r>
          </w:p>
        </w:tc>
        <w:tc>
          <w:tcPr>
            <w:tcW w:w="56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材料费</w:t>
            </w:r>
          </w:p>
        </w:tc>
        <w:tc>
          <w:tcPr>
            <w:tcW w:w="567" w:type="dxa"/>
            <w:gridSpan w:val="2"/>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机械费</w:t>
            </w:r>
          </w:p>
        </w:tc>
        <w:tc>
          <w:tcPr>
            <w:tcW w:w="687" w:type="dxa"/>
            <w:vMerge w:val="restart"/>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管理费和利润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8"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26"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3"/>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gridSpan w:val="2"/>
            <w:vMerge w:val="continue"/>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计算基数</w:t>
            </w: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费率（%）</w:t>
            </w:r>
          </w:p>
        </w:tc>
        <w:tc>
          <w:tcPr>
            <w:tcW w:w="388" w:type="dxa"/>
            <w:gridSpan w:val="3"/>
            <w:vMerge w:val="continue"/>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p>
        </w:tc>
        <w:tc>
          <w:tcPr>
            <w:tcW w:w="709" w:type="dxa"/>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计算基数</w:t>
            </w:r>
          </w:p>
        </w:tc>
        <w:tc>
          <w:tcPr>
            <w:tcW w:w="739" w:type="dxa"/>
            <w:gridSpan w:val="2"/>
            <w:noWrap w:val="0"/>
            <w:vAlign w:val="center"/>
          </w:tcPr>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费率</w:t>
            </w:r>
          </w:p>
          <w:p>
            <w:pPr>
              <w:tabs>
                <w:tab w:val="left" w:pos="266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537" w:type="dxa"/>
            <w:vMerge w:val="continue"/>
            <w:tcBorders>
              <w:bottom w:val="single" w:color="auto" w:sz="4" w:space="0"/>
            </w:tcBorders>
            <w:noWrap w:val="0"/>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687" w:type="dxa"/>
            <w:vMerge w:val="continue"/>
            <w:tcBorders>
              <w:bottom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8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8"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42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1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903"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46"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38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09"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73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人工单价</w:t>
            </w:r>
          </w:p>
        </w:tc>
        <w:tc>
          <w:tcPr>
            <w:tcW w:w="6693" w:type="dxa"/>
            <w:gridSpan w:val="1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小计</w:t>
            </w:r>
          </w:p>
        </w:tc>
        <w:tc>
          <w:tcPr>
            <w:tcW w:w="53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567"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c>
          <w:tcPr>
            <w:tcW w:w="687" w:type="dxa"/>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396"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元/工日</w:t>
            </w:r>
          </w:p>
        </w:tc>
        <w:tc>
          <w:tcPr>
            <w:tcW w:w="6693" w:type="dxa"/>
            <w:gridSpan w:val="1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未计价材料费</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089" w:type="dxa"/>
            <w:gridSpan w:val="2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清单项目综合单价</w:t>
            </w:r>
          </w:p>
        </w:tc>
        <w:tc>
          <w:tcPr>
            <w:tcW w:w="2358" w:type="dxa"/>
            <w:gridSpan w:val="6"/>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47" w:type="dxa"/>
            <w:vMerge w:val="restart"/>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料</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明</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细</w:t>
            </w:r>
          </w:p>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费</w:t>
            </w:r>
          </w:p>
        </w:tc>
        <w:tc>
          <w:tcPr>
            <w:tcW w:w="3017" w:type="dxa"/>
            <w:gridSpan w:val="9"/>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主要材料名称、规格、型号</w:t>
            </w:r>
          </w:p>
        </w:tc>
        <w:tc>
          <w:tcPr>
            <w:tcW w:w="708"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135" w:type="dxa"/>
            <w:gridSpan w:val="3"/>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915"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1667" w:type="dxa"/>
            <w:gridSpan w:val="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w:t>
            </w:r>
          </w:p>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（元）</w:t>
            </w:r>
          </w:p>
        </w:tc>
        <w:tc>
          <w:tcPr>
            <w:tcW w:w="1179" w:type="dxa"/>
            <w:gridSpan w:val="4"/>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暂估单价（元）</w:t>
            </w:r>
          </w:p>
        </w:tc>
        <w:tc>
          <w:tcPr>
            <w:tcW w:w="1179" w:type="dxa"/>
            <w:gridSpan w:val="2"/>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3017" w:type="dxa"/>
            <w:gridSpan w:val="9"/>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708"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35" w:type="dxa"/>
            <w:gridSpan w:val="3"/>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4860" w:type="dxa"/>
            <w:gridSpan w:val="1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其他材料费</w:t>
            </w: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7" w:type="dxa"/>
            <w:vMerge w:val="continue"/>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4860" w:type="dxa"/>
            <w:gridSpan w:val="15"/>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材料费小计</w:t>
            </w:r>
          </w:p>
        </w:tc>
        <w:tc>
          <w:tcPr>
            <w:tcW w:w="915"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67" w:type="dxa"/>
            <w:gridSpan w:val="5"/>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4"/>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c>
          <w:tcPr>
            <w:tcW w:w="1179" w:type="dxa"/>
            <w:gridSpan w:val="2"/>
            <w:noWrap w:val="0"/>
            <w:vAlign w:val="center"/>
          </w:tcPr>
          <w:p>
            <w:pPr>
              <w:pStyle w:val="33"/>
              <w:tabs>
                <w:tab w:val="center" w:pos="4153"/>
                <w:tab w:val="right" w:pos="8306"/>
              </w:tabs>
              <w:snapToGrid w:val="0"/>
              <w:spacing w:line="480" w:lineRule="exact"/>
              <w:jc w:val="center"/>
              <w:rPr>
                <w:rFonts w:hint="eastAsia" w:ascii="宋体" w:hAnsi="宋体" w:eastAsia="宋体" w:cs="宋体"/>
                <w:color w:val="000000" w:themeColor="text1"/>
                <w:sz w:val="24"/>
                <w:szCs w:val="24"/>
                <w14:textFill>
                  <w14:solidFill>
                    <w14:schemeClr w14:val="tx1"/>
                  </w14:solidFill>
                </w14:textFill>
              </w:rPr>
            </w:pPr>
          </w:p>
        </w:tc>
      </w:tr>
    </w:tbl>
    <w:p>
      <w:pPr>
        <w:pStyle w:val="33"/>
        <w:spacing w:line="360" w:lineRule="auto"/>
        <w:ind w:left="738" w:hanging="703" w:hangingChars="35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注：1、如不使用省级或行业建设主管部门发布的计价依据，可不填写定额项目、编号等。</w:t>
      </w:r>
    </w:p>
    <w:p>
      <w:pPr>
        <w:tabs>
          <w:tab w:val="left" w:pos="2660"/>
        </w:tabs>
        <w:ind w:firstLine="422" w:firstLineChars="200"/>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2、招标文件提供了暂估单价的材料，按暂估单价填入表内“暂估单价”栏及“暂估合价”栏。</w:t>
      </w: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tbl>
      <w:tblPr>
        <w:tblStyle w:val="57"/>
        <w:tblpPr w:leftFromText="180" w:rightFromText="180" w:vertAnchor="page" w:horzAnchor="margin" w:tblpXSpec="center" w:tblpY="229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080"/>
        <w:gridCol w:w="1082"/>
        <w:gridCol w:w="1320"/>
        <w:gridCol w:w="1526"/>
        <w:gridCol w:w="1115"/>
        <w:gridCol w:w="1320"/>
        <w:gridCol w:w="1320"/>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080" w:type="dxa"/>
            <w:tcBorders>
              <w:top w:val="single" w:color="auto" w:sz="4" w:space="0"/>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项目编码</w:t>
            </w:r>
          </w:p>
        </w:tc>
        <w:tc>
          <w:tcPr>
            <w:tcW w:w="1082" w:type="dxa"/>
            <w:tcBorders>
              <w:top w:val="single" w:color="auto" w:sz="4" w:space="0"/>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项目名称</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计算基础</w:t>
            </w:r>
          </w:p>
        </w:tc>
        <w:tc>
          <w:tcPr>
            <w:tcW w:w="1526"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费率（%）</w:t>
            </w:r>
          </w:p>
        </w:tc>
        <w:tc>
          <w:tcPr>
            <w:tcW w:w="1115"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金额（元）</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调整费率（%）</w:t>
            </w:r>
          </w:p>
        </w:tc>
        <w:tc>
          <w:tcPr>
            <w:tcW w:w="1320"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调整后金额（元）</w:t>
            </w:r>
          </w:p>
        </w:tc>
        <w:tc>
          <w:tcPr>
            <w:tcW w:w="745" w:type="dxa"/>
            <w:tcBorders>
              <w:top w:val="single" w:color="auto" w:sz="4" w:space="0"/>
              <w:left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4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082" w:type="dxa"/>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526"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048" w:type="dxa"/>
            <w:gridSpan w:val="5"/>
            <w:tcBorders>
              <w:top w:val="single" w:color="auto" w:sz="4" w:space="0"/>
              <w:left w:val="single" w:color="auto" w:sz="4" w:space="0"/>
              <w:bottom w:val="single" w:color="auto" w:sz="4" w:space="0"/>
              <w:right w:val="single" w:color="auto" w:sz="4" w:space="0"/>
            </w:tcBorders>
            <w:noWrap w:val="0"/>
            <w:vAlign w:val="center"/>
          </w:tcPr>
          <w:p>
            <w:pPr>
              <w:pStyle w:val="33"/>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w:t>
            </w:r>
          </w:p>
        </w:tc>
        <w:tc>
          <w:tcPr>
            <w:tcW w:w="111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1320"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c>
          <w:tcPr>
            <w:tcW w:w="745" w:type="dxa"/>
            <w:tcBorders>
              <w:left w:val="single" w:color="auto" w:sz="4" w:space="0"/>
              <w:right w:val="single" w:color="auto" w:sz="4" w:space="0"/>
            </w:tcBorders>
            <w:noWrap w:val="0"/>
            <w:vAlign w:val="center"/>
          </w:tcPr>
          <w:p>
            <w:pPr>
              <w:pStyle w:val="33"/>
              <w:spacing w:line="280" w:lineRule="exact"/>
              <w:jc w:val="left"/>
              <w:rPr>
                <w:rFonts w:hint="eastAsia" w:ascii="宋体" w:hAnsi="宋体" w:eastAsia="宋体" w:cs="宋体"/>
                <w:color w:val="000000" w:themeColor="text1"/>
                <w14:textFill>
                  <w14:solidFill>
                    <w14:schemeClr w14:val="tx1"/>
                  </w14:solidFill>
                </w14:textFill>
              </w:rPr>
            </w:pPr>
          </w:p>
        </w:tc>
      </w:tr>
    </w:tbl>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格式1</w:t>
      </w:r>
      <w:r>
        <w:rPr>
          <w:rFonts w:hint="eastAsia" w:ascii="宋体" w:hAnsi="宋体" w:eastAsia="宋体" w:cs="宋体"/>
          <w:b/>
          <w:bCs/>
          <w:color w:val="000000" w:themeColor="text1"/>
          <w:sz w:val="24"/>
          <w:szCs w:val="24"/>
          <w:lang w:val="en-US" w:eastAsia="zh-CN"/>
          <w14:textFill>
            <w14:solidFill>
              <w14:schemeClr w14:val="tx1"/>
            </w14:solidFill>
          </w14:textFill>
        </w:rPr>
        <w:t>9</w:t>
      </w:r>
      <w:r>
        <w:rPr>
          <w:rFonts w:hint="eastAsia" w:ascii="宋体" w:hAnsi="宋体" w:eastAsia="宋体" w:cs="宋体"/>
          <w:b/>
          <w:bCs/>
          <w:color w:val="000000" w:themeColor="text1"/>
          <w:sz w:val="24"/>
          <w:szCs w:val="24"/>
          <w14:textFill>
            <w14:solidFill>
              <w14:schemeClr w14:val="tx1"/>
            </w14:solidFill>
          </w14:textFill>
        </w:rPr>
        <w:t xml:space="preserve">   总价措施项目清单与计价表</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工程名称：                                                          第 页   共 页</w:t>
      </w:r>
    </w:p>
    <w:p>
      <w:pPr>
        <w:pStyle w:val="33"/>
        <w:spacing w:line="280" w:lineRule="exact"/>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注：1.“计算基础”中安全文明施工费可为“定额基价”、“定额人工费”或“定额人工费+定额机械费”，其他项目可为“定额人工费”或“定额人工费+定额机械费”。</w:t>
      </w:r>
    </w:p>
    <w:p>
      <w:pPr>
        <w:pStyle w:val="33"/>
        <w:spacing w:line="280" w:lineRule="exact"/>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2.按施工方案计算的措施费，若无“计算基础”和“费率”的数值，也可只填“金额”数值，但应在备注栏说明施工方案出处或计算方法。</w:t>
      </w:r>
    </w:p>
    <w:p>
      <w:pPr>
        <w:tabs>
          <w:tab w:val="left" w:pos="360"/>
          <w:tab w:val="left" w:pos="1800"/>
        </w:tabs>
        <w:spacing w:line="480" w:lineRule="exact"/>
        <w:jc w:val="center"/>
        <w:rPr>
          <w:rFonts w:hint="eastAsia" w:ascii="宋体" w:hAnsi="宋体" w:eastAsia="宋体" w:cs="宋体"/>
          <w:b/>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val="en-US" w:eastAsia="zh-CN"/>
          <w14:textFill>
            <w14:solidFill>
              <w14:schemeClr w14:val="tx1"/>
            </w14:solidFill>
          </w14:textFill>
        </w:rPr>
        <w:t>9</w:t>
      </w:r>
      <w:r>
        <w:rPr>
          <w:rFonts w:hint="eastAsia" w:ascii="宋体" w:hAnsi="宋体" w:eastAsia="宋体" w:cs="宋体"/>
          <w:b/>
          <w:color w:val="000000" w:themeColor="text1"/>
          <w:sz w:val="24"/>
          <w:szCs w:val="24"/>
          <w14:textFill>
            <w14:solidFill>
              <w14:schemeClr w14:val="tx1"/>
            </w14:solidFill>
          </w14:textFill>
        </w:rPr>
        <w:t>-1  措施项目汇总表</w:t>
      </w:r>
    </w:p>
    <w:p>
      <w:pPr>
        <w:spacing w:line="36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4399"/>
        <w:gridCol w:w="3200"/>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 目 名 称</w:t>
            </w:r>
          </w:p>
        </w:tc>
        <w:tc>
          <w:tcPr>
            <w:tcW w:w="3200"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金额（元）</w:t>
            </w:r>
          </w:p>
        </w:tc>
        <w:tc>
          <w:tcPr>
            <w:tcW w:w="1538" w:type="dxa"/>
            <w:tcBorders>
              <w:top w:val="single" w:color="auto" w:sz="4" w:space="0"/>
              <w:left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7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439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47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w:t>
            </w:r>
          </w:p>
        </w:tc>
        <w:tc>
          <w:tcPr>
            <w:tcW w:w="3200"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538" w:type="dxa"/>
            <w:tcBorders>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208"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注：投标人根据 《</w:t>
            </w:r>
            <w:r>
              <w:rPr>
                <w:rFonts w:hint="eastAsia" w:ascii="宋体" w:hAnsi="宋体" w:eastAsia="宋体" w:cs="宋体"/>
                <w:b/>
                <w:color w:val="000000" w:themeColor="text1"/>
                <w:lang w:eastAsia="zh-CN"/>
                <w14:textFill>
                  <w14:solidFill>
                    <w14:schemeClr w14:val="tx1"/>
                  </w14:solidFill>
                </w14:textFill>
              </w:rPr>
              <w:t>格式</w:t>
            </w:r>
            <w:r>
              <w:rPr>
                <w:rFonts w:hint="eastAsia" w:ascii="宋体" w:hAnsi="宋体" w:eastAsia="宋体" w:cs="宋体"/>
                <w:b/>
                <w:color w:val="000000" w:themeColor="text1"/>
                <w14:textFill>
                  <w14:solidFill>
                    <w14:schemeClr w14:val="tx1"/>
                  </w14:solidFill>
                </w14:textFill>
              </w:rPr>
              <w:t>1</w:t>
            </w:r>
            <w:r>
              <w:rPr>
                <w:rFonts w:hint="eastAsia" w:ascii="宋体" w:hAnsi="宋体" w:eastAsia="宋体" w:cs="宋体"/>
                <w:b/>
                <w:color w:val="000000" w:themeColor="text1"/>
                <w:lang w:val="en-US" w:eastAsia="zh-CN"/>
                <w14:textFill>
                  <w14:solidFill>
                    <w14:schemeClr w14:val="tx1"/>
                  </w14:solidFill>
                </w14:textFill>
              </w:rPr>
              <w:t xml:space="preserve">7  </w:t>
            </w:r>
            <w:r>
              <w:rPr>
                <w:rFonts w:hint="eastAsia" w:ascii="宋体" w:hAnsi="宋体" w:eastAsia="宋体" w:cs="宋体"/>
                <w:b/>
                <w:color w:val="000000" w:themeColor="text1"/>
                <w14:textFill>
                  <w14:solidFill>
                    <w14:schemeClr w14:val="tx1"/>
                  </w14:solidFill>
                </w14:textFill>
              </w:rPr>
              <w:t>分部分项工程和单价措施项目清单与计价表》、《</w:t>
            </w:r>
            <w:r>
              <w:rPr>
                <w:rFonts w:hint="eastAsia" w:ascii="宋体" w:hAnsi="宋体" w:eastAsia="宋体" w:cs="宋体"/>
                <w:b/>
                <w:color w:val="000000" w:themeColor="text1"/>
                <w:lang w:eastAsia="zh-CN"/>
                <w14:textFill>
                  <w14:solidFill>
                    <w14:schemeClr w14:val="tx1"/>
                  </w14:solidFill>
                </w14:textFill>
              </w:rPr>
              <w:t>格式</w:t>
            </w:r>
            <w:r>
              <w:rPr>
                <w:rFonts w:hint="eastAsia" w:ascii="宋体" w:hAnsi="宋体" w:eastAsia="宋体" w:cs="宋体"/>
                <w:b/>
                <w:color w:val="000000" w:themeColor="text1"/>
                <w:lang w:val="en-US" w:eastAsia="zh-CN"/>
                <w14:textFill>
                  <w14:solidFill>
                    <w14:schemeClr w14:val="tx1"/>
                  </w14:solidFill>
                </w14:textFill>
              </w:rPr>
              <w:t xml:space="preserve">19  </w:t>
            </w:r>
            <w:r>
              <w:rPr>
                <w:rFonts w:hint="eastAsia" w:ascii="宋体" w:hAnsi="宋体" w:eastAsia="宋体" w:cs="宋体"/>
                <w:b/>
                <w:color w:val="000000" w:themeColor="text1"/>
                <w14:textFill>
                  <w14:solidFill>
                    <w14:schemeClr w14:val="tx1"/>
                  </w14:solidFill>
                </w14:textFill>
              </w:rPr>
              <w:t>总价措施项目清单与计价表》中的内容将各项措施项目逐项汇总在本表中。</w:t>
            </w:r>
          </w:p>
        </w:tc>
      </w:tr>
    </w:tbl>
    <w:p>
      <w:pPr>
        <w:pStyle w:val="35"/>
        <w:tabs>
          <w:tab w:val="left" w:pos="360"/>
          <w:tab w:val="left" w:pos="1800"/>
        </w:tabs>
        <w:spacing w:line="360" w:lineRule="auto"/>
        <w:ind w:left="480"/>
        <w:jc w:val="center"/>
        <w:rPr>
          <w:rFonts w:hint="eastAsia" w:ascii="宋体" w:hAnsi="宋体" w:eastAsia="宋体" w:cs="宋体"/>
          <w:b/>
          <w:color w:val="000000" w:themeColor="text1"/>
          <w14:textFill>
            <w14:solidFill>
              <w14:schemeClr w14:val="tx1"/>
            </w14:solidFill>
          </w14:textFill>
        </w:rPr>
      </w:pPr>
    </w:p>
    <w:p>
      <w:pPr>
        <w:pStyle w:val="35"/>
        <w:tabs>
          <w:tab w:val="left" w:pos="360"/>
          <w:tab w:val="left" w:pos="1800"/>
        </w:tabs>
        <w:spacing w:line="360" w:lineRule="auto"/>
        <w:rPr>
          <w:rFonts w:hint="eastAsia" w:ascii="宋体" w:hAnsi="宋体" w:eastAsia="宋体" w:cs="宋体"/>
          <w:b/>
          <w:color w:val="000000" w:themeColor="text1"/>
          <w:lang w:eastAsia="zh-CN"/>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color w:val="000000" w:themeColor="text1"/>
          <w:sz w:val="24"/>
          <w:szCs w:val="24"/>
          <w:lang w:val="en-US" w:eastAsia="zh-CN"/>
          <w14:textFill>
            <w14:solidFill>
              <w14:schemeClr w14:val="tx1"/>
            </w14:solidFill>
          </w14:textFill>
        </w:rPr>
        <w:t>20</w:t>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szCs w:val="24"/>
          <w14:textFill>
            <w14:solidFill>
              <w14:schemeClr w14:val="tx1"/>
            </w14:solidFill>
          </w14:textFill>
        </w:rPr>
        <w:t>其他项目清单与计价汇总表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pPr w:leftFromText="180" w:rightFromText="180" w:vertAnchor="text" w:tblpY="132"/>
        <w:tblW w:w="10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135"/>
        <w:gridCol w:w="850"/>
        <w:gridCol w:w="2268"/>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 目 名 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金额（元）</w:t>
            </w: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暂列金额</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hAnsi="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lang w:val="en-US" w:eastAsia="zh-CN" w:bidi="ar-SA"/>
                <w14:textFill>
                  <w14:solidFill>
                    <w14:schemeClr w14:val="tx1"/>
                  </w14:solidFill>
                </w14:textFill>
              </w:rPr>
              <w:t>0000</w:t>
            </w:r>
          </w:p>
        </w:tc>
        <w:tc>
          <w:tcPr>
            <w:tcW w:w="981" w:type="dxa"/>
            <w:tcBorders>
              <w:top w:val="single" w:color="auto" w:sz="4" w:space="0"/>
              <w:left w:val="single" w:color="auto" w:sz="4" w:space="0"/>
              <w:bottom w:val="single" w:color="auto" w:sz="4" w:space="0"/>
              <w:right w:val="single" w:color="auto" w:sz="4" w:space="0"/>
            </w:tcBorders>
            <w:noWrap w:val="0"/>
            <w:vAlign w:val="center"/>
          </w:tcPr>
          <w:p>
            <w:pPr>
              <w:pStyle w:val="33"/>
              <w:tabs>
                <w:tab w:val="center" w:pos="4153"/>
                <w:tab w:val="right" w:pos="8306"/>
              </w:tabs>
              <w:snapToGrid w:val="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材料（工程设备）暂估价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yellow"/>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yellow"/>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专业工程暂估价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计日工</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总承包服务费</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索赔与现场签证</w:t>
            </w: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513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0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  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注：材料（工程设备）暂估单价进入清单项目综合单价，此处不汇总。</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bCs/>
          <w:color w:val="000000" w:themeColor="text1"/>
          <w:sz w:val="24"/>
          <w:szCs w:val="24"/>
          <w:lang w:val="en-US" w:eastAsia="zh-CN"/>
          <w14:textFill>
            <w14:solidFill>
              <w14:schemeClr w14:val="tx1"/>
            </w14:solidFill>
          </w14:textFill>
        </w:rPr>
        <w:t>21</w:t>
      </w:r>
      <w:r>
        <w:rPr>
          <w:rFonts w:hint="eastAsia" w:ascii="宋体" w:hAnsi="宋体" w:eastAsia="宋体" w:cs="宋体"/>
          <w:b/>
          <w:bCs/>
          <w:color w:val="000000" w:themeColor="text1"/>
          <w:sz w:val="24"/>
          <w:szCs w:val="24"/>
          <w14:textFill>
            <w14:solidFill>
              <w14:schemeClr w14:val="tx1"/>
            </w14:solidFill>
          </w14:textFill>
        </w:rPr>
        <w:t xml:space="preserve">  暂列金额明细表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pPr w:leftFromText="180" w:rightFromText="180" w:vertAnchor="text" w:horzAnchor="margin" w:tblpY="222"/>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4408"/>
        <w:gridCol w:w="1744"/>
        <w:gridCol w:w="16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 目 名 称</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计量单位</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暂定金额（元）</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工程实施过程中发生工程变更、合同约定调整因素出现时的合同价款调整以及发生的索赔、现场签订等确认费用</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项</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0000</w:t>
            </w: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themeColor="text1"/>
                <w:sz w:val="24"/>
                <w:szCs w:val="24"/>
                <w:lang w:val="en-US" w:eastAsia="zh-CN"/>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360"/>
                <w:tab w:val="left" w:pos="1800"/>
              </w:tabs>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380" w:lineRule="exact"/>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440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7221"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  计</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bl>
    <w:p>
      <w:pPr>
        <w:tabs>
          <w:tab w:val="left" w:pos="360"/>
          <w:tab w:val="left" w:pos="1800"/>
        </w:tabs>
        <w:spacing w:line="480" w:lineRule="exac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注：此表由招标人填写，如不能详列，也可只列暂定金额总额，投标人应将上述暂列金额计入投标报价中。</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bCs/>
          <w:color w:val="000000" w:themeColor="text1"/>
          <w:sz w:val="24"/>
          <w:szCs w:val="24"/>
          <w:lang w:val="en-US" w:eastAsia="zh-CN"/>
          <w14:textFill>
            <w14:solidFill>
              <w14:schemeClr w14:val="tx1"/>
            </w14:solidFill>
          </w14:textFill>
        </w:rPr>
        <w:t>22</w:t>
      </w:r>
      <w:r>
        <w:rPr>
          <w:rFonts w:hint="eastAsia" w:ascii="宋体" w:hAnsi="宋体" w:eastAsia="宋体" w:cs="宋体"/>
          <w:b/>
          <w:bCs/>
          <w:color w:val="000000" w:themeColor="text1"/>
          <w:sz w:val="24"/>
          <w:szCs w:val="24"/>
          <w14:textFill>
            <w14:solidFill>
              <w14:schemeClr w14:val="tx1"/>
            </w14:solidFill>
          </w14:textFill>
        </w:rPr>
        <w:t xml:space="preserve">   材料（工程设备）暂估单价及调整表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340"/>
        <w:gridCol w:w="720"/>
        <w:gridCol w:w="675"/>
        <w:gridCol w:w="675"/>
        <w:gridCol w:w="675"/>
        <w:gridCol w:w="675"/>
        <w:gridCol w:w="675"/>
        <w:gridCol w:w="675"/>
        <w:gridCol w:w="675"/>
        <w:gridCol w:w="6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234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材料（工程设备）名称、规格、型号</w:t>
            </w:r>
          </w:p>
        </w:tc>
        <w:tc>
          <w:tcPr>
            <w:tcW w:w="720"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计量单位</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合价（元）</w:t>
            </w:r>
          </w:p>
        </w:tc>
        <w:tc>
          <w:tcPr>
            <w:tcW w:w="135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差额±（元）</w:t>
            </w:r>
          </w:p>
        </w:tc>
        <w:tc>
          <w:tcPr>
            <w:tcW w:w="957" w:type="dxa"/>
            <w:vMerge w:val="restart"/>
            <w:tcBorders>
              <w:top w:val="single" w:color="auto" w:sz="4" w:space="0"/>
              <w:left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20"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暂估</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确认</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合价</w:t>
            </w:r>
          </w:p>
        </w:tc>
        <w:tc>
          <w:tcPr>
            <w:tcW w:w="957" w:type="dxa"/>
            <w:vMerge w:val="continue"/>
            <w:tcBorders>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sz w:val="24"/>
                <w:szCs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776"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  计</w:t>
            </w: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sz w:val="24"/>
                <w:szCs w:val="24"/>
                <w14:textFill>
                  <w14:solidFill>
                    <w14:schemeClr w14:val="tx1"/>
                  </w14:solidFill>
                </w14:textFill>
              </w:rPr>
            </w:pPr>
          </w:p>
        </w:tc>
      </w:tr>
    </w:tbl>
    <w:p>
      <w:pPr>
        <w:tabs>
          <w:tab w:val="left" w:pos="360"/>
          <w:tab w:val="left" w:pos="1800"/>
        </w:tabs>
        <w:spacing w:line="480" w:lineRule="exact"/>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注：此表由招标人填写“暂估单价”，并在备注栏说明暂估价的材料、工程设备拟用在哪些清单项目上，投标人应将上述材料、工程设备暂估单价计入工程量清单综合单价报价中。</w:t>
      </w: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格式2</w:t>
      </w: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bCs/>
          <w:color w:val="000000" w:themeColor="text1"/>
          <w:sz w:val="24"/>
          <w14:textFill>
            <w14:solidFill>
              <w14:schemeClr w14:val="tx1"/>
            </w14:solidFill>
          </w14:textFill>
        </w:rPr>
        <w:t>专业工程暂估价</w:t>
      </w:r>
      <w:r>
        <w:rPr>
          <w:rFonts w:hint="eastAsia" w:ascii="宋体" w:hAnsi="宋体" w:eastAsia="宋体" w:cs="宋体"/>
          <w:b/>
          <w:bCs/>
          <w:color w:val="000000" w:themeColor="text1"/>
          <w:sz w:val="24"/>
          <w:szCs w:val="24"/>
          <w14:textFill>
            <w14:solidFill>
              <w14:schemeClr w14:val="tx1"/>
            </w14:solidFill>
          </w14:textFill>
        </w:rPr>
        <w:t>及结算价表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655"/>
        <w:gridCol w:w="1080"/>
        <w:gridCol w:w="1031"/>
        <w:gridCol w:w="1031"/>
        <w:gridCol w:w="103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工程名称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工程内容</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暂估金额（元）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结算金额（元）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spacing w:line="280" w:lineRule="exact"/>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差额±（元）</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28"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3655"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rPr>
                <w:rFonts w:hint="eastAsia" w:ascii="宋体" w:hAnsi="宋体" w:eastAsia="宋体" w:cs="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63"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  计</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c>
          <w:tcPr>
            <w:tcW w:w="1031" w:type="dxa"/>
            <w:tcBorders>
              <w:top w:val="single" w:color="auto" w:sz="4" w:space="0"/>
              <w:left w:val="single" w:color="auto" w:sz="4" w:space="0"/>
              <w:bottom w:val="single" w:color="auto" w:sz="4" w:space="0"/>
              <w:right w:val="single" w:color="auto" w:sz="4" w:space="0"/>
            </w:tcBorders>
            <w:noWrap w:val="0"/>
            <w:vAlign w:val="center"/>
          </w:tcPr>
          <w:p>
            <w:pPr>
              <w:tabs>
                <w:tab w:val="left" w:pos="360"/>
                <w:tab w:val="left" w:pos="1800"/>
              </w:tabs>
              <w:jc w:val="center"/>
              <w:rPr>
                <w:rFonts w:hint="eastAsia" w:ascii="宋体" w:hAnsi="宋体" w:eastAsia="宋体" w:cs="宋体"/>
                <w:color w:val="000000" w:themeColor="text1"/>
                <w14:textFill>
                  <w14:solidFill>
                    <w14:schemeClr w14:val="tx1"/>
                  </w14:solidFill>
                </w14:textFill>
              </w:rPr>
            </w:pPr>
          </w:p>
        </w:tc>
      </w:tr>
    </w:tbl>
    <w:p>
      <w:pPr>
        <w:tabs>
          <w:tab w:val="left" w:pos="360"/>
          <w:tab w:val="left" w:pos="1800"/>
        </w:tabs>
        <w:jc w:val="left"/>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注：此表“暂估金额”由招标人填写，投标人应将“暂估金额”计入投标总价中。结算时按合同约定结算金额填写。</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格式2</w:t>
      </w: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 xml:space="preserve">  计日工表</w:t>
      </w:r>
    </w:p>
    <w:p>
      <w:pPr>
        <w:tabs>
          <w:tab w:val="left" w:pos="360"/>
          <w:tab w:val="left" w:pos="1800"/>
        </w:tabs>
        <w:spacing w:line="480" w:lineRule="exact"/>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288"/>
        <w:gridCol w:w="1110"/>
        <w:gridCol w:w="1110"/>
        <w:gridCol w:w="1110"/>
        <w:gridCol w:w="117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4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编号</w:t>
            </w:r>
          </w:p>
        </w:tc>
        <w:tc>
          <w:tcPr>
            <w:tcW w:w="3288"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1110" w:type="dxa"/>
            <w:vMerge w:val="restart"/>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单位</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暂定数量</w:t>
            </w:r>
          </w:p>
        </w:tc>
        <w:tc>
          <w:tcPr>
            <w:tcW w:w="111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实际数量</w:t>
            </w:r>
          </w:p>
        </w:tc>
        <w:tc>
          <w:tcPr>
            <w:tcW w:w="1170" w:type="dxa"/>
            <w:vMerge w:val="restart"/>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综合单价（元）</w:t>
            </w:r>
          </w:p>
        </w:tc>
        <w:tc>
          <w:tcPr>
            <w:tcW w:w="1440" w:type="dxa"/>
            <w:gridSpan w:val="2"/>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4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288"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vMerge w:val="continue"/>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vMerge w:val="continue"/>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暂定</w:t>
            </w:r>
          </w:p>
        </w:tc>
        <w:tc>
          <w:tcPr>
            <w:tcW w:w="720" w:type="dxa"/>
            <w:noWrap w:val="0"/>
            <w:vAlign w:val="center"/>
          </w:tcPr>
          <w:p>
            <w:pPr>
              <w:tabs>
                <w:tab w:val="left" w:pos="360"/>
                <w:tab w:val="left" w:pos="1800"/>
              </w:tabs>
              <w:spacing w:line="280" w:lineRule="exact"/>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一</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人工</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人工小计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二</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材  料</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材料小计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三</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机</w:t>
            </w:r>
            <w:r>
              <w:rPr>
                <w:rFonts w:hint="eastAsia" w:ascii="宋体" w:hAnsi="宋体" w:cs="宋体"/>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Cs/>
                <w:color w:val="000000" w:themeColor="text1"/>
                <w:sz w:val="24"/>
                <w:szCs w:val="24"/>
                <w14:textFill>
                  <w14:solidFill>
                    <w14:schemeClr w14:val="tx1"/>
                  </w14:solidFill>
                </w14:textFill>
              </w:rPr>
              <w:t>械</w:t>
            </w: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w:t>
            </w:r>
          </w:p>
        </w:tc>
        <w:tc>
          <w:tcPr>
            <w:tcW w:w="3288"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17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机械小计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8" w:type="dxa"/>
            <w:gridSpan w:val="6"/>
            <w:noWrap w:val="0"/>
            <w:vAlign w:val="center"/>
          </w:tcPr>
          <w:p>
            <w:pPr>
              <w:tabs>
                <w:tab w:val="left" w:pos="360"/>
                <w:tab w:val="left" w:pos="1800"/>
              </w:tabs>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四、企业管理费和利润</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8" w:type="dxa"/>
            <w:gridSpan w:val="6"/>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总  计</w:t>
            </w: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72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bl>
    <w:p>
      <w:pPr>
        <w:tabs>
          <w:tab w:val="left" w:pos="360"/>
          <w:tab w:val="left" w:pos="1800"/>
        </w:tabs>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此表项目名称、暂定数量由招标人填写，编制招标控制价时，单价由招标人按有关计价规定确定；投标时，单价由投标人自主报价，按暂定数量计算合计计入投标总价中。结算时，按发承包双方确认的实际数量计算合价。</w:t>
      </w:r>
    </w:p>
    <w:p>
      <w:pPr>
        <w:tabs>
          <w:tab w:val="left" w:pos="360"/>
          <w:tab w:val="left" w:pos="1800"/>
        </w:tabs>
        <w:spacing w:line="480" w:lineRule="exact"/>
        <w:jc w:val="center"/>
        <w:rPr>
          <w:rFonts w:hint="eastAsia" w:ascii="宋体" w:hAnsi="宋体" w:eastAsia="宋体" w:cs="宋体"/>
          <w:b/>
          <w:bCs/>
          <w:color w:val="000000" w:themeColor="text1"/>
          <w:sz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14:textFill>
            <w14:solidFill>
              <w14:schemeClr w14:val="tx1"/>
            </w14:solidFill>
          </w14:textFill>
        </w:rPr>
      </w:pPr>
    </w:p>
    <w:p>
      <w:pPr>
        <w:tabs>
          <w:tab w:val="left" w:pos="360"/>
          <w:tab w:val="left" w:pos="1800"/>
        </w:tabs>
        <w:spacing w:line="480" w:lineRule="exact"/>
        <w:jc w:val="center"/>
        <w:rPr>
          <w:rFonts w:hint="eastAsia" w:ascii="宋体" w:hAnsi="宋体" w:eastAsia="宋体" w:cs="宋体"/>
          <w:b/>
          <w:bCs/>
          <w:color w:val="000000" w:themeColor="text1"/>
          <w:sz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bCs/>
          <w:color w:val="000000" w:themeColor="text1"/>
          <w:sz w:val="24"/>
          <w14:textFill>
            <w14:solidFill>
              <w14:schemeClr w14:val="tx1"/>
            </w14:solidFill>
          </w14:textFill>
        </w:rPr>
        <w:t>2</w:t>
      </w:r>
      <w:r>
        <w:rPr>
          <w:rFonts w:hint="eastAsia" w:ascii="宋体" w:hAnsi="宋体" w:eastAsia="宋体" w:cs="宋体"/>
          <w:b/>
          <w:bCs/>
          <w:color w:val="000000" w:themeColor="text1"/>
          <w:sz w:val="24"/>
          <w:lang w:val="en-US" w:eastAsia="zh-CN"/>
          <w14:textFill>
            <w14:solidFill>
              <w14:schemeClr w14:val="tx1"/>
            </w14:solidFill>
          </w14:textFill>
        </w:rPr>
        <w:t>5</w:t>
      </w:r>
      <w:r>
        <w:rPr>
          <w:rFonts w:hint="eastAsia" w:ascii="宋体" w:hAnsi="宋体" w:eastAsia="宋体" w:cs="宋体"/>
          <w:b/>
          <w:bCs/>
          <w:color w:val="000000" w:themeColor="text1"/>
          <w:sz w:val="24"/>
          <w14:textFill>
            <w14:solidFill>
              <w14:schemeClr w14:val="tx1"/>
            </w14:solidFill>
          </w14:textFill>
        </w:rPr>
        <w:t xml:space="preserve">  总承包服务费计价表</w:t>
      </w:r>
    </w:p>
    <w:p>
      <w:pPr>
        <w:tabs>
          <w:tab w:val="left" w:pos="360"/>
          <w:tab w:val="left" w:pos="1800"/>
        </w:tabs>
        <w:jc w:val="left"/>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r>
        <w:rPr>
          <w:rFonts w:hint="eastAsia" w:ascii="宋体" w:hAnsi="宋体" w:eastAsia="宋体" w:cs="宋体"/>
          <w:color w:val="000000" w:themeColor="text1"/>
          <w:sz w:val="24"/>
          <w:szCs w:val="24"/>
          <w14:textFill>
            <w14:solidFill>
              <w14:schemeClr w14:val="tx1"/>
            </w14:solidFill>
          </w14:textFill>
        </w:rPr>
        <w:t>工程名称　　　　      　　　　　　                    　　  　第　页　共　页</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410"/>
        <w:gridCol w:w="1079"/>
        <w:gridCol w:w="1079"/>
        <w:gridCol w:w="1079"/>
        <w:gridCol w:w="107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编号</w:t>
            </w: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项目名称</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项目价值（元）</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服务内容</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计算基础</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费率（%）</w:t>
            </w: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left"/>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84" w:type="dxa"/>
            <w:noWrap w:val="0"/>
            <w:vAlign w:val="center"/>
          </w:tcPr>
          <w:p>
            <w:pPr>
              <w:tabs>
                <w:tab w:val="left" w:pos="360"/>
                <w:tab w:val="left" w:pos="1800"/>
              </w:tabs>
              <w:jc w:val="center"/>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left"/>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79" w:type="dxa"/>
            <w:noWrap w:val="0"/>
            <w:vAlign w:val="center"/>
          </w:tcPr>
          <w:p>
            <w:pPr>
              <w:tabs>
                <w:tab w:val="left" w:pos="360"/>
                <w:tab w:val="left" w:pos="1800"/>
              </w:tabs>
              <w:jc w:val="center"/>
              <w:rPr>
                <w:rFonts w:hint="eastAsia" w:ascii="宋体" w:hAnsi="宋体" w:eastAsia="宋体" w:cs="宋体"/>
                <w:bCs/>
                <w:color w:val="FF0000"/>
                <w:sz w:val="24"/>
                <w:szCs w:val="24"/>
              </w:rPr>
            </w:pPr>
          </w:p>
        </w:tc>
        <w:tc>
          <w:tcPr>
            <w:tcW w:w="1084" w:type="dxa"/>
            <w:noWrap w:val="0"/>
            <w:vAlign w:val="center"/>
          </w:tcPr>
          <w:p>
            <w:pPr>
              <w:tabs>
                <w:tab w:val="left" w:pos="360"/>
                <w:tab w:val="left" w:pos="1800"/>
              </w:tabs>
              <w:jc w:val="center"/>
              <w:rPr>
                <w:rFonts w:hint="eastAsia" w:ascii="宋体" w:hAnsi="宋体" w:eastAsia="宋体" w:cs="宋体"/>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56"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3410"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合   计</w:t>
            </w: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79"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c>
          <w:tcPr>
            <w:tcW w:w="1084" w:type="dxa"/>
            <w:noWrap w:val="0"/>
            <w:vAlign w:val="center"/>
          </w:tcPr>
          <w:p>
            <w:pPr>
              <w:tabs>
                <w:tab w:val="left" w:pos="360"/>
                <w:tab w:val="left" w:pos="1800"/>
              </w:tabs>
              <w:jc w:val="center"/>
              <w:rPr>
                <w:rFonts w:hint="eastAsia" w:ascii="宋体" w:hAnsi="宋体" w:eastAsia="宋体" w:cs="宋体"/>
                <w:bCs/>
                <w:color w:val="000000" w:themeColor="text1"/>
                <w:sz w:val="24"/>
                <w:szCs w:val="24"/>
                <w14:textFill>
                  <w14:solidFill>
                    <w14:schemeClr w14:val="tx1"/>
                  </w14:solidFill>
                </w14:textFill>
              </w:rPr>
            </w:pPr>
          </w:p>
        </w:tc>
      </w:tr>
    </w:tbl>
    <w:p>
      <w:pPr>
        <w:tabs>
          <w:tab w:val="left" w:pos="360"/>
          <w:tab w:val="left" w:pos="1800"/>
        </w:tabs>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注：此表项目名称、服务内容由招标人填写，编制招标控制价时，费率及金额由招标人按有关计价规定确定；投标时费率及金额由投标人自主报价，计入投标总价中。</w:t>
      </w:r>
    </w:p>
    <w:p>
      <w:pPr>
        <w:tabs>
          <w:tab w:val="left" w:pos="360"/>
          <w:tab w:val="left" w:pos="1800"/>
        </w:tabs>
        <w:spacing w:line="320" w:lineRule="exact"/>
        <w:rPr>
          <w:rFonts w:hint="eastAsia" w:ascii="宋体" w:hAnsi="宋体" w:eastAsia="宋体" w:cs="宋体"/>
          <w:b/>
          <w:bCs/>
          <w:color w:val="000000" w:themeColor="text1"/>
          <w:sz w:val="24"/>
          <w:szCs w:val="24"/>
          <w14:textFill>
            <w14:solidFill>
              <w14:schemeClr w14:val="tx1"/>
            </w14:solidFill>
          </w14:textFill>
        </w:rPr>
      </w:pPr>
    </w:p>
    <w:p>
      <w:pPr>
        <w:tabs>
          <w:tab w:val="left" w:pos="360"/>
          <w:tab w:val="left" w:pos="1800"/>
        </w:tabs>
        <w:spacing w:line="320" w:lineRule="exact"/>
        <w:jc w:val="center"/>
        <w:rPr>
          <w:rFonts w:hint="eastAsia" w:ascii="宋体" w:hAnsi="宋体" w:eastAsia="宋体" w:cs="宋体"/>
          <w:b/>
          <w:bCs/>
          <w:color w:val="000000" w:themeColor="text1"/>
          <w:sz w:val="24"/>
          <w14:textFill>
            <w14:solidFill>
              <w14:schemeClr w14:val="tx1"/>
            </w14:solidFill>
          </w14:textFill>
        </w:rPr>
      </w:pPr>
    </w:p>
    <w:p>
      <w:pPr>
        <w:spacing w:before="190" w:beforeLines="50" w:after="190" w:afterLines="5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格式2</w:t>
      </w:r>
      <w:r>
        <w:rPr>
          <w:rFonts w:hint="eastAsia" w:ascii="宋体" w:hAnsi="宋体" w:eastAsia="宋体" w:cs="宋体"/>
          <w:b/>
          <w:bCs/>
          <w:color w:val="000000" w:themeColor="text1"/>
          <w:sz w:val="24"/>
          <w:szCs w:val="24"/>
          <w:lang w:val="en-US" w:eastAsia="zh-CN"/>
          <w14:textFill>
            <w14:solidFill>
              <w14:schemeClr w14:val="tx1"/>
            </w14:solidFill>
          </w14:textFill>
        </w:rPr>
        <w:t>6</w:t>
      </w:r>
      <w:r>
        <w:rPr>
          <w:rFonts w:hint="eastAsia" w:ascii="宋体" w:hAnsi="宋体" w:eastAsia="宋体" w:cs="宋体"/>
          <w:b/>
          <w:bCs/>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规费、税金项目计价表</w:t>
      </w:r>
      <w:r>
        <w:rPr>
          <w:rFonts w:hint="eastAsia" w:ascii="宋体" w:hAnsi="宋体" w:eastAsia="宋体" w:cs="宋体"/>
          <w:b/>
          <w:color w:val="000000" w:themeColor="text1"/>
          <w:sz w:val="24"/>
          <w:szCs w:val="24"/>
          <w14:textFill>
            <w14:solidFill>
              <w14:schemeClr w14:val="tx1"/>
            </w14:solidFill>
          </w14:textFill>
        </w:rPr>
        <w:t>（建筑工程）</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工程名称：                                                                共   页    第   页</w:t>
      </w:r>
    </w:p>
    <w:tbl>
      <w:tblPr>
        <w:tblStyle w:val="57"/>
        <w:tblW w:w="9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104"/>
        <w:gridCol w:w="3395"/>
        <w:gridCol w:w="1219"/>
        <w:gridCol w:w="129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46"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104"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w:t>
            </w:r>
          </w:p>
        </w:tc>
        <w:tc>
          <w:tcPr>
            <w:tcW w:w="3395"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计算基础</w:t>
            </w:r>
          </w:p>
        </w:tc>
        <w:tc>
          <w:tcPr>
            <w:tcW w:w="1219"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计算基数</w:t>
            </w:r>
          </w:p>
        </w:tc>
        <w:tc>
          <w:tcPr>
            <w:tcW w:w="1297"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计算费率</w:t>
            </w:r>
          </w:p>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w:t>
            </w:r>
          </w:p>
        </w:tc>
        <w:tc>
          <w:tcPr>
            <w:tcW w:w="1153" w:type="dxa"/>
            <w:noWrap w:val="0"/>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金额</w:t>
            </w:r>
          </w:p>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6"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p>
        </w:tc>
        <w:tc>
          <w:tcPr>
            <w:tcW w:w="2104" w:type="dxa"/>
            <w:noWrap w:val="0"/>
            <w:vAlign w:val="center"/>
          </w:tcPr>
          <w:p>
            <w:pPr>
              <w:spacing w:line="26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规费</w:t>
            </w:r>
          </w:p>
        </w:tc>
        <w:tc>
          <w:tcPr>
            <w:tcW w:w="3395"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219"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153" w:type="dxa"/>
            <w:noWrap w:val="0"/>
            <w:vAlign w:val="top"/>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6"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1.1</w:t>
            </w:r>
          </w:p>
        </w:tc>
        <w:tc>
          <w:tcPr>
            <w:tcW w:w="2104" w:type="dxa"/>
            <w:noWrap w:val="0"/>
            <w:vAlign w:val="center"/>
          </w:tcPr>
          <w:p>
            <w:pPr>
              <w:spacing w:line="26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工程排污费</w:t>
            </w:r>
          </w:p>
        </w:tc>
        <w:tc>
          <w:tcPr>
            <w:tcW w:w="3395"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0.25</w:t>
            </w:r>
          </w:p>
        </w:tc>
        <w:tc>
          <w:tcPr>
            <w:tcW w:w="1153" w:type="dxa"/>
            <w:noWrap w:val="0"/>
            <w:vAlign w:val="top"/>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6"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2</w:t>
            </w:r>
          </w:p>
        </w:tc>
        <w:tc>
          <w:tcPr>
            <w:tcW w:w="2104" w:type="dxa"/>
            <w:noWrap w:val="0"/>
            <w:vAlign w:val="center"/>
          </w:tcPr>
          <w:p>
            <w:pPr>
              <w:spacing w:line="26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社会保险费</w:t>
            </w:r>
          </w:p>
        </w:tc>
        <w:tc>
          <w:tcPr>
            <w:tcW w:w="3395"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153" w:type="dxa"/>
            <w:noWrap w:val="0"/>
            <w:vAlign w:val="top"/>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746" w:type="dxa"/>
            <w:noWrap w:val="0"/>
            <w:vAlign w:val="center"/>
          </w:tcPr>
          <w:p>
            <w:pPr>
              <w:jc w:val="center"/>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1.21</w:t>
            </w:r>
          </w:p>
        </w:tc>
        <w:tc>
          <w:tcPr>
            <w:tcW w:w="2104" w:type="dxa"/>
            <w:noWrap w:val="0"/>
            <w:vAlign w:val="center"/>
          </w:tcPr>
          <w:p>
            <w:pPr>
              <w:spacing w:line="26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养老保险费</w:t>
            </w:r>
          </w:p>
        </w:tc>
        <w:tc>
          <w:tcPr>
            <w:tcW w:w="3395"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cs="宋体"/>
                <w:bCs/>
                <w:color w:val="000000" w:themeColor="text1"/>
                <w:kern w:val="2"/>
                <w:sz w:val="21"/>
                <w:szCs w:val="24"/>
                <w:lang w:val="en-US" w:eastAsia="zh-CN" w:bidi="ar-SA"/>
                <w14:textFill>
                  <w14:solidFill>
                    <w14:schemeClr w14:val="tx1"/>
                  </w14:solidFill>
                </w14:textFill>
              </w:rPr>
              <w:t>8.85</w:t>
            </w:r>
          </w:p>
        </w:tc>
        <w:tc>
          <w:tcPr>
            <w:tcW w:w="1153" w:type="dxa"/>
            <w:noWrap w:val="0"/>
            <w:vAlign w:val="top"/>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46" w:type="dxa"/>
            <w:noWrap w:val="0"/>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1.22</w:t>
            </w:r>
          </w:p>
        </w:tc>
        <w:tc>
          <w:tcPr>
            <w:tcW w:w="2104" w:type="dxa"/>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失业保险费</w:t>
            </w:r>
          </w:p>
        </w:tc>
        <w:tc>
          <w:tcPr>
            <w:tcW w:w="3395"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0.79</w:t>
            </w:r>
          </w:p>
        </w:tc>
        <w:tc>
          <w:tcPr>
            <w:tcW w:w="1153" w:type="dxa"/>
            <w:noWrap w:val="0"/>
            <w:vAlign w:val="top"/>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46" w:type="dxa"/>
            <w:noWrap w:val="0"/>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1.23</w:t>
            </w:r>
          </w:p>
        </w:tc>
        <w:tc>
          <w:tcPr>
            <w:tcW w:w="2104" w:type="dxa"/>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医疗保险费</w:t>
            </w:r>
          </w:p>
        </w:tc>
        <w:tc>
          <w:tcPr>
            <w:tcW w:w="3395"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2.51</w:t>
            </w:r>
          </w:p>
        </w:tc>
        <w:tc>
          <w:tcPr>
            <w:tcW w:w="1153" w:type="dxa"/>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46" w:type="dxa"/>
            <w:noWrap w:val="0"/>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1.24</w:t>
            </w:r>
          </w:p>
        </w:tc>
        <w:tc>
          <w:tcPr>
            <w:tcW w:w="2104" w:type="dxa"/>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生育保险费</w:t>
            </w:r>
          </w:p>
        </w:tc>
        <w:tc>
          <w:tcPr>
            <w:tcW w:w="3395" w:type="dxa"/>
            <w:noWrap w:val="0"/>
            <w:vAlign w:val="center"/>
          </w:tcPr>
          <w:p>
            <w:pPr>
              <w:spacing w:line="260" w:lineRule="exact"/>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color w:val="000000" w:themeColor="text1"/>
                <w:kern w:val="0"/>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0.31</w:t>
            </w:r>
          </w:p>
        </w:tc>
        <w:tc>
          <w:tcPr>
            <w:tcW w:w="1153" w:type="dxa"/>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746" w:type="dxa"/>
            <w:tcBorders>
              <w:bottom w:val="single" w:color="auto" w:sz="4" w:space="0"/>
            </w:tcBorders>
            <w:noWrap w:val="0"/>
            <w:vAlign w:val="center"/>
          </w:tcPr>
          <w:p>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1.25</w:t>
            </w:r>
          </w:p>
        </w:tc>
        <w:tc>
          <w:tcPr>
            <w:tcW w:w="2104" w:type="dxa"/>
            <w:tcBorders>
              <w:bottom w:val="single" w:color="auto" w:sz="4" w:space="0"/>
            </w:tcBorders>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工伤保险费</w:t>
            </w:r>
          </w:p>
        </w:tc>
        <w:tc>
          <w:tcPr>
            <w:tcW w:w="3395"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tcBorders>
              <w:bottom w:val="single" w:color="auto" w:sz="4" w:space="0"/>
            </w:tcBorders>
            <w:noWrap w:val="0"/>
            <w:vAlign w:val="center"/>
          </w:tcPr>
          <w:p>
            <w:pPr>
              <w:spacing w:line="260" w:lineRule="exact"/>
              <w:jc w:val="center"/>
              <w:rPr>
                <w:rFonts w:hint="eastAsia" w:ascii="宋体" w:hAnsi="宋体" w:eastAsia="宋体" w:cs="宋体"/>
                <w:color w:val="000000" w:themeColor="text1"/>
                <w:kern w:val="0"/>
                <w14:textFill>
                  <w14:solidFill>
                    <w14:schemeClr w14:val="tx1"/>
                  </w14:solidFill>
                </w14:textFill>
              </w:rPr>
            </w:pPr>
          </w:p>
        </w:tc>
        <w:tc>
          <w:tcPr>
            <w:tcW w:w="1297" w:type="dxa"/>
            <w:tcBorders>
              <w:bottom w:val="single" w:color="auto" w:sz="4" w:space="0"/>
            </w:tcBorders>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0.38</w:t>
            </w:r>
          </w:p>
        </w:tc>
        <w:tc>
          <w:tcPr>
            <w:tcW w:w="1153" w:type="dxa"/>
            <w:tcBorders>
              <w:bottom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746" w:type="dxa"/>
            <w:noWrap w:val="0"/>
            <w:vAlign w:val="center"/>
          </w:tcPr>
          <w:p>
            <w:pPr>
              <w:spacing w:line="260" w:lineRule="exact"/>
              <w:jc w:val="center"/>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3</w:t>
            </w:r>
          </w:p>
        </w:tc>
        <w:tc>
          <w:tcPr>
            <w:tcW w:w="2104" w:type="dxa"/>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住房公积金</w:t>
            </w:r>
          </w:p>
        </w:tc>
        <w:tc>
          <w:tcPr>
            <w:tcW w:w="3395"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1.92</w:t>
            </w:r>
          </w:p>
        </w:tc>
        <w:tc>
          <w:tcPr>
            <w:tcW w:w="1153" w:type="dxa"/>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46" w:type="dxa"/>
            <w:noWrap w:val="0"/>
            <w:vAlign w:val="center"/>
          </w:tcPr>
          <w:p>
            <w:pPr>
              <w:spacing w:line="260" w:lineRule="exact"/>
              <w:jc w:val="center"/>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4</w:t>
            </w:r>
          </w:p>
        </w:tc>
        <w:tc>
          <w:tcPr>
            <w:tcW w:w="2104" w:type="dxa"/>
            <w:noWrap w:val="0"/>
            <w:vAlign w:val="center"/>
          </w:tcPr>
          <w:p>
            <w:pPr>
              <w:spacing w:line="260" w:lineRule="exact"/>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大型机械检测检验费</w:t>
            </w:r>
          </w:p>
        </w:tc>
        <w:tc>
          <w:tcPr>
            <w:tcW w:w="3395"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219"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153" w:type="dxa"/>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746"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p>
        </w:tc>
        <w:tc>
          <w:tcPr>
            <w:tcW w:w="2104" w:type="dxa"/>
            <w:tcBorders>
              <w:top w:val="single" w:color="auto" w:sz="4" w:space="0"/>
            </w:tcBorders>
            <w:noWrap w:val="0"/>
            <w:vAlign w:val="center"/>
          </w:tcPr>
          <w:p>
            <w:pPr>
              <w:spacing w:line="260" w:lineRule="exact"/>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增值税（销项税额）</w:t>
            </w:r>
          </w:p>
        </w:tc>
        <w:tc>
          <w:tcPr>
            <w:tcW w:w="3395"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分部分项工程费+措施项目费+其他项目费+规费-按规定不计税的工程设备金额</w:t>
            </w:r>
          </w:p>
        </w:tc>
        <w:tc>
          <w:tcPr>
            <w:tcW w:w="1219"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p>
        </w:tc>
        <w:tc>
          <w:tcPr>
            <w:tcW w:w="1297" w:type="dxa"/>
            <w:tcBorders>
              <w:top w:val="single" w:color="auto" w:sz="4" w:space="0"/>
            </w:tcBorders>
            <w:noWrap w:val="0"/>
            <w:vAlign w:val="center"/>
          </w:tcPr>
          <w:p>
            <w:pPr>
              <w:spacing w:line="260" w:lineRule="exact"/>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9</w:t>
            </w:r>
          </w:p>
        </w:tc>
        <w:tc>
          <w:tcPr>
            <w:tcW w:w="1153" w:type="dxa"/>
            <w:tcBorders>
              <w:top w:val="single" w:color="auto" w:sz="4" w:space="0"/>
            </w:tcBorders>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761" w:type="dxa"/>
            <w:gridSpan w:val="5"/>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合  计</w:t>
            </w:r>
          </w:p>
        </w:tc>
        <w:tc>
          <w:tcPr>
            <w:tcW w:w="1153" w:type="dxa"/>
            <w:noWrap w:val="0"/>
            <w:vAlign w:val="center"/>
          </w:tcPr>
          <w:p>
            <w:pPr>
              <w:spacing w:line="260" w:lineRule="exact"/>
              <w:jc w:val="center"/>
              <w:rPr>
                <w:rFonts w:hint="eastAsia" w:ascii="宋体" w:hAnsi="宋体" w:eastAsia="宋体" w:cs="宋体"/>
                <w:bCs/>
                <w:color w:val="000000" w:themeColor="text1"/>
                <w:sz w:val="24"/>
                <w:szCs w:val="24"/>
                <w14:textFill>
                  <w14:solidFill>
                    <w14:schemeClr w14:val="tx1"/>
                  </w14:solidFill>
                </w14:textFill>
              </w:rPr>
            </w:pPr>
          </w:p>
        </w:tc>
      </w:tr>
    </w:tbl>
    <w:p>
      <w:pPr>
        <w:rPr>
          <w:rFonts w:hint="eastAsia" w:ascii="宋体" w:hAnsi="宋体" w:eastAsia="宋体" w:cs="宋体"/>
          <w:b/>
          <w:color w:val="000000" w:themeColor="text1"/>
          <w:sz w:val="24"/>
          <w:szCs w:val="24"/>
          <w14:textFill>
            <w14:solidFill>
              <w14:schemeClr w14:val="tx1"/>
            </w14:solidFill>
          </w14:textFill>
        </w:rPr>
      </w:pPr>
    </w:p>
    <w:p>
      <w:pPr>
        <w:jc w:val="both"/>
        <w:rPr>
          <w:rFonts w:hint="eastAsia" w:ascii="宋体" w:hAnsi="宋体" w:eastAsia="宋体" w:cs="宋体"/>
          <w:b/>
          <w:color w:val="000000" w:themeColor="text1"/>
          <w:sz w:val="24"/>
          <w:szCs w:val="24"/>
          <w14:textFill>
            <w14:solidFill>
              <w14:schemeClr w14:val="tx1"/>
            </w14:solidFill>
          </w14:textFill>
        </w:rPr>
      </w:pPr>
    </w:p>
    <w:p>
      <w:pPr>
        <w:jc w:val="center"/>
        <w:rPr>
          <w:rFonts w:hint="eastAsia" w:ascii="宋体" w:hAnsi="宋体" w:eastAsia="宋体" w:cs="宋体"/>
          <w:b/>
          <w:color w:val="000000" w:themeColor="text1"/>
          <w:sz w:val="24"/>
          <w:szCs w:val="24"/>
          <w14:textFill>
            <w14:solidFill>
              <w14:schemeClr w14:val="tx1"/>
            </w14:solidFill>
          </w14:textFill>
        </w:rPr>
      </w:pPr>
    </w:p>
    <w:p>
      <w:pPr>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eastAsia="宋体" w:cs="宋体"/>
          <w:b/>
          <w:color w:val="000000" w:themeColor="text1"/>
          <w:sz w:val="24"/>
          <w:szCs w:val="24"/>
          <w14:textFill>
            <w14:solidFill>
              <w14:schemeClr w14:val="tx1"/>
            </w14:solidFill>
          </w14:textFill>
        </w:rPr>
        <w:t>2</w:t>
      </w:r>
      <w:r>
        <w:rPr>
          <w:rFonts w:hint="eastAsia" w:ascii="宋体" w:hAnsi="宋体" w:eastAsia="宋体" w:cs="宋体"/>
          <w:b/>
          <w:color w:val="000000" w:themeColor="text1"/>
          <w:sz w:val="24"/>
          <w:szCs w:val="24"/>
          <w:lang w:val="en-US" w:eastAsia="zh-CN"/>
          <w14:textFill>
            <w14:solidFill>
              <w14:schemeClr w14:val="tx1"/>
            </w14:solidFill>
          </w14:textFill>
        </w:rPr>
        <w:t>7</w:t>
      </w:r>
      <w:r>
        <w:rPr>
          <w:rFonts w:hint="eastAsia" w:ascii="宋体" w:hAnsi="宋体" w:eastAsia="宋体" w:cs="宋体"/>
          <w:b/>
          <w:color w:val="000000" w:themeColor="text1"/>
          <w:sz w:val="24"/>
          <w:szCs w:val="24"/>
          <w14:textFill>
            <w14:solidFill>
              <w14:schemeClr w14:val="tx1"/>
            </w14:solidFill>
          </w14:textFill>
        </w:rPr>
        <w:t xml:space="preserve">   </w:t>
      </w:r>
      <w:r>
        <w:rPr>
          <w:rFonts w:hint="eastAsia" w:ascii="宋体" w:hAnsi="宋体" w:eastAsia="宋体" w:cs="宋体"/>
          <w:b/>
          <w:color w:val="000000" w:themeColor="text1"/>
          <w:sz w:val="24"/>
          <w14:textFill>
            <w14:solidFill>
              <w14:schemeClr w14:val="tx1"/>
            </w14:solidFill>
          </w14:textFill>
        </w:rPr>
        <w:t>规费、税金项目计价表</w:t>
      </w:r>
      <w:r>
        <w:rPr>
          <w:rFonts w:hint="eastAsia" w:ascii="宋体" w:hAnsi="宋体" w:eastAsia="宋体" w:cs="宋体"/>
          <w:b/>
          <w:color w:val="000000" w:themeColor="text1"/>
          <w:sz w:val="24"/>
          <w:szCs w:val="24"/>
          <w14:textFill>
            <w14:solidFill>
              <w14:schemeClr w14:val="tx1"/>
            </w14:solidFill>
          </w14:textFill>
        </w:rPr>
        <w:t>（</w:t>
      </w:r>
      <w:r>
        <w:rPr>
          <w:rFonts w:hint="eastAsia" w:ascii="宋体" w:hAnsi="宋体" w:cs="宋体"/>
          <w:b/>
          <w:color w:val="000000" w:themeColor="text1"/>
          <w:sz w:val="24"/>
          <w:szCs w:val="24"/>
          <w:lang w:eastAsia="zh-CN"/>
          <w14:textFill>
            <w14:solidFill>
              <w14:schemeClr w14:val="tx1"/>
            </w14:solidFill>
          </w14:textFill>
        </w:rPr>
        <w:t>装饰装修</w:t>
      </w:r>
      <w:r>
        <w:rPr>
          <w:rFonts w:hint="eastAsia" w:ascii="宋体" w:hAnsi="宋体" w:eastAsia="宋体" w:cs="宋体"/>
          <w:b/>
          <w:color w:val="000000" w:themeColor="text1"/>
          <w:sz w:val="24"/>
          <w:szCs w:val="24"/>
          <w14:textFill>
            <w14:solidFill>
              <w14:schemeClr w14:val="tx1"/>
            </w14:solidFill>
          </w14:textFill>
        </w:rPr>
        <w:t>工程）</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工程名称：                                                                共   页    第   页</w:t>
      </w:r>
    </w:p>
    <w:tbl>
      <w:tblPr>
        <w:tblStyle w:val="57"/>
        <w:tblW w:w="10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978"/>
        <w:gridCol w:w="3053"/>
        <w:gridCol w:w="1472"/>
        <w:gridCol w:w="1344"/>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76"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1978"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费用名称</w:t>
            </w:r>
          </w:p>
        </w:tc>
        <w:tc>
          <w:tcPr>
            <w:tcW w:w="3053"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计算基础</w:t>
            </w:r>
          </w:p>
        </w:tc>
        <w:tc>
          <w:tcPr>
            <w:tcW w:w="1472"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计算基数</w:t>
            </w:r>
          </w:p>
        </w:tc>
        <w:tc>
          <w:tcPr>
            <w:tcW w:w="1344"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计算费率</w:t>
            </w:r>
          </w:p>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w:t>
            </w:r>
          </w:p>
        </w:tc>
        <w:tc>
          <w:tcPr>
            <w:tcW w:w="1561" w:type="dxa"/>
            <w:noWrap w:val="0"/>
            <w:vAlign w:val="center"/>
          </w:tcPr>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金额</w:t>
            </w:r>
          </w:p>
          <w:p>
            <w:pPr>
              <w:jc w:val="center"/>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76"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规费</w:t>
            </w:r>
          </w:p>
        </w:tc>
        <w:tc>
          <w:tcPr>
            <w:tcW w:w="3053"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472"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1.1</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工程排污费</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0.2</w:t>
            </w:r>
            <w:r>
              <w:rPr>
                <w:rFonts w:hint="eastAsia" w:ascii="宋体" w:hAnsi="宋体" w:cs="宋体"/>
                <w:bCs/>
                <w:color w:val="000000" w:themeColor="text1"/>
                <w:lang w:val="en-US" w:eastAsia="zh-CN"/>
                <w14:textFill>
                  <w14:solidFill>
                    <w14:schemeClr w14:val="tx1"/>
                  </w14:solidFill>
                </w14:textFill>
              </w:rPr>
              <w:t>8</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6"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2</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社会保险费</w:t>
            </w:r>
          </w:p>
        </w:tc>
        <w:tc>
          <w:tcPr>
            <w:tcW w:w="3053"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472"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tcBorders>
              <w:tr2bl w:val="single" w:color="auto" w:sz="4" w:space="0"/>
            </w:tcBorders>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1.21</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养老保险费</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9.7</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1.22</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失业保险费</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0.86</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1.23</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医疗保险费</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2.73</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1.24</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生育保险费</w:t>
            </w:r>
          </w:p>
        </w:tc>
        <w:tc>
          <w:tcPr>
            <w:tcW w:w="3053" w:type="dxa"/>
            <w:noWrap w:val="0"/>
            <w:vAlign w:val="center"/>
          </w:tcPr>
          <w:p>
            <w:pPr>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color w:val="000000" w:themeColor="text1"/>
                <w:kern w:val="0"/>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0.34</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1.25</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工伤保险费</w:t>
            </w:r>
          </w:p>
        </w:tc>
        <w:tc>
          <w:tcPr>
            <w:tcW w:w="3053" w:type="dxa"/>
            <w:noWrap w:val="0"/>
            <w:vAlign w:val="center"/>
          </w:tcPr>
          <w:p>
            <w:pPr>
              <w:jc w:val="center"/>
              <w:rPr>
                <w:rFonts w:hint="eastAsia"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color w:val="000000" w:themeColor="text1"/>
                <w:kern w:val="0"/>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0.42</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spacing w:line="260" w:lineRule="exact"/>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3</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住房公积金</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分部分项工程人工费合计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措施项目人工费合计-人工费的价差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default" w:ascii="宋体" w:hAnsi="宋体" w:eastAsia="宋体" w:cs="宋体"/>
                <w:bCs/>
                <w:color w:val="000000" w:themeColor="text1"/>
                <w:lang w:val="en-US" w:eastAsia="zh-CN"/>
                <w14:textFill>
                  <w14:solidFill>
                    <w14:schemeClr w14:val="tx1"/>
                  </w14:solidFill>
                </w14:textFill>
              </w:rPr>
            </w:pPr>
            <w:r>
              <w:rPr>
                <w:rFonts w:hint="eastAsia" w:ascii="宋体" w:hAnsi="宋体" w:cs="宋体"/>
                <w:bCs/>
                <w:color w:val="000000" w:themeColor="text1"/>
                <w:lang w:val="en-US" w:eastAsia="zh-CN"/>
                <w14:textFill>
                  <w14:solidFill>
                    <w14:schemeClr w14:val="tx1"/>
                  </w14:solidFill>
                </w14:textFill>
              </w:rPr>
              <w:t>2.08</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1.</w:t>
            </w:r>
            <w:r>
              <w:rPr>
                <w:rFonts w:hint="eastAsia" w:ascii="宋体" w:hAnsi="宋体" w:cs="宋体"/>
                <w:bCs/>
                <w:color w:val="000000" w:themeColor="text1"/>
                <w:lang w:val="en-US" w:eastAsia="zh-CN"/>
                <w14:textFill>
                  <w14:solidFill>
                    <w14:schemeClr w14:val="tx1"/>
                  </w14:solidFill>
                </w14:textFill>
              </w:rPr>
              <w:t>4</w:t>
            </w:r>
          </w:p>
        </w:tc>
        <w:tc>
          <w:tcPr>
            <w:tcW w:w="1978" w:type="dxa"/>
            <w:noWrap w:val="0"/>
            <w:vAlign w:val="center"/>
          </w:tcPr>
          <w:p>
            <w:pPr>
              <w:spacing w:line="260" w:lineRule="exact"/>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cs="宋体"/>
                <w:bCs/>
                <w:color w:val="000000" w:themeColor="text1"/>
                <w:lang w:eastAsia="zh-CN"/>
                <w14:textFill>
                  <w14:solidFill>
                    <w14:schemeClr w14:val="tx1"/>
                  </w14:solidFill>
                </w14:textFill>
              </w:rPr>
              <w:t>大型机械检测检验费</w:t>
            </w:r>
          </w:p>
        </w:tc>
        <w:tc>
          <w:tcPr>
            <w:tcW w:w="3053" w:type="dxa"/>
            <w:noWrap w:val="0"/>
            <w:vAlign w:val="center"/>
          </w:tcPr>
          <w:p>
            <w:pPr>
              <w:spacing w:line="260" w:lineRule="exact"/>
              <w:jc w:val="center"/>
              <w:rPr>
                <w:rFonts w:hint="eastAsia" w:ascii="宋体" w:hAnsi="宋体" w:eastAsia="宋体" w:cs="宋体"/>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分部分项工程费中（人工费+机械费）合计</w:t>
            </w:r>
            <w:r>
              <w:rPr>
                <w:rFonts w:hint="eastAsia" w:ascii="宋体" w:hAnsi="宋体" w:eastAsia="宋体" w:cs="宋体"/>
                <w:color w:val="000000" w:themeColor="text1"/>
                <w:kern w:val="0"/>
                <w:lang w:val="en"/>
                <w14:textFill>
                  <w14:solidFill>
                    <w14:schemeClr w14:val="tx1"/>
                  </w14:solidFill>
                </w14:textFill>
              </w:rPr>
              <w:t>+可计量</w:t>
            </w:r>
            <w:r>
              <w:rPr>
                <w:rFonts w:hint="eastAsia" w:ascii="宋体" w:hAnsi="宋体" w:eastAsia="宋体" w:cs="宋体"/>
                <w:color w:val="000000" w:themeColor="text1"/>
                <w:kern w:val="0"/>
                <w14:textFill>
                  <w14:solidFill>
                    <w14:schemeClr w14:val="tx1"/>
                  </w14:solidFill>
                </w14:textFill>
              </w:rPr>
              <w:t>措施费中（人工费+机械费）合计-人工、机械的价差</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eastAsia" w:ascii="宋体" w:hAnsi="宋体" w:cs="宋体"/>
                <w:bCs/>
                <w:color w:val="000000" w:themeColor="text1"/>
                <w:lang w:val="en-US" w:eastAsia="zh-CN"/>
                <w14:textFill>
                  <w14:solidFill>
                    <w14:schemeClr w14:val="tx1"/>
                  </w14:solidFill>
                </w14:textFill>
              </w:rPr>
            </w:pP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776"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2</w:t>
            </w:r>
          </w:p>
        </w:tc>
        <w:tc>
          <w:tcPr>
            <w:tcW w:w="1978" w:type="dxa"/>
            <w:noWrap w:val="0"/>
            <w:vAlign w:val="center"/>
          </w:tcPr>
          <w:p>
            <w:pP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增值税（销项税额）</w:t>
            </w:r>
          </w:p>
        </w:tc>
        <w:tc>
          <w:tcPr>
            <w:tcW w:w="3053" w:type="dxa"/>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分部分项工程费+措施项目费+其他项目费+规费-</w:t>
            </w:r>
            <w:r>
              <w:rPr>
                <w:rFonts w:hint="eastAsia" w:ascii="宋体" w:hAnsi="宋体" w:eastAsia="宋体" w:cs="宋体"/>
                <w:color w:val="000000" w:themeColor="text1"/>
                <w:kern w:val="0"/>
                <w14:textFill>
                  <w14:solidFill>
                    <w14:schemeClr w14:val="tx1"/>
                  </w14:solidFill>
                </w14:textFill>
              </w:rPr>
              <w:t>按规定不计税的工程设备金额</w:t>
            </w:r>
          </w:p>
        </w:tc>
        <w:tc>
          <w:tcPr>
            <w:tcW w:w="1472" w:type="dxa"/>
            <w:noWrap w:val="0"/>
            <w:vAlign w:val="center"/>
          </w:tcPr>
          <w:p>
            <w:pPr>
              <w:jc w:val="center"/>
              <w:rPr>
                <w:rFonts w:hint="eastAsia" w:ascii="宋体" w:hAnsi="宋体" w:eastAsia="宋体" w:cs="宋体"/>
                <w:bCs/>
                <w:color w:val="000000" w:themeColor="text1"/>
                <w14:textFill>
                  <w14:solidFill>
                    <w14:schemeClr w14:val="tx1"/>
                  </w14:solidFill>
                </w14:textFill>
              </w:rPr>
            </w:pPr>
          </w:p>
        </w:tc>
        <w:tc>
          <w:tcPr>
            <w:tcW w:w="1344" w:type="dxa"/>
            <w:noWrap w:val="0"/>
            <w:vAlign w:val="center"/>
          </w:tcPr>
          <w:p>
            <w:pPr>
              <w:jc w:val="center"/>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9</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8623" w:type="dxa"/>
            <w:gridSpan w:val="5"/>
            <w:noWrap w:val="0"/>
            <w:vAlign w:val="center"/>
          </w:tcPr>
          <w:p>
            <w:pPr>
              <w:jc w:val="center"/>
              <w:rPr>
                <w:rFonts w:hint="eastAsia"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合  计</w:t>
            </w:r>
          </w:p>
        </w:tc>
        <w:tc>
          <w:tcPr>
            <w:tcW w:w="1561" w:type="dxa"/>
            <w:noWrap w:val="0"/>
            <w:vAlign w:val="top"/>
          </w:tcPr>
          <w:p>
            <w:pPr>
              <w:jc w:val="center"/>
              <w:rPr>
                <w:rFonts w:hint="eastAsia" w:ascii="宋体" w:hAnsi="宋体" w:eastAsia="宋体" w:cs="宋体"/>
                <w:bCs/>
                <w:color w:val="000000" w:themeColor="text1"/>
                <w14:textFill>
                  <w14:solidFill>
                    <w14:schemeClr w14:val="tx1"/>
                  </w14:solidFill>
                </w14:textFill>
              </w:rPr>
            </w:pPr>
          </w:p>
        </w:tc>
      </w:tr>
    </w:tbl>
    <w:p>
      <w:pPr>
        <w:jc w:val="center"/>
        <w:rPr>
          <w:rFonts w:hint="eastAsia" w:ascii="宋体" w:hAnsi="宋体" w:eastAsia="宋体" w:cs="宋体"/>
          <w:b/>
          <w:color w:val="000000" w:themeColor="text1"/>
          <w:sz w:val="24"/>
          <w:szCs w:val="24"/>
          <w14:textFill>
            <w14:solidFill>
              <w14:schemeClr w14:val="tx1"/>
            </w14:solidFill>
          </w14:textFill>
        </w:rPr>
      </w:pPr>
    </w:p>
    <w:p>
      <w:pPr>
        <w:jc w:val="both"/>
        <w:rPr>
          <w:rFonts w:hint="eastAsia" w:ascii="宋体" w:hAnsi="宋体" w:eastAsia="宋体" w:cs="宋体"/>
          <w:b/>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auto"/>
          <w:sz w:val="24"/>
          <w:szCs w:val="24"/>
        </w:rPr>
        <w:t>格式</w:t>
      </w:r>
      <w:r>
        <w:rPr>
          <w:rFonts w:hint="eastAsia" w:hAnsi="宋体" w:cs="宋体"/>
          <w:b/>
          <w:bCs/>
          <w:color w:val="auto"/>
          <w:sz w:val="24"/>
          <w:szCs w:val="24"/>
          <w:lang w:val="en-US" w:eastAsia="zh-CN"/>
        </w:rPr>
        <w:t>28</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主要材料、设备价格表</w:t>
      </w:r>
    </w:p>
    <w:p>
      <w:pPr>
        <w:tabs>
          <w:tab w:val="left" w:pos="360"/>
          <w:tab w:val="left" w:pos="1800"/>
        </w:tabs>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工程名称：                                                           共   页    第   页</w:t>
      </w:r>
    </w:p>
    <w:p>
      <w:pPr>
        <w:pStyle w:val="33"/>
        <w:spacing w:line="360" w:lineRule="auto"/>
        <w:jc w:val="center"/>
        <w:rPr>
          <w:rFonts w:hint="eastAsia" w:ascii="宋体" w:hAnsi="宋体" w:eastAsia="宋体" w:cs="宋体"/>
          <w:b/>
          <w:bCs/>
          <w:color w:val="000000" w:themeColor="text1"/>
          <w:sz w:val="24"/>
          <w:szCs w:val="24"/>
          <w14:textFill>
            <w14:solidFill>
              <w14:schemeClr w14:val="tx1"/>
            </w14:solidFill>
          </w14:textFill>
        </w:rPr>
      </w:pPr>
    </w:p>
    <w:p>
      <w:pPr>
        <w:pStyle w:val="33"/>
        <w:spacing w:line="360" w:lineRule="auto"/>
        <w:jc w:val="center"/>
        <w:rPr>
          <w:rFonts w:hint="eastAsia" w:ascii="宋体" w:hAnsi="宋体" w:eastAsia="宋体" w:cs="宋体"/>
          <w:b/>
          <w:bCs/>
          <w:color w:val="000000" w:themeColor="text1"/>
          <w:sz w:val="24"/>
          <w:szCs w:val="24"/>
          <w:highlight w:val="none"/>
          <w:lang w:eastAsia="zh-CN"/>
          <w14:textFill>
            <w14:solidFill>
              <w14:schemeClr w14:val="tx1"/>
            </w14:solidFill>
          </w14:textFill>
        </w:rPr>
      </w:pPr>
    </w:p>
    <w:p>
      <w:pPr>
        <w:spacing w:before="190" w:beforeLines="50" w:after="190" w:afterLines="50"/>
        <w:jc w:val="center"/>
        <w:rPr>
          <w:rFonts w:hint="eastAsia" w:ascii="宋体" w:hAnsi="宋体" w:eastAsia="宋体" w:cs="宋体"/>
          <w:b/>
          <w:bCs/>
          <w:color w:val="000000" w:themeColor="text1"/>
          <w:sz w:val="24"/>
          <w:szCs w:val="24"/>
          <w14:textFill>
            <w14:solidFill>
              <w14:schemeClr w14:val="tx1"/>
            </w14:solidFill>
          </w14:textFill>
        </w:rPr>
      </w:pPr>
    </w:p>
    <w:tbl>
      <w:tblPr>
        <w:tblStyle w:val="57"/>
        <w:tblpPr w:leftFromText="180" w:rightFromText="180" w:vertAnchor="page" w:horzAnchor="page" w:tblpXSpec="center" w:tblpY="2115"/>
        <w:tblW w:w="10793" w:type="dxa"/>
        <w:jc w:val="center"/>
        <w:tblLayout w:type="fixed"/>
        <w:tblCellMar>
          <w:top w:w="0" w:type="dxa"/>
          <w:left w:w="0" w:type="dxa"/>
          <w:bottom w:w="0" w:type="dxa"/>
          <w:right w:w="0" w:type="dxa"/>
        </w:tblCellMar>
      </w:tblPr>
      <w:tblGrid>
        <w:gridCol w:w="435"/>
        <w:gridCol w:w="1748"/>
        <w:gridCol w:w="2319"/>
        <w:gridCol w:w="704"/>
        <w:gridCol w:w="727"/>
        <w:gridCol w:w="831"/>
        <w:gridCol w:w="865"/>
        <w:gridCol w:w="808"/>
        <w:gridCol w:w="634"/>
        <w:gridCol w:w="935"/>
        <w:gridCol w:w="787"/>
      </w:tblGrid>
      <w:tr>
        <w:tblPrEx>
          <w:tblCellMar>
            <w:top w:w="0" w:type="dxa"/>
            <w:left w:w="0" w:type="dxa"/>
            <w:bottom w:w="0" w:type="dxa"/>
            <w:right w:w="0" w:type="dxa"/>
          </w:tblCellMar>
        </w:tblPrEx>
        <w:trPr>
          <w:trHeight w:val="498" w:hRule="atLeast"/>
          <w:jc w:val="center"/>
        </w:trPr>
        <w:tc>
          <w:tcPr>
            <w:tcW w:w="4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序号</w:t>
            </w:r>
          </w:p>
        </w:tc>
        <w:tc>
          <w:tcPr>
            <w:tcW w:w="174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材料名称</w:t>
            </w:r>
          </w:p>
        </w:tc>
        <w:tc>
          <w:tcPr>
            <w:tcW w:w="231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规格型号、系列号等特殊要求</w:t>
            </w:r>
          </w:p>
        </w:tc>
        <w:tc>
          <w:tcPr>
            <w:tcW w:w="7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单位</w:t>
            </w:r>
          </w:p>
        </w:tc>
        <w:tc>
          <w:tcPr>
            <w:tcW w:w="72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数量</w:t>
            </w:r>
          </w:p>
        </w:tc>
        <w:tc>
          <w:tcPr>
            <w:tcW w:w="83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单价</w:t>
            </w:r>
          </w:p>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（元）</w:t>
            </w:r>
          </w:p>
        </w:tc>
        <w:tc>
          <w:tcPr>
            <w:tcW w:w="86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合价</w:t>
            </w:r>
          </w:p>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（万元）</w:t>
            </w:r>
          </w:p>
        </w:tc>
        <w:tc>
          <w:tcPr>
            <w:tcW w:w="80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品牌</w:t>
            </w:r>
          </w:p>
        </w:tc>
        <w:tc>
          <w:tcPr>
            <w:tcW w:w="63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质量等级</w:t>
            </w: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生产厂家/产地</w:t>
            </w:r>
          </w:p>
        </w:tc>
        <w:tc>
          <w:tcPr>
            <w:tcW w:w="78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备注</w:t>
            </w: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174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231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0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themeColor="text1"/>
                <w:kern w:val="0"/>
                <w14:textFill>
                  <w14:solidFill>
                    <w14:schemeClr w14:val="tx1"/>
                  </w14:solidFill>
                </w14:textFill>
              </w:rPr>
            </w:pPr>
          </w:p>
        </w:tc>
        <w:tc>
          <w:tcPr>
            <w:tcW w:w="72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kern w:val="0"/>
                <w14:textFill>
                  <w14:solidFill>
                    <w14:schemeClr w14:val="tx1"/>
                  </w14:solidFill>
                </w14:textFill>
              </w:rPr>
            </w:pPr>
          </w:p>
        </w:tc>
        <w:tc>
          <w:tcPr>
            <w:tcW w:w="83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6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808"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634"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c>
          <w:tcPr>
            <w:tcW w:w="787"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atLeast"/>
              <w:jc w:val="center"/>
              <w:rPr>
                <w:rFonts w:hint="eastAsia" w:ascii="宋体" w:hAnsi="宋体" w:eastAsia="宋体" w:cs="宋体"/>
                <w:color w:val="000000" w:themeColor="text1"/>
                <w14:textFill>
                  <w14:solidFill>
                    <w14:schemeClr w14:val="tx1"/>
                  </w14:solidFill>
                </w14:textFill>
              </w:rPr>
            </w:pPr>
          </w:p>
        </w:tc>
      </w:tr>
      <w:tr>
        <w:tblPrEx>
          <w:tblCellMar>
            <w:top w:w="0" w:type="dxa"/>
            <w:left w:w="0" w:type="dxa"/>
            <w:bottom w:w="0" w:type="dxa"/>
            <w:right w:w="0" w:type="dxa"/>
          </w:tblCellMar>
        </w:tblPrEx>
        <w:trPr>
          <w:trHeight w:val="457" w:hRule="atLeast"/>
          <w:jc w:val="center"/>
        </w:trPr>
        <w:tc>
          <w:tcPr>
            <w:tcW w:w="5933" w:type="dxa"/>
            <w:gridSpan w:val="5"/>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60" w:lineRule="exact"/>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材料、设备合价总合计（万元）必须汇总合价</w:t>
            </w:r>
          </w:p>
        </w:tc>
        <w:tc>
          <w:tcPr>
            <w:tcW w:w="4860" w:type="dxa"/>
            <w:gridSpan w:val="6"/>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60" w:lineRule="exact"/>
              <w:rPr>
                <w:rFonts w:hint="eastAsia" w:ascii="宋体" w:hAnsi="宋体" w:eastAsia="宋体" w:cs="宋体"/>
                <w:color w:val="000000" w:themeColor="text1"/>
                <w14:textFill>
                  <w14:solidFill>
                    <w14:schemeClr w14:val="tx1"/>
                  </w14:solidFill>
                </w14:textFill>
              </w:rPr>
            </w:pPr>
          </w:p>
        </w:tc>
      </w:tr>
    </w:tbl>
    <w:p>
      <w:pPr>
        <w:spacing w:line="360" w:lineRule="auto"/>
        <w:jc w:val="both"/>
        <w:rPr>
          <w:rFonts w:hint="eastAsia" w:ascii="宋体" w:hAnsi="宋体" w:eastAsia="宋体" w:cs="宋体"/>
          <w:b/>
          <w:bCs/>
          <w:color w:val="000000" w:themeColor="text1"/>
          <w:kern w:val="0"/>
          <w:sz w:val="24"/>
          <w:szCs w:val="32"/>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格式</w:t>
      </w:r>
      <w:r>
        <w:rPr>
          <w:rFonts w:hint="eastAsia" w:ascii="宋体" w:hAnsi="宋体" w:cs="宋体"/>
          <w:b/>
          <w:bCs/>
          <w:color w:val="000000" w:themeColor="text1"/>
          <w:kern w:val="0"/>
          <w:sz w:val="24"/>
          <w:szCs w:val="32"/>
          <w:highlight w:val="none"/>
          <w:lang w:val="en-US" w:eastAsia="zh-CN"/>
          <w14:textFill>
            <w14:solidFill>
              <w14:schemeClr w14:val="tx1"/>
            </w14:solidFill>
          </w14:textFill>
        </w:rPr>
        <w:t>29</w:t>
      </w:r>
      <w:r>
        <w:rPr>
          <w:rFonts w:hint="eastAsia" w:ascii="宋体" w:hAnsi="宋体" w:eastAsia="宋体" w:cs="宋体"/>
          <w:b/>
          <w:bCs/>
          <w:color w:val="000000" w:themeColor="text1"/>
          <w:kern w:val="0"/>
          <w:sz w:val="24"/>
          <w:szCs w:val="32"/>
          <w:highlight w:val="none"/>
          <w14:textFill>
            <w14:solidFill>
              <w14:schemeClr w14:val="tx1"/>
            </w14:solidFill>
          </w14:textFill>
        </w:rPr>
        <w:t xml:space="preserve"> </w:t>
      </w:r>
      <w:r>
        <w:rPr>
          <w:rFonts w:hint="eastAsia" w:ascii="宋体" w:hAnsi="宋体" w:eastAsia="宋体" w:cs="宋体"/>
          <w:b/>
          <w:bCs/>
          <w:color w:val="000000" w:themeColor="text1"/>
          <w:kern w:val="0"/>
          <w:sz w:val="24"/>
          <w:szCs w:val="32"/>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32"/>
          <w:highlight w:val="none"/>
          <w14:textFill>
            <w14:solidFill>
              <w14:schemeClr w14:val="tx1"/>
            </w14:solidFill>
          </w14:textFill>
        </w:rPr>
        <w:t>商务条款偏离表</w:t>
      </w:r>
    </w:p>
    <w:tbl>
      <w:tblPr>
        <w:tblStyle w:val="57"/>
        <w:tblW w:w="9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03"/>
        <w:gridCol w:w="2350"/>
        <w:gridCol w:w="2150"/>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220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招标文件条目号</w:t>
            </w:r>
          </w:p>
        </w:tc>
        <w:tc>
          <w:tcPr>
            <w:tcW w:w="23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15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投标文件</w:t>
            </w:r>
          </w:p>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商务条款</w:t>
            </w:r>
          </w:p>
        </w:tc>
        <w:tc>
          <w:tcPr>
            <w:tcW w:w="2333"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20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15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2333"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注：投标人按此表格式列出不影响投标实质性响应的商务偏差，没有说明的其他条款将被认为完全满足招标文件的规定。</w:t>
      </w: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投标人（盖章）：</w:t>
      </w: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pPr>
        <w:pStyle w:val="33"/>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法定代表人或委托代理人签字或盖章： </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pStyle w:val="33"/>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4"/>
          <w:highlight w:val="none"/>
          <w14:textFill>
            <w14:solidFill>
              <w14:schemeClr w14:val="tx1"/>
            </w14:solidFill>
          </w14:textFill>
        </w:rPr>
      </w:pPr>
    </w:p>
    <w:p>
      <w:pPr>
        <w:pStyle w:val="5"/>
        <w:ind w:firstLine="0"/>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格式</w:t>
      </w:r>
      <w:r>
        <w:rPr>
          <w:rFonts w:hint="eastAsia" w:ascii="宋体" w:hAnsi="宋体" w:eastAsia="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 xml:space="preserve">  技术规格响应偏离表</w:t>
      </w:r>
    </w:p>
    <w:p>
      <w:pPr>
        <w:rPr>
          <w:rFonts w:hint="eastAsia" w:ascii="宋体" w:hAnsi="宋体" w:eastAsia="宋体" w:cs="宋体"/>
          <w:b/>
          <w:color w:val="000000" w:themeColor="text1"/>
          <w:sz w:val="24"/>
          <w:highlight w:val="none"/>
          <w14:textFill>
            <w14:solidFill>
              <w14:schemeClr w14:val="tx1"/>
            </w14:solidFill>
          </w14:textFill>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6"/>
        <w:gridCol w:w="1690"/>
        <w:gridCol w:w="1620"/>
        <w:gridCol w:w="1800"/>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1606"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tc>
        <w:tc>
          <w:tcPr>
            <w:tcW w:w="169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服务内容及要求</w:t>
            </w:r>
          </w:p>
        </w:tc>
        <w:tc>
          <w:tcPr>
            <w:tcW w:w="162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招标要求</w:t>
            </w:r>
          </w:p>
        </w:tc>
        <w:tc>
          <w:tcPr>
            <w:tcW w:w="1800"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投标规格</w:t>
            </w:r>
          </w:p>
        </w:tc>
        <w:tc>
          <w:tcPr>
            <w:tcW w:w="1744" w:type="dxa"/>
            <w:noWrap w:val="0"/>
            <w:vAlign w:val="center"/>
          </w:tcPr>
          <w:p>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06"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9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62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800"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c>
          <w:tcPr>
            <w:tcW w:w="1744" w:type="dxa"/>
            <w:noWrap w:val="0"/>
            <w:vAlign w:val="center"/>
          </w:tcPr>
          <w:p>
            <w:pPr>
              <w:rPr>
                <w:rFonts w:hint="eastAsia" w:ascii="宋体" w:hAnsi="宋体" w:eastAsia="宋体" w:cs="宋体"/>
                <w:color w:val="000000" w:themeColor="text1"/>
                <w:sz w:val="24"/>
                <w:highlight w:val="none"/>
                <w14:textFill>
                  <w14:solidFill>
                    <w14:schemeClr w14:val="tx1"/>
                  </w14:solidFill>
                </w14:textFill>
              </w:rPr>
            </w:pPr>
          </w:p>
        </w:tc>
      </w:tr>
    </w:tbl>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1、投标人应对照技术规格及要求中的招标项目要求，逐条说明所提供项目和服务已对招标文件的技术要求做出了实质性的响应，并申明与技术规格条文的偏差和例外。特别对有具体技术要求的指标，投标人必须提供所投标项目的具体参数值。</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投标人所提供项目和服务已对招标文件、技术规格及要求中的招标项目要求、技术规格和服务条件的偏离只能优于招标文件、技术规格及要求的招标项目要求，否则评标委员会有权按招标文件中相应规定作否决投标处理。</w:t>
      </w:r>
    </w:p>
    <w:p>
      <w:pP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3、没有说明的其他条款将被认为完全满足本招标项目技术条款要求。</w:t>
      </w: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4、各投标人按此表格式自行填写，表格不够时可自行添加。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 （盖章）：</w:t>
      </w: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u w:val="singl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法定代表人或委托代理人签字或盖章：</w:t>
      </w: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p>
    <w:p>
      <w:pP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年     月     日</w:t>
      </w:r>
    </w:p>
    <w:p>
      <w:pPr>
        <w:rPr>
          <w:rFonts w:hint="eastAsia" w:ascii="宋体" w:hAnsi="宋体" w:eastAsia="宋体" w:cs="宋体"/>
          <w:color w:val="000000" w:themeColor="text1"/>
          <w:sz w:val="24"/>
          <w14:textFill>
            <w14:solidFill>
              <w14:schemeClr w14:val="tx1"/>
            </w14:solidFill>
          </w14:textFill>
        </w:rPr>
      </w:pPr>
    </w:p>
    <w:p>
      <w:pPr>
        <w:pStyle w:val="3"/>
        <w:spacing w:before="0" w:after="0" w:line="360" w:lineRule="auto"/>
        <w:ind w:firstLine="482" w:firstLineChars="200"/>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第</w:t>
      </w: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章  评标方法（综合评分法）</w:t>
      </w:r>
    </w:p>
    <w:p>
      <w:pPr>
        <w:pStyle w:val="4"/>
        <w:spacing w:before="0" w:after="0" w:line="360" w:lineRule="auto"/>
        <w:ind w:firstLine="482"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1、初审</w:t>
      </w:r>
    </w:p>
    <w:p>
      <w:pPr>
        <w:pStyle w:val="6"/>
        <w:spacing w:before="0" w:after="0"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1.1资格性审查</w:t>
      </w:r>
    </w:p>
    <w:tbl>
      <w:tblPr>
        <w:tblStyle w:val="57"/>
        <w:tblW w:w="1016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877"/>
        <w:gridCol w:w="2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784"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序号</w:t>
            </w:r>
          </w:p>
        </w:tc>
        <w:tc>
          <w:tcPr>
            <w:tcW w:w="6877" w:type="dxa"/>
            <w:noWrap/>
            <w:vAlign w:val="center"/>
          </w:tcPr>
          <w:p>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检查因素</w:t>
            </w:r>
          </w:p>
        </w:tc>
        <w:tc>
          <w:tcPr>
            <w:tcW w:w="2501"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784" w:type="dxa"/>
            <w:noWrap/>
            <w:vAlign w:val="center"/>
          </w:tcPr>
          <w:p>
            <w:pPr>
              <w:spacing w:line="360" w:lineRule="auto"/>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p>
        </w:tc>
        <w:tc>
          <w:tcPr>
            <w:tcW w:w="6877" w:type="dxa"/>
            <w:noWrap/>
            <w:vAlign w:val="center"/>
          </w:tcPr>
          <w:p>
            <w:pP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投标人须符合《中华人民共和国政府采购法》第二十二条</w:t>
            </w:r>
          </w:p>
        </w:tc>
        <w:tc>
          <w:tcPr>
            <w:tcW w:w="2501" w:type="dxa"/>
            <w:noWrap/>
            <w:vAlign w:val="center"/>
          </w:tcPr>
          <w:p>
            <w:pP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84" w:type="dxa"/>
            <w:noWrap/>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6877" w:type="dxa"/>
            <w:noWrap/>
            <w:vAlign w:val="center"/>
          </w:tcPr>
          <w:p>
            <w:pPr>
              <w:spacing w:line="40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具有</w:t>
            </w:r>
            <w:r>
              <w:rPr>
                <w:rFonts w:hint="eastAsia" w:ascii="宋体" w:hAnsi="宋体" w:eastAsia="宋体" w:cs="宋体"/>
                <w:color w:val="000000" w:themeColor="text1"/>
                <w:kern w:val="0"/>
                <w:sz w:val="21"/>
                <w:szCs w:val="21"/>
                <w14:textFill>
                  <w14:solidFill>
                    <w14:schemeClr w14:val="tx1"/>
                  </w14:solidFill>
                </w14:textFill>
              </w:rPr>
              <w:t>建设行政主管部门核发的建筑工程施工总承包三级及以上资质</w:t>
            </w:r>
          </w:p>
        </w:tc>
        <w:tc>
          <w:tcPr>
            <w:tcW w:w="2501" w:type="dxa"/>
            <w:noWrap/>
            <w:vAlign w:val="center"/>
          </w:tcPr>
          <w:p>
            <w:pPr>
              <w:spacing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784" w:type="dxa"/>
            <w:noWrap/>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6877" w:type="dxa"/>
            <w:noWrap/>
            <w:vAlign w:val="center"/>
          </w:tcPr>
          <w:p>
            <w:pPr>
              <w:spacing w:line="40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安全生产许可证：</w:t>
            </w:r>
            <w:r>
              <w:rPr>
                <w:rFonts w:hint="eastAsia" w:ascii="宋体" w:hAnsi="宋体" w:eastAsia="宋体" w:cs="宋体"/>
                <w:color w:val="000000" w:themeColor="text1"/>
                <w:kern w:val="0"/>
                <w:sz w:val="21"/>
                <w:szCs w:val="21"/>
                <w14:textFill>
                  <w14:solidFill>
                    <w14:schemeClr w14:val="tx1"/>
                  </w14:solidFill>
                </w14:textFill>
              </w:rPr>
              <w:t>由建设行政主管部门核发且在有效期内</w:t>
            </w:r>
          </w:p>
        </w:tc>
        <w:tc>
          <w:tcPr>
            <w:tcW w:w="2501" w:type="dxa"/>
            <w:noWrap/>
            <w:vAlign w:val="center"/>
          </w:tcPr>
          <w:p>
            <w:pPr>
              <w:spacing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trPr>
        <w:tc>
          <w:tcPr>
            <w:tcW w:w="784" w:type="dxa"/>
            <w:noWrap/>
            <w:vAlign w:val="center"/>
          </w:tcPr>
          <w:p>
            <w:pPr>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6877" w:type="dxa"/>
            <w:noWrap/>
            <w:vAlign w:val="center"/>
          </w:tcPr>
          <w:p>
            <w:pPr>
              <w:spacing w:line="400" w:lineRule="exac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拟派项目负责人应具有建设行政主管部门核发的</w:t>
            </w:r>
            <w:r>
              <w:rPr>
                <w:rFonts w:hint="eastAsia" w:ascii="宋体" w:hAnsi="宋体" w:eastAsia="宋体" w:cs="宋体"/>
                <w:color w:val="000000" w:themeColor="text1"/>
                <w:sz w:val="21"/>
                <w:szCs w:val="21"/>
                <w:highlight w:val="none"/>
                <w:lang w:eastAsia="zh-CN"/>
                <w14:textFill>
                  <w14:solidFill>
                    <w14:schemeClr w14:val="tx1"/>
                  </w14:solidFill>
                </w14:textFill>
              </w:rPr>
              <w:t>建筑</w:t>
            </w:r>
            <w:r>
              <w:rPr>
                <w:rFonts w:hint="eastAsia" w:ascii="宋体" w:hAnsi="宋体" w:eastAsia="宋体" w:cs="宋体"/>
                <w:color w:val="000000" w:themeColor="text1"/>
                <w:sz w:val="21"/>
                <w:szCs w:val="21"/>
                <w:highlight w:val="none"/>
                <w14:textFill>
                  <w14:solidFill>
                    <w14:schemeClr w14:val="tx1"/>
                  </w14:solidFill>
                </w14:textFill>
              </w:rPr>
              <w:t>工程贰级及以上建造师注册证书；并取得有效期内的安全生产考核合格证（A类或B类）</w:t>
            </w:r>
          </w:p>
        </w:tc>
        <w:tc>
          <w:tcPr>
            <w:tcW w:w="2501" w:type="dxa"/>
            <w:noWrap/>
            <w:vAlign w:val="center"/>
          </w:tcPr>
          <w:p>
            <w:pPr>
              <w:spacing w:line="360" w:lineRule="auto"/>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784" w:type="dxa"/>
            <w:noWrap/>
            <w:vAlign w:val="center"/>
          </w:tcPr>
          <w:p>
            <w:pPr>
              <w:spacing w:line="360" w:lineRule="auto"/>
              <w:jc w:val="cente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w:t>
            </w:r>
          </w:p>
        </w:tc>
        <w:tc>
          <w:tcPr>
            <w:tcW w:w="6877"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本项目不接受联合体投标人参加</w:t>
            </w:r>
          </w:p>
        </w:tc>
        <w:tc>
          <w:tcPr>
            <w:tcW w:w="2501" w:type="dxa"/>
            <w:noWrap/>
            <w:vAlign w:val="center"/>
          </w:tcPr>
          <w:p>
            <w:pPr>
              <w:spacing w:line="360" w:lineRule="auto"/>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符合本招标文件规定</w:t>
            </w:r>
          </w:p>
        </w:tc>
      </w:tr>
    </w:tbl>
    <w:p>
      <w:pPr>
        <w:pStyle w:val="6"/>
        <w:spacing w:line="360" w:lineRule="auto"/>
        <w:ind w:firstLine="482"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1.2符合性审查</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151"/>
        <w:gridCol w:w="2192"/>
        <w:gridCol w:w="6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83" w:type="dxa"/>
            <w:noWrap/>
            <w:vAlign w:val="center"/>
          </w:tcPr>
          <w:p>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序号</w:t>
            </w:r>
          </w:p>
        </w:tc>
        <w:tc>
          <w:tcPr>
            <w:tcW w:w="3343" w:type="dxa"/>
            <w:gridSpan w:val="2"/>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评审因素</w:t>
            </w:r>
          </w:p>
        </w:tc>
        <w:tc>
          <w:tcPr>
            <w:tcW w:w="6047" w:type="dxa"/>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3"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151"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有效性审查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文件签署</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文件中法定代表人或其授权代表人的签字齐全。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83"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法定代表人身份证明及授权委托书有效，且符合招标文件规定的格式。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3"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投标方案</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83"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报价唯一</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报价在采购项目预算额内，</w:t>
            </w:r>
            <w:r>
              <w:rPr>
                <w:rFonts w:hint="eastAsia" w:ascii="宋体" w:hAnsi="宋体" w:cs="宋体"/>
                <w:color w:val="000000" w:themeColor="text1"/>
                <w:sz w:val="21"/>
                <w:szCs w:val="21"/>
                <w:highlight w:val="none"/>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83"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151"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完整性审查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投标文件份数</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投标文件正本、副本等投标文件数量符合</w:t>
            </w:r>
            <w:r>
              <w:rPr>
                <w:rFonts w:hint="eastAsia" w:ascii="宋体" w:hAnsi="宋体" w:cs="宋体"/>
                <w:color w:val="000000" w:themeColor="text1"/>
                <w:kern w:val="0"/>
                <w:sz w:val="21"/>
                <w:szCs w:val="21"/>
                <w:highlight w:val="none"/>
                <w14:textFill>
                  <w14:solidFill>
                    <w14:schemeClr w14:val="tx1"/>
                  </w14:solidFill>
                </w14:textFill>
              </w:rPr>
              <w:t>招标</w:t>
            </w:r>
            <w:r>
              <w:rPr>
                <w:rFonts w:hint="eastAsia" w:ascii="宋体" w:hAnsi="宋体" w:cs="宋体"/>
                <w:color w:val="000000" w:themeColor="text1"/>
                <w:sz w:val="21"/>
                <w:szCs w:val="21"/>
                <w:highlight w:val="none"/>
                <w:lang w:val="zh-CN"/>
                <w14:textFill>
                  <w14:solidFill>
                    <w14:schemeClr w14:val="tx1"/>
                  </w14:solidFill>
                </w14:textFill>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jc w:val="center"/>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投标文件内容</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lang w:val="zh-CN"/>
                <w14:textFill>
                  <w14:solidFill>
                    <w14:schemeClr w14:val="tx1"/>
                  </w14:solidFill>
                </w14:textFill>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3" w:type="dxa"/>
            <w:vMerge w:val="restart"/>
            <w:noWrap/>
            <w:vAlign w:val="center"/>
          </w:tcPr>
          <w:p>
            <w:pPr>
              <w:spacing w:line="360" w:lineRule="auto"/>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151" w:type="dxa"/>
            <w:vMerge w:val="restart"/>
            <w:noWrap/>
            <w:vAlign w:val="center"/>
          </w:tcPr>
          <w:p>
            <w:pPr>
              <w:spacing w:line="360" w:lineRule="auto"/>
              <w:jc w:val="center"/>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招标文件的响应程度审查</w:t>
            </w: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文件内容</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对招标文件规定的内容全部做出响应。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质量技术</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满足招标文件提出的质量、技术要求。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工期</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r>
              <w:rPr>
                <w:rFonts w:hint="eastAsia" w:ascii="宋体" w:hAnsi="宋体" w:cs="宋体"/>
                <w:color w:val="000000" w:themeColor="text1"/>
                <w:kern w:val="0"/>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3" w:type="dxa"/>
            <w:vMerge w:val="continue"/>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noWrap/>
            <w:vAlign w:val="center"/>
          </w:tcPr>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p>
        </w:tc>
        <w:tc>
          <w:tcPr>
            <w:tcW w:w="2192"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zh-CN"/>
                <w14:textFill>
                  <w14:solidFill>
                    <w14:schemeClr w14:val="tx1"/>
                  </w14:solidFill>
                </w14:textFill>
              </w:rPr>
              <w:t>投标</w:t>
            </w:r>
            <w:r>
              <w:rPr>
                <w:rFonts w:hint="eastAsia" w:ascii="宋体" w:hAnsi="宋体" w:cs="宋体"/>
                <w:color w:val="000000" w:themeColor="text1"/>
                <w:sz w:val="21"/>
                <w:szCs w:val="21"/>
                <w:highlight w:val="none"/>
                <w14:textFill>
                  <w14:solidFill>
                    <w14:schemeClr w14:val="tx1"/>
                  </w14:solidFill>
                </w14:textFill>
              </w:rPr>
              <w:t>文件有效期</w:t>
            </w:r>
          </w:p>
        </w:tc>
        <w:tc>
          <w:tcPr>
            <w:tcW w:w="6047"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w:t>
            </w:r>
            <w:r>
              <w:rPr>
                <w:rFonts w:hint="eastAsia" w:ascii="宋体" w:hAnsi="宋体" w:cs="宋体"/>
                <w:color w:val="000000" w:themeColor="text1"/>
                <w:sz w:val="21"/>
                <w:szCs w:val="21"/>
                <w:highlight w:val="none"/>
                <w:lang w:val="zh-CN"/>
                <w14:textFill>
                  <w14:solidFill>
                    <w14:schemeClr w14:val="tx1"/>
                  </w14:solidFill>
                </w14:textFill>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83" w:type="dxa"/>
            <w:vMerge w:val="continue"/>
            <w:tcBorders>
              <w:bottom w:val="single" w:color="auto" w:sz="4" w:space="0"/>
            </w:tcBorders>
            <w:noWrap/>
            <w:vAlign w:val="center"/>
          </w:tcPr>
          <w:p>
            <w:pPr>
              <w:spacing w:line="360" w:lineRule="auto"/>
              <w:ind w:firstLine="420" w:firstLineChars="200"/>
              <w:rPr>
                <w:rFonts w:ascii="宋体" w:hAnsi="宋体" w:cs="宋体"/>
                <w:color w:val="000000" w:themeColor="text1"/>
                <w:kern w:val="0"/>
                <w:sz w:val="21"/>
                <w:szCs w:val="21"/>
                <w:highlight w:val="none"/>
                <w14:textFill>
                  <w14:solidFill>
                    <w14:schemeClr w14:val="tx1"/>
                  </w14:solidFill>
                </w14:textFill>
              </w:rPr>
            </w:pPr>
          </w:p>
        </w:tc>
        <w:tc>
          <w:tcPr>
            <w:tcW w:w="1151" w:type="dxa"/>
            <w:vMerge w:val="continue"/>
            <w:tcBorders>
              <w:bottom w:val="single" w:color="auto" w:sz="4" w:space="0"/>
            </w:tcBorders>
            <w:noWrap/>
            <w:vAlign w:val="center"/>
          </w:tcPr>
          <w:p>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p>
        </w:tc>
        <w:tc>
          <w:tcPr>
            <w:tcW w:w="2192"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w:t>
            </w:r>
          </w:p>
        </w:tc>
        <w:tc>
          <w:tcPr>
            <w:tcW w:w="6047" w:type="dxa"/>
            <w:tcBorders>
              <w:bottom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满足招标文件相关</w:t>
            </w:r>
            <w:r>
              <w:rPr>
                <w:rFonts w:hint="eastAsia" w:ascii="宋体" w:hAnsi="宋体" w:cs="宋体"/>
                <w:color w:val="000000" w:themeColor="text1"/>
                <w:sz w:val="21"/>
                <w:szCs w:val="21"/>
                <w:highlight w:val="none"/>
                <w:lang w:val="zh-CN"/>
                <w14:textFill>
                  <w14:solidFill>
                    <w14:schemeClr w14:val="tx1"/>
                  </w14:solidFill>
                </w14:textFill>
              </w:rPr>
              <w:t>规定。</w:t>
            </w:r>
          </w:p>
        </w:tc>
      </w:tr>
    </w:tbl>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注：资格性审查、符合性审查的评审内容，有一项不通过者，视为未通过资格性审查、符合性审查。未提供资格性审查、符合性审查的投标文件将按照无效投标处理。</w:t>
      </w: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hint="eastAsia" w:ascii="宋体" w:hAnsi="宋体" w:cs="宋体"/>
          <w:b/>
          <w:bCs/>
          <w:color w:val="000000" w:themeColor="text1"/>
          <w:kern w:val="0"/>
          <w:sz w:val="24"/>
          <w:highlight w:val="none"/>
          <w14:textFill>
            <w14:solidFill>
              <w14:schemeClr w14:val="tx1"/>
            </w14:solidFill>
          </w14:textFill>
        </w:rPr>
      </w:pPr>
    </w:p>
    <w:p>
      <w:pPr>
        <w:spacing w:line="300" w:lineRule="exact"/>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2、评标方法（综合评分法）</w:t>
      </w:r>
    </w:p>
    <w:tbl>
      <w:tblPr>
        <w:tblStyle w:val="57"/>
        <w:tblpPr w:leftFromText="180" w:rightFromText="180" w:vertAnchor="text" w:horzAnchor="page" w:tblpX="638" w:tblpY="525"/>
        <w:tblW w:w="11113" w:type="dxa"/>
        <w:tblInd w:w="0" w:type="dxa"/>
        <w:tblLayout w:type="fixed"/>
        <w:tblCellMar>
          <w:top w:w="0" w:type="dxa"/>
          <w:left w:w="108" w:type="dxa"/>
          <w:bottom w:w="0" w:type="dxa"/>
          <w:right w:w="108" w:type="dxa"/>
        </w:tblCellMar>
      </w:tblPr>
      <w:tblGrid>
        <w:gridCol w:w="478"/>
        <w:gridCol w:w="1837"/>
        <w:gridCol w:w="8180"/>
        <w:gridCol w:w="618"/>
      </w:tblGrid>
      <w:tr>
        <w:tblPrEx>
          <w:tblCellMar>
            <w:top w:w="0" w:type="dxa"/>
            <w:left w:w="108" w:type="dxa"/>
            <w:bottom w:w="0" w:type="dxa"/>
            <w:right w:w="108" w:type="dxa"/>
          </w:tblCellMar>
        </w:tblPrEx>
        <w:trPr>
          <w:trHeight w:val="144" w:hRule="atLeast"/>
        </w:trPr>
        <w:tc>
          <w:tcPr>
            <w:tcW w:w="478" w:type="dxa"/>
            <w:tcBorders>
              <w:top w:val="single" w:color="auto" w:sz="4" w:space="0"/>
              <w:left w:val="single" w:color="auto" w:sz="4" w:space="0"/>
              <w:bottom w:val="single" w:color="auto" w:sz="4" w:space="0"/>
              <w:right w:val="single" w:color="auto" w:sz="4" w:space="0"/>
            </w:tcBorders>
            <w:noWrap/>
            <w:textDirection w:val="tbRl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序号</w:t>
            </w:r>
          </w:p>
        </w:tc>
        <w:tc>
          <w:tcPr>
            <w:tcW w:w="183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评审指标</w:t>
            </w:r>
          </w:p>
        </w:tc>
        <w:tc>
          <w:tcPr>
            <w:tcW w:w="81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评分标准</w:t>
            </w:r>
          </w:p>
        </w:tc>
        <w:tc>
          <w:tcPr>
            <w:tcW w:w="61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分值</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范围</w:t>
            </w:r>
          </w:p>
        </w:tc>
      </w:tr>
      <w:tr>
        <w:tblPrEx>
          <w:tblCellMar>
            <w:top w:w="0" w:type="dxa"/>
            <w:left w:w="108" w:type="dxa"/>
            <w:bottom w:w="0" w:type="dxa"/>
            <w:right w:w="108" w:type="dxa"/>
          </w:tblCellMar>
        </w:tblPrEx>
        <w:trPr>
          <w:trHeight w:val="690" w:hRule="atLeast"/>
        </w:trPr>
        <w:tc>
          <w:tcPr>
            <w:tcW w:w="478" w:type="dxa"/>
            <w:tcBorders>
              <w:top w:val="single" w:color="auto" w:sz="4" w:space="0"/>
              <w:left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w:t>
            </w:r>
          </w:p>
        </w:tc>
        <w:tc>
          <w:tcPr>
            <w:tcW w:w="1837"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商务报价（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分）</w:t>
            </w:r>
          </w:p>
        </w:tc>
        <w:tc>
          <w:tcPr>
            <w:tcW w:w="8180"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满足招标文件要求且投标价格最低的投标报价</w:t>
            </w:r>
            <w:r>
              <w:rPr>
                <w:rFonts w:hint="eastAsia" w:ascii="宋体" w:hAnsi="宋体" w:cs="宋体"/>
                <w:b/>
                <w:bCs/>
                <w:color w:val="000000" w:themeColor="text1"/>
                <w:kern w:val="0"/>
                <w:sz w:val="18"/>
                <w:szCs w:val="18"/>
                <w:highlight w:val="none"/>
                <w:lang w:eastAsia="zh-CN"/>
                <w14:textFill>
                  <w14:solidFill>
                    <w14:schemeClr w14:val="tx1"/>
                  </w14:solidFill>
                </w14:textFill>
              </w:rPr>
              <w:t>【</w:t>
            </w:r>
            <w:r>
              <w:rPr>
                <w:rFonts w:hint="eastAsia" w:ascii="宋体" w:hAnsi="宋体" w:cs="宋体"/>
                <w:b/>
                <w:bCs/>
                <w:color w:val="000000" w:themeColor="text1"/>
                <w:kern w:val="0"/>
                <w:sz w:val="18"/>
                <w:szCs w:val="18"/>
                <w:highlight w:val="none"/>
                <w14:textFill>
                  <w14:solidFill>
                    <w14:schemeClr w14:val="tx1"/>
                  </w14:solidFill>
                </w14:textFill>
              </w:rPr>
              <w:t>投标报价指：分部分项工程费用报价+措施项目费用报价（不含安全文明施工费）+其他项目费报价</w:t>
            </w:r>
            <w:r>
              <w:rPr>
                <w:rFonts w:hint="eastAsia" w:ascii="宋体" w:hAnsi="宋体" w:cs="宋体"/>
                <w:b/>
                <w:bCs/>
                <w:color w:val="000000" w:themeColor="text1"/>
                <w:kern w:val="0"/>
                <w:sz w:val="18"/>
                <w:szCs w:val="18"/>
                <w:highlight w:val="none"/>
                <w:lang w:eastAsia="zh-CN"/>
                <w14:textFill>
                  <w14:solidFill>
                    <w14:schemeClr w14:val="tx1"/>
                  </w14:solidFill>
                </w14:textFill>
              </w:rPr>
              <w:t>（含暂列金额）】</w:t>
            </w:r>
            <w:r>
              <w:rPr>
                <w:rFonts w:hint="eastAsia" w:ascii="宋体" w:hAnsi="宋体" w:cs="宋体"/>
                <w:color w:val="000000" w:themeColor="text1"/>
                <w:kern w:val="0"/>
                <w:sz w:val="18"/>
                <w:szCs w:val="18"/>
                <w:highlight w:val="none"/>
                <w14:textFill>
                  <w14:solidFill>
                    <w14:schemeClr w14:val="tx1"/>
                  </w14:solidFill>
                </w14:textFill>
              </w:rPr>
              <w:t>为评标基准价，其价格分为满分。其他投标人的价格分统一按照下列公式计算：投标报价得分=(评标基准价／投标报价)×</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r>
              <w:rPr>
                <w:rFonts w:hint="eastAsia" w:ascii="宋体" w:hAnsi="宋体" w:cs="宋体"/>
                <w:color w:val="000000" w:themeColor="text1"/>
                <w:kern w:val="0"/>
                <w:sz w:val="18"/>
                <w:szCs w:val="18"/>
                <w:highlight w:val="none"/>
                <w14:textFill>
                  <w14:solidFill>
                    <w14:schemeClr w14:val="tx1"/>
                  </w14:solidFill>
                </w14:textFill>
              </w:rPr>
              <w:t>%×100</w:t>
            </w:r>
            <w:r>
              <w:rPr>
                <w:rFonts w:hint="eastAsia" w:ascii="宋体" w:hAnsi="宋体" w:cs="宋体"/>
                <w:b/>
                <w:bCs/>
                <w:color w:val="000000" w:themeColor="text1"/>
                <w:kern w:val="0"/>
                <w:sz w:val="18"/>
                <w:szCs w:val="18"/>
                <w:highlight w:val="none"/>
                <w14:textFill>
                  <w14:solidFill>
                    <w14:schemeClr w14:val="tx1"/>
                  </w14:solidFill>
                </w14:textFill>
              </w:rPr>
              <w:t>（说明：</w:t>
            </w:r>
            <w:r>
              <w:rPr>
                <w:rFonts w:hint="eastAsia" w:ascii="宋体" w:hAnsi="宋体" w:eastAsia="宋体" w:cs="宋体"/>
                <w:b/>
                <w:bCs/>
                <w:color w:val="000000" w:themeColor="text1"/>
                <w:kern w:val="0"/>
                <w:sz w:val="18"/>
                <w:szCs w:val="18"/>
                <w:highlight w:val="none"/>
                <w14:textFill>
                  <w14:solidFill>
                    <w14:schemeClr w14:val="tx1"/>
                  </w14:solidFill>
                </w14:textFill>
              </w:rPr>
              <w:t>对小型和微型企业的价格给予</w:t>
            </w:r>
            <w:r>
              <w:rPr>
                <w:rFonts w:hint="eastAsia" w:ascii="宋体" w:hAnsi="宋体" w:cs="宋体"/>
                <w:b/>
                <w:bCs/>
                <w:color w:val="000000" w:themeColor="text1"/>
                <w:kern w:val="0"/>
                <w:sz w:val="18"/>
                <w:szCs w:val="18"/>
                <w:highlight w:val="none"/>
                <w:lang w:val="en-US" w:eastAsia="zh-CN"/>
                <w14:textFill>
                  <w14:solidFill>
                    <w14:schemeClr w14:val="tx1"/>
                  </w14:solidFill>
                </w14:textFill>
              </w:rPr>
              <w:t>5</w:t>
            </w:r>
            <w:r>
              <w:rPr>
                <w:rFonts w:hint="eastAsia" w:ascii="宋体" w:hAnsi="宋体" w:eastAsia="宋体" w:cs="宋体"/>
                <w:b/>
                <w:bCs/>
                <w:color w:val="000000" w:themeColor="text1"/>
                <w:kern w:val="0"/>
                <w:sz w:val="18"/>
                <w:szCs w:val="18"/>
                <w:highlight w:val="none"/>
                <w14:textFill>
                  <w14:solidFill>
                    <w14:schemeClr w14:val="tx1"/>
                  </w14:solidFill>
                </w14:textFill>
              </w:rPr>
              <w:t>%的扣除，用扣除后的价格参与评审。）</w:t>
            </w:r>
          </w:p>
        </w:tc>
        <w:tc>
          <w:tcPr>
            <w:tcW w:w="61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30</w:t>
            </w:r>
          </w:p>
        </w:tc>
      </w:tr>
      <w:tr>
        <w:tblPrEx>
          <w:tblCellMar>
            <w:top w:w="0" w:type="dxa"/>
            <w:left w:w="108" w:type="dxa"/>
            <w:bottom w:w="0" w:type="dxa"/>
            <w:right w:w="108" w:type="dxa"/>
          </w:tblCellMar>
        </w:tblPrEx>
        <w:trPr>
          <w:trHeight w:val="184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2</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信合联服信用报告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5</w:t>
            </w:r>
            <w:r>
              <w:rPr>
                <w:rFonts w:hint="eastAsia" w:ascii="宋体" w:hAnsi="宋体" w:cs="宋体"/>
                <w:color w:val="000000" w:themeColor="text1"/>
                <w:kern w:val="0"/>
                <w:sz w:val="18"/>
                <w:szCs w:val="18"/>
                <w:highlight w:val="none"/>
                <w14:textFill>
                  <w14:solidFill>
                    <w14:schemeClr w14:val="tx1"/>
                  </w14:solidFill>
                </w14:textFill>
              </w:rPr>
              <w:t>分）</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根据投标人所提供由信合联服（网址</w:t>
            </w:r>
            <w:r>
              <w:rPr>
                <w:rFonts w:hint="eastAsia" w:ascii="宋体" w:hAnsi="宋体" w:cs="宋体"/>
                <w:color w:val="000000" w:themeColor="text1"/>
                <w:sz w:val="18"/>
                <w:szCs w:val="18"/>
                <w:highlight w:val="none"/>
                <w14:textFill>
                  <w14:solidFill>
                    <w14:schemeClr w14:val="tx1"/>
                  </w14:solidFill>
                </w14:textFill>
              </w:rPr>
              <w:drawing>
                <wp:inline distT="0" distB="0" distL="114300" distR="114300">
                  <wp:extent cx="190500" cy="142875"/>
                  <wp:effectExtent l="0" t="0" r="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9"/>
                          <a:stretch>
                            <a:fillRect/>
                          </a:stretch>
                        </pic:blipFill>
                        <pic:spPr>
                          <a:xfrm>
                            <a:off x="0" y="0"/>
                            <a:ext cx="190500" cy="142875"/>
                          </a:xfrm>
                          <a:prstGeom prst="rect">
                            <a:avLst/>
                          </a:prstGeom>
                          <a:noFill/>
                          <a:ln w="9525">
                            <a:noFill/>
                          </a:ln>
                        </pic:spPr>
                      </pic:pic>
                    </a:graphicData>
                  </a:graphic>
                </wp:inline>
              </w:drawing>
            </w:r>
            <w:r>
              <w:rPr>
                <w:rFonts w:hint="eastAsia" w:ascii="宋体" w:hAnsi="宋体" w:cs="宋体"/>
                <w:color w:val="000000" w:themeColor="text1"/>
                <w:sz w:val="18"/>
                <w:szCs w:val="18"/>
                <w:highlight w:val="none"/>
                <w14:textFill>
                  <w14:solidFill>
                    <w14:schemeClr w14:val="tx1"/>
                  </w14:solidFill>
                </w14:textFill>
              </w:rPr>
              <w:t>http://www.xhlfzx.com.cn/，克拉玛依市信用办备案认可信用服务机构）出具的信用报告所评定信用等级评分：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1、信用等级为AAA级，得5分；2、信用等级为AA级，得4.5分；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3、信用等级为A级，得4分；4、信用等级为BBB级，得3.5分；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5、信用等级为BB级，得3分；6、信用等级为B级，得2.5分；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7、信用等级为CCC级，得2分；8、信用等级为CC级，得1.5分；</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9、信用等级为C级，得1分；10、信用等级为D级，取消其投标资格；</w:t>
            </w:r>
            <w:r>
              <w:rPr>
                <w:rFonts w:hint="eastAsia" w:ascii="宋体" w:hAnsi="宋体" w:cs="宋体"/>
                <w:color w:val="000000" w:themeColor="text1"/>
                <w:sz w:val="18"/>
                <w:szCs w:val="18"/>
                <w:highlight w:val="none"/>
                <w14:textFill>
                  <w14:solidFill>
                    <w14:schemeClr w14:val="tx1"/>
                  </w14:solidFill>
                </w14:textFill>
              </w:rPr>
              <w:br w:type="textWrapping"/>
            </w:r>
            <w:r>
              <w:rPr>
                <w:rFonts w:hint="eastAsia" w:ascii="宋体" w:hAnsi="宋体" w:cs="宋体"/>
                <w:color w:val="000000" w:themeColor="text1"/>
                <w:sz w:val="18"/>
                <w:szCs w:val="18"/>
                <w:highlight w:val="none"/>
                <w14:textFill>
                  <w14:solidFill>
                    <w14:schemeClr w14:val="tx1"/>
                  </w14:solidFill>
                </w14:textFill>
              </w:rPr>
              <w:t>11、未提供信用报告的，此项不得分。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0-5</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3</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14:textFill>
                  <w14:solidFill>
                    <w14:schemeClr w14:val="tx1"/>
                  </w14:solidFill>
                </w14:textFill>
              </w:rPr>
              <w:t>业绩（</w:t>
            </w:r>
            <w:r>
              <w:rPr>
                <w:rFonts w:hint="eastAsia" w:ascii="宋体" w:hAnsi="宋体" w:cs="宋体"/>
                <w:color w:val="000000" w:themeColor="text1"/>
                <w:kern w:val="0"/>
                <w:sz w:val="18"/>
                <w:szCs w:val="18"/>
                <w:highlight w:val="none"/>
                <w:lang w:val="en-US" w:eastAsia="zh-CN"/>
                <w14:textFill>
                  <w14:solidFill>
                    <w14:schemeClr w14:val="tx1"/>
                  </w14:solidFill>
                </w14:textFill>
              </w:rPr>
              <w:t>2分</w:t>
            </w:r>
            <w:r>
              <w:rPr>
                <w:rFonts w:hint="eastAsia" w:ascii="宋体" w:hAnsi="宋体" w:cs="宋体"/>
                <w:color w:val="000000" w:themeColor="text1"/>
                <w:kern w:val="0"/>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宋体" w:hAnsi="宋体" w:cs="宋体"/>
                <w:color w:val="000000" w:themeColor="text1"/>
                <w:sz w:val="18"/>
                <w:szCs w:val="18"/>
                <w:highlight w:val="none"/>
                <w:lang w:val="en-US"/>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企业近三年（</w:t>
            </w:r>
            <w:r>
              <w:rPr>
                <w:rFonts w:hint="eastAsia" w:ascii="宋体" w:hAnsi="宋体" w:cs="宋体"/>
                <w:color w:val="000000" w:themeColor="text1"/>
                <w:sz w:val="18"/>
                <w:szCs w:val="18"/>
                <w:highlight w:val="none"/>
                <w:lang w:val="en-US" w:eastAsia="zh-CN"/>
                <w14:textFill>
                  <w14:solidFill>
                    <w14:schemeClr w14:val="tx1"/>
                  </w14:solidFill>
                </w14:textFill>
              </w:rPr>
              <w:t>2018年1月1日至今</w:t>
            </w:r>
            <w:r>
              <w:rPr>
                <w:rFonts w:hint="eastAsia" w:ascii="宋体" w:hAnsi="宋体" w:cs="宋体"/>
                <w:color w:val="000000" w:themeColor="text1"/>
                <w:sz w:val="18"/>
                <w:szCs w:val="18"/>
                <w:highlight w:val="none"/>
                <w:lang w:eastAsia="zh-CN"/>
                <w14:textFill>
                  <w14:solidFill>
                    <w14:schemeClr w14:val="tx1"/>
                  </w14:solidFill>
                </w14:textFill>
              </w:rPr>
              <w:t>）承担过类似项目业绩，每提供一个业绩得</w:t>
            </w:r>
            <w:r>
              <w:rPr>
                <w:rFonts w:hint="eastAsia" w:ascii="宋体" w:hAnsi="宋体" w:cs="宋体"/>
                <w:color w:val="000000" w:themeColor="text1"/>
                <w:sz w:val="18"/>
                <w:szCs w:val="18"/>
                <w:highlight w:val="none"/>
                <w:lang w:val="en-US" w:eastAsia="zh-CN"/>
                <w14:textFill>
                  <w14:solidFill>
                    <w14:schemeClr w14:val="tx1"/>
                  </w14:solidFill>
                </w14:textFill>
              </w:rPr>
              <w:t>1分，最多得2分（</w:t>
            </w:r>
            <w:r>
              <w:rPr>
                <w:rFonts w:hint="eastAsia" w:ascii="宋体" w:hAnsi="宋体" w:cs="宋体"/>
                <w:color w:val="000000" w:themeColor="text1"/>
                <w:sz w:val="18"/>
                <w:szCs w:val="18"/>
                <w:highlight w:val="none"/>
                <w:lang w:eastAsia="zh-CN"/>
                <w14:textFill>
                  <w14:solidFill>
                    <w14:schemeClr w14:val="tx1"/>
                  </w14:solidFill>
                </w14:textFill>
              </w:rPr>
              <w:t>附中标通知书或合同复印件</w:t>
            </w:r>
            <w:r>
              <w:rPr>
                <w:rFonts w:hint="eastAsia" w:ascii="宋体" w:hAnsi="宋体" w:cs="宋体"/>
                <w:color w:val="000000" w:themeColor="text1"/>
                <w:sz w:val="18"/>
                <w:szCs w:val="18"/>
                <w:highlight w:val="none"/>
                <w:lang w:val="en-US" w:eastAsia="zh-CN"/>
                <w14:textFill>
                  <w14:solidFill>
                    <w14:schemeClr w14:val="tx1"/>
                  </w14:solidFill>
                </w14:textFill>
              </w:rPr>
              <w:t>），未提供业绩证明材料不得分。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0-2</w:t>
            </w:r>
          </w:p>
        </w:tc>
      </w:tr>
      <w:tr>
        <w:tblPrEx>
          <w:tblCellMar>
            <w:top w:w="0" w:type="dxa"/>
            <w:left w:w="108" w:type="dxa"/>
            <w:bottom w:w="0" w:type="dxa"/>
            <w:right w:w="108" w:type="dxa"/>
          </w:tblCellMar>
        </w:tblPrEx>
        <w:trPr>
          <w:trHeight w:val="45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4</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施工组织设计（</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施工部署是否全面、主要工序衔接是否合理，关键节点控制措施是否可行</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13"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5</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施工机械设备投入</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主要针对施工机械投入与施工进度计划是否相呼应且能满足工序衔接的要求及施工机械搭配周全是否合理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7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6</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劳动力安排计划及其保证措施（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主要针对调配投入计划合理性及劳动力安排计划</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5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7</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材料(周转材料)投入计划（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主要针对调配投入计划的合理性,材料组织供应计划及保证措施及是否与施工进度计划相呼应</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70"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8</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管理人员投入（</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主要针对项目管理人员对工程实际配置是否合理，项目管理人员配置是否能够满足该工程管理需要</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528"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9</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施工技术方案（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主要针对施工技术方案的合理性,施工部署全面性、是否对本项目的针对性强,对工程施工具有较强的指导性</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74"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10</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施工进度计划（</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主要针对工程总进度计划是否合理且留有余地、对施工进度安排是否有切实可行的保证措施</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642"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11</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质量安全文明施工保证措施（</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主要针对是否有具体可行的质量、安全、文明保证措施，具体的违约责任、管理机构及管理制度是否健全、质量检测能力与手段是否完善</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379" w:hRule="atLeast"/>
        </w:trPr>
        <w:tc>
          <w:tcPr>
            <w:tcW w:w="478" w:type="dxa"/>
            <w:tcBorders>
              <w:top w:val="single" w:color="auto" w:sz="4" w:space="0"/>
              <w:left w:val="single" w:color="auto" w:sz="4" w:space="0"/>
              <w:bottom w:val="single" w:color="auto" w:sz="4" w:space="0"/>
              <w:right w:val="single" w:color="auto" w:sz="4" w:space="0"/>
            </w:tcBorders>
            <w:noWrap/>
            <w:textDirection w:val="lrTbV"/>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12</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技术难点及相应解决方案（</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主要针对技术难点及相应解决方案、施工重点难点解决的方案</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435"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13</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r>
              <w:rPr>
                <w:rFonts w:hint="eastAsia" w:ascii="宋体" w:hAnsi="宋体" w:cs="宋体"/>
                <w:color w:val="000000" w:themeColor="text1"/>
                <w:sz w:val="18"/>
                <w:szCs w:val="18"/>
                <w:highlight w:val="none"/>
                <w:lang w:val="en-US" w:eastAsia="zh-CN"/>
                <w14:textFill>
                  <w14:solidFill>
                    <w14:schemeClr w14:val="tx1"/>
                  </w14:solidFill>
                </w14:textFill>
              </w:rPr>
              <w:t>6分</w:t>
            </w:r>
            <w:r>
              <w:rPr>
                <w:rFonts w:hint="eastAsia" w:ascii="宋体" w:hAnsi="宋体" w:cs="宋体"/>
                <w:color w:val="000000" w:themeColor="text1"/>
                <w:sz w:val="18"/>
                <w:szCs w:val="18"/>
                <w:highlight w:val="none"/>
                <w:lang w:eastAsia="zh-CN"/>
                <w14:textFill>
                  <w14:solidFill>
                    <w14:schemeClr w14:val="tx1"/>
                  </w14:solidFill>
                </w14:textFill>
              </w:rPr>
              <w:t>）</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cs="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sz w:val="18"/>
                <w:szCs w:val="18"/>
                <w:highlight w:val="none"/>
                <w:lang w:eastAsia="zh-CN"/>
                <w14:textFill>
                  <w14:solidFill>
                    <w14:schemeClr w14:val="tx1"/>
                  </w14:solidFill>
                </w14:textFill>
              </w:rPr>
              <w:t>企业使用劳务工工资发放到位的保证措施是否合理</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0-6</w:t>
            </w:r>
          </w:p>
        </w:tc>
      </w:tr>
      <w:tr>
        <w:tblPrEx>
          <w:tblCellMar>
            <w:top w:w="0" w:type="dxa"/>
            <w:left w:w="108" w:type="dxa"/>
            <w:bottom w:w="0" w:type="dxa"/>
            <w:right w:w="108" w:type="dxa"/>
          </w:tblCellMar>
        </w:tblPrEx>
        <w:trPr>
          <w:trHeight w:val="137" w:hRule="atLeast"/>
        </w:trPr>
        <w:tc>
          <w:tcPr>
            <w:tcW w:w="47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themeColor="text1"/>
                <w:kern w:val="0"/>
                <w:sz w:val="18"/>
                <w:szCs w:val="18"/>
                <w:highlight w:val="none"/>
                <w:lang w:val="en-US" w:eastAsia="zh-CN"/>
                <w14:textFill>
                  <w14:solidFill>
                    <w14:schemeClr w14:val="tx1"/>
                  </w14:solidFill>
                </w14:textFill>
              </w:rPr>
            </w:pPr>
            <w:r>
              <w:rPr>
                <w:rFonts w:hint="eastAsia" w:ascii="宋体" w:hAnsi="宋体" w:cs="宋体"/>
                <w:color w:val="000000" w:themeColor="text1"/>
                <w:kern w:val="0"/>
                <w:sz w:val="18"/>
                <w:szCs w:val="18"/>
                <w:highlight w:val="none"/>
                <w:lang w:val="en-US" w:eastAsia="zh-CN"/>
                <w14:textFill>
                  <w14:solidFill>
                    <w14:schemeClr w14:val="tx1"/>
                  </w14:solidFill>
                </w14:textFill>
              </w:rPr>
              <w:t>14</w:t>
            </w:r>
          </w:p>
        </w:tc>
        <w:tc>
          <w:tcPr>
            <w:tcW w:w="18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投标文件编制质量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w:t>
            </w:r>
            <w:r>
              <w:rPr>
                <w:rFonts w:hint="eastAsia" w:ascii="宋体" w:hAnsi="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分）</w:t>
            </w:r>
          </w:p>
        </w:tc>
        <w:tc>
          <w:tcPr>
            <w:tcW w:w="818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投标人根据招标文件条款和要求认真组织编写投标文件及相关工作。没有细微偏差的得</w:t>
            </w:r>
            <w:r>
              <w:rPr>
                <w:rFonts w:hint="eastAsia" w:ascii="宋体" w:hAnsi="宋体" w:cs="宋体"/>
                <w:color w:val="000000" w:themeColor="text1"/>
                <w:kern w:val="0"/>
                <w:sz w:val="18"/>
                <w:szCs w:val="18"/>
                <w:highlight w:val="none"/>
                <w:lang w:val="en-US" w:eastAsia="zh-CN"/>
                <w14:textFill>
                  <w14:solidFill>
                    <w14:schemeClr w14:val="tx1"/>
                  </w14:solidFill>
                </w14:textFill>
              </w:rPr>
              <w:t>3</w:t>
            </w:r>
            <w:r>
              <w:rPr>
                <w:rFonts w:hint="eastAsia" w:ascii="宋体" w:hAnsi="宋体" w:cs="宋体"/>
                <w:color w:val="000000" w:themeColor="text1"/>
                <w:kern w:val="0"/>
                <w:sz w:val="18"/>
                <w:szCs w:val="18"/>
                <w:highlight w:val="none"/>
                <w14:textFill>
                  <w14:solidFill>
                    <w14:schemeClr w14:val="tx1"/>
                  </w14:solidFill>
                </w14:textFill>
              </w:rPr>
              <w:t>分，有一项偏差的扣0.5分，扣分扣至0分为止。</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themeColor="text1"/>
                <w:kern w:val="0"/>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0-</w:t>
            </w:r>
            <w:r>
              <w:rPr>
                <w:rFonts w:hint="eastAsia" w:ascii="宋体" w:hAnsi="宋体" w:cs="宋体"/>
                <w:color w:val="000000" w:themeColor="text1"/>
                <w:kern w:val="0"/>
                <w:sz w:val="18"/>
                <w:szCs w:val="18"/>
                <w:highlight w:val="none"/>
                <w:lang w:val="en-US" w:eastAsia="zh-CN"/>
                <w14:textFill>
                  <w14:solidFill>
                    <w14:schemeClr w14:val="tx1"/>
                  </w14:solidFill>
                </w14:textFill>
              </w:rPr>
              <w:t>3</w:t>
            </w:r>
          </w:p>
        </w:tc>
      </w:tr>
      <w:tr>
        <w:tblPrEx>
          <w:tblCellMar>
            <w:top w:w="0" w:type="dxa"/>
            <w:left w:w="108" w:type="dxa"/>
            <w:bottom w:w="0" w:type="dxa"/>
            <w:right w:w="108" w:type="dxa"/>
          </w:tblCellMar>
        </w:tblPrEx>
        <w:trPr>
          <w:trHeight w:val="93"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评审得分合计</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14:textFill>
                  <w14:solidFill>
                    <w14:schemeClr w14:val="tx1"/>
                  </w14:solidFill>
                </w14:textFill>
              </w:rPr>
              <w:t>100</w:t>
            </w:r>
          </w:p>
        </w:tc>
      </w:tr>
      <w:tr>
        <w:tblPrEx>
          <w:tblCellMar>
            <w:top w:w="0" w:type="dxa"/>
            <w:left w:w="108" w:type="dxa"/>
            <w:bottom w:w="0" w:type="dxa"/>
            <w:right w:w="108" w:type="dxa"/>
          </w:tblCellMar>
        </w:tblPrEx>
        <w:trPr>
          <w:trHeight w:val="198" w:hRule="atLeast"/>
        </w:trPr>
        <w:tc>
          <w:tcPr>
            <w:tcW w:w="10495"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320" w:lineRule="exact"/>
              <w:ind w:firstLine="361" w:firstLineChars="200"/>
              <w:jc w:val="center"/>
              <w:textAlignment w:val="auto"/>
              <w:rPr>
                <w:rFonts w:ascii="宋体" w:hAnsi="宋体" w:cs="宋体"/>
                <w:b/>
                <w:color w:val="000000" w:themeColor="text1"/>
                <w:sz w:val="18"/>
                <w:szCs w:val="18"/>
                <w:highlight w:val="none"/>
                <w14:textFill>
                  <w14:solidFill>
                    <w14:schemeClr w14:val="tx1"/>
                  </w14:solidFill>
                </w14:textFill>
              </w:rPr>
            </w:pPr>
            <w:r>
              <w:rPr>
                <w:rFonts w:hint="eastAsia" w:ascii="宋体" w:hAnsi="宋体" w:cs="宋体"/>
                <w:b/>
                <w:color w:val="000000" w:themeColor="text1"/>
                <w:sz w:val="18"/>
                <w:szCs w:val="18"/>
                <w:highlight w:val="none"/>
                <w14:textFill>
                  <w14:solidFill>
                    <w14:schemeClr w14:val="tx1"/>
                  </w14:solidFill>
                </w14:textFill>
              </w:rPr>
              <w:t>注：评分计算结果保留两位小数，第三位小数四舍五入。</w:t>
            </w:r>
          </w:p>
        </w:tc>
        <w:tc>
          <w:tcPr>
            <w:tcW w:w="61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cs="宋体"/>
                <w:color w:val="000000" w:themeColor="text1"/>
                <w:kern w:val="0"/>
                <w:sz w:val="18"/>
                <w:szCs w:val="18"/>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相关说明：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1、关于小微企业：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1.1按&lt;关于印发《政府采购促进中小企业发展暂行办法》的通知&gt;（财库〔</w:t>
      </w:r>
      <w:r>
        <w:rPr>
          <w:rFonts w:hint="eastAsia" w:ascii="黑体" w:hAnsi="黑体" w:eastAsia="黑体" w:cs="黑体"/>
          <w:b/>
          <w:color w:val="000000" w:themeColor="text1"/>
          <w:sz w:val="28"/>
          <w:szCs w:val="28"/>
          <w:highlight w:val="none"/>
          <w:lang w:val="en-US" w:eastAsia="zh-CN"/>
          <w14:textFill>
            <w14:solidFill>
              <w14:schemeClr w14:val="tx1"/>
            </w14:solidFill>
          </w14:textFill>
        </w:rPr>
        <w:t>2020</w:t>
      </w:r>
      <w:r>
        <w:rPr>
          <w:rFonts w:hint="eastAsia" w:ascii="黑体" w:hAnsi="黑体" w:eastAsia="黑体" w:cs="黑体"/>
          <w:b/>
          <w:color w:val="000000" w:themeColor="text1"/>
          <w:sz w:val="28"/>
          <w:szCs w:val="28"/>
          <w:highlight w:val="none"/>
          <w14:textFill>
            <w14:solidFill>
              <w14:schemeClr w14:val="tx1"/>
            </w14:solidFill>
          </w14:textFill>
        </w:rPr>
        <w:t>〕</w:t>
      </w:r>
      <w:r>
        <w:rPr>
          <w:rFonts w:hint="eastAsia" w:ascii="黑体" w:hAnsi="黑体" w:eastAsia="黑体" w:cs="黑体"/>
          <w:b/>
          <w:color w:val="000000" w:themeColor="text1"/>
          <w:sz w:val="28"/>
          <w:szCs w:val="28"/>
          <w:highlight w:val="none"/>
          <w:lang w:val="en-US" w:eastAsia="zh-CN"/>
          <w14:textFill>
            <w14:solidFill>
              <w14:schemeClr w14:val="tx1"/>
            </w14:solidFill>
          </w14:textFill>
        </w:rPr>
        <w:t>46</w:t>
      </w:r>
      <w:r>
        <w:rPr>
          <w:rFonts w:hint="eastAsia" w:ascii="黑体" w:hAnsi="黑体" w:eastAsia="黑体" w:cs="黑体"/>
          <w:b/>
          <w:color w:val="000000" w:themeColor="text1"/>
          <w:sz w:val="28"/>
          <w:szCs w:val="28"/>
          <w:highlight w:val="none"/>
          <w14:textFill>
            <w14:solidFill>
              <w14:schemeClr w14:val="tx1"/>
            </w14:solidFill>
          </w14:textFill>
        </w:rPr>
        <w:t>号）之规定，</w:t>
      </w:r>
      <w:r>
        <w:rPr>
          <w:rFonts w:hint="eastAsia" w:ascii="黑体" w:hAnsi="黑体" w:eastAsia="黑体" w:cs="黑体"/>
          <w:b/>
          <w:color w:val="000000" w:themeColor="text1"/>
          <w:sz w:val="28"/>
          <w:szCs w:val="28"/>
          <w:highlight w:val="none"/>
          <w:lang w:val="en-US" w:eastAsia="zh-CN"/>
          <w14:textFill>
            <w14:solidFill>
              <w14:schemeClr w14:val="tx1"/>
            </w14:solidFill>
          </w14:textFill>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w:t>
      </w:r>
      <w:r>
        <w:rPr>
          <w:rFonts w:hint="eastAsia" w:ascii="黑体" w:hAnsi="黑体" w:eastAsia="黑体" w:cs="黑体"/>
          <w:b/>
          <w:color w:val="000000" w:themeColor="text1"/>
          <w:sz w:val="28"/>
          <w:szCs w:val="28"/>
          <w:highlight w:val="none"/>
          <w:lang w:val="en-US" w:eastAsia="zh-CN"/>
          <w14:textFill>
            <w14:solidFill>
              <w14:schemeClr w14:val="tx1"/>
            </w14:solidFill>
          </w14:textFill>
        </w:rPr>
        <w:t>1.1在政府采购活动中，投标人提供的货物、工程或者服务符合下列情形的，享受本办法规定的中小企业扶持政策：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（一）在货物采购项目中，货物由中小企业制造，即货物由中小企业生产且使用该中小企业商号或者注册商标；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（二）在工程采购项目中，工程由中小企业承建，即工程施工单位为中小企业；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color w:val="000000" w:themeColor="text1"/>
          <w:sz w:val="28"/>
          <w:szCs w:val="28"/>
          <w:highlight w:val="none"/>
          <w:lang w:val="en-US" w:eastAsia="zh-CN"/>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在货物采购项目中，投标人提供的货物既有中小企业制造货物，也有大型企业制造货物的，不享受本办法规定的中小企业扶持政策。 </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lang w:val="en-US" w:eastAsia="zh-CN"/>
          <w14:textFill>
            <w14:solidFill>
              <w14:schemeClr w14:val="tx1"/>
            </w14:solidFill>
          </w14:textFill>
        </w:rPr>
        <w:t xml:space="preserve">以联合体形式参加政府采购活动，联合体各方均为中小企业的，联合体视同中小企业。其中，联合体各方均为小微企业的，联合体视同小微企业。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1.2依照&lt;财政部、司法部关于政府采购支持监狱企业发展有关问题的通知&gt;（财库〔2014〕68号）之规定，监狱企业应当符合以下条件：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黑体" w:hAnsi="黑体" w:eastAsia="黑体" w:cs="黑体"/>
          <w:b/>
          <w:color w:val="000000" w:themeColor="text1"/>
          <w:sz w:val="28"/>
          <w:szCs w:val="28"/>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val="0"/>
        <w:kinsoku/>
        <w:wordWrap/>
        <w:overflowPunct/>
        <w:topLinePunct w:val="0"/>
        <w:autoSpaceDE/>
        <w:autoSpaceDN/>
        <w:bidi w:val="0"/>
        <w:adjustRightInd/>
        <w:snapToGrid/>
        <w:spacing w:line="400" w:lineRule="exact"/>
        <w:textAlignment w:val="auto"/>
        <w:rPr>
          <w:color w:val="000000" w:themeColor="text1"/>
          <w:highlight w:val="none"/>
          <w14:textFill>
            <w14:solidFill>
              <w14:schemeClr w14:val="tx1"/>
            </w14:solidFill>
          </w14:textFill>
        </w:rPr>
      </w:pPr>
      <w:r>
        <w:rPr>
          <w:rFonts w:hint="eastAsia" w:ascii="黑体" w:hAnsi="黑体" w:eastAsia="黑体" w:cs="黑体"/>
          <w:b/>
          <w:color w:val="000000" w:themeColor="text1"/>
          <w:sz w:val="28"/>
          <w:szCs w:val="28"/>
          <w:highlight w:val="none"/>
          <w14:textFill>
            <w14:solidFill>
              <w14:schemeClr w14:val="tx1"/>
            </w14:solidFill>
          </w14:textFill>
        </w:rPr>
        <w:t>1.2. 2监狱企业参加政府采购活动时，视同小型、微型企业，应当提供由省级以上监狱管理局、戒毒管理局（含新疆生产建设兵团）出具的属于监狱企业的证明文件。</w:t>
      </w:r>
    </w:p>
    <w:p>
      <w:pPr>
        <w:spacing w:line="400" w:lineRule="exact"/>
        <w:rPr>
          <w:rFonts w:ascii="仿宋_GB2312" w:eastAsia="仿宋_GB2312"/>
          <w:b/>
          <w:color w:val="000000" w:themeColor="text1"/>
          <w:szCs w:val="21"/>
          <w:highlight w:val="none"/>
          <w14:textFill>
            <w14:solidFill>
              <w14:schemeClr w14:val="tx1"/>
            </w14:solidFill>
          </w14:textFill>
        </w:rPr>
      </w:pPr>
    </w:p>
    <w:sectPr>
      <w:footerReference r:id="rId6" w:type="default"/>
      <w:pgSz w:w="11906" w:h="16838"/>
      <w:pgMar w:top="1134" w:right="1134" w:bottom="1134" w:left="1134" w:header="851" w:footer="992" w:gutter="0"/>
      <w:pgNumType w:start="7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魏碑体">
    <w:altName w:val="宋体"/>
    <w:panose1 w:val="00000000000000000000"/>
    <w:charset w:val="86"/>
    <w:family w:val="swiss"/>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a..DD..">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新魏">
    <w:altName w:val="宋体"/>
    <w:panose1 w:val="0201080004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ngsana New">
    <w:panose1 w:val="02020603050405020304"/>
    <w:charset w:val="DE"/>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矩形 6"/>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wps:spPr>
                    <wps:txbx>
                      <w:txbxContent>
                        <w:p>
                          <w:pPr>
                            <w:pStyle w:val="39"/>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L/SwtAAAAADAQAADwAAAAAAAAABACAAAAAiAAAAZHJzL2Rvd25yZXYueG1sUEsB&#10;AhQAFAAAAAgAh07iQL1poOvEAQAAigMAAA4AAAAAAAAAAQAgAAAAHwEAAGRycy9lMm9Eb2MueG1s&#10;UEsFBgAAAAAGAAYAWQEAAFUFAAAAAA==&#10;">
              <v:fill on="f" focussize="0,0"/>
              <v:stroke on="f"/>
              <v:imagedata o:title=""/>
              <o:lock v:ext="edit" aspectratio="f"/>
              <v:textbox inset="0mm,0mm,0mm,0mm" style="mso-fit-shape-to-text:t;">
                <w:txbxContent>
                  <w:p>
                    <w:pPr>
                      <w:pStyle w:val="39"/>
                    </w:pPr>
                    <w:r>
                      <w:fldChar w:fldCharType="begin"/>
                    </w:r>
                    <w:r>
                      <w:instrText xml:space="preserve"> PAGE  \* MERGEFORMAT </w:instrText>
                    </w:r>
                    <w:r>
                      <w:fldChar w:fldCharType="separate"/>
                    </w:r>
                    <w:r>
                      <w:t>12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pStyle w:val="39"/>
                          </w:pPr>
                          <w:r>
                            <w:fldChar w:fldCharType="begin"/>
                          </w:r>
                          <w:r>
                            <w:instrText xml:space="preserve"> PAGE  \* MERGEFORMAT </w:instrText>
                          </w:r>
                          <w:r>
                            <w:fldChar w:fldCharType="separate"/>
                          </w:r>
                          <w:r>
                            <w:t>47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wOFPHUAAAAAgEAAA8AAAAAAAAAAQAg&#10;AAAAIgAAAGRycy9kb3ducmV2LnhtbFBLAQIUABQAAAAIAIdO4kD/2Mjq2QEAAKMDAAAOAAAAAAAA&#10;AAEAIAAAACMBAABkcnMvZTJvRG9jLnhtbFBLBQYAAAAABgAGAFkBAABuBQAAAAA=&#10;">
              <v:fill on="f" focussize="0,0"/>
              <v:stroke on="f" weight="1.25pt"/>
              <v:imagedata o:title=""/>
              <o:lock v:ext="edit" aspectratio="f"/>
              <v:textbox inset="0mm,0mm,0mm,0mm" style="mso-fit-shape-to-text:t;">
                <w:txbxContent>
                  <w:p>
                    <w:pPr>
                      <w:pStyle w:val="3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0B2FB"/>
    <w:multiLevelType w:val="singleLevel"/>
    <w:tmpl w:val="04F0B2FB"/>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61"/>
    <w:rsid w:val="00002525"/>
    <w:rsid w:val="0000262F"/>
    <w:rsid w:val="000034E8"/>
    <w:rsid w:val="00003660"/>
    <w:rsid w:val="00003DE5"/>
    <w:rsid w:val="000042D0"/>
    <w:rsid w:val="00004FCD"/>
    <w:rsid w:val="000060DE"/>
    <w:rsid w:val="00006A5C"/>
    <w:rsid w:val="00006B79"/>
    <w:rsid w:val="000102F5"/>
    <w:rsid w:val="000113A5"/>
    <w:rsid w:val="00013648"/>
    <w:rsid w:val="00020451"/>
    <w:rsid w:val="00020981"/>
    <w:rsid w:val="00021217"/>
    <w:rsid w:val="000216B7"/>
    <w:rsid w:val="000220E8"/>
    <w:rsid w:val="000228B6"/>
    <w:rsid w:val="000272BA"/>
    <w:rsid w:val="00027C77"/>
    <w:rsid w:val="00030AC6"/>
    <w:rsid w:val="000319D4"/>
    <w:rsid w:val="000326C7"/>
    <w:rsid w:val="00033CF5"/>
    <w:rsid w:val="000345DF"/>
    <w:rsid w:val="00034DC4"/>
    <w:rsid w:val="00035EA9"/>
    <w:rsid w:val="00036722"/>
    <w:rsid w:val="00037F8C"/>
    <w:rsid w:val="00040698"/>
    <w:rsid w:val="00040E70"/>
    <w:rsid w:val="0004120F"/>
    <w:rsid w:val="00050C06"/>
    <w:rsid w:val="000535B5"/>
    <w:rsid w:val="00057DCF"/>
    <w:rsid w:val="000603EF"/>
    <w:rsid w:val="00067701"/>
    <w:rsid w:val="00070133"/>
    <w:rsid w:val="00071648"/>
    <w:rsid w:val="0007185B"/>
    <w:rsid w:val="00071BE9"/>
    <w:rsid w:val="00072290"/>
    <w:rsid w:val="00073ABF"/>
    <w:rsid w:val="00074442"/>
    <w:rsid w:val="0007616C"/>
    <w:rsid w:val="00076890"/>
    <w:rsid w:val="00082D10"/>
    <w:rsid w:val="00087EBA"/>
    <w:rsid w:val="0009267C"/>
    <w:rsid w:val="0009489D"/>
    <w:rsid w:val="000A07FC"/>
    <w:rsid w:val="000A295D"/>
    <w:rsid w:val="000A402D"/>
    <w:rsid w:val="000B082F"/>
    <w:rsid w:val="000B0BD7"/>
    <w:rsid w:val="000B2DE6"/>
    <w:rsid w:val="000B5574"/>
    <w:rsid w:val="000B5C17"/>
    <w:rsid w:val="000B6BEB"/>
    <w:rsid w:val="000B7050"/>
    <w:rsid w:val="000C06A2"/>
    <w:rsid w:val="000C153B"/>
    <w:rsid w:val="000C6152"/>
    <w:rsid w:val="000C6FB8"/>
    <w:rsid w:val="000D2E74"/>
    <w:rsid w:val="000D5E5E"/>
    <w:rsid w:val="000D778C"/>
    <w:rsid w:val="000E2DCC"/>
    <w:rsid w:val="000E6B38"/>
    <w:rsid w:val="000E72BD"/>
    <w:rsid w:val="000F0D13"/>
    <w:rsid w:val="000F1C67"/>
    <w:rsid w:val="000F2BF1"/>
    <w:rsid w:val="000F46AB"/>
    <w:rsid w:val="001000E4"/>
    <w:rsid w:val="0010149F"/>
    <w:rsid w:val="001028B4"/>
    <w:rsid w:val="00102FDB"/>
    <w:rsid w:val="00103108"/>
    <w:rsid w:val="00103B3F"/>
    <w:rsid w:val="00110F6E"/>
    <w:rsid w:val="00112A68"/>
    <w:rsid w:val="00113A82"/>
    <w:rsid w:val="00114A98"/>
    <w:rsid w:val="001151E1"/>
    <w:rsid w:val="00115212"/>
    <w:rsid w:val="0011570C"/>
    <w:rsid w:val="00115AEE"/>
    <w:rsid w:val="00116415"/>
    <w:rsid w:val="00116C10"/>
    <w:rsid w:val="00121D0F"/>
    <w:rsid w:val="001221DF"/>
    <w:rsid w:val="0012239A"/>
    <w:rsid w:val="001235E7"/>
    <w:rsid w:val="00123DBA"/>
    <w:rsid w:val="00132588"/>
    <w:rsid w:val="00133445"/>
    <w:rsid w:val="00133646"/>
    <w:rsid w:val="0013387F"/>
    <w:rsid w:val="00133FDC"/>
    <w:rsid w:val="0013470C"/>
    <w:rsid w:val="00135A5C"/>
    <w:rsid w:val="00137B3E"/>
    <w:rsid w:val="00143377"/>
    <w:rsid w:val="001473D1"/>
    <w:rsid w:val="001514FF"/>
    <w:rsid w:val="00153701"/>
    <w:rsid w:val="00154E89"/>
    <w:rsid w:val="0015550A"/>
    <w:rsid w:val="00155A57"/>
    <w:rsid w:val="001575A2"/>
    <w:rsid w:val="0015767E"/>
    <w:rsid w:val="00157EEC"/>
    <w:rsid w:val="001611E4"/>
    <w:rsid w:val="00161F68"/>
    <w:rsid w:val="00163081"/>
    <w:rsid w:val="00163B52"/>
    <w:rsid w:val="00163DD8"/>
    <w:rsid w:val="00163F34"/>
    <w:rsid w:val="00164445"/>
    <w:rsid w:val="00164C82"/>
    <w:rsid w:val="00164F48"/>
    <w:rsid w:val="001765A4"/>
    <w:rsid w:val="00176EBF"/>
    <w:rsid w:val="00181429"/>
    <w:rsid w:val="00181957"/>
    <w:rsid w:val="0018380E"/>
    <w:rsid w:val="00197309"/>
    <w:rsid w:val="00197DF7"/>
    <w:rsid w:val="001A0E6B"/>
    <w:rsid w:val="001A1384"/>
    <w:rsid w:val="001A4A17"/>
    <w:rsid w:val="001A4E09"/>
    <w:rsid w:val="001A5149"/>
    <w:rsid w:val="001A6641"/>
    <w:rsid w:val="001A6827"/>
    <w:rsid w:val="001A72F4"/>
    <w:rsid w:val="001A768E"/>
    <w:rsid w:val="001B0206"/>
    <w:rsid w:val="001B07AB"/>
    <w:rsid w:val="001B372B"/>
    <w:rsid w:val="001B3823"/>
    <w:rsid w:val="001B5BEB"/>
    <w:rsid w:val="001B691F"/>
    <w:rsid w:val="001C1DE8"/>
    <w:rsid w:val="001D2310"/>
    <w:rsid w:val="001D6909"/>
    <w:rsid w:val="001D6AA4"/>
    <w:rsid w:val="001E0CAA"/>
    <w:rsid w:val="001E0FE3"/>
    <w:rsid w:val="001E1261"/>
    <w:rsid w:val="001E13FB"/>
    <w:rsid w:val="001E26CD"/>
    <w:rsid w:val="001E2FE3"/>
    <w:rsid w:val="001E4C4D"/>
    <w:rsid w:val="001E65A7"/>
    <w:rsid w:val="001F0B2F"/>
    <w:rsid w:val="001F1398"/>
    <w:rsid w:val="001F1DE5"/>
    <w:rsid w:val="001F2230"/>
    <w:rsid w:val="001F2EBF"/>
    <w:rsid w:val="001F376D"/>
    <w:rsid w:val="001F4D4F"/>
    <w:rsid w:val="001F649C"/>
    <w:rsid w:val="002012F9"/>
    <w:rsid w:val="00201C4D"/>
    <w:rsid w:val="00202CBC"/>
    <w:rsid w:val="00203777"/>
    <w:rsid w:val="00203DBE"/>
    <w:rsid w:val="00203F5A"/>
    <w:rsid w:val="00205DAA"/>
    <w:rsid w:val="00207523"/>
    <w:rsid w:val="00207E29"/>
    <w:rsid w:val="0021045A"/>
    <w:rsid w:val="00212FA6"/>
    <w:rsid w:val="00214A05"/>
    <w:rsid w:val="002178B9"/>
    <w:rsid w:val="00220BB4"/>
    <w:rsid w:val="00220CB1"/>
    <w:rsid w:val="00222A6A"/>
    <w:rsid w:val="00222FA3"/>
    <w:rsid w:val="002250CA"/>
    <w:rsid w:val="00231148"/>
    <w:rsid w:val="002327FC"/>
    <w:rsid w:val="002345B9"/>
    <w:rsid w:val="002407A5"/>
    <w:rsid w:val="00243DB8"/>
    <w:rsid w:val="002452DA"/>
    <w:rsid w:val="00245802"/>
    <w:rsid w:val="002507CD"/>
    <w:rsid w:val="002508B3"/>
    <w:rsid w:val="002515A9"/>
    <w:rsid w:val="00253CFC"/>
    <w:rsid w:val="002552C0"/>
    <w:rsid w:val="0025600A"/>
    <w:rsid w:val="0025727F"/>
    <w:rsid w:val="002609A3"/>
    <w:rsid w:val="00263DBA"/>
    <w:rsid w:val="0026694E"/>
    <w:rsid w:val="00266A59"/>
    <w:rsid w:val="00271082"/>
    <w:rsid w:val="0027243E"/>
    <w:rsid w:val="00276348"/>
    <w:rsid w:val="002777F3"/>
    <w:rsid w:val="00277E42"/>
    <w:rsid w:val="00280AAB"/>
    <w:rsid w:val="00282662"/>
    <w:rsid w:val="002846FD"/>
    <w:rsid w:val="00286D80"/>
    <w:rsid w:val="002874DD"/>
    <w:rsid w:val="00287C36"/>
    <w:rsid w:val="002908ED"/>
    <w:rsid w:val="00292A1F"/>
    <w:rsid w:val="00296BFC"/>
    <w:rsid w:val="002972D2"/>
    <w:rsid w:val="002A35C0"/>
    <w:rsid w:val="002A45D8"/>
    <w:rsid w:val="002B0FA7"/>
    <w:rsid w:val="002B1AEC"/>
    <w:rsid w:val="002B2195"/>
    <w:rsid w:val="002B328B"/>
    <w:rsid w:val="002B3D18"/>
    <w:rsid w:val="002B67EC"/>
    <w:rsid w:val="002C1CB3"/>
    <w:rsid w:val="002C252B"/>
    <w:rsid w:val="002C2B2E"/>
    <w:rsid w:val="002C2E69"/>
    <w:rsid w:val="002C3521"/>
    <w:rsid w:val="002C403D"/>
    <w:rsid w:val="002C4B97"/>
    <w:rsid w:val="002C6E6E"/>
    <w:rsid w:val="002D142A"/>
    <w:rsid w:val="002D3951"/>
    <w:rsid w:val="002D5C6D"/>
    <w:rsid w:val="002D760A"/>
    <w:rsid w:val="002D7EC2"/>
    <w:rsid w:val="002E05D1"/>
    <w:rsid w:val="002E13FF"/>
    <w:rsid w:val="002E69CB"/>
    <w:rsid w:val="002F344E"/>
    <w:rsid w:val="002F5114"/>
    <w:rsid w:val="003006F5"/>
    <w:rsid w:val="00300A9F"/>
    <w:rsid w:val="0030126A"/>
    <w:rsid w:val="00301DF6"/>
    <w:rsid w:val="00302CA4"/>
    <w:rsid w:val="00304ED3"/>
    <w:rsid w:val="00304F25"/>
    <w:rsid w:val="003062E8"/>
    <w:rsid w:val="00306FEB"/>
    <w:rsid w:val="00311643"/>
    <w:rsid w:val="00311796"/>
    <w:rsid w:val="00311A9F"/>
    <w:rsid w:val="0031285E"/>
    <w:rsid w:val="00312BB2"/>
    <w:rsid w:val="00313303"/>
    <w:rsid w:val="003136E9"/>
    <w:rsid w:val="00313D5A"/>
    <w:rsid w:val="003141CE"/>
    <w:rsid w:val="00314E54"/>
    <w:rsid w:val="00315719"/>
    <w:rsid w:val="003208C7"/>
    <w:rsid w:val="00320F15"/>
    <w:rsid w:val="00321F37"/>
    <w:rsid w:val="00322E03"/>
    <w:rsid w:val="003247DF"/>
    <w:rsid w:val="00327794"/>
    <w:rsid w:val="0033115E"/>
    <w:rsid w:val="0033395A"/>
    <w:rsid w:val="00334DC8"/>
    <w:rsid w:val="003365D5"/>
    <w:rsid w:val="00340214"/>
    <w:rsid w:val="00341B42"/>
    <w:rsid w:val="00343B48"/>
    <w:rsid w:val="00346785"/>
    <w:rsid w:val="00355A5D"/>
    <w:rsid w:val="00356269"/>
    <w:rsid w:val="003579E7"/>
    <w:rsid w:val="00363ECB"/>
    <w:rsid w:val="00366A5D"/>
    <w:rsid w:val="0037014D"/>
    <w:rsid w:val="00371697"/>
    <w:rsid w:val="003730EC"/>
    <w:rsid w:val="003733CE"/>
    <w:rsid w:val="00374158"/>
    <w:rsid w:val="00377196"/>
    <w:rsid w:val="00377FDA"/>
    <w:rsid w:val="00380949"/>
    <w:rsid w:val="00380A1F"/>
    <w:rsid w:val="00381FDF"/>
    <w:rsid w:val="00387D6B"/>
    <w:rsid w:val="00387EFD"/>
    <w:rsid w:val="00391EE9"/>
    <w:rsid w:val="00394145"/>
    <w:rsid w:val="003A0C65"/>
    <w:rsid w:val="003A38A5"/>
    <w:rsid w:val="003A3ECC"/>
    <w:rsid w:val="003A677D"/>
    <w:rsid w:val="003B334C"/>
    <w:rsid w:val="003C0AEC"/>
    <w:rsid w:val="003C2AF2"/>
    <w:rsid w:val="003C4FED"/>
    <w:rsid w:val="003C5501"/>
    <w:rsid w:val="003C5797"/>
    <w:rsid w:val="003C66DA"/>
    <w:rsid w:val="003C713B"/>
    <w:rsid w:val="003C7C5D"/>
    <w:rsid w:val="003D2E73"/>
    <w:rsid w:val="003D35DA"/>
    <w:rsid w:val="003D76A8"/>
    <w:rsid w:val="003E17C4"/>
    <w:rsid w:val="003E303C"/>
    <w:rsid w:val="003E34A7"/>
    <w:rsid w:val="003E42C8"/>
    <w:rsid w:val="003E575C"/>
    <w:rsid w:val="003E7E27"/>
    <w:rsid w:val="003F6838"/>
    <w:rsid w:val="00403FA9"/>
    <w:rsid w:val="0040477B"/>
    <w:rsid w:val="004078A5"/>
    <w:rsid w:val="00414631"/>
    <w:rsid w:val="00415861"/>
    <w:rsid w:val="00416565"/>
    <w:rsid w:val="00416D4C"/>
    <w:rsid w:val="004203AD"/>
    <w:rsid w:val="00420F1C"/>
    <w:rsid w:val="004218AD"/>
    <w:rsid w:val="00426AF2"/>
    <w:rsid w:val="00426CAE"/>
    <w:rsid w:val="0042709B"/>
    <w:rsid w:val="00427C96"/>
    <w:rsid w:val="00431877"/>
    <w:rsid w:val="0043215A"/>
    <w:rsid w:val="0043289D"/>
    <w:rsid w:val="00436246"/>
    <w:rsid w:val="004373E3"/>
    <w:rsid w:val="00440360"/>
    <w:rsid w:val="004421B8"/>
    <w:rsid w:val="00442FE6"/>
    <w:rsid w:val="00443273"/>
    <w:rsid w:val="004441F0"/>
    <w:rsid w:val="004451E5"/>
    <w:rsid w:val="00445982"/>
    <w:rsid w:val="00446B4F"/>
    <w:rsid w:val="00446D54"/>
    <w:rsid w:val="00451BD3"/>
    <w:rsid w:val="0045242E"/>
    <w:rsid w:val="004528A7"/>
    <w:rsid w:val="00455A68"/>
    <w:rsid w:val="00457EBE"/>
    <w:rsid w:val="004619E4"/>
    <w:rsid w:val="00464E16"/>
    <w:rsid w:val="00464ECC"/>
    <w:rsid w:val="00470803"/>
    <w:rsid w:val="004719BA"/>
    <w:rsid w:val="00472616"/>
    <w:rsid w:val="00472DEC"/>
    <w:rsid w:val="0047433B"/>
    <w:rsid w:val="00475E8C"/>
    <w:rsid w:val="004765E3"/>
    <w:rsid w:val="004811C4"/>
    <w:rsid w:val="004835EE"/>
    <w:rsid w:val="00483659"/>
    <w:rsid w:val="0048561B"/>
    <w:rsid w:val="00485756"/>
    <w:rsid w:val="00485ED5"/>
    <w:rsid w:val="00486508"/>
    <w:rsid w:val="0048713A"/>
    <w:rsid w:val="00491D61"/>
    <w:rsid w:val="00492FA2"/>
    <w:rsid w:val="004A3A67"/>
    <w:rsid w:val="004A41E4"/>
    <w:rsid w:val="004A4965"/>
    <w:rsid w:val="004A5647"/>
    <w:rsid w:val="004A58E9"/>
    <w:rsid w:val="004B2C99"/>
    <w:rsid w:val="004B460F"/>
    <w:rsid w:val="004B4664"/>
    <w:rsid w:val="004B4709"/>
    <w:rsid w:val="004B4F2E"/>
    <w:rsid w:val="004B4F39"/>
    <w:rsid w:val="004B4FF9"/>
    <w:rsid w:val="004B5C25"/>
    <w:rsid w:val="004C04E1"/>
    <w:rsid w:val="004C53F7"/>
    <w:rsid w:val="004C6312"/>
    <w:rsid w:val="004C7C28"/>
    <w:rsid w:val="004D123C"/>
    <w:rsid w:val="004D23F4"/>
    <w:rsid w:val="004D2D35"/>
    <w:rsid w:val="004D346A"/>
    <w:rsid w:val="004D3AD2"/>
    <w:rsid w:val="004D7C1C"/>
    <w:rsid w:val="004D7DA1"/>
    <w:rsid w:val="004E2B56"/>
    <w:rsid w:val="004E424D"/>
    <w:rsid w:val="004E4D39"/>
    <w:rsid w:val="004E5930"/>
    <w:rsid w:val="004E5F55"/>
    <w:rsid w:val="004E746F"/>
    <w:rsid w:val="004E7AD2"/>
    <w:rsid w:val="004F0413"/>
    <w:rsid w:val="004F1CD9"/>
    <w:rsid w:val="004F32F1"/>
    <w:rsid w:val="004F4AF6"/>
    <w:rsid w:val="004F4FF4"/>
    <w:rsid w:val="004F5E68"/>
    <w:rsid w:val="004F7392"/>
    <w:rsid w:val="004F7B2F"/>
    <w:rsid w:val="00500E75"/>
    <w:rsid w:val="00502E7D"/>
    <w:rsid w:val="005076A0"/>
    <w:rsid w:val="005118F5"/>
    <w:rsid w:val="005143A3"/>
    <w:rsid w:val="00516147"/>
    <w:rsid w:val="005163A6"/>
    <w:rsid w:val="00516BD7"/>
    <w:rsid w:val="00520D7F"/>
    <w:rsid w:val="00521BDB"/>
    <w:rsid w:val="0052310A"/>
    <w:rsid w:val="00526815"/>
    <w:rsid w:val="0053110E"/>
    <w:rsid w:val="0053350A"/>
    <w:rsid w:val="00533510"/>
    <w:rsid w:val="0053424B"/>
    <w:rsid w:val="00535F25"/>
    <w:rsid w:val="0053655B"/>
    <w:rsid w:val="00541B8B"/>
    <w:rsid w:val="0054371E"/>
    <w:rsid w:val="00547CCF"/>
    <w:rsid w:val="00555999"/>
    <w:rsid w:val="00556447"/>
    <w:rsid w:val="00556A53"/>
    <w:rsid w:val="00562192"/>
    <w:rsid w:val="005636DF"/>
    <w:rsid w:val="00564D9F"/>
    <w:rsid w:val="0056537E"/>
    <w:rsid w:val="00570127"/>
    <w:rsid w:val="00571EDF"/>
    <w:rsid w:val="00572B1B"/>
    <w:rsid w:val="005735DD"/>
    <w:rsid w:val="00573F48"/>
    <w:rsid w:val="00581988"/>
    <w:rsid w:val="0058202B"/>
    <w:rsid w:val="0058373A"/>
    <w:rsid w:val="00583B07"/>
    <w:rsid w:val="00583C32"/>
    <w:rsid w:val="00583F61"/>
    <w:rsid w:val="00584A04"/>
    <w:rsid w:val="00585013"/>
    <w:rsid w:val="00585B04"/>
    <w:rsid w:val="005864F1"/>
    <w:rsid w:val="00586860"/>
    <w:rsid w:val="00586986"/>
    <w:rsid w:val="005870F8"/>
    <w:rsid w:val="005877EF"/>
    <w:rsid w:val="005901B9"/>
    <w:rsid w:val="00590215"/>
    <w:rsid w:val="0059033F"/>
    <w:rsid w:val="00591006"/>
    <w:rsid w:val="00593B21"/>
    <w:rsid w:val="005958CC"/>
    <w:rsid w:val="005A1062"/>
    <w:rsid w:val="005A136C"/>
    <w:rsid w:val="005A1F6A"/>
    <w:rsid w:val="005A2355"/>
    <w:rsid w:val="005A252A"/>
    <w:rsid w:val="005A2D97"/>
    <w:rsid w:val="005A3EB3"/>
    <w:rsid w:val="005A7E43"/>
    <w:rsid w:val="005B4C90"/>
    <w:rsid w:val="005C17CE"/>
    <w:rsid w:val="005C2ADF"/>
    <w:rsid w:val="005C3BCB"/>
    <w:rsid w:val="005C407E"/>
    <w:rsid w:val="005C5E42"/>
    <w:rsid w:val="005C6574"/>
    <w:rsid w:val="005C657A"/>
    <w:rsid w:val="005C660B"/>
    <w:rsid w:val="005C6B2D"/>
    <w:rsid w:val="005C7074"/>
    <w:rsid w:val="005D0C67"/>
    <w:rsid w:val="005D18C2"/>
    <w:rsid w:val="005D37BC"/>
    <w:rsid w:val="005D429C"/>
    <w:rsid w:val="005D584E"/>
    <w:rsid w:val="005D6BE1"/>
    <w:rsid w:val="005E19C8"/>
    <w:rsid w:val="005E371D"/>
    <w:rsid w:val="005E37BD"/>
    <w:rsid w:val="005E4E34"/>
    <w:rsid w:val="005E7DAF"/>
    <w:rsid w:val="005F2EC4"/>
    <w:rsid w:val="005F4EF4"/>
    <w:rsid w:val="005F63D6"/>
    <w:rsid w:val="005F7379"/>
    <w:rsid w:val="005F7F0B"/>
    <w:rsid w:val="00600912"/>
    <w:rsid w:val="00600FDC"/>
    <w:rsid w:val="006021FE"/>
    <w:rsid w:val="00604107"/>
    <w:rsid w:val="00604BCB"/>
    <w:rsid w:val="00607720"/>
    <w:rsid w:val="0061468D"/>
    <w:rsid w:val="00614719"/>
    <w:rsid w:val="00616AA3"/>
    <w:rsid w:val="006170C6"/>
    <w:rsid w:val="006225C8"/>
    <w:rsid w:val="00623281"/>
    <w:rsid w:val="00625152"/>
    <w:rsid w:val="00626E6D"/>
    <w:rsid w:val="00632C21"/>
    <w:rsid w:val="006332CE"/>
    <w:rsid w:val="00634916"/>
    <w:rsid w:val="006423F3"/>
    <w:rsid w:val="00642BC5"/>
    <w:rsid w:val="00642C33"/>
    <w:rsid w:val="0064337A"/>
    <w:rsid w:val="00644DC2"/>
    <w:rsid w:val="00645C9B"/>
    <w:rsid w:val="006542E3"/>
    <w:rsid w:val="00654559"/>
    <w:rsid w:val="00655784"/>
    <w:rsid w:val="0065653B"/>
    <w:rsid w:val="00662AA8"/>
    <w:rsid w:val="0066474C"/>
    <w:rsid w:val="00664EDF"/>
    <w:rsid w:val="00664FB4"/>
    <w:rsid w:val="0067189D"/>
    <w:rsid w:val="00671AD1"/>
    <w:rsid w:val="0067238D"/>
    <w:rsid w:val="006731E4"/>
    <w:rsid w:val="0068120F"/>
    <w:rsid w:val="0068372E"/>
    <w:rsid w:val="00684D4D"/>
    <w:rsid w:val="00684EE7"/>
    <w:rsid w:val="00692A16"/>
    <w:rsid w:val="0069326E"/>
    <w:rsid w:val="006943A9"/>
    <w:rsid w:val="006950BD"/>
    <w:rsid w:val="00696359"/>
    <w:rsid w:val="00696990"/>
    <w:rsid w:val="00697ACF"/>
    <w:rsid w:val="006A178F"/>
    <w:rsid w:val="006A4422"/>
    <w:rsid w:val="006A4876"/>
    <w:rsid w:val="006A5C1A"/>
    <w:rsid w:val="006A6163"/>
    <w:rsid w:val="006A75B2"/>
    <w:rsid w:val="006B0776"/>
    <w:rsid w:val="006B0B2C"/>
    <w:rsid w:val="006B238B"/>
    <w:rsid w:val="006B3CD1"/>
    <w:rsid w:val="006B5753"/>
    <w:rsid w:val="006C24D4"/>
    <w:rsid w:val="006C7279"/>
    <w:rsid w:val="006D27FB"/>
    <w:rsid w:val="006D2A96"/>
    <w:rsid w:val="006D4943"/>
    <w:rsid w:val="006D5191"/>
    <w:rsid w:val="006D5BEE"/>
    <w:rsid w:val="006E14E3"/>
    <w:rsid w:val="006E2CD1"/>
    <w:rsid w:val="006E4572"/>
    <w:rsid w:val="006E579F"/>
    <w:rsid w:val="006E6213"/>
    <w:rsid w:val="006E6C15"/>
    <w:rsid w:val="006E6D7C"/>
    <w:rsid w:val="006E71AB"/>
    <w:rsid w:val="006F0D15"/>
    <w:rsid w:val="006F0E63"/>
    <w:rsid w:val="006F119C"/>
    <w:rsid w:val="006F31A5"/>
    <w:rsid w:val="006F3257"/>
    <w:rsid w:val="006F36EE"/>
    <w:rsid w:val="006F523A"/>
    <w:rsid w:val="00700E7C"/>
    <w:rsid w:val="00702351"/>
    <w:rsid w:val="00703BD4"/>
    <w:rsid w:val="007056F5"/>
    <w:rsid w:val="00706A57"/>
    <w:rsid w:val="0070732A"/>
    <w:rsid w:val="00711F9D"/>
    <w:rsid w:val="00713CC5"/>
    <w:rsid w:val="00714AF9"/>
    <w:rsid w:val="00717139"/>
    <w:rsid w:val="00723803"/>
    <w:rsid w:val="007244DE"/>
    <w:rsid w:val="00727FE8"/>
    <w:rsid w:val="0073151B"/>
    <w:rsid w:val="00731B24"/>
    <w:rsid w:val="00732541"/>
    <w:rsid w:val="0073496B"/>
    <w:rsid w:val="0073506F"/>
    <w:rsid w:val="00735E4A"/>
    <w:rsid w:val="00736828"/>
    <w:rsid w:val="00740D83"/>
    <w:rsid w:val="007414B3"/>
    <w:rsid w:val="007451A4"/>
    <w:rsid w:val="00746BE3"/>
    <w:rsid w:val="007479AB"/>
    <w:rsid w:val="00747E5E"/>
    <w:rsid w:val="007510CC"/>
    <w:rsid w:val="007543E8"/>
    <w:rsid w:val="00756F0E"/>
    <w:rsid w:val="00760FDE"/>
    <w:rsid w:val="00761269"/>
    <w:rsid w:val="007618AE"/>
    <w:rsid w:val="007619C5"/>
    <w:rsid w:val="007631A9"/>
    <w:rsid w:val="00763C0E"/>
    <w:rsid w:val="0076608B"/>
    <w:rsid w:val="007663DF"/>
    <w:rsid w:val="00770E00"/>
    <w:rsid w:val="007745BC"/>
    <w:rsid w:val="00774D74"/>
    <w:rsid w:val="00776E7B"/>
    <w:rsid w:val="00777260"/>
    <w:rsid w:val="00780502"/>
    <w:rsid w:val="00782360"/>
    <w:rsid w:val="00782F60"/>
    <w:rsid w:val="00783844"/>
    <w:rsid w:val="007869C8"/>
    <w:rsid w:val="00787597"/>
    <w:rsid w:val="00790DAA"/>
    <w:rsid w:val="00794E25"/>
    <w:rsid w:val="00795595"/>
    <w:rsid w:val="007958C2"/>
    <w:rsid w:val="00795C6A"/>
    <w:rsid w:val="007977B7"/>
    <w:rsid w:val="00797D3E"/>
    <w:rsid w:val="007A1E24"/>
    <w:rsid w:val="007A246D"/>
    <w:rsid w:val="007A6200"/>
    <w:rsid w:val="007B0808"/>
    <w:rsid w:val="007B1FAA"/>
    <w:rsid w:val="007B30E5"/>
    <w:rsid w:val="007B3C39"/>
    <w:rsid w:val="007B7A56"/>
    <w:rsid w:val="007C2D01"/>
    <w:rsid w:val="007C2D98"/>
    <w:rsid w:val="007C56BA"/>
    <w:rsid w:val="007C6DF5"/>
    <w:rsid w:val="007D3BD5"/>
    <w:rsid w:val="007D3E1A"/>
    <w:rsid w:val="007E06E7"/>
    <w:rsid w:val="007E182F"/>
    <w:rsid w:val="007E20AC"/>
    <w:rsid w:val="007E4DCC"/>
    <w:rsid w:val="007E4EF3"/>
    <w:rsid w:val="007E65FD"/>
    <w:rsid w:val="007E69BA"/>
    <w:rsid w:val="007E6E11"/>
    <w:rsid w:val="007E7CC0"/>
    <w:rsid w:val="007F327F"/>
    <w:rsid w:val="007F3DFE"/>
    <w:rsid w:val="008032FF"/>
    <w:rsid w:val="0080590F"/>
    <w:rsid w:val="008068FE"/>
    <w:rsid w:val="00807294"/>
    <w:rsid w:val="00807969"/>
    <w:rsid w:val="008120F4"/>
    <w:rsid w:val="008142B7"/>
    <w:rsid w:val="00817BBD"/>
    <w:rsid w:val="00822BC9"/>
    <w:rsid w:val="00823227"/>
    <w:rsid w:val="00823A63"/>
    <w:rsid w:val="008245B4"/>
    <w:rsid w:val="008271B7"/>
    <w:rsid w:val="00831459"/>
    <w:rsid w:val="00832479"/>
    <w:rsid w:val="00833E88"/>
    <w:rsid w:val="00835C70"/>
    <w:rsid w:val="00837572"/>
    <w:rsid w:val="008425AE"/>
    <w:rsid w:val="00843475"/>
    <w:rsid w:val="00843F8A"/>
    <w:rsid w:val="00850B9A"/>
    <w:rsid w:val="008523A0"/>
    <w:rsid w:val="00853745"/>
    <w:rsid w:val="008552B8"/>
    <w:rsid w:val="00856DEA"/>
    <w:rsid w:val="008610F2"/>
    <w:rsid w:val="008632EE"/>
    <w:rsid w:val="008641FA"/>
    <w:rsid w:val="00866071"/>
    <w:rsid w:val="008663B0"/>
    <w:rsid w:val="00866A00"/>
    <w:rsid w:val="00867C6D"/>
    <w:rsid w:val="00872E23"/>
    <w:rsid w:val="00876813"/>
    <w:rsid w:val="00880BA7"/>
    <w:rsid w:val="00882342"/>
    <w:rsid w:val="00883295"/>
    <w:rsid w:val="00883D36"/>
    <w:rsid w:val="008854F3"/>
    <w:rsid w:val="00885D9B"/>
    <w:rsid w:val="00886A1D"/>
    <w:rsid w:val="00886AD0"/>
    <w:rsid w:val="008873F6"/>
    <w:rsid w:val="00892F32"/>
    <w:rsid w:val="00893102"/>
    <w:rsid w:val="0089372A"/>
    <w:rsid w:val="00893941"/>
    <w:rsid w:val="00894099"/>
    <w:rsid w:val="00894BA6"/>
    <w:rsid w:val="008954DC"/>
    <w:rsid w:val="008A1A6F"/>
    <w:rsid w:val="008A1FB8"/>
    <w:rsid w:val="008A35AF"/>
    <w:rsid w:val="008A37C3"/>
    <w:rsid w:val="008A74ED"/>
    <w:rsid w:val="008B1443"/>
    <w:rsid w:val="008B3780"/>
    <w:rsid w:val="008B45F2"/>
    <w:rsid w:val="008B59A5"/>
    <w:rsid w:val="008B6308"/>
    <w:rsid w:val="008C03BF"/>
    <w:rsid w:val="008C082E"/>
    <w:rsid w:val="008C0896"/>
    <w:rsid w:val="008C0AA7"/>
    <w:rsid w:val="008C16BB"/>
    <w:rsid w:val="008C4ECB"/>
    <w:rsid w:val="008C53B1"/>
    <w:rsid w:val="008C62AC"/>
    <w:rsid w:val="008C6D70"/>
    <w:rsid w:val="008C7606"/>
    <w:rsid w:val="008D1846"/>
    <w:rsid w:val="008D3EB0"/>
    <w:rsid w:val="008D7C27"/>
    <w:rsid w:val="008D7ECF"/>
    <w:rsid w:val="008E44E6"/>
    <w:rsid w:val="008E4A61"/>
    <w:rsid w:val="008E7925"/>
    <w:rsid w:val="008F216B"/>
    <w:rsid w:val="008F29B0"/>
    <w:rsid w:val="008F3B42"/>
    <w:rsid w:val="008F547E"/>
    <w:rsid w:val="008F54EA"/>
    <w:rsid w:val="008F6A20"/>
    <w:rsid w:val="0090297A"/>
    <w:rsid w:val="00906D50"/>
    <w:rsid w:val="00910A62"/>
    <w:rsid w:val="0091230C"/>
    <w:rsid w:val="00912A7E"/>
    <w:rsid w:val="00912EF9"/>
    <w:rsid w:val="0091309D"/>
    <w:rsid w:val="009131EE"/>
    <w:rsid w:val="00914501"/>
    <w:rsid w:val="00914E8C"/>
    <w:rsid w:val="00915029"/>
    <w:rsid w:val="00915F38"/>
    <w:rsid w:val="0091606C"/>
    <w:rsid w:val="00916DFD"/>
    <w:rsid w:val="00920183"/>
    <w:rsid w:val="00921468"/>
    <w:rsid w:val="009226F7"/>
    <w:rsid w:val="009230C0"/>
    <w:rsid w:val="00923676"/>
    <w:rsid w:val="00924D64"/>
    <w:rsid w:val="009275B6"/>
    <w:rsid w:val="0093321D"/>
    <w:rsid w:val="00935298"/>
    <w:rsid w:val="0093678D"/>
    <w:rsid w:val="00937319"/>
    <w:rsid w:val="00940201"/>
    <w:rsid w:val="009419F7"/>
    <w:rsid w:val="00942376"/>
    <w:rsid w:val="00944EEF"/>
    <w:rsid w:val="00952189"/>
    <w:rsid w:val="00954C0A"/>
    <w:rsid w:val="0095538D"/>
    <w:rsid w:val="00963D31"/>
    <w:rsid w:val="00965B67"/>
    <w:rsid w:val="00970740"/>
    <w:rsid w:val="00970E4E"/>
    <w:rsid w:val="00972C97"/>
    <w:rsid w:val="00973FD0"/>
    <w:rsid w:val="00974991"/>
    <w:rsid w:val="00974D76"/>
    <w:rsid w:val="00977CC4"/>
    <w:rsid w:val="009822D3"/>
    <w:rsid w:val="00982435"/>
    <w:rsid w:val="00983315"/>
    <w:rsid w:val="00986DA9"/>
    <w:rsid w:val="00991844"/>
    <w:rsid w:val="00991E80"/>
    <w:rsid w:val="00993136"/>
    <w:rsid w:val="009934DA"/>
    <w:rsid w:val="009950E9"/>
    <w:rsid w:val="00995DCA"/>
    <w:rsid w:val="009A01C7"/>
    <w:rsid w:val="009A267B"/>
    <w:rsid w:val="009A2948"/>
    <w:rsid w:val="009A4DF3"/>
    <w:rsid w:val="009A5E72"/>
    <w:rsid w:val="009B0830"/>
    <w:rsid w:val="009B0FAD"/>
    <w:rsid w:val="009B225A"/>
    <w:rsid w:val="009B776F"/>
    <w:rsid w:val="009C0081"/>
    <w:rsid w:val="009C0448"/>
    <w:rsid w:val="009C1691"/>
    <w:rsid w:val="009C286A"/>
    <w:rsid w:val="009C2988"/>
    <w:rsid w:val="009C4B71"/>
    <w:rsid w:val="009C4BB3"/>
    <w:rsid w:val="009D00CD"/>
    <w:rsid w:val="009D265D"/>
    <w:rsid w:val="009D2F30"/>
    <w:rsid w:val="009D67B3"/>
    <w:rsid w:val="009D6F5F"/>
    <w:rsid w:val="009D7466"/>
    <w:rsid w:val="009D7D01"/>
    <w:rsid w:val="009E352C"/>
    <w:rsid w:val="009E5BC4"/>
    <w:rsid w:val="009E5BED"/>
    <w:rsid w:val="009F033B"/>
    <w:rsid w:val="009F12A7"/>
    <w:rsid w:val="009F2D2A"/>
    <w:rsid w:val="00A00381"/>
    <w:rsid w:val="00A0194F"/>
    <w:rsid w:val="00A02919"/>
    <w:rsid w:val="00A02FEF"/>
    <w:rsid w:val="00A04BC5"/>
    <w:rsid w:val="00A05939"/>
    <w:rsid w:val="00A05F0B"/>
    <w:rsid w:val="00A102C9"/>
    <w:rsid w:val="00A11488"/>
    <w:rsid w:val="00A11B31"/>
    <w:rsid w:val="00A14E11"/>
    <w:rsid w:val="00A16125"/>
    <w:rsid w:val="00A2098A"/>
    <w:rsid w:val="00A23F28"/>
    <w:rsid w:val="00A2666A"/>
    <w:rsid w:val="00A2796E"/>
    <w:rsid w:val="00A30DDB"/>
    <w:rsid w:val="00A3181B"/>
    <w:rsid w:val="00A322CB"/>
    <w:rsid w:val="00A3600E"/>
    <w:rsid w:val="00A36B5B"/>
    <w:rsid w:val="00A43EBD"/>
    <w:rsid w:val="00A459EA"/>
    <w:rsid w:val="00A46F4A"/>
    <w:rsid w:val="00A50D37"/>
    <w:rsid w:val="00A519DA"/>
    <w:rsid w:val="00A54E20"/>
    <w:rsid w:val="00A56828"/>
    <w:rsid w:val="00A61836"/>
    <w:rsid w:val="00A61EA2"/>
    <w:rsid w:val="00A623BC"/>
    <w:rsid w:val="00A72350"/>
    <w:rsid w:val="00A7787F"/>
    <w:rsid w:val="00A77FF6"/>
    <w:rsid w:val="00A802B9"/>
    <w:rsid w:val="00A80329"/>
    <w:rsid w:val="00A81ADD"/>
    <w:rsid w:val="00A82B93"/>
    <w:rsid w:val="00A854C5"/>
    <w:rsid w:val="00A90042"/>
    <w:rsid w:val="00A934AE"/>
    <w:rsid w:val="00A94E82"/>
    <w:rsid w:val="00A952F8"/>
    <w:rsid w:val="00A95B0D"/>
    <w:rsid w:val="00A9789E"/>
    <w:rsid w:val="00A978FA"/>
    <w:rsid w:val="00AA22CB"/>
    <w:rsid w:val="00AA363F"/>
    <w:rsid w:val="00AA419F"/>
    <w:rsid w:val="00AA5CBD"/>
    <w:rsid w:val="00AA7997"/>
    <w:rsid w:val="00AB0CDC"/>
    <w:rsid w:val="00AB19CC"/>
    <w:rsid w:val="00AB3212"/>
    <w:rsid w:val="00AB4B0A"/>
    <w:rsid w:val="00AC315D"/>
    <w:rsid w:val="00AC4A37"/>
    <w:rsid w:val="00AC54ED"/>
    <w:rsid w:val="00AC709E"/>
    <w:rsid w:val="00AC79E6"/>
    <w:rsid w:val="00AC7E7A"/>
    <w:rsid w:val="00AD12FB"/>
    <w:rsid w:val="00AD1F68"/>
    <w:rsid w:val="00AD285F"/>
    <w:rsid w:val="00AD4A18"/>
    <w:rsid w:val="00AD4EA6"/>
    <w:rsid w:val="00AD520C"/>
    <w:rsid w:val="00AE2E8B"/>
    <w:rsid w:val="00AE531D"/>
    <w:rsid w:val="00AE56E1"/>
    <w:rsid w:val="00AE5C6F"/>
    <w:rsid w:val="00AF118D"/>
    <w:rsid w:val="00AF1CA5"/>
    <w:rsid w:val="00AF353A"/>
    <w:rsid w:val="00AF5104"/>
    <w:rsid w:val="00AF6499"/>
    <w:rsid w:val="00AF7509"/>
    <w:rsid w:val="00B0104E"/>
    <w:rsid w:val="00B01487"/>
    <w:rsid w:val="00B023CF"/>
    <w:rsid w:val="00B029B0"/>
    <w:rsid w:val="00B0300F"/>
    <w:rsid w:val="00B04C47"/>
    <w:rsid w:val="00B07813"/>
    <w:rsid w:val="00B104E2"/>
    <w:rsid w:val="00B1099B"/>
    <w:rsid w:val="00B118CF"/>
    <w:rsid w:val="00B13C88"/>
    <w:rsid w:val="00B14C80"/>
    <w:rsid w:val="00B172EA"/>
    <w:rsid w:val="00B20416"/>
    <w:rsid w:val="00B21021"/>
    <w:rsid w:val="00B21A59"/>
    <w:rsid w:val="00B21AE8"/>
    <w:rsid w:val="00B21FEE"/>
    <w:rsid w:val="00B220E5"/>
    <w:rsid w:val="00B23D8C"/>
    <w:rsid w:val="00B24581"/>
    <w:rsid w:val="00B24AFF"/>
    <w:rsid w:val="00B2644D"/>
    <w:rsid w:val="00B26A61"/>
    <w:rsid w:val="00B30587"/>
    <w:rsid w:val="00B33D10"/>
    <w:rsid w:val="00B34A9C"/>
    <w:rsid w:val="00B3508D"/>
    <w:rsid w:val="00B367D8"/>
    <w:rsid w:val="00B41D23"/>
    <w:rsid w:val="00B41FA0"/>
    <w:rsid w:val="00B42897"/>
    <w:rsid w:val="00B45EBB"/>
    <w:rsid w:val="00B511A7"/>
    <w:rsid w:val="00B52043"/>
    <w:rsid w:val="00B52D7C"/>
    <w:rsid w:val="00B541EC"/>
    <w:rsid w:val="00B55B8F"/>
    <w:rsid w:val="00B56555"/>
    <w:rsid w:val="00B57E51"/>
    <w:rsid w:val="00B60142"/>
    <w:rsid w:val="00B618D4"/>
    <w:rsid w:val="00B73EF5"/>
    <w:rsid w:val="00B74D6D"/>
    <w:rsid w:val="00B75E6C"/>
    <w:rsid w:val="00B77EA3"/>
    <w:rsid w:val="00B86789"/>
    <w:rsid w:val="00B87C43"/>
    <w:rsid w:val="00B91F53"/>
    <w:rsid w:val="00B93C04"/>
    <w:rsid w:val="00B95735"/>
    <w:rsid w:val="00BA072B"/>
    <w:rsid w:val="00BA6985"/>
    <w:rsid w:val="00BB017D"/>
    <w:rsid w:val="00BB0437"/>
    <w:rsid w:val="00BB5158"/>
    <w:rsid w:val="00BC32ED"/>
    <w:rsid w:val="00BC33E7"/>
    <w:rsid w:val="00BC38F9"/>
    <w:rsid w:val="00BC4910"/>
    <w:rsid w:val="00BD3F11"/>
    <w:rsid w:val="00BD4A9C"/>
    <w:rsid w:val="00BD6FD0"/>
    <w:rsid w:val="00BD7C9E"/>
    <w:rsid w:val="00BD7FC2"/>
    <w:rsid w:val="00BE0F4D"/>
    <w:rsid w:val="00BE1986"/>
    <w:rsid w:val="00BE2BE8"/>
    <w:rsid w:val="00BE3721"/>
    <w:rsid w:val="00BE5C4D"/>
    <w:rsid w:val="00BE6789"/>
    <w:rsid w:val="00BE7DE1"/>
    <w:rsid w:val="00BF11C5"/>
    <w:rsid w:val="00BF1F8E"/>
    <w:rsid w:val="00BF2041"/>
    <w:rsid w:val="00BF25EE"/>
    <w:rsid w:val="00BF3D1E"/>
    <w:rsid w:val="00BF77EF"/>
    <w:rsid w:val="00C0056A"/>
    <w:rsid w:val="00C00A24"/>
    <w:rsid w:val="00C00FA1"/>
    <w:rsid w:val="00C011A1"/>
    <w:rsid w:val="00C02E39"/>
    <w:rsid w:val="00C03E9B"/>
    <w:rsid w:val="00C13539"/>
    <w:rsid w:val="00C1432E"/>
    <w:rsid w:val="00C14DA3"/>
    <w:rsid w:val="00C14E45"/>
    <w:rsid w:val="00C159DF"/>
    <w:rsid w:val="00C15A07"/>
    <w:rsid w:val="00C16063"/>
    <w:rsid w:val="00C168DD"/>
    <w:rsid w:val="00C17191"/>
    <w:rsid w:val="00C177DD"/>
    <w:rsid w:val="00C17DBC"/>
    <w:rsid w:val="00C20292"/>
    <w:rsid w:val="00C20F1F"/>
    <w:rsid w:val="00C23A70"/>
    <w:rsid w:val="00C249AE"/>
    <w:rsid w:val="00C26F48"/>
    <w:rsid w:val="00C31080"/>
    <w:rsid w:val="00C32056"/>
    <w:rsid w:val="00C323E8"/>
    <w:rsid w:val="00C32936"/>
    <w:rsid w:val="00C3372F"/>
    <w:rsid w:val="00C40665"/>
    <w:rsid w:val="00C40976"/>
    <w:rsid w:val="00C42B4C"/>
    <w:rsid w:val="00C42E97"/>
    <w:rsid w:val="00C4414A"/>
    <w:rsid w:val="00C44362"/>
    <w:rsid w:val="00C44EE4"/>
    <w:rsid w:val="00C457D4"/>
    <w:rsid w:val="00C50E68"/>
    <w:rsid w:val="00C51F51"/>
    <w:rsid w:val="00C52829"/>
    <w:rsid w:val="00C53104"/>
    <w:rsid w:val="00C54757"/>
    <w:rsid w:val="00C56C47"/>
    <w:rsid w:val="00C624C1"/>
    <w:rsid w:val="00C63AF7"/>
    <w:rsid w:val="00C64424"/>
    <w:rsid w:val="00C64DF0"/>
    <w:rsid w:val="00C64DFF"/>
    <w:rsid w:val="00C659FE"/>
    <w:rsid w:val="00C66771"/>
    <w:rsid w:val="00C67F3D"/>
    <w:rsid w:val="00C709D3"/>
    <w:rsid w:val="00C70C22"/>
    <w:rsid w:val="00C7513F"/>
    <w:rsid w:val="00C75CC6"/>
    <w:rsid w:val="00C80079"/>
    <w:rsid w:val="00C810D8"/>
    <w:rsid w:val="00C8162F"/>
    <w:rsid w:val="00C82F9B"/>
    <w:rsid w:val="00C859FF"/>
    <w:rsid w:val="00C86930"/>
    <w:rsid w:val="00C87C6C"/>
    <w:rsid w:val="00C90D2F"/>
    <w:rsid w:val="00C95678"/>
    <w:rsid w:val="00C95867"/>
    <w:rsid w:val="00C95A68"/>
    <w:rsid w:val="00C96E1B"/>
    <w:rsid w:val="00CA2498"/>
    <w:rsid w:val="00CA3BAF"/>
    <w:rsid w:val="00CA6131"/>
    <w:rsid w:val="00CB2CC0"/>
    <w:rsid w:val="00CC0807"/>
    <w:rsid w:val="00CC3C15"/>
    <w:rsid w:val="00CC41B9"/>
    <w:rsid w:val="00CC4A2A"/>
    <w:rsid w:val="00CC550C"/>
    <w:rsid w:val="00CD0EDB"/>
    <w:rsid w:val="00CD240F"/>
    <w:rsid w:val="00CD2765"/>
    <w:rsid w:val="00CD2D74"/>
    <w:rsid w:val="00CD311F"/>
    <w:rsid w:val="00CD6452"/>
    <w:rsid w:val="00CE0E49"/>
    <w:rsid w:val="00CE1C7D"/>
    <w:rsid w:val="00CE200B"/>
    <w:rsid w:val="00CE30D5"/>
    <w:rsid w:val="00CE5DBF"/>
    <w:rsid w:val="00CE71FE"/>
    <w:rsid w:val="00CE7BD2"/>
    <w:rsid w:val="00CF1897"/>
    <w:rsid w:val="00CF28EB"/>
    <w:rsid w:val="00CF7113"/>
    <w:rsid w:val="00D03934"/>
    <w:rsid w:val="00D0603C"/>
    <w:rsid w:val="00D06604"/>
    <w:rsid w:val="00D06C33"/>
    <w:rsid w:val="00D07EEB"/>
    <w:rsid w:val="00D13BD5"/>
    <w:rsid w:val="00D140AE"/>
    <w:rsid w:val="00D153BF"/>
    <w:rsid w:val="00D16CC8"/>
    <w:rsid w:val="00D203F3"/>
    <w:rsid w:val="00D248B2"/>
    <w:rsid w:val="00D24A52"/>
    <w:rsid w:val="00D24EAC"/>
    <w:rsid w:val="00D250C5"/>
    <w:rsid w:val="00D31663"/>
    <w:rsid w:val="00D32744"/>
    <w:rsid w:val="00D351F1"/>
    <w:rsid w:val="00D35F43"/>
    <w:rsid w:val="00D42257"/>
    <w:rsid w:val="00D44213"/>
    <w:rsid w:val="00D44366"/>
    <w:rsid w:val="00D44736"/>
    <w:rsid w:val="00D45D35"/>
    <w:rsid w:val="00D47EF2"/>
    <w:rsid w:val="00D51EFC"/>
    <w:rsid w:val="00D53005"/>
    <w:rsid w:val="00D54ED6"/>
    <w:rsid w:val="00D560D4"/>
    <w:rsid w:val="00D61696"/>
    <w:rsid w:val="00D622DC"/>
    <w:rsid w:val="00D62D42"/>
    <w:rsid w:val="00D64283"/>
    <w:rsid w:val="00D65B1A"/>
    <w:rsid w:val="00D67E53"/>
    <w:rsid w:val="00D703CA"/>
    <w:rsid w:val="00D703D0"/>
    <w:rsid w:val="00D71E2F"/>
    <w:rsid w:val="00D72E53"/>
    <w:rsid w:val="00D777B6"/>
    <w:rsid w:val="00D8125A"/>
    <w:rsid w:val="00D81FB2"/>
    <w:rsid w:val="00D861BC"/>
    <w:rsid w:val="00D87E09"/>
    <w:rsid w:val="00D90BFB"/>
    <w:rsid w:val="00D90CEB"/>
    <w:rsid w:val="00D91EDA"/>
    <w:rsid w:val="00D93929"/>
    <w:rsid w:val="00D94C93"/>
    <w:rsid w:val="00D97F57"/>
    <w:rsid w:val="00DA1B68"/>
    <w:rsid w:val="00DA463C"/>
    <w:rsid w:val="00DA6F45"/>
    <w:rsid w:val="00DA710A"/>
    <w:rsid w:val="00DB196D"/>
    <w:rsid w:val="00DB3F48"/>
    <w:rsid w:val="00DB458F"/>
    <w:rsid w:val="00DB533B"/>
    <w:rsid w:val="00DB5850"/>
    <w:rsid w:val="00DC3238"/>
    <w:rsid w:val="00DC3450"/>
    <w:rsid w:val="00DC3EEC"/>
    <w:rsid w:val="00DC40C4"/>
    <w:rsid w:val="00DC6723"/>
    <w:rsid w:val="00DC7CD8"/>
    <w:rsid w:val="00DD1191"/>
    <w:rsid w:val="00DD1C2F"/>
    <w:rsid w:val="00DD1EC2"/>
    <w:rsid w:val="00DD44A0"/>
    <w:rsid w:val="00DD53E3"/>
    <w:rsid w:val="00DE0963"/>
    <w:rsid w:val="00DE0F9C"/>
    <w:rsid w:val="00DE292F"/>
    <w:rsid w:val="00DE2FEB"/>
    <w:rsid w:val="00DE3635"/>
    <w:rsid w:val="00DE43AF"/>
    <w:rsid w:val="00DE4553"/>
    <w:rsid w:val="00DE5855"/>
    <w:rsid w:val="00DE620E"/>
    <w:rsid w:val="00DE6BBE"/>
    <w:rsid w:val="00DE7227"/>
    <w:rsid w:val="00DE79EB"/>
    <w:rsid w:val="00DF0E1B"/>
    <w:rsid w:val="00DF257F"/>
    <w:rsid w:val="00DF45A4"/>
    <w:rsid w:val="00E005E6"/>
    <w:rsid w:val="00E00D0C"/>
    <w:rsid w:val="00E0286F"/>
    <w:rsid w:val="00E02ABC"/>
    <w:rsid w:val="00E03675"/>
    <w:rsid w:val="00E037B4"/>
    <w:rsid w:val="00E05CE0"/>
    <w:rsid w:val="00E07DBB"/>
    <w:rsid w:val="00E10CD3"/>
    <w:rsid w:val="00E1134A"/>
    <w:rsid w:val="00E11386"/>
    <w:rsid w:val="00E117D7"/>
    <w:rsid w:val="00E13AFB"/>
    <w:rsid w:val="00E14E2D"/>
    <w:rsid w:val="00E15B55"/>
    <w:rsid w:val="00E200CC"/>
    <w:rsid w:val="00E21526"/>
    <w:rsid w:val="00E23239"/>
    <w:rsid w:val="00E31C11"/>
    <w:rsid w:val="00E40498"/>
    <w:rsid w:val="00E41314"/>
    <w:rsid w:val="00E43ACD"/>
    <w:rsid w:val="00E459B9"/>
    <w:rsid w:val="00E46F8F"/>
    <w:rsid w:val="00E474B9"/>
    <w:rsid w:val="00E4783C"/>
    <w:rsid w:val="00E47A46"/>
    <w:rsid w:val="00E51B23"/>
    <w:rsid w:val="00E5243F"/>
    <w:rsid w:val="00E53BFC"/>
    <w:rsid w:val="00E5519B"/>
    <w:rsid w:val="00E57E47"/>
    <w:rsid w:val="00E6178A"/>
    <w:rsid w:val="00E61CA7"/>
    <w:rsid w:val="00E64F12"/>
    <w:rsid w:val="00E651D4"/>
    <w:rsid w:val="00E65306"/>
    <w:rsid w:val="00E6623C"/>
    <w:rsid w:val="00E762A3"/>
    <w:rsid w:val="00E82067"/>
    <w:rsid w:val="00E83350"/>
    <w:rsid w:val="00E84E0D"/>
    <w:rsid w:val="00E85C78"/>
    <w:rsid w:val="00E85E80"/>
    <w:rsid w:val="00E85EA9"/>
    <w:rsid w:val="00E866F4"/>
    <w:rsid w:val="00E86F63"/>
    <w:rsid w:val="00E87C92"/>
    <w:rsid w:val="00E90293"/>
    <w:rsid w:val="00E90BFD"/>
    <w:rsid w:val="00E910F1"/>
    <w:rsid w:val="00E94624"/>
    <w:rsid w:val="00E96AEF"/>
    <w:rsid w:val="00E9790A"/>
    <w:rsid w:val="00EA0558"/>
    <w:rsid w:val="00EA0DDF"/>
    <w:rsid w:val="00EA11C7"/>
    <w:rsid w:val="00EA23F3"/>
    <w:rsid w:val="00EA2488"/>
    <w:rsid w:val="00EB070C"/>
    <w:rsid w:val="00EB16F5"/>
    <w:rsid w:val="00EC1974"/>
    <w:rsid w:val="00EC4904"/>
    <w:rsid w:val="00EC4E69"/>
    <w:rsid w:val="00EC61A5"/>
    <w:rsid w:val="00EE09BC"/>
    <w:rsid w:val="00EE270A"/>
    <w:rsid w:val="00EE3CDB"/>
    <w:rsid w:val="00EE53A5"/>
    <w:rsid w:val="00EE6946"/>
    <w:rsid w:val="00EE72BD"/>
    <w:rsid w:val="00EE7561"/>
    <w:rsid w:val="00EF08DF"/>
    <w:rsid w:val="00EF0972"/>
    <w:rsid w:val="00EF0AB4"/>
    <w:rsid w:val="00EF150F"/>
    <w:rsid w:val="00EF34D9"/>
    <w:rsid w:val="00EF394C"/>
    <w:rsid w:val="00EF3E51"/>
    <w:rsid w:val="00EF59FF"/>
    <w:rsid w:val="00EF6481"/>
    <w:rsid w:val="00EF66B9"/>
    <w:rsid w:val="00EF6FA6"/>
    <w:rsid w:val="00F05792"/>
    <w:rsid w:val="00F05B22"/>
    <w:rsid w:val="00F060EF"/>
    <w:rsid w:val="00F07AFB"/>
    <w:rsid w:val="00F12911"/>
    <w:rsid w:val="00F14516"/>
    <w:rsid w:val="00F157B0"/>
    <w:rsid w:val="00F17BB7"/>
    <w:rsid w:val="00F200B7"/>
    <w:rsid w:val="00F20FC8"/>
    <w:rsid w:val="00F22D98"/>
    <w:rsid w:val="00F236AB"/>
    <w:rsid w:val="00F23D19"/>
    <w:rsid w:val="00F2509E"/>
    <w:rsid w:val="00F262A3"/>
    <w:rsid w:val="00F33029"/>
    <w:rsid w:val="00F34E2F"/>
    <w:rsid w:val="00F36031"/>
    <w:rsid w:val="00F4072D"/>
    <w:rsid w:val="00F4221B"/>
    <w:rsid w:val="00F4304F"/>
    <w:rsid w:val="00F43B95"/>
    <w:rsid w:val="00F46CBE"/>
    <w:rsid w:val="00F4745E"/>
    <w:rsid w:val="00F51363"/>
    <w:rsid w:val="00F5333D"/>
    <w:rsid w:val="00F53DDE"/>
    <w:rsid w:val="00F5488E"/>
    <w:rsid w:val="00F54E65"/>
    <w:rsid w:val="00F56549"/>
    <w:rsid w:val="00F608BB"/>
    <w:rsid w:val="00F6197E"/>
    <w:rsid w:val="00F65447"/>
    <w:rsid w:val="00F669E7"/>
    <w:rsid w:val="00F67831"/>
    <w:rsid w:val="00F70A27"/>
    <w:rsid w:val="00F732D5"/>
    <w:rsid w:val="00F7347A"/>
    <w:rsid w:val="00F736FD"/>
    <w:rsid w:val="00F75F67"/>
    <w:rsid w:val="00F81001"/>
    <w:rsid w:val="00F85E0E"/>
    <w:rsid w:val="00F863F2"/>
    <w:rsid w:val="00F86D36"/>
    <w:rsid w:val="00F9043F"/>
    <w:rsid w:val="00F916BA"/>
    <w:rsid w:val="00F95010"/>
    <w:rsid w:val="00FA1DAE"/>
    <w:rsid w:val="00FA20A1"/>
    <w:rsid w:val="00FA3D2F"/>
    <w:rsid w:val="00FA6094"/>
    <w:rsid w:val="00FA65AB"/>
    <w:rsid w:val="00FA6BE3"/>
    <w:rsid w:val="00FA70E7"/>
    <w:rsid w:val="00FA72A5"/>
    <w:rsid w:val="00FB28CB"/>
    <w:rsid w:val="00FB2C84"/>
    <w:rsid w:val="00FB5C65"/>
    <w:rsid w:val="00FB6F66"/>
    <w:rsid w:val="00FB7A62"/>
    <w:rsid w:val="00FC1ED2"/>
    <w:rsid w:val="00FC26B5"/>
    <w:rsid w:val="00FC760F"/>
    <w:rsid w:val="00FD144B"/>
    <w:rsid w:val="00FD30B3"/>
    <w:rsid w:val="00FD30FF"/>
    <w:rsid w:val="00FD599B"/>
    <w:rsid w:val="00FD7AFF"/>
    <w:rsid w:val="00FE06E7"/>
    <w:rsid w:val="00FE459E"/>
    <w:rsid w:val="00FE4D4E"/>
    <w:rsid w:val="00FE4F1C"/>
    <w:rsid w:val="00FE5134"/>
    <w:rsid w:val="00FF26E3"/>
    <w:rsid w:val="00FF7935"/>
    <w:rsid w:val="00FF7BCC"/>
    <w:rsid w:val="01020C0E"/>
    <w:rsid w:val="01026BE5"/>
    <w:rsid w:val="01094980"/>
    <w:rsid w:val="010B094E"/>
    <w:rsid w:val="010B44AE"/>
    <w:rsid w:val="010C4F9E"/>
    <w:rsid w:val="01123E90"/>
    <w:rsid w:val="012031E5"/>
    <w:rsid w:val="01256FF6"/>
    <w:rsid w:val="012E3CBF"/>
    <w:rsid w:val="01315E5C"/>
    <w:rsid w:val="01335C29"/>
    <w:rsid w:val="01374094"/>
    <w:rsid w:val="013E1007"/>
    <w:rsid w:val="013E2893"/>
    <w:rsid w:val="013F6B32"/>
    <w:rsid w:val="0142371C"/>
    <w:rsid w:val="01543B8E"/>
    <w:rsid w:val="0155611D"/>
    <w:rsid w:val="015E68D6"/>
    <w:rsid w:val="01664BA7"/>
    <w:rsid w:val="016921E7"/>
    <w:rsid w:val="01752D51"/>
    <w:rsid w:val="017A1F3E"/>
    <w:rsid w:val="017A651E"/>
    <w:rsid w:val="017F63D5"/>
    <w:rsid w:val="0184597E"/>
    <w:rsid w:val="0186501F"/>
    <w:rsid w:val="01867389"/>
    <w:rsid w:val="018C3C8B"/>
    <w:rsid w:val="01923DF7"/>
    <w:rsid w:val="019B3081"/>
    <w:rsid w:val="01A36E90"/>
    <w:rsid w:val="01A67E31"/>
    <w:rsid w:val="01A728D6"/>
    <w:rsid w:val="01B219A0"/>
    <w:rsid w:val="01B40EDA"/>
    <w:rsid w:val="01C93FB5"/>
    <w:rsid w:val="01DD250A"/>
    <w:rsid w:val="01E13EC7"/>
    <w:rsid w:val="01E75B5C"/>
    <w:rsid w:val="01EA65C8"/>
    <w:rsid w:val="01ED3666"/>
    <w:rsid w:val="01FC64FB"/>
    <w:rsid w:val="020C04D9"/>
    <w:rsid w:val="02117C76"/>
    <w:rsid w:val="0240266B"/>
    <w:rsid w:val="02424322"/>
    <w:rsid w:val="024A7750"/>
    <w:rsid w:val="024E2218"/>
    <w:rsid w:val="024E7885"/>
    <w:rsid w:val="02554323"/>
    <w:rsid w:val="0258007B"/>
    <w:rsid w:val="02596B9B"/>
    <w:rsid w:val="025A0F0C"/>
    <w:rsid w:val="02642712"/>
    <w:rsid w:val="02684ADC"/>
    <w:rsid w:val="026929FF"/>
    <w:rsid w:val="02741132"/>
    <w:rsid w:val="02753A47"/>
    <w:rsid w:val="02765564"/>
    <w:rsid w:val="02780AF0"/>
    <w:rsid w:val="028019EA"/>
    <w:rsid w:val="02812E97"/>
    <w:rsid w:val="02821E35"/>
    <w:rsid w:val="02841FD6"/>
    <w:rsid w:val="02852B18"/>
    <w:rsid w:val="02864A8C"/>
    <w:rsid w:val="028929D7"/>
    <w:rsid w:val="02944328"/>
    <w:rsid w:val="029846C6"/>
    <w:rsid w:val="029C0A8D"/>
    <w:rsid w:val="029D4BA0"/>
    <w:rsid w:val="029D5395"/>
    <w:rsid w:val="029E0760"/>
    <w:rsid w:val="02A45870"/>
    <w:rsid w:val="02A97E39"/>
    <w:rsid w:val="02AA5844"/>
    <w:rsid w:val="02B00F36"/>
    <w:rsid w:val="02B2080C"/>
    <w:rsid w:val="02B31233"/>
    <w:rsid w:val="02C73127"/>
    <w:rsid w:val="02CF15B4"/>
    <w:rsid w:val="02D216A3"/>
    <w:rsid w:val="02D76976"/>
    <w:rsid w:val="02DA579B"/>
    <w:rsid w:val="02DB0CD1"/>
    <w:rsid w:val="02E56E19"/>
    <w:rsid w:val="02EC497A"/>
    <w:rsid w:val="02F91570"/>
    <w:rsid w:val="0300178C"/>
    <w:rsid w:val="030D37B4"/>
    <w:rsid w:val="030F46AB"/>
    <w:rsid w:val="03123DBB"/>
    <w:rsid w:val="03162269"/>
    <w:rsid w:val="03195E19"/>
    <w:rsid w:val="031C6EA7"/>
    <w:rsid w:val="032230E7"/>
    <w:rsid w:val="032D34EA"/>
    <w:rsid w:val="032E4E5D"/>
    <w:rsid w:val="03317BB0"/>
    <w:rsid w:val="033D06FF"/>
    <w:rsid w:val="033E169C"/>
    <w:rsid w:val="034304B3"/>
    <w:rsid w:val="0348207E"/>
    <w:rsid w:val="034C1280"/>
    <w:rsid w:val="036217F0"/>
    <w:rsid w:val="03693BA0"/>
    <w:rsid w:val="03696B55"/>
    <w:rsid w:val="036C3A77"/>
    <w:rsid w:val="036D0DF1"/>
    <w:rsid w:val="03760E31"/>
    <w:rsid w:val="037E4DC6"/>
    <w:rsid w:val="038E59CF"/>
    <w:rsid w:val="03923E62"/>
    <w:rsid w:val="03AB7667"/>
    <w:rsid w:val="03AB7AAA"/>
    <w:rsid w:val="03B0557C"/>
    <w:rsid w:val="03B150BB"/>
    <w:rsid w:val="03BC0233"/>
    <w:rsid w:val="03C1141D"/>
    <w:rsid w:val="03C64AC6"/>
    <w:rsid w:val="03C92471"/>
    <w:rsid w:val="03D52764"/>
    <w:rsid w:val="03E17A89"/>
    <w:rsid w:val="03E728AA"/>
    <w:rsid w:val="03EA4BA4"/>
    <w:rsid w:val="03EC4730"/>
    <w:rsid w:val="03ED664A"/>
    <w:rsid w:val="03F7231F"/>
    <w:rsid w:val="03FB14E6"/>
    <w:rsid w:val="03FC6836"/>
    <w:rsid w:val="04033C4C"/>
    <w:rsid w:val="04054E11"/>
    <w:rsid w:val="040A123A"/>
    <w:rsid w:val="040E10F8"/>
    <w:rsid w:val="04106F30"/>
    <w:rsid w:val="04155375"/>
    <w:rsid w:val="041B5998"/>
    <w:rsid w:val="041E2B0D"/>
    <w:rsid w:val="04215A9D"/>
    <w:rsid w:val="04221DAE"/>
    <w:rsid w:val="04264179"/>
    <w:rsid w:val="042B0CF7"/>
    <w:rsid w:val="042C5365"/>
    <w:rsid w:val="042E67FE"/>
    <w:rsid w:val="043208F6"/>
    <w:rsid w:val="043246F1"/>
    <w:rsid w:val="04345556"/>
    <w:rsid w:val="043574FF"/>
    <w:rsid w:val="043764FF"/>
    <w:rsid w:val="04377CEF"/>
    <w:rsid w:val="043E6ABC"/>
    <w:rsid w:val="04445BE7"/>
    <w:rsid w:val="04467DFA"/>
    <w:rsid w:val="04485B14"/>
    <w:rsid w:val="044B40E0"/>
    <w:rsid w:val="04544D8E"/>
    <w:rsid w:val="045627EF"/>
    <w:rsid w:val="045A4E62"/>
    <w:rsid w:val="045D1DDD"/>
    <w:rsid w:val="045E65B9"/>
    <w:rsid w:val="046019C4"/>
    <w:rsid w:val="04606071"/>
    <w:rsid w:val="04635920"/>
    <w:rsid w:val="046F14B5"/>
    <w:rsid w:val="047A5FD3"/>
    <w:rsid w:val="04820542"/>
    <w:rsid w:val="0483554C"/>
    <w:rsid w:val="04880FE2"/>
    <w:rsid w:val="048F6651"/>
    <w:rsid w:val="04976D78"/>
    <w:rsid w:val="04986269"/>
    <w:rsid w:val="049A72A5"/>
    <w:rsid w:val="049B2FB3"/>
    <w:rsid w:val="049E0F81"/>
    <w:rsid w:val="04A20083"/>
    <w:rsid w:val="04A67832"/>
    <w:rsid w:val="04AB6E9E"/>
    <w:rsid w:val="04AE3978"/>
    <w:rsid w:val="04B42AD5"/>
    <w:rsid w:val="04B81B24"/>
    <w:rsid w:val="04BD5452"/>
    <w:rsid w:val="04BE0757"/>
    <w:rsid w:val="04C4684B"/>
    <w:rsid w:val="04C53ADC"/>
    <w:rsid w:val="04D614AC"/>
    <w:rsid w:val="04DA0012"/>
    <w:rsid w:val="04DB7865"/>
    <w:rsid w:val="04DE1A2F"/>
    <w:rsid w:val="04E0758D"/>
    <w:rsid w:val="04E272FD"/>
    <w:rsid w:val="04E9536D"/>
    <w:rsid w:val="04F54E15"/>
    <w:rsid w:val="050722F0"/>
    <w:rsid w:val="050A2F73"/>
    <w:rsid w:val="050B3CB8"/>
    <w:rsid w:val="050D5D58"/>
    <w:rsid w:val="051246F2"/>
    <w:rsid w:val="05193E9D"/>
    <w:rsid w:val="051B639E"/>
    <w:rsid w:val="052462E0"/>
    <w:rsid w:val="052630E1"/>
    <w:rsid w:val="052D5DB9"/>
    <w:rsid w:val="05330036"/>
    <w:rsid w:val="0539426F"/>
    <w:rsid w:val="05400038"/>
    <w:rsid w:val="05401E50"/>
    <w:rsid w:val="05546DC6"/>
    <w:rsid w:val="055B528B"/>
    <w:rsid w:val="055E1C10"/>
    <w:rsid w:val="05670FDF"/>
    <w:rsid w:val="05674812"/>
    <w:rsid w:val="05697BDD"/>
    <w:rsid w:val="057144B6"/>
    <w:rsid w:val="05764C91"/>
    <w:rsid w:val="057659CD"/>
    <w:rsid w:val="057725A4"/>
    <w:rsid w:val="057C4684"/>
    <w:rsid w:val="057E4D94"/>
    <w:rsid w:val="058A3562"/>
    <w:rsid w:val="058C2F88"/>
    <w:rsid w:val="058F44B3"/>
    <w:rsid w:val="059B3140"/>
    <w:rsid w:val="05A22EF1"/>
    <w:rsid w:val="05A62BEE"/>
    <w:rsid w:val="05AC5838"/>
    <w:rsid w:val="05AF2800"/>
    <w:rsid w:val="05B11D69"/>
    <w:rsid w:val="05B5222B"/>
    <w:rsid w:val="05CD5002"/>
    <w:rsid w:val="05D2045C"/>
    <w:rsid w:val="05D23942"/>
    <w:rsid w:val="05DC4B85"/>
    <w:rsid w:val="05EA314B"/>
    <w:rsid w:val="05EC5E79"/>
    <w:rsid w:val="05F214AD"/>
    <w:rsid w:val="05F369E0"/>
    <w:rsid w:val="05F576F1"/>
    <w:rsid w:val="05F84048"/>
    <w:rsid w:val="05FB1A1D"/>
    <w:rsid w:val="05FB4763"/>
    <w:rsid w:val="061244FF"/>
    <w:rsid w:val="06152582"/>
    <w:rsid w:val="06152BE0"/>
    <w:rsid w:val="062055CC"/>
    <w:rsid w:val="06227480"/>
    <w:rsid w:val="062D43F2"/>
    <w:rsid w:val="063652C9"/>
    <w:rsid w:val="063D4774"/>
    <w:rsid w:val="064051AF"/>
    <w:rsid w:val="0645130F"/>
    <w:rsid w:val="06495B9C"/>
    <w:rsid w:val="064D6F2A"/>
    <w:rsid w:val="065B37F7"/>
    <w:rsid w:val="065E2CDF"/>
    <w:rsid w:val="066126D8"/>
    <w:rsid w:val="066A7983"/>
    <w:rsid w:val="066E3B5B"/>
    <w:rsid w:val="066F4091"/>
    <w:rsid w:val="06744F0B"/>
    <w:rsid w:val="06765ECC"/>
    <w:rsid w:val="06773814"/>
    <w:rsid w:val="067D32E7"/>
    <w:rsid w:val="067E78B8"/>
    <w:rsid w:val="06841E15"/>
    <w:rsid w:val="06870468"/>
    <w:rsid w:val="06880D1A"/>
    <w:rsid w:val="06915871"/>
    <w:rsid w:val="069D477F"/>
    <w:rsid w:val="06B83EB8"/>
    <w:rsid w:val="06BA2743"/>
    <w:rsid w:val="06C919E2"/>
    <w:rsid w:val="06CD662A"/>
    <w:rsid w:val="06D82D0C"/>
    <w:rsid w:val="06F95EB7"/>
    <w:rsid w:val="06FB7859"/>
    <w:rsid w:val="07034C4E"/>
    <w:rsid w:val="070B7325"/>
    <w:rsid w:val="070E0A14"/>
    <w:rsid w:val="070F65B7"/>
    <w:rsid w:val="07135894"/>
    <w:rsid w:val="07165E14"/>
    <w:rsid w:val="071F5CB8"/>
    <w:rsid w:val="07210F00"/>
    <w:rsid w:val="0725591D"/>
    <w:rsid w:val="0726335A"/>
    <w:rsid w:val="072F5DE7"/>
    <w:rsid w:val="07347E2A"/>
    <w:rsid w:val="07370B4E"/>
    <w:rsid w:val="073929E1"/>
    <w:rsid w:val="073B616A"/>
    <w:rsid w:val="07404A88"/>
    <w:rsid w:val="07445228"/>
    <w:rsid w:val="07590FFD"/>
    <w:rsid w:val="075A37A4"/>
    <w:rsid w:val="075C4ABB"/>
    <w:rsid w:val="075C73CF"/>
    <w:rsid w:val="075E5A7C"/>
    <w:rsid w:val="0763016B"/>
    <w:rsid w:val="07642198"/>
    <w:rsid w:val="07662C4A"/>
    <w:rsid w:val="076A19CB"/>
    <w:rsid w:val="076B6BC4"/>
    <w:rsid w:val="07704B23"/>
    <w:rsid w:val="07714D95"/>
    <w:rsid w:val="07720AC5"/>
    <w:rsid w:val="07813D13"/>
    <w:rsid w:val="0781765F"/>
    <w:rsid w:val="078866A6"/>
    <w:rsid w:val="079024B1"/>
    <w:rsid w:val="07905F07"/>
    <w:rsid w:val="079074EE"/>
    <w:rsid w:val="079741CE"/>
    <w:rsid w:val="079B1429"/>
    <w:rsid w:val="079B61E0"/>
    <w:rsid w:val="07A226FC"/>
    <w:rsid w:val="07A5357C"/>
    <w:rsid w:val="07A73BDF"/>
    <w:rsid w:val="07BB4B08"/>
    <w:rsid w:val="07BD1E9A"/>
    <w:rsid w:val="07BE5114"/>
    <w:rsid w:val="07C13547"/>
    <w:rsid w:val="07C35B86"/>
    <w:rsid w:val="07D85205"/>
    <w:rsid w:val="07D96E2E"/>
    <w:rsid w:val="07E35100"/>
    <w:rsid w:val="07E95875"/>
    <w:rsid w:val="07EC5CC2"/>
    <w:rsid w:val="07EE1D3D"/>
    <w:rsid w:val="07F12F62"/>
    <w:rsid w:val="07FF6DD7"/>
    <w:rsid w:val="07FF72B0"/>
    <w:rsid w:val="080C1998"/>
    <w:rsid w:val="081A772A"/>
    <w:rsid w:val="081C5042"/>
    <w:rsid w:val="081C5108"/>
    <w:rsid w:val="08201382"/>
    <w:rsid w:val="08240BDC"/>
    <w:rsid w:val="08264DB2"/>
    <w:rsid w:val="082C388F"/>
    <w:rsid w:val="082D2FF0"/>
    <w:rsid w:val="08376B76"/>
    <w:rsid w:val="083A3240"/>
    <w:rsid w:val="08424F0D"/>
    <w:rsid w:val="08473081"/>
    <w:rsid w:val="08557604"/>
    <w:rsid w:val="086A32A8"/>
    <w:rsid w:val="086D2AA0"/>
    <w:rsid w:val="08742405"/>
    <w:rsid w:val="08765A6D"/>
    <w:rsid w:val="087A4B2B"/>
    <w:rsid w:val="087D3F16"/>
    <w:rsid w:val="087E15EB"/>
    <w:rsid w:val="087E53F0"/>
    <w:rsid w:val="08847771"/>
    <w:rsid w:val="0886295E"/>
    <w:rsid w:val="0889281E"/>
    <w:rsid w:val="08961C7C"/>
    <w:rsid w:val="089632E0"/>
    <w:rsid w:val="08963464"/>
    <w:rsid w:val="08972F54"/>
    <w:rsid w:val="089F427A"/>
    <w:rsid w:val="08A049AA"/>
    <w:rsid w:val="08A07814"/>
    <w:rsid w:val="08A108EB"/>
    <w:rsid w:val="08AA55B3"/>
    <w:rsid w:val="08AA56AD"/>
    <w:rsid w:val="08AD0B26"/>
    <w:rsid w:val="08B71D4D"/>
    <w:rsid w:val="08B9051D"/>
    <w:rsid w:val="08BF180E"/>
    <w:rsid w:val="08C23F6A"/>
    <w:rsid w:val="08C403D6"/>
    <w:rsid w:val="08C519FE"/>
    <w:rsid w:val="08CD4BF0"/>
    <w:rsid w:val="08DC0611"/>
    <w:rsid w:val="08DC5765"/>
    <w:rsid w:val="08DF0236"/>
    <w:rsid w:val="08EE2A41"/>
    <w:rsid w:val="08EF7014"/>
    <w:rsid w:val="08F17241"/>
    <w:rsid w:val="08F77472"/>
    <w:rsid w:val="09021537"/>
    <w:rsid w:val="090B71AD"/>
    <w:rsid w:val="090C215C"/>
    <w:rsid w:val="09112417"/>
    <w:rsid w:val="09145A85"/>
    <w:rsid w:val="091A69D1"/>
    <w:rsid w:val="091F1B26"/>
    <w:rsid w:val="091F3897"/>
    <w:rsid w:val="09201FCC"/>
    <w:rsid w:val="09357494"/>
    <w:rsid w:val="09383D53"/>
    <w:rsid w:val="093F47C2"/>
    <w:rsid w:val="09465FFE"/>
    <w:rsid w:val="094C2617"/>
    <w:rsid w:val="094E30C3"/>
    <w:rsid w:val="094F2E2D"/>
    <w:rsid w:val="095255EA"/>
    <w:rsid w:val="095557D8"/>
    <w:rsid w:val="095C5555"/>
    <w:rsid w:val="095D7FA2"/>
    <w:rsid w:val="09601534"/>
    <w:rsid w:val="09656B8A"/>
    <w:rsid w:val="096F5659"/>
    <w:rsid w:val="09716FB7"/>
    <w:rsid w:val="09725C26"/>
    <w:rsid w:val="0975766F"/>
    <w:rsid w:val="097C74D3"/>
    <w:rsid w:val="09802DC4"/>
    <w:rsid w:val="09822470"/>
    <w:rsid w:val="09855B98"/>
    <w:rsid w:val="09857D5C"/>
    <w:rsid w:val="098E0C5F"/>
    <w:rsid w:val="09915997"/>
    <w:rsid w:val="0994160E"/>
    <w:rsid w:val="099E1FE5"/>
    <w:rsid w:val="09A879BA"/>
    <w:rsid w:val="09AC453A"/>
    <w:rsid w:val="09B100D4"/>
    <w:rsid w:val="09B11572"/>
    <w:rsid w:val="09B32CE3"/>
    <w:rsid w:val="09B337FB"/>
    <w:rsid w:val="09B430BC"/>
    <w:rsid w:val="09B81388"/>
    <w:rsid w:val="09BA2A07"/>
    <w:rsid w:val="09BC7128"/>
    <w:rsid w:val="09BE05E5"/>
    <w:rsid w:val="09C55C00"/>
    <w:rsid w:val="09CA14BF"/>
    <w:rsid w:val="09CD4762"/>
    <w:rsid w:val="09D22B16"/>
    <w:rsid w:val="09D26FED"/>
    <w:rsid w:val="09D716F6"/>
    <w:rsid w:val="09DF7B4F"/>
    <w:rsid w:val="09EB43E8"/>
    <w:rsid w:val="09EC1535"/>
    <w:rsid w:val="09ED2CE6"/>
    <w:rsid w:val="09F26A85"/>
    <w:rsid w:val="09F33C67"/>
    <w:rsid w:val="09F55EB0"/>
    <w:rsid w:val="09F65A8D"/>
    <w:rsid w:val="09FC0DF7"/>
    <w:rsid w:val="09FF2321"/>
    <w:rsid w:val="0A0A232E"/>
    <w:rsid w:val="0A12018D"/>
    <w:rsid w:val="0A136112"/>
    <w:rsid w:val="0A171B56"/>
    <w:rsid w:val="0A195F44"/>
    <w:rsid w:val="0A1A127C"/>
    <w:rsid w:val="0A1A6B97"/>
    <w:rsid w:val="0A1A72AB"/>
    <w:rsid w:val="0A213C45"/>
    <w:rsid w:val="0A291AB4"/>
    <w:rsid w:val="0A2B0A95"/>
    <w:rsid w:val="0A2E0D31"/>
    <w:rsid w:val="0A321F23"/>
    <w:rsid w:val="0A344D9C"/>
    <w:rsid w:val="0A3F0BAA"/>
    <w:rsid w:val="0A3F3418"/>
    <w:rsid w:val="0A447792"/>
    <w:rsid w:val="0A4D33CC"/>
    <w:rsid w:val="0A4E24EB"/>
    <w:rsid w:val="0A5015C0"/>
    <w:rsid w:val="0A5A6246"/>
    <w:rsid w:val="0A5C7034"/>
    <w:rsid w:val="0A5E552E"/>
    <w:rsid w:val="0A642C4E"/>
    <w:rsid w:val="0A681C77"/>
    <w:rsid w:val="0A6D3A51"/>
    <w:rsid w:val="0A7667F8"/>
    <w:rsid w:val="0A7B1A81"/>
    <w:rsid w:val="0A7C3F14"/>
    <w:rsid w:val="0A7C4B3A"/>
    <w:rsid w:val="0A7C6E67"/>
    <w:rsid w:val="0A7F3849"/>
    <w:rsid w:val="0A7F4E1A"/>
    <w:rsid w:val="0A864007"/>
    <w:rsid w:val="0A8835CA"/>
    <w:rsid w:val="0A8918CF"/>
    <w:rsid w:val="0A8A5454"/>
    <w:rsid w:val="0A98196C"/>
    <w:rsid w:val="0AB0147D"/>
    <w:rsid w:val="0AB17854"/>
    <w:rsid w:val="0AB45E1D"/>
    <w:rsid w:val="0AB716C1"/>
    <w:rsid w:val="0ABE74F8"/>
    <w:rsid w:val="0AC91E78"/>
    <w:rsid w:val="0ACE710C"/>
    <w:rsid w:val="0AD36030"/>
    <w:rsid w:val="0AD82DCC"/>
    <w:rsid w:val="0AD944FB"/>
    <w:rsid w:val="0ADA4704"/>
    <w:rsid w:val="0ADF2F76"/>
    <w:rsid w:val="0ADF5B83"/>
    <w:rsid w:val="0AE555EF"/>
    <w:rsid w:val="0AE823A1"/>
    <w:rsid w:val="0AEA6119"/>
    <w:rsid w:val="0AEB08EA"/>
    <w:rsid w:val="0AEB33A4"/>
    <w:rsid w:val="0AF0666D"/>
    <w:rsid w:val="0AF7161C"/>
    <w:rsid w:val="0AFB6DC4"/>
    <w:rsid w:val="0B0530CE"/>
    <w:rsid w:val="0B080BFA"/>
    <w:rsid w:val="0B0C21FE"/>
    <w:rsid w:val="0B111681"/>
    <w:rsid w:val="0B1D1FED"/>
    <w:rsid w:val="0B1D4924"/>
    <w:rsid w:val="0B1D5169"/>
    <w:rsid w:val="0B2C3FFC"/>
    <w:rsid w:val="0B2F43C1"/>
    <w:rsid w:val="0B3319E5"/>
    <w:rsid w:val="0B46000A"/>
    <w:rsid w:val="0B485ABB"/>
    <w:rsid w:val="0B493CC1"/>
    <w:rsid w:val="0B54614B"/>
    <w:rsid w:val="0B576CE6"/>
    <w:rsid w:val="0B5908F0"/>
    <w:rsid w:val="0B5915E4"/>
    <w:rsid w:val="0B5A3920"/>
    <w:rsid w:val="0B5C1273"/>
    <w:rsid w:val="0B5F779C"/>
    <w:rsid w:val="0B6B5C84"/>
    <w:rsid w:val="0B6D7A5C"/>
    <w:rsid w:val="0B803A9F"/>
    <w:rsid w:val="0B8767DF"/>
    <w:rsid w:val="0B880167"/>
    <w:rsid w:val="0B9152AD"/>
    <w:rsid w:val="0B934F25"/>
    <w:rsid w:val="0B9E5216"/>
    <w:rsid w:val="0BA25877"/>
    <w:rsid w:val="0BA52CC8"/>
    <w:rsid w:val="0BAE2E65"/>
    <w:rsid w:val="0BB42A98"/>
    <w:rsid w:val="0BB93DD6"/>
    <w:rsid w:val="0BBA23F8"/>
    <w:rsid w:val="0BBF62E0"/>
    <w:rsid w:val="0BCA5E39"/>
    <w:rsid w:val="0BD23993"/>
    <w:rsid w:val="0BDA4FB2"/>
    <w:rsid w:val="0BDB2ECD"/>
    <w:rsid w:val="0BE120E4"/>
    <w:rsid w:val="0BE203D8"/>
    <w:rsid w:val="0BED00BE"/>
    <w:rsid w:val="0BEF72B5"/>
    <w:rsid w:val="0BF06DC8"/>
    <w:rsid w:val="0BF42F22"/>
    <w:rsid w:val="0BF560A1"/>
    <w:rsid w:val="0BFA7DC4"/>
    <w:rsid w:val="0BFC7550"/>
    <w:rsid w:val="0BFD0CEA"/>
    <w:rsid w:val="0C004E08"/>
    <w:rsid w:val="0C0347C6"/>
    <w:rsid w:val="0C1252B8"/>
    <w:rsid w:val="0C13546F"/>
    <w:rsid w:val="0C1A263B"/>
    <w:rsid w:val="0C25261E"/>
    <w:rsid w:val="0C351258"/>
    <w:rsid w:val="0C3B0B20"/>
    <w:rsid w:val="0C456F05"/>
    <w:rsid w:val="0C491C97"/>
    <w:rsid w:val="0C4B4CA5"/>
    <w:rsid w:val="0C4D5ABB"/>
    <w:rsid w:val="0C54071C"/>
    <w:rsid w:val="0C574E5C"/>
    <w:rsid w:val="0C5B610C"/>
    <w:rsid w:val="0C5D15DD"/>
    <w:rsid w:val="0C5F7ECC"/>
    <w:rsid w:val="0C61219C"/>
    <w:rsid w:val="0C6E6B7E"/>
    <w:rsid w:val="0C7149B7"/>
    <w:rsid w:val="0C725493"/>
    <w:rsid w:val="0C756BE5"/>
    <w:rsid w:val="0C7B4279"/>
    <w:rsid w:val="0C7C495F"/>
    <w:rsid w:val="0C834D41"/>
    <w:rsid w:val="0C8750D4"/>
    <w:rsid w:val="0C8C4E57"/>
    <w:rsid w:val="0C9329A9"/>
    <w:rsid w:val="0C94372D"/>
    <w:rsid w:val="0C9D6727"/>
    <w:rsid w:val="0CA23D2E"/>
    <w:rsid w:val="0CAC7FC3"/>
    <w:rsid w:val="0CAD25CA"/>
    <w:rsid w:val="0CB1014F"/>
    <w:rsid w:val="0CB22A03"/>
    <w:rsid w:val="0CB7322C"/>
    <w:rsid w:val="0CBF0FC2"/>
    <w:rsid w:val="0CC021F8"/>
    <w:rsid w:val="0CC76AA1"/>
    <w:rsid w:val="0CCB4B76"/>
    <w:rsid w:val="0CD448AA"/>
    <w:rsid w:val="0CD7152C"/>
    <w:rsid w:val="0CDA4913"/>
    <w:rsid w:val="0CDE4DB6"/>
    <w:rsid w:val="0CE83127"/>
    <w:rsid w:val="0CF05C95"/>
    <w:rsid w:val="0CF0602C"/>
    <w:rsid w:val="0CF07A21"/>
    <w:rsid w:val="0CF3194A"/>
    <w:rsid w:val="0CF400AE"/>
    <w:rsid w:val="0CFA2BE9"/>
    <w:rsid w:val="0CFD42F6"/>
    <w:rsid w:val="0D03386E"/>
    <w:rsid w:val="0D0357FD"/>
    <w:rsid w:val="0D0479CE"/>
    <w:rsid w:val="0D055E72"/>
    <w:rsid w:val="0D092A82"/>
    <w:rsid w:val="0D0B5FCB"/>
    <w:rsid w:val="0D0F69E0"/>
    <w:rsid w:val="0D117D19"/>
    <w:rsid w:val="0D1459B6"/>
    <w:rsid w:val="0D187236"/>
    <w:rsid w:val="0D1D1585"/>
    <w:rsid w:val="0D206EBE"/>
    <w:rsid w:val="0D2A054E"/>
    <w:rsid w:val="0D3421EA"/>
    <w:rsid w:val="0D3607D1"/>
    <w:rsid w:val="0D37771C"/>
    <w:rsid w:val="0D3A599E"/>
    <w:rsid w:val="0D4760ED"/>
    <w:rsid w:val="0D496C1A"/>
    <w:rsid w:val="0D524C04"/>
    <w:rsid w:val="0D55018F"/>
    <w:rsid w:val="0D5A6787"/>
    <w:rsid w:val="0D617EE4"/>
    <w:rsid w:val="0D626750"/>
    <w:rsid w:val="0D677473"/>
    <w:rsid w:val="0D6B4430"/>
    <w:rsid w:val="0D731D24"/>
    <w:rsid w:val="0D737D94"/>
    <w:rsid w:val="0D766078"/>
    <w:rsid w:val="0D7B6AEB"/>
    <w:rsid w:val="0D92609D"/>
    <w:rsid w:val="0D941999"/>
    <w:rsid w:val="0D97788C"/>
    <w:rsid w:val="0D98262C"/>
    <w:rsid w:val="0D9C14DE"/>
    <w:rsid w:val="0DA156AD"/>
    <w:rsid w:val="0DAA69AC"/>
    <w:rsid w:val="0DB51D20"/>
    <w:rsid w:val="0DB77621"/>
    <w:rsid w:val="0DBB05F2"/>
    <w:rsid w:val="0DBD08BA"/>
    <w:rsid w:val="0DBE6E6C"/>
    <w:rsid w:val="0DC7763F"/>
    <w:rsid w:val="0DC81A32"/>
    <w:rsid w:val="0DD173B5"/>
    <w:rsid w:val="0DD25688"/>
    <w:rsid w:val="0DD70E2A"/>
    <w:rsid w:val="0DD76452"/>
    <w:rsid w:val="0DDD6667"/>
    <w:rsid w:val="0DDE42CC"/>
    <w:rsid w:val="0DDF0BBD"/>
    <w:rsid w:val="0DE74444"/>
    <w:rsid w:val="0DEF4E3A"/>
    <w:rsid w:val="0DF3318A"/>
    <w:rsid w:val="0DF358A2"/>
    <w:rsid w:val="0DF71D97"/>
    <w:rsid w:val="0DF81EF2"/>
    <w:rsid w:val="0DF92A65"/>
    <w:rsid w:val="0DFC18D3"/>
    <w:rsid w:val="0E061020"/>
    <w:rsid w:val="0E127AF3"/>
    <w:rsid w:val="0E1B73A6"/>
    <w:rsid w:val="0E1C5D3B"/>
    <w:rsid w:val="0E2951F8"/>
    <w:rsid w:val="0E2A248B"/>
    <w:rsid w:val="0E32731C"/>
    <w:rsid w:val="0E400AD0"/>
    <w:rsid w:val="0E450FDD"/>
    <w:rsid w:val="0E4752A3"/>
    <w:rsid w:val="0E4E0138"/>
    <w:rsid w:val="0E4E59FB"/>
    <w:rsid w:val="0E50148D"/>
    <w:rsid w:val="0E591509"/>
    <w:rsid w:val="0E6242D6"/>
    <w:rsid w:val="0E6374D0"/>
    <w:rsid w:val="0E654CA2"/>
    <w:rsid w:val="0E6D1F11"/>
    <w:rsid w:val="0E724FAF"/>
    <w:rsid w:val="0E763E5C"/>
    <w:rsid w:val="0E7F0BAE"/>
    <w:rsid w:val="0E7F34BF"/>
    <w:rsid w:val="0E853552"/>
    <w:rsid w:val="0E923C5C"/>
    <w:rsid w:val="0E9306B0"/>
    <w:rsid w:val="0EA41055"/>
    <w:rsid w:val="0EB04559"/>
    <w:rsid w:val="0EB57D69"/>
    <w:rsid w:val="0EBE3801"/>
    <w:rsid w:val="0EC44CEE"/>
    <w:rsid w:val="0EC451B5"/>
    <w:rsid w:val="0ECF0454"/>
    <w:rsid w:val="0ECF7303"/>
    <w:rsid w:val="0ED01DB7"/>
    <w:rsid w:val="0ED63507"/>
    <w:rsid w:val="0EE439FF"/>
    <w:rsid w:val="0EEA240A"/>
    <w:rsid w:val="0EFD3824"/>
    <w:rsid w:val="0F0A1F87"/>
    <w:rsid w:val="0F0C683A"/>
    <w:rsid w:val="0F191FB1"/>
    <w:rsid w:val="0F1A6774"/>
    <w:rsid w:val="0F1B0671"/>
    <w:rsid w:val="0F216A55"/>
    <w:rsid w:val="0F24476B"/>
    <w:rsid w:val="0F264E86"/>
    <w:rsid w:val="0F295CA3"/>
    <w:rsid w:val="0F2B67C5"/>
    <w:rsid w:val="0F2E206D"/>
    <w:rsid w:val="0F2F753B"/>
    <w:rsid w:val="0F400945"/>
    <w:rsid w:val="0F425F71"/>
    <w:rsid w:val="0F43459E"/>
    <w:rsid w:val="0F46104C"/>
    <w:rsid w:val="0F4F1795"/>
    <w:rsid w:val="0F502ED4"/>
    <w:rsid w:val="0F523595"/>
    <w:rsid w:val="0F544B1D"/>
    <w:rsid w:val="0F580032"/>
    <w:rsid w:val="0F590A0D"/>
    <w:rsid w:val="0F67618C"/>
    <w:rsid w:val="0F6960FC"/>
    <w:rsid w:val="0F6E4466"/>
    <w:rsid w:val="0F77783A"/>
    <w:rsid w:val="0F7E6A43"/>
    <w:rsid w:val="0F836EA1"/>
    <w:rsid w:val="0F85182E"/>
    <w:rsid w:val="0F880B5D"/>
    <w:rsid w:val="0F8B630C"/>
    <w:rsid w:val="0F8F7D4D"/>
    <w:rsid w:val="0F905D86"/>
    <w:rsid w:val="0F956BFA"/>
    <w:rsid w:val="0F97532B"/>
    <w:rsid w:val="0F984736"/>
    <w:rsid w:val="0F990943"/>
    <w:rsid w:val="0F9C2021"/>
    <w:rsid w:val="0FA3414D"/>
    <w:rsid w:val="0FAC2710"/>
    <w:rsid w:val="0FB545CC"/>
    <w:rsid w:val="0FBD794B"/>
    <w:rsid w:val="0FBE10B7"/>
    <w:rsid w:val="0FBF12E3"/>
    <w:rsid w:val="0FC43A7B"/>
    <w:rsid w:val="0FC843D4"/>
    <w:rsid w:val="0FC9038F"/>
    <w:rsid w:val="0FCF428C"/>
    <w:rsid w:val="0FD3408F"/>
    <w:rsid w:val="0FD43C0D"/>
    <w:rsid w:val="0FD913F3"/>
    <w:rsid w:val="0FDC46C6"/>
    <w:rsid w:val="0FDD0C5B"/>
    <w:rsid w:val="0FE27D63"/>
    <w:rsid w:val="0FF0600C"/>
    <w:rsid w:val="0FF15CB4"/>
    <w:rsid w:val="0FF6227E"/>
    <w:rsid w:val="0FF90BC3"/>
    <w:rsid w:val="10037C35"/>
    <w:rsid w:val="1005628F"/>
    <w:rsid w:val="101022C9"/>
    <w:rsid w:val="101314AD"/>
    <w:rsid w:val="10131ACF"/>
    <w:rsid w:val="10132487"/>
    <w:rsid w:val="101D4413"/>
    <w:rsid w:val="102747DB"/>
    <w:rsid w:val="102954AE"/>
    <w:rsid w:val="10336A38"/>
    <w:rsid w:val="103C6E58"/>
    <w:rsid w:val="103D2787"/>
    <w:rsid w:val="103D3755"/>
    <w:rsid w:val="103E3E4E"/>
    <w:rsid w:val="103F2E14"/>
    <w:rsid w:val="10402D48"/>
    <w:rsid w:val="10475E1E"/>
    <w:rsid w:val="104760C2"/>
    <w:rsid w:val="1049789D"/>
    <w:rsid w:val="10521636"/>
    <w:rsid w:val="10581AAA"/>
    <w:rsid w:val="105D2E72"/>
    <w:rsid w:val="105F1CD3"/>
    <w:rsid w:val="1063653A"/>
    <w:rsid w:val="106C5B18"/>
    <w:rsid w:val="10741021"/>
    <w:rsid w:val="107923F7"/>
    <w:rsid w:val="10812483"/>
    <w:rsid w:val="10822531"/>
    <w:rsid w:val="10872D04"/>
    <w:rsid w:val="1093634F"/>
    <w:rsid w:val="10966527"/>
    <w:rsid w:val="10A07EBE"/>
    <w:rsid w:val="10A7189E"/>
    <w:rsid w:val="10BA4B9B"/>
    <w:rsid w:val="10BE3E83"/>
    <w:rsid w:val="10BF1568"/>
    <w:rsid w:val="10C04ED0"/>
    <w:rsid w:val="10CB48CF"/>
    <w:rsid w:val="10D0771E"/>
    <w:rsid w:val="10D5298A"/>
    <w:rsid w:val="10E32766"/>
    <w:rsid w:val="10E449A8"/>
    <w:rsid w:val="10ED211B"/>
    <w:rsid w:val="10F422C3"/>
    <w:rsid w:val="10F42CAF"/>
    <w:rsid w:val="10FD6BC9"/>
    <w:rsid w:val="10FF4AF7"/>
    <w:rsid w:val="11056632"/>
    <w:rsid w:val="11071090"/>
    <w:rsid w:val="110E01E1"/>
    <w:rsid w:val="110F71B9"/>
    <w:rsid w:val="111230BC"/>
    <w:rsid w:val="111F1E76"/>
    <w:rsid w:val="11266D9B"/>
    <w:rsid w:val="11283001"/>
    <w:rsid w:val="112F551A"/>
    <w:rsid w:val="11320CF3"/>
    <w:rsid w:val="11337C3D"/>
    <w:rsid w:val="113A19DA"/>
    <w:rsid w:val="113E2879"/>
    <w:rsid w:val="11412247"/>
    <w:rsid w:val="11431F99"/>
    <w:rsid w:val="114524E9"/>
    <w:rsid w:val="114A2659"/>
    <w:rsid w:val="114B2507"/>
    <w:rsid w:val="115637F9"/>
    <w:rsid w:val="115A0206"/>
    <w:rsid w:val="11643E4B"/>
    <w:rsid w:val="11655245"/>
    <w:rsid w:val="1166076F"/>
    <w:rsid w:val="116852C4"/>
    <w:rsid w:val="116E3F0C"/>
    <w:rsid w:val="117A51A2"/>
    <w:rsid w:val="117E214C"/>
    <w:rsid w:val="118033CC"/>
    <w:rsid w:val="11861881"/>
    <w:rsid w:val="11945D15"/>
    <w:rsid w:val="11953524"/>
    <w:rsid w:val="119A3B2A"/>
    <w:rsid w:val="119B0C2D"/>
    <w:rsid w:val="11A21EE1"/>
    <w:rsid w:val="11A437C9"/>
    <w:rsid w:val="11A712C9"/>
    <w:rsid w:val="11A92E63"/>
    <w:rsid w:val="11B10C40"/>
    <w:rsid w:val="11B3214E"/>
    <w:rsid w:val="11B37677"/>
    <w:rsid w:val="11B53847"/>
    <w:rsid w:val="11BB2DE1"/>
    <w:rsid w:val="11BE5871"/>
    <w:rsid w:val="11C806B4"/>
    <w:rsid w:val="11CC1E74"/>
    <w:rsid w:val="11D200EC"/>
    <w:rsid w:val="11D96F5B"/>
    <w:rsid w:val="11DC33C4"/>
    <w:rsid w:val="11E11CBE"/>
    <w:rsid w:val="11E15BFC"/>
    <w:rsid w:val="11E42A46"/>
    <w:rsid w:val="11EA0D4A"/>
    <w:rsid w:val="11F10EBD"/>
    <w:rsid w:val="11FD1C86"/>
    <w:rsid w:val="11FF7AFB"/>
    <w:rsid w:val="12195BC9"/>
    <w:rsid w:val="121B2734"/>
    <w:rsid w:val="121E5F8A"/>
    <w:rsid w:val="121E774F"/>
    <w:rsid w:val="12231B0B"/>
    <w:rsid w:val="1225032B"/>
    <w:rsid w:val="12287BE6"/>
    <w:rsid w:val="12346D0A"/>
    <w:rsid w:val="124041FF"/>
    <w:rsid w:val="12453D63"/>
    <w:rsid w:val="12472DC2"/>
    <w:rsid w:val="12482CF7"/>
    <w:rsid w:val="12502BB8"/>
    <w:rsid w:val="12537346"/>
    <w:rsid w:val="12560FA0"/>
    <w:rsid w:val="1256649A"/>
    <w:rsid w:val="1269031D"/>
    <w:rsid w:val="126A1248"/>
    <w:rsid w:val="1271153C"/>
    <w:rsid w:val="128142AD"/>
    <w:rsid w:val="12857BA5"/>
    <w:rsid w:val="12864CAF"/>
    <w:rsid w:val="128A6BBE"/>
    <w:rsid w:val="129005DB"/>
    <w:rsid w:val="12902869"/>
    <w:rsid w:val="129A6AD0"/>
    <w:rsid w:val="129C13A2"/>
    <w:rsid w:val="12A24E8C"/>
    <w:rsid w:val="12A62212"/>
    <w:rsid w:val="12AB7D9F"/>
    <w:rsid w:val="12AC07C0"/>
    <w:rsid w:val="12B10C97"/>
    <w:rsid w:val="12B46839"/>
    <w:rsid w:val="12BF1227"/>
    <w:rsid w:val="12C5773E"/>
    <w:rsid w:val="12CD177D"/>
    <w:rsid w:val="12D0036B"/>
    <w:rsid w:val="12D4625E"/>
    <w:rsid w:val="12D720AC"/>
    <w:rsid w:val="12DE12FB"/>
    <w:rsid w:val="12E3495A"/>
    <w:rsid w:val="12E36F14"/>
    <w:rsid w:val="12E5114C"/>
    <w:rsid w:val="12E8356E"/>
    <w:rsid w:val="12EF3A60"/>
    <w:rsid w:val="12EF3D4D"/>
    <w:rsid w:val="12F2472B"/>
    <w:rsid w:val="12F5529D"/>
    <w:rsid w:val="12F87679"/>
    <w:rsid w:val="13034369"/>
    <w:rsid w:val="13056599"/>
    <w:rsid w:val="130C7B14"/>
    <w:rsid w:val="131113DC"/>
    <w:rsid w:val="13151215"/>
    <w:rsid w:val="1317100F"/>
    <w:rsid w:val="131B3058"/>
    <w:rsid w:val="131D035C"/>
    <w:rsid w:val="13235125"/>
    <w:rsid w:val="1327477D"/>
    <w:rsid w:val="132C3866"/>
    <w:rsid w:val="133A4434"/>
    <w:rsid w:val="133A770B"/>
    <w:rsid w:val="133B638F"/>
    <w:rsid w:val="13426241"/>
    <w:rsid w:val="13484A2E"/>
    <w:rsid w:val="134E551A"/>
    <w:rsid w:val="135350C1"/>
    <w:rsid w:val="1358546B"/>
    <w:rsid w:val="135F58AD"/>
    <w:rsid w:val="13703016"/>
    <w:rsid w:val="137831E2"/>
    <w:rsid w:val="13802A7C"/>
    <w:rsid w:val="13804D36"/>
    <w:rsid w:val="138C0B0B"/>
    <w:rsid w:val="138F7FD3"/>
    <w:rsid w:val="139445E6"/>
    <w:rsid w:val="139E2BA4"/>
    <w:rsid w:val="13AD0420"/>
    <w:rsid w:val="13B015C5"/>
    <w:rsid w:val="13B223E8"/>
    <w:rsid w:val="13BC0FCA"/>
    <w:rsid w:val="13C7560A"/>
    <w:rsid w:val="13CA04CC"/>
    <w:rsid w:val="13CF79E5"/>
    <w:rsid w:val="13D043DE"/>
    <w:rsid w:val="13D42608"/>
    <w:rsid w:val="13D66D98"/>
    <w:rsid w:val="13D9057D"/>
    <w:rsid w:val="13E3640C"/>
    <w:rsid w:val="13F0790E"/>
    <w:rsid w:val="13F64F55"/>
    <w:rsid w:val="13FB34D7"/>
    <w:rsid w:val="13FB6BCA"/>
    <w:rsid w:val="14002A32"/>
    <w:rsid w:val="1403407B"/>
    <w:rsid w:val="14145793"/>
    <w:rsid w:val="141A49BA"/>
    <w:rsid w:val="142121F7"/>
    <w:rsid w:val="14290C28"/>
    <w:rsid w:val="142B356F"/>
    <w:rsid w:val="142C3A77"/>
    <w:rsid w:val="143513F5"/>
    <w:rsid w:val="1438619F"/>
    <w:rsid w:val="143B3C11"/>
    <w:rsid w:val="143C195C"/>
    <w:rsid w:val="14456D00"/>
    <w:rsid w:val="144977AB"/>
    <w:rsid w:val="144D54AD"/>
    <w:rsid w:val="144E0F24"/>
    <w:rsid w:val="145420EA"/>
    <w:rsid w:val="145738C3"/>
    <w:rsid w:val="146305A2"/>
    <w:rsid w:val="146760E4"/>
    <w:rsid w:val="1468750F"/>
    <w:rsid w:val="1472565D"/>
    <w:rsid w:val="147F2181"/>
    <w:rsid w:val="14801874"/>
    <w:rsid w:val="14827C0B"/>
    <w:rsid w:val="14851DDB"/>
    <w:rsid w:val="1490664E"/>
    <w:rsid w:val="14941AEF"/>
    <w:rsid w:val="1499024E"/>
    <w:rsid w:val="149D263A"/>
    <w:rsid w:val="149E17F9"/>
    <w:rsid w:val="14A57D53"/>
    <w:rsid w:val="14A63FB6"/>
    <w:rsid w:val="14AB5D58"/>
    <w:rsid w:val="14B02EA0"/>
    <w:rsid w:val="14B63D55"/>
    <w:rsid w:val="14B71FE1"/>
    <w:rsid w:val="14B7458B"/>
    <w:rsid w:val="14B9782B"/>
    <w:rsid w:val="14BC363B"/>
    <w:rsid w:val="14C00D10"/>
    <w:rsid w:val="14C421C3"/>
    <w:rsid w:val="14C43081"/>
    <w:rsid w:val="14C839EA"/>
    <w:rsid w:val="14CA0003"/>
    <w:rsid w:val="14CA5AF5"/>
    <w:rsid w:val="14CB5965"/>
    <w:rsid w:val="14D075B1"/>
    <w:rsid w:val="14D541F0"/>
    <w:rsid w:val="14E1485C"/>
    <w:rsid w:val="14E432CC"/>
    <w:rsid w:val="14E97F87"/>
    <w:rsid w:val="14EB57EE"/>
    <w:rsid w:val="14EF2FEA"/>
    <w:rsid w:val="14F6713B"/>
    <w:rsid w:val="14FC5162"/>
    <w:rsid w:val="14FE0A6E"/>
    <w:rsid w:val="150A4946"/>
    <w:rsid w:val="1511145C"/>
    <w:rsid w:val="15141C55"/>
    <w:rsid w:val="151820FC"/>
    <w:rsid w:val="151F3C76"/>
    <w:rsid w:val="15253738"/>
    <w:rsid w:val="15263B70"/>
    <w:rsid w:val="152718A2"/>
    <w:rsid w:val="152823D9"/>
    <w:rsid w:val="15285342"/>
    <w:rsid w:val="152E0791"/>
    <w:rsid w:val="153B160D"/>
    <w:rsid w:val="153D3218"/>
    <w:rsid w:val="15406972"/>
    <w:rsid w:val="15452E48"/>
    <w:rsid w:val="1545383F"/>
    <w:rsid w:val="15476157"/>
    <w:rsid w:val="155120E2"/>
    <w:rsid w:val="1562305B"/>
    <w:rsid w:val="15643486"/>
    <w:rsid w:val="156A32BB"/>
    <w:rsid w:val="156A6B04"/>
    <w:rsid w:val="156E2664"/>
    <w:rsid w:val="156F3275"/>
    <w:rsid w:val="15710833"/>
    <w:rsid w:val="15730235"/>
    <w:rsid w:val="15735052"/>
    <w:rsid w:val="15773139"/>
    <w:rsid w:val="15777290"/>
    <w:rsid w:val="157C3BA6"/>
    <w:rsid w:val="157D344D"/>
    <w:rsid w:val="15857037"/>
    <w:rsid w:val="158C1B2E"/>
    <w:rsid w:val="159530F0"/>
    <w:rsid w:val="159552EC"/>
    <w:rsid w:val="15976CB5"/>
    <w:rsid w:val="159C2095"/>
    <w:rsid w:val="15A346CE"/>
    <w:rsid w:val="15A44DCF"/>
    <w:rsid w:val="15A62974"/>
    <w:rsid w:val="15A6661B"/>
    <w:rsid w:val="15AD515C"/>
    <w:rsid w:val="15B14855"/>
    <w:rsid w:val="15B765B4"/>
    <w:rsid w:val="15B8664D"/>
    <w:rsid w:val="15BB362B"/>
    <w:rsid w:val="15BB6F39"/>
    <w:rsid w:val="15BC34D5"/>
    <w:rsid w:val="15BC4236"/>
    <w:rsid w:val="15C036BA"/>
    <w:rsid w:val="15C46570"/>
    <w:rsid w:val="15C577E2"/>
    <w:rsid w:val="15C6149D"/>
    <w:rsid w:val="15D20B1C"/>
    <w:rsid w:val="15D46340"/>
    <w:rsid w:val="15D66938"/>
    <w:rsid w:val="15DA7ADF"/>
    <w:rsid w:val="15DE5797"/>
    <w:rsid w:val="15EA5320"/>
    <w:rsid w:val="15F4212C"/>
    <w:rsid w:val="15F45A3F"/>
    <w:rsid w:val="15F70ABB"/>
    <w:rsid w:val="160210A2"/>
    <w:rsid w:val="160420E6"/>
    <w:rsid w:val="16044223"/>
    <w:rsid w:val="16045F7E"/>
    <w:rsid w:val="16051371"/>
    <w:rsid w:val="16084D64"/>
    <w:rsid w:val="160A084B"/>
    <w:rsid w:val="160B486B"/>
    <w:rsid w:val="160E268D"/>
    <w:rsid w:val="16117CB1"/>
    <w:rsid w:val="16133A84"/>
    <w:rsid w:val="16141C91"/>
    <w:rsid w:val="1617134E"/>
    <w:rsid w:val="161A52FA"/>
    <w:rsid w:val="16235F5C"/>
    <w:rsid w:val="16256747"/>
    <w:rsid w:val="1627267E"/>
    <w:rsid w:val="1630121D"/>
    <w:rsid w:val="16310253"/>
    <w:rsid w:val="16346FF1"/>
    <w:rsid w:val="16401262"/>
    <w:rsid w:val="1640578E"/>
    <w:rsid w:val="16453E16"/>
    <w:rsid w:val="16456EAB"/>
    <w:rsid w:val="164D6262"/>
    <w:rsid w:val="16524A00"/>
    <w:rsid w:val="165729AF"/>
    <w:rsid w:val="16583AA4"/>
    <w:rsid w:val="165C62C3"/>
    <w:rsid w:val="165D19A0"/>
    <w:rsid w:val="165F1539"/>
    <w:rsid w:val="166174B2"/>
    <w:rsid w:val="166C6FB9"/>
    <w:rsid w:val="16714703"/>
    <w:rsid w:val="1672387C"/>
    <w:rsid w:val="16746B16"/>
    <w:rsid w:val="167A4A97"/>
    <w:rsid w:val="167B192B"/>
    <w:rsid w:val="167D0BD0"/>
    <w:rsid w:val="16830129"/>
    <w:rsid w:val="168542EA"/>
    <w:rsid w:val="1689195E"/>
    <w:rsid w:val="16941F5C"/>
    <w:rsid w:val="16945B5D"/>
    <w:rsid w:val="16966700"/>
    <w:rsid w:val="16987C10"/>
    <w:rsid w:val="169B13F4"/>
    <w:rsid w:val="169B23CB"/>
    <w:rsid w:val="169E24C4"/>
    <w:rsid w:val="16A00117"/>
    <w:rsid w:val="16A04519"/>
    <w:rsid w:val="16A41F23"/>
    <w:rsid w:val="16A60845"/>
    <w:rsid w:val="16A64E9A"/>
    <w:rsid w:val="16AA2E9F"/>
    <w:rsid w:val="16AF2614"/>
    <w:rsid w:val="16B43860"/>
    <w:rsid w:val="16BA4FC2"/>
    <w:rsid w:val="16C12D24"/>
    <w:rsid w:val="16C7613A"/>
    <w:rsid w:val="16C96E22"/>
    <w:rsid w:val="16CF0795"/>
    <w:rsid w:val="16D07FA9"/>
    <w:rsid w:val="16D3086E"/>
    <w:rsid w:val="16DD30BB"/>
    <w:rsid w:val="16DF563B"/>
    <w:rsid w:val="16E06DD7"/>
    <w:rsid w:val="16EC4A13"/>
    <w:rsid w:val="16ED60C1"/>
    <w:rsid w:val="16F101FB"/>
    <w:rsid w:val="16F508B4"/>
    <w:rsid w:val="16FB068A"/>
    <w:rsid w:val="16FE3196"/>
    <w:rsid w:val="17016E68"/>
    <w:rsid w:val="170650EB"/>
    <w:rsid w:val="170727EC"/>
    <w:rsid w:val="17084916"/>
    <w:rsid w:val="170920BB"/>
    <w:rsid w:val="170E2994"/>
    <w:rsid w:val="17135961"/>
    <w:rsid w:val="1714075D"/>
    <w:rsid w:val="17165D04"/>
    <w:rsid w:val="17170B3E"/>
    <w:rsid w:val="171871E5"/>
    <w:rsid w:val="17190FB7"/>
    <w:rsid w:val="171A4A08"/>
    <w:rsid w:val="171F1CC4"/>
    <w:rsid w:val="17243C52"/>
    <w:rsid w:val="172443F6"/>
    <w:rsid w:val="172470E8"/>
    <w:rsid w:val="172513E7"/>
    <w:rsid w:val="17267CC7"/>
    <w:rsid w:val="172B6BAE"/>
    <w:rsid w:val="172D14D7"/>
    <w:rsid w:val="172F6AD0"/>
    <w:rsid w:val="17370F85"/>
    <w:rsid w:val="173B2D13"/>
    <w:rsid w:val="174F469F"/>
    <w:rsid w:val="17534AD3"/>
    <w:rsid w:val="175D126A"/>
    <w:rsid w:val="176072DB"/>
    <w:rsid w:val="176119C9"/>
    <w:rsid w:val="17630983"/>
    <w:rsid w:val="17632659"/>
    <w:rsid w:val="17714DEB"/>
    <w:rsid w:val="177C7D93"/>
    <w:rsid w:val="177D14BC"/>
    <w:rsid w:val="1780598B"/>
    <w:rsid w:val="178B776C"/>
    <w:rsid w:val="17972E49"/>
    <w:rsid w:val="179E4EB1"/>
    <w:rsid w:val="17A15A29"/>
    <w:rsid w:val="17A227EE"/>
    <w:rsid w:val="17A35C43"/>
    <w:rsid w:val="17A8471A"/>
    <w:rsid w:val="17AC2445"/>
    <w:rsid w:val="17BC44EF"/>
    <w:rsid w:val="17C02416"/>
    <w:rsid w:val="17C41728"/>
    <w:rsid w:val="17C42FA3"/>
    <w:rsid w:val="17C60A8A"/>
    <w:rsid w:val="17CA62FA"/>
    <w:rsid w:val="17CC2050"/>
    <w:rsid w:val="17CD0A1D"/>
    <w:rsid w:val="17D16696"/>
    <w:rsid w:val="17D53E31"/>
    <w:rsid w:val="17D656B9"/>
    <w:rsid w:val="17DD7A10"/>
    <w:rsid w:val="17DE51C0"/>
    <w:rsid w:val="17E16A66"/>
    <w:rsid w:val="17FD489A"/>
    <w:rsid w:val="18011504"/>
    <w:rsid w:val="18017B32"/>
    <w:rsid w:val="180A3C85"/>
    <w:rsid w:val="180B3C78"/>
    <w:rsid w:val="181441B3"/>
    <w:rsid w:val="18211B65"/>
    <w:rsid w:val="182179DA"/>
    <w:rsid w:val="18230F02"/>
    <w:rsid w:val="18231FF2"/>
    <w:rsid w:val="182F14E1"/>
    <w:rsid w:val="1830215E"/>
    <w:rsid w:val="18325527"/>
    <w:rsid w:val="18334A4A"/>
    <w:rsid w:val="183C724F"/>
    <w:rsid w:val="184548D7"/>
    <w:rsid w:val="184E58BA"/>
    <w:rsid w:val="18591130"/>
    <w:rsid w:val="185A5824"/>
    <w:rsid w:val="185B2870"/>
    <w:rsid w:val="1868109B"/>
    <w:rsid w:val="1868463C"/>
    <w:rsid w:val="186B0A0B"/>
    <w:rsid w:val="186B1495"/>
    <w:rsid w:val="186C1E67"/>
    <w:rsid w:val="186F12E4"/>
    <w:rsid w:val="18702391"/>
    <w:rsid w:val="18773AA2"/>
    <w:rsid w:val="187C7A8D"/>
    <w:rsid w:val="187E1E4A"/>
    <w:rsid w:val="187F12D7"/>
    <w:rsid w:val="18822638"/>
    <w:rsid w:val="18825C34"/>
    <w:rsid w:val="18894287"/>
    <w:rsid w:val="188A3D77"/>
    <w:rsid w:val="18A8036D"/>
    <w:rsid w:val="18A86AF2"/>
    <w:rsid w:val="18AD75E0"/>
    <w:rsid w:val="18B134BA"/>
    <w:rsid w:val="18C30C16"/>
    <w:rsid w:val="18C36D48"/>
    <w:rsid w:val="18C60299"/>
    <w:rsid w:val="18C70C8C"/>
    <w:rsid w:val="18CD7E13"/>
    <w:rsid w:val="18CE2CD5"/>
    <w:rsid w:val="18D30343"/>
    <w:rsid w:val="18D511CC"/>
    <w:rsid w:val="18DF7C4C"/>
    <w:rsid w:val="18E918A0"/>
    <w:rsid w:val="18F5554D"/>
    <w:rsid w:val="18F8077E"/>
    <w:rsid w:val="18FD29F8"/>
    <w:rsid w:val="18FE54C8"/>
    <w:rsid w:val="18FF43AA"/>
    <w:rsid w:val="19063E77"/>
    <w:rsid w:val="190D25FA"/>
    <w:rsid w:val="19111491"/>
    <w:rsid w:val="19164AD0"/>
    <w:rsid w:val="191C1AE0"/>
    <w:rsid w:val="191E176F"/>
    <w:rsid w:val="19312BE6"/>
    <w:rsid w:val="19393464"/>
    <w:rsid w:val="193E255D"/>
    <w:rsid w:val="19446B04"/>
    <w:rsid w:val="19491087"/>
    <w:rsid w:val="19493529"/>
    <w:rsid w:val="194A015F"/>
    <w:rsid w:val="194C0DB9"/>
    <w:rsid w:val="194C5589"/>
    <w:rsid w:val="19503F69"/>
    <w:rsid w:val="195046DF"/>
    <w:rsid w:val="19580E5A"/>
    <w:rsid w:val="19590507"/>
    <w:rsid w:val="195941E0"/>
    <w:rsid w:val="196A7B32"/>
    <w:rsid w:val="196B6C52"/>
    <w:rsid w:val="196E3B6F"/>
    <w:rsid w:val="1973264F"/>
    <w:rsid w:val="197874D5"/>
    <w:rsid w:val="19840FC9"/>
    <w:rsid w:val="198667D5"/>
    <w:rsid w:val="19900A12"/>
    <w:rsid w:val="199D5D85"/>
    <w:rsid w:val="19A4516F"/>
    <w:rsid w:val="19A5401B"/>
    <w:rsid w:val="19AB3D81"/>
    <w:rsid w:val="19AB6F9A"/>
    <w:rsid w:val="19AC31CF"/>
    <w:rsid w:val="19AE0319"/>
    <w:rsid w:val="19B05475"/>
    <w:rsid w:val="19B849C6"/>
    <w:rsid w:val="19BB4090"/>
    <w:rsid w:val="19BF6CE5"/>
    <w:rsid w:val="19C074E9"/>
    <w:rsid w:val="19C12E57"/>
    <w:rsid w:val="19C911F7"/>
    <w:rsid w:val="19CA52FA"/>
    <w:rsid w:val="19DA1AF8"/>
    <w:rsid w:val="19DA4649"/>
    <w:rsid w:val="19DD598F"/>
    <w:rsid w:val="19DF2E26"/>
    <w:rsid w:val="19E46812"/>
    <w:rsid w:val="19EB61E1"/>
    <w:rsid w:val="19EC1C0D"/>
    <w:rsid w:val="19EE2A02"/>
    <w:rsid w:val="19F61EEA"/>
    <w:rsid w:val="19F86B46"/>
    <w:rsid w:val="19FF16BD"/>
    <w:rsid w:val="1A046B6F"/>
    <w:rsid w:val="1A0E019D"/>
    <w:rsid w:val="1A0E206C"/>
    <w:rsid w:val="1A0F26CD"/>
    <w:rsid w:val="1A1A2C13"/>
    <w:rsid w:val="1A2E6FA4"/>
    <w:rsid w:val="1A30278F"/>
    <w:rsid w:val="1A3416C3"/>
    <w:rsid w:val="1A3975CC"/>
    <w:rsid w:val="1A3F053E"/>
    <w:rsid w:val="1A431508"/>
    <w:rsid w:val="1A4403B1"/>
    <w:rsid w:val="1A4931CF"/>
    <w:rsid w:val="1A4A1472"/>
    <w:rsid w:val="1A4E4344"/>
    <w:rsid w:val="1A543FEE"/>
    <w:rsid w:val="1A5A6471"/>
    <w:rsid w:val="1A615D2C"/>
    <w:rsid w:val="1A645005"/>
    <w:rsid w:val="1A651360"/>
    <w:rsid w:val="1A656C7F"/>
    <w:rsid w:val="1A6819DB"/>
    <w:rsid w:val="1A682F55"/>
    <w:rsid w:val="1A683242"/>
    <w:rsid w:val="1A6D24F4"/>
    <w:rsid w:val="1A766799"/>
    <w:rsid w:val="1A773844"/>
    <w:rsid w:val="1A784FFC"/>
    <w:rsid w:val="1A835077"/>
    <w:rsid w:val="1A8705BD"/>
    <w:rsid w:val="1A8A36DE"/>
    <w:rsid w:val="1A8A5BBE"/>
    <w:rsid w:val="1A8E6762"/>
    <w:rsid w:val="1A9167F4"/>
    <w:rsid w:val="1A9D3061"/>
    <w:rsid w:val="1AA150C3"/>
    <w:rsid w:val="1AA8293E"/>
    <w:rsid w:val="1AAB5A98"/>
    <w:rsid w:val="1AAD6070"/>
    <w:rsid w:val="1AAD72CF"/>
    <w:rsid w:val="1ABB4D29"/>
    <w:rsid w:val="1ABC2FC9"/>
    <w:rsid w:val="1ABC52D7"/>
    <w:rsid w:val="1ABC5B02"/>
    <w:rsid w:val="1ABE58DB"/>
    <w:rsid w:val="1AC34108"/>
    <w:rsid w:val="1AD60CEE"/>
    <w:rsid w:val="1AD81FEC"/>
    <w:rsid w:val="1ADC7B75"/>
    <w:rsid w:val="1AE32EE4"/>
    <w:rsid w:val="1AE6162F"/>
    <w:rsid w:val="1AF02D70"/>
    <w:rsid w:val="1AFB7505"/>
    <w:rsid w:val="1B180B46"/>
    <w:rsid w:val="1B2F4379"/>
    <w:rsid w:val="1B3019B2"/>
    <w:rsid w:val="1B331073"/>
    <w:rsid w:val="1B3322A9"/>
    <w:rsid w:val="1B4C16C2"/>
    <w:rsid w:val="1B591075"/>
    <w:rsid w:val="1B5938DF"/>
    <w:rsid w:val="1B5E2F00"/>
    <w:rsid w:val="1B6569E9"/>
    <w:rsid w:val="1B6E5AF6"/>
    <w:rsid w:val="1B701B63"/>
    <w:rsid w:val="1B772D1B"/>
    <w:rsid w:val="1B782181"/>
    <w:rsid w:val="1B7B3FFB"/>
    <w:rsid w:val="1B901491"/>
    <w:rsid w:val="1B940B1A"/>
    <w:rsid w:val="1B946510"/>
    <w:rsid w:val="1B946832"/>
    <w:rsid w:val="1B94692A"/>
    <w:rsid w:val="1B9671BC"/>
    <w:rsid w:val="1B9674E0"/>
    <w:rsid w:val="1B972F8F"/>
    <w:rsid w:val="1BA00C2D"/>
    <w:rsid w:val="1BA528B6"/>
    <w:rsid w:val="1BA62F91"/>
    <w:rsid w:val="1BA737F4"/>
    <w:rsid w:val="1BAE1F2B"/>
    <w:rsid w:val="1BB01977"/>
    <w:rsid w:val="1BB20186"/>
    <w:rsid w:val="1BB50F28"/>
    <w:rsid w:val="1BB83431"/>
    <w:rsid w:val="1BBC508E"/>
    <w:rsid w:val="1BC07463"/>
    <w:rsid w:val="1BCB3045"/>
    <w:rsid w:val="1BD21D7F"/>
    <w:rsid w:val="1BD33166"/>
    <w:rsid w:val="1BD51290"/>
    <w:rsid w:val="1BD7612E"/>
    <w:rsid w:val="1BDC783A"/>
    <w:rsid w:val="1BDD3E61"/>
    <w:rsid w:val="1BE348E1"/>
    <w:rsid w:val="1BEB51FC"/>
    <w:rsid w:val="1BFC0F15"/>
    <w:rsid w:val="1BFC1091"/>
    <w:rsid w:val="1C086CE7"/>
    <w:rsid w:val="1C0E4077"/>
    <w:rsid w:val="1C101DE0"/>
    <w:rsid w:val="1C1C7F52"/>
    <w:rsid w:val="1C23498D"/>
    <w:rsid w:val="1C236694"/>
    <w:rsid w:val="1C261E70"/>
    <w:rsid w:val="1C2861CC"/>
    <w:rsid w:val="1C4032D9"/>
    <w:rsid w:val="1C4974EA"/>
    <w:rsid w:val="1C4A1B66"/>
    <w:rsid w:val="1C4E5233"/>
    <w:rsid w:val="1C4F23E2"/>
    <w:rsid w:val="1C5B732D"/>
    <w:rsid w:val="1C5F7E60"/>
    <w:rsid w:val="1C647970"/>
    <w:rsid w:val="1C692350"/>
    <w:rsid w:val="1C7851C9"/>
    <w:rsid w:val="1C7C247C"/>
    <w:rsid w:val="1C80074F"/>
    <w:rsid w:val="1C822884"/>
    <w:rsid w:val="1C8362C6"/>
    <w:rsid w:val="1C883252"/>
    <w:rsid w:val="1C8D04A9"/>
    <w:rsid w:val="1C915142"/>
    <w:rsid w:val="1C9E2D64"/>
    <w:rsid w:val="1CA13151"/>
    <w:rsid w:val="1CA74266"/>
    <w:rsid w:val="1CA87BE3"/>
    <w:rsid w:val="1CAA5E71"/>
    <w:rsid w:val="1CB659EF"/>
    <w:rsid w:val="1CBE64D9"/>
    <w:rsid w:val="1CBF188E"/>
    <w:rsid w:val="1CC2057A"/>
    <w:rsid w:val="1CC20CF3"/>
    <w:rsid w:val="1CC43ED7"/>
    <w:rsid w:val="1CC87B17"/>
    <w:rsid w:val="1CC97789"/>
    <w:rsid w:val="1CCC2FEF"/>
    <w:rsid w:val="1CCD2967"/>
    <w:rsid w:val="1CD41678"/>
    <w:rsid w:val="1CD62C15"/>
    <w:rsid w:val="1CDB3B6A"/>
    <w:rsid w:val="1CDD6375"/>
    <w:rsid w:val="1CE24AAF"/>
    <w:rsid w:val="1CE971DA"/>
    <w:rsid w:val="1CF148FD"/>
    <w:rsid w:val="1CF34E6C"/>
    <w:rsid w:val="1CFE7BDE"/>
    <w:rsid w:val="1D0815C2"/>
    <w:rsid w:val="1D10348D"/>
    <w:rsid w:val="1D105B64"/>
    <w:rsid w:val="1D141D89"/>
    <w:rsid w:val="1D185191"/>
    <w:rsid w:val="1D1A4C22"/>
    <w:rsid w:val="1D1B1917"/>
    <w:rsid w:val="1D1D6D80"/>
    <w:rsid w:val="1D286DD3"/>
    <w:rsid w:val="1D2D7080"/>
    <w:rsid w:val="1D2E459D"/>
    <w:rsid w:val="1D35260F"/>
    <w:rsid w:val="1D3869D4"/>
    <w:rsid w:val="1D394009"/>
    <w:rsid w:val="1D4414F9"/>
    <w:rsid w:val="1D457784"/>
    <w:rsid w:val="1D466EE5"/>
    <w:rsid w:val="1D4738FF"/>
    <w:rsid w:val="1D585B30"/>
    <w:rsid w:val="1D6B3310"/>
    <w:rsid w:val="1D740A3B"/>
    <w:rsid w:val="1D772A03"/>
    <w:rsid w:val="1D7E7507"/>
    <w:rsid w:val="1D815388"/>
    <w:rsid w:val="1D815CEC"/>
    <w:rsid w:val="1D843A64"/>
    <w:rsid w:val="1D8932B9"/>
    <w:rsid w:val="1D8B03BC"/>
    <w:rsid w:val="1D8B7AA2"/>
    <w:rsid w:val="1D915A73"/>
    <w:rsid w:val="1D94505A"/>
    <w:rsid w:val="1D9A7AD9"/>
    <w:rsid w:val="1D9D7836"/>
    <w:rsid w:val="1DA2729C"/>
    <w:rsid w:val="1DA66D27"/>
    <w:rsid w:val="1DA6766D"/>
    <w:rsid w:val="1DA86021"/>
    <w:rsid w:val="1DAB4D3C"/>
    <w:rsid w:val="1DB00C15"/>
    <w:rsid w:val="1DB1540A"/>
    <w:rsid w:val="1DB42EED"/>
    <w:rsid w:val="1DB57687"/>
    <w:rsid w:val="1DBA0FC4"/>
    <w:rsid w:val="1DBB1375"/>
    <w:rsid w:val="1DBE1A5C"/>
    <w:rsid w:val="1DBF4ADE"/>
    <w:rsid w:val="1DC124DF"/>
    <w:rsid w:val="1DC80609"/>
    <w:rsid w:val="1DCB3B09"/>
    <w:rsid w:val="1DCB4335"/>
    <w:rsid w:val="1DDC4C26"/>
    <w:rsid w:val="1DE265DE"/>
    <w:rsid w:val="1DE70BF9"/>
    <w:rsid w:val="1DE85755"/>
    <w:rsid w:val="1DEE56AA"/>
    <w:rsid w:val="1DFA42E6"/>
    <w:rsid w:val="1DFE1637"/>
    <w:rsid w:val="1DFE3B6A"/>
    <w:rsid w:val="1E03693C"/>
    <w:rsid w:val="1E0418FF"/>
    <w:rsid w:val="1E094DE9"/>
    <w:rsid w:val="1E0A43E5"/>
    <w:rsid w:val="1E0D4A55"/>
    <w:rsid w:val="1E1639DE"/>
    <w:rsid w:val="1E1D39B1"/>
    <w:rsid w:val="1E201F24"/>
    <w:rsid w:val="1E23472C"/>
    <w:rsid w:val="1E251CAA"/>
    <w:rsid w:val="1E270B2F"/>
    <w:rsid w:val="1E271AAD"/>
    <w:rsid w:val="1E323DD3"/>
    <w:rsid w:val="1E325D4C"/>
    <w:rsid w:val="1E347D36"/>
    <w:rsid w:val="1E3F507E"/>
    <w:rsid w:val="1E430676"/>
    <w:rsid w:val="1E433284"/>
    <w:rsid w:val="1E437BF1"/>
    <w:rsid w:val="1E4C479D"/>
    <w:rsid w:val="1E4E0E32"/>
    <w:rsid w:val="1E545CAC"/>
    <w:rsid w:val="1E5B0DE8"/>
    <w:rsid w:val="1E5F490F"/>
    <w:rsid w:val="1E5F6225"/>
    <w:rsid w:val="1E6F0D35"/>
    <w:rsid w:val="1E7A0CA0"/>
    <w:rsid w:val="1E837FC8"/>
    <w:rsid w:val="1E843339"/>
    <w:rsid w:val="1E854754"/>
    <w:rsid w:val="1E91143B"/>
    <w:rsid w:val="1E99089F"/>
    <w:rsid w:val="1E9D01D9"/>
    <w:rsid w:val="1E9E575F"/>
    <w:rsid w:val="1EA25C26"/>
    <w:rsid w:val="1EA4144C"/>
    <w:rsid w:val="1EA74D50"/>
    <w:rsid w:val="1EA83DC7"/>
    <w:rsid w:val="1EAE51E1"/>
    <w:rsid w:val="1EAF7B09"/>
    <w:rsid w:val="1EB12C92"/>
    <w:rsid w:val="1EB165AF"/>
    <w:rsid w:val="1EB77781"/>
    <w:rsid w:val="1EC34FA5"/>
    <w:rsid w:val="1EC47269"/>
    <w:rsid w:val="1EC77839"/>
    <w:rsid w:val="1EC91F54"/>
    <w:rsid w:val="1ED07F7E"/>
    <w:rsid w:val="1ED13365"/>
    <w:rsid w:val="1ED40536"/>
    <w:rsid w:val="1EDE37DC"/>
    <w:rsid w:val="1EE477D4"/>
    <w:rsid w:val="1EE73495"/>
    <w:rsid w:val="1EE8118B"/>
    <w:rsid w:val="1EEC2070"/>
    <w:rsid w:val="1EF00CE2"/>
    <w:rsid w:val="1EF80AC4"/>
    <w:rsid w:val="1F06290D"/>
    <w:rsid w:val="1F0C16DC"/>
    <w:rsid w:val="1F0D6259"/>
    <w:rsid w:val="1F0F61B1"/>
    <w:rsid w:val="1F141438"/>
    <w:rsid w:val="1F1C3730"/>
    <w:rsid w:val="1F2414C8"/>
    <w:rsid w:val="1F247550"/>
    <w:rsid w:val="1F2A37BA"/>
    <w:rsid w:val="1F2D7869"/>
    <w:rsid w:val="1F3238A5"/>
    <w:rsid w:val="1F35590B"/>
    <w:rsid w:val="1F3D1B37"/>
    <w:rsid w:val="1F403EC8"/>
    <w:rsid w:val="1F451DB1"/>
    <w:rsid w:val="1F471A0E"/>
    <w:rsid w:val="1F474731"/>
    <w:rsid w:val="1F4B5206"/>
    <w:rsid w:val="1F5B3CF9"/>
    <w:rsid w:val="1F626761"/>
    <w:rsid w:val="1F696B65"/>
    <w:rsid w:val="1F6B6BD0"/>
    <w:rsid w:val="1F6C347E"/>
    <w:rsid w:val="1F6C5B3A"/>
    <w:rsid w:val="1F711926"/>
    <w:rsid w:val="1F76782A"/>
    <w:rsid w:val="1F775E2A"/>
    <w:rsid w:val="1F782C6D"/>
    <w:rsid w:val="1F7D6E36"/>
    <w:rsid w:val="1F7F63D1"/>
    <w:rsid w:val="1F8270CB"/>
    <w:rsid w:val="1F9472FF"/>
    <w:rsid w:val="1F9869C4"/>
    <w:rsid w:val="1FA05371"/>
    <w:rsid w:val="1FA657A4"/>
    <w:rsid w:val="1FA94784"/>
    <w:rsid w:val="1FB44D91"/>
    <w:rsid w:val="1FBB25A1"/>
    <w:rsid w:val="1FC073C4"/>
    <w:rsid w:val="1FC7348F"/>
    <w:rsid w:val="1FC74876"/>
    <w:rsid w:val="1FCF5F3F"/>
    <w:rsid w:val="1FD13E7C"/>
    <w:rsid w:val="1FD95728"/>
    <w:rsid w:val="1FE05C6C"/>
    <w:rsid w:val="1FE1380F"/>
    <w:rsid w:val="1FE5032D"/>
    <w:rsid w:val="1FF10DD7"/>
    <w:rsid w:val="1FF771CF"/>
    <w:rsid w:val="20060CD2"/>
    <w:rsid w:val="200A5F5B"/>
    <w:rsid w:val="200C3A79"/>
    <w:rsid w:val="200D79E0"/>
    <w:rsid w:val="200E7241"/>
    <w:rsid w:val="2011382C"/>
    <w:rsid w:val="2012468D"/>
    <w:rsid w:val="201350E4"/>
    <w:rsid w:val="201711C9"/>
    <w:rsid w:val="201C482D"/>
    <w:rsid w:val="20264F51"/>
    <w:rsid w:val="20273D7F"/>
    <w:rsid w:val="20284C6C"/>
    <w:rsid w:val="202950DD"/>
    <w:rsid w:val="202A7323"/>
    <w:rsid w:val="202E4929"/>
    <w:rsid w:val="202F5850"/>
    <w:rsid w:val="203120E1"/>
    <w:rsid w:val="20376FA3"/>
    <w:rsid w:val="203776CF"/>
    <w:rsid w:val="203954CF"/>
    <w:rsid w:val="203C4ABF"/>
    <w:rsid w:val="203C4B95"/>
    <w:rsid w:val="203D5DA5"/>
    <w:rsid w:val="20446005"/>
    <w:rsid w:val="20466280"/>
    <w:rsid w:val="204B5799"/>
    <w:rsid w:val="204E6099"/>
    <w:rsid w:val="204F13BC"/>
    <w:rsid w:val="2052507E"/>
    <w:rsid w:val="20564AB8"/>
    <w:rsid w:val="205E13A9"/>
    <w:rsid w:val="20620FD8"/>
    <w:rsid w:val="20644EDF"/>
    <w:rsid w:val="2068176D"/>
    <w:rsid w:val="20690CC9"/>
    <w:rsid w:val="206D6E78"/>
    <w:rsid w:val="207225AE"/>
    <w:rsid w:val="20752580"/>
    <w:rsid w:val="207B015E"/>
    <w:rsid w:val="207D1680"/>
    <w:rsid w:val="20803748"/>
    <w:rsid w:val="2082305C"/>
    <w:rsid w:val="208264BB"/>
    <w:rsid w:val="20875D10"/>
    <w:rsid w:val="208E31E4"/>
    <w:rsid w:val="209410D8"/>
    <w:rsid w:val="20945297"/>
    <w:rsid w:val="209965EE"/>
    <w:rsid w:val="209B5581"/>
    <w:rsid w:val="209C36E4"/>
    <w:rsid w:val="209E0620"/>
    <w:rsid w:val="20A47535"/>
    <w:rsid w:val="20AA1829"/>
    <w:rsid w:val="20AE364B"/>
    <w:rsid w:val="20B02CF6"/>
    <w:rsid w:val="20B45FDA"/>
    <w:rsid w:val="20BE7DC0"/>
    <w:rsid w:val="20C36763"/>
    <w:rsid w:val="20C374F5"/>
    <w:rsid w:val="20C42750"/>
    <w:rsid w:val="20C459D3"/>
    <w:rsid w:val="20C63840"/>
    <w:rsid w:val="20D54971"/>
    <w:rsid w:val="20E06466"/>
    <w:rsid w:val="20EC2E5A"/>
    <w:rsid w:val="20EE76ED"/>
    <w:rsid w:val="20EE79F2"/>
    <w:rsid w:val="20F328CC"/>
    <w:rsid w:val="20F37F5F"/>
    <w:rsid w:val="20FB4B88"/>
    <w:rsid w:val="21110951"/>
    <w:rsid w:val="212B2ED1"/>
    <w:rsid w:val="21394602"/>
    <w:rsid w:val="214A1282"/>
    <w:rsid w:val="21523F34"/>
    <w:rsid w:val="216259F9"/>
    <w:rsid w:val="216D534E"/>
    <w:rsid w:val="21717122"/>
    <w:rsid w:val="217434AE"/>
    <w:rsid w:val="21764E67"/>
    <w:rsid w:val="21786B99"/>
    <w:rsid w:val="21861348"/>
    <w:rsid w:val="218F09CA"/>
    <w:rsid w:val="2194091C"/>
    <w:rsid w:val="21955890"/>
    <w:rsid w:val="21976E18"/>
    <w:rsid w:val="219778C4"/>
    <w:rsid w:val="21996223"/>
    <w:rsid w:val="21A531FC"/>
    <w:rsid w:val="21A856B3"/>
    <w:rsid w:val="21AB14A8"/>
    <w:rsid w:val="21B45E68"/>
    <w:rsid w:val="21BA1165"/>
    <w:rsid w:val="21C4635F"/>
    <w:rsid w:val="21C56D85"/>
    <w:rsid w:val="21CE5A36"/>
    <w:rsid w:val="21CF5653"/>
    <w:rsid w:val="21D63A7B"/>
    <w:rsid w:val="21D83322"/>
    <w:rsid w:val="21D96ED6"/>
    <w:rsid w:val="21DC4E91"/>
    <w:rsid w:val="21E10D80"/>
    <w:rsid w:val="21E25983"/>
    <w:rsid w:val="21E4070D"/>
    <w:rsid w:val="21E949C9"/>
    <w:rsid w:val="21EE6674"/>
    <w:rsid w:val="21F36761"/>
    <w:rsid w:val="21F5165B"/>
    <w:rsid w:val="21F522EE"/>
    <w:rsid w:val="21F72E20"/>
    <w:rsid w:val="21FD6636"/>
    <w:rsid w:val="21FE7774"/>
    <w:rsid w:val="2217548D"/>
    <w:rsid w:val="221A371F"/>
    <w:rsid w:val="221C3A4F"/>
    <w:rsid w:val="22353B2B"/>
    <w:rsid w:val="223B34B1"/>
    <w:rsid w:val="224832AD"/>
    <w:rsid w:val="224E4072"/>
    <w:rsid w:val="224E64D6"/>
    <w:rsid w:val="22506269"/>
    <w:rsid w:val="22527C89"/>
    <w:rsid w:val="225D595F"/>
    <w:rsid w:val="22625A5A"/>
    <w:rsid w:val="22667E7F"/>
    <w:rsid w:val="22670659"/>
    <w:rsid w:val="226C73C0"/>
    <w:rsid w:val="226E1574"/>
    <w:rsid w:val="226F62C6"/>
    <w:rsid w:val="22760D13"/>
    <w:rsid w:val="2277307D"/>
    <w:rsid w:val="227804E9"/>
    <w:rsid w:val="22803E4B"/>
    <w:rsid w:val="22847B4E"/>
    <w:rsid w:val="228D1F7A"/>
    <w:rsid w:val="229B2016"/>
    <w:rsid w:val="229D6C9B"/>
    <w:rsid w:val="22A00A2B"/>
    <w:rsid w:val="22A4750F"/>
    <w:rsid w:val="22A50B4E"/>
    <w:rsid w:val="22A744A2"/>
    <w:rsid w:val="22A7694B"/>
    <w:rsid w:val="22AF2B43"/>
    <w:rsid w:val="22AF7492"/>
    <w:rsid w:val="22B26E48"/>
    <w:rsid w:val="22B76CBA"/>
    <w:rsid w:val="22B84838"/>
    <w:rsid w:val="22C278ED"/>
    <w:rsid w:val="22C94F49"/>
    <w:rsid w:val="22CB12F8"/>
    <w:rsid w:val="22D15707"/>
    <w:rsid w:val="22D4282E"/>
    <w:rsid w:val="22D57870"/>
    <w:rsid w:val="22DA6E24"/>
    <w:rsid w:val="22DC7377"/>
    <w:rsid w:val="22E1682E"/>
    <w:rsid w:val="22EE2DA9"/>
    <w:rsid w:val="22EF5653"/>
    <w:rsid w:val="22F01831"/>
    <w:rsid w:val="22F53F4C"/>
    <w:rsid w:val="22F575C5"/>
    <w:rsid w:val="22F66D51"/>
    <w:rsid w:val="22FA4263"/>
    <w:rsid w:val="230424F2"/>
    <w:rsid w:val="23091215"/>
    <w:rsid w:val="23095363"/>
    <w:rsid w:val="231879A1"/>
    <w:rsid w:val="231D44C6"/>
    <w:rsid w:val="231D6ABC"/>
    <w:rsid w:val="23254F38"/>
    <w:rsid w:val="232566CE"/>
    <w:rsid w:val="232D1EA5"/>
    <w:rsid w:val="23312902"/>
    <w:rsid w:val="2336132A"/>
    <w:rsid w:val="2337426F"/>
    <w:rsid w:val="23376995"/>
    <w:rsid w:val="234249EB"/>
    <w:rsid w:val="234F06DB"/>
    <w:rsid w:val="235506BB"/>
    <w:rsid w:val="23586A43"/>
    <w:rsid w:val="235F1A87"/>
    <w:rsid w:val="235F6FB5"/>
    <w:rsid w:val="23617917"/>
    <w:rsid w:val="2369472E"/>
    <w:rsid w:val="23700DAE"/>
    <w:rsid w:val="23727F34"/>
    <w:rsid w:val="2379097E"/>
    <w:rsid w:val="237F39B4"/>
    <w:rsid w:val="23816C24"/>
    <w:rsid w:val="2383009A"/>
    <w:rsid w:val="238315EA"/>
    <w:rsid w:val="23870CAC"/>
    <w:rsid w:val="238717CD"/>
    <w:rsid w:val="238C44F3"/>
    <w:rsid w:val="239410B6"/>
    <w:rsid w:val="23954E56"/>
    <w:rsid w:val="23983611"/>
    <w:rsid w:val="23984CAA"/>
    <w:rsid w:val="23A0735D"/>
    <w:rsid w:val="23A52A88"/>
    <w:rsid w:val="23A61870"/>
    <w:rsid w:val="23B50828"/>
    <w:rsid w:val="23B66052"/>
    <w:rsid w:val="23BC64C7"/>
    <w:rsid w:val="23C138D1"/>
    <w:rsid w:val="23C2524E"/>
    <w:rsid w:val="23C33ED6"/>
    <w:rsid w:val="23C47BBC"/>
    <w:rsid w:val="23C60DBC"/>
    <w:rsid w:val="23C6713D"/>
    <w:rsid w:val="23C77146"/>
    <w:rsid w:val="23CF1E69"/>
    <w:rsid w:val="23D34EB8"/>
    <w:rsid w:val="23E53E03"/>
    <w:rsid w:val="23E56FBD"/>
    <w:rsid w:val="23E61C1C"/>
    <w:rsid w:val="23F12C7E"/>
    <w:rsid w:val="23FD3075"/>
    <w:rsid w:val="240241AC"/>
    <w:rsid w:val="24074B57"/>
    <w:rsid w:val="240B1EA9"/>
    <w:rsid w:val="240F0804"/>
    <w:rsid w:val="24157DF2"/>
    <w:rsid w:val="24196749"/>
    <w:rsid w:val="2423362B"/>
    <w:rsid w:val="24235F3A"/>
    <w:rsid w:val="24267076"/>
    <w:rsid w:val="2428070A"/>
    <w:rsid w:val="242E6670"/>
    <w:rsid w:val="24305880"/>
    <w:rsid w:val="24305A24"/>
    <w:rsid w:val="243802F2"/>
    <w:rsid w:val="24393940"/>
    <w:rsid w:val="24434659"/>
    <w:rsid w:val="24487C70"/>
    <w:rsid w:val="24495132"/>
    <w:rsid w:val="24570B0E"/>
    <w:rsid w:val="246152AD"/>
    <w:rsid w:val="24640792"/>
    <w:rsid w:val="2465085B"/>
    <w:rsid w:val="24697440"/>
    <w:rsid w:val="246B50D8"/>
    <w:rsid w:val="246C274C"/>
    <w:rsid w:val="24747EF9"/>
    <w:rsid w:val="247862BE"/>
    <w:rsid w:val="247F74DE"/>
    <w:rsid w:val="248067CF"/>
    <w:rsid w:val="2482208D"/>
    <w:rsid w:val="24893AF5"/>
    <w:rsid w:val="248C3F68"/>
    <w:rsid w:val="248F2E41"/>
    <w:rsid w:val="248F4D11"/>
    <w:rsid w:val="24941D17"/>
    <w:rsid w:val="249623ED"/>
    <w:rsid w:val="249C2906"/>
    <w:rsid w:val="249D0BC8"/>
    <w:rsid w:val="24A252FD"/>
    <w:rsid w:val="24A367E8"/>
    <w:rsid w:val="24AD6160"/>
    <w:rsid w:val="24CB1FC2"/>
    <w:rsid w:val="24CC073A"/>
    <w:rsid w:val="24CD424A"/>
    <w:rsid w:val="24D12080"/>
    <w:rsid w:val="24D466EE"/>
    <w:rsid w:val="24D71651"/>
    <w:rsid w:val="24E1532B"/>
    <w:rsid w:val="24E62C15"/>
    <w:rsid w:val="24EB0BA1"/>
    <w:rsid w:val="24F01FC3"/>
    <w:rsid w:val="24F57F0A"/>
    <w:rsid w:val="25040376"/>
    <w:rsid w:val="250531F5"/>
    <w:rsid w:val="250B7C3E"/>
    <w:rsid w:val="25176E22"/>
    <w:rsid w:val="252A66B1"/>
    <w:rsid w:val="252D7A09"/>
    <w:rsid w:val="253C70AD"/>
    <w:rsid w:val="253D48EB"/>
    <w:rsid w:val="25427061"/>
    <w:rsid w:val="25435323"/>
    <w:rsid w:val="25454823"/>
    <w:rsid w:val="2549611A"/>
    <w:rsid w:val="254A3531"/>
    <w:rsid w:val="254A66E3"/>
    <w:rsid w:val="254C40BE"/>
    <w:rsid w:val="254C7CC6"/>
    <w:rsid w:val="255074F9"/>
    <w:rsid w:val="25522E00"/>
    <w:rsid w:val="25611868"/>
    <w:rsid w:val="256D5804"/>
    <w:rsid w:val="256E4FB1"/>
    <w:rsid w:val="2571586E"/>
    <w:rsid w:val="25796D6B"/>
    <w:rsid w:val="257E5626"/>
    <w:rsid w:val="25806204"/>
    <w:rsid w:val="25806729"/>
    <w:rsid w:val="25856799"/>
    <w:rsid w:val="258935CA"/>
    <w:rsid w:val="259431DC"/>
    <w:rsid w:val="259C7D2C"/>
    <w:rsid w:val="25A660A4"/>
    <w:rsid w:val="25A7417C"/>
    <w:rsid w:val="25AE4BD4"/>
    <w:rsid w:val="25B01B45"/>
    <w:rsid w:val="25BA46F2"/>
    <w:rsid w:val="25BD3D89"/>
    <w:rsid w:val="25CE104B"/>
    <w:rsid w:val="25CE24B8"/>
    <w:rsid w:val="25D20D40"/>
    <w:rsid w:val="25D416BB"/>
    <w:rsid w:val="25D62BC3"/>
    <w:rsid w:val="25DB35D4"/>
    <w:rsid w:val="25DF3F98"/>
    <w:rsid w:val="25E0184B"/>
    <w:rsid w:val="25E73FDD"/>
    <w:rsid w:val="25E7784A"/>
    <w:rsid w:val="25F05E3C"/>
    <w:rsid w:val="25F07A07"/>
    <w:rsid w:val="25F934F4"/>
    <w:rsid w:val="25F9481F"/>
    <w:rsid w:val="25FB1D04"/>
    <w:rsid w:val="25FE551C"/>
    <w:rsid w:val="26037FA9"/>
    <w:rsid w:val="260A3D1D"/>
    <w:rsid w:val="260A5246"/>
    <w:rsid w:val="260C1F29"/>
    <w:rsid w:val="261C76BF"/>
    <w:rsid w:val="261F1F1A"/>
    <w:rsid w:val="262578F9"/>
    <w:rsid w:val="2628110A"/>
    <w:rsid w:val="262A0C62"/>
    <w:rsid w:val="262C6EE4"/>
    <w:rsid w:val="2632568F"/>
    <w:rsid w:val="26367EA6"/>
    <w:rsid w:val="263824C1"/>
    <w:rsid w:val="263C6A26"/>
    <w:rsid w:val="263C7FC6"/>
    <w:rsid w:val="26430400"/>
    <w:rsid w:val="26444999"/>
    <w:rsid w:val="264B4591"/>
    <w:rsid w:val="26544232"/>
    <w:rsid w:val="26625B2A"/>
    <w:rsid w:val="266778D1"/>
    <w:rsid w:val="266B26A5"/>
    <w:rsid w:val="267A2D8B"/>
    <w:rsid w:val="267A4EF9"/>
    <w:rsid w:val="267E7CE3"/>
    <w:rsid w:val="26805DEA"/>
    <w:rsid w:val="26876EB6"/>
    <w:rsid w:val="26927727"/>
    <w:rsid w:val="2693660F"/>
    <w:rsid w:val="2699628B"/>
    <w:rsid w:val="269C284A"/>
    <w:rsid w:val="269C650F"/>
    <w:rsid w:val="26A0697D"/>
    <w:rsid w:val="26A32713"/>
    <w:rsid w:val="26A73B9A"/>
    <w:rsid w:val="26AE5253"/>
    <w:rsid w:val="26B00CC1"/>
    <w:rsid w:val="26B22B7B"/>
    <w:rsid w:val="26BD6A18"/>
    <w:rsid w:val="26BD76C3"/>
    <w:rsid w:val="26DB0CA7"/>
    <w:rsid w:val="26E62026"/>
    <w:rsid w:val="26E9143A"/>
    <w:rsid w:val="26ED69D1"/>
    <w:rsid w:val="26F90F06"/>
    <w:rsid w:val="26FC4671"/>
    <w:rsid w:val="26FD0EF1"/>
    <w:rsid w:val="26FF13EF"/>
    <w:rsid w:val="26FF3682"/>
    <w:rsid w:val="27001ABA"/>
    <w:rsid w:val="27020C3E"/>
    <w:rsid w:val="270240C7"/>
    <w:rsid w:val="27034C81"/>
    <w:rsid w:val="27047084"/>
    <w:rsid w:val="270C77C3"/>
    <w:rsid w:val="270D2ECE"/>
    <w:rsid w:val="270E46D8"/>
    <w:rsid w:val="27100D13"/>
    <w:rsid w:val="271C5AF5"/>
    <w:rsid w:val="27206361"/>
    <w:rsid w:val="27233C28"/>
    <w:rsid w:val="27241F3A"/>
    <w:rsid w:val="27245FCA"/>
    <w:rsid w:val="272645AD"/>
    <w:rsid w:val="272D51EB"/>
    <w:rsid w:val="27322D73"/>
    <w:rsid w:val="273A6234"/>
    <w:rsid w:val="273F6841"/>
    <w:rsid w:val="27400AD7"/>
    <w:rsid w:val="27434FDC"/>
    <w:rsid w:val="27460D2E"/>
    <w:rsid w:val="27473394"/>
    <w:rsid w:val="27496B42"/>
    <w:rsid w:val="27554AB2"/>
    <w:rsid w:val="27592E37"/>
    <w:rsid w:val="27690AFE"/>
    <w:rsid w:val="276D4C1D"/>
    <w:rsid w:val="276D6E72"/>
    <w:rsid w:val="277B25F3"/>
    <w:rsid w:val="277C1E6D"/>
    <w:rsid w:val="278352AE"/>
    <w:rsid w:val="278456D2"/>
    <w:rsid w:val="27877ADC"/>
    <w:rsid w:val="278C6639"/>
    <w:rsid w:val="2790723A"/>
    <w:rsid w:val="27907BAE"/>
    <w:rsid w:val="2794052C"/>
    <w:rsid w:val="27990ECD"/>
    <w:rsid w:val="279A70FF"/>
    <w:rsid w:val="279F172D"/>
    <w:rsid w:val="279F35B6"/>
    <w:rsid w:val="27A72F5C"/>
    <w:rsid w:val="27A762B6"/>
    <w:rsid w:val="27AA6234"/>
    <w:rsid w:val="27AE267E"/>
    <w:rsid w:val="27B615FF"/>
    <w:rsid w:val="27BE177A"/>
    <w:rsid w:val="27C21468"/>
    <w:rsid w:val="27C54CE8"/>
    <w:rsid w:val="27CD1F23"/>
    <w:rsid w:val="27D061D4"/>
    <w:rsid w:val="27D2553E"/>
    <w:rsid w:val="27D3215E"/>
    <w:rsid w:val="27D86C64"/>
    <w:rsid w:val="27D9067D"/>
    <w:rsid w:val="27DB577C"/>
    <w:rsid w:val="27DB78CF"/>
    <w:rsid w:val="27DC23AB"/>
    <w:rsid w:val="27DD0A3C"/>
    <w:rsid w:val="27E351AB"/>
    <w:rsid w:val="27E53958"/>
    <w:rsid w:val="27E67447"/>
    <w:rsid w:val="27E77345"/>
    <w:rsid w:val="27E92D9F"/>
    <w:rsid w:val="27F15009"/>
    <w:rsid w:val="27F471CA"/>
    <w:rsid w:val="27FB1EAF"/>
    <w:rsid w:val="27FF6A4E"/>
    <w:rsid w:val="280D3553"/>
    <w:rsid w:val="28150771"/>
    <w:rsid w:val="28187DA9"/>
    <w:rsid w:val="28237372"/>
    <w:rsid w:val="282B1223"/>
    <w:rsid w:val="282C0647"/>
    <w:rsid w:val="283441F3"/>
    <w:rsid w:val="28383D84"/>
    <w:rsid w:val="283E0864"/>
    <w:rsid w:val="283E445B"/>
    <w:rsid w:val="283F08E1"/>
    <w:rsid w:val="283F57E8"/>
    <w:rsid w:val="284201AB"/>
    <w:rsid w:val="2843700C"/>
    <w:rsid w:val="284A0FF1"/>
    <w:rsid w:val="284F5C9D"/>
    <w:rsid w:val="2854055D"/>
    <w:rsid w:val="285438FD"/>
    <w:rsid w:val="28546985"/>
    <w:rsid w:val="2857175F"/>
    <w:rsid w:val="285836F9"/>
    <w:rsid w:val="28591DB7"/>
    <w:rsid w:val="285D1E71"/>
    <w:rsid w:val="285D4461"/>
    <w:rsid w:val="2867652F"/>
    <w:rsid w:val="286B425C"/>
    <w:rsid w:val="286B7D69"/>
    <w:rsid w:val="286E230C"/>
    <w:rsid w:val="28787A81"/>
    <w:rsid w:val="287B38BB"/>
    <w:rsid w:val="287C0AF7"/>
    <w:rsid w:val="287F4059"/>
    <w:rsid w:val="28916281"/>
    <w:rsid w:val="289430C1"/>
    <w:rsid w:val="289A4FE8"/>
    <w:rsid w:val="289A5076"/>
    <w:rsid w:val="289B2083"/>
    <w:rsid w:val="289C5F06"/>
    <w:rsid w:val="289E5657"/>
    <w:rsid w:val="28A33FA0"/>
    <w:rsid w:val="28AB52F5"/>
    <w:rsid w:val="28AD2D25"/>
    <w:rsid w:val="28B0320D"/>
    <w:rsid w:val="28B6098C"/>
    <w:rsid w:val="28B63863"/>
    <w:rsid w:val="28BC2B3A"/>
    <w:rsid w:val="28BE4C67"/>
    <w:rsid w:val="28C6305D"/>
    <w:rsid w:val="28C675D6"/>
    <w:rsid w:val="28C716C2"/>
    <w:rsid w:val="28CA1556"/>
    <w:rsid w:val="28D3381B"/>
    <w:rsid w:val="28D532C3"/>
    <w:rsid w:val="28D638E8"/>
    <w:rsid w:val="28D92CCD"/>
    <w:rsid w:val="28DA6BB7"/>
    <w:rsid w:val="28E136E4"/>
    <w:rsid w:val="28EE1ED8"/>
    <w:rsid w:val="28EF3E9F"/>
    <w:rsid w:val="28F35991"/>
    <w:rsid w:val="28F62399"/>
    <w:rsid w:val="28F736D5"/>
    <w:rsid w:val="28FC49B4"/>
    <w:rsid w:val="29070822"/>
    <w:rsid w:val="291F3BBE"/>
    <w:rsid w:val="29222436"/>
    <w:rsid w:val="29272BDA"/>
    <w:rsid w:val="29343EE2"/>
    <w:rsid w:val="29377B4C"/>
    <w:rsid w:val="29397051"/>
    <w:rsid w:val="29433AFB"/>
    <w:rsid w:val="294352D5"/>
    <w:rsid w:val="29454300"/>
    <w:rsid w:val="29466B46"/>
    <w:rsid w:val="294671E7"/>
    <w:rsid w:val="294D20D6"/>
    <w:rsid w:val="29541B61"/>
    <w:rsid w:val="295E380E"/>
    <w:rsid w:val="295F1008"/>
    <w:rsid w:val="2966211B"/>
    <w:rsid w:val="29666376"/>
    <w:rsid w:val="29686D3F"/>
    <w:rsid w:val="29704429"/>
    <w:rsid w:val="29741D20"/>
    <w:rsid w:val="29794249"/>
    <w:rsid w:val="297B55C8"/>
    <w:rsid w:val="297C47AE"/>
    <w:rsid w:val="29803AAF"/>
    <w:rsid w:val="29856AEA"/>
    <w:rsid w:val="298967CF"/>
    <w:rsid w:val="29935B9A"/>
    <w:rsid w:val="29935FC6"/>
    <w:rsid w:val="29960A13"/>
    <w:rsid w:val="29963158"/>
    <w:rsid w:val="29965AF2"/>
    <w:rsid w:val="29975217"/>
    <w:rsid w:val="299C309E"/>
    <w:rsid w:val="29A31F36"/>
    <w:rsid w:val="29A3234A"/>
    <w:rsid w:val="29AE5071"/>
    <w:rsid w:val="29AF526B"/>
    <w:rsid w:val="29B30772"/>
    <w:rsid w:val="29C134AE"/>
    <w:rsid w:val="29C23CA4"/>
    <w:rsid w:val="29CF350A"/>
    <w:rsid w:val="29CF71B8"/>
    <w:rsid w:val="29D36103"/>
    <w:rsid w:val="29DA5F5B"/>
    <w:rsid w:val="29DB6A8D"/>
    <w:rsid w:val="29DC715A"/>
    <w:rsid w:val="29E11CB0"/>
    <w:rsid w:val="29E5275F"/>
    <w:rsid w:val="29E771E2"/>
    <w:rsid w:val="29F75BE9"/>
    <w:rsid w:val="29FB4085"/>
    <w:rsid w:val="2A073D0E"/>
    <w:rsid w:val="2A0B1A65"/>
    <w:rsid w:val="2A0F4D09"/>
    <w:rsid w:val="2A1917B4"/>
    <w:rsid w:val="2A1C4B4E"/>
    <w:rsid w:val="2A1E0C99"/>
    <w:rsid w:val="2A2A1FD9"/>
    <w:rsid w:val="2A2A4B69"/>
    <w:rsid w:val="2A324BF4"/>
    <w:rsid w:val="2A32716C"/>
    <w:rsid w:val="2A332DAF"/>
    <w:rsid w:val="2A335B57"/>
    <w:rsid w:val="2A356FCF"/>
    <w:rsid w:val="2A3D3CA6"/>
    <w:rsid w:val="2A407FBB"/>
    <w:rsid w:val="2A4260FC"/>
    <w:rsid w:val="2A461AE6"/>
    <w:rsid w:val="2A4725F1"/>
    <w:rsid w:val="2A49224F"/>
    <w:rsid w:val="2A54242D"/>
    <w:rsid w:val="2A55766A"/>
    <w:rsid w:val="2A561C8D"/>
    <w:rsid w:val="2A5B3C6D"/>
    <w:rsid w:val="2A5D3025"/>
    <w:rsid w:val="2A621B97"/>
    <w:rsid w:val="2A765F0E"/>
    <w:rsid w:val="2A7F5D03"/>
    <w:rsid w:val="2A7F7C03"/>
    <w:rsid w:val="2A8147D1"/>
    <w:rsid w:val="2A827D20"/>
    <w:rsid w:val="2A845136"/>
    <w:rsid w:val="2A8D34CA"/>
    <w:rsid w:val="2A946151"/>
    <w:rsid w:val="2A990C8A"/>
    <w:rsid w:val="2AA31456"/>
    <w:rsid w:val="2AA33154"/>
    <w:rsid w:val="2AA9790A"/>
    <w:rsid w:val="2AAB7513"/>
    <w:rsid w:val="2AAC0900"/>
    <w:rsid w:val="2AB256B8"/>
    <w:rsid w:val="2AB40232"/>
    <w:rsid w:val="2AB87090"/>
    <w:rsid w:val="2AB95FA8"/>
    <w:rsid w:val="2ABB23A5"/>
    <w:rsid w:val="2ACE2C50"/>
    <w:rsid w:val="2AD0397B"/>
    <w:rsid w:val="2AD41955"/>
    <w:rsid w:val="2AD9588C"/>
    <w:rsid w:val="2ADE2D18"/>
    <w:rsid w:val="2ADF0128"/>
    <w:rsid w:val="2AE47841"/>
    <w:rsid w:val="2AE810FC"/>
    <w:rsid w:val="2AE90812"/>
    <w:rsid w:val="2AF14F65"/>
    <w:rsid w:val="2AFD155A"/>
    <w:rsid w:val="2AFF7432"/>
    <w:rsid w:val="2B041DEA"/>
    <w:rsid w:val="2B046F1E"/>
    <w:rsid w:val="2B066DA7"/>
    <w:rsid w:val="2B143CA5"/>
    <w:rsid w:val="2B217BA5"/>
    <w:rsid w:val="2B2442A4"/>
    <w:rsid w:val="2B277614"/>
    <w:rsid w:val="2B2C155B"/>
    <w:rsid w:val="2B2F3222"/>
    <w:rsid w:val="2B301410"/>
    <w:rsid w:val="2B321A83"/>
    <w:rsid w:val="2B387DEF"/>
    <w:rsid w:val="2B39703A"/>
    <w:rsid w:val="2B4C2243"/>
    <w:rsid w:val="2B4D7BC7"/>
    <w:rsid w:val="2B5D6815"/>
    <w:rsid w:val="2B675C16"/>
    <w:rsid w:val="2B6C4D13"/>
    <w:rsid w:val="2B6C56C5"/>
    <w:rsid w:val="2B7E3BDE"/>
    <w:rsid w:val="2B845B57"/>
    <w:rsid w:val="2B8A3155"/>
    <w:rsid w:val="2B90053B"/>
    <w:rsid w:val="2B922D1D"/>
    <w:rsid w:val="2B9C184E"/>
    <w:rsid w:val="2BA75E95"/>
    <w:rsid w:val="2BAE2D6F"/>
    <w:rsid w:val="2BB538B0"/>
    <w:rsid w:val="2BB64B2C"/>
    <w:rsid w:val="2BBD70B5"/>
    <w:rsid w:val="2BBF2E7F"/>
    <w:rsid w:val="2BC27EE4"/>
    <w:rsid w:val="2BC47D7C"/>
    <w:rsid w:val="2BC82892"/>
    <w:rsid w:val="2BC96CC2"/>
    <w:rsid w:val="2BCB0AE1"/>
    <w:rsid w:val="2BD04861"/>
    <w:rsid w:val="2BE40D53"/>
    <w:rsid w:val="2BE87D75"/>
    <w:rsid w:val="2BF35741"/>
    <w:rsid w:val="2BF36CEB"/>
    <w:rsid w:val="2BF459EB"/>
    <w:rsid w:val="2BF77722"/>
    <w:rsid w:val="2C0B0318"/>
    <w:rsid w:val="2C0F3BEA"/>
    <w:rsid w:val="2C162BE4"/>
    <w:rsid w:val="2C1E0A93"/>
    <w:rsid w:val="2C1E763E"/>
    <w:rsid w:val="2C1F301A"/>
    <w:rsid w:val="2C2004CD"/>
    <w:rsid w:val="2C2D4594"/>
    <w:rsid w:val="2C401128"/>
    <w:rsid w:val="2C536C69"/>
    <w:rsid w:val="2C554302"/>
    <w:rsid w:val="2C587340"/>
    <w:rsid w:val="2C617A4D"/>
    <w:rsid w:val="2C652215"/>
    <w:rsid w:val="2C6807F0"/>
    <w:rsid w:val="2C756DEA"/>
    <w:rsid w:val="2C765495"/>
    <w:rsid w:val="2C770F4E"/>
    <w:rsid w:val="2C806FB5"/>
    <w:rsid w:val="2C84763B"/>
    <w:rsid w:val="2C87559E"/>
    <w:rsid w:val="2C8B2855"/>
    <w:rsid w:val="2C8B6C1C"/>
    <w:rsid w:val="2C9215C6"/>
    <w:rsid w:val="2CAF0193"/>
    <w:rsid w:val="2CBA1E54"/>
    <w:rsid w:val="2CBB724A"/>
    <w:rsid w:val="2CC46D97"/>
    <w:rsid w:val="2CC6499F"/>
    <w:rsid w:val="2CD054DB"/>
    <w:rsid w:val="2CD336EC"/>
    <w:rsid w:val="2CDF34EB"/>
    <w:rsid w:val="2CEC2462"/>
    <w:rsid w:val="2CED0D73"/>
    <w:rsid w:val="2CF01BE7"/>
    <w:rsid w:val="2CFE5246"/>
    <w:rsid w:val="2D044988"/>
    <w:rsid w:val="2D0715A7"/>
    <w:rsid w:val="2D075C03"/>
    <w:rsid w:val="2D0D6A81"/>
    <w:rsid w:val="2D1170D9"/>
    <w:rsid w:val="2D1234D6"/>
    <w:rsid w:val="2D193BC7"/>
    <w:rsid w:val="2D242C95"/>
    <w:rsid w:val="2D244ED7"/>
    <w:rsid w:val="2D2649ED"/>
    <w:rsid w:val="2D290BD2"/>
    <w:rsid w:val="2D300CD4"/>
    <w:rsid w:val="2D306BEE"/>
    <w:rsid w:val="2D3818CB"/>
    <w:rsid w:val="2D3E18CD"/>
    <w:rsid w:val="2D4336E5"/>
    <w:rsid w:val="2D43668F"/>
    <w:rsid w:val="2D4A4B7C"/>
    <w:rsid w:val="2D511634"/>
    <w:rsid w:val="2D54655C"/>
    <w:rsid w:val="2D5C20F6"/>
    <w:rsid w:val="2D606DDD"/>
    <w:rsid w:val="2D67726F"/>
    <w:rsid w:val="2D684A45"/>
    <w:rsid w:val="2D722B31"/>
    <w:rsid w:val="2D722C6C"/>
    <w:rsid w:val="2D77018A"/>
    <w:rsid w:val="2D8F594D"/>
    <w:rsid w:val="2D905B07"/>
    <w:rsid w:val="2D9650C8"/>
    <w:rsid w:val="2D975D04"/>
    <w:rsid w:val="2D976D39"/>
    <w:rsid w:val="2D9862F6"/>
    <w:rsid w:val="2D9A3115"/>
    <w:rsid w:val="2D9B3A21"/>
    <w:rsid w:val="2D9E49CB"/>
    <w:rsid w:val="2DA2485C"/>
    <w:rsid w:val="2DC2587C"/>
    <w:rsid w:val="2DC652D0"/>
    <w:rsid w:val="2DCE33D1"/>
    <w:rsid w:val="2DD02972"/>
    <w:rsid w:val="2DE05A9D"/>
    <w:rsid w:val="2DE4330E"/>
    <w:rsid w:val="2DE44761"/>
    <w:rsid w:val="2DE71FB6"/>
    <w:rsid w:val="2DEE0C13"/>
    <w:rsid w:val="2DF14E04"/>
    <w:rsid w:val="2DFE6EC4"/>
    <w:rsid w:val="2E021C1F"/>
    <w:rsid w:val="2E0A272C"/>
    <w:rsid w:val="2E1F05B0"/>
    <w:rsid w:val="2E273A99"/>
    <w:rsid w:val="2E2D4B23"/>
    <w:rsid w:val="2E310DA8"/>
    <w:rsid w:val="2E3A7AD9"/>
    <w:rsid w:val="2E3B4CF8"/>
    <w:rsid w:val="2E3C4B03"/>
    <w:rsid w:val="2E3F60DE"/>
    <w:rsid w:val="2E40631B"/>
    <w:rsid w:val="2E425CCC"/>
    <w:rsid w:val="2E426DA5"/>
    <w:rsid w:val="2E4C41BE"/>
    <w:rsid w:val="2E4D56DF"/>
    <w:rsid w:val="2E4E0FB8"/>
    <w:rsid w:val="2E5C0781"/>
    <w:rsid w:val="2E5E1E89"/>
    <w:rsid w:val="2E67400B"/>
    <w:rsid w:val="2E681986"/>
    <w:rsid w:val="2E6A00AA"/>
    <w:rsid w:val="2E6C2CCD"/>
    <w:rsid w:val="2E7236F3"/>
    <w:rsid w:val="2E800178"/>
    <w:rsid w:val="2E84761D"/>
    <w:rsid w:val="2E8774C2"/>
    <w:rsid w:val="2E926FBA"/>
    <w:rsid w:val="2E9D13D3"/>
    <w:rsid w:val="2E9D1D90"/>
    <w:rsid w:val="2EA06163"/>
    <w:rsid w:val="2EA32506"/>
    <w:rsid w:val="2EA91E36"/>
    <w:rsid w:val="2EAA53EF"/>
    <w:rsid w:val="2EB3506D"/>
    <w:rsid w:val="2ED53899"/>
    <w:rsid w:val="2ED65A68"/>
    <w:rsid w:val="2EE12EDE"/>
    <w:rsid w:val="2EEB11AA"/>
    <w:rsid w:val="2EEE548D"/>
    <w:rsid w:val="2EF120FB"/>
    <w:rsid w:val="2EF53C2A"/>
    <w:rsid w:val="2EF616CC"/>
    <w:rsid w:val="2EF62FFD"/>
    <w:rsid w:val="2EF9530B"/>
    <w:rsid w:val="2EFA5413"/>
    <w:rsid w:val="2EFD7A9D"/>
    <w:rsid w:val="2F02696C"/>
    <w:rsid w:val="2F0C243B"/>
    <w:rsid w:val="2F0D3063"/>
    <w:rsid w:val="2F1228FD"/>
    <w:rsid w:val="2F12397D"/>
    <w:rsid w:val="2F17639D"/>
    <w:rsid w:val="2F1E0131"/>
    <w:rsid w:val="2F20128C"/>
    <w:rsid w:val="2F270CCD"/>
    <w:rsid w:val="2F347DE0"/>
    <w:rsid w:val="2F375F5E"/>
    <w:rsid w:val="2F495DD7"/>
    <w:rsid w:val="2F564CED"/>
    <w:rsid w:val="2F59761E"/>
    <w:rsid w:val="2F5B2C2F"/>
    <w:rsid w:val="2F615964"/>
    <w:rsid w:val="2F6D3BD2"/>
    <w:rsid w:val="2F7373E2"/>
    <w:rsid w:val="2F765FF3"/>
    <w:rsid w:val="2F7716A4"/>
    <w:rsid w:val="2F7B4258"/>
    <w:rsid w:val="2F7E02D6"/>
    <w:rsid w:val="2F855763"/>
    <w:rsid w:val="2F8A6243"/>
    <w:rsid w:val="2F905005"/>
    <w:rsid w:val="2F947C8B"/>
    <w:rsid w:val="2F992B03"/>
    <w:rsid w:val="2F9B4D17"/>
    <w:rsid w:val="2FAB140E"/>
    <w:rsid w:val="2FB07AE2"/>
    <w:rsid w:val="2FB51FDB"/>
    <w:rsid w:val="2FB86CB3"/>
    <w:rsid w:val="2FCC3691"/>
    <w:rsid w:val="2FD46ECA"/>
    <w:rsid w:val="2FD60770"/>
    <w:rsid w:val="2FD638A4"/>
    <w:rsid w:val="2FDC76A6"/>
    <w:rsid w:val="2FDD694E"/>
    <w:rsid w:val="2FE626B1"/>
    <w:rsid w:val="2FEA46A6"/>
    <w:rsid w:val="2FED128A"/>
    <w:rsid w:val="2FEE74CE"/>
    <w:rsid w:val="2FF103A2"/>
    <w:rsid w:val="2FF1434E"/>
    <w:rsid w:val="30041029"/>
    <w:rsid w:val="300B6270"/>
    <w:rsid w:val="300D4BEB"/>
    <w:rsid w:val="3010755A"/>
    <w:rsid w:val="30116183"/>
    <w:rsid w:val="3016135D"/>
    <w:rsid w:val="301D5FE0"/>
    <w:rsid w:val="30251893"/>
    <w:rsid w:val="30281BE6"/>
    <w:rsid w:val="30316E1F"/>
    <w:rsid w:val="303333A4"/>
    <w:rsid w:val="30344C3E"/>
    <w:rsid w:val="30364213"/>
    <w:rsid w:val="30367A3C"/>
    <w:rsid w:val="303E0040"/>
    <w:rsid w:val="304133D6"/>
    <w:rsid w:val="30487D9D"/>
    <w:rsid w:val="30560DB2"/>
    <w:rsid w:val="306054FC"/>
    <w:rsid w:val="30650648"/>
    <w:rsid w:val="30661A7C"/>
    <w:rsid w:val="30710508"/>
    <w:rsid w:val="30750B1F"/>
    <w:rsid w:val="30767F36"/>
    <w:rsid w:val="307957A2"/>
    <w:rsid w:val="307C6BAA"/>
    <w:rsid w:val="30876226"/>
    <w:rsid w:val="308A0768"/>
    <w:rsid w:val="308A486D"/>
    <w:rsid w:val="308B13BB"/>
    <w:rsid w:val="308D4FA9"/>
    <w:rsid w:val="308F60F8"/>
    <w:rsid w:val="30920555"/>
    <w:rsid w:val="30927AE9"/>
    <w:rsid w:val="3094258B"/>
    <w:rsid w:val="309557C0"/>
    <w:rsid w:val="309A219B"/>
    <w:rsid w:val="309D505F"/>
    <w:rsid w:val="30A124D1"/>
    <w:rsid w:val="30A13A34"/>
    <w:rsid w:val="30AA4B62"/>
    <w:rsid w:val="30B17EF2"/>
    <w:rsid w:val="30B25382"/>
    <w:rsid w:val="30B40ADA"/>
    <w:rsid w:val="30BA58F7"/>
    <w:rsid w:val="30C15BE9"/>
    <w:rsid w:val="30C227C6"/>
    <w:rsid w:val="30C80126"/>
    <w:rsid w:val="30CB291F"/>
    <w:rsid w:val="30CE2908"/>
    <w:rsid w:val="30D0030B"/>
    <w:rsid w:val="30D3370F"/>
    <w:rsid w:val="30DB4233"/>
    <w:rsid w:val="30DC5FCD"/>
    <w:rsid w:val="30DD697B"/>
    <w:rsid w:val="30DF5C73"/>
    <w:rsid w:val="30ED531C"/>
    <w:rsid w:val="30F55EC9"/>
    <w:rsid w:val="30FB7420"/>
    <w:rsid w:val="310155A8"/>
    <w:rsid w:val="31077319"/>
    <w:rsid w:val="31094915"/>
    <w:rsid w:val="31116472"/>
    <w:rsid w:val="31134CCB"/>
    <w:rsid w:val="311463E7"/>
    <w:rsid w:val="312E38B6"/>
    <w:rsid w:val="312E609A"/>
    <w:rsid w:val="31341635"/>
    <w:rsid w:val="31354E8B"/>
    <w:rsid w:val="31387F2D"/>
    <w:rsid w:val="31483E78"/>
    <w:rsid w:val="314F5934"/>
    <w:rsid w:val="314F6D01"/>
    <w:rsid w:val="31531F0D"/>
    <w:rsid w:val="315A38DE"/>
    <w:rsid w:val="315B4E9F"/>
    <w:rsid w:val="315C4EE4"/>
    <w:rsid w:val="315E6838"/>
    <w:rsid w:val="31607BC3"/>
    <w:rsid w:val="316657CD"/>
    <w:rsid w:val="316679C2"/>
    <w:rsid w:val="3173454C"/>
    <w:rsid w:val="31793F5A"/>
    <w:rsid w:val="317C3171"/>
    <w:rsid w:val="318374A9"/>
    <w:rsid w:val="318843F4"/>
    <w:rsid w:val="318A102E"/>
    <w:rsid w:val="31966601"/>
    <w:rsid w:val="319F7A56"/>
    <w:rsid w:val="31A04156"/>
    <w:rsid w:val="31BA1723"/>
    <w:rsid w:val="31BA7378"/>
    <w:rsid w:val="31BB0903"/>
    <w:rsid w:val="31BC7E90"/>
    <w:rsid w:val="31C07B00"/>
    <w:rsid w:val="31C17A74"/>
    <w:rsid w:val="31CC5E1B"/>
    <w:rsid w:val="31D124A1"/>
    <w:rsid w:val="31D438E3"/>
    <w:rsid w:val="31D72B94"/>
    <w:rsid w:val="31DC19C9"/>
    <w:rsid w:val="31E71C60"/>
    <w:rsid w:val="31E95915"/>
    <w:rsid w:val="31E965CC"/>
    <w:rsid w:val="31EC3DE7"/>
    <w:rsid w:val="31F1423A"/>
    <w:rsid w:val="31F562AD"/>
    <w:rsid w:val="31F94FF8"/>
    <w:rsid w:val="31FC70A0"/>
    <w:rsid w:val="3201399E"/>
    <w:rsid w:val="32031052"/>
    <w:rsid w:val="320B5C3E"/>
    <w:rsid w:val="320C4A01"/>
    <w:rsid w:val="32120ACA"/>
    <w:rsid w:val="32132F45"/>
    <w:rsid w:val="3217765E"/>
    <w:rsid w:val="321A0BD9"/>
    <w:rsid w:val="321F1B35"/>
    <w:rsid w:val="322C0A36"/>
    <w:rsid w:val="323347C6"/>
    <w:rsid w:val="323E3A9D"/>
    <w:rsid w:val="324112A8"/>
    <w:rsid w:val="3242183E"/>
    <w:rsid w:val="32557452"/>
    <w:rsid w:val="32584FAC"/>
    <w:rsid w:val="325D2EBC"/>
    <w:rsid w:val="32616E5E"/>
    <w:rsid w:val="32663E69"/>
    <w:rsid w:val="32666E18"/>
    <w:rsid w:val="32687EE2"/>
    <w:rsid w:val="326B1EA1"/>
    <w:rsid w:val="326D3699"/>
    <w:rsid w:val="326D7D87"/>
    <w:rsid w:val="326E1FE0"/>
    <w:rsid w:val="327321BC"/>
    <w:rsid w:val="3276140C"/>
    <w:rsid w:val="32810BE7"/>
    <w:rsid w:val="3282037A"/>
    <w:rsid w:val="32873A01"/>
    <w:rsid w:val="3295105C"/>
    <w:rsid w:val="32980D94"/>
    <w:rsid w:val="32A21F65"/>
    <w:rsid w:val="32A26665"/>
    <w:rsid w:val="32A405F7"/>
    <w:rsid w:val="32A66A31"/>
    <w:rsid w:val="32B44827"/>
    <w:rsid w:val="32B9280F"/>
    <w:rsid w:val="32BA2E6B"/>
    <w:rsid w:val="32CA2DBF"/>
    <w:rsid w:val="32CA6E09"/>
    <w:rsid w:val="32CC56B3"/>
    <w:rsid w:val="32CF2F49"/>
    <w:rsid w:val="32D86343"/>
    <w:rsid w:val="32DA2BFB"/>
    <w:rsid w:val="32E42C6B"/>
    <w:rsid w:val="32E67BDA"/>
    <w:rsid w:val="32EA7AB4"/>
    <w:rsid w:val="32EB6C8D"/>
    <w:rsid w:val="32F573F4"/>
    <w:rsid w:val="32FA19FA"/>
    <w:rsid w:val="32FB5D07"/>
    <w:rsid w:val="33034EE7"/>
    <w:rsid w:val="331617B9"/>
    <w:rsid w:val="33185596"/>
    <w:rsid w:val="331A709C"/>
    <w:rsid w:val="332257C9"/>
    <w:rsid w:val="332630A5"/>
    <w:rsid w:val="33277A8D"/>
    <w:rsid w:val="332961A8"/>
    <w:rsid w:val="332A512D"/>
    <w:rsid w:val="332A7F49"/>
    <w:rsid w:val="332D6D5D"/>
    <w:rsid w:val="33342C15"/>
    <w:rsid w:val="333E034F"/>
    <w:rsid w:val="33463108"/>
    <w:rsid w:val="33485D70"/>
    <w:rsid w:val="334E58BF"/>
    <w:rsid w:val="335612E7"/>
    <w:rsid w:val="33566CF0"/>
    <w:rsid w:val="33590798"/>
    <w:rsid w:val="335C4742"/>
    <w:rsid w:val="335D60C6"/>
    <w:rsid w:val="335F73F1"/>
    <w:rsid w:val="33645BBE"/>
    <w:rsid w:val="33666F60"/>
    <w:rsid w:val="336E44F8"/>
    <w:rsid w:val="336E4EC1"/>
    <w:rsid w:val="337752D1"/>
    <w:rsid w:val="3385049D"/>
    <w:rsid w:val="33896CE7"/>
    <w:rsid w:val="338D6A86"/>
    <w:rsid w:val="339B4D62"/>
    <w:rsid w:val="33A2061F"/>
    <w:rsid w:val="33A46D1A"/>
    <w:rsid w:val="33B276CA"/>
    <w:rsid w:val="33B8496E"/>
    <w:rsid w:val="33C224FD"/>
    <w:rsid w:val="33C32EC7"/>
    <w:rsid w:val="33C34664"/>
    <w:rsid w:val="33CA6BC0"/>
    <w:rsid w:val="33CA76F3"/>
    <w:rsid w:val="33D211DA"/>
    <w:rsid w:val="33D52AD4"/>
    <w:rsid w:val="33D57F85"/>
    <w:rsid w:val="33DA71A4"/>
    <w:rsid w:val="33E06EA5"/>
    <w:rsid w:val="33E91E0C"/>
    <w:rsid w:val="33EC6084"/>
    <w:rsid w:val="33F37B8F"/>
    <w:rsid w:val="33F51A38"/>
    <w:rsid w:val="34002C18"/>
    <w:rsid w:val="34010C78"/>
    <w:rsid w:val="34024ACD"/>
    <w:rsid w:val="34113DDF"/>
    <w:rsid w:val="341423E6"/>
    <w:rsid w:val="34171726"/>
    <w:rsid w:val="34184786"/>
    <w:rsid w:val="3424076F"/>
    <w:rsid w:val="34260D76"/>
    <w:rsid w:val="34281E11"/>
    <w:rsid w:val="34285604"/>
    <w:rsid w:val="342D0BE1"/>
    <w:rsid w:val="342E1A49"/>
    <w:rsid w:val="343A72F1"/>
    <w:rsid w:val="34420508"/>
    <w:rsid w:val="345115A8"/>
    <w:rsid w:val="345851AA"/>
    <w:rsid w:val="346423BE"/>
    <w:rsid w:val="346E34C4"/>
    <w:rsid w:val="3472744B"/>
    <w:rsid w:val="3474078B"/>
    <w:rsid w:val="348078B0"/>
    <w:rsid w:val="348651BC"/>
    <w:rsid w:val="348C4C1E"/>
    <w:rsid w:val="348F514A"/>
    <w:rsid w:val="34935D20"/>
    <w:rsid w:val="34952C9D"/>
    <w:rsid w:val="349B1F71"/>
    <w:rsid w:val="34A76915"/>
    <w:rsid w:val="34AA3FDD"/>
    <w:rsid w:val="34B15C01"/>
    <w:rsid w:val="34B77CED"/>
    <w:rsid w:val="34B9529E"/>
    <w:rsid w:val="34BC7302"/>
    <w:rsid w:val="34C20E8B"/>
    <w:rsid w:val="34C437B2"/>
    <w:rsid w:val="34C553D1"/>
    <w:rsid w:val="34C63EC7"/>
    <w:rsid w:val="34CE67DF"/>
    <w:rsid w:val="34D3344B"/>
    <w:rsid w:val="34D672BE"/>
    <w:rsid w:val="34DB2ABB"/>
    <w:rsid w:val="34DC2FB4"/>
    <w:rsid w:val="34DC591B"/>
    <w:rsid w:val="34DF4EE9"/>
    <w:rsid w:val="34E04320"/>
    <w:rsid w:val="34EB6A4D"/>
    <w:rsid w:val="34ED4990"/>
    <w:rsid w:val="34EF5757"/>
    <w:rsid w:val="34F230D6"/>
    <w:rsid w:val="34F30289"/>
    <w:rsid w:val="34F4517D"/>
    <w:rsid w:val="34FA0BBE"/>
    <w:rsid w:val="34FB264B"/>
    <w:rsid w:val="34FB2EE1"/>
    <w:rsid w:val="34FC34AB"/>
    <w:rsid w:val="34FD7434"/>
    <w:rsid w:val="35001896"/>
    <w:rsid w:val="35036B7C"/>
    <w:rsid w:val="35063AB6"/>
    <w:rsid w:val="350E6DA1"/>
    <w:rsid w:val="350F39AD"/>
    <w:rsid w:val="35110BDD"/>
    <w:rsid w:val="351138B9"/>
    <w:rsid w:val="35150CF6"/>
    <w:rsid w:val="35162938"/>
    <w:rsid w:val="352250EF"/>
    <w:rsid w:val="352254DF"/>
    <w:rsid w:val="35297043"/>
    <w:rsid w:val="352B3990"/>
    <w:rsid w:val="35350C30"/>
    <w:rsid w:val="35386159"/>
    <w:rsid w:val="353F3847"/>
    <w:rsid w:val="354271E8"/>
    <w:rsid w:val="354F1EAC"/>
    <w:rsid w:val="35563422"/>
    <w:rsid w:val="35595B2A"/>
    <w:rsid w:val="355A6E49"/>
    <w:rsid w:val="355D7E6E"/>
    <w:rsid w:val="355F3196"/>
    <w:rsid w:val="35626F26"/>
    <w:rsid w:val="356F6825"/>
    <w:rsid w:val="356F74C8"/>
    <w:rsid w:val="35726628"/>
    <w:rsid w:val="357658A7"/>
    <w:rsid w:val="35801D0B"/>
    <w:rsid w:val="358021CD"/>
    <w:rsid w:val="358031AD"/>
    <w:rsid w:val="35803529"/>
    <w:rsid w:val="35805847"/>
    <w:rsid w:val="358A3635"/>
    <w:rsid w:val="358D4D9C"/>
    <w:rsid w:val="35952DD3"/>
    <w:rsid w:val="359669C7"/>
    <w:rsid w:val="359954E7"/>
    <w:rsid w:val="35A4008D"/>
    <w:rsid w:val="35AF617F"/>
    <w:rsid w:val="35AF6CE5"/>
    <w:rsid w:val="35BA094D"/>
    <w:rsid w:val="35BE51F7"/>
    <w:rsid w:val="35C07A3B"/>
    <w:rsid w:val="35CA6E49"/>
    <w:rsid w:val="35D13F28"/>
    <w:rsid w:val="35D30984"/>
    <w:rsid w:val="35D9744B"/>
    <w:rsid w:val="35DB6549"/>
    <w:rsid w:val="35E2509E"/>
    <w:rsid w:val="35E3354A"/>
    <w:rsid w:val="35E770B1"/>
    <w:rsid w:val="35ED26BD"/>
    <w:rsid w:val="35ED5576"/>
    <w:rsid w:val="35F26562"/>
    <w:rsid w:val="35F55D16"/>
    <w:rsid w:val="35F828B8"/>
    <w:rsid w:val="35FD473D"/>
    <w:rsid w:val="35FF07A5"/>
    <w:rsid w:val="35FF3AAA"/>
    <w:rsid w:val="36040CF1"/>
    <w:rsid w:val="360D4A05"/>
    <w:rsid w:val="36195B05"/>
    <w:rsid w:val="361F6D46"/>
    <w:rsid w:val="3627010F"/>
    <w:rsid w:val="363267A7"/>
    <w:rsid w:val="36345037"/>
    <w:rsid w:val="363541A1"/>
    <w:rsid w:val="363746ED"/>
    <w:rsid w:val="363942BE"/>
    <w:rsid w:val="363D21C7"/>
    <w:rsid w:val="363E17BD"/>
    <w:rsid w:val="36432C4D"/>
    <w:rsid w:val="3649353D"/>
    <w:rsid w:val="364A1507"/>
    <w:rsid w:val="36536C9E"/>
    <w:rsid w:val="36550C65"/>
    <w:rsid w:val="365738B3"/>
    <w:rsid w:val="365A4623"/>
    <w:rsid w:val="365D0BFF"/>
    <w:rsid w:val="3662791F"/>
    <w:rsid w:val="36637DED"/>
    <w:rsid w:val="36640E31"/>
    <w:rsid w:val="366D1D52"/>
    <w:rsid w:val="366E6E4F"/>
    <w:rsid w:val="3674300B"/>
    <w:rsid w:val="367B5D7B"/>
    <w:rsid w:val="367E10CB"/>
    <w:rsid w:val="36803843"/>
    <w:rsid w:val="36855E5E"/>
    <w:rsid w:val="368724D6"/>
    <w:rsid w:val="368A4B6B"/>
    <w:rsid w:val="368E5759"/>
    <w:rsid w:val="3695468A"/>
    <w:rsid w:val="36964FBD"/>
    <w:rsid w:val="369F41AE"/>
    <w:rsid w:val="36A85748"/>
    <w:rsid w:val="36B537B8"/>
    <w:rsid w:val="36B966B8"/>
    <w:rsid w:val="36CA60D3"/>
    <w:rsid w:val="36CC1F48"/>
    <w:rsid w:val="36CC5153"/>
    <w:rsid w:val="36CD1235"/>
    <w:rsid w:val="36CF2111"/>
    <w:rsid w:val="36D23A3D"/>
    <w:rsid w:val="36DB5F3E"/>
    <w:rsid w:val="36E21D1B"/>
    <w:rsid w:val="36E6468E"/>
    <w:rsid w:val="36F16EEF"/>
    <w:rsid w:val="36F7289B"/>
    <w:rsid w:val="36F928FB"/>
    <w:rsid w:val="36FB628D"/>
    <w:rsid w:val="3700705B"/>
    <w:rsid w:val="3704646D"/>
    <w:rsid w:val="370F0C47"/>
    <w:rsid w:val="37161AEC"/>
    <w:rsid w:val="37164D93"/>
    <w:rsid w:val="371F5158"/>
    <w:rsid w:val="37284BBF"/>
    <w:rsid w:val="372C0719"/>
    <w:rsid w:val="37370397"/>
    <w:rsid w:val="37382295"/>
    <w:rsid w:val="373A56D7"/>
    <w:rsid w:val="374279B4"/>
    <w:rsid w:val="37435715"/>
    <w:rsid w:val="37454090"/>
    <w:rsid w:val="3748436B"/>
    <w:rsid w:val="374F3F70"/>
    <w:rsid w:val="374F6DCD"/>
    <w:rsid w:val="37515F9C"/>
    <w:rsid w:val="37646A87"/>
    <w:rsid w:val="376D58B9"/>
    <w:rsid w:val="377040EC"/>
    <w:rsid w:val="377A05B0"/>
    <w:rsid w:val="377D441E"/>
    <w:rsid w:val="377F2075"/>
    <w:rsid w:val="378032DA"/>
    <w:rsid w:val="37831637"/>
    <w:rsid w:val="37852C4C"/>
    <w:rsid w:val="37887AAA"/>
    <w:rsid w:val="3791710D"/>
    <w:rsid w:val="37964796"/>
    <w:rsid w:val="379819A8"/>
    <w:rsid w:val="3798506F"/>
    <w:rsid w:val="37A151BD"/>
    <w:rsid w:val="37A72E6F"/>
    <w:rsid w:val="37A8716F"/>
    <w:rsid w:val="37A903EA"/>
    <w:rsid w:val="37AB2119"/>
    <w:rsid w:val="37AB7D73"/>
    <w:rsid w:val="37AE2027"/>
    <w:rsid w:val="37B95722"/>
    <w:rsid w:val="37BD53B3"/>
    <w:rsid w:val="37C11524"/>
    <w:rsid w:val="37C56598"/>
    <w:rsid w:val="37CE3B6E"/>
    <w:rsid w:val="37D032C8"/>
    <w:rsid w:val="37D76DB8"/>
    <w:rsid w:val="37DE41F4"/>
    <w:rsid w:val="37E039D1"/>
    <w:rsid w:val="37E340D5"/>
    <w:rsid w:val="37E4235E"/>
    <w:rsid w:val="37F26B9C"/>
    <w:rsid w:val="37F33444"/>
    <w:rsid w:val="37F60D49"/>
    <w:rsid w:val="37F80845"/>
    <w:rsid w:val="37FA796D"/>
    <w:rsid w:val="3802799C"/>
    <w:rsid w:val="3804068F"/>
    <w:rsid w:val="380843B4"/>
    <w:rsid w:val="380B1264"/>
    <w:rsid w:val="3810380F"/>
    <w:rsid w:val="38117DCD"/>
    <w:rsid w:val="38176511"/>
    <w:rsid w:val="381956EB"/>
    <w:rsid w:val="3823148F"/>
    <w:rsid w:val="38231834"/>
    <w:rsid w:val="38246B65"/>
    <w:rsid w:val="38272192"/>
    <w:rsid w:val="38296E61"/>
    <w:rsid w:val="382C5D88"/>
    <w:rsid w:val="382C6761"/>
    <w:rsid w:val="382F584F"/>
    <w:rsid w:val="38321C52"/>
    <w:rsid w:val="383240F4"/>
    <w:rsid w:val="383770A5"/>
    <w:rsid w:val="38377EC9"/>
    <w:rsid w:val="384445C1"/>
    <w:rsid w:val="3845726F"/>
    <w:rsid w:val="384A1969"/>
    <w:rsid w:val="384D2810"/>
    <w:rsid w:val="385335EE"/>
    <w:rsid w:val="38577D28"/>
    <w:rsid w:val="38635321"/>
    <w:rsid w:val="38662BA6"/>
    <w:rsid w:val="38704C5C"/>
    <w:rsid w:val="38786930"/>
    <w:rsid w:val="38863FE2"/>
    <w:rsid w:val="38881491"/>
    <w:rsid w:val="38885C6C"/>
    <w:rsid w:val="388F547F"/>
    <w:rsid w:val="388F6B6B"/>
    <w:rsid w:val="38902F63"/>
    <w:rsid w:val="38923F0C"/>
    <w:rsid w:val="389346B5"/>
    <w:rsid w:val="38970222"/>
    <w:rsid w:val="3899074D"/>
    <w:rsid w:val="38A9545E"/>
    <w:rsid w:val="38AC53F9"/>
    <w:rsid w:val="38AC57D8"/>
    <w:rsid w:val="38AC7B57"/>
    <w:rsid w:val="38AE33D1"/>
    <w:rsid w:val="38B15615"/>
    <w:rsid w:val="38B22162"/>
    <w:rsid w:val="38B33357"/>
    <w:rsid w:val="38B44FA7"/>
    <w:rsid w:val="38BD09C1"/>
    <w:rsid w:val="38C2712E"/>
    <w:rsid w:val="38C933D0"/>
    <w:rsid w:val="38D622D3"/>
    <w:rsid w:val="38E710B4"/>
    <w:rsid w:val="38E829C3"/>
    <w:rsid w:val="38E938C8"/>
    <w:rsid w:val="38EC3083"/>
    <w:rsid w:val="38FE3E72"/>
    <w:rsid w:val="38FE4D80"/>
    <w:rsid w:val="39024B38"/>
    <w:rsid w:val="39036F99"/>
    <w:rsid w:val="390A7143"/>
    <w:rsid w:val="3910321F"/>
    <w:rsid w:val="39145973"/>
    <w:rsid w:val="39182449"/>
    <w:rsid w:val="39201FB2"/>
    <w:rsid w:val="39207843"/>
    <w:rsid w:val="3924101C"/>
    <w:rsid w:val="39275AE9"/>
    <w:rsid w:val="39281DED"/>
    <w:rsid w:val="392B5375"/>
    <w:rsid w:val="392C050A"/>
    <w:rsid w:val="393156B6"/>
    <w:rsid w:val="39344887"/>
    <w:rsid w:val="39382228"/>
    <w:rsid w:val="39393879"/>
    <w:rsid w:val="393F0521"/>
    <w:rsid w:val="39404BDA"/>
    <w:rsid w:val="394133C4"/>
    <w:rsid w:val="3944153C"/>
    <w:rsid w:val="39653972"/>
    <w:rsid w:val="396C2731"/>
    <w:rsid w:val="39701147"/>
    <w:rsid w:val="39703CBC"/>
    <w:rsid w:val="397D5B88"/>
    <w:rsid w:val="397E01CF"/>
    <w:rsid w:val="39856837"/>
    <w:rsid w:val="39862878"/>
    <w:rsid w:val="398C5DEE"/>
    <w:rsid w:val="399438BF"/>
    <w:rsid w:val="399815F2"/>
    <w:rsid w:val="399A591B"/>
    <w:rsid w:val="399B6269"/>
    <w:rsid w:val="39A32ECE"/>
    <w:rsid w:val="39A92619"/>
    <w:rsid w:val="39AC0248"/>
    <w:rsid w:val="39AE2020"/>
    <w:rsid w:val="39AE6D68"/>
    <w:rsid w:val="39BA189A"/>
    <w:rsid w:val="39BB05C2"/>
    <w:rsid w:val="39C81661"/>
    <w:rsid w:val="39D153A2"/>
    <w:rsid w:val="39D27495"/>
    <w:rsid w:val="39D75C90"/>
    <w:rsid w:val="39D93118"/>
    <w:rsid w:val="39D978B9"/>
    <w:rsid w:val="39DC0A59"/>
    <w:rsid w:val="39DC5AE0"/>
    <w:rsid w:val="39DD70D9"/>
    <w:rsid w:val="39DE2BF5"/>
    <w:rsid w:val="39E00AD9"/>
    <w:rsid w:val="39E560E0"/>
    <w:rsid w:val="39ED5667"/>
    <w:rsid w:val="39F2116B"/>
    <w:rsid w:val="39F47A99"/>
    <w:rsid w:val="39FD7AB6"/>
    <w:rsid w:val="39FE2A17"/>
    <w:rsid w:val="39FE6964"/>
    <w:rsid w:val="3A013163"/>
    <w:rsid w:val="3A0B2289"/>
    <w:rsid w:val="3A1170AA"/>
    <w:rsid w:val="3A1734BB"/>
    <w:rsid w:val="3A1E0E3E"/>
    <w:rsid w:val="3A252899"/>
    <w:rsid w:val="3A2A2115"/>
    <w:rsid w:val="3A2E21D8"/>
    <w:rsid w:val="3A303224"/>
    <w:rsid w:val="3A323644"/>
    <w:rsid w:val="3A345BC1"/>
    <w:rsid w:val="3A3703F9"/>
    <w:rsid w:val="3A3F3623"/>
    <w:rsid w:val="3A496765"/>
    <w:rsid w:val="3A4A5E8C"/>
    <w:rsid w:val="3A4A7E32"/>
    <w:rsid w:val="3A4F584E"/>
    <w:rsid w:val="3A507EF5"/>
    <w:rsid w:val="3A525F64"/>
    <w:rsid w:val="3A612BE5"/>
    <w:rsid w:val="3A6178EF"/>
    <w:rsid w:val="3A6245F6"/>
    <w:rsid w:val="3A6522F4"/>
    <w:rsid w:val="3A68134E"/>
    <w:rsid w:val="3A6C0DA7"/>
    <w:rsid w:val="3A6D6AF4"/>
    <w:rsid w:val="3A6F3A91"/>
    <w:rsid w:val="3A792158"/>
    <w:rsid w:val="3A846A6E"/>
    <w:rsid w:val="3A8D4B73"/>
    <w:rsid w:val="3A923795"/>
    <w:rsid w:val="3A93798A"/>
    <w:rsid w:val="3A9B1234"/>
    <w:rsid w:val="3A9E34A5"/>
    <w:rsid w:val="3AA2431F"/>
    <w:rsid w:val="3AAC7BA4"/>
    <w:rsid w:val="3AAD0CEE"/>
    <w:rsid w:val="3AC209D5"/>
    <w:rsid w:val="3AC9063B"/>
    <w:rsid w:val="3AD35F4A"/>
    <w:rsid w:val="3AD43CC7"/>
    <w:rsid w:val="3AD62023"/>
    <w:rsid w:val="3ADA4656"/>
    <w:rsid w:val="3ADB5557"/>
    <w:rsid w:val="3ADF3963"/>
    <w:rsid w:val="3AEA7127"/>
    <w:rsid w:val="3AF7445E"/>
    <w:rsid w:val="3B025B2A"/>
    <w:rsid w:val="3B070ADD"/>
    <w:rsid w:val="3B0A4A74"/>
    <w:rsid w:val="3B1D4EED"/>
    <w:rsid w:val="3B30795C"/>
    <w:rsid w:val="3B370F43"/>
    <w:rsid w:val="3B384E53"/>
    <w:rsid w:val="3B3C5A04"/>
    <w:rsid w:val="3B400C0F"/>
    <w:rsid w:val="3B40369B"/>
    <w:rsid w:val="3B4200BA"/>
    <w:rsid w:val="3B441293"/>
    <w:rsid w:val="3B44790A"/>
    <w:rsid w:val="3B4D6D7B"/>
    <w:rsid w:val="3B4E234C"/>
    <w:rsid w:val="3B53733F"/>
    <w:rsid w:val="3B550133"/>
    <w:rsid w:val="3B587473"/>
    <w:rsid w:val="3B5B3674"/>
    <w:rsid w:val="3B5C0485"/>
    <w:rsid w:val="3B5C0B31"/>
    <w:rsid w:val="3B5D02E3"/>
    <w:rsid w:val="3B6249F4"/>
    <w:rsid w:val="3B6B34A3"/>
    <w:rsid w:val="3B7A781A"/>
    <w:rsid w:val="3B814973"/>
    <w:rsid w:val="3B867737"/>
    <w:rsid w:val="3B872CD5"/>
    <w:rsid w:val="3B893DF2"/>
    <w:rsid w:val="3B8E763D"/>
    <w:rsid w:val="3B901C88"/>
    <w:rsid w:val="3B9162A0"/>
    <w:rsid w:val="3B993A35"/>
    <w:rsid w:val="3BA93373"/>
    <w:rsid w:val="3BAE2787"/>
    <w:rsid w:val="3BB42964"/>
    <w:rsid w:val="3BBA1318"/>
    <w:rsid w:val="3BBA547C"/>
    <w:rsid w:val="3BBF3AFC"/>
    <w:rsid w:val="3BC25435"/>
    <w:rsid w:val="3BCB4D13"/>
    <w:rsid w:val="3BCF4EED"/>
    <w:rsid w:val="3BD559EC"/>
    <w:rsid w:val="3BD84260"/>
    <w:rsid w:val="3BD85078"/>
    <w:rsid w:val="3BE46392"/>
    <w:rsid w:val="3BEB75A9"/>
    <w:rsid w:val="3BF27176"/>
    <w:rsid w:val="3BFC1A64"/>
    <w:rsid w:val="3C0014D4"/>
    <w:rsid w:val="3C091447"/>
    <w:rsid w:val="3C0C59F6"/>
    <w:rsid w:val="3C0F64BA"/>
    <w:rsid w:val="3C1027FC"/>
    <w:rsid w:val="3C115875"/>
    <w:rsid w:val="3C13549B"/>
    <w:rsid w:val="3C144D24"/>
    <w:rsid w:val="3C195797"/>
    <w:rsid w:val="3C1A144A"/>
    <w:rsid w:val="3C1C7257"/>
    <w:rsid w:val="3C274410"/>
    <w:rsid w:val="3C284A57"/>
    <w:rsid w:val="3C294C56"/>
    <w:rsid w:val="3C2D771F"/>
    <w:rsid w:val="3C3846AD"/>
    <w:rsid w:val="3C39241C"/>
    <w:rsid w:val="3C3E4E56"/>
    <w:rsid w:val="3C49383B"/>
    <w:rsid w:val="3C4B34E2"/>
    <w:rsid w:val="3C50494F"/>
    <w:rsid w:val="3C5428C6"/>
    <w:rsid w:val="3C576C00"/>
    <w:rsid w:val="3C5C2CB6"/>
    <w:rsid w:val="3C5D1A4F"/>
    <w:rsid w:val="3C5E46BE"/>
    <w:rsid w:val="3C630ABF"/>
    <w:rsid w:val="3C637808"/>
    <w:rsid w:val="3C767329"/>
    <w:rsid w:val="3C773C30"/>
    <w:rsid w:val="3C7C17C0"/>
    <w:rsid w:val="3C7D1332"/>
    <w:rsid w:val="3C7E5145"/>
    <w:rsid w:val="3C913507"/>
    <w:rsid w:val="3C984683"/>
    <w:rsid w:val="3C9E67B7"/>
    <w:rsid w:val="3CA264C0"/>
    <w:rsid w:val="3CA578E5"/>
    <w:rsid w:val="3CB839AD"/>
    <w:rsid w:val="3CC10865"/>
    <w:rsid w:val="3CC419E3"/>
    <w:rsid w:val="3CCB2497"/>
    <w:rsid w:val="3CCC1E58"/>
    <w:rsid w:val="3CCC3B0F"/>
    <w:rsid w:val="3CD256B7"/>
    <w:rsid w:val="3CD43D40"/>
    <w:rsid w:val="3CD86C88"/>
    <w:rsid w:val="3CD906BA"/>
    <w:rsid w:val="3CE043A3"/>
    <w:rsid w:val="3CEA05FB"/>
    <w:rsid w:val="3CEC2C84"/>
    <w:rsid w:val="3CF00339"/>
    <w:rsid w:val="3CFF50D6"/>
    <w:rsid w:val="3D0467C1"/>
    <w:rsid w:val="3D08630D"/>
    <w:rsid w:val="3D0F76E0"/>
    <w:rsid w:val="3D151619"/>
    <w:rsid w:val="3D1724E3"/>
    <w:rsid w:val="3D1A4101"/>
    <w:rsid w:val="3D2F498B"/>
    <w:rsid w:val="3D3D3C67"/>
    <w:rsid w:val="3D5736B0"/>
    <w:rsid w:val="3D581733"/>
    <w:rsid w:val="3D597C83"/>
    <w:rsid w:val="3D5A25B9"/>
    <w:rsid w:val="3D5A63B2"/>
    <w:rsid w:val="3D646729"/>
    <w:rsid w:val="3D67057F"/>
    <w:rsid w:val="3D697DB8"/>
    <w:rsid w:val="3D6A56CA"/>
    <w:rsid w:val="3D743C21"/>
    <w:rsid w:val="3D75267C"/>
    <w:rsid w:val="3D762525"/>
    <w:rsid w:val="3D7A7AD7"/>
    <w:rsid w:val="3D7F34E7"/>
    <w:rsid w:val="3D8532CB"/>
    <w:rsid w:val="3D8575A7"/>
    <w:rsid w:val="3D8876EB"/>
    <w:rsid w:val="3D8B7CE2"/>
    <w:rsid w:val="3D916060"/>
    <w:rsid w:val="3D98059B"/>
    <w:rsid w:val="3D9A10CD"/>
    <w:rsid w:val="3DA11275"/>
    <w:rsid w:val="3DA34923"/>
    <w:rsid w:val="3DA402FB"/>
    <w:rsid w:val="3DAA05C2"/>
    <w:rsid w:val="3DB160F1"/>
    <w:rsid w:val="3DC14786"/>
    <w:rsid w:val="3DC40E6B"/>
    <w:rsid w:val="3DC8523D"/>
    <w:rsid w:val="3DCC46CF"/>
    <w:rsid w:val="3DD15CA7"/>
    <w:rsid w:val="3DDA216B"/>
    <w:rsid w:val="3DDE14B6"/>
    <w:rsid w:val="3DEB73AC"/>
    <w:rsid w:val="3DEE6CEE"/>
    <w:rsid w:val="3DF156E0"/>
    <w:rsid w:val="3DF662C7"/>
    <w:rsid w:val="3DFA733B"/>
    <w:rsid w:val="3DFE6B84"/>
    <w:rsid w:val="3E046511"/>
    <w:rsid w:val="3E08096E"/>
    <w:rsid w:val="3E0B0848"/>
    <w:rsid w:val="3E10310E"/>
    <w:rsid w:val="3E107561"/>
    <w:rsid w:val="3E116978"/>
    <w:rsid w:val="3E175077"/>
    <w:rsid w:val="3E191EE2"/>
    <w:rsid w:val="3E1B4B57"/>
    <w:rsid w:val="3E2578AA"/>
    <w:rsid w:val="3E355BA1"/>
    <w:rsid w:val="3E366C32"/>
    <w:rsid w:val="3E386F20"/>
    <w:rsid w:val="3E3C08D1"/>
    <w:rsid w:val="3E406B77"/>
    <w:rsid w:val="3E524B6D"/>
    <w:rsid w:val="3E5256E1"/>
    <w:rsid w:val="3E5757E0"/>
    <w:rsid w:val="3E5A70B0"/>
    <w:rsid w:val="3E5C5E7F"/>
    <w:rsid w:val="3E5D5259"/>
    <w:rsid w:val="3E667BAE"/>
    <w:rsid w:val="3E6F790D"/>
    <w:rsid w:val="3E70061C"/>
    <w:rsid w:val="3E7B299F"/>
    <w:rsid w:val="3E7C0FC0"/>
    <w:rsid w:val="3E820AA3"/>
    <w:rsid w:val="3E8643DE"/>
    <w:rsid w:val="3E89105F"/>
    <w:rsid w:val="3E8A09E7"/>
    <w:rsid w:val="3E921944"/>
    <w:rsid w:val="3E98330C"/>
    <w:rsid w:val="3E9927A6"/>
    <w:rsid w:val="3E996D26"/>
    <w:rsid w:val="3E997816"/>
    <w:rsid w:val="3EA23EF8"/>
    <w:rsid w:val="3EA85FE4"/>
    <w:rsid w:val="3EAC23FC"/>
    <w:rsid w:val="3EAC4999"/>
    <w:rsid w:val="3EAE5A93"/>
    <w:rsid w:val="3EB56F92"/>
    <w:rsid w:val="3EB91A47"/>
    <w:rsid w:val="3EBA429F"/>
    <w:rsid w:val="3EBD0F19"/>
    <w:rsid w:val="3EC46F5B"/>
    <w:rsid w:val="3EC520A6"/>
    <w:rsid w:val="3EC948BD"/>
    <w:rsid w:val="3ED50B71"/>
    <w:rsid w:val="3ED541F9"/>
    <w:rsid w:val="3EDF6786"/>
    <w:rsid w:val="3EE63791"/>
    <w:rsid w:val="3EEA1428"/>
    <w:rsid w:val="3EEB40F6"/>
    <w:rsid w:val="3EF46C60"/>
    <w:rsid w:val="3EFC4682"/>
    <w:rsid w:val="3EFE757A"/>
    <w:rsid w:val="3F04196D"/>
    <w:rsid w:val="3F0F1CE0"/>
    <w:rsid w:val="3F0F62E6"/>
    <w:rsid w:val="3F16547D"/>
    <w:rsid w:val="3F1D6F0E"/>
    <w:rsid w:val="3F29567F"/>
    <w:rsid w:val="3F2D5626"/>
    <w:rsid w:val="3F34531C"/>
    <w:rsid w:val="3F3676EC"/>
    <w:rsid w:val="3F3F09D6"/>
    <w:rsid w:val="3F531C0D"/>
    <w:rsid w:val="3F53795B"/>
    <w:rsid w:val="3F5C5588"/>
    <w:rsid w:val="3F5E797C"/>
    <w:rsid w:val="3F621BAD"/>
    <w:rsid w:val="3F6B10ED"/>
    <w:rsid w:val="3F6E0230"/>
    <w:rsid w:val="3F782694"/>
    <w:rsid w:val="3F7E606A"/>
    <w:rsid w:val="3F8D2FE2"/>
    <w:rsid w:val="3F92005A"/>
    <w:rsid w:val="3F985697"/>
    <w:rsid w:val="3F9A0EFD"/>
    <w:rsid w:val="3F9D4593"/>
    <w:rsid w:val="3FA2114E"/>
    <w:rsid w:val="3FAD58C6"/>
    <w:rsid w:val="3FB4734F"/>
    <w:rsid w:val="3FC9355F"/>
    <w:rsid w:val="3FD05E8D"/>
    <w:rsid w:val="3FD43122"/>
    <w:rsid w:val="3FD538D2"/>
    <w:rsid w:val="3FD650CE"/>
    <w:rsid w:val="3FD8333A"/>
    <w:rsid w:val="3FD84B7F"/>
    <w:rsid w:val="3FDE2E0C"/>
    <w:rsid w:val="3FE0226A"/>
    <w:rsid w:val="3FE04705"/>
    <w:rsid w:val="3FE13654"/>
    <w:rsid w:val="3FE65F4D"/>
    <w:rsid w:val="3FF12DF2"/>
    <w:rsid w:val="3FF351D2"/>
    <w:rsid w:val="3FF57E6F"/>
    <w:rsid w:val="3FF8022C"/>
    <w:rsid w:val="400802CC"/>
    <w:rsid w:val="40084A21"/>
    <w:rsid w:val="4009228F"/>
    <w:rsid w:val="40141DDD"/>
    <w:rsid w:val="401B6DE4"/>
    <w:rsid w:val="401E2C21"/>
    <w:rsid w:val="40214373"/>
    <w:rsid w:val="40227277"/>
    <w:rsid w:val="402579A9"/>
    <w:rsid w:val="402A44E3"/>
    <w:rsid w:val="403A75E2"/>
    <w:rsid w:val="403D5417"/>
    <w:rsid w:val="40412BCE"/>
    <w:rsid w:val="40461E7C"/>
    <w:rsid w:val="40463D9B"/>
    <w:rsid w:val="4048145A"/>
    <w:rsid w:val="404D3ACD"/>
    <w:rsid w:val="404F6105"/>
    <w:rsid w:val="4056520F"/>
    <w:rsid w:val="40573C28"/>
    <w:rsid w:val="40574B38"/>
    <w:rsid w:val="4058732A"/>
    <w:rsid w:val="405D650D"/>
    <w:rsid w:val="40657AAF"/>
    <w:rsid w:val="406A1E77"/>
    <w:rsid w:val="406E287C"/>
    <w:rsid w:val="40701A1F"/>
    <w:rsid w:val="407223D2"/>
    <w:rsid w:val="40786AC3"/>
    <w:rsid w:val="4080563C"/>
    <w:rsid w:val="408951AD"/>
    <w:rsid w:val="40897C0F"/>
    <w:rsid w:val="408D5ADD"/>
    <w:rsid w:val="408E34E1"/>
    <w:rsid w:val="408F6994"/>
    <w:rsid w:val="40955B16"/>
    <w:rsid w:val="40961229"/>
    <w:rsid w:val="40987FC1"/>
    <w:rsid w:val="409B353C"/>
    <w:rsid w:val="409F59A1"/>
    <w:rsid w:val="40A7312D"/>
    <w:rsid w:val="40AE255D"/>
    <w:rsid w:val="40B01311"/>
    <w:rsid w:val="40B145C5"/>
    <w:rsid w:val="40B24FDC"/>
    <w:rsid w:val="40CC71CF"/>
    <w:rsid w:val="40D225E8"/>
    <w:rsid w:val="40D33B61"/>
    <w:rsid w:val="40D67608"/>
    <w:rsid w:val="40D71A65"/>
    <w:rsid w:val="40E2313F"/>
    <w:rsid w:val="40E25C04"/>
    <w:rsid w:val="40E972B9"/>
    <w:rsid w:val="40EA42D3"/>
    <w:rsid w:val="40F12770"/>
    <w:rsid w:val="40F7718D"/>
    <w:rsid w:val="40FD7C26"/>
    <w:rsid w:val="41043110"/>
    <w:rsid w:val="41047709"/>
    <w:rsid w:val="41096F0B"/>
    <w:rsid w:val="410B27A3"/>
    <w:rsid w:val="41116F22"/>
    <w:rsid w:val="411C7A51"/>
    <w:rsid w:val="41217695"/>
    <w:rsid w:val="41222AEF"/>
    <w:rsid w:val="4125037C"/>
    <w:rsid w:val="412826BB"/>
    <w:rsid w:val="41283A06"/>
    <w:rsid w:val="412E094E"/>
    <w:rsid w:val="412E7298"/>
    <w:rsid w:val="41377BF4"/>
    <w:rsid w:val="413B25D1"/>
    <w:rsid w:val="41414218"/>
    <w:rsid w:val="41472380"/>
    <w:rsid w:val="41490666"/>
    <w:rsid w:val="414B1941"/>
    <w:rsid w:val="414F71B8"/>
    <w:rsid w:val="415354D1"/>
    <w:rsid w:val="415B40EA"/>
    <w:rsid w:val="415E195E"/>
    <w:rsid w:val="415E238E"/>
    <w:rsid w:val="415E3148"/>
    <w:rsid w:val="415F132D"/>
    <w:rsid w:val="41623463"/>
    <w:rsid w:val="41645C2C"/>
    <w:rsid w:val="417D0703"/>
    <w:rsid w:val="417F12B9"/>
    <w:rsid w:val="418F2040"/>
    <w:rsid w:val="41907C62"/>
    <w:rsid w:val="41930D1A"/>
    <w:rsid w:val="41936DB9"/>
    <w:rsid w:val="41945077"/>
    <w:rsid w:val="419A1C8B"/>
    <w:rsid w:val="419B7663"/>
    <w:rsid w:val="41A600A6"/>
    <w:rsid w:val="41AC50F2"/>
    <w:rsid w:val="41B14B58"/>
    <w:rsid w:val="41B407D4"/>
    <w:rsid w:val="41B977DB"/>
    <w:rsid w:val="41BE51B2"/>
    <w:rsid w:val="41BF729F"/>
    <w:rsid w:val="41CF25BB"/>
    <w:rsid w:val="41D4176B"/>
    <w:rsid w:val="41EA5032"/>
    <w:rsid w:val="41EE0D32"/>
    <w:rsid w:val="41FC0930"/>
    <w:rsid w:val="41FF711C"/>
    <w:rsid w:val="420B74D4"/>
    <w:rsid w:val="420C0E6C"/>
    <w:rsid w:val="420C10D6"/>
    <w:rsid w:val="420E00E8"/>
    <w:rsid w:val="420E6850"/>
    <w:rsid w:val="421519D5"/>
    <w:rsid w:val="421B6FC2"/>
    <w:rsid w:val="42211015"/>
    <w:rsid w:val="4224788C"/>
    <w:rsid w:val="42257078"/>
    <w:rsid w:val="422A371E"/>
    <w:rsid w:val="422F58F5"/>
    <w:rsid w:val="4232782F"/>
    <w:rsid w:val="42395BC2"/>
    <w:rsid w:val="42400B36"/>
    <w:rsid w:val="42427570"/>
    <w:rsid w:val="424B0C06"/>
    <w:rsid w:val="424B0F29"/>
    <w:rsid w:val="424C1040"/>
    <w:rsid w:val="424E0AF9"/>
    <w:rsid w:val="424F2B09"/>
    <w:rsid w:val="425741D6"/>
    <w:rsid w:val="425B1FA2"/>
    <w:rsid w:val="426C1611"/>
    <w:rsid w:val="426E3BF4"/>
    <w:rsid w:val="42764E17"/>
    <w:rsid w:val="427C2BAA"/>
    <w:rsid w:val="428340F1"/>
    <w:rsid w:val="4285748E"/>
    <w:rsid w:val="428716E0"/>
    <w:rsid w:val="42883AFB"/>
    <w:rsid w:val="428D6D0E"/>
    <w:rsid w:val="429535B9"/>
    <w:rsid w:val="429A11FC"/>
    <w:rsid w:val="429B2DBD"/>
    <w:rsid w:val="429E2668"/>
    <w:rsid w:val="42A1500F"/>
    <w:rsid w:val="42A32C54"/>
    <w:rsid w:val="42AB5F6F"/>
    <w:rsid w:val="42B235C1"/>
    <w:rsid w:val="42B2702B"/>
    <w:rsid w:val="42B35CAF"/>
    <w:rsid w:val="42B4231C"/>
    <w:rsid w:val="42B47A1F"/>
    <w:rsid w:val="42C137E3"/>
    <w:rsid w:val="42CF010B"/>
    <w:rsid w:val="42D03DEA"/>
    <w:rsid w:val="42D05BF1"/>
    <w:rsid w:val="42D35AEB"/>
    <w:rsid w:val="42D667D9"/>
    <w:rsid w:val="42E5349F"/>
    <w:rsid w:val="42EB1C44"/>
    <w:rsid w:val="42F06ADE"/>
    <w:rsid w:val="42F74D17"/>
    <w:rsid w:val="4309509A"/>
    <w:rsid w:val="4309736F"/>
    <w:rsid w:val="431260BD"/>
    <w:rsid w:val="43164A43"/>
    <w:rsid w:val="431E395E"/>
    <w:rsid w:val="43237C9A"/>
    <w:rsid w:val="433735DE"/>
    <w:rsid w:val="433A2579"/>
    <w:rsid w:val="433F5A39"/>
    <w:rsid w:val="434315B8"/>
    <w:rsid w:val="4348532A"/>
    <w:rsid w:val="43492470"/>
    <w:rsid w:val="43494EF6"/>
    <w:rsid w:val="434A0065"/>
    <w:rsid w:val="434A69C8"/>
    <w:rsid w:val="434B7BCA"/>
    <w:rsid w:val="435837BB"/>
    <w:rsid w:val="435E1A4F"/>
    <w:rsid w:val="435E6773"/>
    <w:rsid w:val="43642639"/>
    <w:rsid w:val="43706F35"/>
    <w:rsid w:val="437124B9"/>
    <w:rsid w:val="437416A8"/>
    <w:rsid w:val="437908F9"/>
    <w:rsid w:val="437A4385"/>
    <w:rsid w:val="437F66B5"/>
    <w:rsid w:val="438239CB"/>
    <w:rsid w:val="43825AD4"/>
    <w:rsid w:val="43863D10"/>
    <w:rsid w:val="438778E1"/>
    <w:rsid w:val="438B2464"/>
    <w:rsid w:val="43964DB1"/>
    <w:rsid w:val="43A06D7F"/>
    <w:rsid w:val="43A158CF"/>
    <w:rsid w:val="43A44A4F"/>
    <w:rsid w:val="43A70912"/>
    <w:rsid w:val="43AB552F"/>
    <w:rsid w:val="43AF6F7B"/>
    <w:rsid w:val="43B1665C"/>
    <w:rsid w:val="43B36543"/>
    <w:rsid w:val="43B37F2A"/>
    <w:rsid w:val="43B7779D"/>
    <w:rsid w:val="43C436FC"/>
    <w:rsid w:val="43CD546A"/>
    <w:rsid w:val="43D75704"/>
    <w:rsid w:val="43D94BB8"/>
    <w:rsid w:val="43E63495"/>
    <w:rsid w:val="43E81ED4"/>
    <w:rsid w:val="43EB2394"/>
    <w:rsid w:val="43EF5746"/>
    <w:rsid w:val="43FA2FDF"/>
    <w:rsid w:val="43FC2424"/>
    <w:rsid w:val="43FE0F4C"/>
    <w:rsid w:val="44004B5E"/>
    <w:rsid w:val="4408592A"/>
    <w:rsid w:val="44095B54"/>
    <w:rsid w:val="440B2BB0"/>
    <w:rsid w:val="440C0A16"/>
    <w:rsid w:val="44192946"/>
    <w:rsid w:val="441C6A32"/>
    <w:rsid w:val="44260613"/>
    <w:rsid w:val="44366F2B"/>
    <w:rsid w:val="443D4503"/>
    <w:rsid w:val="44430B6C"/>
    <w:rsid w:val="4447712C"/>
    <w:rsid w:val="444A011A"/>
    <w:rsid w:val="444C2577"/>
    <w:rsid w:val="44515596"/>
    <w:rsid w:val="445317A2"/>
    <w:rsid w:val="44547298"/>
    <w:rsid w:val="44595C7D"/>
    <w:rsid w:val="445B63FE"/>
    <w:rsid w:val="445E0725"/>
    <w:rsid w:val="44605D95"/>
    <w:rsid w:val="44616FDD"/>
    <w:rsid w:val="446947FB"/>
    <w:rsid w:val="446B3DCC"/>
    <w:rsid w:val="446D20FA"/>
    <w:rsid w:val="447679E2"/>
    <w:rsid w:val="44857C8D"/>
    <w:rsid w:val="44916AFC"/>
    <w:rsid w:val="44941BFB"/>
    <w:rsid w:val="44A02B0D"/>
    <w:rsid w:val="44A04DB1"/>
    <w:rsid w:val="44A7326B"/>
    <w:rsid w:val="44A97A33"/>
    <w:rsid w:val="44B448B2"/>
    <w:rsid w:val="44BD73BD"/>
    <w:rsid w:val="44BF47CD"/>
    <w:rsid w:val="44C31B2B"/>
    <w:rsid w:val="44C57370"/>
    <w:rsid w:val="44CA712B"/>
    <w:rsid w:val="44CC053B"/>
    <w:rsid w:val="44D01293"/>
    <w:rsid w:val="44D05585"/>
    <w:rsid w:val="44D24AA0"/>
    <w:rsid w:val="44E630F7"/>
    <w:rsid w:val="44EB1D8C"/>
    <w:rsid w:val="44EC3C5D"/>
    <w:rsid w:val="44F14816"/>
    <w:rsid w:val="44F1566E"/>
    <w:rsid w:val="44F5347D"/>
    <w:rsid w:val="44F64FEE"/>
    <w:rsid w:val="44F93D96"/>
    <w:rsid w:val="45004359"/>
    <w:rsid w:val="4501701C"/>
    <w:rsid w:val="450771EF"/>
    <w:rsid w:val="450A3E5D"/>
    <w:rsid w:val="450B0FCD"/>
    <w:rsid w:val="450C212F"/>
    <w:rsid w:val="451B7ED0"/>
    <w:rsid w:val="4523480B"/>
    <w:rsid w:val="45262DB7"/>
    <w:rsid w:val="45267B40"/>
    <w:rsid w:val="452B5DCB"/>
    <w:rsid w:val="455155CE"/>
    <w:rsid w:val="45567176"/>
    <w:rsid w:val="455B1464"/>
    <w:rsid w:val="455E584A"/>
    <w:rsid w:val="455F1260"/>
    <w:rsid w:val="455F2DF2"/>
    <w:rsid w:val="45613BB9"/>
    <w:rsid w:val="456564B5"/>
    <w:rsid w:val="456B7E84"/>
    <w:rsid w:val="45726157"/>
    <w:rsid w:val="45794A65"/>
    <w:rsid w:val="458172EE"/>
    <w:rsid w:val="45A36C76"/>
    <w:rsid w:val="45A72138"/>
    <w:rsid w:val="45A96964"/>
    <w:rsid w:val="45AA76F2"/>
    <w:rsid w:val="45B1037B"/>
    <w:rsid w:val="45BC5113"/>
    <w:rsid w:val="45BE62AB"/>
    <w:rsid w:val="45C7190A"/>
    <w:rsid w:val="45CC2B31"/>
    <w:rsid w:val="45CF6A38"/>
    <w:rsid w:val="45D37DC2"/>
    <w:rsid w:val="45DB1540"/>
    <w:rsid w:val="45E22EEB"/>
    <w:rsid w:val="45E55890"/>
    <w:rsid w:val="45E57CF2"/>
    <w:rsid w:val="45E62A35"/>
    <w:rsid w:val="45F07E0F"/>
    <w:rsid w:val="45FA62A5"/>
    <w:rsid w:val="45FB2BCD"/>
    <w:rsid w:val="45FF62EB"/>
    <w:rsid w:val="460133E9"/>
    <w:rsid w:val="46073EB9"/>
    <w:rsid w:val="460E5A3D"/>
    <w:rsid w:val="460E7F82"/>
    <w:rsid w:val="46120C85"/>
    <w:rsid w:val="46140FFC"/>
    <w:rsid w:val="46162057"/>
    <w:rsid w:val="461A0177"/>
    <w:rsid w:val="46216337"/>
    <w:rsid w:val="46217848"/>
    <w:rsid w:val="46226735"/>
    <w:rsid w:val="46243A22"/>
    <w:rsid w:val="462534DD"/>
    <w:rsid w:val="46274C08"/>
    <w:rsid w:val="462F2CDF"/>
    <w:rsid w:val="463B7437"/>
    <w:rsid w:val="463D5BA2"/>
    <w:rsid w:val="463E49F6"/>
    <w:rsid w:val="463F6118"/>
    <w:rsid w:val="4641505E"/>
    <w:rsid w:val="46433B6F"/>
    <w:rsid w:val="4646362D"/>
    <w:rsid w:val="46487F64"/>
    <w:rsid w:val="46501694"/>
    <w:rsid w:val="46595EAB"/>
    <w:rsid w:val="4666013A"/>
    <w:rsid w:val="466769C6"/>
    <w:rsid w:val="4668147F"/>
    <w:rsid w:val="46682FAF"/>
    <w:rsid w:val="466B2588"/>
    <w:rsid w:val="466B7D5C"/>
    <w:rsid w:val="466C454D"/>
    <w:rsid w:val="46712ECF"/>
    <w:rsid w:val="46744C93"/>
    <w:rsid w:val="467546E8"/>
    <w:rsid w:val="467B0523"/>
    <w:rsid w:val="467C07E6"/>
    <w:rsid w:val="467C23AB"/>
    <w:rsid w:val="467F0450"/>
    <w:rsid w:val="468A735A"/>
    <w:rsid w:val="468C73DC"/>
    <w:rsid w:val="4694036B"/>
    <w:rsid w:val="469903A2"/>
    <w:rsid w:val="469F4D11"/>
    <w:rsid w:val="46A34031"/>
    <w:rsid w:val="46AF0B55"/>
    <w:rsid w:val="46AF3536"/>
    <w:rsid w:val="46B166BE"/>
    <w:rsid w:val="46B833B6"/>
    <w:rsid w:val="46B97054"/>
    <w:rsid w:val="46BD6BAB"/>
    <w:rsid w:val="46BF3842"/>
    <w:rsid w:val="46C025EC"/>
    <w:rsid w:val="46C076CF"/>
    <w:rsid w:val="46C20CF0"/>
    <w:rsid w:val="46CE0D4E"/>
    <w:rsid w:val="46CF0C85"/>
    <w:rsid w:val="46D25A9E"/>
    <w:rsid w:val="46D62D8C"/>
    <w:rsid w:val="46D67887"/>
    <w:rsid w:val="46DF448E"/>
    <w:rsid w:val="46E51508"/>
    <w:rsid w:val="46EE6DBC"/>
    <w:rsid w:val="46F31815"/>
    <w:rsid w:val="46F4409F"/>
    <w:rsid w:val="46F6488C"/>
    <w:rsid w:val="46FD1D53"/>
    <w:rsid w:val="47001A25"/>
    <w:rsid w:val="47022F79"/>
    <w:rsid w:val="47081F34"/>
    <w:rsid w:val="47100203"/>
    <w:rsid w:val="47121600"/>
    <w:rsid w:val="4713549E"/>
    <w:rsid w:val="471954FD"/>
    <w:rsid w:val="471A3247"/>
    <w:rsid w:val="471B55E6"/>
    <w:rsid w:val="471E572A"/>
    <w:rsid w:val="47251654"/>
    <w:rsid w:val="472C2AD0"/>
    <w:rsid w:val="47331160"/>
    <w:rsid w:val="47351448"/>
    <w:rsid w:val="473D2620"/>
    <w:rsid w:val="473D4778"/>
    <w:rsid w:val="474B07A0"/>
    <w:rsid w:val="475E380D"/>
    <w:rsid w:val="476306F2"/>
    <w:rsid w:val="476A1CC8"/>
    <w:rsid w:val="477B3309"/>
    <w:rsid w:val="477C5A87"/>
    <w:rsid w:val="477F1A13"/>
    <w:rsid w:val="47851F39"/>
    <w:rsid w:val="47897431"/>
    <w:rsid w:val="479A1458"/>
    <w:rsid w:val="479C281A"/>
    <w:rsid w:val="47A33411"/>
    <w:rsid w:val="47AA3957"/>
    <w:rsid w:val="47AE05AA"/>
    <w:rsid w:val="47B07FDA"/>
    <w:rsid w:val="47BA4BEE"/>
    <w:rsid w:val="47BC7E41"/>
    <w:rsid w:val="47BE12F9"/>
    <w:rsid w:val="47C12188"/>
    <w:rsid w:val="47C17A67"/>
    <w:rsid w:val="47C31690"/>
    <w:rsid w:val="47C64055"/>
    <w:rsid w:val="47C94621"/>
    <w:rsid w:val="47D72169"/>
    <w:rsid w:val="47DA6D05"/>
    <w:rsid w:val="47E14777"/>
    <w:rsid w:val="47E71434"/>
    <w:rsid w:val="47EA7B5F"/>
    <w:rsid w:val="47EB64FF"/>
    <w:rsid w:val="47F1458A"/>
    <w:rsid w:val="47F935F9"/>
    <w:rsid w:val="47FA5D15"/>
    <w:rsid w:val="47FF43FC"/>
    <w:rsid w:val="480664AA"/>
    <w:rsid w:val="480D2060"/>
    <w:rsid w:val="48102F19"/>
    <w:rsid w:val="48192753"/>
    <w:rsid w:val="48193DE3"/>
    <w:rsid w:val="4819762F"/>
    <w:rsid w:val="481B0493"/>
    <w:rsid w:val="481F4426"/>
    <w:rsid w:val="482416E5"/>
    <w:rsid w:val="482C7052"/>
    <w:rsid w:val="48323F20"/>
    <w:rsid w:val="483B7F98"/>
    <w:rsid w:val="483D27EA"/>
    <w:rsid w:val="48424EB2"/>
    <w:rsid w:val="484422AB"/>
    <w:rsid w:val="48452EF8"/>
    <w:rsid w:val="48547669"/>
    <w:rsid w:val="48555FE3"/>
    <w:rsid w:val="485628B7"/>
    <w:rsid w:val="485A2801"/>
    <w:rsid w:val="485E035D"/>
    <w:rsid w:val="485E0B4E"/>
    <w:rsid w:val="48696CAD"/>
    <w:rsid w:val="48715BD8"/>
    <w:rsid w:val="48723746"/>
    <w:rsid w:val="487747F1"/>
    <w:rsid w:val="48795C90"/>
    <w:rsid w:val="487C5E09"/>
    <w:rsid w:val="487F63A8"/>
    <w:rsid w:val="48824C9E"/>
    <w:rsid w:val="48896D38"/>
    <w:rsid w:val="488C3D84"/>
    <w:rsid w:val="488F6A02"/>
    <w:rsid w:val="489A74FB"/>
    <w:rsid w:val="48B36154"/>
    <w:rsid w:val="48B66F41"/>
    <w:rsid w:val="48BA0080"/>
    <w:rsid w:val="48BF519E"/>
    <w:rsid w:val="48BF55C6"/>
    <w:rsid w:val="48C669BB"/>
    <w:rsid w:val="48C76FF8"/>
    <w:rsid w:val="48D657BF"/>
    <w:rsid w:val="48DA74C7"/>
    <w:rsid w:val="48DC55DD"/>
    <w:rsid w:val="48DD659F"/>
    <w:rsid w:val="48E12B5C"/>
    <w:rsid w:val="48E641D2"/>
    <w:rsid w:val="48E65D01"/>
    <w:rsid w:val="48EA102A"/>
    <w:rsid w:val="48EA51B6"/>
    <w:rsid w:val="48EB35CE"/>
    <w:rsid w:val="48F702F5"/>
    <w:rsid w:val="48F77131"/>
    <w:rsid w:val="48FC5BB9"/>
    <w:rsid w:val="49013226"/>
    <w:rsid w:val="49063EC3"/>
    <w:rsid w:val="49090696"/>
    <w:rsid w:val="490E77A0"/>
    <w:rsid w:val="4914636D"/>
    <w:rsid w:val="49234655"/>
    <w:rsid w:val="49235EA5"/>
    <w:rsid w:val="492561A8"/>
    <w:rsid w:val="49264BFF"/>
    <w:rsid w:val="492A1A6B"/>
    <w:rsid w:val="493331D4"/>
    <w:rsid w:val="493422EA"/>
    <w:rsid w:val="493451E3"/>
    <w:rsid w:val="49375BF6"/>
    <w:rsid w:val="49377C2F"/>
    <w:rsid w:val="494858C7"/>
    <w:rsid w:val="494A128C"/>
    <w:rsid w:val="4950367B"/>
    <w:rsid w:val="49530568"/>
    <w:rsid w:val="49564EC4"/>
    <w:rsid w:val="4957182A"/>
    <w:rsid w:val="49651048"/>
    <w:rsid w:val="496C74C8"/>
    <w:rsid w:val="498B5C75"/>
    <w:rsid w:val="49904267"/>
    <w:rsid w:val="499C48D2"/>
    <w:rsid w:val="499D09B0"/>
    <w:rsid w:val="49A30D89"/>
    <w:rsid w:val="49A4631B"/>
    <w:rsid w:val="49A7489A"/>
    <w:rsid w:val="49A83E14"/>
    <w:rsid w:val="49B2721C"/>
    <w:rsid w:val="49B7518A"/>
    <w:rsid w:val="49BA2F35"/>
    <w:rsid w:val="49BF6F64"/>
    <w:rsid w:val="49C15BFB"/>
    <w:rsid w:val="49C4035B"/>
    <w:rsid w:val="49C914A4"/>
    <w:rsid w:val="49CD6E3A"/>
    <w:rsid w:val="49D373B1"/>
    <w:rsid w:val="49D64B4A"/>
    <w:rsid w:val="49E47831"/>
    <w:rsid w:val="49EB7876"/>
    <w:rsid w:val="49F45651"/>
    <w:rsid w:val="49F70B00"/>
    <w:rsid w:val="49F966E2"/>
    <w:rsid w:val="49FA3EDE"/>
    <w:rsid w:val="4A0205D4"/>
    <w:rsid w:val="4A033F00"/>
    <w:rsid w:val="4A060919"/>
    <w:rsid w:val="4A083262"/>
    <w:rsid w:val="4A242853"/>
    <w:rsid w:val="4A260AC8"/>
    <w:rsid w:val="4A49293F"/>
    <w:rsid w:val="4A4C420D"/>
    <w:rsid w:val="4A4E54C0"/>
    <w:rsid w:val="4A500C79"/>
    <w:rsid w:val="4A5B743D"/>
    <w:rsid w:val="4A607F93"/>
    <w:rsid w:val="4A68765F"/>
    <w:rsid w:val="4A6935AC"/>
    <w:rsid w:val="4A6C3349"/>
    <w:rsid w:val="4A8058FC"/>
    <w:rsid w:val="4A810CCD"/>
    <w:rsid w:val="4A8D40D9"/>
    <w:rsid w:val="4A8E74D9"/>
    <w:rsid w:val="4A9607BB"/>
    <w:rsid w:val="4A960A6D"/>
    <w:rsid w:val="4A967538"/>
    <w:rsid w:val="4AAB73D5"/>
    <w:rsid w:val="4ABB2377"/>
    <w:rsid w:val="4ABE3959"/>
    <w:rsid w:val="4ABF44D5"/>
    <w:rsid w:val="4ABF78F3"/>
    <w:rsid w:val="4AC12100"/>
    <w:rsid w:val="4AC301BD"/>
    <w:rsid w:val="4AC47DD7"/>
    <w:rsid w:val="4AC7376B"/>
    <w:rsid w:val="4AC87EF7"/>
    <w:rsid w:val="4ACA6E6D"/>
    <w:rsid w:val="4ACF5105"/>
    <w:rsid w:val="4AD73C2A"/>
    <w:rsid w:val="4AD8448B"/>
    <w:rsid w:val="4AD97CA2"/>
    <w:rsid w:val="4AE15FB4"/>
    <w:rsid w:val="4AE90FA1"/>
    <w:rsid w:val="4AF05D86"/>
    <w:rsid w:val="4AF7197E"/>
    <w:rsid w:val="4AFB652F"/>
    <w:rsid w:val="4AFF574B"/>
    <w:rsid w:val="4B01032E"/>
    <w:rsid w:val="4B062C81"/>
    <w:rsid w:val="4B087CAF"/>
    <w:rsid w:val="4B0B1D58"/>
    <w:rsid w:val="4B0F063B"/>
    <w:rsid w:val="4B114795"/>
    <w:rsid w:val="4B1367B9"/>
    <w:rsid w:val="4B1B3D46"/>
    <w:rsid w:val="4B2A759C"/>
    <w:rsid w:val="4B2F6B91"/>
    <w:rsid w:val="4B40107E"/>
    <w:rsid w:val="4B412A1A"/>
    <w:rsid w:val="4B42641E"/>
    <w:rsid w:val="4B494BDA"/>
    <w:rsid w:val="4B5316E1"/>
    <w:rsid w:val="4B573744"/>
    <w:rsid w:val="4B584FF0"/>
    <w:rsid w:val="4B5E117D"/>
    <w:rsid w:val="4B61439C"/>
    <w:rsid w:val="4B64594E"/>
    <w:rsid w:val="4B7168A9"/>
    <w:rsid w:val="4B722114"/>
    <w:rsid w:val="4B723CEB"/>
    <w:rsid w:val="4B746903"/>
    <w:rsid w:val="4B7B1C5A"/>
    <w:rsid w:val="4B8362AF"/>
    <w:rsid w:val="4B836FDE"/>
    <w:rsid w:val="4B837490"/>
    <w:rsid w:val="4B855455"/>
    <w:rsid w:val="4B8F1C08"/>
    <w:rsid w:val="4B977D0F"/>
    <w:rsid w:val="4B9B0F7B"/>
    <w:rsid w:val="4B9D606D"/>
    <w:rsid w:val="4BA608D0"/>
    <w:rsid w:val="4BA76E4F"/>
    <w:rsid w:val="4BAB5768"/>
    <w:rsid w:val="4BB27468"/>
    <w:rsid w:val="4BB42E0A"/>
    <w:rsid w:val="4BB61BD2"/>
    <w:rsid w:val="4BB84288"/>
    <w:rsid w:val="4BB8573C"/>
    <w:rsid w:val="4BB87E1B"/>
    <w:rsid w:val="4BBA3C11"/>
    <w:rsid w:val="4BBB70F7"/>
    <w:rsid w:val="4BBF56BF"/>
    <w:rsid w:val="4BBF5C5F"/>
    <w:rsid w:val="4BC0362D"/>
    <w:rsid w:val="4BC23EAE"/>
    <w:rsid w:val="4BD03B77"/>
    <w:rsid w:val="4BD53282"/>
    <w:rsid w:val="4BD7319D"/>
    <w:rsid w:val="4BDD2E98"/>
    <w:rsid w:val="4BDE3F50"/>
    <w:rsid w:val="4BDE62B0"/>
    <w:rsid w:val="4BE3598C"/>
    <w:rsid w:val="4BE60E22"/>
    <w:rsid w:val="4BEB0BD7"/>
    <w:rsid w:val="4BEF33B5"/>
    <w:rsid w:val="4BF1750D"/>
    <w:rsid w:val="4BF668E1"/>
    <w:rsid w:val="4BF71FBC"/>
    <w:rsid w:val="4C0C3114"/>
    <w:rsid w:val="4C135DAC"/>
    <w:rsid w:val="4C1B4EF1"/>
    <w:rsid w:val="4C252577"/>
    <w:rsid w:val="4C280078"/>
    <w:rsid w:val="4C2E5F34"/>
    <w:rsid w:val="4C34014E"/>
    <w:rsid w:val="4C363442"/>
    <w:rsid w:val="4C366C34"/>
    <w:rsid w:val="4C39659B"/>
    <w:rsid w:val="4C4310A4"/>
    <w:rsid w:val="4C4E110E"/>
    <w:rsid w:val="4C57562E"/>
    <w:rsid w:val="4C58104F"/>
    <w:rsid w:val="4C5A2964"/>
    <w:rsid w:val="4C5E2B99"/>
    <w:rsid w:val="4C632C63"/>
    <w:rsid w:val="4C653F3A"/>
    <w:rsid w:val="4C6F2039"/>
    <w:rsid w:val="4C797FD3"/>
    <w:rsid w:val="4C7D45B6"/>
    <w:rsid w:val="4C8663D7"/>
    <w:rsid w:val="4C880639"/>
    <w:rsid w:val="4C967FA7"/>
    <w:rsid w:val="4C974AC9"/>
    <w:rsid w:val="4CA23089"/>
    <w:rsid w:val="4CA93EFF"/>
    <w:rsid w:val="4CB034E6"/>
    <w:rsid w:val="4CBF2547"/>
    <w:rsid w:val="4CC43CBD"/>
    <w:rsid w:val="4CC452EF"/>
    <w:rsid w:val="4CC6691C"/>
    <w:rsid w:val="4CC81911"/>
    <w:rsid w:val="4CCB3956"/>
    <w:rsid w:val="4CCD08FB"/>
    <w:rsid w:val="4CD1192C"/>
    <w:rsid w:val="4CD239F1"/>
    <w:rsid w:val="4CD35610"/>
    <w:rsid w:val="4CD407D9"/>
    <w:rsid w:val="4CD5641C"/>
    <w:rsid w:val="4CD64FA3"/>
    <w:rsid w:val="4CD93958"/>
    <w:rsid w:val="4CDA09D7"/>
    <w:rsid w:val="4CE04126"/>
    <w:rsid w:val="4CE32B30"/>
    <w:rsid w:val="4CEC4955"/>
    <w:rsid w:val="4CF43BA9"/>
    <w:rsid w:val="4CF51268"/>
    <w:rsid w:val="4CF63A46"/>
    <w:rsid w:val="4D051A1C"/>
    <w:rsid w:val="4D0A03AE"/>
    <w:rsid w:val="4D0C0E7A"/>
    <w:rsid w:val="4D1A2B89"/>
    <w:rsid w:val="4D207870"/>
    <w:rsid w:val="4D261811"/>
    <w:rsid w:val="4D2A61CB"/>
    <w:rsid w:val="4D2F15C4"/>
    <w:rsid w:val="4D384718"/>
    <w:rsid w:val="4D39796E"/>
    <w:rsid w:val="4D3B37F3"/>
    <w:rsid w:val="4D3E4CAB"/>
    <w:rsid w:val="4D581A4E"/>
    <w:rsid w:val="4D5B5441"/>
    <w:rsid w:val="4D5E0F56"/>
    <w:rsid w:val="4D6136F1"/>
    <w:rsid w:val="4D643AAE"/>
    <w:rsid w:val="4D643DA5"/>
    <w:rsid w:val="4D66461C"/>
    <w:rsid w:val="4D6843C5"/>
    <w:rsid w:val="4D7A69DF"/>
    <w:rsid w:val="4D7C372F"/>
    <w:rsid w:val="4D7D45B4"/>
    <w:rsid w:val="4D821F90"/>
    <w:rsid w:val="4D8758E2"/>
    <w:rsid w:val="4D907E94"/>
    <w:rsid w:val="4D934492"/>
    <w:rsid w:val="4D947BA0"/>
    <w:rsid w:val="4D9B6DFB"/>
    <w:rsid w:val="4D9D2A32"/>
    <w:rsid w:val="4D9D4D14"/>
    <w:rsid w:val="4DA16165"/>
    <w:rsid w:val="4DA17573"/>
    <w:rsid w:val="4DA678F5"/>
    <w:rsid w:val="4DB169D9"/>
    <w:rsid w:val="4DB651BC"/>
    <w:rsid w:val="4DBA59D8"/>
    <w:rsid w:val="4DBD3862"/>
    <w:rsid w:val="4DBE1BED"/>
    <w:rsid w:val="4DBE46E0"/>
    <w:rsid w:val="4DBF3FA6"/>
    <w:rsid w:val="4DC029ED"/>
    <w:rsid w:val="4DC0794B"/>
    <w:rsid w:val="4DC32B7A"/>
    <w:rsid w:val="4DC4022C"/>
    <w:rsid w:val="4DC41A1C"/>
    <w:rsid w:val="4DC56170"/>
    <w:rsid w:val="4DD04270"/>
    <w:rsid w:val="4DD756B6"/>
    <w:rsid w:val="4DE40BE8"/>
    <w:rsid w:val="4DEA3418"/>
    <w:rsid w:val="4DEE4690"/>
    <w:rsid w:val="4DEF67DC"/>
    <w:rsid w:val="4DEF7AD3"/>
    <w:rsid w:val="4DF427A2"/>
    <w:rsid w:val="4DF50603"/>
    <w:rsid w:val="4DFD4034"/>
    <w:rsid w:val="4E037CCA"/>
    <w:rsid w:val="4E064D8C"/>
    <w:rsid w:val="4E070CE7"/>
    <w:rsid w:val="4E0935AA"/>
    <w:rsid w:val="4E0B358C"/>
    <w:rsid w:val="4E117392"/>
    <w:rsid w:val="4E1D1220"/>
    <w:rsid w:val="4E212451"/>
    <w:rsid w:val="4E290019"/>
    <w:rsid w:val="4E2A287E"/>
    <w:rsid w:val="4E360BCC"/>
    <w:rsid w:val="4E385133"/>
    <w:rsid w:val="4E3A1E55"/>
    <w:rsid w:val="4E3E50E4"/>
    <w:rsid w:val="4E3E5991"/>
    <w:rsid w:val="4E42171F"/>
    <w:rsid w:val="4E4332DD"/>
    <w:rsid w:val="4E49359F"/>
    <w:rsid w:val="4E4A05ED"/>
    <w:rsid w:val="4E4D2EEE"/>
    <w:rsid w:val="4E5503D6"/>
    <w:rsid w:val="4E592383"/>
    <w:rsid w:val="4E5B2113"/>
    <w:rsid w:val="4E641105"/>
    <w:rsid w:val="4E6C0A9A"/>
    <w:rsid w:val="4E7D6FC0"/>
    <w:rsid w:val="4E803914"/>
    <w:rsid w:val="4E844FA7"/>
    <w:rsid w:val="4E8A3168"/>
    <w:rsid w:val="4E911408"/>
    <w:rsid w:val="4E932643"/>
    <w:rsid w:val="4E9C4752"/>
    <w:rsid w:val="4E9D5C4A"/>
    <w:rsid w:val="4EA0597F"/>
    <w:rsid w:val="4EA108D1"/>
    <w:rsid w:val="4EAA0530"/>
    <w:rsid w:val="4EAC315C"/>
    <w:rsid w:val="4EB50263"/>
    <w:rsid w:val="4EB73A02"/>
    <w:rsid w:val="4EBA096F"/>
    <w:rsid w:val="4EBB090C"/>
    <w:rsid w:val="4EC004B7"/>
    <w:rsid w:val="4EC10D40"/>
    <w:rsid w:val="4EC17330"/>
    <w:rsid w:val="4EC30363"/>
    <w:rsid w:val="4EC30E6E"/>
    <w:rsid w:val="4EC342DB"/>
    <w:rsid w:val="4EC86FBF"/>
    <w:rsid w:val="4ECA78BA"/>
    <w:rsid w:val="4ECC0F13"/>
    <w:rsid w:val="4ECF18AE"/>
    <w:rsid w:val="4ECF1D1E"/>
    <w:rsid w:val="4ED65A3A"/>
    <w:rsid w:val="4EE0753F"/>
    <w:rsid w:val="4EE32C7F"/>
    <w:rsid w:val="4EE7226C"/>
    <w:rsid w:val="4EF27FFF"/>
    <w:rsid w:val="4EF622B0"/>
    <w:rsid w:val="4EFB0218"/>
    <w:rsid w:val="4F0C7CF7"/>
    <w:rsid w:val="4F0E3064"/>
    <w:rsid w:val="4F1059D2"/>
    <w:rsid w:val="4F156FEC"/>
    <w:rsid w:val="4F1942BB"/>
    <w:rsid w:val="4F1D41D9"/>
    <w:rsid w:val="4F285EB0"/>
    <w:rsid w:val="4F2F6AA8"/>
    <w:rsid w:val="4F303477"/>
    <w:rsid w:val="4F32611D"/>
    <w:rsid w:val="4F335071"/>
    <w:rsid w:val="4F3B6F46"/>
    <w:rsid w:val="4F412254"/>
    <w:rsid w:val="4F465DE6"/>
    <w:rsid w:val="4F4801A6"/>
    <w:rsid w:val="4F491879"/>
    <w:rsid w:val="4F4B2660"/>
    <w:rsid w:val="4F51637D"/>
    <w:rsid w:val="4F553315"/>
    <w:rsid w:val="4F5A098E"/>
    <w:rsid w:val="4F5E15E3"/>
    <w:rsid w:val="4F5E692A"/>
    <w:rsid w:val="4F682DBB"/>
    <w:rsid w:val="4F6A33E4"/>
    <w:rsid w:val="4F723A03"/>
    <w:rsid w:val="4F751B93"/>
    <w:rsid w:val="4F7F6E78"/>
    <w:rsid w:val="4F810427"/>
    <w:rsid w:val="4F8740C2"/>
    <w:rsid w:val="4F883E74"/>
    <w:rsid w:val="4F892DE3"/>
    <w:rsid w:val="4F954C43"/>
    <w:rsid w:val="4F966257"/>
    <w:rsid w:val="4FA766F6"/>
    <w:rsid w:val="4FAA1259"/>
    <w:rsid w:val="4FB211EC"/>
    <w:rsid w:val="4FB52290"/>
    <w:rsid w:val="4FB71D8B"/>
    <w:rsid w:val="4FB82A0A"/>
    <w:rsid w:val="4FBC6258"/>
    <w:rsid w:val="4FBD1627"/>
    <w:rsid w:val="4FCB5CA6"/>
    <w:rsid w:val="4FCC1D4D"/>
    <w:rsid w:val="4FD43E44"/>
    <w:rsid w:val="4FD5654F"/>
    <w:rsid w:val="4FD65CDF"/>
    <w:rsid w:val="4FDA5174"/>
    <w:rsid w:val="4FDF07D2"/>
    <w:rsid w:val="4FE6760F"/>
    <w:rsid w:val="4FF76517"/>
    <w:rsid w:val="4FF921A2"/>
    <w:rsid w:val="500B27B5"/>
    <w:rsid w:val="5014646B"/>
    <w:rsid w:val="501806BC"/>
    <w:rsid w:val="501A42F1"/>
    <w:rsid w:val="501A7335"/>
    <w:rsid w:val="501B6B48"/>
    <w:rsid w:val="501F75F3"/>
    <w:rsid w:val="50207BD8"/>
    <w:rsid w:val="50237389"/>
    <w:rsid w:val="5024701E"/>
    <w:rsid w:val="5025627F"/>
    <w:rsid w:val="502B0A62"/>
    <w:rsid w:val="5036031C"/>
    <w:rsid w:val="503725E4"/>
    <w:rsid w:val="503D64C4"/>
    <w:rsid w:val="50415FE7"/>
    <w:rsid w:val="504512DF"/>
    <w:rsid w:val="504C7BEC"/>
    <w:rsid w:val="50537FBB"/>
    <w:rsid w:val="505C5ACF"/>
    <w:rsid w:val="505C5BC5"/>
    <w:rsid w:val="505C637E"/>
    <w:rsid w:val="505E27D2"/>
    <w:rsid w:val="505E63D8"/>
    <w:rsid w:val="505F5E5A"/>
    <w:rsid w:val="50666FD5"/>
    <w:rsid w:val="507037CC"/>
    <w:rsid w:val="50716D0E"/>
    <w:rsid w:val="507A60B8"/>
    <w:rsid w:val="507C2B30"/>
    <w:rsid w:val="507F18C4"/>
    <w:rsid w:val="50833911"/>
    <w:rsid w:val="50934682"/>
    <w:rsid w:val="509717B6"/>
    <w:rsid w:val="50AB7D2C"/>
    <w:rsid w:val="50B0315A"/>
    <w:rsid w:val="50B11820"/>
    <w:rsid w:val="50B80FF5"/>
    <w:rsid w:val="50B85B01"/>
    <w:rsid w:val="50BD0685"/>
    <w:rsid w:val="50BF7053"/>
    <w:rsid w:val="50C42FB9"/>
    <w:rsid w:val="50C47794"/>
    <w:rsid w:val="50C77FED"/>
    <w:rsid w:val="50C92F67"/>
    <w:rsid w:val="50D64927"/>
    <w:rsid w:val="50D66EAF"/>
    <w:rsid w:val="50DE0FD4"/>
    <w:rsid w:val="50E60D4C"/>
    <w:rsid w:val="50E65A2D"/>
    <w:rsid w:val="50EC0CEE"/>
    <w:rsid w:val="50ED5184"/>
    <w:rsid w:val="50EE45CA"/>
    <w:rsid w:val="50FD3783"/>
    <w:rsid w:val="50FF7EBD"/>
    <w:rsid w:val="5101537A"/>
    <w:rsid w:val="5105223F"/>
    <w:rsid w:val="51070650"/>
    <w:rsid w:val="510E4C05"/>
    <w:rsid w:val="510F1FDD"/>
    <w:rsid w:val="5110402C"/>
    <w:rsid w:val="511453A1"/>
    <w:rsid w:val="51196A76"/>
    <w:rsid w:val="511E31A9"/>
    <w:rsid w:val="512338C8"/>
    <w:rsid w:val="512771B8"/>
    <w:rsid w:val="512C614B"/>
    <w:rsid w:val="51395C33"/>
    <w:rsid w:val="51422C08"/>
    <w:rsid w:val="514E236C"/>
    <w:rsid w:val="51550B12"/>
    <w:rsid w:val="51563902"/>
    <w:rsid w:val="51640797"/>
    <w:rsid w:val="51641EAB"/>
    <w:rsid w:val="51745405"/>
    <w:rsid w:val="517572D0"/>
    <w:rsid w:val="517B40B6"/>
    <w:rsid w:val="517E6E33"/>
    <w:rsid w:val="5186431B"/>
    <w:rsid w:val="51892DDC"/>
    <w:rsid w:val="518F7DB3"/>
    <w:rsid w:val="51922D31"/>
    <w:rsid w:val="51924A54"/>
    <w:rsid w:val="51976829"/>
    <w:rsid w:val="519A4C8F"/>
    <w:rsid w:val="519C380F"/>
    <w:rsid w:val="519D751B"/>
    <w:rsid w:val="519E2A65"/>
    <w:rsid w:val="51A77580"/>
    <w:rsid w:val="51A9659B"/>
    <w:rsid w:val="51AB3A48"/>
    <w:rsid w:val="51AD103E"/>
    <w:rsid w:val="51AD3DA1"/>
    <w:rsid w:val="51E22AF4"/>
    <w:rsid w:val="51FC3BCF"/>
    <w:rsid w:val="51FC6C94"/>
    <w:rsid w:val="51FD6BFC"/>
    <w:rsid w:val="51FF2ECF"/>
    <w:rsid w:val="52011A2D"/>
    <w:rsid w:val="520401A0"/>
    <w:rsid w:val="52046A95"/>
    <w:rsid w:val="52056B60"/>
    <w:rsid w:val="52067F48"/>
    <w:rsid w:val="520A42EA"/>
    <w:rsid w:val="52251899"/>
    <w:rsid w:val="52281C2F"/>
    <w:rsid w:val="52282E0A"/>
    <w:rsid w:val="523205D6"/>
    <w:rsid w:val="523B16C0"/>
    <w:rsid w:val="5243753B"/>
    <w:rsid w:val="5245158C"/>
    <w:rsid w:val="52464342"/>
    <w:rsid w:val="524A7283"/>
    <w:rsid w:val="524F69F2"/>
    <w:rsid w:val="52547F4F"/>
    <w:rsid w:val="52572FB9"/>
    <w:rsid w:val="52597FDC"/>
    <w:rsid w:val="525E5206"/>
    <w:rsid w:val="52676FB4"/>
    <w:rsid w:val="526873F0"/>
    <w:rsid w:val="52723905"/>
    <w:rsid w:val="5273537D"/>
    <w:rsid w:val="527A752D"/>
    <w:rsid w:val="52833DC2"/>
    <w:rsid w:val="528A7431"/>
    <w:rsid w:val="528E19D1"/>
    <w:rsid w:val="528E54B2"/>
    <w:rsid w:val="52940F87"/>
    <w:rsid w:val="52AA3EAC"/>
    <w:rsid w:val="52B0425C"/>
    <w:rsid w:val="52B20FF5"/>
    <w:rsid w:val="52C5209F"/>
    <w:rsid w:val="52CB3602"/>
    <w:rsid w:val="52D11F6C"/>
    <w:rsid w:val="52D4145D"/>
    <w:rsid w:val="52DA6669"/>
    <w:rsid w:val="52E86FCB"/>
    <w:rsid w:val="52EC6E3E"/>
    <w:rsid w:val="52F039DE"/>
    <w:rsid w:val="53006410"/>
    <w:rsid w:val="53087FA6"/>
    <w:rsid w:val="530968B3"/>
    <w:rsid w:val="530B1DCC"/>
    <w:rsid w:val="530D53EB"/>
    <w:rsid w:val="530E58DA"/>
    <w:rsid w:val="53125A98"/>
    <w:rsid w:val="5321790D"/>
    <w:rsid w:val="532A6F86"/>
    <w:rsid w:val="532B1229"/>
    <w:rsid w:val="532E5AAD"/>
    <w:rsid w:val="532F5069"/>
    <w:rsid w:val="533037BD"/>
    <w:rsid w:val="533466B2"/>
    <w:rsid w:val="533A28B8"/>
    <w:rsid w:val="533A3172"/>
    <w:rsid w:val="533F0BBF"/>
    <w:rsid w:val="53411A3C"/>
    <w:rsid w:val="53431A54"/>
    <w:rsid w:val="534B2F19"/>
    <w:rsid w:val="534D2D78"/>
    <w:rsid w:val="534D48B4"/>
    <w:rsid w:val="53524615"/>
    <w:rsid w:val="53585B8A"/>
    <w:rsid w:val="53593059"/>
    <w:rsid w:val="535A7FB1"/>
    <w:rsid w:val="535E1032"/>
    <w:rsid w:val="5360478E"/>
    <w:rsid w:val="53642368"/>
    <w:rsid w:val="536702CC"/>
    <w:rsid w:val="53690196"/>
    <w:rsid w:val="536B24B8"/>
    <w:rsid w:val="536B4299"/>
    <w:rsid w:val="537C28A6"/>
    <w:rsid w:val="538B3D1F"/>
    <w:rsid w:val="538E7FD3"/>
    <w:rsid w:val="539711E6"/>
    <w:rsid w:val="5397743F"/>
    <w:rsid w:val="539F5C2D"/>
    <w:rsid w:val="53A01D61"/>
    <w:rsid w:val="53A13F3F"/>
    <w:rsid w:val="53B04A22"/>
    <w:rsid w:val="53B60C7C"/>
    <w:rsid w:val="53C14008"/>
    <w:rsid w:val="53C27E92"/>
    <w:rsid w:val="53C61023"/>
    <w:rsid w:val="53CC5009"/>
    <w:rsid w:val="53D72180"/>
    <w:rsid w:val="53D82C9B"/>
    <w:rsid w:val="53E15D54"/>
    <w:rsid w:val="53E3297A"/>
    <w:rsid w:val="53E330BA"/>
    <w:rsid w:val="53E62ADA"/>
    <w:rsid w:val="53E905A9"/>
    <w:rsid w:val="53EF26A9"/>
    <w:rsid w:val="53F4731F"/>
    <w:rsid w:val="53F56CFD"/>
    <w:rsid w:val="54004C52"/>
    <w:rsid w:val="540172A2"/>
    <w:rsid w:val="5406470F"/>
    <w:rsid w:val="54067C6B"/>
    <w:rsid w:val="54077394"/>
    <w:rsid w:val="54113878"/>
    <w:rsid w:val="54130054"/>
    <w:rsid w:val="54161A3A"/>
    <w:rsid w:val="54205FBB"/>
    <w:rsid w:val="54214EC7"/>
    <w:rsid w:val="542760CC"/>
    <w:rsid w:val="5433256F"/>
    <w:rsid w:val="54367E87"/>
    <w:rsid w:val="54372E53"/>
    <w:rsid w:val="543B144C"/>
    <w:rsid w:val="543B2B4E"/>
    <w:rsid w:val="543D6D00"/>
    <w:rsid w:val="54411EB4"/>
    <w:rsid w:val="544211A1"/>
    <w:rsid w:val="54455E3C"/>
    <w:rsid w:val="5451331B"/>
    <w:rsid w:val="545843A7"/>
    <w:rsid w:val="545C55AC"/>
    <w:rsid w:val="54606172"/>
    <w:rsid w:val="546167DA"/>
    <w:rsid w:val="5462011E"/>
    <w:rsid w:val="54656561"/>
    <w:rsid w:val="546B349D"/>
    <w:rsid w:val="5475149C"/>
    <w:rsid w:val="547528A2"/>
    <w:rsid w:val="547B3818"/>
    <w:rsid w:val="54820A2E"/>
    <w:rsid w:val="5484624C"/>
    <w:rsid w:val="549121E2"/>
    <w:rsid w:val="54984239"/>
    <w:rsid w:val="54995F4B"/>
    <w:rsid w:val="54A17FD5"/>
    <w:rsid w:val="54A31DDA"/>
    <w:rsid w:val="54A739CE"/>
    <w:rsid w:val="54A74053"/>
    <w:rsid w:val="54AD31B4"/>
    <w:rsid w:val="54BB2D38"/>
    <w:rsid w:val="54C61C25"/>
    <w:rsid w:val="54C80932"/>
    <w:rsid w:val="54CA53C2"/>
    <w:rsid w:val="54CB246C"/>
    <w:rsid w:val="54CD19D2"/>
    <w:rsid w:val="54D051E8"/>
    <w:rsid w:val="54D200D4"/>
    <w:rsid w:val="54D834C2"/>
    <w:rsid w:val="54E15D3B"/>
    <w:rsid w:val="54E27BD8"/>
    <w:rsid w:val="54E53A83"/>
    <w:rsid w:val="54EB78D3"/>
    <w:rsid w:val="54EC7E8E"/>
    <w:rsid w:val="54F11CBF"/>
    <w:rsid w:val="54F651C2"/>
    <w:rsid w:val="55032186"/>
    <w:rsid w:val="550A0933"/>
    <w:rsid w:val="551208AF"/>
    <w:rsid w:val="551413D4"/>
    <w:rsid w:val="551E2BE8"/>
    <w:rsid w:val="552208E3"/>
    <w:rsid w:val="55227FA8"/>
    <w:rsid w:val="55250878"/>
    <w:rsid w:val="552566F2"/>
    <w:rsid w:val="55416626"/>
    <w:rsid w:val="55447AA7"/>
    <w:rsid w:val="55462A3D"/>
    <w:rsid w:val="555523EE"/>
    <w:rsid w:val="55607D9E"/>
    <w:rsid w:val="55620F0C"/>
    <w:rsid w:val="556336B9"/>
    <w:rsid w:val="55654AEB"/>
    <w:rsid w:val="556C5D6C"/>
    <w:rsid w:val="556E17D2"/>
    <w:rsid w:val="556F6A19"/>
    <w:rsid w:val="557A4C99"/>
    <w:rsid w:val="557D0678"/>
    <w:rsid w:val="557D5F69"/>
    <w:rsid w:val="557F2904"/>
    <w:rsid w:val="557F631E"/>
    <w:rsid w:val="55834498"/>
    <w:rsid w:val="558673C3"/>
    <w:rsid w:val="55890D81"/>
    <w:rsid w:val="55892EE7"/>
    <w:rsid w:val="55953DED"/>
    <w:rsid w:val="55A55268"/>
    <w:rsid w:val="55A979EC"/>
    <w:rsid w:val="55B1509D"/>
    <w:rsid w:val="55B20452"/>
    <w:rsid w:val="55B43F74"/>
    <w:rsid w:val="55B472F1"/>
    <w:rsid w:val="55B53B70"/>
    <w:rsid w:val="55BB0907"/>
    <w:rsid w:val="55C03FE1"/>
    <w:rsid w:val="55C26707"/>
    <w:rsid w:val="55CA4915"/>
    <w:rsid w:val="55CA52E1"/>
    <w:rsid w:val="55CC31D4"/>
    <w:rsid w:val="55D31F47"/>
    <w:rsid w:val="55D3507F"/>
    <w:rsid w:val="55DB7555"/>
    <w:rsid w:val="55E13750"/>
    <w:rsid w:val="55E9108B"/>
    <w:rsid w:val="55E9132B"/>
    <w:rsid w:val="55EB581D"/>
    <w:rsid w:val="55FA2E72"/>
    <w:rsid w:val="55FD3292"/>
    <w:rsid w:val="55FE1201"/>
    <w:rsid w:val="55FF49F0"/>
    <w:rsid w:val="560514FA"/>
    <w:rsid w:val="56094C9C"/>
    <w:rsid w:val="560B191B"/>
    <w:rsid w:val="560B5A90"/>
    <w:rsid w:val="560C43D2"/>
    <w:rsid w:val="560E5CED"/>
    <w:rsid w:val="560F211C"/>
    <w:rsid w:val="5614215D"/>
    <w:rsid w:val="5616552B"/>
    <w:rsid w:val="561B4221"/>
    <w:rsid w:val="561C7810"/>
    <w:rsid w:val="562A55B0"/>
    <w:rsid w:val="562D0E76"/>
    <w:rsid w:val="562F3BF3"/>
    <w:rsid w:val="563069A6"/>
    <w:rsid w:val="56314543"/>
    <w:rsid w:val="56354701"/>
    <w:rsid w:val="56356EA3"/>
    <w:rsid w:val="563D0636"/>
    <w:rsid w:val="56444FB8"/>
    <w:rsid w:val="564551A6"/>
    <w:rsid w:val="56466259"/>
    <w:rsid w:val="564F0E38"/>
    <w:rsid w:val="5660646F"/>
    <w:rsid w:val="56615868"/>
    <w:rsid w:val="566B1F8E"/>
    <w:rsid w:val="56745753"/>
    <w:rsid w:val="56781690"/>
    <w:rsid w:val="568D59F3"/>
    <w:rsid w:val="568E40F7"/>
    <w:rsid w:val="56920627"/>
    <w:rsid w:val="56925200"/>
    <w:rsid w:val="56930229"/>
    <w:rsid w:val="569852F3"/>
    <w:rsid w:val="569C11A9"/>
    <w:rsid w:val="56A22DED"/>
    <w:rsid w:val="56A3671C"/>
    <w:rsid w:val="56A51C8F"/>
    <w:rsid w:val="56A8340C"/>
    <w:rsid w:val="56A91CED"/>
    <w:rsid w:val="56A95544"/>
    <w:rsid w:val="56B11C08"/>
    <w:rsid w:val="56B2632E"/>
    <w:rsid w:val="56B5431D"/>
    <w:rsid w:val="56BB016B"/>
    <w:rsid w:val="56C41723"/>
    <w:rsid w:val="56CB6A8B"/>
    <w:rsid w:val="56CE4BFD"/>
    <w:rsid w:val="56D32204"/>
    <w:rsid w:val="56DF6448"/>
    <w:rsid w:val="56DF717C"/>
    <w:rsid w:val="56E5048D"/>
    <w:rsid w:val="56E50891"/>
    <w:rsid w:val="56E65A76"/>
    <w:rsid w:val="56E72F91"/>
    <w:rsid w:val="56EB32AC"/>
    <w:rsid w:val="56F457FC"/>
    <w:rsid w:val="56F74190"/>
    <w:rsid w:val="56F91EE4"/>
    <w:rsid w:val="57081164"/>
    <w:rsid w:val="570A31A5"/>
    <w:rsid w:val="571647C5"/>
    <w:rsid w:val="57210648"/>
    <w:rsid w:val="57273327"/>
    <w:rsid w:val="572D647D"/>
    <w:rsid w:val="57307AC2"/>
    <w:rsid w:val="57342061"/>
    <w:rsid w:val="57352AF5"/>
    <w:rsid w:val="57356726"/>
    <w:rsid w:val="57357AB5"/>
    <w:rsid w:val="573E4E09"/>
    <w:rsid w:val="574A3DD8"/>
    <w:rsid w:val="574E16A2"/>
    <w:rsid w:val="57634B55"/>
    <w:rsid w:val="57746489"/>
    <w:rsid w:val="57792379"/>
    <w:rsid w:val="577F481A"/>
    <w:rsid w:val="578111A0"/>
    <w:rsid w:val="5783407C"/>
    <w:rsid w:val="578626A6"/>
    <w:rsid w:val="57874FA4"/>
    <w:rsid w:val="578D7A55"/>
    <w:rsid w:val="579A2F81"/>
    <w:rsid w:val="579A6F39"/>
    <w:rsid w:val="579F151F"/>
    <w:rsid w:val="57AA1C33"/>
    <w:rsid w:val="57AA5B5F"/>
    <w:rsid w:val="57AB211D"/>
    <w:rsid w:val="57AB7D0B"/>
    <w:rsid w:val="57B523FA"/>
    <w:rsid w:val="57B63177"/>
    <w:rsid w:val="57B840B9"/>
    <w:rsid w:val="57B92A28"/>
    <w:rsid w:val="57BC0486"/>
    <w:rsid w:val="57BD336B"/>
    <w:rsid w:val="57C32400"/>
    <w:rsid w:val="57DC1A4B"/>
    <w:rsid w:val="57E27F32"/>
    <w:rsid w:val="57ED2758"/>
    <w:rsid w:val="57ED584B"/>
    <w:rsid w:val="57EE0C75"/>
    <w:rsid w:val="580022D5"/>
    <w:rsid w:val="58050F29"/>
    <w:rsid w:val="580849A3"/>
    <w:rsid w:val="580E7F51"/>
    <w:rsid w:val="58113FC4"/>
    <w:rsid w:val="58126C90"/>
    <w:rsid w:val="581357A3"/>
    <w:rsid w:val="581406AF"/>
    <w:rsid w:val="58154FCB"/>
    <w:rsid w:val="581A5723"/>
    <w:rsid w:val="581B220D"/>
    <w:rsid w:val="581C1237"/>
    <w:rsid w:val="58244F09"/>
    <w:rsid w:val="58247627"/>
    <w:rsid w:val="582546E0"/>
    <w:rsid w:val="582628F7"/>
    <w:rsid w:val="58266C5F"/>
    <w:rsid w:val="583A3B01"/>
    <w:rsid w:val="5841391F"/>
    <w:rsid w:val="58434D92"/>
    <w:rsid w:val="58443824"/>
    <w:rsid w:val="58444490"/>
    <w:rsid w:val="5847394D"/>
    <w:rsid w:val="58534085"/>
    <w:rsid w:val="58553015"/>
    <w:rsid w:val="585B059A"/>
    <w:rsid w:val="585B23C6"/>
    <w:rsid w:val="585C5A6D"/>
    <w:rsid w:val="58622F88"/>
    <w:rsid w:val="58660D01"/>
    <w:rsid w:val="58693C2A"/>
    <w:rsid w:val="58780E10"/>
    <w:rsid w:val="588260CD"/>
    <w:rsid w:val="588653C6"/>
    <w:rsid w:val="588A5196"/>
    <w:rsid w:val="588A6DE9"/>
    <w:rsid w:val="588E356F"/>
    <w:rsid w:val="5895761A"/>
    <w:rsid w:val="58966AAB"/>
    <w:rsid w:val="589813C2"/>
    <w:rsid w:val="589C66C4"/>
    <w:rsid w:val="58A451E0"/>
    <w:rsid w:val="58A4787A"/>
    <w:rsid w:val="58AD1012"/>
    <w:rsid w:val="58AE71E3"/>
    <w:rsid w:val="58B31658"/>
    <w:rsid w:val="58B32637"/>
    <w:rsid w:val="58B97C50"/>
    <w:rsid w:val="58BB5C34"/>
    <w:rsid w:val="58BE7182"/>
    <w:rsid w:val="58BF405E"/>
    <w:rsid w:val="58CD05E5"/>
    <w:rsid w:val="58CF297B"/>
    <w:rsid w:val="58D23E6B"/>
    <w:rsid w:val="58D33D79"/>
    <w:rsid w:val="58D738D2"/>
    <w:rsid w:val="58E20858"/>
    <w:rsid w:val="58E61A23"/>
    <w:rsid w:val="58EB2793"/>
    <w:rsid w:val="58EC0FDF"/>
    <w:rsid w:val="58ED0BEF"/>
    <w:rsid w:val="58F11142"/>
    <w:rsid w:val="58F20BE4"/>
    <w:rsid w:val="58F400D8"/>
    <w:rsid w:val="59014C2E"/>
    <w:rsid w:val="59024E7D"/>
    <w:rsid w:val="59045A7E"/>
    <w:rsid w:val="59083AE0"/>
    <w:rsid w:val="59111FAD"/>
    <w:rsid w:val="591207B3"/>
    <w:rsid w:val="591479CB"/>
    <w:rsid w:val="59157D0E"/>
    <w:rsid w:val="59160DEC"/>
    <w:rsid w:val="59192B20"/>
    <w:rsid w:val="591A55A7"/>
    <w:rsid w:val="591F03E6"/>
    <w:rsid w:val="59212569"/>
    <w:rsid w:val="592C7F0C"/>
    <w:rsid w:val="592F0C30"/>
    <w:rsid w:val="59377C61"/>
    <w:rsid w:val="593B0C8A"/>
    <w:rsid w:val="59445483"/>
    <w:rsid w:val="59475C44"/>
    <w:rsid w:val="594D5626"/>
    <w:rsid w:val="59515443"/>
    <w:rsid w:val="595473FD"/>
    <w:rsid w:val="595570AA"/>
    <w:rsid w:val="595C3A4A"/>
    <w:rsid w:val="595F0C2D"/>
    <w:rsid w:val="596250A0"/>
    <w:rsid w:val="59671B46"/>
    <w:rsid w:val="5970332C"/>
    <w:rsid w:val="597666AF"/>
    <w:rsid w:val="597C40C7"/>
    <w:rsid w:val="597F201A"/>
    <w:rsid w:val="5983357B"/>
    <w:rsid w:val="59855196"/>
    <w:rsid w:val="598B4286"/>
    <w:rsid w:val="59971DCC"/>
    <w:rsid w:val="59981B81"/>
    <w:rsid w:val="599D4F19"/>
    <w:rsid w:val="599F59D4"/>
    <w:rsid w:val="59A07AC0"/>
    <w:rsid w:val="59A20AF3"/>
    <w:rsid w:val="59A27851"/>
    <w:rsid w:val="59A50611"/>
    <w:rsid w:val="59AD4BA8"/>
    <w:rsid w:val="59B36264"/>
    <w:rsid w:val="59B615AE"/>
    <w:rsid w:val="59C71BB6"/>
    <w:rsid w:val="59D43907"/>
    <w:rsid w:val="59DF1F99"/>
    <w:rsid w:val="59E0080B"/>
    <w:rsid w:val="59E61814"/>
    <w:rsid w:val="59E6618B"/>
    <w:rsid w:val="59EA7FFA"/>
    <w:rsid w:val="59EF6472"/>
    <w:rsid w:val="59F10F23"/>
    <w:rsid w:val="59FD4CCF"/>
    <w:rsid w:val="5A180BA8"/>
    <w:rsid w:val="5A18400F"/>
    <w:rsid w:val="5A1C4762"/>
    <w:rsid w:val="5A1D3BDE"/>
    <w:rsid w:val="5A1F58D0"/>
    <w:rsid w:val="5A2501E0"/>
    <w:rsid w:val="5A2573C1"/>
    <w:rsid w:val="5A266078"/>
    <w:rsid w:val="5A332A2C"/>
    <w:rsid w:val="5A385532"/>
    <w:rsid w:val="5A3874C2"/>
    <w:rsid w:val="5A3A6D4D"/>
    <w:rsid w:val="5A3B04DA"/>
    <w:rsid w:val="5A491225"/>
    <w:rsid w:val="5A4B5B5D"/>
    <w:rsid w:val="5A4D47CC"/>
    <w:rsid w:val="5A4D5202"/>
    <w:rsid w:val="5A4F4825"/>
    <w:rsid w:val="5A590379"/>
    <w:rsid w:val="5A623365"/>
    <w:rsid w:val="5A690B60"/>
    <w:rsid w:val="5A6C6901"/>
    <w:rsid w:val="5A6D3470"/>
    <w:rsid w:val="5A6E5882"/>
    <w:rsid w:val="5A76350B"/>
    <w:rsid w:val="5A853463"/>
    <w:rsid w:val="5A853C63"/>
    <w:rsid w:val="5A8B0928"/>
    <w:rsid w:val="5A8B713C"/>
    <w:rsid w:val="5A9033E9"/>
    <w:rsid w:val="5A917CA8"/>
    <w:rsid w:val="5A934228"/>
    <w:rsid w:val="5A987A99"/>
    <w:rsid w:val="5A9973B4"/>
    <w:rsid w:val="5A9B052E"/>
    <w:rsid w:val="5AA339B1"/>
    <w:rsid w:val="5AA401D3"/>
    <w:rsid w:val="5AA574F9"/>
    <w:rsid w:val="5AA57C62"/>
    <w:rsid w:val="5AAC4886"/>
    <w:rsid w:val="5AAF59C4"/>
    <w:rsid w:val="5AC31C14"/>
    <w:rsid w:val="5AC37F2F"/>
    <w:rsid w:val="5AC40CC9"/>
    <w:rsid w:val="5AC4602D"/>
    <w:rsid w:val="5ACB7767"/>
    <w:rsid w:val="5ACF5AB3"/>
    <w:rsid w:val="5AD20873"/>
    <w:rsid w:val="5AE10EC8"/>
    <w:rsid w:val="5AEA3C24"/>
    <w:rsid w:val="5AF24449"/>
    <w:rsid w:val="5AFB3CF0"/>
    <w:rsid w:val="5B027F2B"/>
    <w:rsid w:val="5B030D07"/>
    <w:rsid w:val="5B03272C"/>
    <w:rsid w:val="5B091A1F"/>
    <w:rsid w:val="5B092BBB"/>
    <w:rsid w:val="5B111694"/>
    <w:rsid w:val="5B280929"/>
    <w:rsid w:val="5B2D1B35"/>
    <w:rsid w:val="5B2D30E5"/>
    <w:rsid w:val="5B376A49"/>
    <w:rsid w:val="5B3C1167"/>
    <w:rsid w:val="5B3D1304"/>
    <w:rsid w:val="5B457B46"/>
    <w:rsid w:val="5B4E4975"/>
    <w:rsid w:val="5B517D3F"/>
    <w:rsid w:val="5B5848CE"/>
    <w:rsid w:val="5B59490E"/>
    <w:rsid w:val="5B5A6308"/>
    <w:rsid w:val="5B5D51AD"/>
    <w:rsid w:val="5B602484"/>
    <w:rsid w:val="5B625C30"/>
    <w:rsid w:val="5B6309E6"/>
    <w:rsid w:val="5B665E56"/>
    <w:rsid w:val="5B6A0FA0"/>
    <w:rsid w:val="5B7B4D50"/>
    <w:rsid w:val="5B7C3F2B"/>
    <w:rsid w:val="5B8068EC"/>
    <w:rsid w:val="5B8965FF"/>
    <w:rsid w:val="5B913D4A"/>
    <w:rsid w:val="5B937A18"/>
    <w:rsid w:val="5B9D2C7F"/>
    <w:rsid w:val="5B9E3A7E"/>
    <w:rsid w:val="5B9F7251"/>
    <w:rsid w:val="5BA1796C"/>
    <w:rsid w:val="5BAA5645"/>
    <w:rsid w:val="5BAE1BB9"/>
    <w:rsid w:val="5BAE4D8A"/>
    <w:rsid w:val="5BB943D0"/>
    <w:rsid w:val="5BC21930"/>
    <w:rsid w:val="5BC66729"/>
    <w:rsid w:val="5BCE0BBE"/>
    <w:rsid w:val="5BD83493"/>
    <w:rsid w:val="5BDE0C0B"/>
    <w:rsid w:val="5BE51E35"/>
    <w:rsid w:val="5BEB5285"/>
    <w:rsid w:val="5BF84988"/>
    <w:rsid w:val="5BF855AA"/>
    <w:rsid w:val="5BFC1FA1"/>
    <w:rsid w:val="5C033066"/>
    <w:rsid w:val="5C041A21"/>
    <w:rsid w:val="5C04522A"/>
    <w:rsid w:val="5C0A601A"/>
    <w:rsid w:val="5C0B4A1B"/>
    <w:rsid w:val="5C1211C7"/>
    <w:rsid w:val="5C193E8F"/>
    <w:rsid w:val="5C2579B2"/>
    <w:rsid w:val="5C264C7D"/>
    <w:rsid w:val="5C301B0D"/>
    <w:rsid w:val="5C336254"/>
    <w:rsid w:val="5C3D18BF"/>
    <w:rsid w:val="5C440275"/>
    <w:rsid w:val="5C493DAE"/>
    <w:rsid w:val="5C497D5E"/>
    <w:rsid w:val="5C5944F9"/>
    <w:rsid w:val="5C5D38FA"/>
    <w:rsid w:val="5C6636D7"/>
    <w:rsid w:val="5C695AEC"/>
    <w:rsid w:val="5C6D0034"/>
    <w:rsid w:val="5C731EEA"/>
    <w:rsid w:val="5C745B1B"/>
    <w:rsid w:val="5C80619F"/>
    <w:rsid w:val="5C8B4AAF"/>
    <w:rsid w:val="5C8F5C0C"/>
    <w:rsid w:val="5C914C6A"/>
    <w:rsid w:val="5C9E3EFC"/>
    <w:rsid w:val="5C9F25E8"/>
    <w:rsid w:val="5CA86F87"/>
    <w:rsid w:val="5CAA3100"/>
    <w:rsid w:val="5CAC512D"/>
    <w:rsid w:val="5CAF74C7"/>
    <w:rsid w:val="5CBF759B"/>
    <w:rsid w:val="5CC0254E"/>
    <w:rsid w:val="5CC1261E"/>
    <w:rsid w:val="5CC727EA"/>
    <w:rsid w:val="5CC805EC"/>
    <w:rsid w:val="5CC95203"/>
    <w:rsid w:val="5CCE5B67"/>
    <w:rsid w:val="5CD23D9F"/>
    <w:rsid w:val="5CD45DB0"/>
    <w:rsid w:val="5CD471F9"/>
    <w:rsid w:val="5CDA39E1"/>
    <w:rsid w:val="5CDE7244"/>
    <w:rsid w:val="5CDF6B87"/>
    <w:rsid w:val="5CE67DEB"/>
    <w:rsid w:val="5CE7304F"/>
    <w:rsid w:val="5CEE6BD2"/>
    <w:rsid w:val="5CEF3C4C"/>
    <w:rsid w:val="5CF44A92"/>
    <w:rsid w:val="5CF51643"/>
    <w:rsid w:val="5CFC4DD1"/>
    <w:rsid w:val="5D00109E"/>
    <w:rsid w:val="5D00424E"/>
    <w:rsid w:val="5D0100B3"/>
    <w:rsid w:val="5D082CA8"/>
    <w:rsid w:val="5D131994"/>
    <w:rsid w:val="5D180872"/>
    <w:rsid w:val="5D1B344B"/>
    <w:rsid w:val="5D2B11A5"/>
    <w:rsid w:val="5D340A57"/>
    <w:rsid w:val="5D355CD9"/>
    <w:rsid w:val="5D3B1D9D"/>
    <w:rsid w:val="5D3B5465"/>
    <w:rsid w:val="5D3C612A"/>
    <w:rsid w:val="5D4414DA"/>
    <w:rsid w:val="5D4445EC"/>
    <w:rsid w:val="5D463814"/>
    <w:rsid w:val="5D5138A2"/>
    <w:rsid w:val="5D53144F"/>
    <w:rsid w:val="5D543C32"/>
    <w:rsid w:val="5D55084D"/>
    <w:rsid w:val="5D5577B6"/>
    <w:rsid w:val="5D563578"/>
    <w:rsid w:val="5D59680D"/>
    <w:rsid w:val="5D707F17"/>
    <w:rsid w:val="5D747C21"/>
    <w:rsid w:val="5D814776"/>
    <w:rsid w:val="5D867D7F"/>
    <w:rsid w:val="5D8B0665"/>
    <w:rsid w:val="5D8B3CE1"/>
    <w:rsid w:val="5D8D4592"/>
    <w:rsid w:val="5D95231E"/>
    <w:rsid w:val="5D9E05C9"/>
    <w:rsid w:val="5DA33FDE"/>
    <w:rsid w:val="5DA3522E"/>
    <w:rsid w:val="5DA54852"/>
    <w:rsid w:val="5DA62B6D"/>
    <w:rsid w:val="5DAB45BC"/>
    <w:rsid w:val="5DB004C1"/>
    <w:rsid w:val="5DB436D7"/>
    <w:rsid w:val="5DB96925"/>
    <w:rsid w:val="5DBD7B0F"/>
    <w:rsid w:val="5DC125A3"/>
    <w:rsid w:val="5DC74098"/>
    <w:rsid w:val="5DCB7281"/>
    <w:rsid w:val="5DD7263D"/>
    <w:rsid w:val="5DD934F5"/>
    <w:rsid w:val="5DDB3155"/>
    <w:rsid w:val="5DE06B5C"/>
    <w:rsid w:val="5DE60689"/>
    <w:rsid w:val="5DEE1C26"/>
    <w:rsid w:val="5E002BF5"/>
    <w:rsid w:val="5E01637A"/>
    <w:rsid w:val="5E062E4F"/>
    <w:rsid w:val="5E06500F"/>
    <w:rsid w:val="5E095650"/>
    <w:rsid w:val="5E1422A4"/>
    <w:rsid w:val="5E142577"/>
    <w:rsid w:val="5E1635E8"/>
    <w:rsid w:val="5E1A737D"/>
    <w:rsid w:val="5E1A7CEE"/>
    <w:rsid w:val="5E236F88"/>
    <w:rsid w:val="5E277510"/>
    <w:rsid w:val="5E2D275A"/>
    <w:rsid w:val="5E3109B4"/>
    <w:rsid w:val="5E32282A"/>
    <w:rsid w:val="5E34452A"/>
    <w:rsid w:val="5E42342D"/>
    <w:rsid w:val="5E494759"/>
    <w:rsid w:val="5E4B0227"/>
    <w:rsid w:val="5E4C4506"/>
    <w:rsid w:val="5E4E1100"/>
    <w:rsid w:val="5E5011F1"/>
    <w:rsid w:val="5E517C58"/>
    <w:rsid w:val="5E536BEB"/>
    <w:rsid w:val="5E5B1502"/>
    <w:rsid w:val="5E637298"/>
    <w:rsid w:val="5E695F12"/>
    <w:rsid w:val="5E6A3C97"/>
    <w:rsid w:val="5E6C23B1"/>
    <w:rsid w:val="5E6F3DB5"/>
    <w:rsid w:val="5E713327"/>
    <w:rsid w:val="5E722044"/>
    <w:rsid w:val="5E7319C2"/>
    <w:rsid w:val="5E742035"/>
    <w:rsid w:val="5E77529C"/>
    <w:rsid w:val="5E787B9F"/>
    <w:rsid w:val="5E7A3C82"/>
    <w:rsid w:val="5E7B041E"/>
    <w:rsid w:val="5E7E36E2"/>
    <w:rsid w:val="5E82401C"/>
    <w:rsid w:val="5E8417B2"/>
    <w:rsid w:val="5E850AF5"/>
    <w:rsid w:val="5E8573ED"/>
    <w:rsid w:val="5E871DB4"/>
    <w:rsid w:val="5E8C6E1C"/>
    <w:rsid w:val="5E8F5718"/>
    <w:rsid w:val="5E906ED0"/>
    <w:rsid w:val="5E953EB9"/>
    <w:rsid w:val="5E977518"/>
    <w:rsid w:val="5E995DBC"/>
    <w:rsid w:val="5E9A1BC1"/>
    <w:rsid w:val="5E9C2A1D"/>
    <w:rsid w:val="5E9F0B60"/>
    <w:rsid w:val="5EA45B6C"/>
    <w:rsid w:val="5EA55837"/>
    <w:rsid w:val="5EA70C96"/>
    <w:rsid w:val="5EB47AB5"/>
    <w:rsid w:val="5EB47F7F"/>
    <w:rsid w:val="5EB76614"/>
    <w:rsid w:val="5EB91A43"/>
    <w:rsid w:val="5EC11B66"/>
    <w:rsid w:val="5EC36193"/>
    <w:rsid w:val="5EC65907"/>
    <w:rsid w:val="5ECB4A8A"/>
    <w:rsid w:val="5ECE6A26"/>
    <w:rsid w:val="5ECF33BE"/>
    <w:rsid w:val="5ECF3467"/>
    <w:rsid w:val="5ED432A4"/>
    <w:rsid w:val="5EDC4079"/>
    <w:rsid w:val="5EE24574"/>
    <w:rsid w:val="5EEE3070"/>
    <w:rsid w:val="5EFC4E88"/>
    <w:rsid w:val="5EFC6070"/>
    <w:rsid w:val="5EFD6A3C"/>
    <w:rsid w:val="5F0012DD"/>
    <w:rsid w:val="5F056F01"/>
    <w:rsid w:val="5F0C0A6E"/>
    <w:rsid w:val="5F0F3CA2"/>
    <w:rsid w:val="5F1E3BE0"/>
    <w:rsid w:val="5F2069B1"/>
    <w:rsid w:val="5F240593"/>
    <w:rsid w:val="5F25668B"/>
    <w:rsid w:val="5F257740"/>
    <w:rsid w:val="5F266833"/>
    <w:rsid w:val="5F2723A4"/>
    <w:rsid w:val="5F2A2081"/>
    <w:rsid w:val="5F31732C"/>
    <w:rsid w:val="5F3C6B7D"/>
    <w:rsid w:val="5F452AF3"/>
    <w:rsid w:val="5F4F394F"/>
    <w:rsid w:val="5F525034"/>
    <w:rsid w:val="5F597CB5"/>
    <w:rsid w:val="5F5E030F"/>
    <w:rsid w:val="5F653F40"/>
    <w:rsid w:val="5F670FB5"/>
    <w:rsid w:val="5F6A2ABE"/>
    <w:rsid w:val="5F715656"/>
    <w:rsid w:val="5F827FB6"/>
    <w:rsid w:val="5F841BF9"/>
    <w:rsid w:val="5F845203"/>
    <w:rsid w:val="5F8D4F3C"/>
    <w:rsid w:val="5F923E61"/>
    <w:rsid w:val="5F9D0F43"/>
    <w:rsid w:val="5FA05821"/>
    <w:rsid w:val="5FA5708F"/>
    <w:rsid w:val="5FA57823"/>
    <w:rsid w:val="5FAB6499"/>
    <w:rsid w:val="5FAD323D"/>
    <w:rsid w:val="5FAE2164"/>
    <w:rsid w:val="5FB61EB6"/>
    <w:rsid w:val="5FB713A2"/>
    <w:rsid w:val="5FB73E1E"/>
    <w:rsid w:val="5FBE48E6"/>
    <w:rsid w:val="5FC62EE6"/>
    <w:rsid w:val="5FD412B8"/>
    <w:rsid w:val="5FD52860"/>
    <w:rsid w:val="5FD611AF"/>
    <w:rsid w:val="5FE94798"/>
    <w:rsid w:val="5FEC3807"/>
    <w:rsid w:val="5FEC402A"/>
    <w:rsid w:val="5FF356A9"/>
    <w:rsid w:val="5FF45B68"/>
    <w:rsid w:val="5FF822EF"/>
    <w:rsid w:val="600844B3"/>
    <w:rsid w:val="600A213C"/>
    <w:rsid w:val="60130820"/>
    <w:rsid w:val="601C1EAF"/>
    <w:rsid w:val="601C7BB2"/>
    <w:rsid w:val="601E7A9A"/>
    <w:rsid w:val="602069E4"/>
    <w:rsid w:val="60276841"/>
    <w:rsid w:val="602924EB"/>
    <w:rsid w:val="60297E8D"/>
    <w:rsid w:val="6033312B"/>
    <w:rsid w:val="6034068E"/>
    <w:rsid w:val="60390303"/>
    <w:rsid w:val="603A11F0"/>
    <w:rsid w:val="60455627"/>
    <w:rsid w:val="60456C21"/>
    <w:rsid w:val="604E0F01"/>
    <w:rsid w:val="60553A57"/>
    <w:rsid w:val="605A381E"/>
    <w:rsid w:val="605B0C60"/>
    <w:rsid w:val="605D5C4F"/>
    <w:rsid w:val="605D6260"/>
    <w:rsid w:val="6064371F"/>
    <w:rsid w:val="60684388"/>
    <w:rsid w:val="606D51E6"/>
    <w:rsid w:val="606E3C10"/>
    <w:rsid w:val="606F0754"/>
    <w:rsid w:val="60843093"/>
    <w:rsid w:val="60866320"/>
    <w:rsid w:val="608E095B"/>
    <w:rsid w:val="6091095F"/>
    <w:rsid w:val="609F0817"/>
    <w:rsid w:val="60A158E8"/>
    <w:rsid w:val="60A52D4F"/>
    <w:rsid w:val="60A52D70"/>
    <w:rsid w:val="60A71781"/>
    <w:rsid w:val="60A719A3"/>
    <w:rsid w:val="60A97692"/>
    <w:rsid w:val="60AD04D0"/>
    <w:rsid w:val="60BC35CF"/>
    <w:rsid w:val="60BD545D"/>
    <w:rsid w:val="60BE192C"/>
    <w:rsid w:val="60CE5D43"/>
    <w:rsid w:val="60D05C4E"/>
    <w:rsid w:val="60D6069A"/>
    <w:rsid w:val="60DB3D65"/>
    <w:rsid w:val="60DC4F5F"/>
    <w:rsid w:val="60DD29B7"/>
    <w:rsid w:val="60DD4F76"/>
    <w:rsid w:val="60E01D5A"/>
    <w:rsid w:val="60E762DE"/>
    <w:rsid w:val="60E86B2B"/>
    <w:rsid w:val="60EB1859"/>
    <w:rsid w:val="60F536DD"/>
    <w:rsid w:val="60FE4448"/>
    <w:rsid w:val="61000E84"/>
    <w:rsid w:val="61005EB0"/>
    <w:rsid w:val="61057F31"/>
    <w:rsid w:val="610678AF"/>
    <w:rsid w:val="61073BA1"/>
    <w:rsid w:val="61073DDB"/>
    <w:rsid w:val="61143F2A"/>
    <w:rsid w:val="611F397F"/>
    <w:rsid w:val="61262C31"/>
    <w:rsid w:val="61275EDF"/>
    <w:rsid w:val="61297A12"/>
    <w:rsid w:val="612A499D"/>
    <w:rsid w:val="612B681D"/>
    <w:rsid w:val="61315C23"/>
    <w:rsid w:val="613755A8"/>
    <w:rsid w:val="613918DF"/>
    <w:rsid w:val="613B0FA5"/>
    <w:rsid w:val="613E1604"/>
    <w:rsid w:val="6143750E"/>
    <w:rsid w:val="6145561E"/>
    <w:rsid w:val="614B6A48"/>
    <w:rsid w:val="61572720"/>
    <w:rsid w:val="61581C02"/>
    <w:rsid w:val="615838FD"/>
    <w:rsid w:val="615D19D7"/>
    <w:rsid w:val="6163252D"/>
    <w:rsid w:val="61654D49"/>
    <w:rsid w:val="6166067E"/>
    <w:rsid w:val="61697DE1"/>
    <w:rsid w:val="616A65EE"/>
    <w:rsid w:val="616C4044"/>
    <w:rsid w:val="616D6E43"/>
    <w:rsid w:val="616F2C90"/>
    <w:rsid w:val="616F476B"/>
    <w:rsid w:val="616F756A"/>
    <w:rsid w:val="61700EFA"/>
    <w:rsid w:val="617433C5"/>
    <w:rsid w:val="6176640E"/>
    <w:rsid w:val="617F7076"/>
    <w:rsid w:val="61801F71"/>
    <w:rsid w:val="618C4F52"/>
    <w:rsid w:val="618D3A2E"/>
    <w:rsid w:val="619C3F2B"/>
    <w:rsid w:val="619C627B"/>
    <w:rsid w:val="619E00BF"/>
    <w:rsid w:val="619E7C31"/>
    <w:rsid w:val="61AC4FBD"/>
    <w:rsid w:val="61AF2B5A"/>
    <w:rsid w:val="61B63E18"/>
    <w:rsid w:val="61B74A49"/>
    <w:rsid w:val="61BA0D14"/>
    <w:rsid w:val="61C30572"/>
    <w:rsid w:val="61C9529A"/>
    <w:rsid w:val="61D84114"/>
    <w:rsid w:val="61DA4450"/>
    <w:rsid w:val="61DC798D"/>
    <w:rsid w:val="61DF10D7"/>
    <w:rsid w:val="61EB30C8"/>
    <w:rsid w:val="61EB35F2"/>
    <w:rsid w:val="61EB4661"/>
    <w:rsid w:val="61EF03E7"/>
    <w:rsid w:val="61F139A9"/>
    <w:rsid w:val="61F27086"/>
    <w:rsid w:val="62013E16"/>
    <w:rsid w:val="62016E68"/>
    <w:rsid w:val="62070B36"/>
    <w:rsid w:val="62082450"/>
    <w:rsid w:val="62094845"/>
    <w:rsid w:val="621068F5"/>
    <w:rsid w:val="62143662"/>
    <w:rsid w:val="62165768"/>
    <w:rsid w:val="6218237D"/>
    <w:rsid w:val="6220681B"/>
    <w:rsid w:val="6229050B"/>
    <w:rsid w:val="62292442"/>
    <w:rsid w:val="6230255F"/>
    <w:rsid w:val="62303BEA"/>
    <w:rsid w:val="6232170F"/>
    <w:rsid w:val="62327AE7"/>
    <w:rsid w:val="62334F52"/>
    <w:rsid w:val="62384557"/>
    <w:rsid w:val="62416193"/>
    <w:rsid w:val="62416AB1"/>
    <w:rsid w:val="624A27D1"/>
    <w:rsid w:val="624A5567"/>
    <w:rsid w:val="625478EE"/>
    <w:rsid w:val="6256080E"/>
    <w:rsid w:val="625664DD"/>
    <w:rsid w:val="62581FE7"/>
    <w:rsid w:val="626128F7"/>
    <w:rsid w:val="62631F33"/>
    <w:rsid w:val="6267053C"/>
    <w:rsid w:val="62672F64"/>
    <w:rsid w:val="626850CB"/>
    <w:rsid w:val="62735243"/>
    <w:rsid w:val="6276296A"/>
    <w:rsid w:val="627D29F4"/>
    <w:rsid w:val="62895920"/>
    <w:rsid w:val="628C58CD"/>
    <w:rsid w:val="62957CF1"/>
    <w:rsid w:val="62973357"/>
    <w:rsid w:val="629F54C7"/>
    <w:rsid w:val="62A00842"/>
    <w:rsid w:val="62A04399"/>
    <w:rsid w:val="62A91509"/>
    <w:rsid w:val="62AE5792"/>
    <w:rsid w:val="62B656A8"/>
    <w:rsid w:val="62BA36BF"/>
    <w:rsid w:val="62BF0988"/>
    <w:rsid w:val="62C8762B"/>
    <w:rsid w:val="62D50D81"/>
    <w:rsid w:val="62DE53EF"/>
    <w:rsid w:val="62E266F6"/>
    <w:rsid w:val="62ED4F6E"/>
    <w:rsid w:val="62FB188C"/>
    <w:rsid w:val="63017A29"/>
    <w:rsid w:val="630604BA"/>
    <w:rsid w:val="63062796"/>
    <w:rsid w:val="630C0C08"/>
    <w:rsid w:val="630E70A5"/>
    <w:rsid w:val="63113173"/>
    <w:rsid w:val="63143DFC"/>
    <w:rsid w:val="631665E6"/>
    <w:rsid w:val="63190D47"/>
    <w:rsid w:val="631B72A2"/>
    <w:rsid w:val="632905BE"/>
    <w:rsid w:val="63340102"/>
    <w:rsid w:val="6334591A"/>
    <w:rsid w:val="633A53B8"/>
    <w:rsid w:val="633D3B4F"/>
    <w:rsid w:val="634A5D0D"/>
    <w:rsid w:val="634B1E47"/>
    <w:rsid w:val="634C1301"/>
    <w:rsid w:val="634D4668"/>
    <w:rsid w:val="635034EB"/>
    <w:rsid w:val="63642C53"/>
    <w:rsid w:val="636546C4"/>
    <w:rsid w:val="63676388"/>
    <w:rsid w:val="63684E6A"/>
    <w:rsid w:val="63691A8E"/>
    <w:rsid w:val="636B587B"/>
    <w:rsid w:val="63726B82"/>
    <w:rsid w:val="63741BF9"/>
    <w:rsid w:val="63754CCA"/>
    <w:rsid w:val="63762F19"/>
    <w:rsid w:val="63784485"/>
    <w:rsid w:val="63841B18"/>
    <w:rsid w:val="6388419D"/>
    <w:rsid w:val="638A2872"/>
    <w:rsid w:val="638F6BD2"/>
    <w:rsid w:val="63A5273E"/>
    <w:rsid w:val="63C029CE"/>
    <w:rsid w:val="63C40DD4"/>
    <w:rsid w:val="63CB43BD"/>
    <w:rsid w:val="63D01574"/>
    <w:rsid w:val="63D22032"/>
    <w:rsid w:val="63D6116A"/>
    <w:rsid w:val="63D66CEF"/>
    <w:rsid w:val="63DB7B14"/>
    <w:rsid w:val="63DE0B41"/>
    <w:rsid w:val="63E23BEC"/>
    <w:rsid w:val="63E34C86"/>
    <w:rsid w:val="63E6164D"/>
    <w:rsid w:val="63E64998"/>
    <w:rsid w:val="63E86A03"/>
    <w:rsid w:val="63E9638E"/>
    <w:rsid w:val="63ED0FB9"/>
    <w:rsid w:val="63F42678"/>
    <w:rsid w:val="63F50413"/>
    <w:rsid w:val="63F54659"/>
    <w:rsid w:val="63F71621"/>
    <w:rsid w:val="63F947C1"/>
    <w:rsid w:val="64030CAF"/>
    <w:rsid w:val="6406719B"/>
    <w:rsid w:val="640A519E"/>
    <w:rsid w:val="640C18FE"/>
    <w:rsid w:val="641076F1"/>
    <w:rsid w:val="64155AD0"/>
    <w:rsid w:val="6420321A"/>
    <w:rsid w:val="64203AF6"/>
    <w:rsid w:val="64204008"/>
    <w:rsid w:val="642531AD"/>
    <w:rsid w:val="643327E8"/>
    <w:rsid w:val="6434680C"/>
    <w:rsid w:val="64357BEE"/>
    <w:rsid w:val="64357CD7"/>
    <w:rsid w:val="64374EF8"/>
    <w:rsid w:val="64465102"/>
    <w:rsid w:val="64474AEE"/>
    <w:rsid w:val="64481237"/>
    <w:rsid w:val="64485BF3"/>
    <w:rsid w:val="644C3C10"/>
    <w:rsid w:val="644F6E50"/>
    <w:rsid w:val="64527253"/>
    <w:rsid w:val="6455358D"/>
    <w:rsid w:val="645A1A4A"/>
    <w:rsid w:val="64601085"/>
    <w:rsid w:val="646329F7"/>
    <w:rsid w:val="64636AD3"/>
    <w:rsid w:val="64642EBF"/>
    <w:rsid w:val="64677987"/>
    <w:rsid w:val="64681569"/>
    <w:rsid w:val="64687BF8"/>
    <w:rsid w:val="646D5832"/>
    <w:rsid w:val="647C26F0"/>
    <w:rsid w:val="647F6D39"/>
    <w:rsid w:val="64803C7C"/>
    <w:rsid w:val="64831903"/>
    <w:rsid w:val="64866B71"/>
    <w:rsid w:val="648E2C7C"/>
    <w:rsid w:val="649429C1"/>
    <w:rsid w:val="649F0930"/>
    <w:rsid w:val="64A044A5"/>
    <w:rsid w:val="64A13A57"/>
    <w:rsid w:val="64A86EFC"/>
    <w:rsid w:val="64B72BF3"/>
    <w:rsid w:val="64B96D49"/>
    <w:rsid w:val="64BC3FC5"/>
    <w:rsid w:val="64BC51D3"/>
    <w:rsid w:val="64BD7BE4"/>
    <w:rsid w:val="64BF746B"/>
    <w:rsid w:val="64C577CD"/>
    <w:rsid w:val="64CE5A37"/>
    <w:rsid w:val="64CE71EF"/>
    <w:rsid w:val="64CE7DE9"/>
    <w:rsid w:val="64D3455A"/>
    <w:rsid w:val="64E500E3"/>
    <w:rsid w:val="64E751BB"/>
    <w:rsid w:val="64E95433"/>
    <w:rsid w:val="64F362F3"/>
    <w:rsid w:val="64FD70B2"/>
    <w:rsid w:val="65004F80"/>
    <w:rsid w:val="6503451C"/>
    <w:rsid w:val="650A0473"/>
    <w:rsid w:val="65113D15"/>
    <w:rsid w:val="65225348"/>
    <w:rsid w:val="652C1B75"/>
    <w:rsid w:val="652D4937"/>
    <w:rsid w:val="652D641A"/>
    <w:rsid w:val="652F0F4F"/>
    <w:rsid w:val="65380690"/>
    <w:rsid w:val="65384718"/>
    <w:rsid w:val="653933BB"/>
    <w:rsid w:val="653F5976"/>
    <w:rsid w:val="65402560"/>
    <w:rsid w:val="654048D8"/>
    <w:rsid w:val="654366C6"/>
    <w:rsid w:val="654632FB"/>
    <w:rsid w:val="65481D88"/>
    <w:rsid w:val="65497784"/>
    <w:rsid w:val="655B7556"/>
    <w:rsid w:val="65605946"/>
    <w:rsid w:val="65621538"/>
    <w:rsid w:val="656960F3"/>
    <w:rsid w:val="65707E5D"/>
    <w:rsid w:val="65717590"/>
    <w:rsid w:val="657550FD"/>
    <w:rsid w:val="65756EA6"/>
    <w:rsid w:val="657614B8"/>
    <w:rsid w:val="65782194"/>
    <w:rsid w:val="6579184A"/>
    <w:rsid w:val="65807A4C"/>
    <w:rsid w:val="65807D8D"/>
    <w:rsid w:val="658307A8"/>
    <w:rsid w:val="658408CE"/>
    <w:rsid w:val="65851C45"/>
    <w:rsid w:val="658713A2"/>
    <w:rsid w:val="658D290D"/>
    <w:rsid w:val="65920CF9"/>
    <w:rsid w:val="6596718A"/>
    <w:rsid w:val="659E4FC3"/>
    <w:rsid w:val="65A12061"/>
    <w:rsid w:val="65A20196"/>
    <w:rsid w:val="65A312C8"/>
    <w:rsid w:val="65A53C50"/>
    <w:rsid w:val="65A84C4F"/>
    <w:rsid w:val="65AA1C2B"/>
    <w:rsid w:val="65B81E58"/>
    <w:rsid w:val="65C41E97"/>
    <w:rsid w:val="65C81BBA"/>
    <w:rsid w:val="65C875B3"/>
    <w:rsid w:val="65D371EE"/>
    <w:rsid w:val="65D521D5"/>
    <w:rsid w:val="65D54375"/>
    <w:rsid w:val="65D624EA"/>
    <w:rsid w:val="65D96F2C"/>
    <w:rsid w:val="65EC0101"/>
    <w:rsid w:val="65ED2582"/>
    <w:rsid w:val="65EF6019"/>
    <w:rsid w:val="65F006CC"/>
    <w:rsid w:val="65F06A88"/>
    <w:rsid w:val="65F40F6A"/>
    <w:rsid w:val="65FC0B92"/>
    <w:rsid w:val="65FE30BB"/>
    <w:rsid w:val="65FE442E"/>
    <w:rsid w:val="660D2AD4"/>
    <w:rsid w:val="66136325"/>
    <w:rsid w:val="6618698C"/>
    <w:rsid w:val="661A3D4D"/>
    <w:rsid w:val="661D6003"/>
    <w:rsid w:val="66205E12"/>
    <w:rsid w:val="6620673A"/>
    <w:rsid w:val="662226BE"/>
    <w:rsid w:val="662240B7"/>
    <w:rsid w:val="66257DAB"/>
    <w:rsid w:val="6629058E"/>
    <w:rsid w:val="662A503E"/>
    <w:rsid w:val="662B7243"/>
    <w:rsid w:val="66374DC6"/>
    <w:rsid w:val="663826F1"/>
    <w:rsid w:val="66386E4A"/>
    <w:rsid w:val="663C4B0E"/>
    <w:rsid w:val="663C766A"/>
    <w:rsid w:val="664107D0"/>
    <w:rsid w:val="66415D29"/>
    <w:rsid w:val="66496C3C"/>
    <w:rsid w:val="66536337"/>
    <w:rsid w:val="66543734"/>
    <w:rsid w:val="66544034"/>
    <w:rsid w:val="665C3B53"/>
    <w:rsid w:val="665D2F4A"/>
    <w:rsid w:val="666C69AF"/>
    <w:rsid w:val="666D5D03"/>
    <w:rsid w:val="66772417"/>
    <w:rsid w:val="66782E16"/>
    <w:rsid w:val="667F06A5"/>
    <w:rsid w:val="667F6025"/>
    <w:rsid w:val="668429AB"/>
    <w:rsid w:val="66936D8A"/>
    <w:rsid w:val="669F53C1"/>
    <w:rsid w:val="66AA7FC4"/>
    <w:rsid w:val="66AC6DC1"/>
    <w:rsid w:val="66AE35BD"/>
    <w:rsid w:val="66B33504"/>
    <w:rsid w:val="66B44865"/>
    <w:rsid w:val="66B83C92"/>
    <w:rsid w:val="66D4197D"/>
    <w:rsid w:val="66DA5311"/>
    <w:rsid w:val="66DD71B5"/>
    <w:rsid w:val="66DE1BF2"/>
    <w:rsid w:val="66E0375F"/>
    <w:rsid w:val="66E3630B"/>
    <w:rsid w:val="66F20CAA"/>
    <w:rsid w:val="66FC3689"/>
    <w:rsid w:val="66FD0D69"/>
    <w:rsid w:val="670206DA"/>
    <w:rsid w:val="67131B7D"/>
    <w:rsid w:val="671648EF"/>
    <w:rsid w:val="67167150"/>
    <w:rsid w:val="6719113D"/>
    <w:rsid w:val="671A0917"/>
    <w:rsid w:val="671D39A2"/>
    <w:rsid w:val="672101D8"/>
    <w:rsid w:val="67271134"/>
    <w:rsid w:val="6727331E"/>
    <w:rsid w:val="673137B1"/>
    <w:rsid w:val="67331E39"/>
    <w:rsid w:val="673C004F"/>
    <w:rsid w:val="673C08CB"/>
    <w:rsid w:val="673E08B0"/>
    <w:rsid w:val="674733B0"/>
    <w:rsid w:val="674B2EBB"/>
    <w:rsid w:val="674B6F7A"/>
    <w:rsid w:val="674D4C39"/>
    <w:rsid w:val="67520B66"/>
    <w:rsid w:val="67536EEA"/>
    <w:rsid w:val="675454A9"/>
    <w:rsid w:val="67576376"/>
    <w:rsid w:val="675F769D"/>
    <w:rsid w:val="676174A8"/>
    <w:rsid w:val="67662457"/>
    <w:rsid w:val="67681C58"/>
    <w:rsid w:val="676B7668"/>
    <w:rsid w:val="6776651F"/>
    <w:rsid w:val="67862545"/>
    <w:rsid w:val="678A4A87"/>
    <w:rsid w:val="678B0723"/>
    <w:rsid w:val="678D31F6"/>
    <w:rsid w:val="67944638"/>
    <w:rsid w:val="679A240F"/>
    <w:rsid w:val="679B1950"/>
    <w:rsid w:val="679B2B5D"/>
    <w:rsid w:val="67A75692"/>
    <w:rsid w:val="67B0451E"/>
    <w:rsid w:val="67B216A6"/>
    <w:rsid w:val="67B63D60"/>
    <w:rsid w:val="67B76669"/>
    <w:rsid w:val="67BB72C9"/>
    <w:rsid w:val="67CD10A9"/>
    <w:rsid w:val="67D06930"/>
    <w:rsid w:val="67D2277E"/>
    <w:rsid w:val="67E645CC"/>
    <w:rsid w:val="67E75180"/>
    <w:rsid w:val="67EB46C5"/>
    <w:rsid w:val="67EC0C4E"/>
    <w:rsid w:val="67F12C3F"/>
    <w:rsid w:val="67F27DFF"/>
    <w:rsid w:val="67F34F93"/>
    <w:rsid w:val="67F35205"/>
    <w:rsid w:val="67F72431"/>
    <w:rsid w:val="67FA2C86"/>
    <w:rsid w:val="68037CBD"/>
    <w:rsid w:val="680E6333"/>
    <w:rsid w:val="68140E9F"/>
    <w:rsid w:val="68162D31"/>
    <w:rsid w:val="68190577"/>
    <w:rsid w:val="6819094E"/>
    <w:rsid w:val="681B2885"/>
    <w:rsid w:val="681C4C4B"/>
    <w:rsid w:val="682058E1"/>
    <w:rsid w:val="682A4360"/>
    <w:rsid w:val="683048BC"/>
    <w:rsid w:val="683C10D3"/>
    <w:rsid w:val="683D7490"/>
    <w:rsid w:val="68426E78"/>
    <w:rsid w:val="684322F3"/>
    <w:rsid w:val="684D3E2B"/>
    <w:rsid w:val="68511D8D"/>
    <w:rsid w:val="685C630B"/>
    <w:rsid w:val="685D0CF8"/>
    <w:rsid w:val="68671829"/>
    <w:rsid w:val="686F1B5D"/>
    <w:rsid w:val="68783C87"/>
    <w:rsid w:val="68790FAE"/>
    <w:rsid w:val="68794959"/>
    <w:rsid w:val="6884136F"/>
    <w:rsid w:val="68842D54"/>
    <w:rsid w:val="6886232D"/>
    <w:rsid w:val="68890844"/>
    <w:rsid w:val="68897994"/>
    <w:rsid w:val="688B085B"/>
    <w:rsid w:val="688C3295"/>
    <w:rsid w:val="688D6828"/>
    <w:rsid w:val="688F3781"/>
    <w:rsid w:val="689175CE"/>
    <w:rsid w:val="689A397C"/>
    <w:rsid w:val="689C3ECD"/>
    <w:rsid w:val="689E332D"/>
    <w:rsid w:val="689E7138"/>
    <w:rsid w:val="68A332C3"/>
    <w:rsid w:val="68AB7C29"/>
    <w:rsid w:val="68AC67AA"/>
    <w:rsid w:val="68B27DFC"/>
    <w:rsid w:val="68BB67AD"/>
    <w:rsid w:val="68BC28CF"/>
    <w:rsid w:val="68CA206B"/>
    <w:rsid w:val="68CE3996"/>
    <w:rsid w:val="68CF2DAA"/>
    <w:rsid w:val="68D362C6"/>
    <w:rsid w:val="68D404A2"/>
    <w:rsid w:val="68D816DA"/>
    <w:rsid w:val="68D84AA0"/>
    <w:rsid w:val="68DE2657"/>
    <w:rsid w:val="68F203FD"/>
    <w:rsid w:val="68F54DC3"/>
    <w:rsid w:val="68FE0FCB"/>
    <w:rsid w:val="68FE4B57"/>
    <w:rsid w:val="68FF6E02"/>
    <w:rsid w:val="69012829"/>
    <w:rsid w:val="69040DFA"/>
    <w:rsid w:val="690514EB"/>
    <w:rsid w:val="690A0B57"/>
    <w:rsid w:val="69140E9B"/>
    <w:rsid w:val="691702F9"/>
    <w:rsid w:val="6924248A"/>
    <w:rsid w:val="692522CB"/>
    <w:rsid w:val="692B776C"/>
    <w:rsid w:val="69316C20"/>
    <w:rsid w:val="6938033D"/>
    <w:rsid w:val="69381A03"/>
    <w:rsid w:val="693D5000"/>
    <w:rsid w:val="693F2F6F"/>
    <w:rsid w:val="6944246F"/>
    <w:rsid w:val="69473BCF"/>
    <w:rsid w:val="694D006E"/>
    <w:rsid w:val="696A42AA"/>
    <w:rsid w:val="696B0D29"/>
    <w:rsid w:val="696B1374"/>
    <w:rsid w:val="69726F94"/>
    <w:rsid w:val="697548C2"/>
    <w:rsid w:val="69776374"/>
    <w:rsid w:val="697C561C"/>
    <w:rsid w:val="69833C06"/>
    <w:rsid w:val="698733C7"/>
    <w:rsid w:val="698A16A4"/>
    <w:rsid w:val="698B6A6E"/>
    <w:rsid w:val="699053D3"/>
    <w:rsid w:val="69944454"/>
    <w:rsid w:val="699715DC"/>
    <w:rsid w:val="69983E74"/>
    <w:rsid w:val="699C2A96"/>
    <w:rsid w:val="69A34A72"/>
    <w:rsid w:val="69AE0A96"/>
    <w:rsid w:val="69AE16AF"/>
    <w:rsid w:val="69B20772"/>
    <w:rsid w:val="69B26750"/>
    <w:rsid w:val="69B82AF8"/>
    <w:rsid w:val="69C00A49"/>
    <w:rsid w:val="69C3262A"/>
    <w:rsid w:val="69CA7B1B"/>
    <w:rsid w:val="69CC4A74"/>
    <w:rsid w:val="69CF7770"/>
    <w:rsid w:val="69D125E1"/>
    <w:rsid w:val="69D4610A"/>
    <w:rsid w:val="69DF0A06"/>
    <w:rsid w:val="69F84424"/>
    <w:rsid w:val="69F95DD9"/>
    <w:rsid w:val="69FB78BF"/>
    <w:rsid w:val="6A007E66"/>
    <w:rsid w:val="6A022596"/>
    <w:rsid w:val="6A0717E6"/>
    <w:rsid w:val="6A091ED4"/>
    <w:rsid w:val="6A097E45"/>
    <w:rsid w:val="6A0A3C46"/>
    <w:rsid w:val="6A0A709A"/>
    <w:rsid w:val="6A0D2A7D"/>
    <w:rsid w:val="6A0D4A68"/>
    <w:rsid w:val="6A0E1B2F"/>
    <w:rsid w:val="6A140880"/>
    <w:rsid w:val="6A170FE8"/>
    <w:rsid w:val="6A1C6881"/>
    <w:rsid w:val="6A1E2BAC"/>
    <w:rsid w:val="6A250D04"/>
    <w:rsid w:val="6A2A24F7"/>
    <w:rsid w:val="6A2D2596"/>
    <w:rsid w:val="6A2E1887"/>
    <w:rsid w:val="6A34132E"/>
    <w:rsid w:val="6A371C52"/>
    <w:rsid w:val="6A3A378C"/>
    <w:rsid w:val="6A407C55"/>
    <w:rsid w:val="6A4209EB"/>
    <w:rsid w:val="6A460807"/>
    <w:rsid w:val="6A560087"/>
    <w:rsid w:val="6A5D3711"/>
    <w:rsid w:val="6A5D78C5"/>
    <w:rsid w:val="6A7039AE"/>
    <w:rsid w:val="6A756AF8"/>
    <w:rsid w:val="6A825A13"/>
    <w:rsid w:val="6A872B0F"/>
    <w:rsid w:val="6A905229"/>
    <w:rsid w:val="6A921906"/>
    <w:rsid w:val="6AA046C3"/>
    <w:rsid w:val="6AAE5A0D"/>
    <w:rsid w:val="6AAE7AEC"/>
    <w:rsid w:val="6AB16056"/>
    <w:rsid w:val="6AB634A4"/>
    <w:rsid w:val="6AB637CD"/>
    <w:rsid w:val="6AD54D6A"/>
    <w:rsid w:val="6AD61A79"/>
    <w:rsid w:val="6ADF3EFA"/>
    <w:rsid w:val="6AE818E2"/>
    <w:rsid w:val="6AEA576D"/>
    <w:rsid w:val="6AF146AC"/>
    <w:rsid w:val="6AF24CE7"/>
    <w:rsid w:val="6AF76E5B"/>
    <w:rsid w:val="6AFF450E"/>
    <w:rsid w:val="6B065E03"/>
    <w:rsid w:val="6B0A1AC7"/>
    <w:rsid w:val="6B0F5701"/>
    <w:rsid w:val="6B104A35"/>
    <w:rsid w:val="6B115A56"/>
    <w:rsid w:val="6B163497"/>
    <w:rsid w:val="6B225177"/>
    <w:rsid w:val="6B277AC7"/>
    <w:rsid w:val="6B2C2F00"/>
    <w:rsid w:val="6B2E3737"/>
    <w:rsid w:val="6B342E6D"/>
    <w:rsid w:val="6B376693"/>
    <w:rsid w:val="6B3B4759"/>
    <w:rsid w:val="6B4515C7"/>
    <w:rsid w:val="6B461D5E"/>
    <w:rsid w:val="6B4B121B"/>
    <w:rsid w:val="6B4C7489"/>
    <w:rsid w:val="6B50147A"/>
    <w:rsid w:val="6B505053"/>
    <w:rsid w:val="6B521295"/>
    <w:rsid w:val="6B5B2061"/>
    <w:rsid w:val="6B5C1483"/>
    <w:rsid w:val="6B622B61"/>
    <w:rsid w:val="6B647C2F"/>
    <w:rsid w:val="6B700D08"/>
    <w:rsid w:val="6B72722D"/>
    <w:rsid w:val="6B756CFB"/>
    <w:rsid w:val="6B770D5D"/>
    <w:rsid w:val="6B773232"/>
    <w:rsid w:val="6B7E3E86"/>
    <w:rsid w:val="6B7E743A"/>
    <w:rsid w:val="6B7F54E2"/>
    <w:rsid w:val="6B7F73EC"/>
    <w:rsid w:val="6B80102A"/>
    <w:rsid w:val="6B852EAC"/>
    <w:rsid w:val="6B862AF8"/>
    <w:rsid w:val="6B873E81"/>
    <w:rsid w:val="6B8C05BC"/>
    <w:rsid w:val="6B980FC8"/>
    <w:rsid w:val="6B9B7315"/>
    <w:rsid w:val="6B9C6E39"/>
    <w:rsid w:val="6BA27F31"/>
    <w:rsid w:val="6BA82F01"/>
    <w:rsid w:val="6BAA2F22"/>
    <w:rsid w:val="6BAE3B6F"/>
    <w:rsid w:val="6BB01DB5"/>
    <w:rsid w:val="6BBD4694"/>
    <w:rsid w:val="6BC51BAB"/>
    <w:rsid w:val="6BC623F9"/>
    <w:rsid w:val="6BC670B9"/>
    <w:rsid w:val="6BCA3551"/>
    <w:rsid w:val="6BD4041C"/>
    <w:rsid w:val="6BD414E4"/>
    <w:rsid w:val="6BD53134"/>
    <w:rsid w:val="6BDE4977"/>
    <w:rsid w:val="6BDF3B33"/>
    <w:rsid w:val="6BE252A5"/>
    <w:rsid w:val="6BF07D35"/>
    <w:rsid w:val="6BF208EB"/>
    <w:rsid w:val="6BF75BEB"/>
    <w:rsid w:val="6BFC0294"/>
    <w:rsid w:val="6BFD404F"/>
    <w:rsid w:val="6C031C2C"/>
    <w:rsid w:val="6C0D0ADB"/>
    <w:rsid w:val="6C115461"/>
    <w:rsid w:val="6C131D3F"/>
    <w:rsid w:val="6C177097"/>
    <w:rsid w:val="6C2B23BB"/>
    <w:rsid w:val="6C2C0102"/>
    <w:rsid w:val="6C2E337F"/>
    <w:rsid w:val="6C304F87"/>
    <w:rsid w:val="6C326E6E"/>
    <w:rsid w:val="6C3918BD"/>
    <w:rsid w:val="6C456C53"/>
    <w:rsid w:val="6C4773FF"/>
    <w:rsid w:val="6C4A44B1"/>
    <w:rsid w:val="6C4F65AD"/>
    <w:rsid w:val="6C5060DF"/>
    <w:rsid w:val="6C561D21"/>
    <w:rsid w:val="6C5679FB"/>
    <w:rsid w:val="6C5873FF"/>
    <w:rsid w:val="6C6452B9"/>
    <w:rsid w:val="6C6E3AA9"/>
    <w:rsid w:val="6C796D14"/>
    <w:rsid w:val="6C8528B7"/>
    <w:rsid w:val="6C8D2C67"/>
    <w:rsid w:val="6C8E25EB"/>
    <w:rsid w:val="6C993F5F"/>
    <w:rsid w:val="6C9E192F"/>
    <w:rsid w:val="6C9E6FB7"/>
    <w:rsid w:val="6CA15B4F"/>
    <w:rsid w:val="6CA32051"/>
    <w:rsid w:val="6CA6347D"/>
    <w:rsid w:val="6CAA49E7"/>
    <w:rsid w:val="6CAC714F"/>
    <w:rsid w:val="6CAF7517"/>
    <w:rsid w:val="6CB831BE"/>
    <w:rsid w:val="6CBE7235"/>
    <w:rsid w:val="6CD85E8E"/>
    <w:rsid w:val="6CDB7982"/>
    <w:rsid w:val="6CE81BFB"/>
    <w:rsid w:val="6CEC12AF"/>
    <w:rsid w:val="6CEC2CBB"/>
    <w:rsid w:val="6CF473C1"/>
    <w:rsid w:val="6CF5669A"/>
    <w:rsid w:val="6D095C70"/>
    <w:rsid w:val="6D0D2DA3"/>
    <w:rsid w:val="6D0E2B3E"/>
    <w:rsid w:val="6D1108A0"/>
    <w:rsid w:val="6D173408"/>
    <w:rsid w:val="6D1E79CF"/>
    <w:rsid w:val="6D210A2B"/>
    <w:rsid w:val="6D273349"/>
    <w:rsid w:val="6D285054"/>
    <w:rsid w:val="6D285134"/>
    <w:rsid w:val="6D3422F2"/>
    <w:rsid w:val="6D401548"/>
    <w:rsid w:val="6D4120D4"/>
    <w:rsid w:val="6D4151EB"/>
    <w:rsid w:val="6D4C0164"/>
    <w:rsid w:val="6D4D2A26"/>
    <w:rsid w:val="6D4E6180"/>
    <w:rsid w:val="6D4F5B2B"/>
    <w:rsid w:val="6D505FF1"/>
    <w:rsid w:val="6D5C697E"/>
    <w:rsid w:val="6D605E36"/>
    <w:rsid w:val="6D6128C5"/>
    <w:rsid w:val="6D666E54"/>
    <w:rsid w:val="6D667867"/>
    <w:rsid w:val="6D6A5877"/>
    <w:rsid w:val="6D6B0293"/>
    <w:rsid w:val="6D796762"/>
    <w:rsid w:val="6D7B668A"/>
    <w:rsid w:val="6D7F37D9"/>
    <w:rsid w:val="6D861554"/>
    <w:rsid w:val="6D891756"/>
    <w:rsid w:val="6D8B378E"/>
    <w:rsid w:val="6D8D0A2A"/>
    <w:rsid w:val="6D8E2973"/>
    <w:rsid w:val="6D8E6283"/>
    <w:rsid w:val="6D8F53CA"/>
    <w:rsid w:val="6D9279B1"/>
    <w:rsid w:val="6DA1296C"/>
    <w:rsid w:val="6DA1743F"/>
    <w:rsid w:val="6DAF4BC6"/>
    <w:rsid w:val="6DB27660"/>
    <w:rsid w:val="6DBA0C23"/>
    <w:rsid w:val="6DBE6C19"/>
    <w:rsid w:val="6DC926C6"/>
    <w:rsid w:val="6DCC02D6"/>
    <w:rsid w:val="6DD06913"/>
    <w:rsid w:val="6DD36D1F"/>
    <w:rsid w:val="6DD91726"/>
    <w:rsid w:val="6DDE24C7"/>
    <w:rsid w:val="6DE62894"/>
    <w:rsid w:val="6DE63451"/>
    <w:rsid w:val="6DE865CF"/>
    <w:rsid w:val="6DF00BD1"/>
    <w:rsid w:val="6DF06347"/>
    <w:rsid w:val="6DF123ED"/>
    <w:rsid w:val="6DF25E93"/>
    <w:rsid w:val="6DF35381"/>
    <w:rsid w:val="6DF63916"/>
    <w:rsid w:val="6DFE1D39"/>
    <w:rsid w:val="6E004682"/>
    <w:rsid w:val="6E011233"/>
    <w:rsid w:val="6E037B83"/>
    <w:rsid w:val="6E095D3C"/>
    <w:rsid w:val="6E125644"/>
    <w:rsid w:val="6E1D7ABD"/>
    <w:rsid w:val="6E254273"/>
    <w:rsid w:val="6E277B43"/>
    <w:rsid w:val="6E2808E1"/>
    <w:rsid w:val="6E293C57"/>
    <w:rsid w:val="6E294953"/>
    <w:rsid w:val="6E2A25B6"/>
    <w:rsid w:val="6E2C31A4"/>
    <w:rsid w:val="6E2C5640"/>
    <w:rsid w:val="6E2D382D"/>
    <w:rsid w:val="6E3157FE"/>
    <w:rsid w:val="6E3A784B"/>
    <w:rsid w:val="6E3B6D6D"/>
    <w:rsid w:val="6E3D7E1F"/>
    <w:rsid w:val="6E4348E2"/>
    <w:rsid w:val="6E463426"/>
    <w:rsid w:val="6E4C1202"/>
    <w:rsid w:val="6E4D7CAA"/>
    <w:rsid w:val="6E5B59F1"/>
    <w:rsid w:val="6E5F44A6"/>
    <w:rsid w:val="6E614F20"/>
    <w:rsid w:val="6E654CD4"/>
    <w:rsid w:val="6E664127"/>
    <w:rsid w:val="6E7518BC"/>
    <w:rsid w:val="6E812190"/>
    <w:rsid w:val="6E836CD3"/>
    <w:rsid w:val="6E8A325F"/>
    <w:rsid w:val="6E8C7F81"/>
    <w:rsid w:val="6E8D66E7"/>
    <w:rsid w:val="6E916EE6"/>
    <w:rsid w:val="6E924529"/>
    <w:rsid w:val="6E930B05"/>
    <w:rsid w:val="6E9522BC"/>
    <w:rsid w:val="6EA40C09"/>
    <w:rsid w:val="6EAA35F1"/>
    <w:rsid w:val="6EAE4F9F"/>
    <w:rsid w:val="6EAF621C"/>
    <w:rsid w:val="6EB11C8E"/>
    <w:rsid w:val="6EB91009"/>
    <w:rsid w:val="6EBD1552"/>
    <w:rsid w:val="6EBD3690"/>
    <w:rsid w:val="6EBE6862"/>
    <w:rsid w:val="6EC17941"/>
    <w:rsid w:val="6EC3696A"/>
    <w:rsid w:val="6ECD3D7A"/>
    <w:rsid w:val="6ED05AF2"/>
    <w:rsid w:val="6ED05E49"/>
    <w:rsid w:val="6ED45D4E"/>
    <w:rsid w:val="6ED6527B"/>
    <w:rsid w:val="6ED90EB8"/>
    <w:rsid w:val="6ED96BE5"/>
    <w:rsid w:val="6EDE4C04"/>
    <w:rsid w:val="6EE65C0B"/>
    <w:rsid w:val="6EED7B5E"/>
    <w:rsid w:val="6EF742F2"/>
    <w:rsid w:val="6EF74A43"/>
    <w:rsid w:val="6EFA06AA"/>
    <w:rsid w:val="6EFE31C0"/>
    <w:rsid w:val="6F0110FF"/>
    <w:rsid w:val="6F0C0D3B"/>
    <w:rsid w:val="6F0D52C5"/>
    <w:rsid w:val="6F0F7908"/>
    <w:rsid w:val="6F1035B9"/>
    <w:rsid w:val="6F133456"/>
    <w:rsid w:val="6F1848FB"/>
    <w:rsid w:val="6F2359DE"/>
    <w:rsid w:val="6F240096"/>
    <w:rsid w:val="6F2C7AEB"/>
    <w:rsid w:val="6F2E39CD"/>
    <w:rsid w:val="6F330CC5"/>
    <w:rsid w:val="6F3716C8"/>
    <w:rsid w:val="6F472E88"/>
    <w:rsid w:val="6F487128"/>
    <w:rsid w:val="6F4C2442"/>
    <w:rsid w:val="6F502ECF"/>
    <w:rsid w:val="6F5D6EE9"/>
    <w:rsid w:val="6F63349A"/>
    <w:rsid w:val="6F644FBC"/>
    <w:rsid w:val="6F6B4335"/>
    <w:rsid w:val="6F7C5769"/>
    <w:rsid w:val="6F7F7958"/>
    <w:rsid w:val="6F8257FF"/>
    <w:rsid w:val="6F837DB5"/>
    <w:rsid w:val="6F974939"/>
    <w:rsid w:val="6FA16E79"/>
    <w:rsid w:val="6FA3523A"/>
    <w:rsid w:val="6FA646DC"/>
    <w:rsid w:val="6FAB0240"/>
    <w:rsid w:val="6FAD7955"/>
    <w:rsid w:val="6FBA75C3"/>
    <w:rsid w:val="6FBF016D"/>
    <w:rsid w:val="6FBF2C2F"/>
    <w:rsid w:val="6FC1466F"/>
    <w:rsid w:val="6FD6157D"/>
    <w:rsid w:val="6FE01518"/>
    <w:rsid w:val="6FE01EA1"/>
    <w:rsid w:val="6FE06F2B"/>
    <w:rsid w:val="6FE12625"/>
    <w:rsid w:val="6FE20EF3"/>
    <w:rsid w:val="6FE37A15"/>
    <w:rsid w:val="6FE5656A"/>
    <w:rsid w:val="6FE80543"/>
    <w:rsid w:val="6FE87E3A"/>
    <w:rsid w:val="6FEE7840"/>
    <w:rsid w:val="6FF06D83"/>
    <w:rsid w:val="6FF47B85"/>
    <w:rsid w:val="6FFA69A3"/>
    <w:rsid w:val="70057710"/>
    <w:rsid w:val="700A3BDB"/>
    <w:rsid w:val="700C47ED"/>
    <w:rsid w:val="70147802"/>
    <w:rsid w:val="70155AD8"/>
    <w:rsid w:val="70174142"/>
    <w:rsid w:val="70213A33"/>
    <w:rsid w:val="7023080C"/>
    <w:rsid w:val="70292379"/>
    <w:rsid w:val="702E2D34"/>
    <w:rsid w:val="702E6D96"/>
    <w:rsid w:val="703341BB"/>
    <w:rsid w:val="703A7312"/>
    <w:rsid w:val="703C426A"/>
    <w:rsid w:val="703E2519"/>
    <w:rsid w:val="703F1725"/>
    <w:rsid w:val="704D1A10"/>
    <w:rsid w:val="704E56CD"/>
    <w:rsid w:val="704F329F"/>
    <w:rsid w:val="704F6733"/>
    <w:rsid w:val="7054311F"/>
    <w:rsid w:val="70575B67"/>
    <w:rsid w:val="70586D4C"/>
    <w:rsid w:val="705E607A"/>
    <w:rsid w:val="706101BF"/>
    <w:rsid w:val="706C39AE"/>
    <w:rsid w:val="706D6681"/>
    <w:rsid w:val="707058A3"/>
    <w:rsid w:val="70736794"/>
    <w:rsid w:val="707A6A02"/>
    <w:rsid w:val="70854082"/>
    <w:rsid w:val="70870CED"/>
    <w:rsid w:val="70885C82"/>
    <w:rsid w:val="708E391F"/>
    <w:rsid w:val="70924268"/>
    <w:rsid w:val="70984BC8"/>
    <w:rsid w:val="709A17D1"/>
    <w:rsid w:val="70A02B61"/>
    <w:rsid w:val="70AB6440"/>
    <w:rsid w:val="70AD6B74"/>
    <w:rsid w:val="70B25B48"/>
    <w:rsid w:val="70B77E7F"/>
    <w:rsid w:val="70B81518"/>
    <w:rsid w:val="70CC1ACD"/>
    <w:rsid w:val="70CC56DC"/>
    <w:rsid w:val="70DA4F31"/>
    <w:rsid w:val="70DC28B9"/>
    <w:rsid w:val="70DE3112"/>
    <w:rsid w:val="70E2496A"/>
    <w:rsid w:val="70E310BD"/>
    <w:rsid w:val="70ED1C27"/>
    <w:rsid w:val="70F312AB"/>
    <w:rsid w:val="70F56E23"/>
    <w:rsid w:val="70F76CAF"/>
    <w:rsid w:val="70F83445"/>
    <w:rsid w:val="70FD505E"/>
    <w:rsid w:val="711134FE"/>
    <w:rsid w:val="71117C5D"/>
    <w:rsid w:val="71121875"/>
    <w:rsid w:val="71124E24"/>
    <w:rsid w:val="7121665F"/>
    <w:rsid w:val="712676F2"/>
    <w:rsid w:val="712760CC"/>
    <w:rsid w:val="713B70F8"/>
    <w:rsid w:val="713C31D9"/>
    <w:rsid w:val="713E266D"/>
    <w:rsid w:val="71407D4F"/>
    <w:rsid w:val="714820BC"/>
    <w:rsid w:val="71486BE8"/>
    <w:rsid w:val="71490FA8"/>
    <w:rsid w:val="714942AA"/>
    <w:rsid w:val="714A2FBE"/>
    <w:rsid w:val="71502C27"/>
    <w:rsid w:val="71512087"/>
    <w:rsid w:val="71525978"/>
    <w:rsid w:val="71542C73"/>
    <w:rsid w:val="71550A68"/>
    <w:rsid w:val="715D42F4"/>
    <w:rsid w:val="716102E7"/>
    <w:rsid w:val="716303CF"/>
    <w:rsid w:val="71631BD7"/>
    <w:rsid w:val="716626E5"/>
    <w:rsid w:val="71662C9C"/>
    <w:rsid w:val="71671825"/>
    <w:rsid w:val="716D6DA3"/>
    <w:rsid w:val="717A3AD5"/>
    <w:rsid w:val="717B45E3"/>
    <w:rsid w:val="717D66BD"/>
    <w:rsid w:val="71826030"/>
    <w:rsid w:val="7187112E"/>
    <w:rsid w:val="718D3F98"/>
    <w:rsid w:val="718E6D9E"/>
    <w:rsid w:val="71921F10"/>
    <w:rsid w:val="719C676A"/>
    <w:rsid w:val="719D1099"/>
    <w:rsid w:val="719D23A1"/>
    <w:rsid w:val="719E2AA8"/>
    <w:rsid w:val="719F1F69"/>
    <w:rsid w:val="71B17C5A"/>
    <w:rsid w:val="71B620B3"/>
    <w:rsid w:val="71B80CE6"/>
    <w:rsid w:val="71B90518"/>
    <w:rsid w:val="71D05DE5"/>
    <w:rsid w:val="71D71D67"/>
    <w:rsid w:val="71D82D77"/>
    <w:rsid w:val="71E1106D"/>
    <w:rsid w:val="71E21539"/>
    <w:rsid w:val="71E62600"/>
    <w:rsid w:val="71F372F2"/>
    <w:rsid w:val="71F667A7"/>
    <w:rsid w:val="71FF01BC"/>
    <w:rsid w:val="72014FE5"/>
    <w:rsid w:val="720D3EC1"/>
    <w:rsid w:val="720E0456"/>
    <w:rsid w:val="721473FF"/>
    <w:rsid w:val="7216424D"/>
    <w:rsid w:val="72193216"/>
    <w:rsid w:val="721C0836"/>
    <w:rsid w:val="721C0A42"/>
    <w:rsid w:val="72207884"/>
    <w:rsid w:val="72242572"/>
    <w:rsid w:val="722C66EE"/>
    <w:rsid w:val="723257FB"/>
    <w:rsid w:val="723A42A4"/>
    <w:rsid w:val="72487FDE"/>
    <w:rsid w:val="724C3715"/>
    <w:rsid w:val="724F3045"/>
    <w:rsid w:val="7254124D"/>
    <w:rsid w:val="72555AED"/>
    <w:rsid w:val="72571DFC"/>
    <w:rsid w:val="725C1D3C"/>
    <w:rsid w:val="725F4AE6"/>
    <w:rsid w:val="72645516"/>
    <w:rsid w:val="72684E17"/>
    <w:rsid w:val="726C1961"/>
    <w:rsid w:val="7272787A"/>
    <w:rsid w:val="7273348E"/>
    <w:rsid w:val="727446C5"/>
    <w:rsid w:val="7278759E"/>
    <w:rsid w:val="727931A4"/>
    <w:rsid w:val="727A3D8D"/>
    <w:rsid w:val="7285464E"/>
    <w:rsid w:val="72890794"/>
    <w:rsid w:val="728921AC"/>
    <w:rsid w:val="72955491"/>
    <w:rsid w:val="729B7842"/>
    <w:rsid w:val="72A122C0"/>
    <w:rsid w:val="72A66FD2"/>
    <w:rsid w:val="72A7740A"/>
    <w:rsid w:val="72A848C3"/>
    <w:rsid w:val="72AB25C8"/>
    <w:rsid w:val="72C22FC3"/>
    <w:rsid w:val="72E338F2"/>
    <w:rsid w:val="72E4234F"/>
    <w:rsid w:val="72EC6871"/>
    <w:rsid w:val="72F051DD"/>
    <w:rsid w:val="72F37AE8"/>
    <w:rsid w:val="72F90EAF"/>
    <w:rsid w:val="72FB1895"/>
    <w:rsid w:val="72FE68FF"/>
    <w:rsid w:val="72FF231D"/>
    <w:rsid w:val="73150997"/>
    <w:rsid w:val="7316547C"/>
    <w:rsid w:val="73180762"/>
    <w:rsid w:val="7318774A"/>
    <w:rsid w:val="731D5046"/>
    <w:rsid w:val="73225F12"/>
    <w:rsid w:val="73226D7F"/>
    <w:rsid w:val="73276E31"/>
    <w:rsid w:val="73286F9E"/>
    <w:rsid w:val="732A3697"/>
    <w:rsid w:val="732D04A2"/>
    <w:rsid w:val="732F113B"/>
    <w:rsid w:val="73362A20"/>
    <w:rsid w:val="733708DD"/>
    <w:rsid w:val="73377808"/>
    <w:rsid w:val="733F4B17"/>
    <w:rsid w:val="73413BCF"/>
    <w:rsid w:val="73451317"/>
    <w:rsid w:val="734D75AB"/>
    <w:rsid w:val="735016E1"/>
    <w:rsid w:val="735A056A"/>
    <w:rsid w:val="735B3DA0"/>
    <w:rsid w:val="7360060C"/>
    <w:rsid w:val="73651863"/>
    <w:rsid w:val="736F1B58"/>
    <w:rsid w:val="7372045F"/>
    <w:rsid w:val="73722A91"/>
    <w:rsid w:val="73757817"/>
    <w:rsid w:val="73757969"/>
    <w:rsid w:val="737A43D7"/>
    <w:rsid w:val="739170A1"/>
    <w:rsid w:val="73961591"/>
    <w:rsid w:val="739639A2"/>
    <w:rsid w:val="73965C20"/>
    <w:rsid w:val="73A326AC"/>
    <w:rsid w:val="73A4187D"/>
    <w:rsid w:val="73A9353A"/>
    <w:rsid w:val="73AB7D37"/>
    <w:rsid w:val="73AC3019"/>
    <w:rsid w:val="73BA7459"/>
    <w:rsid w:val="73BC3944"/>
    <w:rsid w:val="73BF2B13"/>
    <w:rsid w:val="73C111E7"/>
    <w:rsid w:val="73C44B15"/>
    <w:rsid w:val="73C67F99"/>
    <w:rsid w:val="73C90CCE"/>
    <w:rsid w:val="73D0454F"/>
    <w:rsid w:val="73D26CB2"/>
    <w:rsid w:val="73D41E68"/>
    <w:rsid w:val="73D86360"/>
    <w:rsid w:val="73D87499"/>
    <w:rsid w:val="73DD77BE"/>
    <w:rsid w:val="73E17E12"/>
    <w:rsid w:val="73E20D2F"/>
    <w:rsid w:val="73E83F0A"/>
    <w:rsid w:val="73EF63F7"/>
    <w:rsid w:val="73F23CF3"/>
    <w:rsid w:val="73F24D8A"/>
    <w:rsid w:val="73F443C3"/>
    <w:rsid w:val="73F47C82"/>
    <w:rsid w:val="73F53DE3"/>
    <w:rsid w:val="74024C8F"/>
    <w:rsid w:val="740648D9"/>
    <w:rsid w:val="740715A6"/>
    <w:rsid w:val="740B0BBD"/>
    <w:rsid w:val="741607F4"/>
    <w:rsid w:val="74217298"/>
    <w:rsid w:val="74273885"/>
    <w:rsid w:val="742A41C3"/>
    <w:rsid w:val="74396DE8"/>
    <w:rsid w:val="743D20CA"/>
    <w:rsid w:val="74426413"/>
    <w:rsid w:val="74451D35"/>
    <w:rsid w:val="74465767"/>
    <w:rsid w:val="74517A01"/>
    <w:rsid w:val="7455107B"/>
    <w:rsid w:val="745720B6"/>
    <w:rsid w:val="74582272"/>
    <w:rsid w:val="74586FD0"/>
    <w:rsid w:val="746234E8"/>
    <w:rsid w:val="7465595C"/>
    <w:rsid w:val="74717FAD"/>
    <w:rsid w:val="7476615B"/>
    <w:rsid w:val="747867A2"/>
    <w:rsid w:val="7479137C"/>
    <w:rsid w:val="747E28B3"/>
    <w:rsid w:val="74812611"/>
    <w:rsid w:val="748151F8"/>
    <w:rsid w:val="74827540"/>
    <w:rsid w:val="74983BEF"/>
    <w:rsid w:val="749B6F68"/>
    <w:rsid w:val="74A46A8B"/>
    <w:rsid w:val="74A57EA0"/>
    <w:rsid w:val="74A57FCC"/>
    <w:rsid w:val="74A8246A"/>
    <w:rsid w:val="74A959E9"/>
    <w:rsid w:val="74C072DA"/>
    <w:rsid w:val="74C30D17"/>
    <w:rsid w:val="74C52C1A"/>
    <w:rsid w:val="74C84B11"/>
    <w:rsid w:val="74CC18B8"/>
    <w:rsid w:val="74D05274"/>
    <w:rsid w:val="74D055C0"/>
    <w:rsid w:val="74E157EF"/>
    <w:rsid w:val="74E74EAA"/>
    <w:rsid w:val="74EE2A3F"/>
    <w:rsid w:val="74EF5272"/>
    <w:rsid w:val="74F361A1"/>
    <w:rsid w:val="74F80645"/>
    <w:rsid w:val="74F82D41"/>
    <w:rsid w:val="74FB76FB"/>
    <w:rsid w:val="75066D48"/>
    <w:rsid w:val="75072079"/>
    <w:rsid w:val="75073F78"/>
    <w:rsid w:val="75076F40"/>
    <w:rsid w:val="75077C90"/>
    <w:rsid w:val="750A442C"/>
    <w:rsid w:val="750C1820"/>
    <w:rsid w:val="75134F2C"/>
    <w:rsid w:val="751D11F1"/>
    <w:rsid w:val="751F0617"/>
    <w:rsid w:val="752F3BBE"/>
    <w:rsid w:val="753167ED"/>
    <w:rsid w:val="75345587"/>
    <w:rsid w:val="753721A1"/>
    <w:rsid w:val="753F08CD"/>
    <w:rsid w:val="753F69E4"/>
    <w:rsid w:val="75433664"/>
    <w:rsid w:val="75434336"/>
    <w:rsid w:val="7544222E"/>
    <w:rsid w:val="75445561"/>
    <w:rsid w:val="75454BE8"/>
    <w:rsid w:val="754755B0"/>
    <w:rsid w:val="75517642"/>
    <w:rsid w:val="755545E8"/>
    <w:rsid w:val="75597D82"/>
    <w:rsid w:val="755B5CCC"/>
    <w:rsid w:val="755F09FD"/>
    <w:rsid w:val="75623492"/>
    <w:rsid w:val="75667918"/>
    <w:rsid w:val="75685830"/>
    <w:rsid w:val="75750C36"/>
    <w:rsid w:val="757C53FA"/>
    <w:rsid w:val="75824122"/>
    <w:rsid w:val="759846FE"/>
    <w:rsid w:val="75A366F2"/>
    <w:rsid w:val="75A870BF"/>
    <w:rsid w:val="75AC693C"/>
    <w:rsid w:val="75B41312"/>
    <w:rsid w:val="75B52929"/>
    <w:rsid w:val="75C04D0D"/>
    <w:rsid w:val="75C33862"/>
    <w:rsid w:val="75C46D9E"/>
    <w:rsid w:val="75CF1A48"/>
    <w:rsid w:val="75DA0FA8"/>
    <w:rsid w:val="75E83D18"/>
    <w:rsid w:val="75EE2B01"/>
    <w:rsid w:val="75EF145A"/>
    <w:rsid w:val="75EF5E81"/>
    <w:rsid w:val="75F13B8C"/>
    <w:rsid w:val="75F70EAE"/>
    <w:rsid w:val="75F7641E"/>
    <w:rsid w:val="75F81D25"/>
    <w:rsid w:val="75F96B33"/>
    <w:rsid w:val="760153B6"/>
    <w:rsid w:val="76072D30"/>
    <w:rsid w:val="76080876"/>
    <w:rsid w:val="76085D47"/>
    <w:rsid w:val="76096376"/>
    <w:rsid w:val="76100A22"/>
    <w:rsid w:val="761562FB"/>
    <w:rsid w:val="761D4B22"/>
    <w:rsid w:val="761E39C0"/>
    <w:rsid w:val="76222DAB"/>
    <w:rsid w:val="76227C1B"/>
    <w:rsid w:val="762878D9"/>
    <w:rsid w:val="76307D34"/>
    <w:rsid w:val="76337308"/>
    <w:rsid w:val="76340C25"/>
    <w:rsid w:val="7638135D"/>
    <w:rsid w:val="76541A62"/>
    <w:rsid w:val="765B75D2"/>
    <w:rsid w:val="76635165"/>
    <w:rsid w:val="76660126"/>
    <w:rsid w:val="766664E0"/>
    <w:rsid w:val="767633AA"/>
    <w:rsid w:val="76766F2E"/>
    <w:rsid w:val="767674CF"/>
    <w:rsid w:val="767A1B45"/>
    <w:rsid w:val="768022D7"/>
    <w:rsid w:val="76807551"/>
    <w:rsid w:val="768919E5"/>
    <w:rsid w:val="768B0C69"/>
    <w:rsid w:val="768B246D"/>
    <w:rsid w:val="7690575B"/>
    <w:rsid w:val="769574B9"/>
    <w:rsid w:val="769A57B9"/>
    <w:rsid w:val="769B01D8"/>
    <w:rsid w:val="76A43E30"/>
    <w:rsid w:val="76A80080"/>
    <w:rsid w:val="76A85CC3"/>
    <w:rsid w:val="76A86FB9"/>
    <w:rsid w:val="76BF38C2"/>
    <w:rsid w:val="76C16A00"/>
    <w:rsid w:val="76C27B4A"/>
    <w:rsid w:val="76C53BB5"/>
    <w:rsid w:val="76D0329D"/>
    <w:rsid w:val="76D81366"/>
    <w:rsid w:val="76E16774"/>
    <w:rsid w:val="76EA3058"/>
    <w:rsid w:val="76EC5D1D"/>
    <w:rsid w:val="76F1727B"/>
    <w:rsid w:val="76F32A6A"/>
    <w:rsid w:val="76F43FAF"/>
    <w:rsid w:val="76F608FC"/>
    <w:rsid w:val="76F9470B"/>
    <w:rsid w:val="76FE38CE"/>
    <w:rsid w:val="76FE5B90"/>
    <w:rsid w:val="76FE7B8B"/>
    <w:rsid w:val="7719212F"/>
    <w:rsid w:val="771E600C"/>
    <w:rsid w:val="772C470B"/>
    <w:rsid w:val="772F3A69"/>
    <w:rsid w:val="772F7E31"/>
    <w:rsid w:val="77361223"/>
    <w:rsid w:val="773C684E"/>
    <w:rsid w:val="773D0319"/>
    <w:rsid w:val="77410978"/>
    <w:rsid w:val="7745406C"/>
    <w:rsid w:val="77466791"/>
    <w:rsid w:val="775256CD"/>
    <w:rsid w:val="775A361F"/>
    <w:rsid w:val="775C5C92"/>
    <w:rsid w:val="77636281"/>
    <w:rsid w:val="7765406D"/>
    <w:rsid w:val="776648E6"/>
    <w:rsid w:val="776B31DD"/>
    <w:rsid w:val="77730EB1"/>
    <w:rsid w:val="777B30C5"/>
    <w:rsid w:val="7781559D"/>
    <w:rsid w:val="77853132"/>
    <w:rsid w:val="77902A1E"/>
    <w:rsid w:val="779078A8"/>
    <w:rsid w:val="77956F8E"/>
    <w:rsid w:val="77A30037"/>
    <w:rsid w:val="77A8207B"/>
    <w:rsid w:val="77BD1AB2"/>
    <w:rsid w:val="77BE1E17"/>
    <w:rsid w:val="77C0357A"/>
    <w:rsid w:val="77C05E64"/>
    <w:rsid w:val="77C90F7B"/>
    <w:rsid w:val="77C973A5"/>
    <w:rsid w:val="77CC13F3"/>
    <w:rsid w:val="77CD4ED6"/>
    <w:rsid w:val="77D07E3E"/>
    <w:rsid w:val="77D10DAD"/>
    <w:rsid w:val="77E11319"/>
    <w:rsid w:val="77E217A1"/>
    <w:rsid w:val="77E71C59"/>
    <w:rsid w:val="77F20FC8"/>
    <w:rsid w:val="77F3304D"/>
    <w:rsid w:val="77F540CC"/>
    <w:rsid w:val="77F54449"/>
    <w:rsid w:val="77F91DAA"/>
    <w:rsid w:val="78041FF4"/>
    <w:rsid w:val="780A68B1"/>
    <w:rsid w:val="7819510E"/>
    <w:rsid w:val="781B1965"/>
    <w:rsid w:val="781E7B5C"/>
    <w:rsid w:val="78225AC0"/>
    <w:rsid w:val="7829153D"/>
    <w:rsid w:val="78295210"/>
    <w:rsid w:val="782F60D0"/>
    <w:rsid w:val="78300CFC"/>
    <w:rsid w:val="78311E46"/>
    <w:rsid w:val="7832072D"/>
    <w:rsid w:val="78373F68"/>
    <w:rsid w:val="78443E81"/>
    <w:rsid w:val="78492722"/>
    <w:rsid w:val="784A6D2E"/>
    <w:rsid w:val="784C3424"/>
    <w:rsid w:val="784E7D5F"/>
    <w:rsid w:val="78553813"/>
    <w:rsid w:val="785744A0"/>
    <w:rsid w:val="785946AD"/>
    <w:rsid w:val="78674445"/>
    <w:rsid w:val="786E6AD5"/>
    <w:rsid w:val="78746ADB"/>
    <w:rsid w:val="7878592A"/>
    <w:rsid w:val="788157DB"/>
    <w:rsid w:val="788730BB"/>
    <w:rsid w:val="788B1BF1"/>
    <w:rsid w:val="78921C90"/>
    <w:rsid w:val="789235E4"/>
    <w:rsid w:val="78926EA9"/>
    <w:rsid w:val="789C1D16"/>
    <w:rsid w:val="789E1018"/>
    <w:rsid w:val="78A422B0"/>
    <w:rsid w:val="78A83F91"/>
    <w:rsid w:val="78AB2824"/>
    <w:rsid w:val="78AC459D"/>
    <w:rsid w:val="78AD2707"/>
    <w:rsid w:val="78AF73B7"/>
    <w:rsid w:val="78B1650D"/>
    <w:rsid w:val="78CA1C71"/>
    <w:rsid w:val="78D356BB"/>
    <w:rsid w:val="78D477DA"/>
    <w:rsid w:val="78D51639"/>
    <w:rsid w:val="78DF3ADE"/>
    <w:rsid w:val="78E01DC7"/>
    <w:rsid w:val="78E832A7"/>
    <w:rsid w:val="78F256F2"/>
    <w:rsid w:val="78F51BEA"/>
    <w:rsid w:val="78F71155"/>
    <w:rsid w:val="78FD5542"/>
    <w:rsid w:val="79053EF8"/>
    <w:rsid w:val="790A1DDB"/>
    <w:rsid w:val="791B39AB"/>
    <w:rsid w:val="791C42B7"/>
    <w:rsid w:val="791E0780"/>
    <w:rsid w:val="792078C4"/>
    <w:rsid w:val="79212072"/>
    <w:rsid w:val="79243507"/>
    <w:rsid w:val="79243CC5"/>
    <w:rsid w:val="792450F9"/>
    <w:rsid w:val="792B5C99"/>
    <w:rsid w:val="792E33BA"/>
    <w:rsid w:val="792F07C5"/>
    <w:rsid w:val="7933335F"/>
    <w:rsid w:val="79344804"/>
    <w:rsid w:val="79356CFF"/>
    <w:rsid w:val="79387D27"/>
    <w:rsid w:val="79401EF3"/>
    <w:rsid w:val="794713A8"/>
    <w:rsid w:val="79493F66"/>
    <w:rsid w:val="794B38FE"/>
    <w:rsid w:val="79544332"/>
    <w:rsid w:val="795D0587"/>
    <w:rsid w:val="79621677"/>
    <w:rsid w:val="796A1447"/>
    <w:rsid w:val="796E6812"/>
    <w:rsid w:val="79723A8B"/>
    <w:rsid w:val="797978A4"/>
    <w:rsid w:val="797A00BE"/>
    <w:rsid w:val="798E1AEE"/>
    <w:rsid w:val="79940756"/>
    <w:rsid w:val="79986666"/>
    <w:rsid w:val="79987397"/>
    <w:rsid w:val="799B6432"/>
    <w:rsid w:val="799E7555"/>
    <w:rsid w:val="79A63FA4"/>
    <w:rsid w:val="79A668C8"/>
    <w:rsid w:val="79A918C2"/>
    <w:rsid w:val="79A968DD"/>
    <w:rsid w:val="79AC1F28"/>
    <w:rsid w:val="79B1326C"/>
    <w:rsid w:val="79B27F47"/>
    <w:rsid w:val="79BE1F7C"/>
    <w:rsid w:val="79C35BDA"/>
    <w:rsid w:val="79C55129"/>
    <w:rsid w:val="79C726DC"/>
    <w:rsid w:val="79CC5550"/>
    <w:rsid w:val="79CD540C"/>
    <w:rsid w:val="79CF3AB3"/>
    <w:rsid w:val="79D01358"/>
    <w:rsid w:val="79DA1682"/>
    <w:rsid w:val="79DC0EA9"/>
    <w:rsid w:val="79E2367E"/>
    <w:rsid w:val="79E41891"/>
    <w:rsid w:val="79F47CE9"/>
    <w:rsid w:val="79FA7460"/>
    <w:rsid w:val="7A1A770C"/>
    <w:rsid w:val="7A1B386A"/>
    <w:rsid w:val="7A22532D"/>
    <w:rsid w:val="7A283B03"/>
    <w:rsid w:val="7A292907"/>
    <w:rsid w:val="7A2A0F00"/>
    <w:rsid w:val="7A2B22F4"/>
    <w:rsid w:val="7A2E6A92"/>
    <w:rsid w:val="7A316B40"/>
    <w:rsid w:val="7A32341B"/>
    <w:rsid w:val="7A3D3371"/>
    <w:rsid w:val="7A424CCF"/>
    <w:rsid w:val="7A432B69"/>
    <w:rsid w:val="7A4675B0"/>
    <w:rsid w:val="7A482B06"/>
    <w:rsid w:val="7A4F1A5B"/>
    <w:rsid w:val="7A67743F"/>
    <w:rsid w:val="7A6A774C"/>
    <w:rsid w:val="7A6B6C5E"/>
    <w:rsid w:val="7A6F4903"/>
    <w:rsid w:val="7A6F776C"/>
    <w:rsid w:val="7A71319F"/>
    <w:rsid w:val="7A7840FF"/>
    <w:rsid w:val="7A7B1372"/>
    <w:rsid w:val="7A7B25E1"/>
    <w:rsid w:val="7A820A93"/>
    <w:rsid w:val="7A84326F"/>
    <w:rsid w:val="7A851A91"/>
    <w:rsid w:val="7A906622"/>
    <w:rsid w:val="7A917AFB"/>
    <w:rsid w:val="7A9522CD"/>
    <w:rsid w:val="7AA22FFA"/>
    <w:rsid w:val="7AB26667"/>
    <w:rsid w:val="7AB74CF3"/>
    <w:rsid w:val="7ABA7E06"/>
    <w:rsid w:val="7ABD3582"/>
    <w:rsid w:val="7AC07D4C"/>
    <w:rsid w:val="7AC11A26"/>
    <w:rsid w:val="7AC2196F"/>
    <w:rsid w:val="7AC6646E"/>
    <w:rsid w:val="7AC75F5C"/>
    <w:rsid w:val="7ACB45FF"/>
    <w:rsid w:val="7ACD65BB"/>
    <w:rsid w:val="7AD35AF8"/>
    <w:rsid w:val="7AD62068"/>
    <w:rsid w:val="7AD85A3A"/>
    <w:rsid w:val="7AD96F3C"/>
    <w:rsid w:val="7ADC573A"/>
    <w:rsid w:val="7AE168D1"/>
    <w:rsid w:val="7AE3112C"/>
    <w:rsid w:val="7AE34518"/>
    <w:rsid w:val="7B020ED8"/>
    <w:rsid w:val="7B074467"/>
    <w:rsid w:val="7B102203"/>
    <w:rsid w:val="7B10727C"/>
    <w:rsid w:val="7B116D74"/>
    <w:rsid w:val="7B156B05"/>
    <w:rsid w:val="7B17462C"/>
    <w:rsid w:val="7B206860"/>
    <w:rsid w:val="7B221CF7"/>
    <w:rsid w:val="7B222F60"/>
    <w:rsid w:val="7B271D12"/>
    <w:rsid w:val="7B284C07"/>
    <w:rsid w:val="7B2A1176"/>
    <w:rsid w:val="7B2C390E"/>
    <w:rsid w:val="7B2D34F7"/>
    <w:rsid w:val="7B304607"/>
    <w:rsid w:val="7B304956"/>
    <w:rsid w:val="7B3C282E"/>
    <w:rsid w:val="7B4057CA"/>
    <w:rsid w:val="7B466975"/>
    <w:rsid w:val="7B4968D4"/>
    <w:rsid w:val="7B4B0270"/>
    <w:rsid w:val="7B5A229B"/>
    <w:rsid w:val="7B5B0E87"/>
    <w:rsid w:val="7B5E3F9F"/>
    <w:rsid w:val="7B61264F"/>
    <w:rsid w:val="7B631A08"/>
    <w:rsid w:val="7B661BD3"/>
    <w:rsid w:val="7B68000C"/>
    <w:rsid w:val="7B684C37"/>
    <w:rsid w:val="7B6C19BC"/>
    <w:rsid w:val="7B771BAF"/>
    <w:rsid w:val="7B7E2EBB"/>
    <w:rsid w:val="7B8D1DFD"/>
    <w:rsid w:val="7B902AB4"/>
    <w:rsid w:val="7B9056E4"/>
    <w:rsid w:val="7BA45C07"/>
    <w:rsid w:val="7BA80672"/>
    <w:rsid w:val="7BAB4237"/>
    <w:rsid w:val="7BAD7667"/>
    <w:rsid w:val="7BAF5023"/>
    <w:rsid w:val="7BB42619"/>
    <w:rsid w:val="7BB649C3"/>
    <w:rsid w:val="7BBE269F"/>
    <w:rsid w:val="7BBF3C16"/>
    <w:rsid w:val="7BC03AAD"/>
    <w:rsid w:val="7BC61E9C"/>
    <w:rsid w:val="7BCC75C9"/>
    <w:rsid w:val="7BCD755E"/>
    <w:rsid w:val="7BD644FB"/>
    <w:rsid w:val="7BDA50C7"/>
    <w:rsid w:val="7BDB0CE8"/>
    <w:rsid w:val="7BE658FA"/>
    <w:rsid w:val="7BEF25D0"/>
    <w:rsid w:val="7BF3191B"/>
    <w:rsid w:val="7BF42599"/>
    <w:rsid w:val="7BF501E6"/>
    <w:rsid w:val="7BF95883"/>
    <w:rsid w:val="7BFB5FAB"/>
    <w:rsid w:val="7C014355"/>
    <w:rsid w:val="7C0A19B7"/>
    <w:rsid w:val="7C0F117E"/>
    <w:rsid w:val="7C1249D9"/>
    <w:rsid w:val="7C195BEA"/>
    <w:rsid w:val="7C1E4120"/>
    <w:rsid w:val="7C201BB7"/>
    <w:rsid w:val="7C224277"/>
    <w:rsid w:val="7C3537CB"/>
    <w:rsid w:val="7C365676"/>
    <w:rsid w:val="7C3934BE"/>
    <w:rsid w:val="7C3C2112"/>
    <w:rsid w:val="7C3E5D57"/>
    <w:rsid w:val="7C3F6D79"/>
    <w:rsid w:val="7C451CB9"/>
    <w:rsid w:val="7C495A40"/>
    <w:rsid w:val="7C4A24B9"/>
    <w:rsid w:val="7C4C46BE"/>
    <w:rsid w:val="7C4E194F"/>
    <w:rsid w:val="7C564603"/>
    <w:rsid w:val="7C5B7F8D"/>
    <w:rsid w:val="7C5D3A57"/>
    <w:rsid w:val="7C5E3465"/>
    <w:rsid w:val="7C671D4D"/>
    <w:rsid w:val="7C73385B"/>
    <w:rsid w:val="7C743354"/>
    <w:rsid w:val="7C775374"/>
    <w:rsid w:val="7C792E7A"/>
    <w:rsid w:val="7C7D3E06"/>
    <w:rsid w:val="7C82593F"/>
    <w:rsid w:val="7C8455A5"/>
    <w:rsid w:val="7C941DE2"/>
    <w:rsid w:val="7C9633AB"/>
    <w:rsid w:val="7CA665EE"/>
    <w:rsid w:val="7CB34EB0"/>
    <w:rsid w:val="7CB618E9"/>
    <w:rsid w:val="7CBB717E"/>
    <w:rsid w:val="7CBB7DD3"/>
    <w:rsid w:val="7CBF1C14"/>
    <w:rsid w:val="7CBF704E"/>
    <w:rsid w:val="7CC06DBF"/>
    <w:rsid w:val="7CC62DE7"/>
    <w:rsid w:val="7CC91901"/>
    <w:rsid w:val="7CCB7ABB"/>
    <w:rsid w:val="7CE021AF"/>
    <w:rsid w:val="7CE24F7D"/>
    <w:rsid w:val="7CE85D77"/>
    <w:rsid w:val="7CE91C8F"/>
    <w:rsid w:val="7CE94E2A"/>
    <w:rsid w:val="7CEF1CC9"/>
    <w:rsid w:val="7CF249D8"/>
    <w:rsid w:val="7CF3538A"/>
    <w:rsid w:val="7CF90428"/>
    <w:rsid w:val="7CFA342B"/>
    <w:rsid w:val="7CFB7B5D"/>
    <w:rsid w:val="7CFC14F5"/>
    <w:rsid w:val="7CFE23DE"/>
    <w:rsid w:val="7D03404E"/>
    <w:rsid w:val="7D040C07"/>
    <w:rsid w:val="7D0B2747"/>
    <w:rsid w:val="7D0F1429"/>
    <w:rsid w:val="7D186B6B"/>
    <w:rsid w:val="7D1B02B1"/>
    <w:rsid w:val="7D1C55E1"/>
    <w:rsid w:val="7D25138B"/>
    <w:rsid w:val="7D2753AC"/>
    <w:rsid w:val="7D275A39"/>
    <w:rsid w:val="7D2C4B0F"/>
    <w:rsid w:val="7D307119"/>
    <w:rsid w:val="7D311F58"/>
    <w:rsid w:val="7D321CF1"/>
    <w:rsid w:val="7D4274BD"/>
    <w:rsid w:val="7D477454"/>
    <w:rsid w:val="7D4C6D9B"/>
    <w:rsid w:val="7D4D3FF8"/>
    <w:rsid w:val="7D4F279A"/>
    <w:rsid w:val="7D527CFF"/>
    <w:rsid w:val="7D535AC1"/>
    <w:rsid w:val="7D581049"/>
    <w:rsid w:val="7D5844EC"/>
    <w:rsid w:val="7D5B7FB5"/>
    <w:rsid w:val="7D5E7FF6"/>
    <w:rsid w:val="7D5F66CB"/>
    <w:rsid w:val="7D6100C5"/>
    <w:rsid w:val="7D6168CC"/>
    <w:rsid w:val="7D623473"/>
    <w:rsid w:val="7D633FB4"/>
    <w:rsid w:val="7D661037"/>
    <w:rsid w:val="7D674EEF"/>
    <w:rsid w:val="7D715D15"/>
    <w:rsid w:val="7D7772F3"/>
    <w:rsid w:val="7D790A33"/>
    <w:rsid w:val="7D7B0517"/>
    <w:rsid w:val="7D7D01F5"/>
    <w:rsid w:val="7D7F73B6"/>
    <w:rsid w:val="7D8036DC"/>
    <w:rsid w:val="7D824BD3"/>
    <w:rsid w:val="7D857BE9"/>
    <w:rsid w:val="7D8A2B1D"/>
    <w:rsid w:val="7D8A3DE7"/>
    <w:rsid w:val="7D973CED"/>
    <w:rsid w:val="7DA4002A"/>
    <w:rsid w:val="7DA62539"/>
    <w:rsid w:val="7DBB0E79"/>
    <w:rsid w:val="7DC93F2C"/>
    <w:rsid w:val="7DD30F30"/>
    <w:rsid w:val="7DDC1894"/>
    <w:rsid w:val="7DDD7882"/>
    <w:rsid w:val="7DE72B7A"/>
    <w:rsid w:val="7DE72EF5"/>
    <w:rsid w:val="7DE83368"/>
    <w:rsid w:val="7DE919DB"/>
    <w:rsid w:val="7DED0DAF"/>
    <w:rsid w:val="7E005C24"/>
    <w:rsid w:val="7E0955DC"/>
    <w:rsid w:val="7E0E75E3"/>
    <w:rsid w:val="7E11460B"/>
    <w:rsid w:val="7E1620A0"/>
    <w:rsid w:val="7E1672EC"/>
    <w:rsid w:val="7E192225"/>
    <w:rsid w:val="7E19314D"/>
    <w:rsid w:val="7E1B4A9A"/>
    <w:rsid w:val="7E1F6943"/>
    <w:rsid w:val="7E217D89"/>
    <w:rsid w:val="7E236C24"/>
    <w:rsid w:val="7E260F5B"/>
    <w:rsid w:val="7E332266"/>
    <w:rsid w:val="7E377990"/>
    <w:rsid w:val="7E3C32A3"/>
    <w:rsid w:val="7E3F0CA0"/>
    <w:rsid w:val="7E3F79E7"/>
    <w:rsid w:val="7E482107"/>
    <w:rsid w:val="7E4D0DD9"/>
    <w:rsid w:val="7E542485"/>
    <w:rsid w:val="7E5723A5"/>
    <w:rsid w:val="7E573C3C"/>
    <w:rsid w:val="7E5D18E9"/>
    <w:rsid w:val="7E6720E6"/>
    <w:rsid w:val="7E686156"/>
    <w:rsid w:val="7E6E7ADD"/>
    <w:rsid w:val="7E716EF5"/>
    <w:rsid w:val="7E7E22BC"/>
    <w:rsid w:val="7E822A98"/>
    <w:rsid w:val="7E8B1082"/>
    <w:rsid w:val="7E8C1F98"/>
    <w:rsid w:val="7E8E7B0D"/>
    <w:rsid w:val="7E90141E"/>
    <w:rsid w:val="7E926856"/>
    <w:rsid w:val="7E951596"/>
    <w:rsid w:val="7E9A3C13"/>
    <w:rsid w:val="7EA023D2"/>
    <w:rsid w:val="7EA04167"/>
    <w:rsid w:val="7EA11750"/>
    <w:rsid w:val="7EA14F37"/>
    <w:rsid w:val="7EBB3D47"/>
    <w:rsid w:val="7EBB5CDD"/>
    <w:rsid w:val="7EBD7FBB"/>
    <w:rsid w:val="7EC55A09"/>
    <w:rsid w:val="7EC72AA9"/>
    <w:rsid w:val="7ED408C3"/>
    <w:rsid w:val="7ED518D6"/>
    <w:rsid w:val="7ED67B29"/>
    <w:rsid w:val="7EDE507E"/>
    <w:rsid w:val="7EE533B8"/>
    <w:rsid w:val="7EE86583"/>
    <w:rsid w:val="7EE90E58"/>
    <w:rsid w:val="7EF72A9A"/>
    <w:rsid w:val="7EFA045F"/>
    <w:rsid w:val="7EFE1896"/>
    <w:rsid w:val="7EFF2996"/>
    <w:rsid w:val="7F0D1D7E"/>
    <w:rsid w:val="7F0F1C74"/>
    <w:rsid w:val="7F1B5A1E"/>
    <w:rsid w:val="7F214DF2"/>
    <w:rsid w:val="7F2850DE"/>
    <w:rsid w:val="7F303C03"/>
    <w:rsid w:val="7F304FFA"/>
    <w:rsid w:val="7F39161F"/>
    <w:rsid w:val="7F394144"/>
    <w:rsid w:val="7F397DA6"/>
    <w:rsid w:val="7F3C5C5A"/>
    <w:rsid w:val="7F3F078E"/>
    <w:rsid w:val="7F403D64"/>
    <w:rsid w:val="7F420012"/>
    <w:rsid w:val="7F455F26"/>
    <w:rsid w:val="7F49761D"/>
    <w:rsid w:val="7F4B4F9D"/>
    <w:rsid w:val="7F4C4AA1"/>
    <w:rsid w:val="7F4F1169"/>
    <w:rsid w:val="7F507707"/>
    <w:rsid w:val="7F507A8E"/>
    <w:rsid w:val="7F521DBB"/>
    <w:rsid w:val="7F5519A4"/>
    <w:rsid w:val="7F5B6E84"/>
    <w:rsid w:val="7F6A2ADE"/>
    <w:rsid w:val="7F79005E"/>
    <w:rsid w:val="7F7910D6"/>
    <w:rsid w:val="7F7D15B3"/>
    <w:rsid w:val="7F7F5798"/>
    <w:rsid w:val="7F821AD6"/>
    <w:rsid w:val="7F826669"/>
    <w:rsid w:val="7F8926D3"/>
    <w:rsid w:val="7F914898"/>
    <w:rsid w:val="7F95001B"/>
    <w:rsid w:val="7F9872C6"/>
    <w:rsid w:val="7F9F76EF"/>
    <w:rsid w:val="7FA04391"/>
    <w:rsid w:val="7FA2488F"/>
    <w:rsid w:val="7FBB2BDD"/>
    <w:rsid w:val="7FBF1990"/>
    <w:rsid w:val="7FC63A2F"/>
    <w:rsid w:val="7FC67AED"/>
    <w:rsid w:val="7FC9226B"/>
    <w:rsid w:val="7FCA4B18"/>
    <w:rsid w:val="7FCB09AB"/>
    <w:rsid w:val="7FD70DE6"/>
    <w:rsid w:val="7FD90E29"/>
    <w:rsid w:val="7FD90EAF"/>
    <w:rsid w:val="7FDB12DC"/>
    <w:rsid w:val="7FDF65C1"/>
    <w:rsid w:val="7FEB19C9"/>
    <w:rsid w:val="7FF030E6"/>
    <w:rsid w:val="7FF15986"/>
    <w:rsid w:val="7FF450A5"/>
    <w:rsid w:val="7FFA4FC5"/>
    <w:rsid w:val="7FFC580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qFormat="1" w:unhideWhenUsed="0" w:uiPriority="99" w:semiHidden="0" w:name="envelope address"/>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qFormat="1" w:unhideWhenUsed="0" w:uiPriority="99" w:semiHidden="0" w:name="endnote text"/>
    <w:lsdException w:qFormat="1" w:unhideWhenUsed="0" w:uiPriority="99" w:semiHidden="0" w:name="table of authorities"/>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99" w:name="List 4" w:locked="1"/>
    <w:lsdException w:uiPriority="99" w:name="List 5" w:locked="1"/>
    <w:lsdException w:uiPriority="99" w:name="List Bullet 2" w:locked="1"/>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widowControl/>
      <w:spacing w:before="340" w:after="330" w:line="576" w:lineRule="auto"/>
      <w:jc w:val="left"/>
      <w:outlineLvl w:val="0"/>
    </w:pPr>
    <w:rPr>
      <w:b/>
      <w:bCs/>
      <w:kern w:val="44"/>
      <w:sz w:val="44"/>
      <w:szCs w:val="44"/>
    </w:rPr>
  </w:style>
  <w:style w:type="paragraph" w:styleId="4">
    <w:name w:val="heading 2"/>
    <w:basedOn w:val="1"/>
    <w:next w:val="5"/>
    <w:link w:val="68"/>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69"/>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70"/>
    <w:qFormat/>
    <w:uiPriority w:val="99"/>
    <w:pPr>
      <w:keepNext/>
      <w:keepLines/>
      <w:spacing w:before="280" w:after="290" w:line="374" w:lineRule="auto"/>
      <w:outlineLvl w:val="3"/>
    </w:pPr>
    <w:rPr>
      <w:rFonts w:ascii="Arial" w:hAnsi="Arial" w:eastAsia="黑体"/>
      <w:b/>
      <w:bCs/>
      <w:kern w:val="0"/>
      <w:sz w:val="28"/>
      <w:szCs w:val="28"/>
    </w:rPr>
  </w:style>
  <w:style w:type="paragraph" w:styleId="8">
    <w:name w:val="heading 5"/>
    <w:basedOn w:val="1"/>
    <w:next w:val="1"/>
    <w:link w:val="71"/>
    <w:qFormat/>
    <w:uiPriority w:val="99"/>
    <w:pPr>
      <w:keepNext/>
      <w:keepLines/>
      <w:spacing w:before="280" w:after="290" w:line="376" w:lineRule="auto"/>
      <w:outlineLvl w:val="4"/>
    </w:pPr>
    <w:rPr>
      <w:rFonts w:ascii="Calibri" w:hAnsi="Calibri"/>
      <w:b/>
      <w:bCs/>
      <w:sz w:val="28"/>
      <w:szCs w:val="28"/>
    </w:rPr>
  </w:style>
  <w:style w:type="paragraph" w:styleId="9">
    <w:name w:val="heading 6"/>
    <w:basedOn w:val="1"/>
    <w:next w:val="1"/>
    <w:link w:val="72"/>
    <w:qFormat/>
    <w:uiPriority w:val="99"/>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0">
    <w:name w:val="heading 7"/>
    <w:basedOn w:val="1"/>
    <w:next w:val="1"/>
    <w:link w:val="73"/>
    <w:qFormat/>
    <w:uiPriority w:val="99"/>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1">
    <w:name w:val="heading 8"/>
    <w:basedOn w:val="1"/>
    <w:next w:val="1"/>
    <w:link w:val="74"/>
    <w:qFormat/>
    <w:uiPriority w:val="99"/>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2">
    <w:name w:val="heading 9"/>
    <w:basedOn w:val="1"/>
    <w:next w:val="1"/>
    <w:link w:val="75"/>
    <w:qFormat/>
    <w:uiPriority w:val="99"/>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0">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92"/>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Indent"/>
    <w:basedOn w:val="1"/>
    <w:link w:val="98"/>
    <w:qFormat/>
    <w:uiPriority w:val="99"/>
    <w:pPr>
      <w:widowControl/>
      <w:ind w:firstLine="420"/>
      <w:jc w:val="left"/>
    </w:pPr>
    <w:rPr>
      <w:rFonts w:ascii="Calibri" w:hAnsi="Calibri" w:cs="黑体"/>
      <w:szCs w:val="22"/>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1260"/>
      <w:jc w:val="left"/>
    </w:pPr>
    <w:rPr>
      <w:sz w:val="18"/>
      <w:szCs w:val="18"/>
    </w:rPr>
  </w:style>
  <w:style w:type="paragraph" w:styleId="15">
    <w:name w:val="table of authorities"/>
    <w:basedOn w:val="1"/>
    <w:next w:val="1"/>
    <w:qFormat/>
    <w:uiPriority w:val="99"/>
    <w:pPr>
      <w:ind w:left="420" w:leftChars="200"/>
    </w:pPr>
    <w:rPr>
      <w:szCs w:val="20"/>
    </w:rPr>
  </w:style>
  <w:style w:type="paragraph" w:styleId="16">
    <w:name w:val="List Bullet 4"/>
    <w:basedOn w:val="1"/>
    <w:qFormat/>
    <w:uiPriority w:val="99"/>
    <w:pPr>
      <w:tabs>
        <w:tab w:val="left" w:pos="980"/>
      </w:tabs>
      <w:spacing w:beforeLines="50" w:afterLines="50" w:line="360" w:lineRule="auto"/>
      <w:ind w:left="980" w:hanging="420"/>
    </w:pPr>
    <w:rPr>
      <w:sz w:val="24"/>
    </w:rPr>
  </w:style>
  <w:style w:type="paragraph" w:styleId="17">
    <w:name w:val="List Number"/>
    <w:basedOn w:val="1"/>
    <w:qFormat/>
    <w:uiPriority w:val="99"/>
    <w:pPr>
      <w:tabs>
        <w:tab w:val="left" w:pos="360"/>
        <w:tab w:val="left" w:pos="567"/>
        <w:tab w:val="left" w:pos="840"/>
      </w:tabs>
      <w:ind w:left="567" w:hanging="567"/>
    </w:pPr>
    <w:rPr>
      <w:rFonts w:ascii="Calibri" w:hAnsi="Calibri"/>
      <w:sz w:val="28"/>
      <w:szCs w:val="22"/>
    </w:rPr>
  </w:style>
  <w:style w:type="paragraph" w:styleId="18">
    <w:name w:val="caption"/>
    <w:basedOn w:val="1"/>
    <w:next w:val="1"/>
    <w:qFormat/>
    <w:uiPriority w:val="99"/>
    <w:pPr>
      <w:spacing w:before="152" w:after="160"/>
    </w:pPr>
    <w:rPr>
      <w:rFonts w:ascii="Arial" w:hAnsi="Arial" w:eastAsia="黑体" w:cs="Arial"/>
      <w:sz w:val="20"/>
      <w:szCs w:val="20"/>
    </w:rPr>
  </w:style>
  <w:style w:type="paragraph" w:styleId="19">
    <w:name w:val="List Bullet"/>
    <w:basedOn w:val="1"/>
    <w:qFormat/>
    <w:uiPriority w:val="99"/>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99"/>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80"/>
    <w:qFormat/>
    <w:uiPriority w:val="99"/>
    <w:pPr>
      <w:shd w:val="clear" w:color="auto" w:fill="000080"/>
    </w:pPr>
  </w:style>
  <w:style w:type="paragraph" w:styleId="22">
    <w:name w:val="annotation text"/>
    <w:basedOn w:val="1"/>
    <w:link w:val="76"/>
    <w:qFormat/>
    <w:uiPriority w:val="99"/>
    <w:pPr>
      <w:jc w:val="left"/>
    </w:pPr>
  </w:style>
  <w:style w:type="paragraph" w:styleId="23">
    <w:name w:val="Salutation"/>
    <w:basedOn w:val="1"/>
    <w:next w:val="1"/>
    <w:link w:val="81"/>
    <w:qFormat/>
    <w:uiPriority w:val="99"/>
    <w:rPr>
      <w:kern w:val="0"/>
      <w:sz w:val="20"/>
    </w:rPr>
  </w:style>
  <w:style w:type="paragraph" w:styleId="24">
    <w:name w:val="Body Text 3"/>
    <w:basedOn w:val="1"/>
    <w:link w:val="82"/>
    <w:qFormat/>
    <w:uiPriority w:val="99"/>
    <w:pPr>
      <w:spacing w:beforeLines="50" w:afterLines="50" w:line="360" w:lineRule="auto"/>
    </w:pPr>
    <w:rPr>
      <w:kern w:val="0"/>
      <w:sz w:val="16"/>
      <w:szCs w:val="16"/>
    </w:rPr>
  </w:style>
  <w:style w:type="paragraph" w:styleId="25">
    <w:name w:val="Closing"/>
    <w:basedOn w:val="1"/>
    <w:link w:val="83"/>
    <w:qFormat/>
    <w:uiPriority w:val="99"/>
    <w:pPr>
      <w:ind w:left="100" w:leftChars="2100"/>
    </w:pPr>
    <w:rPr>
      <w:kern w:val="0"/>
      <w:sz w:val="20"/>
    </w:rPr>
  </w:style>
  <w:style w:type="paragraph" w:styleId="26">
    <w:name w:val="List Bullet 3"/>
    <w:basedOn w:val="1"/>
    <w:qFormat/>
    <w:uiPriority w:val="99"/>
    <w:pPr>
      <w:tabs>
        <w:tab w:val="left" w:pos="1200"/>
      </w:tabs>
      <w:ind w:left="1200" w:leftChars="400" w:hanging="360" w:hangingChars="200"/>
      <w:contextualSpacing/>
    </w:pPr>
    <w:rPr>
      <w:szCs w:val="20"/>
    </w:rPr>
  </w:style>
  <w:style w:type="paragraph" w:styleId="27">
    <w:name w:val="Body Text"/>
    <w:basedOn w:val="1"/>
    <w:link w:val="78"/>
    <w:qFormat/>
    <w:uiPriority w:val="99"/>
    <w:pPr>
      <w:widowControl/>
      <w:jc w:val="left"/>
    </w:pPr>
    <w:rPr>
      <w:kern w:val="0"/>
      <w:sz w:val="24"/>
      <w:szCs w:val="20"/>
    </w:rPr>
  </w:style>
  <w:style w:type="paragraph" w:styleId="28">
    <w:name w:val="Body Text Indent"/>
    <w:basedOn w:val="1"/>
    <w:link w:val="84"/>
    <w:qFormat/>
    <w:uiPriority w:val="99"/>
    <w:pPr>
      <w:spacing w:after="120"/>
      <w:ind w:left="420" w:leftChars="200"/>
    </w:pPr>
    <w:rPr>
      <w:kern w:val="0"/>
      <w:sz w:val="20"/>
    </w:rPr>
  </w:style>
  <w:style w:type="paragraph" w:styleId="29">
    <w:name w:val="List 2"/>
    <w:basedOn w:val="1"/>
    <w:qFormat/>
    <w:uiPriority w:val="99"/>
    <w:pPr>
      <w:spacing w:beforeLines="50" w:afterLines="50" w:line="360" w:lineRule="auto"/>
      <w:ind w:left="100" w:leftChars="200" w:hanging="200" w:hangingChars="200"/>
    </w:pPr>
    <w:rPr>
      <w:sz w:val="24"/>
    </w:rPr>
  </w:style>
  <w:style w:type="paragraph" w:styleId="30">
    <w:name w:val="Block Text"/>
    <w:basedOn w:val="1"/>
    <w:qFormat/>
    <w:uiPriority w:val="99"/>
    <w:pPr>
      <w:autoSpaceDE w:val="0"/>
      <w:autoSpaceDN w:val="0"/>
      <w:adjustRightInd w:val="0"/>
      <w:spacing w:line="360" w:lineRule="atLeast"/>
      <w:ind w:left="1418" w:right="1800" w:rightChars="857" w:firstLine="540"/>
    </w:pPr>
    <w:rPr>
      <w:rFonts w:ascii="宋体"/>
      <w:color w:val="000000"/>
      <w:kern w:val="0"/>
      <w:sz w:val="24"/>
    </w:rPr>
  </w:style>
  <w:style w:type="paragraph" w:styleId="31">
    <w:name w:val="toc 5"/>
    <w:basedOn w:val="1"/>
    <w:next w:val="1"/>
    <w:qFormat/>
    <w:uiPriority w:val="99"/>
    <w:pPr>
      <w:ind w:left="840"/>
      <w:jc w:val="left"/>
    </w:pPr>
    <w:rPr>
      <w:sz w:val="18"/>
      <w:szCs w:val="18"/>
    </w:rPr>
  </w:style>
  <w:style w:type="paragraph" w:styleId="32">
    <w:name w:val="toc 3"/>
    <w:basedOn w:val="1"/>
    <w:next w:val="1"/>
    <w:qFormat/>
    <w:uiPriority w:val="99"/>
    <w:pPr>
      <w:ind w:left="420"/>
      <w:jc w:val="left"/>
    </w:pPr>
    <w:rPr>
      <w:i/>
      <w:iCs/>
      <w:sz w:val="20"/>
      <w:szCs w:val="20"/>
    </w:rPr>
  </w:style>
  <w:style w:type="paragraph" w:styleId="33">
    <w:name w:val="Plain Text"/>
    <w:basedOn w:val="1"/>
    <w:link w:val="85"/>
    <w:qFormat/>
    <w:uiPriority w:val="0"/>
    <w:rPr>
      <w:rFonts w:ascii="宋体" w:hAnsi="Courier New"/>
      <w:kern w:val="0"/>
      <w:sz w:val="20"/>
      <w:szCs w:val="20"/>
    </w:rPr>
  </w:style>
  <w:style w:type="paragraph" w:styleId="34">
    <w:name w:val="toc 8"/>
    <w:basedOn w:val="1"/>
    <w:next w:val="1"/>
    <w:qFormat/>
    <w:uiPriority w:val="99"/>
    <w:pPr>
      <w:ind w:left="1470"/>
      <w:jc w:val="left"/>
    </w:pPr>
    <w:rPr>
      <w:sz w:val="18"/>
      <w:szCs w:val="18"/>
    </w:rPr>
  </w:style>
  <w:style w:type="paragraph" w:styleId="35">
    <w:name w:val="Date"/>
    <w:basedOn w:val="1"/>
    <w:next w:val="1"/>
    <w:link w:val="86"/>
    <w:qFormat/>
    <w:uiPriority w:val="99"/>
    <w:pPr>
      <w:ind w:left="100" w:leftChars="2500"/>
    </w:pPr>
    <w:rPr>
      <w:kern w:val="0"/>
      <w:sz w:val="20"/>
    </w:rPr>
  </w:style>
  <w:style w:type="paragraph" w:styleId="36">
    <w:name w:val="Body Text Indent 2"/>
    <w:basedOn w:val="1"/>
    <w:link w:val="87"/>
    <w:qFormat/>
    <w:uiPriority w:val="0"/>
    <w:pPr>
      <w:spacing w:line="360" w:lineRule="auto"/>
      <w:ind w:left="839" w:hanging="839" w:hangingChars="355"/>
    </w:pPr>
    <w:rPr>
      <w:b/>
      <w:kern w:val="0"/>
      <w:sz w:val="24"/>
    </w:rPr>
  </w:style>
  <w:style w:type="paragraph" w:styleId="37">
    <w:name w:val="endnote text"/>
    <w:basedOn w:val="1"/>
    <w:link w:val="176"/>
    <w:qFormat/>
    <w:uiPriority w:val="99"/>
    <w:pPr>
      <w:snapToGrid w:val="0"/>
      <w:jc w:val="left"/>
    </w:pPr>
    <w:rPr>
      <w:kern w:val="0"/>
      <w:sz w:val="20"/>
      <w:szCs w:val="20"/>
    </w:rPr>
  </w:style>
  <w:style w:type="paragraph" w:styleId="38">
    <w:name w:val="Balloon Text"/>
    <w:basedOn w:val="1"/>
    <w:link w:val="89"/>
    <w:qFormat/>
    <w:uiPriority w:val="99"/>
    <w:rPr>
      <w:kern w:val="0"/>
      <w:sz w:val="18"/>
      <w:szCs w:val="18"/>
    </w:rPr>
  </w:style>
  <w:style w:type="paragraph" w:styleId="39">
    <w:name w:val="footer"/>
    <w:basedOn w:val="1"/>
    <w:link w:val="90"/>
    <w:qFormat/>
    <w:uiPriority w:val="99"/>
    <w:pPr>
      <w:tabs>
        <w:tab w:val="center" w:pos="4153"/>
        <w:tab w:val="right" w:pos="8306"/>
      </w:tabs>
      <w:snapToGrid w:val="0"/>
      <w:jc w:val="left"/>
    </w:pPr>
    <w:rPr>
      <w:kern w:val="0"/>
      <w:sz w:val="18"/>
      <w:szCs w:val="18"/>
    </w:rPr>
  </w:style>
  <w:style w:type="paragraph" w:styleId="40">
    <w:name w:val="toc 1"/>
    <w:basedOn w:val="1"/>
    <w:next w:val="1"/>
    <w:qFormat/>
    <w:uiPriority w:val="99"/>
    <w:pPr>
      <w:tabs>
        <w:tab w:val="left" w:pos="840"/>
        <w:tab w:val="right" w:leader="dot" w:pos="8210"/>
      </w:tabs>
      <w:jc w:val="left"/>
    </w:pPr>
    <w:rPr>
      <w:rFonts w:ascii="仿宋_GB2312" w:hAnsi="宋体" w:eastAsia="仿宋_GB2312"/>
      <w:b/>
      <w:bCs/>
      <w:caps/>
      <w:sz w:val="32"/>
      <w:szCs w:val="32"/>
    </w:rPr>
  </w:style>
  <w:style w:type="paragraph" w:styleId="41">
    <w:name w:val="toc 4"/>
    <w:basedOn w:val="1"/>
    <w:next w:val="1"/>
    <w:qFormat/>
    <w:uiPriority w:val="99"/>
    <w:pPr>
      <w:ind w:left="630"/>
      <w:jc w:val="left"/>
    </w:pPr>
    <w:rPr>
      <w:sz w:val="18"/>
      <w:szCs w:val="18"/>
    </w:rPr>
  </w:style>
  <w:style w:type="paragraph" w:styleId="42">
    <w:name w:val="Subtitle"/>
    <w:basedOn w:val="1"/>
    <w:next w:val="1"/>
    <w:link w:val="93"/>
    <w:qFormat/>
    <w:uiPriority w:val="99"/>
    <w:pPr>
      <w:spacing w:before="240" w:after="60" w:line="312" w:lineRule="auto"/>
      <w:jc w:val="center"/>
      <w:outlineLvl w:val="1"/>
    </w:pPr>
    <w:rPr>
      <w:rFonts w:ascii="Cambria" w:hAnsi="Cambria"/>
      <w:b/>
      <w:bCs/>
      <w:kern w:val="28"/>
      <w:sz w:val="32"/>
      <w:szCs w:val="32"/>
    </w:rPr>
  </w:style>
  <w:style w:type="paragraph" w:styleId="43">
    <w:name w:val="List"/>
    <w:basedOn w:val="1"/>
    <w:qFormat/>
    <w:uiPriority w:val="99"/>
    <w:pPr>
      <w:ind w:left="420" w:hanging="420"/>
    </w:pPr>
    <w:rPr>
      <w:sz w:val="24"/>
      <w:szCs w:val="20"/>
    </w:rPr>
  </w:style>
  <w:style w:type="paragraph" w:styleId="44">
    <w:name w:val="toc 6"/>
    <w:basedOn w:val="1"/>
    <w:next w:val="1"/>
    <w:qFormat/>
    <w:uiPriority w:val="99"/>
    <w:pPr>
      <w:ind w:left="1050"/>
      <w:jc w:val="left"/>
    </w:pPr>
    <w:rPr>
      <w:sz w:val="18"/>
      <w:szCs w:val="18"/>
    </w:rPr>
  </w:style>
  <w:style w:type="paragraph" w:styleId="45">
    <w:name w:val="Body Text Indent 3"/>
    <w:basedOn w:val="1"/>
    <w:link w:val="94"/>
    <w:qFormat/>
    <w:uiPriority w:val="99"/>
    <w:pPr>
      <w:ind w:firstLine="480" w:firstLineChars="200"/>
    </w:pPr>
    <w:rPr>
      <w:rFonts w:ascii="幼圆" w:eastAsia="幼圆"/>
      <w:sz w:val="24"/>
      <w:szCs w:val="32"/>
    </w:rPr>
  </w:style>
  <w:style w:type="paragraph" w:styleId="46">
    <w:name w:val="table of figures"/>
    <w:basedOn w:val="1"/>
    <w:next w:val="1"/>
    <w:qFormat/>
    <w:uiPriority w:val="99"/>
    <w:pPr>
      <w:adjustRightInd w:val="0"/>
      <w:ind w:left="420" w:hanging="420"/>
      <w:jc w:val="left"/>
      <w:textAlignment w:val="baseline"/>
    </w:pPr>
    <w:rPr>
      <w:rFonts w:eastAsia="楷体_GB2312"/>
      <w:smallCaps/>
      <w:sz w:val="24"/>
      <w:szCs w:val="20"/>
    </w:rPr>
  </w:style>
  <w:style w:type="paragraph" w:styleId="47">
    <w:name w:val="toc 2"/>
    <w:basedOn w:val="1"/>
    <w:next w:val="1"/>
    <w:qFormat/>
    <w:uiPriority w:val="99"/>
    <w:pPr>
      <w:ind w:left="210"/>
      <w:jc w:val="left"/>
    </w:pPr>
    <w:rPr>
      <w:smallCaps/>
      <w:sz w:val="20"/>
      <w:szCs w:val="20"/>
    </w:rPr>
  </w:style>
  <w:style w:type="paragraph" w:styleId="48">
    <w:name w:val="toc 9"/>
    <w:basedOn w:val="1"/>
    <w:next w:val="1"/>
    <w:qFormat/>
    <w:uiPriority w:val="99"/>
    <w:pPr>
      <w:ind w:left="1680"/>
      <w:jc w:val="left"/>
    </w:pPr>
    <w:rPr>
      <w:sz w:val="18"/>
      <w:szCs w:val="18"/>
    </w:rPr>
  </w:style>
  <w:style w:type="paragraph" w:styleId="49">
    <w:name w:val="Body Text 2"/>
    <w:basedOn w:val="1"/>
    <w:link w:val="95"/>
    <w:qFormat/>
    <w:uiPriority w:val="99"/>
    <w:pPr>
      <w:jc w:val="center"/>
    </w:pPr>
    <w:rPr>
      <w:rFonts w:ascii="宋体" w:hAnsi="宋体"/>
      <w:sz w:val="24"/>
    </w:rPr>
  </w:style>
  <w:style w:type="paragraph" w:styleId="50">
    <w:name w:val="HTML Preformatted"/>
    <w:basedOn w:val="1"/>
    <w:link w:val="9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1">
    <w:name w:val="Normal (Web)"/>
    <w:basedOn w:val="1"/>
    <w:link w:val="128"/>
    <w:qFormat/>
    <w:uiPriority w:val="99"/>
    <w:pPr>
      <w:widowControl/>
      <w:spacing w:before="100" w:beforeAutospacing="1" w:after="100" w:afterAutospacing="1"/>
      <w:jc w:val="left"/>
    </w:pPr>
    <w:rPr>
      <w:rFonts w:ascii="宋体" w:hAnsi="宋体"/>
      <w:kern w:val="0"/>
      <w:sz w:val="24"/>
    </w:rPr>
  </w:style>
  <w:style w:type="paragraph" w:styleId="52">
    <w:name w:val="index 1"/>
    <w:basedOn w:val="1"/>
    <w:next w:val="1"/>
    <w:qFormat/>
    <w:uiPriority w:val="99"/>
  </w:style>
  <w:style w:type="paragraph" w:styleId="53">
    <w:name w:val="Title"/>
    <w:basedOn w:val="1"/>
    <w:next w:val="1"/>
    <w:link w:val="97"/>
    <w:qFormat/>
    <w:uiPriority w:val="99"/>
    <w:pPr>
      <w:spacing w:before="240" w:after="60"/>
      <w:jc w:val="center"/>
      <w:outlineLvl w:val="0"/>
    </w:pPr>
    <w:rPr>
      <w:rFonts w:ascii="Arial" w:hAnsi="Arial"/>
      <w:b/>
      <w:bCs/>
      <w:kern w:val="0"/>
      <w:sz w:val="32"/>
      <w:szCs w:val="32"/>
    </w:rPr>
  </w:style>
  <w:style w:type="paragraph" w:styleId="54">
    <w:name w:val="annotation subject"/>
    <w:basedOn w:val="22"/>
    <w:next w:val="22"/>
    <w:link w:val="77"/>
    <w:qFormat/>
    <w:uiPriority w:val="99"/>
    <w:rPr>
      <w:b/>
      <w:bCs/>
    </w:rPr>
  </w:style>
  <w:style w:type="paragraph" w:styleId="55">
    <w:name w:val="Body Text First Indent"/>
    <w:basedOn w:val="27"/>
    <w:link w:val="79"/>
    <w:qFormat/>
    <w:uiPriority w:val="0"/>
    <w:pPr>
      <w:widowControl w:val="0"/>
      <w:spacing w:after="120"/>
      <w:ind w:firstLine="420" w:firstLineChars="100"/>
      <w:jc w:val="both"/>
    </w:pPr>
    <w:rPr>
      <w:rFonts w:ascii="宋体"/>
      <w:color w:val="000000"/>
      <w:kern w:val="2"/>
      <w:sz w:val="21"/>
      <w:szCs w:val="32"/>
    </w:rPr>
  </w:style>
  <w:style w:type="paragraph" w:styleId="56">
    <w:name w:val="Body Text First Indent 2"/>
    <w:basedOn w:val="28"/>
    <w:link w:val="91"/>
    <w:qFormat/>
    <w:uiPriority w:val="99"/>
    <w:pPr>
      <w:ind w:firstLine="420" w:firstLineChars="200"/>
    </w:pPr>
    <w:rPr>
      <w:rFonts w:ascii="仿宋_GB2312" w:eastAsia="仿宋_GB2312"/>
      <w:color w:val="000000"/>
      <w:sz w:val="24"/>
    </w:rPr>
  </w:style>
  <w:style w:type="table" w:styleId="58">
    <w:name w:val="Table Grid"/>
    <w:basedOn w:val="5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9">
    <w:name w:val="Table Theme"/>
    <w:basedOn w:val="5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rFonts w:cs="Times New Roman"/>
      <w:b/>
    </w:rPr>
  </w:style>
  <w:style w:type="character" w:styleId="62">
    <w:name w:val="page number"/>
    <w:basedOn w:val="60"/>
    <w:qFormat/>
    <w:uiPriority w:val="99"/>
    <w:rPr>
      <w:rFonts w:cs="Times New Roman"/>
    </w:rPr>
  </w:style>
  <w:style w:type="character" w:styleId="63">
    <w:name w:val="FollowedHyperlink"/>
    <w:basedOn w:val="60"/>
    <w:semiHidden/>
    <w:qFormat/>
    <w:uiPriority w:val="99"/>
    <w:rPr>
      <w:rFonts w:cs="Times New Roman"/>
      <w:color w:val="800080"/>
      <w:u w:val="single"/>
    </w:rPr>
  </w:style>
  <w:style w:type="character" w:styleId="64">
    <w:name w:val="Emphasis"/>
    <w:basedOn w:val="60"/>
    <w:qFormat/>
    <w:uiPriority w:val="99"/>
    <w:rPr>
      <w:rFonts w:cs="Times New Roman"/>
      <w:i/>
    </w:rPr>
  </w:style>
  <w:style w:type="character" w:styleId="65">
    <w:name w:val="Hyperlink"/>
    <w:basedOn w:val="60"/>
    <w:qFormat/>
    <w:uiPriority w:val="99"/>
    <w:rPr>
      <w:rFonts w:cs="Times New Roman"/>
      <w:color w:val="0000FF"/>
      <w:u w:val="single"/>
    </w:rPr>
  </w:style>
  <w:style w:type="character" w:styleId="66">
    <w:name w:val="annotation reference"/>
    <w:basedOn w:val="60"/>
    <w:qFormat/>
    <w:uiPriority w:val="99"/>
    <w:rPr>
      <w:rFonts w:cs="Times New Roman"/>
      <w:sz w:val="21"/>
    </w:rPr>
  </w:style>
  <w:style w:type="character" w:customStyle="1" w:styleId="67">
    <w:name w:val="标题 1 Char"/>
    <w:basedOn w:val="60"/>
    <w:link w:val="3"/>
    <w:qFormat/>
    <w:locked/>
    <w:uiPriority w:val="99"/>
    <w:rPr>
      <w:rFonts w:ascii="Times New Roman" w:hAnsi="Times New Roman" w:eastAsia="宋体"/>
      <w:b/>
      <w:kern w:val="44"/>
      <w:sz w:val="44"/>
    </w:rPr>
  </w:style>
  <w:style w:type="character" w:customStyle="1" w:styleId="68">
    <w:name w:val="标题 2 Char"/>
    <w:basedOn w:val="60"/>
    <w:link w:val="4"/>
    <w:qFormat/>
    <w:locked/>
    <w:uiPriority w:val="0"/>
    <w:rPr>
      <w:rFonts w:ascii="Arial" w:hAnsi="Arial" w:eastAsia="黑体"/>
      <w:b/>
      <w:sz w:val="32"/>
    </w:rPr>
  </w:style>
  <w:style w:type="character" w:customStyle="1" w:styleId="69">
    <w:name w:val="标题 3 Char"/>
    <w:basedOn w:val="60"/>
    <w:link w:val="6"/>
    <w:qFormat/>
    <w:locked/>
    <w:uiPriority w:val="99"/>
    <w:rPr>
      <w:rFonts w:ascii="Times New Roman" w:hAnsi="Times New Roman" w:eastAsia="宋体"/>
      <w:b/>
      <w:sz w:val="32"/>
    </w:rPr>
  </w:style>
  <w:style w:type="character" w:customStyle="1" w:styleId="70">
    <w:name w:val="标题 4 Char"/>
    <w:basedOn w:val="60"/>
    <w:link w:val="7"/>
    <w:qFormat/>
    <w:locked/>
    <w:uiPriority w:val="99"/>
    <w:rPr>
      <w:rFonts w:ascii="Arial" w:hAnsi="Arial" w:eastAsia="黑体"/>
      <w:b/>
      <w:sz w:val="28"/>
    </w:rPr>
  </w:style>
  <w:style w:type="character" w:customStyle="1" w:styleId="71">
    <w:name w:val="标题 5 Char"/>
    <w:basedOn w:val="60"/>
    <w:link w:val="8"/>
    <w:qFormat/>
    <w:locked/>
    <w:uiPriority w:val="99"/>
    <w:rPr>
      <w:rFonts w:ascii="Calibri" w:hAnsi="Calibri" w:cs="Times New Roman"/>
      <w:b/>
      <w:bCs/>
      <w:kern w:val="2"/>
      <w:sz w:val="28"/>
      <w:szCs w:val="28"/>
    </w:rPr>
  </w:style>
  <w:style w:type="character" w:customStyle="1" w:styleId="72">
    <w:name w:val="标题 6 Char"/>
    <w:basedOn w:val="60"/>
    <w:link w:val="9"/>
    <w:qFormat/>
    <w:locked/>
    <w:uiPriority w:val="99"/>
    <w:rPr>
      <w:rFonts w:ascii="Arial" w:hAnsi="Arial" w:eastAsia="黑体" w:cs="Times New Roman"/>
      <w:b/>
      <w:bCs/>
      <w:sz w:val="24"/>
      <w:szCs w:val="24"/>
    </w:rPr>
  </w:style>
  <w:style w:type="character" w:customStyle="1" w:styleId="73">
    <w:name w:val="标题 7 Char"/>
    <w:basedOn w:val="60"/>
    <w:link w:val="10"/>
    <w:qFormat/>
    <w:locked/>
    <w:uiPriority w:val="99"/>
    <w:rPr>
      <w:rFonts w:cs="Times New Roman"/>
      <w:b/>
      <w:bCs/>
      <w:sz w:val="24"/>
      <w:szCs w:val="24"/>
    </w:rPr>
  </w:style>
  <w:style w:type="character" w:customStyle="1" w:styleId="74">
    <w:name w:val="标题 8 Char"/>
    <w:basedOn w:val="60"/>
    <w:link w:val="11"/>
    <w:qFormat/>
    <w:locked/>
    <w:uiPriority w:val="99"/>
    <w:rPr>
      <w:rFonts w:ascii="Arial" w:hAnsi="Arial" w:eastAsia="黑体" w:cs="Times New Roman"/>
      <w:sz w:val="24"/>
      <w:szCs w:val="24"/>
    </w:rPr>
  </w:style>
  <w:style w:type="character" w:customStyle="1" w:styleId="75">
    <w:name w:val="标题 9 Char"/>
    <w:basedOn w:val="60"/>
    <w:link w:val="12"/>
    <w:qFormat/>
    <w:locked/>
    <w:uiPriority w:val="99"/>
    <w:rPr>
      <w:rFonts w:ascii="Arial" w:hAnsi="Arial" w:eastAsia="黑体" w:cs="Times New Roman"/>
      <w:sz w:val="21"/>
      <w:szCs w:val="21"/>
    </w:rPr>
  </w:style>
  <w:style w:type="character" w:customStyle="1" w:styleId="76">
    <w:name w:val="批注文字 Char"/>
    <w:basedOn w:val="60"/>
    <w:link w:val="22"/>
    <w:qFormat/>
    <w:locked/>
    <w:uiPriority w:val="99"/>
    <w:rPr>
      <w:kern w:val="2"/>
      <w:sz w:val="24"/>
    </w:rPr>
  </w:style>
  <w:style w:type="character" w:customStyle="1" w:styleId="77">
    <w:name w:val="批注主题 Char"/>
    <w:basedOn w:val="76"/>
    <w:link w:val="54"/>
    <w:qFormat/>
    <w:locked/>
    <w:uiPriority w:val="99"/>
    <w:rPr>
      <w:b/>
    </w:rPr>
  </w:style>
  <w:style w:type="character" w:customStyle="1" w:styleId="78">
    <w:name w:val="正文文本 Char"/>
    <w:basedOn w:val="60"/>
    <w:link w:val="27"/>
    <w:qFormat/>
    <w:locked/>
    <w:uiPriority w:val="99"/>
    <w:rPr>
      <w:rFonts w:ascii="Times New Roman" w:hAnsi="Times New Roman" w:eastAsia="宋体"/>
      <w:kern w:val="0"/>
      <w:sz w:val="20"/>
    </w:rPr>
  </w:style>
  <w:style w:type="character" w:customStyle="1" w:styleId="79">
    <w:name w:val="正文首行缩进 Char1"/>
    <w:basedOn w:val="78"/>
    <w:link w:val="55"/>
    <w:semiHidden/>
    <w:qFormat/>
    <w:locked/>
    <w:uiPriority w:val="0"/>
    <w:rPr>
      <w:rFonts w:cs="Times New Roman"/>
      <w:kern w:val="2"/>
      <w:sz w:val="24"/>
      <w:szCs w:val="24"/>
    </w:rPr>
  </w:style>
  <w:style w:type="character" w:customStyle="1" w:styleId="80">
    <w:name w:val="文档结构图 Char1"/>
    <w:basedOn w:val="60"/>
    <w:link w:val="21"/>
    <w:semiHidden/>
    <w:qFormat/>
    <w:locked/>
    <w:uiPriority w:val="99"/>
    <w:rPr>
      <w:rFonts w:ascii="宋体" w:cs="Times New Roman"/>
      <w:kern w:val="2"/>
      <w:sz w:val="18"/>
      <w:szCs w:val="18"/>
    </w:rPr>
  </w:style>
  <w:style w:type="character" w:customStyle="1" w:styleId="81">
    <w:name w:val="称呼 Char"/>
    <w:basedOn w:val="60"/>
    <w:link w:val="23"/>
    <w:qFormat/>
    <w:locked/>
    <w:uiPriority w:val="99"/>
    <w:rPr>
      <w:rFonts w:ascii="Times New Roman" w:hAnsi="Times New Roman" w:eastAsia="宋体"/>
      <w:sz w:val="24"/>
    </w:rPr>
  </w:style>
  <w:style w:type="character" w:customStyle="1" w:styleId="82">
    <w:name w:val="正文文本 3 Char2"/>
    <w:basedOn w:val="60"/>
    <w:link w:val="24"/>
    <w:semiHidden/>
    <w:qFormat/>
    <w:locked/>
    <w:uiPriority w:val="99"/>
    <w:rPr>
      <w:rFonts w:cs="Times New Roman"/>
      <w:kern w:val="2"/>
      <w:sz w:val="16"/>
      <w:szCs w:val="16"/>
    </w:rPr>
  </w:style>
  <w:style w:type="character" w:customStyle="1" w:styleId="83">
    <w:name w:val="结束语 Char"/>
    <w:basedOn w:val="60"/>
    <w:link w:val="25"/>
    <w:qFormat/>
    <w:locked/>
    <w:uiPriority w:val="99"/>
    <w:rPr>
      <w:rFonts w:ascii="Times New Roman" w:hAnsi="Times New Roman" w:eastAsia="宋体"/>
      <w:sz w:val="24"/>
    </w:rPr>
  </w:style>
  <w:style w:type="character" w:customStyle="1" w:styleId="84">
    <w:name w:val="正文文本缩进 Char"/>
    <w:basedOn w:val="60"/>
    <w:link w:val="28"/>
    <w:qFormat/>
    <w:locked/>
    <w:uiPriority w:val="99"/>
    <w:rPr>
      <w:sz w:val="24"/>
    </w:rPr>
  </w:style>
  <w:style w:type="character" w:customStyle="1" w:styleId="85">
    <w:name w:val="纯文本 Char2"/>
    <w:basedOn w:val="60"/>
    <w:link w:val="33"/>
    <w:qFormat/>
    <w:locked/>
    <w:uiPriority w:val="0"/>
    <w:rPr>
      <w:rFonts w:ascii="宋体" w:hAnsi="Courier New"/>
    </w:rPr>
  </w:style>
  <w:style w:type="character" w:customStyle="1" w:styleId="86">
    <w:name w:val="日期 Char2"/>
    <w:basedOn w:val="60"/>
    <w:link w:val="35"/>
    <w:qFormat/>
    <w:locked/>
    <w:uiPriority w:val="99"/>
    <w:rPr>
      <w:sz w:val="24"/>
    </w:rPr>
  </w:style>
  <w:style w:type="character" w:customStyle="1" w:styleId="87">
    <w:name w:val="正文文本缩进 2 Char"/>
    <w:basedOn w:val="60"/>
    <w:link w:val="36"/>
    <w:qFormat/>
    <w:locked/>
    <w:uiPriority w:val="0"/>
    <w:rPr>
      <w:rFonts w:ascii="Times New Roman" w:hAnsi="Times New Roman" w:eastAsia="宋体"/>
      <w:b/>
      <w:sz w:val="24"/>
    </w:rPr>
  </w:style>
  <w:style w:type="character" w:customStyle="1" w:styleId="88">
    <w:name w:val="尾注文本 Char2"/>
    <w:basedOn w:val="60"/>
    <w:link w:val="37"/>
    <w:semiHidden/>
    <w:qFormat/>
    <w:locked/>
    <w:uiPriority w:val="99"/>
    <w:rPr>
      <w:rFonts w:cs="Times New Roman"/>
      <w:kern w:val="2"/>
      <w:sz w:val="24"/>
      <w:szCs w:val="24"/>
    </w:rPr>
  </w:style>
  <w:style w:type="character" w:customStyle="1" w:styleId="89">
    <w:name w:val="批注框文本 Char"/>
    <w:basedOn w:val="60"/>
    <w:link w:val="38"/>
    <w:qFormat/>
    <w:locked/>
    <w:uiPriority w:val="99"/>
    <w:rPr>
      <w:rFonts w:ascii="Times New Roman" w:hAnsi="Times New Roman" w:eastAsia="宋体"/>
      <w:sz w:val="18"/>
    </w:rPr>
  </w:style>
  <w:style w:type="character" w:customStyle="1" w:styleId="90">
    <w:name w:val="页脚 Char"/>
    <w:basedOn w:val="60"/>
    <w:link w:val="39"/>
    <w:qFormat/>
    <w:locked/>
    <w:uiPriority w:val="99"/>
    <w:rPr>
      <w:sz w:val="18"/>
    </w:rPr>
  </w:style>
  <w:style w:type="character" w:customStyle="1" w:styleId="91">
    <w:name w:val="正文首行缩进 2 Char2"/>
    <w:basedOn w:val="84"/>
    <w:link w:val="56"/>
    <w:semiHidden/>
    <w:qFormat/>
    <w:locked/>
    <w:uiPriority w:val="99"/>
    <w:rPr>
      <w:rFonts w:cs="Times New Roman"/>
      <w:kern w:val="2"/>
      <w:szCs w:val="24"/>
    </w:rPr>
  </w:style>
  <w:style w:type="character" w:customStyle="1" w:styleId="92">
    <w:name w:val="页眉 Char"/>
    <w:basedOn w:val="60"/>
    <w:link w:val="2"/>
    <w:qFormat/>
    <w:locked/>
    <w:uiPriority w:val="99"/>
    <w:rPr>
      <w:sz w:val="18"/>
    </w:rPr>
  </w:style>
  <w:style w:type="character" w:customStyle="1" w:styleId="93">
    <w:name w:val="副标题 Char2"/>
    <w:basedOn w:val="60"/>
    <w:link w:val="42"/>
    <w:qFormat/>
    <w:locked/>
    <w:uiPriority w:val="99"/>
    <w:rPr>
      <w:rFonts w:ascii="Cambria" w:hAnsi="Cambria" w:cs="Times New Roman"/>
      <w:b/>
      <w:bCs/>
      <w:kern w:val="28"/>
      <w:sz w:val="32"/>
      <w:szCs w:val="32"/>
    </w:rPr>
  </w:style>
  <w:style w:type="character" w:customStyle="1" w:styleId="94">
    <w:name w:val="正文文本缩进 3 Char1"/>
    <w:basedOn w:val="60"/>
    <w:link w:val="45"/>
    <w:semiHidden/>
    <w:qFormat/>
    <w:locked/>
    <w:uiPriority w:val="99"/>
    <w:rPr>
      <w:rFonts w:cs="Times New Roman"/>
      <w:kern w:val="2"/>
      <w:sz w:val="16"/>
      <w:szCs w:val="16"/>
    </w:rPr>
  </w:style>
  <w:style w:type="character" w:customStyle="1" w:styleId="95">
    <w:name w:val="正文文本 2 Char1"/>
    <w:basedOn w:val="60"/>
    <w:link w:val="49"/>
    <w:semiHidden/>
    <w:qFormat/>
    <w:locked/>
    <w:uiPriority w:val="99"/>
    <w:rPr>
      <w:rFonts w:cs="Times New Roman"/>
      <w:kern w:val="2"/>
      <w:sz w:val="24"/>
      <w:szCs w:val="24"/>
    </w:rPr>
  </w:style>
  <w:style w:type="character" w:customStyle="1" w:styleId="96">
    <w:name w:val="HTML 预设格式 Char"/>
    <w:basedOn w:val="60"/>
    <w:link w:val="50"/>
    <w:qFormat/>
    <w:locked/>
    <w:uiPriority w:val="99"/>
    <w:rPr>
      <w:rFonts w:ascii="宋体" w:hAnsi="宋体" w:eastAsia="宋体"/>
      <w:kern w:val="0"/>
      <w:sz w:val="24"/>
    </w:rPr>
  </w:style>
  <w:style w:type="character" w:customStyle="1" w:styleId="97">
    <w:name w:val="标题 Char2"/>
    <w:basedOn w:val="60"/>
    <w:link w:val="53"/>
    <w:qFormat/>
    <w:locked/>
    <w:uiPriority w:val="99"/>
    <w:rPr>
      <w:rFonts w:ascii="Cambria" w:hAnsi="Cambria" w:cs="Times New Roman"/>
      <w:b/>
      <w:bCs/>
      <w:kern w:val="2"/>
      <w:sz w:val="32"/>
      <w:szCs w:val="32"/>
    </w:rPr>
  </w:style>
  <w:style w:type="character" w:customStyle="1" w:styleId="98">
    <w:name w:val="正文缩进 Char"/>
    <w:basedOn w:val="60"/>
    <w:link w:val="5"/>
    <w:qFormat/>
    <w:locked/>
    <w:uiPriority w:val="99"/>
    <w:rPr>
      <w:rFonts w:cs="Times New Roman"/>
    </w:rPr>
  </w:style>
  <w:style w:type="character" w:customStyle="1" w:styleId="99">
    <w:name w:val="纯文本 Char1"/>
    <w:qFormat/>
    <w:uiPriority w:val="99"/>
    <w:rPr>
      <w:rFonts w:ascii="宋体" w:hAnsi="Courier New" w:eastAsia="宋体"/>
      <w:sz w:val="21"/>
    </w:rPr>
  </w:style>
  <w:style w:type="character" w:customStyle="1" w:styleId="100">
    <w:name w:val="日期 Char"/>
    <w:qFormat/>
    <w:uiPriority w:val="99"/>
    <w:rPr>
      <w:rFonts w:ascii="仿宋体" w:eastAsia="仿宋体"/>
      <w:kern w:val="2"/>
      <w:sz w:val="24"/>
    </w:rPr>
  </w:style>
  <w:style w:type="character" w:customStyle="1" w:styleId="101">
    <w:name w:val="正文文本缩进 Char1"/>
    <w:qFormat/>
    <w:uiPriority w:val="99"/>
    <w:rPr>
      <w:rFonts w:ascii="Times New Roman" w:hAnsi="Times New Roman" w:eastAsia="宋体"/>
      <w:sz w:val="24"/>
    </w:rPr>
  </w:style>
  <w:style w:type="character" w:customStyle="1" w:styleId="102">
    <w:name w:val="font11"/>
    <w:qFormat/>
    <w:uiPriority w:val="99"/>
    <w:rPr>
      <w:rFonts w:ascii="仿宋_GB2312" w:eastAsia="仿宋_GB2312"/>
      <w:color w:val="000000"/>
      <w:sz w:val="22"/>
      <w:u w:val="none"/>
    </w:rPr>
  </w:style>
  <w:style w:type="character" w:customStyle="1" w:styleId="103">
    <w:name w:val="正文缩进 Char1"/>
    <w:qFormat/>
    <w:uiPriority w:val="99"/>
    <w:rPr>
      <w:rFonts w:eastAsia="宋体"/>
      <w:kern w:val="2"/>
      <w:sz w:val="24"/>
      <w:lang w:val="en-US" w:eastAsia="zh-CN"/>
    </w:rPr>
  </w:style>
  <w:style w:type="character" w:customStyle="1" w:styleId="104">
    <w:name w:val="p31"/>
    <w:qFormat/>
    <w:uiPriority w:val="99"/>
    <w:rPr>
      <w:sz w:val="20"/>
    </w:rPr>
  </w:style>
  <w:style w:type="character" w:customStyle="1" w:styleId="105">
    <w:name w:val="日期 Char1"/>
    <w:semiHidden/>
    <w:qFormat/>
    <w:uiPriority w:val="99"/>
    <w:rPr>
      <w:rFonts w:ascii="Times New Roman" w:hAnsi="Times New Roman" w:eastAsia="宋体"/>
      <w:sz w:val="24"/>
    </w:rPr>
  </w:style>
  <w:style w:type="character" w:customStyle="1" w:styleId="106">
    <w:name w:val="apple-converted-space"/>
    <w:qFormat/>
    <w:uiPriority w:val="99"/>
  </w:style>
  <w:style w:type="character" w:customStyle="1" w:styleId="107">
    <w:name w:val="纯文本 Char"/>
    <w:qFormat/>
    <w:uiPriority w:val="0"/>
    <w:rPr>
      <w:rFonts w:ascii="宋体" w:hAnsi="Courier New" w:eastAsia="宋体"/>
      <w:kern w:val="2"/>
      <w:sz w:val="21"/>
      <w:lang w:val="en-US" w:eastAsia="zh-CN"/>
    </w:rPr>
  </w:style>
  <w:style w:type="character" w:customStyle="1" w:styleId="108">
    <w:name w:val="hei"/>
    <w:basedOn w:val="60"/>
    <w:qFormat/>
    <w:uiPriority w:val="99"/>
    <w:rPr>
      <w:rFonts w:cs="Times New Roman"/>
    </w:rPr>
  </w:style>
  <w:style w:type="character" w:customStyle="1" w:styleId="109">
    <w:name w:val="列出段落 Char"/>
    <w:link w:val="110"/>
    <w:qFormat/>
    <w:locked/>
    <w:uiPriority w:val="99"/>
    <w:rPr>
      <w:kern w:val="2"/>
      <w:sz w:val="24"/>
    </w:rPr>
  </w:style>
  <w:style w:type="paragraph" w:customStyle="1" w:styleId="110">
    <w:name w:val="列出段落1"/>
    <w:basedOn w:val="1"/>
    <w:link w:val="109"/>
    <w:qFormat/>
    <w:uiPriority w:val="99"/>
    <w:pPr>
      <w:ind w:firstLine="420" w:firstLineChars="200"/>
    </w:pPr>
  </w:style>
  <w:style w:type="paragraph" w:customStyle="1" w:styleId="111">
    <w:name w:val="缺省文本"/>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2">
    <w:name w:val="0"/>
    <w:basedOn w:val="1"/>
    <w:qFormat/>
    <w:uiPriority w:val="99"/>
    <w:pPr>
      <w:widowControl/>
      <w:snapToGrid w:val="0"/>
    </w:pPr>
    <w:rPr>
      <w:kern w:val="0"/>
      <w:szCs w:val="21"/>
    </w:rPr>
  </w:style>
  <w:style w:type="paragraph" w:customStyle="1" w:styleId="113">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4">
    <w:name w:val="纯文本1"/>
    <w:basedOn w:val="1"/>
    <w:qFormat/>
    <w:uiPriority w:val="99"/>
    <w:pPr>
      <w:adjustRightInd w:val="0"/>
      <w:textAlignment w:val="baseline"/>
    </w:pPr>
    <w:rPr>
      <w:rFonts w:ascii="宋体" w:hAnsi="Courier New" w:eastAsia="楷体_GB2312"/>
      <w:sz w:val="26"/>
      <w:szCs w:val="20"/>
    </w:rPr>
  </w:style>
  <w:style w:type="paragraph" w:customStyle="1" w:styleId="115">
    <w:name w:val="xl83"/>
    <w:basedOn w:val="1"/>
    <w:qFormat/>
    <w:uiPriority w:val="99"/>
    <w:pPr>
      <w:widowControl/>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116">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17">
    <w:name w:val="Default Tex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8">
    <w:name w:val="默认段落字体 Para Char"/>
    <w:basedOn w:val="1"/>
    <w:qFormat/>
    <w:uiPriority w:val="99"/>
    <w:pPr>
      <w:adjustRightInd w:val="0"/>
      <w:spacing w:line="360" w:lineRule="auto"/>
    </w:pPr>
    <w:rPr>
      <w:rFonts w:ascii="宋体" w:hAnsi="宋体" w:cs="宋体"/>
      <w:kern w:val="0"/>
      <w:sz w:val="24"/>
      <w:szCs w:val="20"/>
    </w:rPr>
  </w:style>
  <w:style w:type="paragraph" w:customStyle="1" w:styleId="119">
    <w:name w:val="默认段落字体 Para Char Char Char Char"/>
    <w:basedOn w:val="1"/>
    <w:qFormat/>
    <w:uiPriority w:val="99"/>
  </w:style>
  <w:style w:type="paragraph" w:customStyle="1" w:styleId="120">
    <w:name w:val="text9"/>
    <w:basedOn w:val="1"/>
    <w:qFormat/>
    <w:uiPriority w:val="99"/>
    <w:pPr>
      <w:widowControl/>
      <w:spacing w:before="100" w:beforeAutospacing="1" w:after="100" w:afterAutospacing="1"/>
      <w:jc w:val="left"/>
    </w:pPr>
    <w:rPr>
      <w:rFonts w:ascii="宋体" w:hAnsi="宋体"/>
      <w:kern w:val="0"/>
      <w:sz w:val="24"/>
    </w:rPr>
  </w:style>
  <w:style w:type="paragraph" w:customStyle="1" w:styleId="121">
    <w:name w:val="正文无缩进"/>
    <w:basedOn w:val="1"/>
    <w:qFormat/>
    <w:uiPriority w:val="99"/>
    <w:pPr>
      <w:widowControl/>
      <w:autoSpaceDE w:val="0"/>
      <w:autoSpaceDN w:val="0"/>
      <w:spacing w:line="300" w:lineRule="auto"/>
      <w:textAlignment w:val="bottom"/>
    </w:pPr>
    <w:rPr>
      <w:rFonts w:eastAsia="楷体_GB2312"/>
      <w:szCs w:val="20"/>
    </w:rPr>
  </w:style>
  <w:style w:type="paragraph" w:customStyle="1" w:styleId="122">
    <w:name w:val="封面字体4"/>
    <w:basedOn w:val="1"/>
    <w:qFormat/>
    <w:uiPriority w:val="99"/>
    <w:pPr>
      <w:spacing w:line="240" w:lineRule="atLeast"/>
    </w:pPr>
    <w:rPr>
      <w:rFonts w:ascii="黑体" w:hAnsi="华文细黑" w:eastAsia="黑体" w:cs="Arial"/>
      <w:b/>
      <w:bCs/>
      <w:spacing w:val="100"/>
      <w:kern w:val="0"/>
      <w:sz w:val="44"/>
      <w:szCs w:val="28"/>
    </w:rPr>
  </w:style>
  <w:style w:type="paragraph" w:customStyle="1" w:styleId="123">
    <w:name w:val="Default Text:1"/>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124">
    <w:name w:val="纯文本2"/>
    <w:basedOn w:val="1"/>
    <w:qFormat/>
    <w:uiPriority w:val="99"/>
    <w:pPr>
      <w:adjustRightInd w:val="0"/>
      <w:textAlignment w:val="baseline"/>
    </w:pPr>
    <w:rPr>
      <w:rFonts w:ascii="宋体" w:hAnsi="Courier New" w:eastAsia="楷体_GB2312"/>
      <w:sz w:val="26"/>
      <w:szCs w:val="20"/>
    </w:rPr>
  </w:style>
  <w:style w:type="paragraph" w:customStyle="1" w:styleId="125">
    <w:name w:val="列出段落11"/>
    <w:basedOn w:val="1"/>
    <w:qFormat/>
    <w:uiPriority w:val="99"/>
    <w:pPr>
      <w:ind w:firstLine="420" w:firstLineChars="200"/>
    </w:pPr>
    <w:rPr>
      <w:rFonts w:ascii="Calibri" w:hAnsi="Calibri"/>
      <w:szCs w:val="22"/>
    </w:rPr>
  </w:style>
  <w:style w:type="paragraph" w:customStyle="1" w:styleId="12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27">
    <w:name w:val="xl36"/>
    <w:basedOn w:val="1"/>
    <w:qFormat/>
    <w:uiPriority w:val="99"/>
    <w:pPr>
      <w:widowControl/>
      <w:spacing w:before="100" w:after="100"/>
      <w:jc w:val="center"/>
    </w:pPr>
    <w:rPr>
      <w:rFonts w:ascii="宋体" w:hAnsi="宋体"/>
      <w:kern w:val="0"/>
      <w:sz w:val="24"/>
      <w:szCs w:val="20"/>
    </w:rPr>
  </w:style>
  <w:style w:type="character" w:customStyle="1" w:styleId="128">
    <w:name w:val="普通(网站) Char"/>
    <w:link w:val="51"/>
    <w:qFormat/>
    <w:locked/>
    <w:uiPriority w:val="99"/>
    <w:rPr>
      <w:rFonts w:ascii="宋体" w:eastAsia="宋体"/>
      <w:sz w:val="24"/>
    </w:rPr>
  </w:style>
  <w:style w:type="paragraph" w:customStyle="1" w:styleId="129">
    <w:name w:val="封面字体3"/>
    <w:basedOn w:val="1"/>
    <w:qFormat/>
    <w:uiPriority w:val="99"/>
    <w:pPr>
      <w:spacing w:line="240" w:lineRule="atLeast"/>
    </w:pPr>
    <w:rPr>
      <w:rFonts w:ascii="黑体" w:hAnsi="华文细黑" w:eastAsia="黑体" w:cs="Arial"/>
      <w:bCs/>
      <w:spacing w:val="100"/>
      <w:kern w:val="0"/>
      <w:sz w:val="44"/>
      <w:szCs w:val="28"/>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paragraph" w:customStyle="1" w:styleId="131">
    <w:name w:val="修订1"/>
    <w:qFormat/>
    <w:uiPriority w:val="99"/>
    <w:rPr>
      <w:rFonts w:ascii="Times New Roman" w:hAnsi="Times New Roman" w:eastAsia="宋体" w:cs="Times New Roman"/>
      <w:kern w:val="2"/>
      <w:sz w:val="21"/>
      <w:szCs w:val="24"/>
      <w:lang w:val="en-US" w:eastAsia="zh-CN" w:bidi="ar-SA"/>
    </w:rPr>
  </w:style>
  <w:style w:type="paragraph" w:customStyle="1" w:styleId="132">
    <w:name w:val="2"/>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line14pj"/>
    <w:basedOn w:val="60"/>
    <w:qFormat/>
    <w:uiPriority w:val="99"/>
    <w:rPr>
      <w:rFonts w:cs="Times New Roman"/>
    </w:rPr>
  </w:style>
  <w:style w:type="character" w:customStyle="1" w:styleId="134">
    <w:name w:val="正文文本 2 Char"/>
    <w:qFormat/>
    <w:uiPriority w:val="99"/>
    <w:rPr>
      <w:rFonts w:ascii="宋体" w:eastAsia="宋体"/>
      <w:kern w:val="2"/>
      <w:sz w:val="24"/>
    </w:rPr>
  </w:style>
  <w:style w:type="character" w:customStyle="1" w:styleId="135">
    <w:name w:val="正文文本缩进 Char2"/>
    <w:qFormat/>
    <w:uiPriority w:val="99"/>
    <w:rPr>
      <w:rFonts w:ascii="宋体"/>
      <w:color w:val="000000"/>
      <w:sz w:val="32"/>
    </w:rPr>
  </w:style>
  <w:style w:type="character" w:customStyle="1" w:styleId="136">
    <w:name w:val="3zw1"/>
    <w:qFormat/>
    <w:uiPriority w:val="99"/>
    <w:rPr>
      <w:color w:val="000000"/>
      <w:sz w:val="21"/>
    </w:rPr>
  </w:style>
  <w:style w:type="character" w:customStyle="1" w:styleId="137">
    <w:name w:val="font101"/>
    <w:qFormat/>
    <w:uiPriority w:val="99"/>
    <w:rPr>
      <w:rFonts w:ascii="宋体" w:hAnsi="宋体" w:eastAsia="宋体"/>
      <w:color w:val="000000"/>
      <w:sz w:val="20"/>
      <w:u w:val="none"/>
    </w:rPr>
  </w:style>
  <w:style w:type="character" w:customStyle="1" w:styleId="138">
    <w:name w:val="批注框文本 Char1"/>
    <w:qFormat/>
    <w:locked/>
    <w:uiPriority w:val="99"/>
    <w:rPr>
      <w:kern w:val="2"/>
      <w:sz w:val="18"/>
    </w:rPr>
  </w:style>
  <w:style w:type="character" w:customStyle="1" w:styleId="139">
    <w:name w:val="正文首行缩进 2 Char"/>
    <w:qFormat/>
    <w:uiPriority w:val="99"/>
    <w:rPr>
      <w:rFonts w:ascii="仿宋_GB2312" w:eastAsia="仿宋_GB2312"/>
      <w:color w:val="000000"/>
      <w:sz w:val="24"/>
    </w:rPr>
  </w:style>
  <w:style w:type="character" w:customStyle="1" w:styleId="140">
    <w:name w:val="hang1"/>
    <w:basedOn w:val="60"/>
    <w:qFormat/>
    <w:uiPriority w:val="99"/>
    <w:rPr>
      <w:rFonts w:cs="Times New Roman"/>
    </w:rPr>
  </w:style>
  <w:style w:type="character" w:customStyle="1" w:styleId="141">
    <w:name w:val="param-name"/>
    <w:qFormat/>
    <w:uiPriority w:val="99"/>
  </w:style>
  <w:style w:type="character" w:customStyle="1" w:styleId="142">
    <w:name w:val="font21"/>
    <w:basedOn w:val="60"/>
    <w:qFormat/>
    <w:uiPriority w:val="99"/>
    <w:rPr>
      <w:rFonts w:ascii="宋体" w:hAnsi="宋体" w:eastAsia="宋体"/>
      <w:color w:val="000000"/>
      <w:sz w:val="24"/>
      <w:u w:val="none"/>
    </w:rPr>
  </w:style>
  <w:style w:type="character" w:customStyle="1" w:styleId="143">
    <w:name w:val="正文文本 Char2"/>
    <w:qFormat/>
    <w:uiPriority w:val="99"/>
    <w:rPr>
      <w:rFonts w:ascii="宋体"/>
      <w:color w:val="000000"/>
      <w:sz w:val="32"/>
    </w:rPr>
  </w:style>
  <w:style w:type="character" w:customStyle="1" w:styleId="144">
    <w:name w:val="段 Char"/>
    <w:link w:val="145"/>
    <w:qFormat/>
    <w:locked/>
    <w:uiPriority w:val="99"/>
    <w:rPr>
      <w:rFonts w:ascii="宋体" w:eastAsia="宋体"/>
      <w:kern w:val="2"/>
      <w:sz w:val="22"/>
      <w:lang w:val="en-US" w:eastAsia="zh-CN"/>
    </w:rPr>
  </w:style>
  <w:style w:type="paragraph" w:customStyle="1" w:styleId="145">
    <w:name w:val="段"/>
    <w:link w:val="144"/>
    <w:qFormat/>
    <w:uiPriority w:val="99"/>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character" w:customStyle="1" w:styleId="146">
    <w:name w:val="正文首行缩进 2 Char1"/>
    <w:basedOn w:val="101"/>
    <w:qFormat/>
    <w:uiPriority w:val="99"/>
    <w:rPr>
      <w:rFonts w:ascii="楷体_GB2312" w:eastAsia="楷体_GB2312" w:cs="Times New Roman"/>
      <w:kern w:val="2"/>
      <w:sz w:val="31"/>
      <w:szCs w:val="31"/>
    </w:rPr>
  </w:style>
  <w:style w:type="character" w:customStyle="1" w:styleId="147">
    <w:name w:val="正文文本 Char1"/>
    <w:qFormat/>
    <w:uiPriority w:val="99"/>
    <w:rPr>
      <w:rFonts w:ascii="楷体_GB2312" w:eastAsia="楷体_GB2312"/>
      <w:kern w:val="2"/>
      <w:sz w:val="28"/>
    </w:rPr>
  </w:style>
  <w:style w:type="character" w:customStyle="1" w:styleId="148">
    <w:name w:val="contentheaderrev1"/>
    <w:qFormat/>
    <w:uiPriority w:val="99"/>
    <w:rPr>
      <w:rFonts w:ascii="Arial" w:hAnsi="Arial"/>
      <w:b/>
      <w:color w:val="FFFFFF"/>
      <w:sz w:val="18"/>
      <w:u w:val="none"/>
    </w:rPr>
  </w:style>
  <w:style w:type="character" w:customStyle="1" w:styleId="149">
    <w:name w:val="text_12_black1"/>
    <w:qFormat/>
    <w:uiPriority w:val="99"/>
    <w:rPr>
      <w:rFonts w:ascii="??" w:hAnsi="??"/>
      <w:color w:val="333333"/>
      <w:sz w:val="18"/>
      <w:u w:val="none"/>
    </w:rPr>
  </w:style>
  <w:style w:type="character" w:customStyle="1" w:styleId="150">
    <w:name w:val="font51"/>
    <w:qFormat/>
    <w:uiPriority w:val="99"/>
    <w:rPr>
      <w:rFonts w:ascii="宋体" w:hAnsi="宋体" w:eastAsia="宋体"/>
      <w:b/>
      <w:color w:val="000000"/>
      <w:sz w:val="18"/>
      <w:u w:val="none"/>
    </w:rPr>
  </w:style>
  <w:style w:type="character" w:customStyle="1" w:styleId="151">
    <w:name w:val="副标题 Char1"/>
    <w:qFormat/>
    <w:uiPriority w:val="99"/>
    <w:rPr>
      <w:rFonts w:ascii="Cambria" w:hAnsi="Cambria"/>
      <w:b/>
      <w:kern w:val="28"/>
      <w:sz w:val="32"/>
    </w:rPr>
  </w:style>
  <w:style w:type="character" w:customStyle="1" w:styleId="152">
    <w:name w:val="unnamed11"/>
    <w:qFormat/>
    <w:uiPriority w:val="99"/>
    <w:rPr>
      <w:sz w:val="20"/>
    </w:rPr>
  </w:style>
  <w:style w:type="character" w:customStyle="1" w:styleId="153">
    <w:name w:val="ca-131"/>
    <w:qFormat/>
    <w:uiPriority w:val="99"/>
    <w:rPr>
      <w:rFonts w:ascii="Times New Roman" w:hAnsi="Times New Roman"/>
      <w:sz w:val="21"/>
    </w:rPr>
  </w:style>
  <w:style w:type="character" w:customStyle="1" w:styleId="154">
    <w:name w:val="正文文本 3 Char"/>
    <w:qFormat/>
    <w:uiPriority w:val="99"/>
    <w:rPr>
      <w:sz w:val="16"/>
    </w:rPr>
  </w:style>
  <w:style w:type="character" w:customStyle="1" w:styleId="155">
    <w:name w:val="z71"/>
    <w:qFormat/>
    <w:uiPriority w:val="99"/>
    <w:rPr>
      <w:spacing w:val="300"/>
      <w:sz w:val="18"/>
    </w:rPr>
  </w:style>
  <w:style w:type="character" w:customStyle="1" w:styleId="156">
    <w:name w:val="副标题 Char"/>
    <w:qFormat/>
    <w:uiPriority w:val="99"/>
    <w:rPr>
      <w:rFonts w:ascii="Cambria" w:hAnsi="Cambria"/>
      <w:b/>
      <w:kern w:val="28"/>
      <w:sz w:val="32"/>
    </w:rPr>
  </w:style>
  <w:style w:type="character" w:customStyle="1" w:styleId="157">
    <w:name w:val="ca-231"/>
    <w:qFormat/>
    <w:uiPriority w:val="99"/>
    <w:rPr>
      <w:rFonts w:ascii="宋体" w:hAnsi="宋体" w:eastAsia="宋体"/>
      <w:sz w:val="24"/>
    </w:rPr>
  </w:style>
  <w:style w:type="character" w:customStyle="1" w:styleId="158">
    <w:name w:val="ca-251"/>
    <w:qFormat/>
    <w:uiPriority w:val="99"/>
    <w:rPr>
      <w:rFonts w:ascii="Times New Roman" w:hAnsi="Times New Roman"/>
      <w:sz w:val="24"/>
    </w:rPr>
  </w:style>
  <w:style w:type="character" w:customStyle="1" w:styleId="159">
    <w:name w:val="正文文本 3 Char1"/>
    <w:qFormat/>
    <w:uiPriority w:val="99"/>
    <w:rPr>
      <w:kern w:val="2"/>
      <w:sz w:val="16"/>
    </w:rPr>
  </w:style>
  <w:style w:type="character" w:customStyle="1" w:styleId="160">
    <w:name w:val="标题 3 Char1"/>
    <w:qFormat/>
    <w:uiPriority w:val="99"/>
    <w:rPr>
      <w:b/>
      <w:kern w:val="2"/>
      <w:sz w:val="32"/>
    </w:rPr>
  </w:style>
  <w:style w:type="character" w:customStyle="1" w:styleId="161">
    <w:name w:val="本级3 Char"/>
    <w:link w:val="162"/>
    <w:qFormat/>
    <w:locked/>
    <w:uiPriority w:val="99"/>
    <w:rPr>
      <w:rFonts w:ascii="仿宋_GB2312" w:hAnsi="仿宋" w:eastAsia="仿宋_GB2312"/>
      <w:b/>
      <w:kern w:val="2"/>
      <w:sz w:val="24"/>
    </w:rPr>
  </w:style>
  <w:style w:type="paragraph" w:customStyle="1" w:styleId="162">
    <w:name w:val="本级3"/>
    <w:basedOn w:val="1"/>
    <w:next w:val="1"/>
    <w:link w:val="161"/>
    <w:qFormat/>
    <w:uiPriority w:val="99"/>
    <w:pPr>
      <w:keepNext/>
      <w:keepLines/>
      <w:tabs>
        <w:tab w:val="left" w:pos="567"/>
      </w:tabs>
      <w:spacing w:line="360" w:lineRule="auto"/>
      <w:ind w:left="1827" w:leftChars="100" w:right="100" w:rightChars="100" w:hanging="567"/>
      <w:outlineLvl w:val="2"/>
    </w:pPr>
    <w:rPr>
      <w:rFonts w:ascii="仿宋_GB2312" w:hAnsi="仿宋" w:eastAsia="仿宋_GB2312"/>
      <w:b/>
      <w:bCs/>
      <w:sz w:val="32"/>
    </w:rPr>
  </w:style>
  <w:style w:type="character" w:customStyle="1" w:styleId="163">
    <w:name w:val="正文文本缩进 3 Char"/>
    <w:qFormat/>
    <w:locked/>
    <w:uiPriority w:val="99"/>
    <w:rPr>
      <w:rFonts w:ascii="幼圆" w:eastAsia="幼圆"/>
      <w:kern w:val="2"/>
      <w:sz w:val="32"/>
    </w:rPr>
  </w:style>
  <w:style w:type="character" w:customStyle="1" w:styleId="164">
    <w:name w:val="首行缩进 Char Char1"/>
    <w:link w:val="165"/>
    <w:qFormat/>
    <w:locked/>
    <w:uiPriority w:val="99"/>
    <w:rPr>
      <w:sz w:val="24"/>
    </w:rPr>
  </w:style>
  <w:style w:type="paragraph" w:customStyle="1" w:styleId="165">
    <w:name w:val="首行缩进 Char"/>
    <w:basedOn w:val="1"/>
    <w:next w:val="5"/>
    <w:link w:val="164"/>
    <w:qFormat/>
    <w:uiPriority w:val="99"/>
    <w:pPr>
      <w:spacing w:line="300" w:lineRule="auto"/>
      <w:ind w:firstLine="420"/>
    </w:pPr>
    <w:rPr>
      <w:kern w:val="0"/>
      <w:sz w:val="24"/>
    </w:rPr>
  </w:style>
  <w:style w:type="character" w:customStyle="1" w:styleId="166">
    <w:name w:val="text_12_subject1"/>
    <w:qFormat/>
    <w:uiPriority w:val="99"/>
    <w:rPr>
      <w:rFonts w:ascii="??" w:hAnsi="??"/>
      <w:b/>
      <w:color w:val="006699"/>
      <w:sz w:val="18"/>
      <w:u w:val="none"/>
    </w:rPr>
  </w:style>
  <w:style w:type="character" w:customStyle="1" w:styleId="167">
    <w:name w:val="标题 Char1"/>
    <w:qFormat/>
    <w:uiPriority w:val="99"/>
    <w:rPr>
      <w:rFonts w:ascii="Cambria" w:hAnsi="Cambria"/>
      <w:b/>
      <w:kern w:val="2"/>
      <w:sz w:val="32"/>
    </w:rPr>
  </w:style>
  <w:style w:type="character" w:customStyle="1" w:styleId="168">
    <w:name w:val="常规 Char"/>
    <w:link w:val="169"/>
    <w:qFormat/>
    <w:locked/>
    <w:uiPriority w:val="99"/>
    <w:rPr>
      <w:rFonts w:ascii="Tahoma" w:hAnsi="Tahoma"/>
      <w:color w:val="000000"/>
      <w:kern w:val="2"/>
      <w:sz w:val="21"/>
    </w:rPr>
  </w:style>
  <w:style w:type="paragraph" w:customStyle="1" w:styleId="169">
    <w:name w:val="常规"/>
    <w:basedOn w:val="1"/>
    <w:link w:val="168"/>
    <w:qFormat/>
    <w:uiPriority w:val="99"/>
    <w:pPr>
      <w:spacing w:beforeLines="100" w:afterLines="100" w:line="360" w:lineRule="auto"/>
      <w:ind w:firstLine="560" w:firstLineChars="200"/>
      <w:jc w:val="center"/>
    </w:pPr>
    <w:rPr>
      <w:rFonts w:ascii="Tahoma" w:hAnsi="Tahoma"/>
      <w:color w:val="000000"/>
      <w:sz w:val="28"/>
      <w:szCs w:val="21"/>
    </w:rPr>
  </w:style>
  <w:style w:type="character" w:customStyle="1" w:styleId="170">
    <w:name w:val="文档结构图 Char"/>
    <w:qFormat/>
    <w:uiPriority w:val="99"/>
    <w:rPr>
      <w:kern w:val="2"/>
      <w:sz w:val="24"/>
      <w:shd w:val="clear" w:color="auto" w:fill="000080"/>
    </w:rPr>
  </w:style>
  <w:style w:type="character" w:customStyle="1" w:styleId="171">
    <w:name w:val="正文新 Char"/>
    <w:link w:val="172"/>
    <w:qFormat/>
    <w:locked/>
    <w:uiPriority w:val="99"/>
    <w:rPr>
      <w:rFonts w:ascii="宋体" w:eastAsia="宋体"/>
      <w:sz w:val="28"/>
    </w:rPr>
  </w:style>
  <w:style w:type="paragraph" w:customStyle="1" w:styleId="172">
    <w:name w:val="正文新"/>
    <w:basedOn w:val="1"/>
    <w:link w:val="171"/>
    <w:qFormat/>
    <w:uiPriority w:val="99"/>
    <w:pPr>
      <w:spacing w:line="360" w:lineRule="auto"/>
      <w:ind w:firstLine="200" w:firstLineChars="200"/>
      <w:jc w:val="left"/>
    </w:pPr>
    <w:rPr>
      <w:rFonts w:ascii="宋体" w:hAnsi="宋体"/>
      <w:kern w:val="0"/>
      <w:sz w:val="28"/>
      <w:szCs w:val="20"/>
    </w:rPr>
  </w:style>
  <w:style w:type="character" w:customStyle="1" w:styleId="173">
    <w:name w:val="font41"/>
    <w:qFormat/>
    <w:uiPriority w:val="99"/>
    <w:rPr>
      <w:rFonts w:ascii="宋体" w:hAnsi="宋体" w:eastAsia="宋体"/>
      <w:b/>
      <w:color w:val="000000"/>
      <w:sz w:val="20"/>
      <w:u w:val="none"/>
    </w:rPr>
  </w:style>
  <w:style w:type="character" w:customStyle="1" w:styleId="174">
    <w:name w:val="myp1111"/>
    <w:qFormat/>
    <w:uiPriority w:val="99"/>
    <w:rPr>
      <w:rFonts w:ascii="??" w:hAnsi="??"/>
      <w:color w:val="000000"/>
      <w:sz w:val="15"/>
      <w:u w:val="none"/>
    </w:rPr>
  </w:style>
  <w:style w:type="character" w:customStyle="1" w:styleId="175">
    <w:name w:val="尾注文本 Char1"/>
    <w:qFormat/>
    <w:uiPriority w:val="99"/>
    <w:rPr>
      <w:kern w:val="2"/>
      <w:sz w:val="24"/>
    </w:rPr>
  </w:style>
  <w:style w:type="character" w:customStyle="1" w:styleId="176">
    <w:name w:val="尾注文本 Char"/>
    <w:basedOn w:val="60"/>
    <w:link w:val="37"/>
    <w:qFormat/>
    <w:locked/>
    <w:uiPriority w:val="99"/>
    <w:rPr>
      <w:rFonts w:cs="Times New Roman"/>
    </w:rPr>
  </w:style>
  <w:style w:type="character" w:customStyle="1" w:styleId="177">
    <w:name w:val="font01"/>
    <w:basedOn w:val="60"/>
    <w:qFormat/>
    <w:uiPriority w:val="99"/>
    <w:rPr>
      <w:rFonts w:ascii="宋体" w:hAnsi="宋体" w:eastAsia="宋体" w:cs="宋体"/>
      <w:color w:val="000000"/>
      <w:sz w:val="24"/>
      <w:szCs w:val="24"/>
      <w:u w:val="none"/>
      <w:vertAlign w:val="superscript"/>
    </w:rPr>
  </w:style>
  <w:style w:type="character" w:customStyle="1" w:styleId="178">
    <w:name w:val="font61"/>
    <w:qFormat/>
    <w:uiPriority w:val="0"/>
    <w:rPr>
      <w:rFonts w:ascii="宋体" w:hAnsi="宋体" w:eastAsia="宋体"/>
      <w:b/>
      <w:color w:val="000000"/>
      <w:sz w:val="20"/>
      <w:u w:val="none"/>
    </w:rPr>
  </w:style>
  <w:style w:type="character" w:customStyle="1" w:styleId="179">
    <w:name w:val="正文缩进2格 Char"/>
    <w:link w:val="180"/>
    <w:qFormat/>
    <w:locked/>
    <w:uiPriority w:val="99"/>
    <w:rPr>
      <w:rFonts w:ascii="仿宋_GB2312" w:hAnsi="宋体" w:eastAsia="仿宋_GB2312"/>
      <w:kern w:val="2"/>
      <w:sz w:val="31"/>
    </w:rPr>
  </w:style>
  <w:style w:type="paragraph" w:customStyle="1" w:styleId="180">
    <w:name w:val="正文缩进2格"/>
    <w:basedOn w:val="1"/>
    <w:link w:val="179"/>
    <w:qFormat/>
    <w:uiPriority w:val="99"/>
    <w:pPr>
      <w:spacing w:line="600" w:lineRule="exact"/>
      <w:ind w:firstLine="639" w:firstLineChars="206"/>
    </w:pPr>
    <w:rPr>
      <w:rFonts w:ascii="仿宋_GB2312" w:hAnsi="宋体" w:eastAsia="仿宋_GB2312"/>
      <w:sz w:val="31"/>
      <w:szCs w:val="20"/>
    </w:rPr>
  </w:style>
  <w:style w:type="character" w:customStyle="1" w:styleId="181">
    <w:name w:val="word21"/>
    <w:qFormat/>
    <w:uiPriority w:val="99"/>
    <w:rPr>
      <w:b/>
      <w:color w:val="194D7C"/>
      <w:spacing w:val="400"/>
      <w:sz w:val="24"/>
    </w:rPr>
  </w:style>
  <w:style w:type="character" w:customStyle="1" w:styleId="182">
    <w:name w:val="content021"/>
    <w:qFormat/>
    <w:uiPriority w:val="99"/>
    <w:rPr>
      <w:color w:val="444444"/>
      <w:spacing w:val="330"/>
      <w:sz w:val="21"/>
      <w:u w:val="none"/>
    </w:rPr>
  </w:style>
  <w:style w:type="character" w:customStyle="1" w:styleId="183">
    <w:name w:val="Char Char5"/>
    <w:qFormat/>
    <w:uiPriority w:val="99"/>
    <w:rPr>
      <w:rFonts w:ascii="Times New Roman" w:hAnsi="Times New Roman" w:eastAsia="宋体"/>
      <w:sz w:val="18"/>
    </w:rPr>
  </w:style>
  <w:style w:type="character" w:customStyle="1" w:styleId="184">
    <w:name w:val="正文首行缩进 Char"/>
    <w:qFormat/>
    <w:uiPriority w:val="99"/>
    <w:rPr>
      <w:rFonts w:ascii="宋体"/>
      <w:color w:val="000000"/>
      <w:kern w:val="2"/>
      <w:sz w:val="32"/>
    </w:rPr>
  </w:style>
  <w:style w:type="character" w:customStyle="1" w:styleId="185">
    <w:name w:val="hei12"/>
    <w:basedOn w:val="60"/>
    <w:qFormat/>
    <w:uiPriority w:val="99"/>
    <w:rPr>
      <w:rFonts w:cs="Times New Roman"/>
    </w:rPr>
  </w:style>
  <w:style w:type="character" w:customStyle="1" w:styleId="186">
    <w:name w:val="ca-121"/>
    <w:qFormat/>
    <w:uiPriority w:val="0"/>
    <w:rPr>
      <w:rFonts w:ascii="宋体" w:hAnsi="宋体" w:eastAsia="宋体"/>
      <w:sz w:val="21"/>
    </w:rPr>
  </w:style>
  <w:style w:type="character" w:customStyle="1" w:styleId="187">
    <w:name w:val="font31"/>
    <w:qFormat/>
    <w:uiPriority w:val="99"/>
    <w:rPr>
      <w:rFonts w:ascii="宋体" w:hAnsi="宋体" w:eastAsia="宋体"/>
      <w:color w:val="000000"/>
      <w:sz w:val="18"/>
      <w:u w:val="none"/>
    </w:rPr>
  </w:style>
  <w:style w:type="character" w:customStyle="1" w:styleId="188">
    <w:name w:val="z21"/>
    <w:qFormat/>
    <w:uiPriority w:val="99"/>
    <w:rPr>
      <w:color w:val="000000"/>
      <w:spacing w:val="255"/>
      <w:sz w:val="18"/>
    </w:rPr>
  </w:style>
  <w:style w:type="character" w:customStyle="1" w:styleId="189">
    <w:name w:val="标题 Char"/>
    <w:qFormat/>
    <w:uiPriority w:val="99"/>
    <w:rPr>
      <w:rFonts w:ascii="Arial" w:hAnsi="Arial"/>
      <w:b/>
      <w:sz w:val="32"/>
    </w:rPr>
  </w:style>
  <w:style w:type="character" w:customStyle="1" w:styleId="190">
    <w:name w:val="样式 目录 2 + 宋体 Char"/>
    <w:link w:val="191"/>
    <w:qFormat/>
    <w:locked/>
    <w:uiPriority w:val="99"/>
    <w:rPr>
      <w:rFonts w:ascii="宋体" w:eastAsia="宋体"/>
      <w:sz w:val="28"/>
    </w:rPr>
  </w:style>
  <w:style w:type="paragraph" w:customStyle="1" w:styleId="191">
    <w:name w:val="样式 目录 2 + 宋体"/>
    <w:basedOn w:val="27"/>
    <w:next w:val="27"/>
    <w:link w:val="190"/>
    <w:qFormat/>
    <w:uiPriority w:val="99"/>
    <w:pPr>
      <w:widowControl w:val="0"/>
      <w:spacing w:after="120"/>
      <w:jc w:val="both"/>
    </w:pPr>
    <w:rPr>
      <w:rFonts w:ascii="宋体" w:hAnsi="宋体"/>
      <w:sz w:val="28"/>
    </w:rPr>
  </w:style>
  <w:style w:type="character" w:customStyle="1" w:styleId="192">
    <w:name w:val="abcde1"/>
    <w:qFormat/>
    <w:uiPriority w:val="99"/>
    <w:rPr>
      <w:spacing w:val="400"/>
      <w:sz w:val="26"/>
    </w:rPr>
  </w:style>
  <w:style w:type="paragraph" w:customStyle="1" w:styleId="193">
    <w:name w:val="Char1"/>
    <w:basedOn w:val="1"/>
    <w:qFormat/>
    <w:uiPriority w:val="99"/>
    <w:rPr>
      <w:rFonts w:ascii="Tahoma" w:hAnsi="Tahoma"/>
      <w:sz w:val="24"/>
      <w:szCs w:val="20"/>
    </w:rPr>
  </w:style>
  <w:style w:type="paragraph" w:customStyle="1" w:styleId="194">
    <w:name w:val="xl117"/>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5">
    <w:name w:val="Char Char1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196">
    <w:name w:val="正文 New New"/>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97">
    <w:name w:val="样式3"/>
    <w:qFormat/>
    <w:uiPriority w:val="99"/>
    <w:pPr>
      <w:spacing w:line="300" w:lineRule="auto"/>
    </w:pPr>
    <w:rPr>
      <w:rFonts w:ascii="Times New Roman" w:hAnsi="Times New Roman" w:eastAsia="宋体" w:cs="Times New Roman"/>
      <w:lang w:val="en-US" w:eastAsia="zh-CN" w:bidi="ar-SA"/>
    </w:rPr>
  </w:style>
  <w:style w:type="paragraph" w:customStyle="1" w:styleId="198">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199">
    <w:name w:val="表项"/>
    <w:next w:val="200"/>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200">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201">
    <w:name w:val="xl43"/>
    <w:basedOn w:val="1"/>
    <w:qFormat/>
    <w:uiPriority w:val="99"/>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02">
    <w:name w:val="Block"/>
    <w:basedOn w:val="1"/>
    <w:next w:val="169"/>
    <w:qFormat/>
    <w:uiPriority w:val="99"/>
    <w:pPr>
      <w:tabs>
        <w:tab w:val="left" w:pos="0"/>
      </w:tabs>
    </w:pPr>
    <w:rPr>
      <w:rFonts w:ascii="Arial" w:hAnsi="Arial" w:eastAsia="楷体_GB2312"/>
      <w:color w:val="000080"/>
      <w:sz w:val="28"/>
      <w:szCs w:val="28"/>
    </w:rPr>
  </w:style>
  <w:style w:type="paragraph" w:customStyle="1" w:styleId="203">
    <w:name w:val="p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04">
    <w:name w:val="样式 标题 5 + 段前: 0.5 行 段后: 0.5 行"/>
    <w:basedOn w:val="8"/>
    <w:qFormat/>
    <w:uiPriority w:val="99"/>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205">
    <w:name w:val="样式5"/>
    <w:basedOn w:val="165"/>
    <w:qFormat/>
    <w:uiPriority w:val="99"/>
    <w:pPr>
      <w:snapToGrid w:val="0"/>
      <w:spacing w:line="360" w:lineRule="auto"/>
      <w:ind w:firstLine="456" w:firstLineChars="200"/>
      <w:jc w:val="left"/>
    </w:pPr>
    <w:rPr>
      <w:rFonts w:ascii="楷体_GB2312" w:hAnsi="楷体_GB2312" w:eastAsia="楷体_GB2312" w:cs="宋体"/>
      <w:b/>
      <w:spacing w:val="-6"/>
    </w:rPr>
  </w:style>
  <w:style w:type="paragraph" w:customStyle="1" w:styleId="206">
    <w:name w:val="样式 标题 3H3h3h31第二层条3Bold Headbh章标题1小标题level_3PIM 3Lev...2"/>
    <w:basedOn w:val="6"/>
    <w:qFormat/>
    <w:uiPriority w:val="99"/>
    <w:pPr>
      <w:tabs>
        <w:tab w:val="left" w:pos="1740"/>
      </w:tabs>
      <w:spacing w:beforeLines="50" w:afterLines="50" w:line="540" w:lineRule="auto"/>
      <w:ind w:left="1740" w:hanging="420"/>
    </w:pPr>
    <w:rPr>
      <w:rFonts w:ascii="宋体" w:hAnsi="宋体" w:eastAsia="黑体" w:cs="宋体"/>
      <w:b w:val="0"/>
      <w:szCs w:val="20"/>
    </w:rPr>
  </w:style>
  <w:style w:type="paragraph" w:customStyle="1" w:styleId="207">
    <w:name w:val="_Style 56"/>
    <w:basedOn w:val="1"/>
    <w:qFormat/>
    <w:uiPriority w:val="99"/>
    <w:pPr>
      <w:ind w:firstLine="420" w:firstLineChars="200"/>
    </w:pPr>
    <w:rPr>
      <w:rFonts w:ascii="Calibri" w:hAnsi="Calibri"/>
      <w:szCs w:val="22"/>
    </w:rPr>
  </w:style>
  <w:style w:type="paragraph" w:customStyle="1" w:styleId="208">
    <w:name w:val="列出段落2"/>
    <w:basedOn w:val="1"/>
    <w:qFormat/>
    <w:uiPriority w:val="99"/>
    <w:pPr>
      <w:ind w:firstLine="420" w:firstLineChars="200"/>
    </w:pPr>
  </w:style>
  <w:style w:type="paragraph" w:customStyle="1" w:styleId="209">
    <w:name w:val="样式 样式 标题 3H3h3h31Heading 3 - old3Heading 3 hidden2hh32Sect... + ..."/>
    <w:basedOn w:val="1"/>
    <w:qFormat/>
    <w:uiPriority w:val="99"/>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210">
    <w:name w:val="xl51"/>
    <w:basedOn w:val="1"/>
    <w:qFormat/>
    <w:uiPriority w:val="99"/>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11">
    <w:name w:val="CM2"/>
    <w:basedOn w:val="126"/>
    <w:next w:val="126"/>
    <w:qFormat/>
    <w:uiPriority w:val="99"/>
    <w:pPr>
      <w:spacing w:line="623" w:lineRule="atLeast"/>
    </w:pPr>
    <w:rPr>
      <w:rFonts w:ascii=".a..DD.." w:hAnsi="Times New Roman" w:eastAsia=".a..DD.." w:cs="Times New Roman"/>
      <w:color w:val="auto"/>
    </w:rPr>
  </w:style>
  <w:style w:type="paragraph" w:customStyle="1" w:styleId="212">
    <w:name w:val="Char1 Char Char Char"/>
    <w:basedOn w:val="1"/>
    <w:qFormat/>
    <w:uiPriority w:val="99"/>
    <w:rPr>
      <w:rFonts w:ascii="Tahoma" w:hAnsi="Tahoma"/>
      <w:sz w:val="24"/>
      <w:szCs w:val="20"/>
    </w:rPr>
  </w:style>
  <w:style w:type="paragraph" w:customStyle="1" w:styleId="213">
    <w:name w:val="zw_12_25"/>
    <w:basedOn w:val="1"/>
    <w:qFormat/>
    <w:uiPriority w:val="99"/>
    <w:pPr>
      <w:widowControl/>
      <w:spacing w:before="100" w:beforeAutospacing="1" w:after="100" w:afterAutospacing="1" w:line="300" w:lineRule="atLeast"/>
      <w:jc w:val="left"/>
    </w:pPr>
    <w:rPr>
      <w:color w:val="333399"/>
      <w:kern w:val="0"/>
      <w:sz w:val="23"/>
      <w:szCs w:val="23"/>
    </w:rPr>
  </w:style>
  <w:style w:type="paragraph" w:customStyle="1" w:styleId="214">
    <w:name w:val="样式 标题 4 + 段前: 0.5 行 段后: 0.5 行 行距: 多倍行距 1.57 字行"/>
    <w:basedOn w:val="7"/>
    <w:qFormat/>
    <w:uiPriority w:val="99"/>
    <w:pPr>
      <w:tabs>
        <w:tab w:val="left" w:pos="2160"/>
      </w:tabs>
      <w:spacing w:beforeLines="50" w:afterLines="50"/>
      <w:ind w:left="2160" w:hanging="420"/>
    </w:pPr>
    <w:rPr>
      <w:rFonts w:cs="宋体"/>
      <w:b w:val="0"/>
      <w:sz w:val="30"/>
      <w:szCs w:val="30"/>
    </w:rPr>
  </w:style>
  <w:style w:type="paragraph" w:customStyle="1" w:styleId="215">
    <w:name w:val="xl10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正文缩进2"/>
    <w:basedOn w:val="1"/>
    <w:qFormat/>
    <w:uiPriority w:val="99"/>
    <w:pPr>
      <w:spacing w:line="360" w:lineRule="auto"/>
      <w:ind w:firstLine="200" w:firstLineChars="200"/>
    </w:pPr>
  </w:style>
  <w:style w:type="paragraph" w:customStyle="1" w:styleId="217">
    <w:name w:val="打印正文1"/>
    <w:basedOn w:val="1"/>
    <w:qFormat/>
    <w:uiPriority w:val="99"/>
    <w:pPr>
      <w:tabs>
        <w:tab w:val="left" w:pos="705"/>
        <w:tab w:val="left" w:pos="1440"/>
      </w:tabs>
      <w:spacing w:line="480" w:lineRule="atLeast"/>
      <w:ind w:left="1440" w:hanging="360"/>
    </w:pPr>
    <w:rPr>
      <w:rFonts w:ascii="宋体" w:hAnsi="宋体"/>
      <w:bCs/>
      <w:spacing w:val="10"/>
      <w:kern w:val="28"/>
      <w:szCs w:val="21"/>
    </w:rPr>
  </w:style>
  <w:style w:type="paragraph" w:customStyle="1" w:styleId="218">
    <w:name w:val="表身（中）"/>
    <w:basedOn w:val="200"/>
    <w:qFormat/>
    <w:uiPriority w:val="99"/>
    <w:pPr>
      <w:jc w:val="center"/>
    </w:pPr>
  </w:style>
  <w:style w:type="paragraph" w:customStyle="1" w:styleId="219">
    <w:name w:val="项目编号1级"/>
    <w:basedOn w:val="216"/>
    <w:qFormat/>
    <w:uiPriority w:val="99"/>
    <w:pPr>
      <w:tabs>
        <w:tab w:val="left" w:pos="840"/>
      </w:tabs>
      <w:ind w:left="840" w:hanging="420" w:firstLineChars="0"/>
    </w:pPr>
  </w:style>
  <w:style w:type="paragraph" w:customStyle="1" w:styleId="220">
    <w:name w:val="一级无"/>
    <w:basedOn w:val="221"/>
    <w:qFormat/>
    <w:uiPriority w:val="99"/>
    <w:pPr>
      <w:spacing w:beforeLines="0" w:afterLines="0"/>
    </w:pPr>
    <w:rPr>
      <w:rFonts w:ascii="宋体" w:eastAsia="宋体"/>
    </w:rPr>
  </w:style>
  <w:style w:type="paragraph" w:customStyle="1" w:styleId="221">
    <w:name w:val="一级条标题"/>
    <w:next w:val="1"/>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22">
    <w:name w:val="fou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23">
    <w:name w:val="text_12_black"/>
    <w:basedOn w:val="1"/>
    <w:qFormat/>
    <w:uiPriority w:val="99"/>
    <w:pPr>
      <w:widowControl/>
      <w:spacing w:before="100" w:beforeAutospacing="1" w:after="100" w:afterAutospacing="1" w:line="300" w:lineRule="atLeast"/>
      <w:jc w:val="left"/>
    </w:pPr>
    <w:rPr>
      <w:rFonts w:ascii="??" w:hAnsi="??" w:cs="宋体"/>
      <w:color w:val="333333"/>
      <w:kern w:val="0"/>
      <w:sz w:val="18"/>
      <w:szCs w:val="18"/>
    </w:rPr>
  </w:style>
  <w:style w:type="paragraph" w:customStyle="1" w:styleId="224">
    <w:name w:val="正"/>
    <w:basedOn w:val="1"/>
    <w:qFormat/>
    <w:uiPriority w:val="99"/>
    <w:pPr>
      <w:ind w:firstLine="525"/>
    </w:pPr>
    <w:rPr>
      <w:spacing w:val="20"/>
      <w:szCs w:val="20"/>
    </w:rPr>
  </w:style>
  <w:style w:type="paragraph" w:customStyle="1" w:styleId="225">
    <w:name w:val="公司名称"/>
    <w:basedOn w:val="1"/>
    <w:qFormat/>
    <w:uiPriority w:val="99"/>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226">
    <w:name w:val="样式11"/>
    <w:basedOn w:val="1"/>
    <w:qFormat/>
    <w:uiPriority w:val="99"/>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227">
    <w:name w:val="不缩进"/>
    <w:basedOn w:val="1"/>
    <w:qFormat/>
    <w:uiPriority w:val="99"/>
    <w:pPr>
      <w:spacing w:line="360" w:lineRule="auto"/>
      <w:jc w:val="center"/>
    </w:pPr>
    <w:rPr>
      <w:b/>
      <w:bCs/>
      <w:sz w:val="28"/>
      <w:szCs w:val="21"/>
    </w:rPr>
  </w:style>
  <w:style w:type="paragraph" w:customStyle="1" w:styleId="228">
    <w:name w:val="font6"/>
    <w:basedOn w:val="1"/>
    <w:qFormat/>
    <w:uiPriority w:val="99"/>
    <w:pPr>
      <w:widowControl/>
      <w:spacing w:before="100" w:beforeAutospacing="1" w:after="100" w:afterAutospacing="1"/>
      <w:jc w:val="left"/>
    </w:pPr>
    <w:rPr>
      <w:rFonts w:eastAsia="Arial Unicode MS"/>
      <w:kern w:val="0"/>
      <w:sz w:val="24"/>
    </w:rPr>
  </w:style>
  <w:style w:type="paragraph" w:customStyle="1" w:styleId="229">
    <w:name w:val="小标"/>
    <w:basedOn w:val="1"/>
    <w:qFormat/>
    <w:uiPriority w:val="99"/>
    <w:rPr>
      <w:rFonts w:ascii="黑体" w:eastAsia="黑体"/>
      <w:spacing w:val="20"/>
      <w:szCs w:val="20"/>
    </w:rPr>
  </w:style>
  <w:style w:type="paragraph" w:customStyle="1" w:styleId="230">
    <w:name w:val="xl1062"/>
    <w:basedOn w:val="1"/>
    <w:qFormat/>
    <w:uiPriority w:val="99"/>
    <w:pPr>
      <w:widowControl/>
      <w:spacing w:before="100" w:beforeAutospacing="1" w:after="100" w:afterAutospacing="1"/>
      <w:jc w:val="center"/>
    </w:pPr>
    <w:rPr>
      <w:rFonts w:ascii="宋体" w:hAnsi="宋体" w:cs="宋体"/>
      <w:b/>
      <w:bCs/>
      <w:kern w:val="0"/>
      <w:sz w:val="32"/>
      <w:szCs w:val="32"/>
    </w:rPr>
  </w:style>
  <w:style w:type="paragraph" w:customStyle="1" w:styleId="231">
    <w:name w:val="正文悬挂缩进4"/>
    <w:basedOn w:val="1"/>
    <w:qFormat/>
    <w:uiPriority w:val="99"/>
    <w:pPr>
      <w:spacing w:line="360" w:lineRule="auto"/>
      <w:ind w:left="839"/>
    </w:pPr>
  </w:style>
  <w:style w:type="paragraph" w:customStyle="1" w:styleId="232">
    <w:name w:val="xl10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233">
    <w:name w:val="警告"/>
    <w:basedOn w:val="1"/>
    <w:next w:val="169"/>
    <w:qFormat/>
    <w:uiPriority w:val="99"/>
    <w:pPr>
      <w:shd w:val="clear" w:color="auto" w:fill="FFD1D1"/>
      <w:tabs>
        <w:tab w:val="left" w:pos="360"/>
        <w:tab w:val="left" w:pos="1800"/>
      </w:tabs>
      <w:spacing w:beforeLines="100" w:afterLines="100"/>
      <w:ind w:left="425" w:hanging="425" w:firstLineChars="200"/>
      <w:jc w:val="left"/>
    </w:pPr>
    <w:rPr>
      <w:rFonts w:ascii="Tahoma" w:hAnsi="Tahoma" w:eastAsia="楷体_GB2312"/>
      <w:color w:val="000000"/>
      <w:sz w:val="28"/>
      <w:szCs w:val="21"/>
    </w:rPr>
  </w:style>
  <w:style w:type="paragraph" w:customStyle="1" w:styleId="234">
    <w:name w:val="样式 标题 1 + 非加粗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bCs w:val="0"/>
      <w:szCs w:val="20"/>
    </w:rPr>
  </w:style>
  <w:style w:type="paragraph" w:customStyle="1" w:styleId="235">
    <w:name w:val="xl106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36">
    <w:name w:val="样式 标题 1章节标题b1 + 段前: 6 磅"/>
    <w:basedOn w:val="3"/>
    <w:qFormat/>
    <w:uiPriority w:val="99"/>
    <w:pPr>
      <w:widowControl w:val="0"/>
      <w:tabs>
        <w:tab w:val="left" w:pos="1320"/>
        <w:tab w:val="left" w:pos="1740"/>
      </w:tabs>
      <w:spacing w:before="0" w:after="0" w:line="360" w:lineRule="auto"/>
      <w:jc w:val="both"/>
    </w:pPr>
    <w:rPr>
      <w:rFonts w:ascii="宋体" w:hAnsi="宋体" w:cs="宋体"/>
      <w:color w:val="000000"/>
      <w:kern w:val="2"/>
      <w:sz w:val="28"/>
      <w:szCs w:val="21"/>
    </w:rPr>
  </w:style>
  <w:style w:type="paragraph" w:customStyle="1" w:styleId="237">
    <w:name w:val="xl65"/>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238">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样式 标题 + 段前: 0.5 行 段后: 0.5 行"/>
    <w:basedOn w:val="53"/>
    <w:qFormat/>
    <w:uiPriority w:val="99"/>
  </w:style>
  <w:style w:type="paragraph" w:customStyle="1" w:styleId="240">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241">
    <w:name w:val="xl8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42">
    <w:name w:val="xl10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43">
    <w:name w:val="表格标题1"/>
    <w:basedOn w:val="244"/>
    <w:qFormat/>
    <w:uiPriority w:val="99"/>
    <w:pPr>
      <w:tabs>
        <w:tab w:val="left" w:pos="1620"/>
      </w:tabs>
      <w:ind w:left="1620" w:leftChars="600" w:hanging="360" w:hangingChars="200"/>
      <w:jc w:val="both"/>
      <w:textAlignment w:val="bottom"/>
    </w:pPr>
    <w:rPr>
      <w:rFonts w:ascii="Times New Roman"/>
      <w:sz w:val="21"/>
      <w:szCs w:val="21"/>
    </w:rPr>
  </w:style>
  <w:style w:type="paragraph" w:customStyle="1" w:styleId="244">
    <w:name w:val="表格"/>
    <w:basedOn w:val="1"/>
    <w:qFormat/>
    <w:uiPriority w:val="99"/>
    <w:pPr>
      <w:adjustRightInd w:val="0"/>
      <w:spacing w:before="60" w:after="60"/>
      <w:jc w:val="center"/>
      <w:textAlignment w:val="baseline"/>
    </w:pPr>
    <w:rPr>
      <w:rFonts w:ascii="宋体"/>
      <w:kern w:val="0"/>
      <w:sz w:val="24"/>
      <w:szCs w:val="20"/>
    </w:rPr>
  </w:style>
  <w:style w:type="paragraph" w:customStyle="1" w:styleId="245">
    <w:name w:val="xl100"/>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6">
    <w:name w:val="xl29"/>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47">
    <w:name w:val="样式2"/>
    <w:basedOn w:val="1"/>
    <w:qFormat/>
    <w:uiPriority w:val="99"/>
    <w:pPr>
      <w:tabs>
        <w:tab w:val="left" w:pos="360"/>
      </w:tabs>
      <w:spacing w:line="360" w:lineRule="auto"/>
      <w:ind w:firstLine="174" w:firstLineChars="174"/>
      <w:jc w:val="left"/>
    </w:pPr>
    <w:rPr>
      <w:rFonts w:eastAsia="楷体_GB2312"/>
      <w:sz w:val="24"/>
      <w:szCs w:val="28"/>
    </w:rPr>
  </w:style>
  <w:style w:type="paragraph" w:customStyle="1" w:styleId="248">
    <w:name w:val="xl94"/>
    <w:basedOn w:val="1"/>
    <w:qFormat/>
    <w:uiPriority w:val="99"/>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样式 标题 2 + 段前: 0.5 行 段后: 0.5 行"/>
    <w:basedOn w:val="4"/>
    <w:qFormat/>
    <w:uiPriority w:val="99"/>
    <w:pPr>
      <w:tabs>
        <w:tab w:val="left" w:pos="1320"/>
      </w:tabs>
      <w:spacing w:beforeLines="50" w:afterLines="50" w:line="360" w:lineRule="auto"/>
      <w:jc w:val="left"/>
    </w:pPr>
    <w:rPr>
      <w:rFonts w:cs="宋体"/>
      <w:b w:val="0"/>
      <w:szCs w:val="20"/>
    </w:rPr>
  </w:style>
  <w:style w:type="paragraph" w:customStyle="1" w:styleId="250">
    <w:name w:val="正文1"/>
    <w:basedOn w:val="1"/>
    <w:qFormat/>
    <w:uiPriority w:val="99"/>
    <w:pPr>
      <w:spacing w:line="360" w:lineRule="auto"/>
      <w:ind w:firstLine="200" w:firstLineChars="200"/>
    </w:pPr>
  </w:style>
  <w:style w:type="paragraph" w:customStyle="1" w:styleId="251">
    <w:name w:val="xl41"/>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2">
    <w:name w:val="xl50"/>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3">
    <w:name w:val="小标题 1"/>
    <w:basedOn w:val="1"/>
    <w:qFormat/>
    <w:uiPriority w:val="99"/>
    <w:pPr>
      <w:autoSpaceDE w:val="0"/>
      <w:autoSpaceDN w:val="0"/>
      <w:adjustRightInd w:val="0"/>
      <w:spacing w:line="360" w:lineRule="atLeast"/>
    </w:pPr>
    <w:rPr>
      <w:rFonts w:ascii="文鼎粗黑" w:eastAsia="文鼎粗黑"/>
      <w:kern w:val="0"/>
      <w:sz w:val="22"/>
      <w:szCs w:val="20"/>
    </w:rPr>
  </w:style>
  <w:style w:type="paragraph" w:customStyle="1" w:styleId="254">
    <w:name w:val="xl119"/>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55">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56">
    <w:name w:val="xl39"/>
    <w:basedOn w:val="1"/>
    <w:qFormat/>
    <w:uiPriority w:val="99"/>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57">
    <w:name w:val="样式 标题 6 + 段前: 0.5 行 段后: 0.5 行"/>
    <w:basedOn w:val="9"/>
    <w:qFormat/>
    <w:uiPriority w:val="99"/>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258">
    <w:name w:val="xl9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9">
    <w:name w:val="标准"/>
    <w:basedOn w:val="1"/>
    <w:qFormat/>
    <w:uiPriority w:val="99"/>
    <w:pPr>
      <w:autoSpaceDE w:val="0"/>
      <w:autoSpaceDN w:val="0"/>
      <w:adjustRightInd w:val="0"/>
      <w:ind w:firstLine="600"/>
      <w:textAlignment w:val="baseline"/>
    </w:pPr>
    <w:rPr>
      <w:kern w:val="0"/>
      <w:sz w:val="28"/>
      <w:szCs w:val="20"/>
    </w:rPr>
  </w:style>
  <w:style w:type="paragraph" w:customStyle="1" w:styleId="260">
    <w:name w:val="项目编号2级"/>
    <w:basedOn w:val="219"/>
    <w:qFormat/>
    <w:uiPriority w:val="99"/>
  </w:style>
  <w:style w:type="paragraph" w:customStyle="1" w:styleId="261">
    <w:name w:val="标题3"/>
    <w:basedOn w:val="1"/>
    <w:qFormat/>
    <w:uiPriority w:val="99"/>
    <w:pPr>
      <w:spacing w:beforeLines="50" w:afterLines="50" w:line="300" w:lineRule="exact"/>
    </w:pPr>
    <w:rPr>
      <w:b/>
      <w:bCs/>
    </w:rPr>
  </w:style>
  <w:style w:type="paragraph" w:customStyle="1" w:styleId="262">
    <w:name w:val="xl11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3">
    <w:name w:val="书目1"/>
    <w:basedOn w:val="1"/>
    <w:next w:val="1"/>
    <w:qFormat/>
    <w:uiPriority w:val="99"/>
    <w:pPr>
      <w:spacing w:line="360" w:lineRule="auto"/>
      <w:ind w:firstLine="200" w:firstLineChars="200"/>
      <w:jc w:val="left"/>
    </w:pPr>
    <w:rPr>
      <w:sz w:val="24"/>
    </w:rPr>
  </w:style>
  <w:style w:type="paragraph" w:customStyle="1" w:styleId="264">
    <w:name w:val="正文居中小5"/>
    <w:basedOn w:val="1"/>
    <w:qFormat/>
    <w:uiPriority w:val="99"/>
    <w:pPr>
      <w:spacing w:line="360" w:lineRule="auto"/>
      <w:jc w:val="center"/>
    </w:pPr>
    <w:rPr>
      <w:rFonts w:ascii="Arial" w:hAnsi="Arial"/>
      <w:sz w:val="18"/>
    </w:rPr>
  </w:style>
  <w:style w:type="paragraph" w:customStyle="1" w:styleId="265">
    <w:name w:val="样式 样式 标题 + 段前: 0.5 行 段后: 0.5 行 + 段前: 0.5 行 段后: 0.5 行"/>
    <w:basedOn w:val="239"/>
    <w:qFormat/>
    <w:uiPriority w:val="99"/>
    <w:pPr>
      <w:spacing w:beforeLines="50" w:afterLines="50" w:line="360" w:lineRule="auto"/>
    </w:pPr>
    <w:rPr>
      <w:rFonts w:eastAsia="黑体" w:cs="宋体"/>
      <w:sz w:val="72"/>
      <w:szCs w:val="20"/>
      <w:u w:val="double"/>
    </w:rPr>
  </w:style>
  <w:style w:type="paragraph" w:customStyle="1" w:styleId="266">
    <w:name w:val="Char111"/>
    <w:basedOn w:val="1"/>
    <w:qFormat/>
    <w:uiPriority w:val="99"/>
  </w:style>
  <w:style w:type="paragraph" w:customStyle="1" w:styleId="267">
    <w:name w:val="xl10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68">
    <w:name w:val="xl97"/>
    <w:basedOn w:val="1"/>
    <w:qFormat/>
    <w:uiPriority w:val="99"/>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269">
    <w:name w:val="Figure Description"/>
    <w:basedOn w:val="1"/>
    <w:next w:val="169"/>
    <w:qFormat/>
    <w:uiPriority w:val="99"/>
    <w:pPr>
      <w:keepNext/>
      <w:keepLines/>
      <w:spacing w:afterLines="100" w:line="360" w:lineRule="auto"/>
      <w:jc w:val="center"/>
    </w:pPr>
    <w:rPr>
      <w:rFonts w:ascii="Tahoma" w:hAnsi="Tahoma"/>
      <w:sz w:val="24"/>
    </w:rPr>
  </w:style>
  <w:style w:type="paragraph" w:customStyle="1" w:styleId="270">
    <w:name w:val="lgh排序1"/>
    <w:basedOn w:val="33"/>
    <w:qFormat/>
    <w:uiPriority w:val="99"/>
    <w:pPr>
      <w:tabs>
        <w:tab w:val="left" w:pos="360"/>
      </w:tabs>
      <w:spacing w:line="360" w:lineRule="auto"/>
      <w:ind w:firstLine="480" w:firstLineChars="200"/>
    </w:pPr>
    <w:rPr>
      <w:rFonts w:hAnsi="宋体"/>
      <w:sz w:val="24"/>
    </w:rPr>
  </w:style>
  <w:style w:type="paragraph" w:customStyle="1" w:styleId="271">
    <w:name w:val="Char21"/>
    <w:basedOn w:val="1"/>
    <w:qFormat/>
    <w:uiPriority w:val="99"/>
  </w:style>
  <w:style w:type="paragraph" w:customStyle="1" w:styleId="272">
    <w:name w:val="xl10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73">
    <w:name w:val="biaoti1"/>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4">
    <w:name w:val="xl7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text_12_subject"/>
    <w:basedOn w:val="1"/>
    <w:qFormat/>
    <w:uiPriority w:val="99"/>
    <w:pPr>
      <w:widowControl/>
      <w:spacing w:before="100" w:beforeAutospacing="1" w:after="100" w:afterAutospacing="1"/>
      <w:jc w:val="left"/>
    </w:pPr>
    <w:rPr>
      <w:rFonts w:ascii="??" w:hAnsi="??" w:cs="宋体"/>
      <w:b/>
      <w:bCs/>
      <w:color w:val="006699"/>
      <w:kern w:val="0"/>
      <w:sz w:val="18"/>
      <w:szCs w:val="18"/>
    </w:rPr>
  </w:style>
  <w:style w:type="paragraph" w:customStyle="1" w:styleId="276">
    <w:name w:val="xl89"/>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277">
    <w:name w:val="style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8">
    <w:name w:val="正文居中"/>
    <w:basedOn w:val="1"/>
    <w:next w:val="36"/>
    <w:qFormat/>
    <w:uiPriority w:val="99"/>
    <w:pPr>
      <w:adjustRightInd w:val="0"/>
      <w:snapToGrid w:val="0"/>
      <w:ind w:firstLine="480" w:firstLineChars="200"/>
    </w:pPr>
    <w:rPr>
      <w:rFonts w:ascii="宋体" w:hAnsi="宋体"/>
      <w:sz w:val="24"/>
    </w:rPr>
  </w:style>
  <w:style w:type="paragraph" w:customStyle="1" w:styleId="279">
    <w:name w:val="表格正文2"/>
    <w:basedOn w:val="1"/>
    <w:qFormat/>
    <w:uiPriority w:val="99"/>
    <w:pPr>
      <w:adjustRightInd w:val="0"/>
      <w:snapToGrid w:val="0"/>
      <w:spacing w:line="400" w:lineRule="atLeast"/>
      <w:jc w:val="left"/>
    </w:pPr>
    <w:rPr>
      <w:sz w:val="24"/>
      <w:szCs w:val="20"/>
    </w:rPr>
  </w:style>
  <w:style w:type="paragraph" w:customStyle="1" w:styleId="280">
    <w:name w:val="复选框1"/>
    <w:basedOn w:val="1"/>
    <w:qFormat/>
    <w:uiPriority w:val="99"/>
    <w:pPr>
      <w:widowControl/>
      <w:spacing w:before="360" w:after="360"/>
      <w:jc w:val="left"/>
    </w:pPr>
    <w:rPr>
      <w:kern w:val="0"/>
      <w:sz w:val="20"/>
      <w:szCs w:val="20"/>
    </w:rPr>
  </w:style>
  <w:style w:type="paragraph" w:customStyle="1" w:styleId="281">
    <w:name w:val="xl1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82">
    <w:name w:val="xl47"/>
    <w:basedOn w:val="1"/>
    <w:qFormat/>
    <w:uiPriority w:val="99"/>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283">
    <w:name w:val="样式4"/>
    <w:basedOn w:val="1"/>
    <w:qFormat/>
    <w:uiPriority w:val="99"/>
    <w:pPr>
      <w:tabs>
        <w:tab w:val="left" w:pos="420"/>
      </w:tabs>
      <w:spacing w:line="440" w:lineRule="exact"/>
      <w:ind w:left="420" w:hanging="420"/>
      <w:jc w:val="left"/>
    </w:pPr>
    <w:rPr>
      <w:rFonts w:eastAsia="楷体_GB2312"/>
      <w:b/>
      <w:sz w:val="24"/>
    </w:rPr>
  </w:style>
  <w:style w:type="paragraph" w:customStyle="1" w:styleId="284">
    <w:name w:val="样式 标题 1 + 段前: 0.5 行 段后: 0.5 行"/>
    <w:basedOn w:val="3"/>
    <w:qFormat/>
    <w:uiPriority w:val="99"/>
    <w:pPr>
      <w:pageBreakBefore/>
      <w:widowControl w:val="0"/>
      <w:tabs>
        <w:tab w:val="left" w:pos="840"/>
      </w:tabs>
      <w:spacing w:beforeLines="50" w:afterLines="50" w:line="480" w:lineRule="auto"/>
      <w:ind w:left="840" w:hanging="360"/>
    </w:pPr>
    <w:rPr>
      <w:rFonts w:eastAsia="黑体" w:cs="宋体"/>
      <w:b w:val="0"/>
      <w:szCs w:val="20"/>
    </w:rPr>
  </w:style>
  <w:style w:type="paragraph" w:customStyle="1" w:styleId="285">
    <w:name w:val="xl10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86">
    <w:name w:val="font9"/>
    <w:basedOn w:val="1"/>
    <w:qFormat/>
    <w:uiPriority w:val="99"/>
    <w:pPr>
      <w:widowControl/>
      <w:spacing w:before="100" w:beforeAutospacing="1" w:after="100" w:afterAutospacing="1"/>
      <w:jc w:val="left"/>
    </w:pPr>
    <w:rPr>
      <w:rFonts w:eastAsia="Arial Unicode MS"/>
      <w:b/>
      <w:bCs/>
      <w:kern w:val="0"/>
      <w:sz w:val="32"/>
      <w:szCs w:val="32"/>
    </w:rPr>
  </w:style>
  <w:style w:type="paragraph" w:customStyle="1" w:styleId="287">
    <w:name w:val="文档结构图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288">
    <w:name w:val="xl31"/>
    <w:basedOn w:val="1"/>
    <w:qFormat/>
    <w:uiPriority w:val="99"/>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289">
    <w:name w:val="Char Char Char1 Char"/>
    <w:basedOn w:val="21"/>
    <w:qFormat/>
    <w:uiPriority w:val="99"/>
    <w:pPr>
      <w:adjustRightInd w:val="0"/>
      <w:spacing w:line="436" w:lineRule="exact"/>
      <w:ind w:left="357"/>
      <w:jc w:val="left"/>
      <w:outlineLvl w:val="3"/>
    </w:pPr>
    <w:rPr>
      <w:kern w:val="0"/>
      <w:sz w:val="20"/>
      <w:szCs w:val="20"/>
    </w:rPr>
  </w:style>
  <w:style w:type="paragraph" w:customStyle="1" w:styleId="290">
    <w:name w:val="Body Text 21"/>
    <w:basedOn w:val="1"/>
    <w:qFormat/>
    <w:uiPriority w:val="99"/>
    <w:pPr>
      <w:adjustRightInd w:val="0"/>
      <w:spacing w:line="240" w:lineRule="exact"/>
      <w:textAlignment w:val="baseline"/>
    </w:pPr>
    <w:rPr>
      <w:rFonts w:ascii="宋体"/>
      <w:kern w:val="0"/>
      <w:sz w:val="18"/>
      <w:szCs w:val="20"/>
    </w:rPr>
  </w:style>
  <w:style w:type="paragraph" w:customStyle="1" w:styleId="291">
    <w:name w:val="xl109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2">
    <w:name w:val="样式 样式 标题 2 + 段前: 0.5 行 段后: 0.5 行2 + 段前: 0.5 行 段后: 0.5 行"/>
    <w:basedOn w:val="293"/>
    <w:qFormat/>
    <w:uiPriority w:val="99"/>
    <w:pPr>
      <w:tabs>
        <w:tab w:val="left" w:pos="1320"/>
      </w:tabs>
    </w:pPr>
    <w:rPr>
      <w:b w:val="0"/>
    </w:rPr>
  </w:style>
  <w:style w:type="paragraph" w:customStyle="1" w:styleId="293">
    <w:name w:val="样式 标题 2 + 段前: 0.5 行 段后: 0.5 行2"/>
    <w:basedOn w:val="4"/>
    <w:qFormat/>
    <w:uiPriority w:val="99"/>
    <w:pPr>
      <w:tabs>
        <w:tab w:val="left" w:pos="1320"/>
      </w:tabs>
      <w:spacing w:beforeLines="50" w:afterLines="50" w:line="360" w:lineRule="auto"/>
      <w:jc w:val="left"/>
    </w:pPr>
    <w:rPr>
      <w:rFonts w:cs="宋体"/>
      <w:sz w:val="36"/>
      <w:szCs w:val="20"/>
    </w:rPr>
  </w:style>
  <w:style w:type="paragraph" w:customStyle="1" w:styleId="294">
    <w:name w:val="正文文本 21"/>
    <w:basedOn w:val="1"/>
    <w:qFormat/>
    <w:uiPriority w:val="99"/>
    <w:pPr>
      <w:adjustRightInd w:val="0"/>
      <w:spacing w:line="312" w:lineRule="atLeast"/>
      <w:ind w:firstLine="600"/>
      <w:textAlignment w:val="baseline"/>
    </w:pPr>
    <w:rPr>
      <w:rFonts w:ascii="宋体"/>
      <w:kern w:val="0"/>
      <w:sz w:val="28"/>
      <w:szCs w:val="20"/>
    </w:rPr>
  </w:style>
  <w:style w:type="paragraph" w:customStyle="1" w:styleId="295">
    <w:name w:val="Char2"/>
    <w:basedOn w:val="1"/>
    <w:qFormat/>
    <w:uiPriority w:val="99"/>
    <w:pPr>
      <w:jc w:val="center"/>
    </w:pPr>
    <w:rPr>
      <w:rFonts w:ascii="宋体" w:hAnsi="宋体"/>
      <w:b/>
      <w:szCs w:val="21"/>
    </w:rPr>
  </w:style>
  <w:style w:type="paragraph" w:customStyle="1" w:styleId="296">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英文标号正文"/>
    <w:basedOn w:val="1"/>
    <w:qFormat/>
    <w:uiPriority w:val="99"/>
    <w:pPr>
      <w:widowControl/>
      <w:tabs>
        <w:tab w:val="left" w:pos="425"/>
        <w:tab w:val="left" w:pos="1620"/>
      </w:tabs>
      <w:autoSpaceDE w:val="0"/>
      <w:autoSpaceDN w:val="0"/>
      <w:ind w:left="1620" w:leftChars="600" w:hanging="360" w:hangingChars="200"/>
    </w:pPr>
    <w:rPr>
      <w:kern w:val="0"/>
      <w:sz w:val="24"/>
      <w:szCs w:val="20"/>
    </w:rPr>
  </w:style>
  <w:style w:type="paragraph" w:customStyle="1" w:styleId="298">
    <w:name w:val="xl91"/>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299">
    <w:name w:val="font0"/>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300">
    <w:name w:val="xl10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1">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2">
    <w:name w:val="xl10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3">
    <w:name w:val="样式 标题 3H3h3h31第二层条3Bold Headbh章标题1小标题level_3PIM 3Lev..."/>
    <w:basedOn w:val="6"/>
    <w:qFormat/>
    <w:uiPriority w:val="99"/>
    <w:pPr>
      <w:tabs>
        <w:tab w:val="left" w:pos="1931"/>
      </w:tabs>
      <w:spacing w:before="156" w:after="156" w:line="360" w:lineRule="auto"/>
      <w:ind w:left="1418" w:hanging="567"/>
    </w:pPr>
    <w:rPr>
      <w:rFonts w:eastAsia="楷体_GB2312" w:cs="宋体"/>
      <w:sz w:val="44"/>
      <w:szCs w:val="20"/>
    </w:rPr>
  </w:style>
  <w:style w:type="paragraph" w:customStyle="1" w:styleId="304">
    <w:name w:val="样式 标题 4 + 段前: 0.5 行 段后: 0.5 行1"/>
    <w:basedOn w:val="7"/>
    <w:qFormat/>
    <w:uiPriority w:val="99"/>
    <w:pPr>
      <w:tabs>
        <w:tab w:val="left" w:pos="864"/>
      </w:tabs>
      <w:autoSpaceDE w:val="0"/>
      <w:spacing w:beforeLines="50" w:afterLines="50" w:line="360" w:lineRule="auto"/>
      <w:ind w:left="864" w:hanging="864"/>
    </w:pPr>
    <w:rPr>
      <w:rFonts w:ascii="仿宋_GB2312" w:eastAsia="仿宋_GB2312" w:cs="宋体"/>
      <w:sz w:val="30"/>
      <w:szCs w:val="20"/>
    </w:rPr>
  </w:style>
  <w:style w:type="paragraph" w:customStyle="1" w:styleId="3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30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07">
    <w:name w:val="font7"/>
    <w:basedOn w:val="1"/>
    <w:qFormat/>
    <w:uiPriority w:val="99"/>
    <w:pPr>
      <w:widowControl/>
      <w:spacing w:before="100" w:beforeAutospacing="1" w:after="100" w:afterAutospacing="1"/>
      <w:jc w:val="left"/>
    </w:pPr>
    <w:rPr>
      <w:rFonts w:ascii="宋体" w:hAnsi="宋体" w:cs="Arial Unicode MS"/>
      <w:kern w:val="0"/>
      <w:sz w:val="28"/>
      <w:szCs w:val="28"/>
    </w:rPr>
  </w:style>
  <w:style w:type="paragraph" w:customStyle="1" w:styleId="308">
    <w:name w:val="样式 标题 1H1Header1h1标题4L1bocLevel 1 Topic Heading标书1Secti..."/>
    <w:basedOn w:val="3"/>
    <w:qFormat/>
    <w:uiPriority w:val="99"/>
    <w:pPr>
      <w:pageBreakBefore/>
      <w:widowControl w:val="0"/>
      <w:tabs>
        <w:tab w:val="left" w:pos="425"/>
      </w:tabs>
      <w:spacing w:before="100" w:beforeAutospacing="1" w:afterLines="100" w:line="360" w:lineRule="auto"/>
      <w:ind w:left="425" w:hanging="425"/>
    </w:pPr>
    <w:rPr>
      <w:rFonts w:eastAsia="黑体" w:cs="宋体"/>
      <w:szCs w:val="20"/>
    </w:rPr>
  </w:style>
  <w:style w:type="paragraph" w:customStyle="1" w:styleId="309">
    <w:name w:val="Table Description"/>
    <w:next w:val="1"/>
    <w:qFormat/>
    <w:uiPriority w:val="99"/>
    <w:pPr>
      <w:keepNext/>
      <w:snapToGrid w:val="0"/>
      <w:spacing w:before="160" w:after="80"/>
      <w:ind w:left="1038"/>
      <w:jc w:val="center"/>
    </w:pPr>
    <w:rPr>
      <w:rFonts w:ascii="Arial" w:hAnsi="Arial" w:eastAsia="黑体" w:cs="Times New Roman"/>
      <w:sz w:val="18"/>
      <w:lang w:val="en-US" w:eastAsia="zh-CN" w:bidi="ar-SA"/>
    </w:rPr>
  </w:style>
  <w:style w:type="paragraph" w:customStyle="1" w:styleId="31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311">
    <w:name w:val="xl12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2">
    <w:name w:val="小四 段落 宋体 Char Char Char"/>
    <w:basedOn w:val="17"/>
    <w:qFormat/>
    <w:uiPriority w:val="99"/>
    <w:pPr>
      <w:tabs>
        <w:tab w:val="clear" w:pos="567"/>
      </w:tabs>
      <w:spacing w:line="360" w:lineRule="auto"/>
      <w:ind w:left="0" w:right="-33" w:firstLine="480" w:firstLineChars="200"/>
      <w:jc w:val="left"/>
    </w:pPr>
    <w:rPr>
      <w:rFonts w:ascii="Times New Roman" w:hAnsi="Times New Roman"/>
      <w:sz w:val="24"/>
      <w:szCs w:val="20"/>
    </w:rPr>
  </w:style>
  <w:style w:type="paragraph" w:customStyle="1" w:styleId="313">
    <w:name w:val="xl40"/>
    <w:basedOn w:val="1"/>
    <w:qFormat/>
    <w:uiPriority w:val="99"/>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1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5">
    <w:name w:val="xl8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6">
    <w:name w:val="size12"/>
    <w:basedOn w:val="1"/>
    <w:qFormat/>
    <w:uiPriority w:val="99"/>
    <w:pPr>
      <w:widowControl/>
      <w:spacing w:before="100" w:beforeAutospacing="1" w:after="100" w:afterAutospacing="1" w:line="360" w:lineRule="auto"/>
      <w:jc w:val="left"/>
    </w:pPr>
    <w:rPr>
      <w:color w:val="000000"/>
      <w:kern w:val="0"/>
      <w:sz w:val="20"/>
      <w:szCs w:val="20"/>
    </w:rPr>
  </w:style>
  <w:style w:type="paragraph" w:customStyle="1" w:styleId="317">
    <w:name w:val="xl57"/>
    <w:basedOn w:val="1"/>
    <w:qFormat/>
    <w:uiPriority w:val="99"/>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18">
    <w:name w:val="xl10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19">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20">
    <w:name w:val="正文2"/>
    <w:qFormat/>
    <w:uiPriority w:val="99"/>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321">
    <w:name w:val="xl10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2">
    <w:name w:val="xl6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323">
    <w:name w:val="样式 标题 2（x.x）节二级标题H2h2h212Header 2l2Level 2 HeadH2norm..."/>
    <w:basedOn w:val="4"/>
    <w:qFormat/>
    <w:uiPriority w:val="99"/>
    <w:pPr>
      <w:tabs>
        <w:tab w:val="left" w:pos="992"/>
      </w:tabs>
      <w:spacing w:before="100" w:beforeAutospacing="1"/>
      <w:ind w:left="992" w:hanging="567"/>
      <w:jc w:val="left"/>
    </w:pPr>
    <w:rPr>
      <w:rFonts w:eastAsia="楷体_GB2312" w:cs="宋体"/>
      <w:sz w:val="36"/>
      <w:szCs w:val="20"/>
    </w:rPr>
  </w:style>
  <w:style w:type="paragraph" w:customStyle="1" w:styleId="324">
    <w:name w:val="Document Map1"/>
    <w:basedOn w:val="1"/>
    <w:qFormat/>
    <w:uiPriority w:val="99"/>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325">
    <w:name w:val="xl1090"/>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26">
    <w:name w:val="xl8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7">
    <w:name w:val="xl11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28">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29">
    <w:name w:val="Absatz2AL"/>
    <w:basedOn w:val="27"/>
    <w:next w:val="1"/>
    <w:qFormat/>
    <w:uiPriority w:val="99"/>
    <w:pPr>
      <w:overflowPunct w:val="0"/>
      <w:autoSpaceDE w:val="0"/>
      <w:autoSpaceDN w:val="0"/>
      <w:adjustRightInd w:val="0"/>
      <w:jc w:val="both"/>
      <w:textAlignment w:val="baseline"/>
    </w:pPr>
    <w:rPr>
      <w:rFonts w:eastAsia="楷体_GB2312"/>
    </w:rPr>
  </w:style>
  <w:style w:type="paragraph" w:customStyle="1" w:styleId="330">
    <w:name w:val="Item Step in Table"/>
    <w:basedOn w:val="1"/>
    <w:qFormat/>
    <w:uiPriority w:val="99"/>
    <w:pPr>
      <w:tabs>
        <w:tab w:val="left" w:pos="420"/>
      </w:tabs>
      <w:ind w:left="420" w:hanging="420"/>
      <w:jc w:val="left"/>
    </w:pPr>
    <w:rPr>
      <w:rFonts w:ascii="Tahoma" w:hAnsi="Tahoma"/>
      <w:sz w:val="28"/>
      <w:szCs w:val="21"/>
    </w:rPr>
  </w:style>
  <w:style w:type="paragraph" w:customStyle="1" w:styleId="331">
    <w:name w:val="WPS Plain"/>
    <w:qFormat/>
    <w:uiPriority w:val="99"/>
    <w:rPr>
      <w:rFonts w:ascii="Times New Roman" w:hAnsi="Times New Roman" w:eastAsia="宋体" w:cs="Times New Roman"/>
      <w:lang w:val="en-US" w:eastAsia="zh-CN" w:bidi="ar-SA"/>
    </w:rPr>
  </w:style>
  <w:style w:type="paragraph" w:customStyle="1" w:styleId="332">
    <w:name w:val="xl120"/>
    <w:basedOn w:val="1"/>
    <w:qFormat/>
    <w:uiPriority w:val="99"/>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33">
    <w:name w:val="Char Char Char Char1"/>
    <w:basedOn w:val="1"/>
    <w:qFormat/>
    <w:uiPriority w:val="99"/>
    <w:rPr>
      <w:rFonts w:ascii="仿宋_GB2312" w:eastAsia="仿宋_GB2312"/>
      <w:b/>
      <w:sz w:val="32"/>
      <w:szCs w:val="32"/>
    </w:rPr>
  </w:style>
  <w:style w:type="paragraph" w:customStyle="1" w:styleId="334">
    <w:name w:val="样式 标题 3 + 段前: 0.5 行 段后: 0.5 行"/>
    <w:basedOn w:val="6"/>
    <w:qFormat/>
    <w:uiPriority w:val="99"/>
    <w:pPr>
      <w:tabs>
        <w:tab w:val="left" w:pos="720"/>
      </w:tabs>
      <w:spacing w:before="100" w:beforeAutospacing="1" w:after="100" w:afterAutospacing="1" w:line="360" w:lineRule="auto"/>
    </w:pPr>
    <w:rPr>
      <w:rFonts w:ascii="Arial" w:hAnsi="Arial" w:eastAsia="黑体" w:cs="宋体"/>
      <w:b w:val="0"/>
      <w:sz w:val="28"/>
      <w:szCs w:val="20"/>
    </w:rPr>
  </w:style>
  <w:style w:type="paragraph" w:customStyle="1" w:styleId="335">
    <w:name w:val="xl10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36">
    <w:name w:val="xl64"/>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337">
    <w:name w:val="xl1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38">
    <w:name w:val="xl23"/>
    <w:basedOn w:val="1"/>
    <w:qFormat/>
    <w:uiPriority w:val="99"/>
    <w:pPr>
      <w:widowControl/>
      <w:spacing w:before="100" w:beforeAutospacing="1" w:after="100" w:afterAutospacing="1"/>
      <w:jc w:val="center"/>
    </w:pPr>
    <w:rPr>
      <w:rFonts w:eastAsia="Arial Unicode MS"/>
      <w:kern w:val="0"/>
      <w:szCs w:val="21"/>
    </w:rPr>
  </w:style>
  <w:style w:type="paragraph" w:customStyle="1" w:styleId="339">
    <w:name w:val="首行缩进:  2 字符2"/>
    <w:basedOn w:val="1"/>
    <w:qFormat/>
    <w:uiPriority w:val="99"/>
    <w:pPr>
      <w:adjustRightInd w:val="0"/>
      <w:snapToGrid w:val="0"/>
      <w:spacing w:line="360" w:lineRule="auto"/>
      <w:ind w:firstLine="480" w:firstLineChars="200"/>
    </w:pPr>
    <w:rPr>
      <w:rFonts w:ascii="宋体" w:hAnsi="宋体" w:cs="宋体"/>
      <w:sz w:val="24"/>
    </w:rPr>
  </w:style>
  <w:style w:type="paragraph" w:customStyle="1" w:styleId="340">
    <w:name w:val="CM3"/>
    <w:basedOn w:val="126"/>
    <w:next w:val="126"/>
    <w:qFormat/>
    <w:uiPriority w:val="99"/>
    <w:pPr>
      <w:spacing w:line="626" w:lineRule="atLeast"/>
    </w:pPr>
    <w:rPr>
      <w:rFonts w:ascii=".a..DD.." w:hAnsi="Times New Roman" w:eastAsia=".a..DD.." w:cs="Times New Roman"/>
      <w:color w:val="auto"/>
    </w:rPr>
  </w:style>
  <w:style w:type="paragraph" w:customStyle="1" w:styleId="341">
    <w:name w:val="xl1085"/>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42">
    <w:name w:val="Figure"/>
    <w:basedOn w:val="1"/>
    <w:next w:val="269"/>
    <w:qFormat/>
    <w:uiPriority w:val="99"/>
    <w:pPr>
      <w:keepNext/>
      <w:ind w:left="1701"/>
    </w:pPr>
  </w:style>
  <w:style w:type="paragraph" w:customStyle="1" w:styleId="343">
    <w:name w:val="项目编号一级"/>
    <w:basedOn w:val="1"/>
    <w:qFormat/>
    <w:uiPriority w:val="99"/>
    <w:pPr>
      <w:tabs>
        <w:tab w:val="left" w:pos="900"/>
      </w:tabs>
      <w:spacing w:line="360" w:lineRule="auto"/>
      <w:ind w:left="900" w:hanging="420"/>
    </w:pPr>
  </w:style>
  <w:style w:type="paragraph" w:customStyle="1" w:styleId="344">
    <w:name w:val="xl1097"/>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45">
    <w:name w:val="四级条标题"/>
    <w:basedOn w:val="346"/>
    <w:next w:val="1"/>
    <w:qFormat/>
    <w:uiPriority w:val="99"/>
    <w:pPr>
      <w:outlineLvl w:val="5"/>
    </w:pPr>
  </w:style>
  <w:style w:type="paragraph" w:customStyle="1" w:styleId="346">
    <w:name w:val="三级条标题"/>
    <w:basedOn w:val="347"/>
    <w:next w:val="1"/>
    <w:qFormat/>
    <w:uiPriority w:val="99"/>
    <w:pPr>
      <w:outlineLvl w:val="4"/>
    </w:pPr>
  </w:style>
  <w:style w:type="paragraph" w:customStyle="1" w:styleId="347">
    <w:name w:val="二级条标题"/>
    <w:basedOn w:val="221"/>
    <w:next w:val="1"/>
    <w:qFormat/>
    <w:uiPriority w:val="99"/>
    <w:pPr>
      <w:outlineLvl w:val="3"/>
    </w:pPr>
  </w:style>
  <w:style w:type="paragraph" w:customStyle="1" w:styleId="348">
    <w:name w:val="Char"/>
    <w:basedOn w:val="1"/>
    <w:qFormat/>
    <w:uiPriority w:val="99"/>
    <w:rPr>
      <w:rFonts w:ascii="Tahoma" w:hAnsi="Tahoma" w:cs="仿宋_GB2312"/>
      <w:sz w:val="24"/>
      <w:szCs w:val="28"/>
    </w:rPr>
  </w:style>
  <w:style w:type="paragraph" w:customStyle="1" w:styleId="349">
    <w:name w:val="样式 标题 4 + 段前: 0.5 行 段后: 0.5 行"/>
    <w:basedOn w:val="7"/>
    <w:qFormat/>
    <w:uiPriority w:val="99"/>
    <w:pPr>
      <w:tabs>
        <w:tab w:val="left" w:pos="360"/>
        <w:tab w:val="left" w:pos="1620"/>
      </w:tabs>
      <w:spacing w:before="100" w:beforeAutospacing="1" w:after="100" w:afterAutospacing="1" w:line="360" w:lineRule="auto"/>
      <w:ind w:left="1620" w:leftChars="600" w:hanging="360" w:hangingChars="200"/>
    </w:pPr>
    <w:rPr>
      <w:rFonts w:cs="宋体"/>
      <w:b w:val="0"/>
      <w:sz w:val="24"/>
      <w:szCs w:val="20"/>
    </w:rPr>
  </w:style>
  <w:style w:type="paragraph" w:customStyle="1" w:styleId="350">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351">
    <w:name w:val="正文(单倍行距)"/>
    <w:basedOn w:val="1"/>
    <w:qFormat/>
    <w:uiPriority w:val="99"/>
    <w:pPr>
      <w:adjustRightInd w:val="0"/>
      <w:snapToGrid w:val="0"/>
      <w:jc w:val="center"/>
    </w:pPr>
  </w:style>
  <w:style w:type="paragraph" w:customStyle="1" w:styleId="352">
    <w:name w:val="xl44"/>
    <w:basedOn w:val="1"/>
    <w:qFormat/>
    <w:uiPriority w:val="99"/>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53">
    <w:name w:val="xl68"/>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354">
    <w:name w:val="样式 首行缩进:  0.85 厘米 段前: 2.5 磅 段后: 6 磅 行距: 1.5 倍行距"/>
    <w:basedOn w:val="1"/>
    <w:qFormat/>
    <w:uiPriority w:val="99"/>
    <w:pPr>
      <w:spacing w:before="50" w:after="120" w:line="360" w:lineRule="auto"/>
      <w:ind w:firstLine="480"/>
    </w:pPr>
    <w:rPr>
      <w:rFonts w:cs="宋体"/>
      <w:sz w:val="24"/>
      <w:szCs w:val="20"/>
    </w:rPr>
  </w:style>
  <w:style w:type="paragraph" w:customStyle="1" w:styleId="35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356">
    <w:name w:val="编号列项（三级）"/>
    <w:qFormat/>
    <w:uiPriority w:val="99"/>
    <w:pPr>
      <w:tabs>
        <w:tab w:val="left" w:pos="0"/>
      </w:tabs>
      <w:ind w:left="1679" w:hanging="420"/>
    </w:pPr>
    <w:rPr>
      <w:rFonts w:ascii="宋体" w:hAnsi="Times New Roman" w:eastAsia="宋体" w:cs="Times New Roman"/>
      <w:sz w:val="21"/>
      <w:lang w:val="en-US" w:eastAsia="zh-CN" w:bidi="ar-SA"/>
    </w:rPr>
  </w:style>
  <w:style w:type="paragraph" w:customStyle="1" w:styleId="357">
    <w:name w:val="Item Step"/>
    <w:basedOn w:val="1"/>
    <w:qFormat/>
    <w:uiPriority w:val="99"/>
    <w:pPr>
      <w:widowControl/>
      <w:tabs>
        <w:tab w:val="left" w:pos="567"/>
      </w:tabs>
      <w:spacing w:afterLines="50"/>
      <w:ind w:left="987" w:hanging="420"/>
      <w:jc w:val="left"/>
    </w:pPr>
    <w:rPr>
      <w:rFonts w:ascii="Tahoma" w:hAnsi="Tahoma"/>
      <w:sz w:val="28"/>
      <w:szCs w:val="21"/>
    </w:rPr>
  </w:style>
  <w:style w:type="paragraph" w:customStyle="1" w:styleId="358">
    <w:name w:val="xl77"/>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9">
    <w:name w:val="xl10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60">
    <w:name w:val="large"/>
    <w:basedOn w:val="1"/>
    <w:qFormat/>
    <w:uiPriority w:val="99"/>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61">
    <w:name w:val="xl1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362">
    <w:name w:val="章标题"/>
    <w:next w:val="1"/>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363">
    <w:name w:val="xl96"/>
    <w:basedOn w:val="1"/>
    <w:qFormat/>
    <w:uiPriority w:val="99"/>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64">
    <w:name w:val="Char Char Char Char2"/>
    <w:basedOn w:val="1"/>
    <w:qFormat/>
    <w:uiPriority w:val="99"/>
    <w:pPr>
      <w:spacing w:line="360" w:lineRule="auto"/>
      <w:ind w:firstLine="200" w:firstLineChars="200"/>
      <w:jc w:val="left"/>
    </w:pPr>
    <w:rPr>
      <w:rFonts w:ascii="仿宋_GB2312" w:eastAsia="仿宋_GB2312"/>
      <w:b/>
      <w:sz w:val="32"/>
      <w:szCs w:val="32"/>
    </w:rPr>
  </w:style>
  <w:style w:type="paragraph" w:customStyle="1" w:styleId="365">
    <w:name w:val="Char11"/>
    <w:basedOn w:val="1"/>
    <w:qFormat/>
    <w:uiPriority w:val="99"/>
  </w:style>
  <w:style w:type="paragraph" w:customStyle="1" w:styleId="366">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67">
    <w:name w:val="列表 21"/>
    <w:basedOn w:val="1"/>
    <w:qFormat/>
    <w:uiPriority w:val="99"/>
    <w:pPr>
      <w:ind w:left="100" w:leftChars="200" w:hanging="200" w:hangingChars="200"/>
    </w:pPr>
  </w:style>
  <w:style w:type="paragraph" w:customStyle="1" w:styleId="368">
    <w:name w:val="正文悬挂缩进6"/>
    <w:basedOn w:val="231"/>
    <w:qFormat/>
    <w:uiPriority w:val="99"/>
    <w:pPr>
      <w:tabs>
        <w:tab w:val="left" w:pos="1259"/>
      </w:tabs>
      <w:ind w:left="600" w:leftChars="600"/>
    </w:pPr>
  </w:style>
  <w:style w:type="paragraph" w:customStyle="1" w:styleId="369">
    <w:name w:val="xl8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0">
    <w:name w:val="xl93"/>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1">
    <w:name w:val="1"/>
    <w:basedOn w:val="2"/>
    <w:qFormat/>
    <w:uiPriority w:val="99"/>
    <w:pPr>
      <w:pBdr>
        <w:bottom w:val="none" w:color="auto" w:sz="0" w:space="0"/>
      </w:pBdr>
    </w:pPr>
    <w:rPr>
      <w:rFonts w:ascii="Calibri" w:hAnsi="Calibri" w:eastAsia="华文新魏"/>
      <w:sz w:val="21"/>
      <w:szCs w:val="20"/>
    </w:rPr>
  </w:style>
  <w:style w:type="paragraph" w:customStyle="1" w:styleId="372">
    <w:name w:val="我的正文格式"/>
    <w:basedOn w:val="1"/>
    <w:next w:val="1"/>
    <w:qFormat/>
    <w:uiPriority w:val="99"/>
    <w:pPr>
      <w:snapToGrid w:val="0"/>
      <w:spacing w:line="288" w:lineRule="auto"/>
      <w:ind w:left="540" w:hanging="540" w:hangingChars="225"/>
    </w:pPr>
    <w:rPr>
      <w:sz w:val="24"/>
    </w:rPr>
  </w:style>
  <w:style w:type="paragraph" w:customStyle="1" w:styleId="373">
    <w:name w:val="版权所有"/>
    <w:basedOn w:val="1"/>
    <w:qFormat/>
    <w:uiPriority w:val="99"/>
    <w:pPr>
      <w:spacing w:beforeLines="100" w:afterLines="100" w:line="360" w:lineRule="auto"/>
    </w:pPr>
    <w:rPr>
      <w:rFonts w:ascii="Arial" w:hAnsi="Arial" w:eastAsia="黑体"/>
      <w:b/>
      <w:sz w:val="30"/>
      <w:u w:val="single"/>
    </w:rPr>
  </w:style>
  <w:style w:type="paragraph" w:customStyle="1" w:styleId="374">
    <w:name w:val="xl58"/>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375">
    <w:name w:val="样式 标题 2 + 段前: 0.5 行 段后: 0.5 行1"/>
    <w:basedOn w:val="4"/>
    <w:qFormat/>
    <w:uiPriority w:val="99"/>
    <w:pPr>
      <w:tabs>
        <w:tab w:val="left" w:pos="576"/>
      </w:tabs>
      <w:spacing w:beforeLines="50" w:afterLines="50" w:line="360" w:lineRule="auto"/>
      <w:ind w:left="576" w:hanging="576"/>
      <w:jc w:val="left"/>
    </w:pPr>
    <w:rPr>
      <w:rFonts w:ascii="仿宋_GB2312" w:eastAsia="仿宋_GB2312" w:cs="宋体"/>
      <w:sz w:val="36"/>
      <w:szCs w:val="20"/>
    </w:rPr>
  </w:style>
  <w:style w:type="paragraph" w:customStyle="1" w:styleId="376">
    <w:name w:val="xl10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10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78">
    <w:name w:val="日期1"/>
    <w:basedOn w:val="1"/>
    <w:next w:val="1"/>
    <w:qFormat/>
    <w:uiPriority w:val="99"/>
    <w:pPr>
      <w:adjustRightInd w:val="0"/>
      <w:spacing w:line="360" w:lineRule="atLeast"/>
      <w:textAlignment w:val="baseline"/>
    </w:pPr>
    <w:rPr>
      <w:rFonts w:ascii="宋体"/>
      <w:kern w:val="0"/>
      <w:sz w:val="28"/>
      <w:szCs w:val="20"/>
    </w:rPr>
  </w:style>
  <w:style w:type="paragraph" w:customStyle="1" w:styleId="379">
    <w:name w:val="xl46"/>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0">
    <w:name w:val="xl106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81">
    <w:name w:val="CM20"/>
    <w:basedOn w:val="126"/>
    <w:next w:val="126"/>
    <w:qFormat/>
    <w:uiPriority w:val="99"/>
    <w:pPr>
      <w:spacing w:after="115"/>
    </w:pPr>
    <w:rPr>
      <w:rFonts w:ascii=".a..DD.." w:hAnsi="Times New Roman" w:eastAsia=".a..DD.." w:cs="Times New Roman"/>
      <w:color w:val="auto"/>
    </w:rPr>
  </w:style>
  <w:style w:type="paragraph" w:customStyle="1" w:styleId="382">
    <w:name w:val="xl33"/>
    <w:basedOn w:val="1"/>
    <w:qFormat/>
    <w:uiPriority w:val="99"/>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83">
    <w:name w:val="样式 样式 标题 2 + 段前: 0.5 行 段后: 0.5 行 + 段前: 0.5 行 段后: 0.5 行"/>
    <w:basedOn w:val="249"/>
    <w:qFormat/>
    <w:uiPriority w:val="99"/>
    <w:pPr>
      <w:spacing w:beforeLines="0" w:beforeAutospacing="1" w:afterLines="0" w:afterAutospacing="1"/>
      <w:ind w:left="576" w:hanging="576"/>
    </w:pPr>
    <w:rPr>
      <w:bCs w:val="0"/>
    </w:rPr>
  </w:style>
  <w:style w:type="paragraph" w:customStyle="1" w:styleId="384">
    <w:name w:val="xl1078"/>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85">
    <w:name w:val="表格标题2"/>
    <w:basedOn w:val="1"/>
    <w:qFormat/>
    <w:uiPriority w:val="99"/>
    <w:pPr>
      <w:tabs>
        <w:tab w:val="left" w:pos="1620"/>
      </w:tabs>
      <w:adjustRightInd w:val="0"/>
      <w:spacing w:before="60" w:after="60"/>
      <w:ind w:left="1620" w:leftChars="600" w:hanging="360" w:hangingChars="200"/>
      <w:textAlignment w:val="bottom"/>
    </w:pPr>
    <w:rPr>
      <w:kern w:val="0"/>
      <w:szCs w:val="21"/>
    </w:rPr>
  </w:style>
  <w:style w:type="paragraph" w:customStyle="1" w:styleId="386">
    <w:name w:val="表文"/>
    <w:basedOn w:val="1"/>
    <w:qFormat/>
    <w:uiPriority w:val="99"/>
    <w:pPr>
      <w:spacing w:line="300" w:lineRule="auto"/>
      <w:jc w:val="center"/>
      <w:textAlignment w:val="baseline"/>
    </w:pPr>
    <w:rPr>
      <w:kern w:val="0"/>
      <w:szCs w:val="20"/>
    </w:rPr>
  </w:style>
  <w:style w:type="paragraph" w:customStyle="1" w:styleId="387">
    <w:name w:val="xl53"/>
    <w:basedOn w:val="1"/>
    <w:qFormat/>
    <w:uiPriority w:val="99"/>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88">
    <w:name w:val="Paragraphe 3"/>
    <w:qFormat/>
    <w:uiPriority w:val="99"/>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89">
    <w:name w:val="样式1"/>
    <w:basedOn w:val="1"/>
    <w:qFormat/>
    <w:uiPriority w:val="99"/>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90">
    <w:name w:val="xl109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1">
    <w:name w:val="样式 样式 标题 5 + 段前: 0.5 行 段后: 0.5 行 + 段前: 0.5 行 段后: 0.5 行"/>
    <w:basedOn w:val="204"/>
    <w:qFormat/>
    <w:uiPriority w:val="99"/>
    <w:rPr>
      <w:bCs w:val="0"/>
    </w:rPr>
  </w:style>
  <w:style w:type="paragraph" w:customStyle="1" w:styleId="392">
    <w:name w:val="样式 标题 3H3h3h31第二层条3Bold Headbh章标题1小标题level_3PIM 3Lev...1"/>
    <w:basedOn w:val="6"/>
    <w:qFormat/>
    <w:uiPriority w:val="99"/>
    <w:pPr>
      <w:tabs>
        <w:tab w:val="left" w:pos="1740"/>
      </w:tabs>
      <w:spacing w:beforeLines="50" w:afterLines="50" w:line="360" w:lineRule="auto"/>
      <w:ind w:left="1740" w:hanging="420"/>
    </w:pPr>
    <w:rPr>
      <w:rFonts w:ascii="Arial" w:hAnsi="Arial" w:eastAsia="黑体" w:cs="宋体"/>
      <w:b w:val="0"/>
      <w:szCs w:val="20"/>
    </w:rPr>
  </w:style>
  <w:style w:type="paragraph" w:customStyle="1" w:styleId="393">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4">
    <w:name w:val="xl7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5">
    <w:name w:val="_Style 385"/>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97">
    <w:name w:val="表格2"/>
    <w:basedOn w:val="1"/>
    <w:qFormat/>
    <w:uiPriority w:val="99"/>
    <w:pPr>
      <w:snapToGrid w:val="0"/>
      <w:jc w:val="center"/>
    </w:pPr>
    <w:rPr>
      <w:rFonts w:ascii="Arial" w:hAnsi="Arial" w:cs="Arial"/>
      <w:kern w:val="0"/>
      <w:sz w:val="24"/>
    </w:rPr>
  </w:style>
  <w:style w:type="paragraph" w:customStyle="1" w:styleId="398">
    <w:name w:val="xl49"/>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9">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0">
    <w:name w:val="标题2"/>
    <w:basedOn w:val="1"/>
    <w:qFormat/>
    <w:uiPriority w:val="99"/>
    <w:pPr>
      <w:spacing w:beforeLines="50" w:afterLines="50" w:line="300" w:lineRule="exact"/>
    </w:pPr>
    <w:rPr>
      <w:b/>
      <w:bCs/>
    </w:rPr>
  </w:style>
  <w:style w:type="paragraph" w:customStyle="1" w:styleId="401">
    <w:name w:val="xl10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02">
    <w:name w:val="Normal1"/>
    <w:next w:val="1"/>
    <w:qFormat/>
    <w:uiPriority w:val="99"/>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03">
    <w:name w:val="xl4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4">
    <w:name w:val="xl109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5">
    <w:name w:val="xl35"/>
    <w:basedOn w:val="1"/>
    <w:qFormat/>
    <w:uiPriority w:val="99"/>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06">
    <w:name w:val="xl60"/>
    <w:basedOn w:val="1"/>
    <w:qFormat/>
    <w:uiPriority w:val="99"/>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7">
    <w:name w:val="小四 段落 宋体 Char Char"/>
    <w:basedOn w:val="312"/>
    <w:qFormat/>
    <w:uiPriority w:val="99"/>
  </w:style>
  <w:style w:type="paragraph" w:customStyle="1" w:styleId="408">
    <w:name w:val="标书正文"/>
    <w:basedOn w:val="1"/>
    <w:qFormat/>
    <w:uiPriority w:val="99"/>
    <w:pPr>
      <w:spacing w:line="360" w:lineRule="auto"/>
      <w:ind w:firstLine="497" w:firstLineChars="207"/>
    </w:pPr>
    <w:rPr>
      <w:sz w:val="24"/>
      <w:szCs w:val="20"/>
    </w:rPr>
  </w:style>
  <w:style w:type="paragraph" w:customStyle="1" w:styleId="409">
    <w:name w:val="_Style 20"/>
    <w:basedOn w:val="1"/>
    <w:qFormat/>
    <w:uiPriority w:val="99"/>
    <w:rPr>
      <w:rFonts w:ascii="Tahoma" w:hAnsi="Tahoma"/>
      <w:sz w:val="24"/>
      <w:szCs w:val="20"/>
    </w:rPr>
  </w:style>
  <w:style w:type="paragraph" w:customStyle="1" w:styleId="410">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11">
    <w:name w:val="四级无"/>
    <w:basedOn w:val="345"/>
    <w:qFormat/>
    <w:uiPriority w:val="99"/>
    <w:pPr>
      <w:tabs>
        <w:tab w:val="left" w:pos="360"/>
      </w:tabs>
      <w:spacing w:beforeLines="0" w:afterLines="0"/>
    </w:pPr>
    <w:rPr>
      <w:rFonts w:ascii="宋体" w:eastAsia="宋体"/>
    </w:rPr>
  </w:style>
  <w:style w:type="paragraph" w:customStyle="1" w:styleId="412">
    <w:name w:val="Char Char1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13">
    <w:name w:val="Char3"/>
    <w:basedOn w:val="1"/>
    <w:qFormat/>
    <w:uiPriority w:val="99"/>
    <w:rPr>
      <w:rFonts w:ascii="Tahoma" w:hAnsi="Tahoma" w:cs="仿宋_GB2312"/>
      <w:sz w:val="24"/>
      <w:szCs w:val="28"/>
    </w:rPr>
  </w:style>
  <w:style w:type="paragraph" w:customStyle="1" w:styleId="414">
    <w:name w:val="xl10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15">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6">
    <w:name w:val="xl10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17">
    <w:name w:val="xl6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418">
    <w:name w:val="样式 首行缩进:  2 字符2 + 居中"/>
    <w:basedOn w:val="339"/>
    <w:qFormat/>
    <w:uiPriority w:val="99"/>
    <w:pPr>
      <w:adjustRightInd/>
      <w:snapToGrid/>
      <w:ind w:firstLine="0" w:firstLineChars="0"/>
      <w:jc w:val="center"/>
    </w:pPr>
    <w:rPr>
      <w:sz w:val="28"/>
      <w:szCs w:val="20"/>
    </w:rPr>
  </w:style>
  <w:style w:type="paragraph" w:customStyle="1" w:styleId="419">
    <w:name w:val="xl118"/>
    <w:basedOn w:val="1"/>
    <w:qFormat/>
    <w:uiPriority w:val="99"/>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20">
    <w:name w:val="xl106"/>
    <w:basedOn w:val="1"/>
    <w:qFormat/>
    <w:uiPriority w:val="99"/>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21">
    <w:name w:val="xl9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2">
    <w:name w:val="±í????¸ñÎ"/>
    <w:basedOn w:val="1"/>
    <w:qFormat/>
    <w:uiPriority w:val="99"/>
    <w:pPr>
      <w:widowControl/>
      <w:tabs>
        <w:tab w:val="decimal" w:pos="0"/>
      </w:tabs>
      <w:overflowPunct w:val="0"/>
      <w:autoSpaceDE w:val="0"/>
      <w:autoSpaceDN w:val="0"/>
      <w:adjustRightInd w:val="0"/>
      <w:textAlignment w:val="baseline"/>
    </w:pPr>
    <w:rPr>
      <w:kern w:val="0"/>
      <w:sz w:val="24"/>
      <w:szCs w:val="20"/>
    </w:rPr>
  </w:style>
  <w:style w:type="paragraph" w:customStyle="1" w:styleId="423">
    <w:name w:val="Char Char Char Char Char Char Char1"/>
    <w:basedOn w:val="1"/>
    <w:qFormat/>
    <w:uiPriority w:val="99"/>
  </w:style>
  <w:style w:type="paragraph" w:customStyle="1" w:styleId="424">
    <w:name w:val="pa-13"/>
    <w:basedOn w:val="1"/>
    <w:qFormat/>
    <w:uiPriority w:val="99"/>
    <w:pPr>
      <w:widowControl/>
      <w:spacing w:line="240" w:lineRule="atLeast"/>
    </w:pPr>
    <w:rPr>
      <w:rFonts w:ascii="宋体" w:hAnsi="宋体" w:cs="宋体"/>
      <w:kern w:val="0"/>
      <w:sz w:val="24"/>
    </w:rPr>
  </w:style>
  <w:style w:type="paragraph" w:customStyle="1" w:styleId="425">
    <w:name w:val="xl1063"/>
    <w:basedOn w:val="1"/>
    <w:qFormat/>
    <w:uiPriority w:val="99"/>
    <w:pPr>
      <w:widowControl/>
      <w:spacing w:before="100" w:beforeAutospacing="1" w:after="100" w:afterAutospacing="1"/>
      <w:jc w:val="center"/>
    </w:pPr>
    <w:rPr>
      <w:rFonts w:ascii="宋体" w:hAnsi="宋体" w:cs="宋体"/>
      <w:b/>
      <w:bCs/>
      <w:kern w:val="0"/>
      <w:sz w:val="24"/>
    </w:rPr>
  </w:style>
  <w:style w:type="paragraph" w:customStyle="1" w:styleId="426">
    <w:name w:val="xl55"/>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7">
    <w:name w:val="列出段落3"/>
    <w:basedOn w:val="1"/>
    <w:qFormat/>
    <w:uiPriority w:val="99"/>
    <w:pPr>
      <w:ind w:firstLine="420" w:firstLineChars="200"/>
    </w:pPr>
    <w:rPr>
      <w:szCs w:val="20"/>
    </w:rPr>
  </w:style>
  <w:style w:type="paragraph" w:customStyle="1" w:styleId="428">
    <w:name w:val="(1)"/>
    <w:basedOn w:val="1"/>
    <w:qFormat/>
    <w:uiPriority w:val="99"/>
    <w:pPr>
      <w:tabs>
        <w:tab w:val="left" w:pos="573"/>
      </w:tabs>
      <w:adjustRightInd w:val="0"/>
      <w:snapToGrid w:val="0"/>
      <w:spacing w:before="80" w:after="100" w:line="240" w:lineRule="atLeast"/>
      <w:textAlignment w:val="baseline"/>
    </w:pPr>
    <w:rPr>
      <w:rFonts w:ascii="Arial" w:hAnsi="Arial"/>
      <w:kern w:val="44"/>
      <w:sz w:val="24"/>
    </w:rPr>
  </w:style>
  <w:style w:type="paragraph" w:customStyle="1" w:styleId="429">
    <w:name w:val="目录"/>
    <w:basedOn w:val="1"/>
    <w:qFormat/>
    <w:uiPriority w:val="99"/>
    <w:pPr>
      <w:widowControl/>
      <w:jc w:val="center"/>
    </w:pPr>
    <w:rPr>
      <w:rFonts w:ascii="宋体"/>
      <w:b/>
      <w:kern w:val="0"/>
      <w:sz w:val="36"/>
      <w:szCs w:val="20"/>
    </w:rPr>
  </w:style>
  <w:style w:type="paragraph" w:customStyle="1" w:styleId="430">
    <w:name w:val="xl37"/>
    <w:basedOn w:val="1"/>
    <w:qFormat/>
    <w:uiPriority w:val="99"/>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1">
    <w:name w:val="xl1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2">
    <w:name w:val="xl114"/>
    <w:basedOn w:val="1"/>
    <w:qFormat/>
    <w:uiPriority w:val="99"/>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33">
    <w:name w:val="xl52"/>
    <w:basedOn w:val="1"/>
    <w:qFormat/>
    <w:uiPriority w:val="99"/>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4">
    <w:name w:val="三级无"/>
    <w:basedOn w:val="346"/>
    <w:qFormat/>
    <w:uiPriority w:val="99"/>
    <w:pPr>
      <w:spacing w:beforeLines="0" w:afterLines="0"/>
    </w:pPr>
    <w:rPr>
      <w:rFonts w:ascii="宋体" w:eastAsia="宋体"/>
    </w:rPr>
  </w:style>
  <w:style w:type="paragraph" w:customStyle="1" w:styleId="435">
    <w:name w:val="xl10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xl10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37">
    <w:name w:val="xl127"/>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8">
    <w:name w:val="xl10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9">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40">
    <w:name w:val="xl63"/>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441">
    <w:name w:val="xl27"/>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42">
    <w:name w:val="表格1"/>
    <w:basedOn w:val="1"/>
    <w:qFormat/>
    <w:uiPriority w:val="99"/>
    <w:pPr>
      <w:tabs>
        <w:tab w:val="left" w:pos="203"/>
      </w:tabs>
      <w:spacing w:before="40" w:after="40"/>
      <w:jc w:val="center"/>
    </w:pPr>
    <w:rPr>
      <w:b/>
      <w:sz w:val="28"/>
      <w:szCs w:val="20"/>
    </w:rPr>
  </w:style>
  <w:style w:type="paragraph" w:customStyle="1" w:styleId="443">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444">
    <w:name w:val="xl123"/>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5">
    <w:name w:val="font8"/>
    <w:basedOn w:val="1"/>
    <w:qFormat/>
    <w:uiPriority w:val="99"/>
    <w:pPr>
      <w:widowControl/>
      <w:spacing w:before="100" w:beforeAutospacing="1" w:after="100" w:afterAutospacing="1"/>
      <w:jc w:val="left"/>
    </w:pPr>
    <w:rPr>
      <w:rFonts w:ascii="宋体" w:hAnsi="宋体" w:cs="Arial Unicode MS"/>
      <w:b/>
      <w:bCs/>
      <w:kern w:val="0"/>
      <w:sz w:val="32"/>
      <w:szCs w:val="32"/>
    </w:rPr>
  </w:style>
  <w:style w:type="paragraph" w:styleId="446">
    <w:name w:val="List Paragraph"/>
    <w:basedOn w:val="1"/>
    <w:qFormat/>
    <w:uiPriority w:val="99"/>
    <w:pPr>
      <w:ind w:firstLine="420" w:firstLineChars="200"/>
    </w:pPr>
    <w:rPr>
      <w:rFonts w:ascii="宋体" w:hAnsi="宋体" w:cs="宋体"/>
      <w:bCs/>
      <w:color w:val="000000"/>
      <w:kern w:val="0"/>
      <w:sz w:val="24"/>
      <w:u w:val="single"/>
    </w:rPr>
  </w:style>
  <w:style w:type="paragraph" w:customStyle="1" w:styleId="447">
    <w:name w:val="xl1105"/>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48">
    <w:name w:val="xl1075"/>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49">
    <w:name w:val="Char Char Char"/>
    <w:basedOn w:val="1"/>
    <w:qFormat/>
    <w:uiPriority w:val="99"/>
    <w:rPr>
      <w:rFonts w:ascii="Tahoma" w:hAnsi="Tahoma" w:cs="Angsana New"/>
      <w:sz w:val="24"/>
      <w:szCs w:val="20"/>
    </w:rPr>
  </w:style>
  <w:style w:type="paragraph" w:customStyle="1" w:styleId="450">
    <w:name w:val="xl10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51">
    <w:name w:val="文档控制号等"/>
    <w:basedOn w:val="1"/>
    <w:qFormat/>
    <w:uiPriority w:val="99"/>
    <w:pPr>
      <w:spacing w:line="360" w:lineRule="auto"/>
      <w:jc w:val="left"/>
    </w:pPr>
  </w:style>
  <w:style w:type="paragraph" w:customStyle="1" w:styleId="452">
    <w:name w:val="xl2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53">
    <w:name w:val="xl6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454">
    <w:name w:val="书目11"/>
    <w:basedOn w:val="1"/>
    <w:next w:val="1"/>
    <w:qFormat/>
    <w:uiPriority w:val="99"/>
    <w:pPr>
      <w:spacing w:line="360" w:lineRule="auto"/>
      <w:ind w:firstLine="200" w:firstLineChars="200"/>
      <w:jc w:val="left"/>
    </w:pPr>
    <w:rPr>
      <w:sz w:val="24"/>
    </w:rPr>
  </w:style>
  <w:style w:type="paragraph" w:customStyle="1" w:styleId="455">
    <w:name w:val="模版正文"/>
    <w:basedOn w:val="1"/>
    <w:qFormat/>
    <w:uiPriority w:val="99"/>
    <w:pPr>
      <w:widowControl/>
      <w:adjustRightInd w:val="0"/>
      <w:snapToGrid w:val="0"/>
      <w:spacing w:line="440" w:lineRule="exact"/>
      <w:ind w:firstLine="200" w:firstLineChars="200"/>
      <w:jc w:val="left"/>
    </w:pPr>
    <w:rPr>
      <w:rFonts w:ascii="仿宋" w:hAnsi="仿宋" w:cs="宋体"/>
      <w:sz w:val="28"/>
      <w:szCs w:val="20"/>
    </w:rPr>
  </w:style>
  <w:style w:type="paragraph" w:customStyle="1" w:styleId="456">
    <w:name w:val="xl121"/>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57">
    <w:name w:val="样式 左  4 字符 首行缩进:  2 字符"/>
    <w:basedOn w:val="1"/>
    <w:qFormat/>
    <w:uiPriority w:val="99"/>
    <w:pPr>
      <w:spacing w:beforeLines="50" w:afterLines="50"/>
      <w:ind w:left="400" w:leftChars="400" w:firstLine="200" w:firstLineChars="200"/>
    </w:pPr>
    <w:rPr>
      <w:rFonts w:cs="宋体"/>
      <w:szCs w:val="20"/>
    </w:rPr>
  </w:style>
  <w:style w:type="paragraph" w:customStyle="1" w:styleId="458">
    <w:name w:val="xl88"/>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459">
    <w:name w:val="xl38"/>
    <w:basedOn w:val="1"/>
    <w:qFormat/>
    <w:uiPriority w:val="99"/>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60">
    <w:name w:val="xl8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1">
    <w:name w:val="xl10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2">
    <w:name w:val="表格侧编号"/>
    <w:next w:val="1"/>
    <w:qFormat/>
    <w:uiPriority w:val="99"/>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463">
    <w:name w:val="default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4">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465">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Item List Char"/>
    <w:qFormat/>
    <w:uiPriority w:val="99"/>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467">
    <w:name w:val="xl104"/>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8">
    <w:name w:val="xl107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69">
    <w:name w:val="xl56"/>
    <w:basedOn w:val="1"/>
    <w:qFormat/>
    <w:uiPriority w:val="99"/>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70">
    <w:name w:val="Char Char Char Char1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71">
    <w:name w:val="内文"/>
    <w:qFormat/>
    <w:uiPriority w:val="99"/>
    <w:pPr>
      <w:widowControl w:val="0"/>
      <w:autoSpaceDE w:val="0"/>
      <w:autoSpaceDN w:val="0"/>
      <w:adjustRightInd w:val="0"/>
      <w:jc w:val="both"/>
    </w:pPr>
    <w:rPr>
      <w:rFonts w:ascii="宋体" w:hAnsi="Times New Roman" w:eastAsia="宋体" w:cs="Times New Roman"/>
      <w:color w:val="000000"/>
      <w:sz w:val="24"/>
      <w:lang w:val="en-US" w:eastAsia="zh-CN" w:bidi="ar-SA"/>
    </w:rPr>
  </w:style>
  <w:style w:type="paragraph" w:customStyle="1" w:styleId="472">
    <w:name w:val="标题1"/>
    <w:basedOn w:val="3"/>
    <w:qFormat/>
    <w:uiPriority w:val="99"/>
    <w:pPr>
      <w:widowControl w:val="0"/>
      <w:tabs>
        <w:tab w:val="left" w:pos="839"/>
      </w:tabs>
      <w:adjustRightInd w:val="0"/>
      <w:spacing w:before="0" w:after="0" w:line="360" w:lineRule="auto"/>
      <w:ind w:left="1276" w:hanging="425"/>
      <w:textAlignment w:val="baseline"/>
    </w:pPr>
    <w:rPr>
      <w:rFonts w:ascii="黑体" w:hAnsi="宋体" w:eastAsia="黑体"/>
      <w:bCs w:val="0"/>
      <w:kern w:val="11"/>
      <w:sz w:val="28"/>
      <w:szCs w:val="20"/>
    </w:rPr>
  </w:style>
  <w:style w:type="paragraph" w:customStyle="1" w:styleId="473">
    <w:name w:val="五级条标题"/>
    <w:basedOn w:val="345"/>
    <w:next w:val="1"/>
    <w:qFormat/>
    <w:uiPriority w:val="99"/>
    <w:pPr>
      <w:outlineLvl w:val="6"/>
    </w:pPr>
  </w:style>
  <w:style w:type="paragraph" w:customStyle="1" w:styleId="474">
    <w:name w:val="xl10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75">
    <w:name w:val="xl10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76">
    <w:name w:val="font10"/>
    <w:basedOn w:val="1"/>
    <w:qFormat/>
    <w:uiPriority w:val="99"/>
    <w:pPr>
      <w:widowControl/>
      <w:spacing w:before="100" w:beforeAutospacing="1" w:after="100" w:afterAutospacing="1"/>
      <w:jc w:val="left"/>
    </w:pPr>
    <w:rPr>
      <w:rFonts w:eastAsia="Arial Unicode MS"/>
      <w:kern w:val="0"/>
      <w:sz w:val="28"/>
      <w:szCs w:val="28"/>
    </w:rPr>
  </w:style>
  <w:style w:type="paragraph" w:customStyle="1" w:styleId="477">
    <w:name w:val="tll"/>
    <w:basedOn w:val="1"/>
    <w:qFormat/>
    <w:uiPriority w:val="99"/>
    <w:pPr>
      <w:autoSpaceDE w:val="0"/>
      <w:autoSpaceDN w:val="0"/>
      <w:adjustRightInd w:val="0"/>
      <w:jc w:val="left"/>
      <w:textAlignment w:val="baseline"/>
    </w:pPr>
    <w:rPr>
      <w:rFonts w:ascii="仿宋_GB2312" w:hAnsi="Arial" w:eastAsia="仿宋_GB2312"/>
      <w:kern w:val="0"/>
      <w:szCs w:val="21"/>
    </w:rPr>
  </w:style>
  <w:style w:type="paragraph" w:customStyle="1" w:styleId="478">
    <w:name w:val="xl11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47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paragraph" w:customStyle="1" w:styleId="480">
    <w:name w:val="xl92"/>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48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482">
    <w:name w:val="pa-10"/>
    <w:basedOn w:val="1"/>
    <w:qFormat/>
    <w:uiPriority w:val="99"/>
    <w:pPr>
      <w:widowControl/>
      <w:spacing w:line="280" w:lineRule="atLeast"/>
    </w:pPr>
    <w:rPr>
      <w:rFonts w:ascii="宋体" w:hAnsi="宋体" w:cs="宋体"/>
      <w:kern w:val="0"/>
      <w:sz w:val="24"/>
    </w:rPr>
  </w:style>
  <w:style w:type="paragraph" w:customStyle="1" w:styleId="483">
    <w:name w:val="TOC 标题1"/>
    <w:basedOn w:val="3"/>
    <w:next w:val="1"/>
    <w:qFormat/>
    <w:uiPriority w:val="99"/>
    <w:pPr>
      <w:tabs>
        <w:tab w:val="left" w:pos="1320"/>
        <w:tab w:val="left" w:pos="1740"/>
      </w:tabs>
      <w:spacing w:before="480" w:after="0" w:line="276" w:lineRule="auto"/>
      <w:outlineLvl w:val="9"/>
    </w:pPr>
    <w:rPr>
      <w:rFonts w:ascii="Cambria" w:hAnsi="Cambria"/>
      <w:color w:val="365F91"/>
      <w:kern w:val="0"/>
      <w:sz w:val="28"/>
      <w:szCs w:val="28"/>
    </w:rPr>
  </w:style>
  <w:style w:type="paragraph" w:customStyle="1" w:styleId="484">
    <w:name w:val="xl85"/>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5">
    <w:name w:val="xl110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6">
    <w:name w:val="xl111"/>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7">
    <w:name w:val="表格标题3"/>
    <w:basedOn w:val="385"/>
    <w:qFormat/>
    <w:uiPriority w:val="99"/>
    <w:pPr>
      <w:tabs>
        <w:tab w:val="left" w:pos="570"/>
        <w:tab w:val="left" w:pos="720"/>
        <w:tab w:val="clear" w:pos="1620"/>
      </w:tabs>
      <w:ind w:left="570" w:hanging="570"/>
    </w:pPr>
  </w:style>
  <w:style w:type="paragraph" w:customStyle="1" w:styleId="488">
    <w:name w:val="xl110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89">
    <w:name w:val="xl1089"/>
    <w:basedOn w:val="1"/>
    <w:qFormat/>
    <w:uiPriority w:val="99"/>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0">
    <w:name w:val="xl122"/>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1">
    <w:name w:val="xl32"/>
    <w:basedOn w:val="1"/>
    <w:qFormat/>
    <w:uiPriority w:val="99"/>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2">
    <w:name w:val="xl70"/>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93">
    <w:name w:val="二级无"/>
    <w:basedOn w:val="347"/>
    <w:qFormat/>
    <w:uiPriority w:val="99"/>
    <w:pPr>
      <w:spacing w:beforeLines="0" w:afterLines="0"/>
    </w:pPr>
    <w:rPr>
      <w:rFonts w:ascii="宋体" w:eastAsia="宋体"/>
    </w:rPr>
  </w:style>
  <w:style w:type="paragraph" w:customStyle="1" w:styleId="494">
    <w:name w:val="xl99"/>
    <w:basedOn w:val="1"/>
    <w:qFormat/>
    <w:uiPriority w:val="99"/>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5">
    <w:name w:val="xl34"/>
    <w:basedOn w:val="1"/>
    <w:qFormat/>
    <w:uiPriority w:val="99"/>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96">
    <w:name w:val="xl109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7">
    <w:name w:val="xl110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98">
    <w:name w:val="xl10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99">
    <w:name w:val="节标题"/>
    <w:basedOn w:val="1"/>
    <w:qFormat/>
    <w:uiPriority w:val="99"/>
    <w:pPr>
      <w:widowControl/>
      <w:spacing w:line="289" w:lineRule="atLeast"/>
      <w:jc w:val="center"/>
      <w:textAlignment w:val="baseline"/>
    </w:pPr>
    <w:rPr>
      <w:color w:val="000000"/>
      <w:kern w:val="0"/>
      <w:sz w:val="28"/>
      <w:szCs w:val="20"/>
      <w:u w:color="000000"/>
    </w:rPr>
  </w:style>
  <w:style w:type="paragraph" w:customStyle="1" w:styleId="500">
    <w:name w:val="xl7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01">
    <w:name w:val="xl109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2">
    <w:name w:val="xl48"/>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03">
    <w:name w:val="Char Char Char Char Char Char Char"/>
    <w:basedOn w:val="1"/>
    <w:qFormat/>
    <w:uiPriority w:val="99"/>
  </w:style>
  <w:style w:type="paragraph" w:customStyle="1" w:styleId="504">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505">
    <w:name w:val="Bullet 1"/>
    <w:qFormat/>
    <w:uiPriority w:val="99"/>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506">
    <w:name w:val="xl59"/>
    <w:basedOn w:val="1"/>
    <w:qFormat/>
    <w:uiPriority w:val="99"/>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507">
    <w:name w:val="xl54"/>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08">
    <w:name w:val="xl107"/>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9">
    <w:name w:val="正文3号仿宋"/>
    <w:basedOn w:val="1"/>
    <w:link w:val="510"/>
    <w:qFormat/>
    <w:uiPriority w:val="99"/>
    <w:pPr>
      <w:adjustRightInd w:val="0"/>
      <w:spacing w:line="360" w:lineRule="auto"/>
      <w:ind w:firstLine="480" w:firstLineChars="200"/>
      <w:textAlignment w:val="baseline"/>
    </w:pPr>
    <w:rPr>
      <w:rFonts w:ascii="宋体" w:hAnsi="宋体"/>
      <w:kern w:val="0"/>
      <w:sz w:val="24"/>
    </w:rPr>
  </w:style>
  <w:style w:type="character" w:customStyle="1" w:styleId="510">
    <w:name w:val="正文3号仿宋 Char"/>
    <w:link w:val="509"/>
    <w:qFormat/>
    <w:locked/>
    <w:uiPriority w:val="99"/>
    <w:rPr>
      <w:rFonts w:ascii="宋体" w:eastAsia="宋体"/>
      <w:sz w:val="24"/>
    </w:rPr>
  </w:style>
  <w:style w:type="paragraph" w:customStyle="1" w:styleId="511">
    <w:name w:val="段落小标题"/>
    <w:basedOn w:val="1"/>
    <w:link w:val="512"/>
    <w:qFormat/>
    <w:uiPriority w:val="99"/>
    <w:pPr>
      <w:adjustRightInd w:val="0"/>
      <w:spacing w:line="360" w:lineRule="auto"/>
      <w:ind w:firstLine="510"/>
      <w:jc w:val="left"/>
      <w:textAlignment w:val="baseline"/>
    </w:pPr>
    <w:rPr>
      <w:rFonts w:ascii="仿宋" w:hAnsi="仿宋" w:eastAsia="仿宋"/>
      <w:b/>
      <w:kern w:val="0"/>
      <w:sz w:val="32"/>
      <w:szCs w:val="32"/>
    </w:rPr>
  </w:style>
  <w:style w:type="character" w:customStyle="1" w:styleId="512">
    <w:name w:val="段落小标题 Char"/>
    <w:link w:val="511"/>
    <w:qFormat/>
    <w:locked/>
    <w:uiPriority w:val="99"/>
    <w:rPr>
      <w:rFonts w:ascii="仿宋" w:hAnsi="仿宋" w:eastAsia="仿宋"/>
      <w:b/>
      <w:sz w:val="32"/>
    </w:rPr>
  </w:style>
  <w:style w:type="character" w:customStyle="1" w:styleId="513">
    <w:name w:val="正文（缩进） Char"/>
    <w:link w:val="514"/>
    <w:qFormat/>
    <w:locked/>
    <w:uiPriority w:val="99"/>
    <w:rPr>
      <w:rFonts w:ascii="宋体" w:eastAsia="宋体"/>
      <w:sz w:val="24"/>
    </w:rPr>
  </w:style>
  <w:style w:type="paragraph" w:customStyle="1" w:styleId="514">
    <w:name w:val="正文（缩进）"/>
    <w:basedOn w:val="1"/>
    <w:link w:val="513"/>
    <w:qFormat/>
    <w:uiPriority w:val="99"/>
    <w:pPr>
      <w:widowControl/>
      <w:spacing w:beforeLines="50" w:afterLines="50" w:line="360" w:lineRule="auto"/>
      <w:ind w:firstLine="480" w:firstLineChars="200"/>
      <w:jc w:val="left"/>
    </w:pPr>
    <w:rPr>
      <w:rFonts w:ascii="宋体" w:hAnsi="宋体"/>
      <w:kern w:val="0"/>
      <w:sz w:val="24"/>
    </w:rPr>
  </w:style>
  <w:style w:type="paragraph" w:customStyle="1" w:styleId="515">
    <w:name w:val="采购内容"/>
    <w:basedOn w:val="1"/>
    <w:qFormat/>
    <w:uiPriority w:val="99"/>
    <w:rPr>
      <w:rFonts w:ascii="仿宋" w:hAnsi="仿宋" w:eastAsia="仿宋"/>
    </w:rPr>
  </w:style>
  <w:style w:type="character" w:customStyle="1" w:styleId="516">
    <w:name w:val="font71"/>
    <w:basedOn w:val="60"/>
    <w:qFormat/>
    <w:uiPriority w:val="0"/>
    <w:rPr>
      <w:rFonts w:hint="default" w:ascii="楷体" w:hAnsi="楷体" w:eastAsia="楷体" w:cs="楷体"/>
      <w:color w:val="000000"/>
      <w:sz w:val="20"/>
      <w:szCs w:val="20"/>
      <w:u w:val="none"/>
    </w:rPr>
  </w:style>
  <w:style w:type="character" w:customStyle="1" w:styleId="517">
    <w:name w:val="bookmark-item"/>
    <w:basedOn w:val="60"/>
    <w:qFormat/>
    <w:uiPriority w:val="0"/>
  </w:style>
  <w:style w:type="character" w:customStyle="1" w:styleId="518">
    <w:name w:val="sub"/>
    <w:basedOn w:val="60"/>
    <w:qFormat/>
    <w:uiPriority w:val="0"/>
  </w:style>
  <w:style w:type="paragraph" w:customStyle="1" w:styleId="519">
    <w:name w:val="采购正文"/>
    <w:basedOn w:val="1"/>
    <w:link w:val="522"/>
    <w:qFormat/>
    <w:uiPriority w:val="0"/>
    <w:pPr>
      <w:snapToGrid w:val="0"/>
      <w:spacing w:line="560" w:lineRule="exact"/>
      <w:ind w:firstLine="480" w:firstLineChars="200"/>
    </w:pPr>
    <w:rPr>
      <w:rFonts w:ascii="仿宋" w:hAnsi="仿宋" w:eastAsia="仿宋"/>
      <w:sz w:val="24"/>
    </w:rPr>
  </w:style>
  <w:style w:type="paragraph" w:customStyle="1" w:styleId="520">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21">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522">
    <w:name w:val="采购正文 Char"/>
    <w:basedOn w:val="60"/>
    <w:link w:val="519"/>
    <w:qFormat/>
    <w:uiPriority w:val="0"/>
    <w:rPr>
      <w:rFonts w:ascii="仿宋" w:hAnsi="仿宋" w:eastAsia="仿宋"/>
      <w:kern w:val="2"/>
      <w:sz w:val="24"/>
      <w:szCs w:val="24"/>
    </w:rPr>
  </w:style>
  <w:style w:type="paragraph" w:customStyle="1" w:styleId="523">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524">
    <w:name w:val="List Paragraph1"/>
    <w:basedOn w:val="1"/>
    <w:qFormat/>
    <w:uiPriority w:val="99"/>
    <w:pPr>
      <w:ind w:firstLine="420" w:firstLineChars="200"/>
    </w:pPr>
  </w:style>
  <w:style w:type="paragraph" w:customStyle="1" w:styleId="525">
    <w:name w:val="采购二级"/>
    <w:basedOn w:val="1"/>
    <w:qFormat/>
    <w:uiPriority w:val="0"/>
    <w:pPr>
      <w:snapToGrid w:val="0"/>
      <w:spacing w:line="560" w:lineRule="exact"/>
      <w:ind w:firstLine="480" w:firstLineChars="200"/>
      <w:outlineLvl w:val="1"/>
    </w:pPr>
    <w:rPr>
      <w:rFonts w:ascii="仿宋" w:hAnsi="仿宋" w:eastAsia="仿宋"/>
      <w:b/>
      <w:kern w:val="0"/>
      <w:sz w:val="24"/>
      <w:szCs w:val="24"/>
    </w:rPr>
  </w:style>
  <w:style w:type="paragraph" w:customStyle="1" w:styleId="526">
    <w:name w:val="K&amp;W heading 2"/>
    <w:basedOn w:val="1"/>
    <w:qFormat/>
    <w:uiPriority w:val="0"/>
    <w:pPr>
      <w:tabs>
        <w:tab w:val="left" w:pos="817"/>
      </w:tabs>
      <w:spacing w:after="360" w:line="320" w:lineRule="exact"/>
      <w:outlineLvl w:val="1"/>
    </w:pPr>
    <w:rPr>
      <w:rFonts w:ascii="Arial" w:hAnsi="Arial" w:eastAsia="楷体_GB2312"/>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42C8A-963F-4A39-80D8-9ABA029E618C}">
  <ds:schemaRefs/>
</ds:datastoreItem>
</file>

<file path=docProps/app.xml><?xml version="1.0" encoding="utf-8"?>
<Properties xmlns="http://schemas.openxmlformats.org/officeDocument/2006/extended-properties" xmlns:vt="http://schemas.openxmlformats.org/officeDocument/2006/docPropsVTypes">
  <Template>Normal</Template>
  <Company>注册单位=China</Company>
  <Pages>49</Pages>
  <Words>4505</Words>
  <Characters>25683</Characters>
  <Lines>214</Lines>
  <Paragraphs>60</Paragraphs>
  <TotalTime>224</TotalTime>
  <ScaleCrop>false</ScaleCrop>
  <LinksUpToDate>false</LinksUpToDate>
  <CharactersWithSpaces>30128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2020-03-20T11:28:00Z</dcterms:created>
  <dc:creator>微软用户</dc:creator>
  <cp:lastModifiedBy>老干部</cp:lastModifiedBy>
  <cp:lastPrinted>2021-09-15T08:34:00Z</cp:lastPrinted>
  <dcterms:modified xsi:type="dcterms:W3CDTF">2021-09-24T10:29:52Z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0C8EF8A829F44793AF777D38F5F6EF72</vt:lpwstr>
  </property>
</Properties>
</file>