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76"/>
          <w:tab w:val="left" w:pos="8522"/>
        </w:tabs>
        <w:spacing w:line="360" w:lineRule="auto"/>
        <w:ind w:firstLine="643" w:firstLineChars="200"/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kern w:val="44"/>
          <w:sz w:val="32"/>
          <w:szCs w:val="32"/>
        </w:rPr>
        <w:t>更正公告</w:t>
      </w:r>
    </w:p>
    <w:p>
      <w:pPr>
        <w:tabs>
          <w:tab w:val="left" w:pos="4276"/>
          <w:tab w:val="left" w:pos="8522"/>
        </w:tabs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一、项目基本情况</w:t>
      </w:r>
    </w:p>
    <w:p>
      <w:pPr>
        <w:tabs>
          <w:tab w:val="left" w:pos="4276"/>
          <w:tab w:val="left" w:pos="8522"/>
        </w:tabs>
        <w:spacing w:line="360" w:lineRule="auto"/>
        <w:ind w:firstLine="482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原公告的采购项目编号：</w:t>
      </w:r>
      <w:r>
        <w:rPr>
          <w:rFonts w:hint="eastAsia" w:ascii="仿宋" w:hAnsi="仿宋" w:eastAsia="仿宋" w:cs="仿宋"/>
          <w:sz w:val="24"/>
        </w:rPr>
        <w:t>TC240Q2L5</w:t>
      </w:r>
    </w:p>
    <w:p>
      <w:pPr>
        <w:tabs>
          <w:tab w:val="left" w:pos="4276"/>
          <w:tab w:val="left" w:pos="8522"/>
        </w:tabs>
        <w:spacing w:line="360" w:lineRule="auto"/>
        <w:ind w:firstLine="482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原公告的采购项目名称：</w:t>
      </w:r>
      <w:bookmarkStart w:id="0" w:name="_GoBack"/>
      <w:r>
        <w:rPr>
          <w:rFonts w:hint="eastAsia" w:ascii="仿宋" w:hAnsi="仿宋" w:eastAsia="仿宋" w:cs="仿宋"/>
          <w:sz w:val="24"/>
        </w:rPr>
        <w:t>新疆维吾尔自治区巨灾防范工程测震类备机备件采购项目</w:t>
      </w:r>
    </w:p>
    <w:bookmarkEnd w:id="0"/>
    <w:p>
      <w:pPr>
        <w:tabs>
          <w:tab w:val="left" w:pos="4276"/>
          <w:tab w:val="left" w:pos="8522"/>
        </w:tabs>
        <w:spacing w:line="360" w:lineRule="auto"/>
        <w:ind w:firstLine="482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首次公告日期：</w:t>
      </w:r>
      <w:r>
        <w:rPr>
          <w:rFonts w:hint="eastAsia" w:ascii="仿宋" w:hAnsi="仿宋" w:eastAsia="仿宋" w:cs="仿宋"/>
          <w:sz w:val="24"/>
        </w:rPr>
        <w:t>202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年0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月1</w:t>
      </w:r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</w:rPr>
        <w:t xml:space="preserve">日  </w:t>
      </w:r>
    </w:p>
    <w:p>
      <w:pPr>
        <w:tabs>
          <w:tab w:val="left" w:pos="4276"/>
          <w:tab w:val="left" w:pos="8522"/>
        </w:tabs>
        <w:spacing w:line="360" w:lineRule="auto"/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二、更正信息</w:t>
      </w:r>
    </w:p>
    <w:p>
      <w:pPr>
        <w:keepNext w:val="0"/>
        <w:keepLines w:val="0"/>
        <w:pageBreakBefore w:val="0"/>
        <w:widowControl w:val="0"/>
        <w:tabs>
          <w:tab w:val="left" w:pos="4276"/>
          <w:tab w:val="left" w:pos="85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更正事项：</w:t>
      </w:r>
      <w:r>
        <w:rPr>
          <w:rFonts w:hint="eastAsia" w:ascii="仿宋" w:hAnsi="仿宋" w:eastAsia="仿宋" w:cs="仿宋"/>
          <w:sz w:val="24"/>
        </w:rPr>
        <w:t>采购文件</w:t>
      </w:r>
    </w:p>
    <w:p>
      <w:pPr>
        <w:keepNext w:val="0"/>
        <w:keepLines w:val="0"/>
        <w:pageBreakBefore w:val="0"/>
        <w:widowControl w:val="0"/>
        <w:tabs>
          <w:tab w:val="left" w:pos="4276"/>
          <w:tab w:val="left" w:pos="85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更正内容：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更正项1：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第六章第二节项目参数部分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更正前内容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ab/>
      </w:r>
    </w:p>
    <w:p>
      <w:pPr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第一包：</w:t>
      </w:r>
    </w:p>
    <w:p>
      <w:pPr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核心产品指标类型“A”为关键指标、“B+”为非常重要指标，“B”为重要指标，“C”为一般指标。非核心产品指标类型“A”号条款为关键指标，加注“B”号条款为重要指标，“C”为一般指标。</w:t>
      </w:r>
    </w:p>
    <w:p>
      <w:pPr>
        <w:pStyle w:val="8"/>
        <w:widowControl/>
        <w:ind w:left="-23" w:firstLine="422"/>
        <w:jc w:val="left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（1）井下宽频带地震计（核心产品）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40"/>
        <w:gridCol w:w="2345"/>
        <w:gridCol w:w="2551"/>
        <w:gridCol w:w="1558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0" w:type="pct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11</w:t>
            </w:r>
          </w:p>
        </w:tc>
        <w:tc>
          <w:tcPr>
            <w:tcW w:w="434" w:type="pct"/>
            <w:vMerge w:val="restart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幅频特性</w:t>
            </w:r>
          </w:p>
        </w:tc>
        <w:tc>
          <w:tcPr>
            <w:tcW w:w="1376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高端截止频率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≥40Hz</w:t>
            </w:r>
          </w:p>
        </w:tc>
        <w:tc>
          <w:tcPr>
            <w:tcW w:w="1497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地震计观测频带上限</w:t>
            </w:r>
          </w:p>
        </w:tc>
        <w:tc>
          <w:tcPr>
            <w:tcW w:w="914" w:type="pct"/>
            <w:vMerge w:val="restart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29" w:type="pct"/>
            <w:vMerge w:val="restart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低端截止频率:</w:t>
            </w:r>
          </w:p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0.00833Hz±0.00025Hz</w:t>
            </w:r>
          </w:p>
        </w:tc>
        <w:tc>
          <w:tcPr>
            <w:tcW w:w="1497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地震计观测频带下限</w:t>
            </w:r>
          </w:p>
        </w:tc>
        <w:tc>
          <w:tcPr>
            <w:tcW w:w="914" w:type="pct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29" w:type="pct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低频端阻尼0.707±0.022</w:t>
            </w:r>
          </w:p>
        </w:tc>
        <w:tc>
          <w:tcPr>
            <w:tcW w:w="1497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描述低频端频率特性的第二个参数，与低端截止频率共同确定低频段传递函数。</w:t>
            </w:r>
          </w:p>
        </w:tc>
        <w:tc>
          <w:tcPr>
            <w:tcW w:w="914" w:type="pct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29" w:type="pct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Cs/>
                <w:strike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Cs/>
                <w:strike/>
                <w:sz w:val="21"/>
                <w:szCs w:val="21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幅频误差-0.5dB～0.5dB（10Hz～30Hz）或-3dB～1dB（30Hz～40Hz）</w:t>
            </w:r>
          </w:p>
        </w:tc>
        <w:tc>
          <w:tcPr>
            <w:tcW w:w="1497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高频段幅频特性最大波动范围</w:t>
            </w:r>
          </w:p>
        </w:tc>
        <w:tc>
          <w:tcPr>
            <w:tcW w:w="914" w:type="pct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29" w:type="pct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</w:tbl>
    <w:p>
      <w:pPr>
        <w:ind w:firstLine="42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第四包：</w:t>
      </w:r>
    </w:p>
    <w:p>
      <w:pPr>
        <w:pStyle w:val="2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（1）三通道数据采集器指标及要求（核心产品）：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065"/>
        <w:gridCol w:w="2361"/>
        <w:gridCol w:w="1994"/>
        <w:gridCol w:w="1738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27</w:t>
            </w:r>
          </w:p>
        </w:tc>
        <w:tc>
          <w:tcPr>
            <w:tcW w:w="625" w:type="pc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授时源</w:t>
            </w:r>
          </w:p>
        </w:tc>
        <w:tc>
          <w:tcPr>
            <w:tcW w:w="1385" w:type="pc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GNSS授时, 支持并实配北斗授时，可同时支持GPS授时。</w:t>
            </w:r>
          </w:p>
        </w:tc>
        <w:tc>
          <w:tcPr>
            <w:tcW w:w="1170" w:type="pct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33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其他授时方式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IRIG-B授时</w:t>
            </w: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使用两种或以上多个授时源可提高授时可靠性。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NTP/PTP网络授时</w:t>
            </w: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</w:t>
            </w:r>
          </w:p>
        </w:tc>
      </w:tr>
    </w:tbl>
    <w:p>
      <w:pPr>
        <w:ind w:firstLine="42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第五包：</w:t>
      </w:r>
    </w:p>
    <w:p>
      <w:pPr>
        <w:pStyle w:val="2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六通道数据采集器指标及要求：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065"/>
        <w:gridCol w:w="2361"/>
        <w:gridCol w:w="1994"/>
        <w:gridCol w:w="1738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9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27</w:t>
            </w:r>
          </w:p>
        </w:tc>
        <w:tc>
          <w:tcPr>
            <w:tcW w:w="625" w:type="pc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授时源</w:t>
            </w:r>
          </w:p>
        </w:tc>
        <w:tc>
          <w:tcPr>
            <w:tcW w:w="1385" w:type="pc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GNSS授时, 支持并实配北斗授时，可同时支持GPS授时。</w:t>
            </w:r>
          </w:p>
        </w:tc>
        <w:tc>
          <w:tcPr>
            <w:tcW w:w="1170" w:type="pct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33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其他授时方式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IRIG-B授时</w:t>
            </w: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使用两种或以上多个授时源可提高授时可靠性。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NTP/PTP网络授时</w:t>
            </w: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</w:t>
            </w:r>
          </w:p>
        </w:tc>
      </w:tr>
    </w:tbl>
    <w:p>
      <w:pPr>
        <w:pStyle w:val="2"/>
        <w:rPr>
          <w:rFonts w:hint="eastAsia" w:ascii="仿宋" w:hAnsi="仿宋" w:eastAsia="仿宋" w:cs="仿宋"/>
          <w:b/>
          <w:bCs/>
          <w:sz w:val="21"/>
          <w:szCs w:val="21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第六包：</w:t>
      </w:r>
    </w:p>
    <w:p>
      <w:pPr>
        <w:pStyle w:val="2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（1）甚宽频带地震计技术指标（核心产品）：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728"/>
        <w:gridCol w:w="975"/>
        <w:gridCol w:w="2570"/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pct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427" w:type="pct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A</w:t>
            </w:r>
          </w:p>
        </w:tc>
        <w:tc>
          <w:tcPr>
            <w:tcW w:w="572" w:type="pct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幅频特性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低端截止频率0.0167Hz±0.0005Hz；</w:t>
            </w:r>
          </w:p>
        </w:tc>
        <w:tc>
          <w:tcPr>
            <w:tcW w:w="1983" w:type="pc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地震计观测频带下限；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08" w:type="pc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高端截止频率≥40Hz；</w:t>
            </w:r>
          </w:p>
        </w:tc>
        <w:tc>
          <w:tcPr>
            <w:tcW w:w="1983" w:type="pc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宽频带地震计观测频带上限；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10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08" w:type="pc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低频端阻尼0.707±0.022；</w:t>
            </w:r>
          </w:p>
        </w:tc>
        <w:tc>
          <w:tcPr>
            <w:tcW w:w="1983" w:type="pc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描述低频端频率特性的第二个参数，与低端截止频率共同确定低频段传递函数；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08" w:type="pc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幅频误差-0.5dB ～ 0.5dB （10Hz～30Hz）或-3dB ～ 1dB（30Hz～40Hz）</w:t>
            </w:r>
          </w:p>
        </w:tc>
        <w:tc>
          <w:tcPr>
            <w:tcW w:w="1983" w:type="pc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高频段幅频特性最大波动范围</w:t>
            </w:r>
          </w:p>
        </w:tc>
      </w:tr>
    </w:tbl>
    <w:p>
      <w:pPr>
        <w:pStyle w:val="2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（2）短周期地震计技术指标（非核心产品）：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728"/>
        <w:gridCol w:w="975"/>
        <w:gridCol w:w="2570"/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427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A</w:t>
            </w:r>
          </w:p>
        </w:tc>
        <w:tc>
          <w:tcPr>
            <w:tcW w:w="572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幅频特性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高端截止频率≥40Hz</w:t>
            </w:r>
          </w:p>
        </w:tc>
        <w:tc>
          <w:tcPr>
            <w:tcW w:w="1983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地震计观测频带上限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08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低端截止频率0.5Hz±0.015Hz 或1Hz±0.03Hz</w:t>
            </w:r>
          </w:p>
        </w:tc>
        <w:tc>
          <w:tcPr>
            <w:tcW w:w="1983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短周期地震计观测频带下限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08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低频端阻尼0.707±0.022</w:t>
            </w:r>
          </w:p>
        </w:tc>
        <w:tc>
          <w:tcPr>
            <w:tcW w:w="1983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描述低频端频率特性的第二个参数，与低端截止频率共同确定低频段传递函数。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08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幅频误差±3%（5Hz≤f≤20Hz）（推荐）和±5%（10Hz≤f≤30Hz）和-30%～10%（30Hz＜f≤40Hz）</w:t>
            </w:r>
          </w:p>
        </w:tc>
        <w:tc>
          <w:tcPr>
            <w:tcW w:w="1983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高频段幅频特性最大波动范围。±3%为推荐指标，不作为强制要求。</w:t>
            </w:r>
          </w:p>
        </w:tc>
      </w:tr>
    </w:tbl>
    <w:p>
      <w:pPr>
        <w:pStyle w:val="2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第八包：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（1）交直流智能电源指标及要求（核心产品）：</w:t>
      </w:r>
    </w:p>
    <w:tbl>
      <w:tblPr>
        <w:tblStyle w:val="5"/>
        <w:tblW w:w="8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672"/>
        <w:gridCol w:w="4983"/>
        <w:gridCol w:w="673"/>
        <w:gridCol w:w="672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3" w:type="dxa"/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19</w:t>
            </w:r>
          </w:p>
        </w:tc>
        <w:tc>
          <w:tcPr>
            <w:tcW w:w="672" w:type="dxa"/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通讯协议</w:t>
            </w:r>
          </w:p>
        </w:tc>
        <w:tc>
          <w:tcPr>
            <w:tcW w:w="4983" w:type="dxa"/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支持《台站电源通信控制协议》。</w:t>
            </w:r>
          </w:p>
        </w:tc>
        <w:tc>
          <w:tcPr>
            <w:tcW w:w="673" w:type="dxa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功能</w:t>
            </w:r>
          </w:p>
        </w:tc>
        <w:tc>
          <w:tcPr>
            <w:tcW w:w="672" w:type="dxa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A</w:t>
            </w:r>
          </w:p>
        </w:tc>
        <w:tc>
          <w:tcPr>
            <w:tcW w:w="673" w:type="dxa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　</w:t>
            </w: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ind w:firstLine="482" w:firstLineChars="200"/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更正后内容：</w:t>
      </w:r>
    </w:p>
    <w:p>
      <w:pPr>
        <w:ind w:firstLine="480" w:firstLineChars="200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第一包：</w:t>
      </w:r>
    </w:p>
    <w:p>
      <w:pPr>
        <w:pStyle w:val="8"/>
        <w:widowControl/>
        <w:ind w:left="0" w:leftChars="0"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highlight w:val="yellow"/>
        </w:rPr>
        <w:t>指标类型“A”为关键指标、“B+”为非常重要指标，“B”为重要指标，“C”为一般指标。</w:t>
      </w:r>
    </w:p>
    <w:p>
      <w:pPr>
        <w:pStyle w:val="8"/>
        <w:widowControl/>
        <w:ind w:left="-23" w:firstLine="422"/>
        <w:jc w:val="left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（1）井下宽频带地震计（核心产品）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40"/>
        <w:gridCol w:w="2345"/>
        <w:gridCol w:w="2551"/>
        <w:gridCol w:w="1558"/>
        <w:gridCol w:w="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0" w:type="pct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11</w:t>
            </w:r>
          </w:p>
        </w:tc>
        <w:tc>
          <w:tcPr>
            <w:tcW w:w="434" w:type="pct"/>
            <w:vMerge w:val="restart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幅频特性</w:t>
            </w:r>
          </w:p>
        </w:tc>
        <w:tc>
          <w:tcPr>
            <w:tcW w:w="1376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高端截止频率</w:t>
            </w:r>
            <w:r>
              <w:rPr>
                <w:rFonts w:hint="eastAsia" w:ascii="仿宋" w:hAnsi="仿宋" w:eastAsia="仿宋" w:cs="仿宋"/>
                <w:bCs/>
                <w:kern w:val="0"/>
                <w:sz w:val="21"/>
                <w:szCs w:val="21"/>
              </w:rPr>
              <w:t>≥40Hz</w:t>
            </w:r>
          </w:p>
        </w:tc>
        <w:tc>
          <w:tcPr>
            <w:tcW w:w="1497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地震计观测频带上限</w:t>
            </w:r>
          </w:p>
        </w:tc>
        <w:tc>
          <w:tcPr>
            <w:tcW w:w="914" w:type="pct"/>
            <w:vMerge w:val="restart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29" w:type="pct"/>
            <w:vMerge w:val="restart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highlight w:val="yellow"/>
              </w:rPr>
              <w:t>低端截止频率：0.0167Hz±0.0005Hz</w:t>
            </w:r>
          </w:p>
        </w:tc>
        <w:tc>
          <w:tcPr>
            <w:tcW w:w="1497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地震计观测频带下限</w:t>
            </w:r>
          </w:p>
        </w:tc>
        <w:tc>
          <w:tcPr>
            <w:tcW w:w="914" w:type="pct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29" w:type="pct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低频端阻尼0.707±0.022</w:t>
            </w:r>
          </w:p>
        </w:tc>
        <w:tc>
          <w:tcPr>
            <w:tcW w:w="1497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描述低频端频率特性的第二个参数，与低端截止频率共同确定低频段传递函数。</w:t>
            </w:r>
          </w:p>
        </w:tc>
        <w:tc>
          <w:tcPr>
            <w:tcW w:w="914" w:type="pct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29" w:type="pct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0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Cs/>
                <w:strike/>
                <w:sz w:val="21"/>
                <w:szCs w:val="21"/>
              </w:rPr>
            </w:pPr>
          </w:p>
        </w:tc>
        <w:tc>
          <w:tcPr>
            <w:tcW w:w="434" w:type="pct"/>
            <w:vMerge w:val="continue"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bCs/>
                <w:strike/>
                <w:sz w:val="21"/>
                <w:szCs w:val="21"/>
              </w:rPr>
            </w:pPr>
          </w:p>
        </w:tc>
        <w:tc>
          <w:tcPr>
            <w:tcW w:w="1376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幅频误差-0.5dB～0.5dB（10Hz～30Hz）或-3dB～1dB（30Hz～40Hz）</w:t>
            </w:r>
          </w:p>
        </w:tc>
        <w:tc>
          <w:tcPr>
            <w:tcW w:w="1497" w:type="pct"/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高频段幅频特性最大波动范围</w:t>
            </w:r>
          </w:p>
        </w:tc>
        <w:tc>
          <w:tcPr>
            <w:tcW w:w="914" w:type="pct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529" w:type="pct"/>
            <w:vMerge w:val="continue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</w:tbl>
    <w:p>
      <w:pPr>
        <w:ind w:firstLine="42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第四包：</w:t>
      </w:r>
    </w:p>
    <w:p>
      <w:pPr>
        <w:pStyle w:val="2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（1）三通道数据采集器指标及要求（核心产品）：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065"/>
        <w:gridCol w:w="2361"/>
        <w:gridCol w:w="1994"/>
        <w:gridCol w:w="1738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27</w:t>
            </w:r>
          </w:p>
        </w:tc>
        <w:tc>
          <w:tcPr>
            <w:tcW w:w="625" w:type="pc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授时源</w:t>
            </w:r>
          </w:p>
        </w:tc>
        <w:tc>
          <w:tcPr>
            <w:tcW w:w="1385" w:type="pc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GNSS授时, 支持并实配北斗授时。</w:t>
            </w:r>
          </w:p>
        </w:tc>
        <w:tc>
          <w:tcPr>
            <w:tcW w:w="1170" w:type="pct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33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其他授时方式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IRIG-B授时</w:t>
            </w: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使用两种或以上多个授时源可提高授时可靠性。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NTP网络授时</w:t>
            </w: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</w:t>
            </w:r>
          </w:p>
        </w:tc>
      </w:tr>
    </w:tbl>
    <w:p>
      <w:pPr>
        <w:ind w:firstLine="42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第五包：</w:t>
      </w:r>
    </w:p>
    <w:p>
      <w:pPr>
        <w:pStyle w:val="2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六通道数据采集器指标及要求：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065"/>
        <w:gridCol w:w="2361"/>
        <w:gridCol w:w="1994"/>
        <w:gridCol w:w="1738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27</w:t>
            </w:r>
          </w:p>
        </w:tc>
        <w:tc>
          <w:tcPr>
            <w:tcW w:w="625" w:type="pc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授时源</w:t>
            </w:r>
          </w:p>
        </w:tc>
        <w:tc>
          <w:tcPr>
            <w:tcW w:w="1385" w:type="pct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GNSS授时, 支持并实配北斗授时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  <w:tc>
          <w:tcPr>
            <w:tcW w:w="1170" w:type="pct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4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33</w:t>
            </w:r>
          </w:p>
        </w:tc>
        <w:tc>
          <w:tcPr>
            <w:tcW w:w="625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其他授时方式</w:t>
            </w: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IRIG-B授时</w:t>
            </w: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使用两种或以上多个授时源可提高授时可靠性。</w:t>
            </w: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4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2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NTP网络授时</w:t>
            </w:r>
          </w:p>
        </w:tc>
        <w:tc>
          <w:tcPr>
            <w:tcW w:w="11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A</w:t>
            </w:r>
          </w:p>
        </w:tc>
      </w:tr>
    </w:tbl>
    <w:p>
      <w:pPr>
        <w:ind w:firstLine="420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第六包：</w:t>
      </w:r>
    </w:p>
    <w:p>
      <w:pPr>
        <w:pStyle w:val="2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（1）甚宽频带地震计技术指标（核心产品）：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728"/>
        <w:gridCol w:w="975"/>
        <w:gridCol w:w="2570"/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pct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427" w:type="pct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A</w:t>
            </w:r>
          </w:p>
        </w:tc>
        <w:tc>
          <w:tcPr>
            <w:tcW w:w="572" w:type="pct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幅频特性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yellow"/>
              </w:rPr>
              <w:t>低端截止频率:</w:t>
            </w:r>
          </w:p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yellow"/>
              </w:rPr>
              <w:t>0.00833Hz±0.00025Hz</w:t>
            </w:r>
          </w:p>
        </w:tc>
        <w:tc>
          <w:tcPr>
            <w:tcW w:w="1983" w:type="pc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地震计观测频带下限；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08" w:type="pc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高端截止频率≥40Hz；</w:t>
            </w:r>
          </w:p>
        </w:tc>
        <w:tc>
          <w:tcPr>
            <w:tcW w:w="1983" w:type="pc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宽频带地震计观测频带上限；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10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08" w:type="pc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低频端阻尼0.707±0.022；</w:t>
            </w:r>
          </w:p>
        </w:tc>
        <w:tc>
          <w:tcPr>
            <w:tcW w:w="1983" w:type="pc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描述低频端频率特性的第二个参数，与低端截止频率共同确定低频段传递函数；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08" w:type="pc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幅频误差-0.5dB ～ 0.5dB （10Hz～30Hz）或-3dB ～ 1dB（30Hz～40Hz）</w:t>
            </w:r>
          </w:p>
        </w:tc>
        <w:tc>
          <w:tcPr>
            <w:tcW w:w="1983" w:type="pc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高频段幅频特性最大波动范围</w:t>
            </w:r>
          </w:p>
        </w:tc>
      </w:tr>
    </w:tbl>
    <w:p>
      <w:pPr>
        <w:pStyle w:val="2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（2）短周期地震计技术指标（非核心产品）：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728"/>
        <w:gridCol w:w="975"/>
        <w:gridCol w:w="2570"/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427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A</w:t>
            </w:r>
          </w:p>
        </w:tc>
        <w:tc>
          <w:tcPr>
            <w:tcW w:w="572" w:type="pct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幅频特性</w:t>
            </w:r>
          </w:p>
        </w:tc>
        <w:tc>
          <w:tcPr>
            <w:tcW w:w="1508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yellow"/>
              </w:rPr>
              <w:t>高端截止频率≥80Hz</w:t>
            </w:r>
          </w:p>
        </w:tc>
        <w:tc>
          <w:tcPr>
            <w:tcW w:w="1983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地震计观测频带上限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0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08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低端截止频率0.5Hz±0.015Hz 或1Hz±0.03Hz</w:t>
            </w:r>
          </w:p>
        </w:tc>
        <w:tc>
          <w:tcPr>
            <w:tcW w:w="1983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短周期地震计观测频带下限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10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08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低频端阻尼0.707±0.022</w:t>
            </w:r>
          </w:p>
        </w:tc>
        <w:tc>
          <w:tcPr>
            <w:tcW w:w="1983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描述低频端频率特性的第二个参数，与低端截止频率共同确定低频段传递函数。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10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427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572" w:type="pct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508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幅频误差±3%（5Hz≤f≤20Hz）（推荐）和±5%（10Hz≤f≤30Hz）和-30%～10%（30Hz＜f≤40Hz）</w:t>
            </w:r>
          </w:p>
        </w:tc>
        <w:tc>
          <w:tcPr>
            <w:tcW w:w="1983" w:type="pct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高频段幅频特性最大波动范围。±3%为推荐指标，不作为强制要求。</w:t>
            </w:r>
          </w:p>
        </w:tc>
      </w:tr>
    </w:tbl>
    <w:p>
      <w:pPr>
        <w:pStyle w:val="2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第八包：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（1）交直流智能电源指标及要求（核心产品）：</w:t>
      </w:r>
    </w:p>
    <w:tbl>
      <w:tblPr>
        <w:tblStyle w:val="5"/>
        <w:tblW w:w="8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672"/>
        <w:gridCol w:w="4983"/>
        <w:gridCol w:w="673"/>
        <w:gridCol w:w="672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73" w:type="dxa"/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19</w:t>
            </w:r>
          </w:p>
        </w:tc>
        <w:tc>
          <w:tcPr>
            <w:tcW w:w="672" w:type="dxa"/>
            <w:shd w:val="clear" w:color="auto" w:fill="auto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通讯协议</w:t>
            </w:r>
          </w:p>
        </w:tc>
        <w:tc>
          <w:tcPr>
            <w:tcW w:w="4983" w:type="dxa"/>
            <w:shd w:val="clear" w:color="000000" w:fill="FFFFFF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支持《台站电源数据通信控制协议规程》。</w:t>
            </w:r>
          </w:p>
        </w:tc>
        <w:tc>
          <w:tcPr>
            <w:tcW w:w="673" w:type="dxa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功能</w:t>
            </w:r>
          </w:p>
        </w:tc>
        <w:tc>
          <w:tcPr>
            <w:tcW w:w="672" w:type="dxa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A</w:t>
            </w:r>
          </w:p>
        </w:tc>
        <w:tc>
          <w:tcPr>
            <w:tcW w:w="673" w:type="dxa"/>
            <w:tcMar>
              <w:top w:w="20" w:type="dxa"/>
              <w:left w:w="20" w:type="dxa"/>
              <w:right w:w="20" w:type="dxa"/>
            </w:tcMar>
            <w:vAlign w:val="center"/>
          </w:tcPr>
          <w:p>
            <w:pPr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bidi="ar"/>
              </w:rPr>
              <w:t>　</w:t>
            </w:r>
          </w:p>
        </w:tc>
      </w:tr>
    </w:tbl>
    <w:p>
      <w:pPr>
        <w:pStyle w:val="3"/>
        <w:ind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</w:p>
    <w:p>
      <w:pPr>
        <w:pStyle w:val="3"/>
        <w:ind w:firstLine="482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更正项2：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投标截止时间（开标时间）</w:t>
      </w:r>
    </w:p>
    <w:p>
      <w:pPr>
        <w:pStyle w:val="3"/>
        <w:ind w:firstLine="482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更正前内容：</w:t>
      </w:r>
      <w:r>
        <w:rPr>
          <w:rFonts w:hint="eastAsia" w:ascii="仿宋" w:hAnsi="仿宋" w:eastAsia="仿宋" w:cs="仿宋"/>
          <w:sz w:val="24"/>
        </w:rPr>
        <w:t>2024年5月</w:t>
      </w: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日 11:00（北京时间）</w:t>
      </w:r>
    </w:p>
    <w:p>
      <w:pPr>
        <w:pStyle w:val="3"/>
        <w:ind w:firstLine="482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更正后内容：</w:t>
      </w:r>
      <w:r>
        <w:rPr>
          <w:rFonts w:hint="eastAsia" w:ascii="仿宋" w:hAnsi="仿宋" w:eastAsia="仿宋" w:cs="仿宋"/>
          <w:sz w:val="24"/>
        </w:rPr>
        <w:t>2024年5月8日 11:00（北京时间）</w:t>
      </w:r>
    </w:p>
    <w:p>
      <w:pPr>
        <w:pStyle w:val="3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pStyle w:val="3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 w:val="0"/>
          <w:bCs w:val="0"/>
          <w:sz w:val="24"/>
        </w:rPr>
        <w:t>更正日期：</w:t>
      </w:r>
      <w:r>
        <w:rPr>
          <w:rFonts w:hint="eastAsia" w:ascii="仿宋" w:hAnsi="仿宋" w:eastAsia="仿宋" w:cs="仿宋"/>
          <w:sz w:val="24"/>
        </w:rPr>
        <w:t>202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年0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三、其他补充事宜</w:t>
      </w:r>
      <w:r>
        <w:rPr>
          <w:rFonts w:hint="eastAsia" w:ascii="仿宋" w:hAnsi="仿宋" w:eastAsia="仿宋" w:cs="仿宋"/>
          <w:sz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lang w:val="en-US" w:eastAsia="zh-CN"/>
        </w:rPr>
        <w:t>/</w:t>
      </w:r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四、对本次采购提出询问，请按以下方式联系。</w:t>
      </w:r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代理机构：中招国际招标有限公司</w:t>
      </w:r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　　址：北京市海淀区学院南路62号中关村资本大厦</w:t>
      </w:r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新疆分公司地址：乌鲁木齐市卫星路西黄山街南乌鲁木齐轨道交通产业总部基地B栋3楼</w:t>
      </w:r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电　　话：0991－3929888</w:t>
      </w:r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 系 人：廖超</w:t>
      </w:r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 购 人：新疆维吾尔自治区地震局</w:t>
      </w:r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    址：新疆乌鲁木齐市科学二街338号</w:t>
      </w:r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电    话：0991-3818637</w:t>
      </w:r>
    </w:p>
    <w:p>
      <w:pPr>
        <w:tabs>
          <w:tab w:val="left" w:pos="4276"/>
          <w:tab w:val="left" w:pos="8522"/>
        </w:tabs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</w:rPr>
        <w:t>联 系 人：韩军　　</w:t>
      </w:r>
      <w:r>
        <w:rPr>
          <w:rFonts w:hint="eastAsia" w:ascii="仿宋" w:hAnsi="仿宋" w:eastAsia="仿宋" w:cs="仿宋"/>
          <w:sz w:val="28"/>
          <w:szCs w:val="28"/>
        </w:rPr>
        <w:t>　　　　　</w:t>
      </w:r>
    </w:p>
    <w:p>
      <w:pPr>
        <w:tabs>
          <w:tab w:val="left" w:pos="4276"/>
          <w:tab w:val="left" w:pos="8522"/>
        </w:tabs>
        <w:spacing w:line="360" w:lineRule="auto"/>
        <w:ind w:firstLine="560" w:firstLineChars="200"/>
        <w:jc w:val="left"/>
      </w:pPr>
      <w:r>
        <w:rPr>
          <w:rFonts w:hint="eastAsia" w:ascii="仿宋" w:hAnsi="仿宋" w:eastAsia="仿宋" w:cs="仿宋"/>
          <w:sz w:val="28"/>
          <w:szCs w:val="28"/>
        </w:rPr>
        <w:t>　　　　　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817492D"/>
    <w:rsid w:val="0817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utoSpaceDE w:val="0"/>
      <w:autoSpaceDN w:val="0"/>
      <w:adjustRightInd w:val="0"/>
      <w:ind w:firstLine="420"/>
      <w:jc w:val="left"/>
    </w:pPr>
    <w:rPr>
      <w:rFonts w:ascii="宋体" w:hAnsi="Times New Roman" w:eastAsia="宋体" w:cs="Times New Roman"/>
      <w:kern w:val="0"/>
      <w:sz w:val="24"/>
      <w:szCs w:val="20"/>
    </w:rPr>
  </w:style>
  <w:style w:type="paragraph" w:styleId="3">
    <w:name w:val="Plain Text"/>
    <w:basedOn w:val="1"/>
    <w:next w:val="4"/>
    <w:qFormat/>
    <w:uiPriority w:val="0"/>
    <w:rPr>
      <w:rFonts w:ascii="宋体" w:hAnsi="Courier New"/>
      <w:szCs w:val="20"/>
    </w:rPr>
  </w:style>
  <w:style w:type="paragraph" w:styleId="4">
    <w:name w:val="toc 2"/>
    <w:basedOn w:val="1"/>
    <w:next w:val="1"/>
    <w:uiPriority w:val="39"/>
    <w:pPr>
      <w:ind w:left="420" w:leftChars="20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autoRedefine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2024-04-22T03:48:00Z</dcterms:created>
  <dc:creator>我陪你走i</dc:creator>
  <cp:lastModifiedBy>我陪你走i</cp:lastModifiedBy>
  <dcterms:modified xsi:type="dcterms:W3CDTF">2024-04-22T04:05:51Z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8810CBDE4F0C4840B87FB0136E150712_11</vt:lpwstr>
  </property>
</Properties>
</file>